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E0FD1">
      <w:pPr>
        <w:adjustRightInd w:val="0"/>
        <w:snapToGrid w:val="0"/>
        <w:spacing w:line="360" w:lineRule="auto"/>
        <w:jc w:val="center"/>
        <w:rPr>
          <w:rFonts w:ascii="宋体" w:hAnsi="宋体" w:cs="宋体"/>
          <w:color w:val="000000"/>
          <w:sz w:val="52"/>
          <w:szCs w:val="52"/>
          <w:highlight w:val="none"/>
        </w:rPr>
      </w:pPr>
      <w:r>
        <w:rPr>
          <w:rFonts w:hint="eastAsia" w:ascii="宋体" w:hAnsi="宋体" w:cs="宋体"/>
          <w:color w:val="000000"/>
          <w:sz w:val="52"/>
          <w:szCs w:val="52"/>
          <w:highlight w:val="none"/>
          <w:u w:val="single"/>
          <w:lang w:val="en-US" w:eastAsia="zh-CN"/>
        </w:rPr>
        <w:t>滁州市大剧院修缮</w:t>
      </w:r>
      <w:r>
        <w:rPr>
          <w:rFonts w:hint="eastAsia" w:ascii="宋体" w:hAnsi="宋体" w:cs="宋体"/>
          <w:color w:val="000000"/>
          <w:sz w:val="52"/>
          <w:szCs w:val="52"/>
          <w:highlight w:val="none"/>
        </w:rPr>
        <w:t>工程总承包</w:t>
      </w:r>
    </w:p>
    <w:p w14:paraId="6B726FE2">
      <w:pPr>
        <w:adjustRightInd w:val="0"/>
        <w:snapToGrid w:val="0"/>
        <w:spacing w:line="360" w:lineRule="auto"/>
        <w:rPr>
          <w:rFonts w:ascii="宋体" w:hAnsi="宋体" w:cs="宋体"/>
          <w:color w:val="000000"/>
          <w:szCs w:val="21"/>
          <w:highlight w:val="none"/>
        </w:rPr>
      </w:pPr>
    </w:p>
    <w:p w14:paraId="4526E464">
      <w:pPr>
        <w:adjustRightInd w:val="0"/>
        <w:snapToGrid w:val="0"/>
        <w:spacing w:line="360" w:lineRule="auto"/>
        <w:jc w:val="center"/>
        <w:rPr>
          <w:rFonts w:ascii="宋体" w:hAnsi="宋体" w:cs="宋体"/>
          <w:b/>
          <w:bCs/>
          <w:color w:val="000000"/>
          <w:sz w:val="72"/>
          <w:szCs w:val="72"/>
          <w:highlight w:val="none"/>
        </w:rPr>
      </w:pPr>
      <w:r>
        <w:rPr>
          <w:rFonts w:hint="eastAsia" w:ascii="宋体" w:hAnsi="宋体" w:cs="宋体"/>
          <w:b/>
          <w:bCs/>
          <w:color w:val="000000"/>
          <w:sz w:val="72"/>
          <w:szCs w:val="72"/>
          <w:highlight w:val="none"/>
        </w:rPr>
        <w:t>招 标 文 件</w:t>
      </w:r>
    </w:p>
    <w:p w14:paraId="4748DA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center"/>
        <w:rPr>
          <w:rFonts w:hint="default" w:ascii="宋体" w:hAnsi="宋体" w:cs="宋体"/>
          <w:color w:val="000000"/>
          <w:sz w:val="30"/>
          <w:szCs w:val="30"/>
          <w:highlight w:val="none"/>
        </w:rPr>
      </w:pPr>
      <w:r>
        <w:rPr>
          <w:rFonts w:hint="eastAsia" w:ascii="宋体" w:hAnsi="宋体" w:cs="宋体"/>
          <w:color w:val="000000"/>
          <w:sz w:val="30"/>
          <w:szCs w:val="30"/>
          <w:highlight w:val="none"/>
        </w:rPr>
        <w:t>招标项目编号</w:t>
      </w:r>
      <w:r>
        <w:rPr>
          <w:rFonts w:hint="eastAsia" w:ascii="宋体" w:hAnsi="宋体" w:cs="宋体"/>
          <w:color w:val="000000"/>
          <w:sz w:val="30"/>
          <w:szCs w:val="30"/>
          <w:highlight w:val="none"/>
          <w:lang w:eastAsia="zh-CN"/>
        </w:rPr>
        <w:t>：</w:t>
      </w:r>
      <w:r>
        <w:rPr>
          <w:rFonts w:hint="default" w:ascii="宋体" w:hAnsi="宋体" w:cs="宋体"/>
          <w:color w:val="000000"/>
          <w:sz w:val="30"/>
          <w:szCs w:val="30"/>
          <w:highlight w:val="none"/>
          <w:lang w:val="en-US" w:eastAsia="zh-CN"/>
        </w:rPr>
        <w:t>czsjgc202506-012</w:t>
      </w:r>
    </w:p>
    <w:p w14:paraId="657D5279">
      <w:pPr>
        <w:adjustRightInd w:val="0"/>
        <w:snapToGrid w:val="0"/>
        <w:spacing w:line="360" w:lineRule="auto"/>
        <w:ind w:firstLine="2550" w:firstLineChars="850"/>
        <w:rPr>
          <w:rFonts w:ascii="宋体" w:hAnsi="宋体" w:cs="宋体"/>
          <w:color w:val="000000"/>
          <w:spacing w:val="140"/>
          <w:sz w:val="28"/>
          <w:szCs w:val="28"/>
          <w:highlight w:val="none"/>
        </w:rPr>
      </w:pPr>
      <w:r>
        <w:rPr>
          <w:rFonts w:hint="eastAsia" w:ascii="宋体" w:hAnsi="宋体" w:cs="宋体"/>
          <w:color w:val="000000"/>
          <w:sz w:val="30"/>
          <w:szCs w:val="30"/>
          <w:highlight w:val="none"/>
        </w:rPr>
        <w:t xml:space="preserve">  </w:t>
      </w:r>
      <w:r>
        <w:rPr>
          <w:rFonts w:hint="eastAsia" w:ascii="宋体" w:hAnsi="宋体" w:cs="宋体"/>
          <w:color w:val="000000"/>
          <w:spacing w:val="140"/>
          <w:sz w:val="28"/>
          <w:szCs w:val="28"/>
          <w:highlight w:val="none"/>
        </w:rPr>
        <w:t xml:space="preserve">   </w:t>
      </w:r>
    </w:p>
    <w:p w14:paraId="409BC99E">
      <w:pPr>
        <w:jc w:val="center"/>
        <w:rPr>
          <w:rFonts w:ascii="宋体" w:hAnsi="宋体" w:cs="宋体"/>
          <w:color w:val="000000"/>
          <w:sz w:val="72"/>
          <w:szCs w:val="72"/>
          <w:highlight w:val="none"/>
        </w:rPr>
      </w:pPr>
    </w:p>
    <w:p w14:paraId="6727570C">
      <w:pPr>
        <w:spacing w:line="540" w:lineRule="exact"/>
        <w:ind w:firstLine="437"/>
        <w:rPr>
          <w:rFonts w:ascii="宋体" w:hAnsi="宋体" w:cs="宋体"/>
          <w:color w:val="000000"/>
          <w:szCs w:val="21"/>
          <w:highlight w:val="none"/>
        </w:rPr>
      </w:pPr>
    </w:p>
    <w:p w14:paraId="1DD0A6C8">
      <w:pPr>
        <w:spacing w:line="540" w:lineRule="exact"/>
        <w:ind w:firstLine="437"/>
        <w:rPr>
          <w:rFonts w:ascii="宋体" w:hAnsi="宋体" w:cs="宋体"/>
          <w:color w:val="000000"/>
          <w:szCs w:val="21"/>
          <w:highlight w:val="none"/>
        </w:rPr>
      </w:pPr>
    </w:p>
    <w:p w14:paraId="180B5785">
      <w:pPr>
        <w:spacing w:line="540" w:lineRule="exact"/>
        <w:rPr>
          <w:rFonts w:ascii="宋体" w:hAnsi="宋体" w:cs="宋体"/>
          <w:color w:val="000000"/>
          <w:szCs w:val="21"/>
          <w:highlight w:val="none"/>
        </w:rPr>
      </w:pPr>
    </w:p>
    <w:p w14:paraId="32D30D95">
      <w:pPr>
        <w:rPr>
          <w:color w:val="000000"/>
          <w:highlight w:val="none"/>
        </w:rPr>
      </w:pPr>
    </w:p>
    <w:p w14:paraId="10B57B98">
      <w:pPr>
        <w:rPr>
          <w:color w:val="000000"/>
          <w:highlight w:val="none"/>
        </w:rPr>
      </w:pPr>
    </w:p>
    <w:p w14:paraId="3EC357F3">
      <w:pPr>
        <w:spacing w:line="540" w:lineRule="exact"/>
        <w:rPr>
          <w:rFonts w:ascii="宋体" w:hAnsi="宋体" w:cs="宋体"/>
          <w:color w:val="000000"/>
          <w:szCs w:val="21"/>
          <w:highlight w:val="none"/>
        </w:rPr>
      </w:pPr>
    </w:p>
    <w:p w14:paraId="0125AD05">
      <w:pPr>
        <w:spacing w:line="540" w:lineRule="exact"/>
        <w:ind w:firstLine="437"/>
        <w:rPr>
          <w:rFonts w:ascii="宋体" w:hAnsi="宋体" w:cs="宋体"/>
          <w:color w:val="000000"/>
          <w:szCs w:val="21"/>
          <w:highlight w:val="none"/>
        </w:rPr>
      </w:pPr>
    </w:p>
    <w:p w14:paraId="1477B96A">
      <w:pPr>
        <w:spacing w:line="540" w:lineRule="exact"/>
        <w:ind w:firstLine="437"/>
        <w:rPr>
          <w:rFonts w:ascii="宋体" w:hAnsi="宋体" w:cs="宋体"/>
          <w:color w:val="000000"/>
          <w:szCs w:val="21"/>
          <w:highlight w:val="none"/>
        </w:rPr>
      </w:pPr>
    </w:p>
    <w:p w14:paraId="0157DA08">
      <w:pPr>
        <w:spacing w:line="540" w:lineRule="exact"/>
        <w:ind w:firstLine="437"/>
        <w:rPr>
          <w:rFonts w:ascii="宋体" w:hAnsi="宋体" w:cs="宋体"/>
          <w:color w:val="000000"/>
          <w:szCs w:val="21"/>
          <w:highlight w:val="none"/>
        </w:rPr>
      </w:pPr>
    </w:p>
    <w:p w14:paraId="0D0CBAAE">
      <w:pPr>
        <w:spacing w:line="540" w:lineRule="exact"/>
        <w:rPr>
          <w:rFonts w:ascii="宋体" w:hAnsi="宋体" w:cs="宋体"/>
          <w:color w:val="000000"/>
          <w:szCs w:val="21"/>
          <w:highlight w:val="none"/>
        </w:rPr>
      </w:pPr>
    </w:p>
    <w:p w14:paraId="758A8801">
      <w:pPr>
        <w:adjustRightInd w:val="0"/>
        <w:snapToGrid w:val="0"/>
        <w:spacing w:line="480" w:lineRule="auto"/>
        <w:ind w:firstLine="437"/>
        <w:rPr>
          <w:rFonts w:ascii="宋体" w:hAnsi="宋体" w:cs="宋体"/>
          <w:color w:val="000000"/>
          <w:szCs w:val="21"/>
          <w:highlight w:val="none"/>
        </w:rPr>
      </w:pPr>
    </w:p>
    <w:p w14:paraId="5CE85644">
      <w:pPr>
        <w:adjustRightInd w:val="0"/>
        <w:snapToGrid w:val="0"/>
        <w:spacing w:line="480" w:lineRule="auto"/>
        <w:ind w:firstLine="960" w:firstLineChars="300"/>
        <w:rPr>
          <w:rFonts w:ascii="宋体" w:hAnsi="宋体" w:cs="宋体"/>
          <w:color w:val="000000"/>
          <w:sz w:val="32"/>
          <w:szCs w:val="32"/>
          <w:highlight w:val="none"/>
        </w:rPr>
      </w:pPr>
      <w:r>
        <w:rPr>
          <w:rFonts w:hint="eastAsia" w:ascii="宋体" w:hAnsi="宋体" w:cs="宋体"/>
          <w:color w:val="000000"/>
          <w:sz w:val="32"/>
          <w:szCs w:val="32"/>
          <w:highlight w:val="none"/>
        </w:rPr>
        <w:t>招标人：</w:t>
      </w:r>
      <w:r>
        <w:rPr>
          <w:rFonts w:hint="eastAsia" w:ascii="宋体" w:hAnsi="宋体" w:cs="宋体"/>
          <w:color w:val="000000"/>
          <w:sz w:val="32"/>
          <w:szCs w:val="32"/>
          <w:highlight w:val="none"/>
          <w:u w:val="single"/>
        </w:rPr>
        <w:t xml:space="preserve"> </w:t>
      </w:r>
      <w:r>
        <w:rPr>
          <w:rFonts w:hint="eastAsia" w:ascii="宋体" w:hAnsi="宋体" w:cs="宋体"/>
          <w:color w:val="000000"/>
          <w:sz w:val="32"/>
          <w:szCs w:val="32"/>
          <w:highlight w:val="none"/>
          <w:u w:val="single"/>
          <w:lang w:val="en-US" w:eastAsia="zh-CN"/>
        </w:rPr>
        <w:t xml:space="preserve"> </w:t>
      </w:r>
      <w:r>
        <w:rPr>
          <w:rFonts w:hint="eastAsia" w:ascii="宋体" w:hAnsi="宋体" w:eastAsia="宋体" w:cs="宋体"/>
          <w:color w:val="000000"/>
          <w:sz w:val="32"/>
          <w:szCs w:val="32"/>
          <w:highlight w:val="none"/>
          <w:u w:val="single"/>
          <w:lang w:val="en-US" w:eastAsia="zh-CN"/>
        </w:rPr>
        <w:t>滁州市亭城文化旅游投资集团有限公司</w:t>
      </w:r>
      <w:r>
        <w:rPr>
          <w:rFonts w:hint="eastAsia" w:ascii="宋体" w:hAnsi="宋体" w:cs="宋体"/>
          <w:color w:val="000000"/>
          <w:sz w:val="32"/>
          <w:szCs w:val="32"/>
          <w:highlight w:val="none"/>
          <w:u w:val="single"/>
        </w:rPr>
        <w:t xml:space="preserve"> </w:t>
      </w:r>
      <w:r>
        <w:rPr>
          <w:rFonts w:hint="eastAsia" w:ascii="宋体" w:hAnsi="宋体" w:cs="宋体"/>
          <w:color w:val="000000"/>
          <w:sz w:val="32"/>
          <w:szCs w:val="32"/>
          <w:highlight w:val="none"/>
        </w:rPr>
        <w:t>（盖章）</w:t>
      </w:r>
    </w:p>
    <w:p w14:paraId="47A4EE52">
      <w:pPr>
        <w:adjustRightInd w:val="0"/>
        <w:snapToGrid w:val="0"/>
        <w:spacing w:line="480" w:lineRule="auto"/>
        <w:ind w:firstLine="960" w:firstLineChars="300"/>
        <w:rPr>
          <w:rFonts w:ascii="宋体" w:hAnsi="宋体" w:cs="宋体"/>
          <w:color w:val="000000"/>
          <w:sz w:val="32"/>
          <w:szCs w:val="32"/>
          <w:highlight w:val="none"/>
        </w:rPr>
      </w:pPr>
      <w:r>
        <w:rPr>
          <w:rFonts w:hint="eastAsia" w:ascii="宋体" w:hAnsi="宋体" w:cs="宋体"/>
          <w:color w:val="000000"/>
          <w:sz w:val="32"/>
          <w:szCs w:val="32"/>
          <w:highlight w:val="none"/>
        </w:rPr>
        <w:t>招标代理机构：</w:t>
      </w:r>
      <w:r>
        <w:rPr>
          <w:rFonts w:hint="eastAsia" w:ascii="宋体" w:hAnsi="宋体" w:cs="宋体"/>
          <w:color w:val="000000"/>
          <w:sz w:val="32"/>
          <w:szCs w:val="32"/>
          <w:highlight w:val="none"/>
          <w:u w:val="single"/>
        </w:rPr>
        <w:t xml:space="preserve"> </w:t>
      </w:r>
      <w:r>
        <w:rPr>
          <w:rFonts w:hint="eastAsia" w:ascii="宋体" w:hAnsi="宋体" w:cs="宋体"/>
          <w:color w:val="000000"/>
          <w:sz w:val="32"/>
          <w:szCs w:val="32"/>
          <w:highlight w:val="none"/>
          <w:u w:val="single"/>
          <w:lang w:val="en-US" w:eastAsia="zh-CN"/>
        </w:rPr>
        <w:t>滁州市城投工程咨询管理有限公司</w:t>
      </w:r>
      <w:r>
        <w:rPr>
          <w:rFonts w:hint="eastAsia" w:ascii="宋体" w:hAnsi="宋体" w:cs="宋体"/>
          <w:color w:val="000000"/>
          <w:sz w:val="32"/>
          <w:szCs w:val="32"/>
          <w:highlight w:val="none"/>
          <w:u w:val="single"/>
        </w:rPr>
        <w:t xml:space="preserve"> </w:t>
      </w:r>
      <w:r>
        <w:rPr>
          <w:rFonts w:hint="eastAsia" w:ascii="宋体" w:hAnsi="宋体" w:cs="宋体"/>
          <w:color w:val="000000"/>
          <w:sz w:val="32"/>
          <w:szCs w:val="32"/>
          <w:highlight w:val="none"/>
        </w:rPr>
        <w:t>（盖章）</w:t>
      </w:r>
    </w:p>
    <w:p w14:paraId="71C9C4D3">
      <w:pPr>
        <w:rPr>
          <w:color w:val="000000"/>
          <w:highlight w:val="none"/>
        </w:rPr>
      </w:pPr>
    </w:p>
    <w:p w14:paraId="27F915AD">
      <w:pPr>
        <w:pStyle w:val="17"/>
        <w:rPr>
          <w:color w:val="000000"/>
          <w:highlight w:val="none"/>
        </w:rPr>
      </w:pPr>
    </w:p>
    <w:p w14:paraId="3C280DF1">
      <w:pPr>
        <w:jc w:val="center"/>
        <w:rPr>
          <w:rFonts w:ascii="宋体" w:hAnsi="宋体" w:cs="宋体"/>
          <w:color w:val="000000"/>
          <w:sz w:val="32"/>
          <w:szCs w:val="32"/>
          <w:highlight w:val="none"/>
        </w:rPr>
      </w:pPr>
      <w:r>
        <w:rPr>
          <w:rFonts w:hint="eastAsia" w:ascii="宋体" w:hAnsi="宋体" w:cs="宋体"/>
          <w:color w:val="000000"/>
          <w:sz w:val="32"/>
          <w:szCs w:val="32"/>
          <w:highlight w:val="none"/>
        </w:rPr>
        <w:t xml:space="preserve">   </w:t>
      </w:r>
      <w:r>
        <w:rPr>
          <w:rFonts w:hint="eastAsia" w:ascii="宋体" w:hAnsi="宋体" w:cs="宋体"/>
          <w:color w:val="000000"/>
          <w:sz w:val="32"/>
          <w:szCs w:val="32"/>
          <w:highlight w:val="none"/>
          <w:u w:val="single"/>
          <w:lang w:val="en-US" w:eastAsia="zh-CN"/>
        </w:rPr>
        <w:t>2025</w:t>
      </w:r>
      <w:r>
        <w:rPr>
          <w:rFonts w:hint="eastAsia" w:ascii="宋体" w:hAnsi="宋体" w:cs="宋体"/>
          <w:color w:val="000000"/>
          <w:sz w:val="32"/>
          <w:szCs w:val="32"/>
          <w:highlight w:val="none"/>
        </w:rPr>
        <w:t>年</w:t>
      </w:r>
      <w:r>
        <w:rPr>
          <w:rFonts w:hint="eastAsia" w:ascii="宋体" w:hAnsi="宋体" w:cs="宋体"/>
          <w:color w:val="000000"/>
          <w:sz w:val="32"/>
          <w:szCs w:val="32"/>
          <w:highlight w:val="none"/>
          <w:u w:val="single"/>
          <w:lang w:val="en-US" w:eastAsia="zh-CN"/>
        </w:rPr>
        <w:t>6</w:t>
      </w:r>
      <w:r>
        <w:rPr>
          <w:rFonts w:hint="eastAsia" w:ascii="宋体" w:hAnsi="宋体" w:cs="宋体"/>
          <w:color w:val="000000"/>
          <w:sz w:val="32"/>
          <w:szCs w:val="32"/>
          <w:highlight w:val="none"/>
        </w:rPr>
        <w:t>月</w:t>
      </w:r>
      <w:r>
        <w:rPr>
          <w:rFonts w:hint="eastAsia" w:ascii="宋体" w:hAnsi="宋体" w:cs="宋体"/>
          <w:color w:val="000000"/>
          <w:sz w:val="32"/>
          <w:szCs w:val="32"/>
          <w:highlight w:val="none"/>
          <w:u w:val="single"/>
          <w:lang w:val="en-US" w:eastAsia="zh-CN"/>
        </w:rPr>
        <w:t>20</w:t>
      </w:r>
      <w:r>
        <w:rPr>
          <w:rFonts w:hint="eastAsia" w:ascii="宋体" w:hAnsi="宋体" w:cs="宋体"/>
          <w:color w:val="000000"/>
          <w:sz w:val="32"/>
          <w:szCs w:val="32"/>
          <w:highlight w:val="none"/>
        </w:rPr>
        <w:t>日</w:t>
      </w:r>
    </w:p>
    <w:p w14:paraId="13246F54">
      <w:pPr>
        <w:pStyle w:val="17"/>
        <w:rPr>
          <w:color w:val="000000"/>
          <w:highlight w:val="none"/>
        </w:rPr>
      </w:pPr>
    </w:p>
    <w:p w14:paraId="0F37CD2A">
      <w:pPr>
        <w:rPr>
          <w:color w:val="000000"/>
          <w:sz w:val="52"/>
          <w:highlight w:val="none"/>
          <w:lang w:val="zh-CN"/>
        </w:rPr>
      </w:pPr>
      <w:r>
        <w:rPr>
          <w:color w:val="000000"/>
          <w:sz w:val="52"/>
          <w:highlight w:val="none"/>
          <w:lang w:val="zh-CN"/>
        </w:rPr>
        <w:br w:type="page"/>
      </w:r>
    </w:p>
    <w:p w14:paraId="191C0F2B">
      <w:pPr>
        <w:pStyle w:val="33"/>
        <w:adjustRightInd w:val="0"/>
        <w:snapToGrid w:val="0"/>
        <w:spacing w:before="0" w:line="240" w:lineRule="auto"/>
        <w:ind w:right="210" w:rightChars="100"/>
        <w:jc w:val="center"/>
        <w:rPr>
          <w:color w:val="000000"/>
          <w:sz w:val="52"/>
          <w:highlight w:val="none"/>
        </w:rPr>
      </w:pPr>
      <w:r>
        <w:rPr>
          <w:color w:val="000000"/>
          <w:sz w:val="52"/>
          <w:highlight w:val="none"/>
          <w:lang w:val="zh-CN"/>
        </w:rPr>
        <w:t>目</w:t>
      </w:r>
      <w:r>
        <w:rPr>
          <w:rFonts w:hint="eastAsia"/>
          <w:color w:val="000000"/>
          <w:sz w:val="52"/>
          <w:highlight w:val="none"/>
          <w:lang w:val="zh-CN"/>
        </w:rPr>
        <w:t xml:space="preserve">  </w:t>
      </w:r>
      <w:r>
        <w:rPr>
          <w:color w:val="000000"/>
          <w:sz w:val="52"/>
          <w:highlight w:val="none"/>
          <w:lang w:val="zh-CN"/>
        </w:rPr>
        <w:t>录</w:t>
      </w:r>
    </w:p>
    <w:p w14:paraId="28FB0A25">
      <w:pPr>
        <w:pStyle w:val="14"/>
        <w:tabs>
          <w:tab w:val="right" w:leader="dot" w:pos="10120"/>
        </w:tabs>
        <w:rPr>
          <w:rFonts w:ascii="Calibri" w:hAnsi="Calibri"/>
          <w:b w:val="0"/>
          <w:bCs w:val="0"/>
          <w:caps w:val="0"/>
          <w:color w:val="000000"/>
          <w:sz w:val="32"/>
          <w:szCs w:val="22"/>
          <w:highlight w:val="none"/>
        </w:rPr>
      </w:pPr>
      <w:r>
        <w:rPr>
          <w:color w:val="000000"/>
          <w:highlight w:val="none"/>
        </w:rPr>
        <w:fldChar w:fldCharType="begin"/>
      </w:r>
      <w:r>
        <w:rPr>
          <w:color w:val="000000"/>
          <w:highlight w:val="none"/>
        </w:rPr>
        <w:instrText xml:space="preserve"> TOC \o "1-3" \h \z \u </w:instrText>
      </w:r>
      <w:r>
        <w:rPr>
          <w:color w:val="000000"/>
          <w:highlight w:val="none"/>
        </w:rPr>
        <w:fldChar w:fldCharType="separate"/>
      </w:r>
      <w:r>
        <w:rPr>
          <w:highlight w:val="none"/>
        </w:rPr>
        <w:fldChar w:fldCharType="begin"/>
      </w:r>
      <w:r>
        <w:rPr>
          <w:highlight w:val="none"/>
        </w:rPr>
        <w:instrText xml:space="preserve"> HYPERLINK \l "_Toc95223332" </w:instrText>
      </w:r>
      <w:r>
        <w:rPr>
          <w:highlight w:val="none"/>
        </w:rPr>
        <w:fldChar w:fldCharType="separate"/>
      </w:r>
      <w:r>
        <w:rPr>
          <w:rStyle w:val="27"/>
          <w:rFonts w:hint="eastAsia"/>
          <w:color w:val="000000"/>
          <w:sz w:val="28"/>
          <w:highlight w:val="none"/>
        </w:rPr>
        <w:t>第一章</w:t>
      </w:r>
      <w:r>
        <w:rPr>
          <w:rStyle w:val="27"/>
          <w:color w:val="000000"/>
          <w:sz w:val="28"/>
          <w:highlight w:val="none"/>
        </w:rPr>
        <w:t xml:space="preserve"> </w:t>
      </w:r>
      <w:r>
        <w:rPr>
          <w:rStyle w:val="27"/>
          <w:rFonts w:hint="eastAsia"/>
          <w:color w:val="000000"/>
          <w:sz w:val="28"/>
          <w:highlight w:val="none"/>
          <w:lang w:val="en-US" w:eastAsia="zh-CN"/>
        </w:rPr>
        <w:t xml:space="preserve"> </w:t>
      </w:r>
      <w:r>
        <w:rPr>
          <w:rStyle w:val="27"/>
          <w:rFonts w:hint="eastAsia"/>
          <w:color w:val="000000"/>
          <w:sz w:val="28"/>
          <w:highlight w:val="none"/>
        </w:rPr>
        <w:t>招标公告</w:t>
      </w:r>
      <w:r>
        <w:rPr>
          <w:color w:val="000000"/>
          <w:sz w:val="28"/>
          <w:highlight w:val="none"/>
        </w:rPr>
        <w:tab/>
      </w:r>
      <w:r>
        <w:rPr>
          <w:color w:val="000000"/>
          <w:sz w:val="28"/>
          <w:highlight w:val="none"/>
        </w:rPr>
        <w:fldChar w:fldCharType="begin"/>
      </w:r>
      <w:r>
        <w:rPr>
          <w:color w:val="000000"/>
          <w:sz w:val="28"/>
          <w:highlight w:val="none"/>
        </w:rPr>
        <w:instrText xml:space="preserve"> PAGEREF _Toc95223332 \h </w:instrText>
      </w:r>
      <w:r>
        <w:rPr>
          <w:color w:val="000000"/>
          <w:sz w:val="28"/>
          <w:highlight w:val="none"/>
        </w:rPr>
        <w:fldChar w:fldCharType="separate"/>
      </w:r>
      <w:r>
        <w:rPr>
          <w:color w:val="000000"/>
          <w:sz w:val="28"/>
          <w:highlight w:val="none"/>
        </w:rPr>
        <w:t>1</w:t>
      </w:r>
      <w:r>
        <w:rPr>
          <w:color w:val="000000"/>
          <w:sz w:val="28"/>
          <w:highlight w:val="none"/>
        </w:rPr>
        <w:fldChar w:fldCharType="end"/>
      </w:r>
      <w:r>
        <w:rPr>
          <w:color w:val="000000"/>
          <w:sz w:val="28"/>
          <w:highlight w:val="none"/>
        </w:rPr>
        <w:fldChar w:fldCharType="end"/>
      </w:r>
    </w:p>
    <w:p w14:paraId="1CB9B972">
      <w:pPr>
        <w:pStyle w:val="14"/>
        <w:tabs>
          <w:tab w:val="right" w:leader="dot" w:pos="10120"/>
        </w:tabs>
        <w:rPr>
          <w:rFonts w:ascii="Calibri" w:hAnsi="Calibri"/>
          <w:b w:val="0"/>
          <w:bCs w:val="0"/>
          <w:caps w:val="0"/>
          <w:color w:val="000000"/>
          <w:sz w:val="32"/>
          <w:szCs w:val="22"/>
          <w:highlight w:val="none"/>
        </w:rPr>
      </w:pPr>
      <w:r>
        <w:rPr>
          <w:highlight w:val="none"/>
        </w:rPr>
        <w:fldChar w:fldCharType="begin"/>
      </w:r>
      <w:r>
        <w:rPr>
          <w:highlight w:val="none"/>
        </w:rPr>
        <w:instrText xml:space="preserve"> HYPERLINK \l "_Toc95223333" </w:instrText>
      </w:r>
      <w:r>
        <w:rPr>
          <w:highlight w:val="none"/>
        </w:rPr>
        <w:fldChar w:fldCharType="separate"/>
      </w:r>
      <w:r>
        <w:rPr>
          <w:rStyle w:val="27"/>
          <w:rFonts w:hint="eastAsia"/>
          <w:color w:val="000000"/>
          <w:sz w:val="28"/>
          <w:highlight w:val="none"/>
        </w:rPr>
        <w:t>第二章</w:t>
      </w:r>
      <w:r>
        <w:rPr>
          <w:rStyle w:val="27"/>
          <w:color w:val="000000"/>
          <w:sz w:val="28"/>
          <w:highlight w:val="none"/>
        </w:rPr>
        <w:t xml:space="preserve"> </w:t>
      </w:r>
      <w:r>
        <w:rPr>
          <w:rStyle w:val="27"/>
          <w:rFonts w:hint="eastAsia"/>
          <w:color w:val="000000"/>
          <w:sz w:val="28"/>
          <w:highlight w:val="none"/>
          <w:lang w:val="en-US" w:eastAsia="zh-CN"/>
        </w:rPr>
        <w:t xml:space="preserve"> </w:t>
      </w:r>
      <w:r>
        <w:rPr>
          <w:rStyle w:val="27"/>
          <w:rFonts w:hint="eastAsia"/>
          <w:color w:val="000000"/>
          <w:sz w:val="28"/>
          <w:highlight w:val="none"/>
        </w:rPr>
        <w:t>投标人须知</w:t>
      </w:r>
      <w:r>
        <w:rPr>
          <w:color w:val="000000"/>
          <w:sz w:val="28"/>
          <w:highlight w:val="none"/>
        </w:rPr>
        <w:tab/>
      </w:r>
      <w:r>
        <w:rPr>
          <w:rFonts w:hint="eastAsia"/>
          <w:color w:val="000000"/>
          <w:sz w:val="28"/>
          <w:highlight w:val="none"/>
          <w:lang w:val="en-US" w:eastAsia="zh-CN"/>
        </w:rPr>
        <w:t>8</w:t>
      </w:r>
      <w:r>
        <w:rPr>
          <w:color w:val="000000"/>
          <w:sz w:val="28"/>
          <w:highlight w:val="none"/>
        </w:rPr>
        <w:fldChar w:fldCharType="end"/>
      </w:r>
    </w:p>
    <w:p w14:paraId="21D3D9EA">
      <w:pPr>
        <w:pStyle w:val="14"/>
        <w:tabs>
          <w:tab w:val="right" w:leader="dot" w:pos="10120"/>
        </w:tabs>
        <w:rPr>
          <w:rFonts w:hint="default" w:ascii="Calibri" w:hAnsi="Calibri" w:eastAsia="宋体"/>
          <w:b w:val="0"/>
          <w:bCs w:val="0"/>
          <w:caps w:val="0"/>
          <w:color w:val="000000"/>
          <w:sz w:val="32"/>
          <w:szCs w:val="22"/>
          <w:highlight w:val="none"/>
          <w:lang w:val="en-US" w:eastAsia="zh-CN"/>
        </w:rPr>
      </w:pPr>
      <w:r>
        <w:rPr>
          <w:highlight w:val="none"/>
        </w:rPr>
        <w:fldChar w:fldCharType="begin"/>
      </w:r>
      <w:r>
        <w:rPr>
          <w:highlight w:val="none"/>
        </w:rPr>
        <w:instrText xml:space="preserve"> HYPERLINK \l "_Toc95223391" </w:instrText>
      </w:r>
      <w:r>
        <w:rPr>
          <w:highlight w:val="none"/>
        </w:rPr>
        <w:fldChar w:fldCharType="separate"/>
      </w:r>
      <w:r>
        <w:rPr>
          <w:rStyle w:val="27"/>
          <w:rFonts w:hint="eastAsia"/>
          <w:color w:val="000000"/>
          <w:sz w:val="28"/>
          <w:highlight w:val="none"/>
        </w:rPr>
        <w:t>第三章</w:t>
      </w:r>
      <w:r>
        <w:rPr>
          <w:rStyle w:val="27"/>
          <w:color w:val="000000"/>
          <w:sz w:val="28"/>
          <w:highlight w:val="none"/>
        </w:rPr>
        <w:t xml:space="preserve"> </w:t>
      </w:r>
      <w:r>
        <w:rPr>
          <w:rStyle w:val="27"/>
          <w:rFonts w:hint="eastAsia"/>
          <w:color w:val="000000"/>
          <w:sz w:val="28"/>
          <w:highlight w:val="none"/>
          <w:lang w:val="en-US" w:eastAsia="zh-CN"/>
        </w:rPr>
        <w:t xml:space="preserve"> </w:t>
      </w:r>
      <w:r>
        <w:rPr>
          <w:rStyle w:val="27"/>
          <w:rFonts w:hint="eastAsia"/>
          <w:color w:val="000000"/>
          <w:sz w:val="28"/>
          <w:highlight w:val="none"/>
        </w:rPr>
        <w:t>资格审查办法</w:t>
      </w:r>
      <w:r>
        <w:rPr>
          <w:color w:val="000000"/>
          <w:sz w:val="28"/>
          <w:highlight w:val="none"/>
        </w:rPr>
        <w:tab/>
      </w:r>
      <w:r>
        <w:rPr>
          <w:color w:val="000000"/>
          <w:sz w:val="28"/>
          <w:highlight w:val="none"/>
        </w:rPr>
        <w:fldChar w:fldCharType="end"/>
      </w:r>
      <w:r>
        <w:rPr>
          <w:rFonts w:hint="eastAsia"/>
          <w:color w:val="000000"/>
          <w:sz w:val="28"/>
          <w:highlight w:val="none"/>
          <w:lang w:val="en-US" w:eastAsia="zh-CN"/>
        </w:rPr>
        <w:t>35</w:t>
      </w:r>
    </w:p>
    <w:p w14:paraId="25492344">
      <w:pPr>
        <w:pStyle w:val="14"/>
        <w:tabs>
          <w:tab w:val="right" w:leader="dot" w:pos="10120"/>
        </w:tabs>
        <w:rPr>
          <w:rFonts w:hint="eastAsia" w:ascii="Calibri" w:hAnsi="Calibri" w:eastAsia="宋体"/>
          <w:b w:val="0"/>
          <w:bCs w:val="0"/>
          <w:caps w:val="0"/>
          <w:color w:val="000000"/>
          <w:sz w:val="32"/>
          <w:szCs w:val="22"/>
          <w:highlight w:val="none"/>
          <w:lang w:val="en-US" w:eastAsia="zh-CN"/>
        </w:rPr>
      </w:pPr>
      <w:r>
        <w:rPr>
          <w:highlight w:val="none"/>
        </w:rPr>
        <w:fldChar w:fldCharType="begin"/>
      </w:r>
      <w:r>
        <w:rPr>
          <w:highlight w:val="none"/>
        </w:rPr>
        <w:instrText xml:space="preserve"> HYPERLINK \l "_Toc95223443" </w:instrText>
      </w:r>
      <w:r>
        <w:rPr>
          <w:highlight w:val="none"/>
        </w:rPr>
        <w:fldChar w:fldCharType="separate"/>
      </w:r>
      <w:r>
        <w:rPr>
          <w:rStyle w:val="27"/>
          <w:rFonts w:hint="eastAsia"/>
          <w:color w:val="000000"/>
          <w:sz w:val="28"/>
          <w:highlight w:val="none"/>
        </w:rPr>
        <w:t>第四章</w:t>
      </w:r>
      <w:r>
        <w:rPr>
          <w:rStyle w:val="27"/>
          <w:color w:val="000000"/>
          <w:sz w:val="28"/>
          <w:highlight w:val="none"/>
        </w:rPr>
        <w:t xml:space="preserve"> </w:t>
      </w:r>
      <w:r>
        <w:rPr>
          <w:rStyle w:val="27"/>
          <w:rFonts w:hint="eastAsia"/>
          <w:color w:val="000000"/>
          <w:sz w:val="28"/>
          <w:highlight w:val="none"/>
          <w:lang w:val="en-US" w:eastAsia="zh-CN"/>
        </w:rPr>
        <w:t xml:space="preserve"> </w:t>
      </w:r>
      <w:r>
        <w:rPr>
          <w:rStyle w:val="27"/>
          <w:rFonts w:hint="eastAsia"/>
          <w:color w:val="000000"/>
          <w:sz w:val="28"/>
          <w:highlight w:val="none"/>
        </w:rPr>
        <w:t>评标办法（综合评估法）</w:t>
      </w:r>
      <w:r>
        <w:rPr>
          <w:color w:val="000000"/>
          <w:sz w:val="28"/>
          <w:highlight w:val="none"/>
        </w:rPr>
        <w:tab/>
      </w:r>
      <w:r>
        <w:rPr>
          <w:rFonts w:hint="eastAsia"/>
          <w:color w:val="000000"/>
          <w:sz w:val="28"/>
          <w:highlight w:val="none"/>
          <w:lang w:val="en-US" w:eastAsia="zh-CN"/>
        </w:rPr>
        <w:t>3</w:t>
      </w:r>
      <w:r>
        <w:rPr>
          <w:color w:val="000000"/>
          <w:sz w:val="28"/>
          <w:highlight w:val="none"/>
        </w:rPr>
        <w:fldChar w:fldCharType="end"/>
      </w:r>
      <w:r>
        <w:rPr>
          <w:rFonts w:hint="eastAsia"/>
          <w:color w:val="000000"/>
          <w:sz w:val="28"/>
          <w:highlight w:val="none"/>
          <w:lang w:val="en-US" w:eastAsia="zh-CN"/>
        </w:rPr>
        <w:t>9</w:t>
      </w:r>
    </w:p>
    <w:p w14:paraId="2A9D49A3">
      <w:pPr>
        <w:pStyle w:val="14"/>
        <w:tabs>
          <w:tab w:val="right" w:leader="dot" w:pos="10120"/>
        </w:tabs>
        <w:rPr>
          <w:rFonts w:hint="eastAsia" w:ascii="Calibri" w:hAnsi="Calibri" w:eastAsia="宋体"/>
          <w:b w:val="0"/>
          <w:bCs w:val="0"/>
          <w:caps w:val="0"/>
          <w:color w:val="000000"/>
          <w:sz w:val="32"/>
          <w:szCs w:val="22"/>
          <w:highlight w:val="none"/>
          <w:lang w:val="en-US" w:eastAsia="zh-CN"/>
        </w:rPr>
      </w:pPr>
      <w:r>
        <w:rPr>
          <w:highlight w:val="none"/>
        </w:rPr>
        <w:fldChar w:fldCharType="begin"/>
      </w:r>
      <w:r>
        <w:rPr>
          <w:highlight w:val="none"/>
        </w:rPr>
        <w:instrText xml:space="preserve"> HYPERLINK \l "_Toc95223458" </w:instrText>
      </w:r>
      <w:r>
        <w:rPr>
          <w:highlight w:val="none"/>
        </w:rPr>
        <w:fldChar w:fldCharType="separate"/>
      </w:r>
      <w:r>
        <w:rPr>
          <w:rStyle w:val="27"/>
          <w:rFonts w:hint="eastAsia"/>
          <w:color w:val="000000"/>
          <w:sz w:val="28"/>
          <w:highlight w:val="none"/>
        </w:rPr>
        <w:t>第五章</w:t>
      </w:r>
      <w:r>
        <w:rPr>
          <w:rStyle w:val="27"/>
          <w:color w:val="000000"/>
          <w:sz w:val="28"/>
          <w:highlight w:val="none"/>
        </w:rPr>
        <w:t xml:space="preserve"> </w:t>
      </w:r>
      <w:r>
        <w:rPr>
          <w:rStyle w:val="27"/>
          <w:rFonts w:hint="eastAsia"/>
          <w:color w:val="000000"/>
          <w:sz w:val="28"/>
          <w:highlight w:val="none"/>
          <w:lang w:val="en-US" w:eastAsia="zh-CN"/>
        </w:rPr>
        <w:t xml:space="preserve"> </w:t>
      </w:r>
      <w:r>
        <w:rPr>
          <w:rStyle w:val="27"/>
          <w:rFonts w:hint="eastAsia"/>
          <w:color w:val="000000"/>
          <w:sz w:val="28"/>
          <w:highlight w:val="none"/>
        </w:rPr>
        <w:t>合同条款及格式</w:t>
      </w:r>
      <w:r>
        <w:rPr>
          <w:color w:val="000000"/>
          <w:sz w:val="28"/>
          <w:highlight w:val="none"/>
        </w:rPr>
        <w:tab/>
      </w:r>
      <w:r>
        <w:rPr>
          <w:rFonts w:hint="eastAsia"/>
          <w:color w:val="000000"/>
          <w:sz w:val="28"/>
          <w:highlight w:val="none"/>
          <w:lang w:val="en-US" w:eastAsia="zh-CN"/>
        </w:rPr>
        <w:t>5</w:t>
      </w:r>
      <w:r>
        <w:rPr>
          <w:color w:val="000000"/>
          <w:sz w:val="28"/>
          <w:highlight w:val="none"/>
        </w:rPr>
        <w:fldChar w:fldCharType="end"/>
      </w:r>
      <w:r>
        <w:rPr>
          <w:rFonts w:hint="eastAsia"/>
          <w:color w:val="000000"/>
          <w:sz w:val="28"/>
          <w:highlight w:val="none"/>
          <w:lang w:val="en-US" w:eastAsia="zh-CN"/>
        </w:rPr>
        <w:t>4</w:t>
      </w:r>
    </w:p>
    <w:p w14:paraId="6CCA04DC">
      <w:pPr>
        <w:pStyle w:val="14"/>
        <w:tabs>
          <w:tab w:val="right" w:leader="dot" w:pos="10120"/>
        </w:tabs>
        <w:rPr>
          <w:rFonts w:hint="default" w:ascii="Calibri" w:hAnsi="Calibri" w:eastAsia="宋体"/>
          <w:b w:val="0"/>
          <w:bCs w:val="0"/>
          <w:caps w:val="0"/>
          <w:color w:val="000000"/>
          <w:sz w:val="32"/>
          <w:szCs w:val="22"/>
          <w:highlight w:val="none"/>
          <w:lang w:val="en-US" w:eastAsia="zh-CN"/>
        </w:rPr>
      </w:pPr>
      <w:r>
        <w:rPr>
          <w:highlight w:val="none"/>
        </w:rPr>
        <w:fldChar w:fldCharType="begin"/>
      </w:r>
      <w:r>
        <w:rPr>
          <w:highlight w:val="none"/>
        </w:rPr>
        <w:instrText xml:space="preserve"> HYPERLINK \l "_Toc95223515" </w:instrText>
      </w:r>
      <w:r>
        <w:rPr>
          <w:highlight w:val="none"/>
        </w:rPr>
        <w:fldChar w:fldCharType="separate"/>
      </w:r>
      <w:r>
        <w:rPr>
          <w:rStyle w:val="27"/>
          <w:rFonts w:hint="eastAsia" w:ascii="宋体" w:hAnsi="宋体" w:cs="宋体"/>
          <w:color w:val="000000"/>
          <w:kern w:val="44"/>
          <w:sz w:val="28"/>
          <w:highlight w:val="none"/>
        </w:rPr>
        <w:t xml:space="preserve">第六章 </w:t>
      </w:r>
      <w:r>
        <w:rPr>
          <w:rStyle w:val="27"/>
          <w:rFonts w:hint="eastAsia" w:ascii="宋体" w:hAnsi="宋体" w:cs="宋体"/>
          <w:color w:val="000000"/>
          <w:kern w:val="44"/>
          <w:sz w:val="28"/>
          <w:highlight w:val="none"/>
          <w:lang w:val="en-US" w:eastAsia="zh-CN"/>
        </w:rPr>
        <w:t xml:space="preserve"> </w:t>
      </w:r>
      <w:r>
        <w:rPr>
          <w:rStyle w:val="27"/>
          <w:rFonts w:hint="eastAsia" w:ascii="宋体" w:hAnsi="宋体" w:cs="宋体"/>
          <w:color w:val="000000"/>
          <w:kern w:val="44"/>
          <w:sz w:val="28"/>
          <w:highlight w:val="none"/>
        </w:rPr>
        <w:t>工程量清单</w:t>
      </w:r>
      <w:r>
        <w:rPr>
          <w:color w:val="000000"/>
          <w:sz w:val="28"/>
          <w:highlight w:val="none"/>
        </w:rPr>
        <w:tab/>
      </w:r>
      <w:r>
        <w:rPr>
          <w:rFonts w:hint="eastAsia"/>
          <w:color w:val="000000"/>
          <w:sz w:val="28"/>
          <w:highlight w:val="none"/>
          <w:lang w:val="en-US" w:eastAsia="zh-CN"/>
        </w:rPr>
        <w:t>1</w:t>
      </w:r>
      <w:r>
        <w:rPr>
          <w:color w:val="000000"/>
          <w:sz w:val="28"/>
          <w:highlight w:val="none"/>
        </w:rPr>
        <w:fldChar w:fldCharType="end"/>
      </w:r>
      <w:r>
        <w:rPr>
          <w:rFonts w:hint="eastAsia"/>
          <w:color w:val="000000"/>
          <w:sz w:val="28"/>
          <w:highlight w:val="none"/>
          <w:lang w:val="en-US" w:eastAsia="zh-CN"/>
        </w:rPr>
        <w:t>11</w:t>
      </w:r>
    </w:p>
    <w:p w14:paraId="1B24535F">
      <w:pPr>
        <w:pStyle w:val="14"/>
        <w:tabs>
          <w:tab w:val="right" w:leader="dot" w:pos="10120"/>
        </w:tabs>
        <w:rPr>
          <w:rFonts w:hint="default" w:ascii="Calibri" w:hAnsi="Calibri" w:eastAsia="宋体"/>
          <w:b w:val="0"/>
          <w:bCs w:val="0"/>
          <w:caps w:val="0"/>
          <w:color w:val="000000"/>
          <w:sz w:val="32"/>
          <w:szCs w:val="22"/>
          <w:highlight w:val="none"/>
          <w:lang w:val="en-US" w:eastAsia="zh-CN"/>
        </w:rPr>
      </w:pPr>
      <w:r>
        <w:rPr>
          <w:highlight w:val="none"/>
        </w:rPr>
        <w:fldChar w:fldCharType="begin"/>
      </w:r>
      <w:r>
        <w:rPr>
          <w:highlight w:val="none"/>
        </w:rPr>
        <w:instrText xml:space="preserve"> HYPERLINK \l "_Toc95223522" </w:instrText>
      </w:r>
      <w:r>
        <w:rPr>
          <w:highlight w:val="none"/>
        </w:rPr>
        <w:fldChar w:fldCharType="separate"/>
      </w:r>
      <w:r>
        <w:rPr>
          <w:rStyle w:val="27"/>
          <w:rFonts w:hint="eastAsia" w:ascii="宋体" w:hAnsi="宋体" w:cs="宋体"/>
          <w:color w:val="000000"/>
          <w:kern w:val="44"/>
          <w:sz w:val="28"/>
          <w:highlight w:val="none"/>
        </w:rPr>
        <w:t>第七章</w:t>
      </w:r>
      <w:r>
        <w:rPr>
          <w:rStyle w:val="27"/>
          <w:rFonts w:ascii="宋体" w:hAnsi="宋体" w:cs="宋体"/>
          <w:color w:val="000000"/>
          <w:kern w:val="44"/>
          <w:sz w:val="28"/>
          <w:highlight w:val="none"/>
        </w:rPr>
        <w:t xml:space="preserve"> </w:t>
      </w:r>
      <w:r>
        <w:rPr>
          <w:rStyle w:val="27"/>
          <w:rFonts w:hint="eastAsia" w:ascii="宋体" w:hAnsi="宋体" w:cs="宋体"/>
          <w:color w:val="000000"/>
          <w:kern w:val="44"/>
          <w:sz w:val="28"/>
          <w:highlight w:val="none"/>
          <w:lang w:val="en-US" w:eastAsia="zh-CN"/>
        </w:rPr>
        <w:t xml:space="preserve"> </w:t>
      </w:r>
      <w:r>
        <w:rPr>
          <w:rStyle w:val="27"/>
          <w:rFonts w:hint="eastAsia" w:ascii="宋体" w:hAnsi="宋体" w:cs="宋体"/>
          <w:color w:val="000000"/>
          <w:kern w:val="44"/>
          <w:sz w:val="28"/>
          <w:highlight w:val="none"/>
        </w:rPr>
        <w:t>图</w:t>
      </w:r>
      <w:r>
        <w:rPr>
          <w:rStyle w:val="27"/>
          <w:rFonts w:ascii="宋体" w:hAnsi="宋体" w:cs="宋体"/>
          <w:color w:val="000000"/>
          <w:kern w:val="44"/>
          <w:sz w:val="28"/>
          <w:highlight w:val="none"/>
        </w:rPr>
        <w:t xml:space="preserve">  </w:t>
      </w:r>
      <w:r>
        <w:rPr>
          <w:rStyle w:val="27"/>
          <w:rFonts w:hint="eastAsia" w:ascii="宋体" w:hAnsi="宋体" w:cs="宋体"/>
          <w:color w:val="000000"/>
          <w:kern w:val="44"/>
          <w:sz w:val="28"/>
          <w:highlight w:val="none"/>
        </w:rPr>
        <w:t>纸</w:t>
      </w:r>
      <w:r>
        <w:rPr>
          <w:color w:val="000000"/>
          <w:sz w:val="28"/>
          <w:highlight w:val="none"/>
        </w:rPr>
        <w:tab/>
      </w:r>
      <w:r>
        <w:rPr>
          <w:rFonts w:hint="eastAsia"/>
          <w:color w:val="000000"/>
          <w:sz w:val="28"/>
          <w:highlight w:val="none"/>
          <w:lang w:val="en-US" w:eastAsia="zh-CN"/>
        </w:rPr>
        <w:t>1</w:t>
      </w:r>
      <w:r>
        <w:rPr>
          <w:color w:val="000000"/>
          <w:sz w:val="28"/>
          <w:highlight w:val="none"/>
        </w:rPr>
        <w:fldChar w:fldCharType="end"/>
      </w:r>
      <w:r>
        <w:rPr>
          <w:rFonts w:hint="eastAsia"/>
          <w:color w:val="000000"/>
          <w:sz w:val="28"/>
          <w:highlight w:val="none"/>
          <w:lang w:val="en-US" w:eastAsia="zh-CN"/>
        </w:rPr>
        <w:t>15</w:t>
      </w:r>
    </w:p>
    <w:p w14:paraId="0D094A96">
      <w:pPr>
        <w:pStyle w:val="14"/>
        <w:tabs>
          <w:tab w:val="right" w:leader="dot" w:pos="10120"/>
        </w:tabs>
        <w:rPr>
          <w:rFonts w:ascii="Calibri" w:hAnsi="Calibri"/>
          <w:b w:val="0"/>
          <w:bCs w:val="0"/>
          <w:caps w:val="0"/>
          <w:color w:val="000000"/>
          <w:sz w:val="32"/>
          <w:szCs w:val="22"/>
          <w:highlight w:val="none"/>
        </w:rPr>
      </w:pPr>
      <w:r>
        <w:rPr>
          <w:highlight w:val="none"/>
        </w:rPr>
        <w:fldChar w:fldCharType="begin"/>
      </w:r>
      <w:r>
        <w:rPr>
          <w:highlight w:val="none"/>
        </w:rPr>
        <w:instrText xml:space="preserve"> HYPERLINK \l "_Toc95223525" </w:instrText>
      </w:r>
      <w:r>
        <w:rPr>
          <w:highlight w:val="none"/>
        </w:rPr>
        <w:fldChar w:fldCharType="separate"/>
      </w:r>
      <w:r>
        <w:rPr>
          <w:rStyle w:val="27"/>
          <w:rFonts w:hint="eastAsia" w:ascii="宋体" w:hAnsi="宋体" w:cs="宋体"/>
          <w:color w:val="000000"/>
          <w:kern w:val="44"/>
          <w:sz w:val="28"/>
          <w:highlight w:val="none"/>
        </w:rPr>
        <w:t xml:space="preserve">第八章 </w:t>
      </w:r>
      <w:r>
        <w:rPr>
          <w:rStyle w:val="27"/>
          <w:rFonts w:hint="eastAsia" w:ascii="宋体" w:hAnsi="宋体" w:cs="宋体"/>
          <w:color w:val="000000"/>
          <w:kern w:val="44"/>
          <w:sz w:val="28"/>
          <w:highlight w:val="none"/>
          <w:lang w:val="en-US" w:eastAsia="zh-CN"/>
        </w:rPr>
        <w:t xml:space="preserve"> </w:t>
      </w:r>
      <w:r>
        <w:rPr>
          <w:rStyle w:val="27"/>
          <w:rFonts w:hint="eastAsia" w:ascii="宋体" w:hAnsi="宋体" w:cs="宋体"/>
          <w:color w:val="000000"/>
          <w:kern w:val="44"/>
          <w:sz w:val="28"/>
          <w:highlight w:val="none"/>
        </w:rPr>
        <w:t>技术标准和要求</w:t>
      </w:r>
      <w:r>
        <w:rPr>
          <w:color w:val="000000"/>
          <w:sz w:val="28"/>
          <w:highlight w:val="none"/>
        </w:rPr>
        <w:tab/>
      </w:r>
      <w:r>
        <w:rPr>
          <w:color w:val="000000"/>
          <w:sz w:val="28"/>
          <w:highlight w:val="none"/>
        </w:rPr>
        <w:fldChar w:fldCharType="begin"/>
      </w:r>
      <w:r>
        <w:rPr>
          <w:color w:val="000000"/>
          <w:sz w:val="28"/>
          <w:highlight w:val="none"/>
        </w:rPr>
        <w:instrText xml:space="preserve"> PAGEREF _Toc95223525 \h </w:instrText>
      </w:r>
      <w:r>
        <w:rPr>
          <w:color w:val="000000"/>
          <w:sz w:val="28"/>
          <w:highlight w:val="none"/>
        </w:rPr>
        <w:fldChar w:fldCharType="separate"/>
      </w:r>
      <w:r>
        <w:rPr>
          <w:rFonts w:hint="eastAsia"/>
          <w:color w:val="000000"/>
          <w:sz w:val="28"/>
          <w:highlight w:val="none"/>
          <w:lang w:val="en-US" w:eastAsia="zh-CN"/>
        </w:rPr>
        <w:t>116</w:t>
      </w:r>
      <w:r>
        <w:rPr>
          <w:color w:val="000000"/>
          <w:sz w:val="28"/>
          <w:highlight w:val="none"/>
        </w:rPr>
        <w:fldChar w:fldCharType="end"/>
      </w:r>
      <w:r>
        <w:rPr>
          <w:color w:val="000000"/>
          <w:sz w:val="28"/>
          <w:highlight w:val="none"/>
        </w:rPr>
        <w:fldChar w:fldCharType="end"/>
      </w:r>
    </w:p>
    <w:p w14:paraId="29F4354C">
      <w:pPr>
        <w:pStyle w:val="14"/>
        <w:tabs>
          <w:tab w:val="right" w:leader="dot" w:pos="10120"/>
        </w:tabs>
        <w:rPr>
          <w:rFonts w:hint="default" w:ascii="Calibri" w:hAnsi="Calibri" w:eastAsia="宋体"/>
          <w:b w:val="0"/>
          <w:bCs w:val="0"/>
          <w:caps w:val="0"/>
          <w:color w:val="000000"/>
          <w:sz w:val="32"/>
          <w:szCs w:val="22"/>
          <w:highlight w:val="none"/>
          <w:lang w:val="en-US" w:eastAsia="zh-CN"/>
        </w:rPr>
      </w:pPr>
      <w:r>
        <w:rPr>
          <w:highlight w:val="none"/>
        </w:rPr>
        <w:fldChar w:fldCharType="begin"/>
      </w:r>
      <w:r>
        <w:rPr>
          <w:highlight w:val="none"/>
        </w:rPr>
        <w:instrText xml:space="preserve"> HYPERLINK \l "_Toc95223531" </w:instrText>
      </w:r>
      <w:r>
        <w:rPr>
          <w:highlight w:val="none"/>
        </w:rPr>
        <w:fldChar w:fldCharType="separate"/>
      </w:r>
      <w:r>
        <w:rPr>
          <w:rStyle w:val="27"/>
          <w:rFonts w:hint="eastAsia"/>
          <w:color w:val="000000"/>
          <w:sz w:val="28"/>
          <w:highlight w:val="none"/>
        </w:rPr>
        <w:t xml:space="preserve">第九章 </w:t>
      </w:r>
      <w:r>
        <w:rPr>
          <w:rStyle w:val="27"/>
          <w:rFonts w:hint="eastAsia"/>
          <w:color w:val="000000"/>
          <w:sz w:val="28"/>
          <w:highlight w:val="none"/>
          <w:lang w:val="en-US" w:eastAsia="zh-CN"/>
        </w:rPr>
        <w:t xml:space="preserve"> </w:t>
      </w:r>
      <w:r>
        <w:rPr>
          <w:rStyle w:val="27"/>
          <w:rFonts w:hint="eastAsia"/>
          <w:color w:val="000000"/>
          <w:sz w:val="28"/>
          <w:highlight w:val="none"/>
        </w:rPr>
        <w:t>投标文件格式</w:t>
      </w:r>
      <w:r>
        <w:rPr>
          <w:color w:val="000000"/>
          <w:sz w:val="28"/>
          <w:highlight w:val="none"/>
        </w:rPr>
        <w:tab/>
      </w:r>
      <w:r>
        <w:rPr>
          <w:rFonts w:hint="eastAsia"/>
          <w:color w:val="000000"/>
          <w:sz w:val="28"/>
          <w:highlight w:val="none"/>
          <w:lang w:val="en-US" w:eastAsia="zh-CN"/>
        </w:rPr>
        <w:t>1</w:t>
      </w:r>
      <w:r>
        <w:rPr>
          <w:color w:val="000000"/>
          <w:sz w:val="28"/>
          <w:highlight w:val="none"/>
        </w:rPr>
        <w:fldChar w:fldCharType="end"/>
      </w:r>
      <w:r>
        <w:rPr>
          <w:rFonts w:hint="eastAsia"/>
          <w:color w:val="000000"/>
          <w:sz w:val="28"/>
          <w:highlight w:val="none"/>
          <w:lang w:val="en-US" w:eastAsia="zh-CN"/>
        </w:rPr>
        <w:t>17</w:t>
      </w:r>
    </w:p>
    <w:p w14:paraId="2BA123A1">
      <w:pPr>
        <w:pStyle w:val="14"/>
        <w:tabs>
          <w:tab w:val="right" w:leader="dot" w:pos="10120"/>
        </w:tabs>
        <w:rPr>
          <w:rFonts w:hint="default" w:ascii="Calibri" w:hAnsi="Calibri" w:eastAsia="宋体"/>
          <w:b w:val="0"/>
          <w:bCs w:val="0"/>
          <w:caps w:val="0"/>
          <w:color w:val="000000"/>
          <w:sz w:val="32"/>
          <w:szCs w:val="22"/>
          <w:highlight w:val="none"/>
          <w:lang w:val="en-US" w:eastAsia="zh-CN"/>
        </w:rPr>
      </w:pPr>
      <w:r>
        <w:rPr>
          <w:highlight w:val="none"/>
        </w:rPr>
        <w:fldChar w:fldCharType="begin"/>
      </w:r>
      <w:r>
        <w:rPr>
          <w:highlight w:val="none"/>
        </w:rPr>
        <w:instrText xml:space="preserve"> HYPERLINK \l "_Toc95223547" </w:instrText>
      </w:r>
      <w:r>
        <w:rPr>
          <w:highlight w:val="none"/>
        </w:rPr>
        <w:fldChar w:fldCharType="separate"/>
      </w:r>
      <w:r>
        <w:rPr>
          <w:rStyle w:val="27"/>
          <w:rFonts w:hint="eastAsia" w:eastAsia="黑体"/>
          <w:color w:val="000000"/>
          <w:sz w:val="28"/>
          <w:highlight w:val="none"/>
        </w:rPr>
        <w:t>第十章</w:t>
      </w:r>
      <w:r>
        <w:rPr>
          <w:rStyle w:val="27"/>
          <w:rFonts w:eastAsia="黑体"/>
          <w:color w:val="000000"/>
          <w:sz w:val="28"/>
          <w:highlight w:val="none"/>
        </w:rPr>
        <w:t xml:space="preserve"> </w:t>
      </w:r>
      <w:r>
        <w:rPr>
          <w:rStyle w:val="27"/>
          <w:rFonts w:hint="eastAsia" w:eastAsia="黑体"/>
          <w:color w:val="000000"/>
          <w:sz w:val="28"/>
          <w:highlight w:val="none"/>
          <w:lang w:val="en-US" w:eastAsia="zh-CN"/>
        </w:rPr>
        <w:t xml:space="preserve"> </w:t>
      </w:r>
      <w:r>
        <w:rPr>
          <w:rStyle w:val="27"/>
          <w:rFonts w:hint="eastAsia" w:eastAsia="黑体"/>
          <w:color w:val="000000"/>
          <w:sz w:val="28"/>
          <w:highlight w:val="none"/>
        </w:rPr>
        <w:t>招标人、招标代理机构对本招标文件的确认</w:t>
      </w:r>
      <w:bookmarkStart w:id="0" w:name="_Hlt95223550"/>
      <w:bookmarkStart w:id="1" w:name="_Hlt95223551"/>
      <w:r>
        <w:rPr>
          <w:color w:val="000000"/>
          <w:sz w:val="28"/>
          <w:highlight w:val="none"/>
        </w:rPr>
        <w:tab/>
      </w:r>
      <w:bookmarkEnd w:id="0"/>
      <w:bookmarkEnd w:id="1"/>
      <w:r>
        <w:rPr>
          <w:rFonts w:hint="eastAsia"/>
          <w:color w:val="000000"/>
          <w:sz w:val="28"/>
          <w:highlight w:val="none"/>
          <w:lang w:val="en-US" w:eastAsia="zh-CN"/>
        </w:rPr>
        <w:t>1</w:t>
      </w:r>
      <w:r>
        <w:rPr>
          <w:color w:val="000000"/>
          <w:sz w:val="28"/>
          <w:highlight w:val="none"/>
        </w:rPr>
        <w:fldChar w:fldCharType="end"/>
      </w:r>
      <w:r>
        <w:rPr>
          <w:rFonts w:hint="eastAsia"/>
          <w:color w:val="000000"/>
          <w:sz w:val="28"/>
          <w:highlight w:val="none"/>
          <w:lang w:val="en-US" w:eastAsia="zh-CN"/>
        </w:rPr>
        <w:t>39</w:t>
      </w:r>
    </w:p>
    <w:p w14:paraId="5176BDF3">
      <w:pPr>
        <w:pStyle w:val="14"/>
        <w:tabs>
          <w:tab w:val="right" w:leader="dot" w:pos="10120"/>
        </w:tabs>
        <w:rPr>
          <w:rFonts w:hint="default" w:ascii="Calibri" w:hAnsi="Calibri" w:eastAsia="宋体"/>
          <w:b w:val="0"/>
          <w:bCs w:val="0"/>
          <w:caps w:val="0"/>
          <w:color w:val="000000"/>
          <w:sz w:val="32"/>
          <w:szCs w:val="22"/>
          <w:highlight w:val="none"/>
          <w:lang w:val="en-US" w:eastAsia="zh-CN"/>
        </w:rPr>
      </w:pPr>
      <w:r>
        <w:rPr>
          <w:highlight w:val="none"/>
        </w:rPr>
        <w:fldChar w:fldCharType="begin"/>
      </w:r>
      <w:r>
        <w:rPr>
          <w:highlight w:val="none"/>
        </w:rPr>
        <w:instrText xml:space="preserve"> HYPERLINK \l "_Toc95223548" </w:instrText>
      </w:r>
      <w:r>
        <w:rPr>
          <w:highlight w:val="none"/>
        </w:rPr>
        <w:fldChar w:fldCharType="separate"/>
      </w:r>
      <w:r>
        <w:rPr>
          <w:rStyle w:val="27"/>
          <w:rFonts w:hint="eastAsia" w:ascii="黑体" w:hAnsi="黑体" w:eastAsia="黑体"/>
          <w:color w:val="000000"/>
          <w:sz w:val="28"/>
          <w:highlight w:val="none"/>
        </w:rPr>
        <w:t>附件</w:t>
      </w:r>
      <w:r>
        <w:rPr>
          <w:rStyle w:val="27"/>
          <w:rFonts w:ascii="黑体" w:hAnsi="黑体" w:eastAsia="黑体"/>
          <w:color w:val="000000"/>
          <w:sz w:val="28"/>
          <w:highlight w:val="none"/>
        </w:rPr>
        <w:t xml:space="preserve">1 </w:t>
      </w:r>
      <w:r>
        <w:rPr>
          <w:rStyle w:val="27"/>
          <w:rFonts w:hint="eastAsia" w:ascii="黑体" w:hAnsi="黑体" w:eastAsia="黑体"/>
          <w:color w:val="000000"/>
          <w:sz w:val="28"/>
          <w:highlight w:val="none"/>
          <w:lang w:val="en-US" w:eastAsia="zh-CN"/>
        </w:rPr>
        <w:t xml:space="preserve"> </w:t>
      </w:r>
      <w:r>
        <w:rPr>
          <w:rStyle w:val="27"/>
          <w:rFonts w:hint="eastAsia" w:ascii="黑体" w:hAnsi="黑体" w:eastAsia="黑体"/>
          <w:color w:val="000000"/>
          <w:sz w:val="28"/>
          <w:highlight w:val="none"/>
        </w:rPr>
        <w:t>关于联合惩戒失信行为加强信用查询管理的通知</w:t>
      </w:r>
      <w:r>
        <w:rPr>
          <w:color w:val="000000"/>
          <w:sz w:val="28"/>
          <w:highlight w:val="none"/>
        </w:rPr>
        <w:tab/>
      </w:r>
      <w:r>
        <w:rPr>
          <w:rFonts w:hint="eastAsia"/>
          <w:color w:val="000000"/>
          <w:sz w:val="28"/>
          <w:highlight w:val="none"/>
          <w:lang w:val="en-US" w:eastAsia="zh-CN"/>
        </w:rPr>
        <w:t>1</w:t>
      </w:r>
      <w:r>
        <w:rPr>
          <w:color w:val="000000"/>
          <w:sz w:val="28"/>
          <w:highlight w:val="none"/>
        </w:rPr>
        <w:fldChar w:fldCharType="end"/>
      </w:r>
      <w:r>
        <w:rPr>
          <w:rFonts w:hint="eastAsia"/>
          <w:color w:val="000000"/>
          <w:sz w:val="28"/>
          <w:highlight w:val="none"/>
          <w:lang w:val="en-US" w:eastAsia="zh-CN"/>
        </w:rPr>
        <w:t>40</w:t>
      </w:r>
    </w:p>
    <w:p w14:paraId="17307C73">
      <w:pPr>
        <w:pStyle w:val="14"/>
        <w:tabs>
          <w:tab w:val="right" w:leader="dot" w:pos="10120"/>
        </w:tabs>
        <w:rPr>
          <w:rStyle w:val="27"/>
          <w:rFonts w:hint="eastAsia" w:eastAsia="宋体"/>
          <w:color w:val="000000"/>
          <w:sz w:val="28"/>
          <w:highlight w:val="none"/>
          <w:lang w:val="en-US" w:eastAsia="zh-CN"/>
        </w:rPr>
      </w:pPr>
      <w:r>
        <w:rPr>
          <w:highlight w:val="none"/>
        </w:rPr>
        <w:fldChar w:fldCharType="begin"/>
      </w:r>
      <w:r>
        <w:rPr>
          <w:highlight w:val="none"/>
        </w:rPr>
        <w:instrText xml:space="preserve"> HYPERLINK \l "_Toc95223549" </w:instrText>
      </w:r>
      <w:r>
        <w:rPr>
          <w:highlight w:val="none"/>
        </w:rPr>
        <w:fldChar w:fldCharType="separate"/>
      </w:r>
      <w:r>
        <w:rPr>
          <w:rStyle w:val="27"/>
          <w:rFonts w:hint="eastAsia" w:ascii="黑体" w:hAnsi="黑体" w:eastAsia="黑体"/>
          <w:color w:val="000000"/>
          <w:sz w:val="28"/>
          <w:highlight w:val="none"/>
        </w:rPr>
        <w:t>附件</w:t>
      </w:r>
      <w:r>
        <w:rPr>
          <w:rStyle w:val="27"/>
          <w:rFonts w:ascii="黑体" w:hAnsi="黑体" w:eastAsia="黑体"/>
          <w:color w:val="000000"/>
          <w:sz w:val="28"/>
          <w:highlight w:val="none"/>
        </w:rPr>
        <w:t xml:space="preserve">2 </w:t>
      </w:r>
      <w:r>
        <w:rPr>
          <w:rStyle w:val="27"/>
          <w:rFonts w:hint="eastAsia" w:ascii="黑体" w:hAnsi="黑体" w:eastAsia="黑体"/>
          <w:color w:val="000000"/>
          <w:sz w:val="28"/>
          <w:highlight w:val="none"/>
        </w:rPr>
        <w:t>“信用中国”查询的严重失信行为类别及判定依据</w:t>
      </w:r>
      <w:r>
        <w:rPr>
          <w:color w:val="000000"/>
          <w:sz w:val="28"/>
          <w:highlight w:val="none"/>
        </w:rPr>
        <w:tab/>
      </w:r>
      <w:r>
        <w:rPr>
          <w:color w:val="000000"/>
          <w:sz w:val="28"/>
          <w:highlight w:val="none"/>
        </w:rPr>
        <w:fldChar w:fldCharType="begin"/>
      </w:r>
      <w:r>
        <w:rPr>
          <w:color w:val="000000"/>
          <w:sz w:val="28"/>
          <w:highlight w:val="none"/>
        </w:rPr>
        <w:instrText xml:space="preserve"> PAGEREF _Toc95223549 \h </w:instrText>
      </w:r>
      <w:r>
        <w:rPr>
          <w:color w:val="000000"/>
          <w:sz w:val="28"/>
          <w:highlight w:val="none"/>
        </w:rPr>
        <w:fldChar w:fldCharType="separate"/>
      </w:r>
      <w:r>
        <w:rPr>
          <w:color w:val="000000"/>
          <w:sz w:val="28"/>
          <w:highlight w:val="none"/>
        </w:rPr>
        <w:t>1</w:t>
      </w:r>
      <w:r>
        <w:rPr>
          <w:rFonts w:hint="eastAsia"/>
          <w:color w:val="000000"/>
          <w:sz w:val="28"/>
          <w:highlight w:val="none"/>
          <w:lang w:val="en-US" w:eastAsia="zh-CN"/>
        </w:rPr>
        <w:t>4</w:t>
      </w:r>
      <w:r>
        <w:rPr>
          <w:color w:val="000000"/>
          <w:sz w:val="28"/>
          <w:highlight w:val="none"/>
        </w:rPr>
        <w:fldChar w:fldCharType="end"/>
      </w:r>
      <w:r>
        <w:rPr>
          <w:color w:val="000000"/>
          <w:sz w:val="28"/>
          <w:highlight w:val="none"/>
        </w:rPr>
        <w:fldChar w:fldCharType="end"/>
      </w:r>
      <w:r>
        <w:rPr>
          <w:rFonts w:hint="eastAsia"/>
          <w:color w:val="000000"/>
          <w:sz w:val="28"/>
          <w:highlight w:val="none"/>
          <w:lang w:val="en-US" w:eastAsia="zh-CN"/>
        </w:rPr>
        <w:t>4</w:t>
      </w:r>
    </w:p>
    <w:p w14:paraId="10D213FA">
      <w:pPr>
        <w:rPr>
          <w:color w:val="000000"/>
          <w:sz w:val="24"/>
          <w:highlight w:val="none"/>
        </w:rPr>
      </w:pPr>
    </w:p>
    <w:p w14:paraId="11253418">
      <w:pPr>
        <w:pStyle w:val="14"/>
        <w:rPr>
          <w:color w:val="000000"/>
          <w:highlight w:val="none"/>
        </w:rPr>
      </w:pPr>
    </w:p>
    <w:p w14:paraId="08F77861">
      <w:pPr>
        <w:rPr>
          <w:color w:val="000000"/>
          <w:highlight w:val="none"/>
        </w:rPr>
      </w:pPr>
    </w:p>
    <w:p w14:paraId="41EAD1A9">
      <w:pPr>
        <w:pStyle w:val="14"/>
        <w:rPr>
          <w:color w:val="000000"/>
          <w:highlight w:val="none"/>
        </w:rPr>
      </w:pPr>
    </w:p>
    <w:p w14:paraId="74D4772C">
      <w:pPr>
        <w:rPr>
          <w:color w:val="000000"/>
          <w:highlight w:val="none"/>
        </w:rPr>
      </w:pPr>
    </w:p>
    <w:p w14:paraId="1E1DEAED">
      <w:pPr>
        <w:pStyle w:val="14"/>
        <w:rPr>
          <w:color w:val="000000"/>
          <w:highlight w:val="none"/>
        </w:rPr>
      </w:pPr>
    </w:p>
    <w:p w14:paraId="03BE790B">
      <w:pPr>
        <w:rPr>
          <w:color w:val="000000"/>
          <w:highlight w:val="none"/>
        </w:rPr>
      </w:pPr>
    </w:p>
    <w:p w14:paraId="770EA781">
      <w:pPr>
        <w:pStyle w:val="14"/>
        <w:rPr>
          <w:color w:val="000000"/>
          <w:highlight w:val="none"/>
        </w:rPr>
      </w:pPr>
    </w:p>
    <w:p w14:paraId="123A031C">
      <w:pPr>
        <w:rPr>
          <w:color w:val="000000"/>
          <w:highlight w:val="none"/>
        </w:rPr>
      </w:pPr>
    </w:p>
    <w:p w14:paraId="3A7FA117">
      <w:pPr>
        <w:pStyle w:val="14"/>
        <w:rPr>
          <w:color w:val="000000"/>
          <w:highlight w:val="none"/>
        </w:rPr>
      </w:pPr>
    </w:p>
    <w:p w14:paraId="5567AD8F">
      <w:pPr>
        <w:rPr>
          <w:color w:val="000000"/>
          <w:highlight w:val="none"/>
        </w:rPr>
      </w:pPr>
    </w:p>
    <w:p w14:paraId="61600184">
      <w:pPr>
        <w:pStyle w:val="14"/>
        <w:rPr>
          <w:color w:val="000000"/>
          <w:highlight w:val="none"/>
        </w:rPr>
      </w:pPr>
    </w:p>
    <w:p w14:paraId="133669ED">
      <w:pPr>
        <w:rPr>
          <w:color w:val="000000"/>
          <w:highlight w:val="none"/>
        </w:rPr>
        <w:sectPr>
          <w:headerReference r:id="rId4" w:type="default"/>
          <w:pgSz w:w="11910" w:h="16850"/>
          <w:pgMar w:top="1600" w:right="660" w:bottom="1100" w:left="1120" w:header="0" w:footer="746" w:gutter="0"/>
          <w:pgBorders>
            <w:top w:val="none" w:sz="0" w:space="0"/>
            <w:left w:val="none" w:sz="0" w:space="0"/>
            <w:bottom w:val="none" w:sz="0" w:space="0"/>
            <w:right w:val="none" w:sz="0" w:space="0"/>
          </w:pgBorders>
          <w:pgNumType w:start="1"/>
          <w:cols w:space="720" w:num="1"/>
        </w:sectPr>
      </w:pPr>
    </w:p>
    <w:p w14:paraId="009AABF6">
      <w:pPr>
        <w:pStyle w:val="2"/>
        <w:spacing w:before="0" w:after="0" w:line="240" w:lineRule="auto"/>
        <w:jc w:val="center"/>
        <w:rPr>
          <w:color w:val="000000"/>
          <w:highlight w:val="none"/>
          <w:lang w:val="zh-CN"/>
        </w:rPr>
      </w:pPr>
      <w:r>
        <w:rPr>
          <w:color w:val="000000"/>
          <w:highlight w:val="none"/>
          <w:lang w:val="zh-CN"/>
        </w:rPr>
        <w:fldChar w:fldCharType="end"/>
      </w:r>
      <w:bookmarkStart w:id="2" w:name="_Toc95223332"/>
      <w:r>
        <w:rPr>
          <w:rFonts w:hint="eastAsia"/>
          <w:color w:val="000000"/>
          <w:highlight w:val="none"/>
        </w:rPr>
        <w:t>第一章  招标公告</w:t>
      </w:r>
      <w:bookmarkEnd w:id="2"/>
    </w:p>
    <w:p w14:paraId="40504543">
      <w:pPr>
        <w:pStyle w:val="17"/>
        <w:ind w:left="0" w:leftChars="0" w:firstLine="0" w:firstLineChars="0"/>
        <w:jc w:val="center"/>
        <w:rPr>
          <w:rFonts w:hint="eastAsia" w:ascii="Times New Roman" w:hAnsi="Times New Roman" w:eastAsia="宋体" w:cs="Times New Roman"/>
          <w:b/>
          <w:color w:val="000000"/>
          <w:sz w:val="24"/>
          <w:highlight w:val="none"/>
        </w:rPr>
      </w:pPr>
      <w:r>
        <w:rPr>
          <w:rFonts w:hint="eastAsia" w:cs="Times New Roman"/>
          <w:b/>
          <w:color w:val="000000"/>
          <w:sz w:val="24"/>
          <w:highlight w:val="none"/>
          <w:lang w:val="en-US" w:eastAsia="zh-CN"/>
        </w:rPr>
        <w:t>滁州市大剧院修缮</w:t>
      </w:r>
      <w:r>
        <w:rPr>
          <w:rFonts w:hint="eastAsia" w:ascii="Times New Roman" w:hAnsi="Times New Roman" w:eastAsia="宋体" w:cs="Times New Roman"/>
          <w:b/>
          <w:color w:val="000000"/>
          <w:sz w:val="24"/>
          <w:highlight w:val="none"/>
        </w:rPr>
        <w:t>工程总承包招标公告信息（电子招标投标）</w:t>
      </w:r>
    </w:p>
    <w:tbl>
      <w:tblPr>
        <w:tblStyle w:val="18"/>
        <w:tblW w:w="10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5"/>
        <w:gridCol w:w="8313"/>
      </w:tblGrid>
      <w:tr w14:paraId="49210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8" w:type="dxa"/>
            <w:gridSpan w:val="2"/>
            <w:noWrap w:val="0"/>
            <w:vAlign w:val="center"/>
          </w:tcPr>
          <w:p w14:paraId="04D15E60">
            <w:pPr>
              <w:keepNext w:val="0"/>
              <w:keepLines w:val="0"/>
              <w:pageBreakBefore w:val="0"/>
              <w:kinsoku/>
              <w:overflowPunct/>
              <w:topLinePunct w:val="0"/>
              <w:autoSpaceDE/>
              <w:autoSpaceDN/>
              <w:bidi w:val="0"/>
              <w:spacing w:line="400" w:lineRule="exact"/>
              <w:jc w:val="center"/>
              <w:textAlignment w:val="auto"/>
              <w:rPr>
                <w:rFonts w:ascii="宋体" w:hAnsi="宋体" w:cs="宋体"/>
                <w:bCs/>
                <w:color w:val="000000"/>
                <w:kern w:val="1"/>
                <w:sz w:val="24"/>
                <w:highlight w:val="none"/>
              </w:rPr>
            </w:pPr>
            <w:r>
              <w:rPr>
                <w:rFonts w:hint="eastAsia" w:ascii="宋体" w:hAnsi="宋体" w:cs="宋体"/>
                <w:b/>
                <w:bCs/>
                <w:color w:val="000000"/>
                <w:sz w:val="24"/>
                <w:highlight w:val="none"/>
              </w:rPr>
              <w:t>招标条件</w:t>
            </w:r>
          </w:p>
        </w:tc>
      </w:tr>
      <w:tr w14:paraId="11724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24109C8E">
            <w:pPr>
              <w:keepNext w:val="0"/>
              <w:keepLines w:val="0"/>
              <w:pageBreakBefore w:val="0"/>
              <w:kinsoku/>
              <w:overflowPunct/>
              <w:topLinePunct w:val="0"/>
              <w:autoSpaceDE/>
              <w:autoSpaceDN/>
              <w:bidi w:val="0"/>
              <w:spacing w:line="400" w:lineRule="exact"/>
              <w:jc w:val="center"/>
              <w:textAlignment w:val="auto"/>
              <w:rPr>
                <w:rFonts w:ascii="宋体" w:cs="宋体"/>
                <w:b w:val="0"/>
                <w:bCs/>
                <w:color w:val="000000"/>
                <w:kern w:val="1"/>
                <w:szCs w:val="21"/>
                <w:highlight w:val="none"/>
              </w:rPr>
            </w:pPr>
            <w:r>
              <w:rPr>
                <w:rFonts w:hint="eastAsia" w:ascii="宋体" w:hAnsi="宋体" w:cs="宋体"/>
                <w:b w:val="0"/>
                <w:bCs/>
                <w:color w:val="000000"/>
                <w:kern w:val="1"/>
                <w:szCs w:val="21"/>
                <w:highlight w:val="none"/>
              </w:rPr>
              <w:t>项目</w:t>
            </w:r>
            <w:r>
              <w:rPr>
                <w:rFonts w:hint="eastAsia" w:ascii="宋体" w:hAnsi="宋体" w:cs="宋体"/>
                <w:b w:val="0"/>
                <w:bCs/>
                <w:color w:val="000000"/>
                <w:kern w:val="0"/>
                <w:szCs w:val="21"/>
                <w:highlight w:val="none"/>
              </w:rPr>
              <w:t>名称</w:t>
            </w:r>
          </w:p>
        </w:tc>
        <w:tc>
          <w:tcPr>
            <w:tcW w:w="8313" w:type="dxa"/>
            <w:noWrap w:val="0"/>
            <w:vAlign w:val="top"/>
          </w:tcPr>
          <w:p w14:paraId="4E833860">
            <w:pPr>
              <w:keepNext w:val="0"/>
              <w:keepLines w:val="0"/>
              <w:pageBreakBefore w:val="0"/>
              <w:kinsoku/>
              <w:overflowPunct/>
              <w:topLinePunct w:val="0"/>
              <w:autoSpaceDE/>
              <w:autoSpaceDN/>
              <w:bidi w:val="0"/>
              <w:spacing w:line="400" w:lineRule="exact"/>
              <w:jc w:val="left"/>
              <w:textAlignment w:val="auto"/>
              <w:rPr>
                <w:rFonts w:ascii="宋体" w:cs="宋体"/>
                <w:b w:val="0"/>
                <w:bCs/>
                <w:color w:val="000000"/>
                <w:kern w:val="1"/>
                <w:szCs w:val="21"/>
                <w:highlight w:val="none"/>
              </w:rPr>
            </w:pPr>
            <w:r>
              <w:rPr>
                <w:rFonts w:hint="eastAsia" w:ascii="Times New Roman" w:hAnsi="Times New Roman" w:cs="Times New Roman"/>
                <w:b w:val="0"/>
                <w:bCs/>
                <w:color w:val="000000"/>
                <w:sz w:val="24"/>
                <w:highlight w:val="none"/>
                <w:lang w:val="en-US" w:eastAsia="zh-CN"/>
              </w:rPr>
              <w:t>滁州市大剧院修缮</w:t>
            </w:r>
            <w:r>
              <w:rPr>
                <w:rFonts w:hint="eastAsia" w:ascii="Times New Roman" w:hAnsi="Times New Roman" w:eastAsia="宋体" w:cs="Times New Roman"/>
                <w:b w:val="0"/>
                <w:bCs/>
                <w:color w:val="000000"/>
                <w:sz w:val="24"/>
                <w:highlight w:val="none"/>
              </w:rPr>
              <w:t>工程总承包</w:t>
            </w:r>
          </w:p>
        </w:tc>
      </w:tr>
      <w:tr w14:paraId="66ADD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5BB380F">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bCs/>
                <w:snapToGrid w:val="0"/>
                <w:color w:val="000000"/>
                <w:kern w:val="0"/>
                <w:szCs w:val="21"/>
                <w:highlight w:val="none"/>
              </w:rPr>
              <w:t>项目审批、核准或备案机关名称</w:t>
            </w:r>
          </w:p>
        </w:tc>
        <w:tc>
          <w:tcPr>
            <w:tcW w:w="8313" w:type="dxa"/>
            <w:noWrap w:val="0"/>
            <w:vAlign w:val="center"/>
          </w:tcPr>
          <w:p w14:paraId="4615C67F">
            <w:pPr>
              <w:keepNext w:val="0"/>
              <w:keepLines w:val="0"/>
              <w:pageBreakBefore w:val="0"/>
              <w:widowControl/>
              <w:kinsoku/>
              <w:overflowPunct/>
              <w:topLinePunct w:val="0"/>
              <w:autoSpaceDE/>
              <w:autoSpaceDN/>
              <w:bidi w:val="0"/>
              <w:spacing w:line="400" w:lineRule="exact"/>
              <w:jc w:val="left"/>
              <w:textAlignment w:val="auto"/>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w:t>
            </w:r>
          </w:p>
        </w:tc>
      </w:tr>
      <w:tr w14:paraId="53816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1FC0625B">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bCs/>
                <w:snapToGrid w:val="0"/>
                <w:color w:val="000000"/>
                <w:kern w:val="0"/>
                <w:szCs w:val="21"/>
                <w:highlight w:val="none"/>
              </w:rPr>
              <w:t>批文名称及编号</w:t>
            </w:r>
          </w:p>
        </w:tc>
        <w:tc>
          <w:tcPr>
            <w:tcW w:w="8313" w:type="dxa"/>
            <w:noWrap w:val="0"/>
            <w:vAlign w:val="center"/>
          </w:tcPr>
          <w:p w14:paraId="36B6EC82">
            <w:pPr>
              <w:keepNext w:val="0"/>
              <w:keepLines w:val="0"/>
              <w:pageBreakBefore w:val="0"/>
              <w:widowControl/>
              <w:kinsoku/>
              <w:overflowPunct/>
              <w:topLinePunct w:val="0"/>
              <w:autoSpaceDE/>
              <w:autoSpaceDN/>
              <w:bidi w:val="0"/>
              <w:spacing w:line="400" w:lineRule="exact"/>
              <w:jc w:val="left"/>
              <w:textAlignment w:val="auto"/>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w:t>
            </w:r>
          </w:p>
        </w:tc>
      </w:tr>
      <w:tr w14:paraId="49286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599A1651">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bCs/>
                <w:snapToGrid w:val="0"/>
                <w:color w:val="000000"/>
                <w:kern w:val="0"/>
                <w:szCs w:val="21"/>
                <w:highlight w:val="none"/>
              </w:rPr>
              <w:t>招标人</w:t>
            </w:r>
          </w:p>
        </w:tc>
        <w:tc>
          <w:tcPr>
            <w:tcW w:w="8313" w:type="dxa"/>
            <w:noWrap w:val="0"/>
            <w:vAlign w:val="center"/>
          </w:tcPr>
          <w:p w14:paraId="53F20456">
            <w:pPr>
              <w:keepNext w:val="0"/>
              <w:keepLines w:val="0"/>
              <w:pageBreakBefore w:val="0"/>
              <w:widowControl/>
              <w:kinsoku/>
              <w:overflowPunct/>
              <w:topLinePunct w:val="0"/>
              <w:autoSpaceDE/>
              <w:autoSpaceDN/>
              <w:bidi w:val="0"/>
              <w:spacing w:line="400" w:lineRule="exact"/>
              <w:jc w:val="left"/>
              <w:textAlignment w:val="auto"/>
              <w:rPr>
                <w:rFonts w:ascii="宋体" w:hAnsi="宋体" w:cs="宋体"/>
                <w:color w:val="000000"/>
                <w:szCs w:val="21"/>
                <w:highlight w:val="none"/>
              </w:rPr>
            </w:pPr>
            <w:r>
              <w:rPr>
                <w:rFonts w:hint="eastAsia" w:ascii="宋体" w:hAnsi="宋体" w:cs="宋体"/>
                <w:color w:val="000000"/>
                <w:szCs w:val="21"/>
                <w:highlight w:val="none"/>
                <w:lang w:val="en-US" w:eastAsia="zh-CN"/>
              </w:rPr>
              <w:t>滁州市亭城文化旅游投资集团有限公司</w:t>
            </w:r>
            <w:r>
              <w:rPr>
                <w:rFonts w:hint="eastAsia" w:ascii="宋体" w:hAnsi="宋体" w:cs="宋体"/>
                <w:color w:val="000000"/>
                <w:szCs w:val="21"/>
                <w:highlight w:val="none"/>
              </w:rPr>
              <w:t xml:space="preserve"> </w:t>
            </w:r>
          </w:p>
        </w:tc>
      </w:tr>
      <w:tr w14:paraId="4F7D1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4A9E8B08">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项目业主</w:t>
            </w:r>
          </w:p>
        </w:tc>
        <w:tc>
          <w:tcPr>
            <w:tcW w:w="8313" w:type="dxa"/>
            <w:noWrap w:val="0"/>
            <w:vAlign w:val="center"/>
          </w:tcPr>
          <w:p w14:paraId="2472B0EA">
            <w:pPr>
              <w:keepNext w:val="0"/>
              <w:keepLines w:val="0"/>
              <w:pageBreakBefore w:val="0"/>
              <w:widowControl/>
              <w:kinsoku/>
              <w:overflowPunct/>
              <w:topLinePunct w:val="0"/>
              <w:autoSpaceDE/>
              <w:autoSpaceDN/>
              <w:bidi w:val="0"/>
              <w:spacing w:line="400" w:lineRule="exact"/>
              <w:jc w:val="left"/>
              <w:textAlignment w:val="auto"/>
              <w:rPr>
                <w:rFonts w:ascii="宋体" w:hAnsi="宋体" w:cs="宋体"/>
                <w:color w:val="000000"/>
                <w:szCs w:val="21"/>
                <w:highlight w:val="none"/>
              </w:rPr>
            </w:pPr>
            <w:r>
              <w:rPr>
                <w:rFonts w:hint="eastAsia" w:ascii="宋体" w:hAnsi="宋体" w:cs="宋体"/>
                <w:color w:val="000000"/>
                <w:szCs w:val="21"/>
                <w:highlight w:val="none"/>
                <w:lang w:val="en-US" w:eastAsia="zh-CN"/>
              </w:rPr>
              <w:t>滁州市亭城文化旅游投资集团有限公司</w:t>
            </w:r>
            <w:r>
              <w:rPr>
                <w:rFonts w:hint="eastAsia" w:ascii="宋体" w:hAnsi="宋体" w:cs="宋体"/>
                <w:color w:val="000000"/>
                <w:szCs w:val="21"/>
                <w:highlight w:val="none"/>
              </w:rPr>
              <w:t xml:space="preserve"> </w:t>
            </w:r>
          </w:p>
        </w:tc>
      </w:tr>
      <w:tr w14:paraId="57AE6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58041CE4">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资金来源</w:t>
            </w:r>
          </w:p>
        </w:tc>
        <w:tc>
          <w:tcPr>
            <w:tcW w:w="8313" w:type="dxa"/>
            <w:noWrap w:val="0"/>
            <w:vAlign w:val="center"/>
          </w:tcPr>
          <w:p w14:paraId="6627EFEB">
            <w:pPr>
              <w:keepNext w:val="0"/>
              <w:keepLines w:val="0"/>
              <w:pageBreakBefore w:val="0"/>
              <w:widowControl/>
              <w:kinsoku/>
              <w:overflowPunct/>
              <w:topLinePunct w:val="0"/>
              <w:autoSpaceDE/>
              <w:autoSpaceDN/>
              <w:bidi w:val="0"/>
              <w:spacing w:line="400" w:lineRule="exact"/>
              <w:jc w:val="left"/>
              <w:textAlignment w:val="auto"/>
              <w:rPr>
                <w:rFonts w:ascii="宋体" w:hAnsi="宋体" w:cs="宋体"/>
                <w:color w:val="000000"/>
                <w:szCs w:val="21"/>
                <w:highlight w:val="none"/>
              </w:rPr>
            </w:pPr>
            <w:r>
              <w:rPr>
                <w:rFonts w:hint="eastAsia" w:ascii="宋体" w:hAnsi="宋体" w:cs="宋体"/>
                <w:color w:val="000000"/>
                <w:szCs w:val="21"/>
                <w:highlight w:val="none"/>
                <w:lang w:val="en-US" w:eastAsia="zh-CN"/>
              </w:rPr>
              <w:t>自筹资金</w:t>
            </w:r>
            <w:r>
              <w:rPr>
                <w:rFonts w:hint="eastAsia" w:ascii="宋体" w:hAnsi="宋体" w:cs="宋体"/>
                <w:color w:val="000000"/>
                <w:szCs w:val="21"/>
                <w:highlight w:val="none"/>
              </w:rPr>
              <w:t xml:space="preserve"> </w:t>
            </w:r>
          </w:p>
        </w:tc>
      </w:tr>
      <w:tr w14:paraId="3F249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43B60CF">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项目出资比例</w:t>
            </w:r>
          </w:p>
        </w:tc>
        <w:tc>
          <w:tcPr>
            <w:tcW w:w="8313" w:type="dxa"/>
            <w:noWrap w:val="0"/>
            <w:vAlign w:val="center"/>
          </w:tcPr>
          <w:p w14:paraId="522C318F">
            <w:pPr>
              <w:keepNext w:val="0"/>
              <w:keepLines w:val="0"/>
              <w:pageBreakBefore w:val="0"/>
              <w:widowControl/>
              <w:kinsoku/>
              <w:overflowPunct/>
              <w:topLinePunct w:val="0"/>
              <w:autoSpaceDE/>
              <w:autoSpaceDN/>
              <w:bidi w:val="0"/>
              <w:spacing w:line="400" w:lineRule="exact"/>
              <w:jc w:val="left"/>
              <w:textAlignment w:val="auto"/>
              <w:rPr>
                <w:rFonts w:ascii="宋体" w:hAnsi="宋体" w:cs="宋体"/>
                <w:color w:val="000000"/>
                <w:szCs w:val="21"/>
                <w:highlight w:val="none"/>
              </w:rPr>
            </w:pPr>
            <w:r>
              <w:rPr>
                <w:rFonts w:hint="eastAsia" w:ascii="宋体" w:hAnsi="宋体" w:cs="宋体"/>
                <w:color w:val="000000"/>
                <w:szCs w:val="21"/>
                <w:highlight w:val="none"/>
                <w:lang w:val="en-US" w:eastAsia="zh-CN"/>
              </w:rPr>
              <w:t>100%</w:t>
            </w:r>
            <w:r>
              <w:rPr>
                <w:rFonts w:hint="eastAsia" w:ascii="宋体" w:hAnsi="宋体" w:cs="宋体"/>
                <w:color w:val="000000"/>
                <w:szCs w:val="21"/>
                <w:highlight w:val="none"/>
              </w:rPr>
              <w:t xml:space="preserve"> </w:t>
            </w:r>
          </w:p>
        </w:tc>
      </w:tr>
      <w:tr w14:paraId="22D02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C435342">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招标方式</w:t>
            </w:r>
          </w:p>
        </w:tc>
        <w:tc>
          <w:tcPr>
            <w:tcW w:w="8313" w:type="dxa"/>
            <w:noWrap w:val="0"/>
            <w:vAlign w:val="center"/>
          </w:tcPr>
          <w:p w14:paraId="3910B790">
            <w:pPr>
              <w:keepNext w:val="0"/>
              <w:keepLines w:val="0"/>
              <w:pageBreakBefore w:val="0"/>
              <w:widowControl/>
              <w:kinsoku/>
              <w:overflowPunct/>
              <w:topLinePunct w:val="0"/>
              <w:autoSpaceDE/>
              <w:autoSpaceDN/>
              <w:bidi w:val="0"/>
              <w:spacing w:line="400" w:lineRule="exact"/>
              <w:jc w:val="left"/>
              <w:textAlignment w:val="auto"/>
              <w:rPr>
                <w:rFonts w:ascii="宋体" w:hAnsi="宋体" w:cs="宋体"/>
                <w:color w:val="000000"/>
                <w:szCs w:val="21"/>
                <w:highlight w:val="none"/>
              </w:rPr>
            </w:pPr>
            <w:r>
              <w:rPr>
                <w:rFonts w:hint="eastAsia" w:ascii="宋体" w:hAnsi="宋体" w:cs="宋体"/>
                <w:color w:val="000000"/>
                <w:szCs w:val="21"/>
                <w:highlight w:val="none"/>
                <w:lang w:val="en-US" w:eastAsia="zh-CN"/>
              </w:rPr>
              <w:t>公开招标</w:t>
            </w:r>
            <w:r>
              <w:rPr>
                <w:rFonts w:hint="eastAsia" w:ascii="宋体" w:hAnsi="宋体" w:cs="宋体"/>
                <w:color w:val="000000"/>
                <w:szCs w:val="21"/>
                <w:highlight w:val="none"/>
              </w:rPr>
              <w:t xml:space="preserve"> </w:t>
            </w:r>
          </w:p>
        </w:tc>
      </w:tr>
      <w:tr w14:paraId="6785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145F9FEE">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评标办法</w:t>
            </w:r>
          </w:p>
        </w:tc>
        <w:tc>
          <w:tcPr>
            <w:tcW w:w="8313" w:type="dxa"/>
            <w:noWrap w:val="0"/>
            <w:vAlign w:val="center"/>
          </w:tcPr>
          <w:p w14:paraId="1575BA95">
            <w:pPr>
              <w:keepNext w:val="0"/>
              <w:keepLines w:val="0"/>
              <w:pageBreakBefore w:val="0"/>
              <w:widowControl/>
              <w:kinsoku/>
              <w:overflowPunct/>
              <w:topLinePunct w:val="0"/>
              <w:autoSpaceDE/>
              <w:autoSpaceDN/>
              <w:bidi w:val="0"/>
              <w:spacing w:line="400" w:lineRule="exact"/>
              <w:jc w:val="left"/>
              <w:textAlignment w:val="auto"/>
              <w:rPr>
                <w:rFonts w:hint="default" w:ascii="宋体" w:hAnsi="宋体" w:cs="宋体"/>
                <w:color w:val="000000"/>
                <w:szCs w:val="21"/>
                <w:highlight w:val="none"/>
                <w:lang w:val="en-US"/>
              </w:rPr>
            </w:pPr>
            <w:r>
              <w:rPr>
                <w:rFonts w:hint="eastAsia" w:ascii="宋体" w:hAnsi="宋体" w:cs="宋体"/>
                <w:color w:val="000000"/>
                <w:szCs w:val="21"/>
                <w:highlight w:val="none"/>
                <w:lang w:val="en-US" w:eastAsia="zh-CN"/>
              </w:rPr>
              <w:t>综合评估法（评定分离）</w:t>
            </w:r>
          </w:p>
        </w:tc>
      </w:tr>
      <w:tr w14:paraId="0FC7A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8" w:type="dxa"/>
            <w:gridSpan w:val="2"/>
            <w:noWrap w:val="0"/>
            <w:vAlign w:val="center"/>
          </w:tcPr>
          <w:p w14:paraId="7C00987F">
            <w:pPr>
              <w:keepNext w:val="0"/>
              <w:keepLines w:val="0"/>
              <w:pageBreakBefore w:val="0"/>
              <w:widowControl/>
              <w:kinsoku/>
              <w:overflowPunct/>
              <w:topLinePunct w:val="0"/>
              <w:autoSpaceDE/>
              <w:autoSpaceDN/>
              <w:bidi w:val="0"/>
              <w:spacing w:line="400" w:lineRule="exact"/>
              <w:jc w:val="center"/>
              <w:textAlignment w:val="auto"/>
              <w:rPr>
                <w:rFonts w:ascii="宋体" w:cs="宋体"/>
                <w:color w:val="000000"/>
                <w:szCs w:val="21"/>
                <w:highlight w:val="none"/>
              </w:rPr>
            </w:pPr>
            <w:r>
              <w:rPr>
                <w:rFonts w:hint="eastAsia" w:ascii="宋体" w:hAnsi="宋体" w:cs="宋体"/>
                <w:b/>
                <w:bCs/>
                <w:color w:val="000000"/>
                <w:sz w:val="24"/>
                <w:highlight w:val="none"/>
              </w:rPr>
              <w:t>项目概况与招标范围</w:t>
            </w:r>
          </w:p>
        </w:tc>
      </w:tr>
      <w:tr w14:paraId="3F175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12A9EA45">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招标项目名称</w:t>
            </w:r>
          </w:p>
        </w:tc>
        <w:tc>
          <w:tcPr>
            <w:tcW w:w="8313" w:type="dxa"/>
            <w:noWrap w:val="0"/>
            <w:vAlign w:val="center"/>
          </w:tcPr>
          <w:p w14:paraId="033E9DA2">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ascii="Times New Roman" w:hAnsi="Times New Roman" w:cs="Times New Roman"/>
                <w:b w:val="0"/>
                <w:bCs/>
                <w:color w:val="000000"/>
                <w:sz w:val="24"/>
                <w:highlight w:val="none"/>
                <w:lang w:val="en-US" w:eastAsia="zh-CN"/>
              </w:rPr>
              <w:t>滁州市大剧院修缮</w:t>
            </w:r>
            <w:r>
              <w:rPr>
                <w:rFonts w:hint="eastAsia" w:ascii="Times New Roman" w:hAnsi="Times New Roman" w:eastAsia="宋体" w:cs="Times New Roman"/>
                <w:b w:val="0"/>
                <w:bCs/>
                <w:color w:val="000000"/>
                <w:sz w:val="24"/>
                <w:highlight w:val="none"/>
              </w:rPr>
              <w:t>工程总承包</w:t>
            </w:r>
          </w:p>
        </w:tc>
      </w:tr>
      <w:tr w14:paraId="2ECBE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625B4F6B">
            <w:pPr>
              <w:keepNext w:val="0"/>
              <w:keepLines w:val="0"/>
              <w:pageBreakBefore w:val="0"/>
              <w:widowControl/>
              <w:kinsoku/>
              <w:overflowPunct/>
              <w:topLinePunct w:val="0"/>
              <w:autoSpaceDE/>
              <w:autoSpaceDN/>
              <w:bidi w:val="0"/>
              <w:spacing w:line="400" w:lineRule="exact"/>
              <w:jc w:val="center"/>
              <w:textAlignment w:val="auto"/>
              <w:rPr>
                <w:rFonts w:hint="eastAsia" w:ascii="宋体" w:hAnsi="宋体" w:cs="宋体"/>
                <w:color w:val="000000"/>
                <w:kern w:val="0"/>
                <w:szCs w:val="21"/>
                <w:highlight w:val="none"/>
                <w:lang w:val="en-US" w:eastAsia="zh-CN"/>
              </w:rPr>
            </w:pPr>
            <w:r>
              <w:rPr>
                <w:rFonts w:hint="eastAsia" w:ascii="宋体" w:hAnsi="宋体" w:cs="宋体"/>
                <w:color w:val="000000"/>
                <w:kern w:val="0"/>
                <w:szCs w:val="21"/>
                <w:highlight w:val="none"/>
                <w:lang w:val="en-US" w:eastAsia="zh-CN"/>
              </w:rPr>
              <w:t>招标项目编号</w:t>
            </w:r>
          </w:p>
        </w:tc>
        <w:tc>
          <w:tcPr>
            <w:tcW w:w="8313" w:type="dxa"/>
            <w:noWrap w:val="0"/>
            <w:vAlign w:val="center"/>
          </w:tcPr>
          <w:p w14:paraId="464526E0">
            <w:pPr>
              <w:keepNext w:val="0"/>
              <w:keepLines w:val="0"/>
              <w:pageBreakBefore w:val="0"/>
              <w:widowControl/>
              <w:kinsoku/>
              <w:overflowPunct/>
              <w:topLinePunct w:val="0"/>
              <w:autoSpaceDE/>
              <w:autoSpaceDN/>
              <w:bidi w:val="0"/>
              <w:spacing w:line="400" w:lineRule="exact"/>
              <w:jc w:val="left"/>
              <w:textAlignment w:val="auto"/>
              <w:rPr>
                <w:rFonts w:hint="eastAsia" w:ascii="Times New Roman" w:hAnsi="Times New Roman" w:cs="Times New Roman"/>
                <w:b w:val="0"/>
                <w:bCs/>
                <w:color w:val="000000"/>
                <w:sz w:val="24"/>
                <w:highlight w:val="none"/>
                <w:lang w:val="en-US" w:eastAsia="zh-CN"/>
              </w:rPr>
            </w:pPr>
            <w:r>
              <w:rPr>
                <w:rFonts w:hint="default" w:ascii="Times New Roman" w:hAnsi="Times New Roman" w:cs="Times New Roman"/>
                <w:b w:val="0"/>
                <w:bCs/>
                <w:color w:val="000000"/>
                <w:sz w:val="24"/>
                <w:highlight w:val="none"/>
                <w:lang w:val="en-US" w:eastAsia="zh-CN"/>
              </w:rPr>
              <w:t>czsjgc202506-012</w:t>
            </w:r>
          </w:p>
        </w:tc>
      </w:tr>
      <w:tr w14:paraId="3FFA9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16010821">
            <w:pPr>
              <w:keepNext w:val="0"/>
              <w:keepLines w:val="0"/>
              <w:pageBreakBefore w:val="0"/>
              <w:widowControl/>
              <w:kinsoku/>
              <w:overflowPunct/>
              <w:topLinePunct w:val="0"/>
              <w:autoSpaceDE/>
              <w:autoSpaceDN/>
              <w:bidi w:val="0"/>
              <w:spacing w:line="400" w:lineRule="exact"/>
              <w:jc w:val="center"/>
              <w:textAlignment w:val="auto"/>
              <w:rPr>
                <w:rFonts w:hint="eastAsia" w:ascii="宋体" w:hAnsi="宋体" w:cs="宋体"/>
                <w:color w:val="000000"/>
                <w:kern w:val="0"/>
                <w:szCs w:val="21"/>
                <w:highlight w:val="none"/>
                <w:lang w:val="en-US" w:eastAsia="zh-CN"/>
              </w:rPr>
            </w:pPr>
            <w:r>
              <w:rPr>
                <w:rFonts w:hint="eastAsia" w:ascii="宋体" w:hAnsi="宋体" w:cs="宋体"/>
                <w:color w:val="000000"/>
                <w:kern w:val="0"/>
                <w:szCs w:val="21"/>
                <w:highlight w:val="none"/>
                <w:lang w:val="en-US" w:eastAsia="zh-CN"/>
              </w:rPr>
              <w:t>标段划分</w:t>
            </w:r>
          </w:p>
        </w:tc>
        <w:tc>
          <w:tcPr>
            <w:tcW w:w="8313" w:type="dxa"/>
            <w:noWrap w:val="0"/>
            <w:vAlign w:val="center"/>
          </w:tcPr>
          <w:p w14:paraId="0E50C3AC">
            <w:pPr>
              <w:keepNext w:val="0"/>
              <w:keepLines w:val="0"/>
              <w:pageBreakBefore w:val="0"/>
              <w:widowControl/>
              <w:kinsoku/>
              <w:overflowPunct/>
              <w:topLinePunct w:val="0"/>
              <w:autoSpaceDE/>
              <w:autoSpaceDN/>
              <w:bidi w:val="0"/>
              <w:spacing w:line="400" w:lineRule="exact"/>
              <w:jc w:val="left"/>
              <w:textAlignment w:val="auto"/>
              <w:rPr>
                <w:rFonts w:hint="eastAsia" w:ascii="Times New Roman" w:hAnsi="Times New Roman" w:cs="Times New Roman"/>
                <w:b w:val="0"/>
                <w:bCs/>
                <w:color w:val="000000"/>
                <w:sz w:val="24"/>
                <w:highlight w:val="none"/>
                <w:lang w:val="en-US" w:eastAsia="zh-CN"/>
              </w:rPr>
            </w:pPr>
            <w:r>
              <w:rPr>
                <w:rFonts w:hint="eastAsia" w:ascii="Times New Roman" w:hAnsi="Times New Roman" w:cs="Times New Roman"/>
                <w:b w:val="0"/>
                <w:bCs/>
                <w:color w:val="000000"/>
                <w:sz w:val="24"/>
                <w:highlight w:val="none"/>
                <w:lang w:val="en-US" w:eastAsia="zh-CN"/>
              </w:rPr>
              <w:t>一个标段</w:t>
            </w:r>
          </w:p>
        </w:tc>
      </w:tr>
      <w:tr w14:paraId="4EECA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5E266FF5">
            <w:pPr>
              <w:keepNext w:val="0"/>
              <w:keepLines w:val="0"/>
              <w:pageBreakBefore w:val="0"/>
              <w:widowControl/>
              <w:kinsoku/>
              <w:overflowPunct/>
              <w:topLinePunct w:val="0"/>
              <w:autoSpaceDE/>
              <w:autoSpaceDN/>
              <w:bidi w:val="0"/>
              <w:spacing w:line="400" w:lineRule="exact"/>
              <w:jc w:val="center"/>
              <w:textAlignment w:val="auto"/>
              <w:rPr>
                <w:rFonts w:hint="eastAsia" w:ascii="宋体" w:hAnsi="宋体" w:cs="宋体"/>
                <w:color w:val="000000"/>
                <w:kern w:val="0"/>
                <w:szCs w:val="21"/>
                <w:highlight w:val="none"/>
                <w:lang w:val="en-US" w:eastAsia="zh-CN"/>
              </w:rPr>
            </w:pPr>
            <w:r>
              <w:rPr>
                <w:rFonts w:hint="eastAsia" w:ascii="宋体" w:hAnsi="宋体" w:cs="宋体"/>
                <w:color w:val="000000"/>
                <w:kern w:val="0"/>
                <w:szCs w:val="21"/>
                <w:highlight w:val="none"/>
                <w:lang w:val="en-US" w:eastAsia="zh-CN"/>
              </w:rPr>
              <w:t>招标项目标段编号</w:t>
            </w:r>
          </w:p>
        </w:tc>
        <w:tc>
          <w:tcPr>
            <w:tcW w:w="8313" w:type="dxa"/>
            <w:noWrap w:val="0"/>
            <w:vAlign w:val="center"/>
          </w:tcPr>
          <w:p w14:paraId="1D16DFB1">
            <w:pPr>
              <w:keepNext w:val="0"/>
              <w:keepLines w:val="0"/>
              <w:pageBreakBefore w:val="0"/>
              <w:widowControl/>
              <w:kinsoku/>
              <w:overflowPunct/>
              <w:topLinePunct w:val="0"/>
              <w:autoSpaceDE/>
              <w:autoSpaceDN/>
              <w:bidi w:val="0"/>
              <w:spacing w:line="400" w:lineRule="exact"/>
              <w:jc w:val="left"/>
              <w:textAlignment w:val="auto"/>
              <w:rPr>
                <w:rFonts w:hint="eastAsia" w:ascii="Times New Roman" w:hAnsi="Times New Roman" w:cs="Times New Roman"/>
                <w:b w:val="0"/>
                <w:bCs/>
                <w:color w:val="000000"/>
                <w:sz w:val="24"/>
                <w:highlight w:val="none"/>
                <w:lang w:val="en-US" w:eastAsia="zh-CN"/>
              </w:rPr>
            </w:pPr>
            <w:r>
              <w:rPr>
                <w:rFonts w:hint="default" w:ascii="Times New Roman" w:hAnsi="Times New Roman" w:cs="Times New Roman"/>
                <w:b w:val="0"/>
                <w:bCs/>
                <w:color w:val="000000"/>
                <w:sz w:val="24"/>
                <w:highlight w:val="none"/>
                <w:lang w:val="en-US" w:eastAsia="zh-CN"/>
              </w:rPr>
              <w:t>czsjgc202506-012</w:t>
            </w:r>
          </w:p>
        </w:tc>
      </w:tr>
      <w:tr w14:paraId="3B33B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3057B58E">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建设地点</w:t>
            </w:r>
          </w:p>
        </w:tc>
        <w:tc>
          <w:tcPr>
            <w:tcW w:w="8313" w:type="dxa"/>
            <w:noWrap w:val="0"/>
            <w:vAlign w:val="center"/>
          </w:tcPr>
          <w:p w14:paraId="5CE0902B">
            <w:pPr>
              <w:keepNext w:val="0"/>
              <w:keepLines w:val="0"/>
              <w:pageBreakBefore w:val="0"/>
              <w:widowControl/>
              <w:kinsoku/>
              <w:overflowPunct/>
              <w:topLinePunct w:val="0"/>
              <w:autoSpaceDE/>
              <w:autoSpaceDN/>
              <w:bidi w:val="0"/>
              <w:spacing w:line="400" w:lineRule="exact"/>
              <w:jc w:val="left"/>
              <w:textAlignment w:val="auto"/>
              <w:rPr>
                <w:rFonts w:hint="eastAsia" w:ascii="宋体" w:hAnsi="宋体" w:cs="宋体"/>
                <w:color w:val="000000"/>
                <w:szCs w:val="21"/>
                <w:highlight w:val="none"/>
                <w:lang w:val="en-US" w:eastAsia="zh-CN"/>
              </w:rPr>
            </w:pPr>
            <w:r>
              <w:rPr>
                <w:rFonts w:hint="eastAsia" w:ascii="宋体" w:hAnsi="宋体" w:cs="宋体"/>
                <w:color w:val="000000"/>
                <w:szCs w:val="21"/>
                <w:highlight w:val="none"/>
                <w:lang w:val="en-US" w:eastAsia="zh-CN"/>
              </w:rPr>
              <w:t>滁州大剧院，招标人指定地点</w:t>
            </w:r>
          </w:p>
        </w:tc>
      </w:tr>
      <w:tr w14:paraId="1409B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C0AC3F2">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建设规模</w:t>
            </w:r>
          </w:p>
        </w:tc>
        <w:tc>
          <w:tcPr>
            <w:tcW w:w="8313" w:type="dxa"/>
            <w:noWrap w:val="0"/>
            <w:vAlign w:val="center"/>
          </w:tcPr>
          <w:p w14:paraId="3BFAABD6">
            <w:pPr>
              <w:keepNext w:val="0"/>
              <w:keepLines w:val="0"/>
              <w:pageBreakBefore w:val="0"/>
              <w:widowControl/>
              <w:kinsoku/>
              <w:overflowPunct/>
              <w:topLinePunct w:val="0"/>
              <w:autoSpaceDE/>
              <w:autoSpaceDN/>
              <w:bidi w:val="0"/>
              <w:spacing w:line="400" w:lineRule="exact"/>
              <w:jc w:val="left"/>
              <w:textAlignment w:val="auto"/>
              <w:rPr>
                <w:rFonts w:hint="eastAsia" w:ascii="宋体" w:hAnsi="宋体" w:cs="宋体"/>
                <w:color w:val="000000"/>
                <w:szCs w:val="21"/>
                <w:highlight w:val="none"/>
                <w:lang w:val="en-US" w:eastAsia="zh-CN"/>
              </w:rPr>
            </w:pPr>
            <w:r>
              <w:rPr>
                <w:rFonts w:hint="eastAsia" w:ascii="宋体" w:hAnsi="宋体" w:cs="宋体"/>
                <w:color w:val="000000"/>
                <w:szCs w:val="21"/>
                <w:highlight w:val="none"/>
                <w:lang w:val="en-US" w:eastAsia="zh-CN"/>
              </w:rPr>
              <w:t>地上总建筑面积:17870平方米，地下总建筑面积:5032平方米</w:t>
            </w:r>
          </w:p>
        </w:tc>
      </w:tr>
      <w:tr w14:paraId="5EBD6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3CB87D82">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合同估算价</w:t>
            </w:r>
          </w:p>
        </w:tc>
        <w:tc>
          <w:tcPr>
            <w:tcW w:w="8313" w:type="dxa"/>
            <w:noWrap w:val="0"/>
            <w:vAlign w:val="center"/>
          </w:tcPr>
          <w:p w14:paraId="2688280F">
            <w:pPr>
              <w:keepNext w:val="0"/>
              <w:keepLines w:val="0"/>
              <w:pageBreakBefore w:val="0"/>
              <w:widowControl/>
              <w:kinsoku/>
              <w:overflowPunct/>
              <w:topLinePunct w:val="0"/>
              <w:autoSpaceDE/>
              <w:autoSpaceDN/>
              <w:bidi w:val="0"/>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000000"/>
                <w:kern w:val="0"/>
                <w:szCs w:val="21"/>
                <w:highlight w:val="none"/>
                <w:lang w:val="en-US" w:eastAsia="zh-CN"/>
              </w:rPr>
              <w:t>587.20万元（其中含暂列金50万元）</w:t>
            </w:r>
          </w:p>
        </w:tc>
      </w:tr>
      <w:tr w14:paraId="1FA95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5437673">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计划工期</w:t>
            </w:r>
          </w:p>
        </w:tc>
        <w:tc>
          <w:tcPr>
            <w:tcW w:w="8313" w:type="dxa"/>
            <w:noWrap w:val="0"/>
            <w:vAlign w:val="center"/>
          </w:tcPr>
          <w:p w14:paraId="556E83F2">
            <w:pPr>
              <w:keepNext w:val="0"/>
              <w:keepLines w:val="0"/>
              <w:pageBreakBefore w:val="0"/>
              <w:widowControl/>
              <w:kinsoku/>
              <w:overflowPunct/>
              <w:topLinePunct w:val="0"/>
              <w:autoSpaceDE/>
              <w:autoSpaceDN/>
              <w:bidi w:val="0"/>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不高于1</w:t>
            </w:r>
            <w:r>
              <w:rPr>
                <w:rFonts w:hint="eastAsia" w:ascii="宋体" w:hAnsi="宋体" w:cs="宋体"/>
                <w:color w:val="auto"/>
                <w:sz w:val="21"/>
                <w:szCs w:val="21"/>
                <w:highlight w:val="none"/>
                <w:lang w:val="en-US" w:eastAsia="zh-CN"/>
              </w:rPr>
              <w:t>0</w:t>
            </w:r>
            <w:r>
              <w:rPr>
                <w:rFonts w:hint="eastAsia" w:ascii="宋体" w:hAnsi="宋体" w:eastAsia="宋体" w:cs="宋体"/>
                <w:color w:val="auto"/>
                <w:sz w:val="21"/>
                <w:szCs w:val="21"/>
                <w:highlight w:val="none"/>
                <w:lang w:val="en-US" w:eastAsia="zh-CN"/>
              </w:rPr>
              <w:t>0个日历天</w:t>
            </w:r>
          </w:p>
        </w:tc>
      </w:tr>
      <w:tr w14:paraId="1DA18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41F61CA3">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招标范围</w:t>
            </w:r>
          </w:p>
        </w:tc>
        <w:tc>
          <w:tcPr>
            <w:tcW w:w="8313" w:type="dxa"/>
            <w:noWrap w:val="0"/>
            <w:vAlign w:val="center"/>
          </w:tcPr>
          <w:p w14:paraId="567EDFFA">
            <w:pPr>
              <w:keepNext w:val="0"/>
              <w:keepLines w:val="0"/>
              <w:pageBreakBefore w:val="0"/>
              <w:widowControl/>
              <w:numPr>
                <w:ilvl w:val="0"/>
                <w:numId w:val="1"/>
              </w:numPr>
              <w:kinsoku/>
              <w:overflowPunct/>
              <w:topLinePunct w:val="0"/>
              <w:autoSpaceDE/>
              <w:autoSpaceDN/>
              <w:bidi w:val="0"/>
              <w:spacing w:line="400" w:lineRule="exact"/>
              <w:jc w:val="left"/>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设计范围包括但不限于根据发包人要求或经发包人确认在已进行</w:t>
            </w:r>
            <w:r>
              <w:rPr>
                <w:rFonts w:hint="eastAsia" w:ascii="宋体" w:hAnsi="宋体" w:cs="宋体"/>
                <w:color w:val="auto"/>
                <w:kern w:val="0"/>
                <w:szCs w:val="21"/>
                <w:highlight w:val="none"/>
                <w:lang w:val="en-US" w:eastAsia="zh-CN"/>
              </w:rPr>
              <w:t>方案</w:t>
            </w:r>
            <w:r>
              <w:rPr>
                <w:rFonts w:hint="eastAsia" w:ascii="宋体" w:hAnsi="宋体" w:eastAsia="宋体" w:cs="宋体"/>
                <w:color w:val="auto"/>
                <w:kern w:val="0"/>
                <w:szCs w:val="21"/>
                <w:highlight w:val="none"/>
                <w:lang w:val="en-US" w:eastAsia="zh-CN"/>
              </w:rPr>
              <w:t>设计的基础上进行的补充、深化、优化及施工过程中增加的工作内容，专业专项工程二次设计、施工现场配套设计服务，咨询、图纸审查、专家评审等。</w:t>
            </w:r>
          </w:p>
          <w:p w14:paraId="1067F429">
            <w:pPr>
              <w:keepNext w:val="0"/>
              <w:keepLines w:val="0"/>
              <w:pageBreakBefore w:val="0"/>
              <w:widowControl/>
              <w:numPr>
                <w:ilvl w:val="0"/>
                <w:numId w:val="1"/>
              </w:numPr>
              <w:kinsoku/>
              <w:overflowPunct/>
              <w:topLinePunct w:val="0"/>
              <w:autoSpaceDE/>
              <w:autoSpaceDN/>
              <w:bidi w:val="0"/>
              <w:spacing w:line="400" w:lineRule="exact"/>
              <w:jc w:val="left"/>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施工范围包括但不限于施工、采购、竣工验收、工程缺陷责任期内的缺陷修复和保修工作等工程总承包范围的全部工作。</w:t>
            </w:r>
          </w:p>
          <w:p w14:paraId="4E48833F">
            <w:pPr>
              <w:keepNext w:val="0"/>
              <w:keepLines w:val="0"/>
              <w:pageBreakBefore w:val="0"/>
              <w:widowControl/>
              <w:numPr>
                <w:ilvl w:val="0"/>
                <w:numId w:val="0"/>
              </w:numPr>
              <w:kinsoku/>
              <w:overflowPunct/>
              <w:topLinePunct w:val="0"/>
              <w:autoSpaceDE/>
              <w:autoSpaceDN/>
              <w:bidi w:val="0"/>
              <w:spacing w:line="400" w:lineRule="exact"/>
              <w:jc w:val="lef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kern w:val="0"/>
                <w:szCs w:val="21"/>
                <w:highlight w:val="none"/>
                <w:lang w:val="en-US" w:eastAsia="zh-CN"/>
              </w:rPr>
              <w:t>3.具体内容包含但不限于以下内容（1）</w:t>
            </w:r>
            <w:r>
              <w:rPr>
                <w:rFonts w:hint="default" w:ascii="宋体" w:hAnsi="宋体" w:eastAsia="宋体" w:cs="宋体"/>
                <w:color w:val="auto"/>
                <w:kern w:val="0"/>
                <w:szCs w:val="21"/>
                <w:highlight w:val="none"/>
                <w:lang w:val="en-US" w:eastAsia="zh-CN"/>
              </w:rPr>
              <w:t>建筑结构修复：屋面</w:t>
            </w:r>
            <w:r>
              <w:rPr>
                <w:rFonts w:hint="eastAsia" w:ascii="宋体" w:hAnsi="宋体" w:eastAsia="宋体" w:cs="宋体"/>
                <w:color w:val="auto"/>
                <w:kern w:val="0"/>
                <w:szCs w:val="21"/>
                <w:highlight w:val="none"/>
                <w:lang w:val="en-US" w:eastAsia="zh-CN"/>
              </w:rPr>
              <w:t>翻新</w:t>
            </w:r>
            <w:r>
              <w:rPr>
                <w:rFonts w:hint="default" w:ascii="宋体" w:hAnsi="宋体" w:eastAsia="宋体" w:cs="宋体"/>
                <w:color w:val="auto"/>
                <w:kern w:val="0"/>
                <w:szCs w:val="21"/>
                <w:highlight w:val="none"/>
                <w:lang w:val="en-US" w:eastAsia="zh-CN"/>
              </w:rPr>
              <w:t>重建</w:t>
            </w:r>
            <w:r>
              <w:rPr>
                <w:rFonts w:hint="eastAsia" w:ascii="宋体" w:hAnsi="宋体" w:eastAsia="宋体" w:cs="宋体"/>
                <w:color w:val="auto"/>
                <w:kern w:val="0"/>
                <w:szCs w:val="21"/>
                <w:highlight w:val="none"/>
                <w:lang w:val="en-US" w:eastAsia="zh-CN"/>
              </w:rPr>
              <w:t>、避雷设施重建、</w:t>
            </w:r>
            <w:r>
              <w:rPr>
                <w:rFonts w:hint="default" w:ascii="宋体" w:hAnsi="宋体" w:eastAsia="宋体" w:cs="宋体"/>
                <w:color w:val="auto"/>
                <w:kern w:val="0"/>
                <w:szCs w:val="21"/>
                <w:highlight w:val="none"/>
                <w:lang w:val="en-US" w:eastAsia="zh-CN"/>
              </w:rPr>
              <w:t>外墙石材/铝板饰面修补、幕墙玻璃更换等；</w:t>
            </w:r>
            <w:r>
              <w:rPr>
                <w:rFonts w:hint="eastAsia" w:ascii="宋体" w:hAnsi="宋体" w:eastAsia="宋体" w:cs="宋体"/>
                <w:color w:val="auto"/>
                <w:kern w:val="0"/>
                <w:szCs w:val="21"/>
                <w:highlight w:val="none"/>
                <w:lang w:val="en-US" w:eastAsia="zh-CN"/>
              </w:rPr>
              <w:t>（2）</w:t>
            </w:r>
            <w:r>
              <w:rPr>
                <w:rFonts w:hint="default" w:ascii="宋体" w:hAnsi="宋体" w:eastAsia="宋体" w:cs="宋体"/>
                <w:color w:val="auto"/>
                <w:kern w:val="0"/>
                <w:szCs w:val="21"/>
                <w:highlight w:val="none"/>
                <w:lang w:val="en-US" w:eastAsia="zh-CN"/>
              </w:rPr>
              <w:t>设施设备更新：老旧灯具、风机设备拆除更换，避雷系统升级；</w:t>
            </w:r>
            <w:r>
              <w:rPr>
                <w:rFonts w:hint="eastAsia" w:ascii="宋体" w:hAnsi="宋体" w:eastAsia="宋体" w:cs="宋体"/>
                <w:color w:val="auto"/>
                <w:kern w:val="0"/>
                <w:szCs w:val="21"/>
                <w:highlight w:val="none"/>
                <w:lang w:val="en-US" w:eastAsia="zh-CN"/>
              </w:rPr>
              <w:t>（3）</w:t>
            </w:r>
            <w:r>
              <w:rPr>
                <w:rFonts w:hint="default" w:ascii="宋体" w:hAnsi="宋体" w:eastAsia="宋体" w:cs="宋体"/>
                <w:color w:val="auto"/>
                <w:kern w:val="0"/>
                <w:szCs w:val="21"/>
                <w:highlight w:val="none"/>
                <w:lang w:val="en-US" w:eastAsia="zh-CN"/>
              </w:rPr>
              <w:t>功能优化：室内楼梯渗漏维修、公共区域照明改造、室外天棚吊顶修补</w:t>
            </w:r>
            <w:r>
              <w:rPr>
                <w:rFonts w:hint="eastAsia" w:ascii="宋体" w:hAnsi="宋体" w:eastAsia="宋体" w:cs="宋体"/>
                <w:color w:val="auto"/>
                <w:kern w:val="0"/>
                <w:szCs w:val="21"/>
                <w:highlight w:val="none"/>
                <w:lang w:val="en-US" w:eastAsia="zh-CN"/>
              </w:rPr>
              <w:t>；（4）</w:t>
            </w:r>
            <w:r>
              <w:rPr>
                <w:rFonts w:hint="default" w:ascii="宋体" w:hAnsi="宋体" w:eastAsia="宋体" w:cs="宋体"/>
                <w:color w:val="auto"/>
                <w:kern w:val="0"/>
                <w:szCs w:val="21"/>
                <w:highlight w:val="none"/>
                <w:lang w:val="en-US" w:eastAsia="zh-CN"/>
              </w:rPr>
              <w:t>设计要求符合</w:t>
            </w:r>
            <w:r>
              <w:rPr>
                <w:rFonts w:hint="eastAsia" w:ascii="宋体" w:hAnsi="宋体" w:eastAsia="宋体" w:cs="宋体"/>
                <w:color w:val="auto"/>
                <w:kern w:val="0"/>
                <w:szCs w:val="21"/>
                <w:highlight w:val="none"/>
                <w:lang w:val="en-US" w:eastAsia="zh-CN"/>
              </w:rPr>
              <w:t>现行</w:t>
            </w:r>
            <w:r>
              <w:rPr>
                <w:rFonts w:hint="default" w:ascii="宋体" w:hAnsi="宋体" w:eastAsia="宋体" w:cs="宋体"/>
                <w:color w:val="auto"/>
                <w:kern w:val="0"/>
                <w:szCs w:val="21"/>
                <w:highlight w:val="none"/>
                <w:lang w:val="en-US" w:eastAsia="zh-CN"/>
              </w:rPr>
              <w:t>国家建筑规范，并兼顾文化场馆的艺术性与安全性。</w:t>
            </w:r>
            <w:r>
              <w:rPr>
                <w:rFonts w:hint="eastAsia" w:ascii="宋体" w:hAnsi="宋体" w:eastAsia="宋体" w:cs="宋体"/>
                <w:color w:val="auto"/>
                <w:kern w:val="0"/>
                <w:szCs w:val="21"/>
                <w:highlight w:val="none"/>
                <w:lang w:val="en-US" w:eastAsia="zh-CN"/>
              </w:rPr>
              <w:t>详见方案设计及方案清单。</w:t>
            </w:r>
          </w:p>
        </w:tc>
      </w:tr>
      <w:tr w14:paraId="0BABF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B519F30">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项目类别</w:t>
            </w:r>
          </w:p>
        </w:tc>
        <w:tc>
          <w:tcPr>
            <w:tcW w:w="8313" w:type="dxa"/>
            <w:noWrap w:val="0"/>
            <w:vAlign w:val="center"/>
          </w:tcPr>
          <w:p w14:paraId="3E74C10E">
            <w:pPr>
              <w:keepNext w:val="0"/>
              <w:keepLines w:val="0"/>
              <w:pageBreakBefore w:val="0"/>
              <w:widowControl/>
              <w:kinsoku/>
              <w:overflowPunct/>
              <w:topLinePunct w:val="0"/>
              <w:autoSpaceDE/>
              <w:autoSpaceDN/>
              <w:bidi w:val="0"/>
              <w:spacing w:line="400" w:lineRule="exact"/>
              <w:jc w:val="left"/>
              <w:textAlignment w:val="auto"/>
              <w:rPr>
                <w:rFonts w:hint="default" w:eastAsia="宋体"/>
                <w:color w:val="000000"/>
                <w:szCs w:val="21"/>
                <w:highlight w:val="none"/>
                <w:lang w:val="en-US" w:eastAsia="zh-CN"/>
              </w:rPr>
            </w:pPr>
            <w:r>
              <w:rPr>
                <w:rFonts w:hint="eastAsia" w:ascii="Times New Roman" w:hAnsi="Times New Roman" w:eastAsia="宋体" w:cs="Times New Roman"/>
                <w:spacing w:val="-1"/>
                <w:highlight w:val="none"/>
                <w:lang w:val="en-US" w:eastAsia="zh-CN"/>
              </w:rPr>
              <w:t>房屋建筑工程</w:t>
            </w:r>
            <w:r>
              <w:rPr>
                <w:rFonts w:hint="eastAsia"/>
                <w:color w:val="000000"/>
                <w:szCs w:val="21"/>
                <w:highlight w:val="none"/>
                <w:lang w:val="en-US" w:eastAsia="zh-CN"/>
              </w:rPr>
              <w:t>总承包</w:t>
            </w:r>
          </w:p>
        </w:tc>
      </w:tr>
      <w:tr w14:paraId="0D1F6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537D62D4">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其他</w:t>
            </w:r>
          </w:p>
        </w:tc>
        <w:tc>
          <w:tcPr>
            <w:tcW w:w="8313" w:type="dxa"/>
            <w:noWrap w:val="0"/>
            <w:vAlign w:val="center"/>
          </w:tcPr>
          <w:p w14:paraId="19A1FCA2">
            <w:pPr>
              <w:keepNext w:val="0"/>
              <w:keepLines w:val="0"/>
              <w:pageBreakBefore w:val="0"/>
              <w:widowControl/>
              <w:kinsoku/>
              <w:overflowPunct/>
              <w:topLinePunct w:val="0"/>
              <w:autoSpaceDE/>
              <w:autoSpaceDN/>
              <w:bidi w:val="0"/>
              <w:spacing w:line="400" w:lineRule="exact"/>
              <w:jc w:val="left"/>
              <w:textAlignment w:val="auto"/>
              <w:rPr>
                <w:rFonts w:hint="eastAsia" w:eastAsia="宋体"/>
                <w:color w:val="000000"/>
                <w:szCs w:val="21"/>
                <w:highlight w:val="none"/>
                <w:lang w:val="en-US" w:eastAsia="zh-CN"/>
              </w:rPr>
            </w:pPr>
            <w:r>
              <w:rPr>
                <w:rFonts w:hint="eastAsia"/>
                <w:color w:val="000000"/>
                <w:szCs w:val="21"/>
                <w:highlight w:val="none"/>
                <w:lang w:val="en-US" w:eastAsia="zh-CN"/>
              </w:rPr>
              <w:t>/</w:t>
            </w:r>
          </w:p>
        </w:tc>
      </w:tr>
      <w:tr w14:paraId="41867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8" w:type="dxa"/>
            <w:gridSpan w:val="2"/>
            <w:noWrap w:val="0"/>
            <w:vAlign w:val="center"/>
          </w:tcPr>
          <w:p w14:paraId="592AACC0">
            <w:pPr>
              <w:keepNext w:val="0"/>
              <w:keepLines w:val="0"/>
              <w:pageBreakBefore w:val="0"/>
              <w:widowControl/>
              <w:kinsoku/>
              <w:overflowPunct/>
              <w:topLinePunct w:val="0"/>
              <w:autoSpaceDE/>
              <w:autoSpaceDN/>
              <w:bidi w:val="0"/>
              <w:spacing w:line="400" w:lineRule="exact"/>
              <w:jc w:val="center"/>
              <w:textAlignment w:val="auto"/>
              <w:rPr>
                <w:b/>
                <w:color w:val="000000"/>
                <w:sz w:val="24"/>
                <w:highlight w:val="none"/>
              </w:rPr>
            </w:pPr>
            <w:r>
              <w:rPr>
                <w:rFonts w:hint="eastAsia"/>
                <w:b/>
                <w:color w:val="000000"/>
                <w:sz w:val="24"/>
                <w:highlight w:val="none"/>
              </w:rPr>
              <w:t>投标人资格要求</w:t>
            </w:r>
          </w:p>
        </w:tc>
      </w:tr>
      <w:tr w14:paraId="1C12F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4BCA066B">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投标人资质条件</w:t>
            </w:r>
          </w:p>
        </w:tc>
        <w:tc>
          <w:tcPr>
            <w:tcW w:w="8313" w:type="dxa"/>
            <w:noWrap w:val="0"/>
            <w:vAlign w:val="center"/>
          </w:tcPr>
          <w:p w14:paraId="479CD322">
            <w:pPr>
              <w:keepNext w:val="0"/>
              <w:keepLines w:val="0"/>
              <w:pageBreakBefore w:val="0"/>
              <w:widowControl/>
              <w:kinsoku/>
              <w:overflowPunct/>
              <w:topLinePunct w:val="0"/>
              <w:autoSpaceDE/>
              <w:autoSpaceDN/>
              <w:bidi w:val="0"/>
              <w:spacing w:line="400" w:lineRule="exact"/>
              <w:jc w:val="left"/>
              <w:textAlignment w:val="auto"/>
              <w:rPr>
                <w:rFonts w:hint="eastAsia" w:ascii="Times New Roman" w:hAnsi="Times New Roman" w:eastAsia="宋体" w:cs="Times New Roman"/>
                <w:spacing w:val="-1"/>
                <w:highlight w:val="none"/>
                <w:lang w:val="en-US" w:eastAsia="zh-CN"/>
              </w:rPr>
            </w:pPr>
            <w:r>
              <w:rPr>
                <w:rFonts w:hint="eastAsia" w:ascii="Times New Roman" w:hAnsi="Times New Roman" w:eastAsia="宋体" w:cs="Times New Roman"/>
                <w:spacing w:val="0"/>
                <w:sz w:val="21"/>
                <w:highlight w:val="none"/>
                <w:lang w:val="en-US" w:eastAsia="zh-CN"/>
              </w:rPr>
              <w:t>投标</w:t>
            </w:r>
            <w:r>
              <w:rPr>
                <w:rFonts w:hint="eastAsia" w:ascii="Times New Roman" w:hAnsi="Times New Roman" w:eastAsia="宋体" w:cs="Times New Roman"/>
                <w:spacing w:val="-1"/>
                <w:highlight w:val="none"/>
                <w:lang w:val="en-US" w:eastAsia="zh-CN"/>
              </w:rPr>
              <w:t>人同时满足下列要求：</w:t>
            </w:r>
          </w:p>
          <w:p w14:paraId="157332B6">
            <w:pPr>
              <w:keepNext w:val="0"/>
              <w:keepLines w:val="0"/>
              <w:pageBreakBefore w:val="0"/>
              <w:widowControl/>
              <w:kinsoku/>
              <w:overflowPunct/>
              <w:topLinePunct w:val="0"/>
              <w:autoSpaceDE/>
              <w:autoSpaceDN/>
              <w:bidi w:val="0"/>
              <w:spacing w:line="400" w:lineRule="exact"/>
              <w:jc w:val="left"/>
              <w:textAlignment w:val="auto"/>
              <w:rPr>
                <w:rFonts w:hint="eastAsia" w:ascii="Times New Roman" w:hAnsi="Times New Roman" w:eastAsia="宋体" w:cs="Times New Roman"/>
                <w:spacing w:val="-1"/>
                <w:highlight w:val="none"/>
                <w:lang w:val="en-US" w:eastAsia="zh-CN"/>
              </w:rPr>
            </w:pPr>
            <w:r>
              <w:rPr>
                <w:rFonts w:hint="eastAsia" w:ascii="Times New Roman" w:hAnsi="Times New Roman" w:eastAsia="宋体" w:cs="Times New Roman"/>
                <w:spacing w:val="-1"/>
                <w:highlight w:val="none"/>
                <w:lang w:val="en-US" w:eastAsia="zh-CN"/>
              </w:rPr>
              <w:t>①具有建筑行业（建筑工程）专业设计甲级或建筑行业设计甲级或工程综合设计资质；</w:t>
            </w:r>
          </w:p>
          <w:p w14:paraId="05B4BB4D">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ascii="Times New Roman" w:hAnsi="Times New Roman" w:eastAsia="宋体" w:cs="Times New Roman"/>
                <w:spacing w:val="-1"/>
                <w:highlight w:val="none"/>
                <w:lang w:val="en-US" w:eastAsia="zh-CN"/>
              </w:rPr>
              <w:t>②具有建筑工程施工总承包叁级（或以上）资质，具有有效的安全生产许可证。</w:t>
            </w:r>
          </w:p>
        </w:tc>
      </w:tr>
      <w:tr w14:paraId="13D82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327996FC">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auto"/>
                <w:kern w:val="0"/>
                <w:szCs w:val="21"/>
                <w:highlight w:val="none"/>
              </w:rPr>
            </w:pPr>
            <w:r>
              <w:rPr>
                <w:rFonts w:hint="eastAsia" w:ascii="宋体" w:hAnsi="宋体" w:cs="宋体"/>
                <w:bCs/>
                <w:snapToGrid w:val="0"/>
                <w:color w:val="auto"/>
                <w:kern w:val="0"/>
                <w:szCs w:val="21"/>
                <w:highlight w:val="none"/>
              </w:rPr>
              <w:t>项目</w:t>
            </w:r>
            <w:r>
              <w:rPr>
                <w:rFonts w:hint="eastAsia" w:ascii="宋体" w:hAnsi="宋体" w:cs="宋体"/>
                <w:bCs/>
                <w:snapToGrid w:val="0"/>
                <w:color w:val="auto"/>
                <w:kern w:val="0"/>
                <w:szCs w:val="21"/>
                <w:highlight w:val="none"/>
                <w:lang w:val="en-US" w:eastAsia="zh-CN"/>
              </w:rPr>
              <w:t>负责人</w:t>
            </w:r>
            <w:r>
              <w:rPr>
                <w:rFonts w:hint="eastAsia" w:ascii="宋体" w:hAnsi="宋体" w:cs="宋体"/>
                <w:bCs/>
                <w:snapToGrid w:val="0"/>
                <w:color w:val="auto"/>
                <w:kern w:val="0"/>
                <w:szCs w:val="21"/>
                <w:highlight w:val="none"/>
              </w:rPr>
              <w:t>资格要求</w:t>
            </w:r>
          </w:p>
        </w:tc>
        <w:tc>
          <w:tcPr>
            <w:tcW w:w="8313" w:type="dxa"/>
            <w:noWrap w:val="0"/>
            <w:vAlign w:val="center"/>
          </w:tcPr>
          <w:p w14:paraId="541F8C5A">
            <w:pPr>
              <w:keepNext w:val="0"/>
              <w:keepLines w:val="0"/>
              <w:pageBreakBefore w:val="0"/>
              <w:widowControl/>
              <w:kinsoku/>
              <w:overflowPunct/>
              <w:topLinePunct w:val="0"/>
              <w:autoSpaceDE/>
              <w:autoSpaceDN/>
              <w:bidi w:val="0"/>
              <w:spacing w:line="400" w:lineRule="exact"/>
              <w:jc w:val="left"/>
              <w:textAlignment w:val="auto"/>
              <w:rPr>
                <w:rFonts w:hint="eastAsia" w:eastAsia="宋体" w:cs="Times New Roman"/>
                <w:color w:val="auto"/>
                <w:szCs w:val="21"/>
                <w:highlight w:val="none"/>
                <w:lang w:val="en-US" w:eastAsia="zh-CN"/>
              </w:rPr>
            </w:pPr>
            <w:r>
              <w:rPr>
                <w:rFonts w:hint="eastAsia" w:ascii="Times New Roman" w:hAnsi="Times New Roman" w:eastAsia="宋体" w:cs="Times New Roman"/>
                <w:spacing w:val="0"/>
                <w:sz w:val="21"/>
                <w:highlight w:val="none"/>
                <w:lang w:val="en-US" w:eastAsia="zh-CN"/>
              </w:rPr>
              <w:t>具备注册在投标单位的建筑工程专业二级（或以上）注册建造师资格，具备有效的安全生产考核合格(B类)证书；本项目不接受投标截止时间前六个月内在滁州市区域内办理过项目经理（建造师）变更备案手续的原项目经理（建造师）作为拟任项目经理（建造师）参加投标。</w:t>
            </w:r>
            <w:r>
              <w:rPr>
                <w:rFonts w:hint="eastAsia" w:ascii="Times New Roman" w:hAnsi="Times New Roman" w:cs="Times New Roman"/>
                <w:spacing w:val="0"/>
                <w:sz w:val="21"/>
                <w:highlight w:val="none"/>
                <w:lang w:val="en-US" w:eastAsia="zh-CN"/>
              </w:rPr>
              <w:t>（</w:t>
            </w:r>
            <w:r>
              <w:rPr>
                <w:rFonts w:hint="eastAsia" w:ascii="Times New Roman" w:hAnsi="Times New Roman" w:eastAsia="宋体" w:cs="Times New Roman"/>
                <w:spacing w:val="0"/>
                <w:sz w:val="21"/>
                <w:highlight w:val="none"/>
                <w:lang w:val="en-US" w:eastAsia="zh-CN"/>
              </w:rPr>
              <w:t>若为联合体投标的，需由</w:t>
            </w:r>
            <w:r>
              <w:rPr>
                <w:rFonts w:hint="eastAsia" w:ascii="Times New Roman" w:hAnsi="Times New Roman" w:cs="Times New Roman"/>
                <w:spacing w:val="0"/>
                <w:sz w:val="21"/>
                <w:highlight w:val="none"/>
                <w:lang w:val="en-US" w:eastAsia="zh-CN"/>
              </w:rPr>
              <w:t>联合体</w:t>
            </w:r>
            <w:r>
              <w:rPr>
                <w:rFonts w:hint="eastAsia" w:ascii="Times New Roman" w:hAnsi="Times New Roman" w:eastAsia="宋体" w:cs="Times New Roman"/>
                <w:spacing w:val="0"/>
                <w:sz w:val="21"/>
                <w:highlight w:val="none"/>
                <w:lang w:val="en-US" w:eastAsia="zh-CN"/>
              </w:rPr>
              <w:t>牵头方委派。</w:t>
            </w:r>
            <w:r>
              <w:rPr>
                <w:rFonts w:hint="eastAsia" w:ascii="Times New Roman" w:hAnsi="Times New Roman" w:cs="Times New Roman"/>
                <w:spacing w:val="0"/>
                <w:sz w:val="21"/>
                <w:highlight w:val="none"/>
                <w:lang w:val="en-US" w:eastAsia="zh-CN"/>
              </w:rPr>
              <w:t>）</w:t>
            </w:r>
          </w:p>
        </w:tc>
      </w:tr>
      <w:tr w14:paraId="6E628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AFC0401">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信誉要求</w:t>
            </w:r>
          </w:p>
        </w:tc>
        <w:tc>
          <w:tcPr>
            <w:tcW w:w="8313" w:type="dxa"/>
            <w:noWrap w:val="0"/>
            <w:vAlign w:val="center"/>
          </w:tcPr>
          <w:p w14:paraId="03018103">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color w:val="000000"/>
                <w:szCs w:val="21"/>
                <w:highlight w:val="none"/>
              </w:rPr>
              <w:t>1、投标人存在以下情形之一的，不得被确定为中标人：</w:t>
            </w:r>
          </w:p>
          <w:p w14:paraId="03971CD6">
            <w:pPr>
              <w:keepNext w:val="0"/>
              <w:keepLines w:val="0"/>
              <w:pageBreakBefore w:val="0"/>
              <w:widowControl/>
              <w:kinsoku/>
              <w:overflowPunct/>
              <w:topLinePunct w:val="0"/>
              <w:autoSpaceDE/>
              <w:autoSpaceDN/>
              <w:bidi w:val="0"/>
              <w:spacing w:line="400" w:lineRule="exact"/>
              <w:jc w:val="left"/>
              <w:textAlignment w:val="auto"/>
              <w:rPr>
                <w:rFonts w:hint="eastAsia" w:eastAsia="宋体"/>
                <w:color w:val="000000"/>
                <w:szCs w:val="21"/>
                <w:highlight w:val="none"/>
                <w:lang w:eastAsia="zh-CN"/>
              </w:rPr>
            </w:pPr>
            <w:bookmarkStart w:id="3" w:name="OLE_LINK135"/>
            <w:bookmarkStart w:id="4" w:name="OLE_LINK131"/>
            <w:bookmarkStart w:id="5" w:name="OLE_LINK132"/>
            <w:bookmarkStart w:id="6" w:name="OLE_LINK138"/>
            <w:r>
              <w:rPr>
                <w:rFonts w:hint="eastAsia"/>
                <w:color w:val="000000"/>
                <w:szCs w:val="21"/>
                <w:highlight w:val="none"/>
              </w:rPr>
              <w:t>①被列入“信用中国”网站“失信被执行人”的</w:t>
            </w:r>
            <w:r>
              <w:rPr>
                <w:rFonts w:hint="eastAsia"/>
                <w:color w:val="000000"/>
                <w:szCs w:val="21"/>
                <w:highlight w:val="none"/>
                <w:lang w:eastAsia="zh-CN"/>
              </w:rPr>
              <w:t>；</w:t>
            </w:r>
          </w:p>
          <w:p w14:paraId="7F59DED1">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color w:val="000000"/>
                <w:szCs w:val="21"/>
                <w:highlight w:val="none"/>
              </w:rPr>
              <w:t>②被列入“信用中国”网站“重大税收违法失信主体”的；</w:t>
            </w:r>
          </w:p>
          <w:p w14:paraId="73FD29CA">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color w:val="000000"/>
                <w:szCs w:val="21"/>
                <w:highlight w:val="none"/>
              </w:rPr>
              <w:t>③被列入“信用中国”网站“拖欠农民工工资失信联合惩戒对象名单”的；</w:t>
            </w:r>
          </w:p>
          <w:p w14:paraId="16B60BBE">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color w:val="000000"/>
                <w:szCs w:val="21"/>
                <w:highlight w:val="none"/>
              </w:rPr>
              <w:t>④被列入“信用中国”网站</w:t>
            </w:r>
            <w:r>
              <w:rPr>
                <w:color w:val="000000"/>
                <w:szCs w:val="21"/>
                <w:highlight w:val="none"/>
              </w:rPr>
              <w:t xml:space="preserve"> </w:t>
            </w:r>
            <w:r>
              <w:rPr>
                <w:rFonts w:hint="eastAsia"/>
                <w:color w:val="000000"/>
                <w:szCs w:val="21"/>
                <w:highlight w:val="none"/>
              </w:rPr>
              <w:t>“严重失信主体名单”的；</w:t>
            </w:r>
          </w:p>
          <w:p w14:paraId="10424EB3">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color w:val="000000"/>
                <w:szCs w:val="21"/>
                <w:highlight w:val="none"/>
              </w:rPr>
              <w:t>⑤在</w:t>
            </w:r>
            <w:bookmarkStart w:id="7" w:name="OLE_LINK128"/>
            <w:bookmarkStart w:id="8" w:name="OLE_LINK127"/>
            <w:bookmarkStart w:id="9" w:name="OLE_LINK129"/>
            <w:r>
              <w:rPr>
                <w:rFonts w:hint="eastAsia"/>
                <w:color w:val="000000"/>
                <w:szCs w:val="21"/>
                <w:highlight w:val="none"/>
              </w:rPr>
              <w:t>“信用中国”网站</w:t>
            </w:r>
            <w:bookmarkEnd w:id="7"/>
            <w:bookmarkEnd w:id="8"/>
            <w:bookmarkEnd w:id="9"/>
            <w:r>
              <w:rPr>
                <w:rFonts w:hint="eastAsia"/>
                <w:color w:val="000000"/>
                <w:szCs w:val="21"/>
                <w:highlight w:val="none"/>
              </w:rPr>
              <w:t>上披露的仍在公示期的严重失信行为</w:t>
            </w:r>
            <w:r>
              <w:rPr>
                <w:color w:val="000000"/>
                <w:szCs w:val="21"/>
                <w:highlight w:val="none"/>
              </w:rPr>
              <w:t>(</w:t>
            </w:r>
            <w:r>
              <w:rPr>
                <w:rFonts w:hint="eastAsia"/>
                <w:color w:val="000000"/>
                <w:szCs w:val="21"/>
                <w:highlight w:val="none"/>
              </w:rPr>
              <w:t>具体行为类别及判定依据见附件</w:t>
            </w:r>
            <w:r>
              <w:rPr>
                <w:color w:val="000000"/>
                <w:szCs w:val="21"/>
                <w:highlight w:val="none"/>
              </w:rPr>
              <w:t>2)</w:t>
            </w:r>
            <w:r>
              <w:rPr>
                <w:rFonts w:hint="eastAsia"/>
                <w:color w:val="000000"/>
                <w:szCs w:val="21"/>
                <w:highlight w:val="none"/>
              </w:rPr>
              <w:t>的。</w:t>
            </w:r>
          </w:p>
          <w:p w14:paraId="30DEDE00">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bookmarkStart w:id="10" w:name="OLE_LINK114"/>
            <w:bookmarkStart w:id="11" w:name="OLE_LINK113"/>
            <w:r>
              <w:rPr>
                <w:rFonts w:hint="eastAsia" w:ascii="仿宋_GB2312" w:eastAsia="仿宋_GB2312"/>
                <w:color w:val="000000"/>
                <w:szCs w:val="21"/>
                <w:highlight w:val="none"/>
              </w:rPr>
              <w:t>⑥</w:t>
            </w:r>
            <w:r>
              <w:rPr>
                <w:rFonts w:hint="eastAsia"/>
                <w:color w:val="000000"/>
                <w:szCs w:val="21"/>
                <w:highlight w:val="none"/>
              </w:rPr>
              <w:t>被列入国家企业信用信息公示系统网站“经营异常名录”或者“严重违法失信名单”的</w:t>
            </w:r>
            <w:bookmarkEnd w:id="10"/>
            <w:bookmarkEnd w:id="11"/>
            <w:r>
              <w:rPr>
                <w:rFonts w:hint="eastAsia"/>
                <w:color w:val="000000"/>
                <w:szCs w:val="21"/>
                <w:highlight w:val="none"/>
              </w:rPr>
              <w:t>。</w:t>
            </w:r>
          </w:p>
          <w:p w14:paraId="27104EFB">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ascii="仿宋_GB2312" w:eastAsia="仿宋_GB2312"/>
                <w:color w:val="000000"/>
                <w:szCs w:val="21"/>
                <w:highlight w:val="none"/>
              </w:rPr>
              <w:t>⑦</w:t>
            </w:r>
            <w:r>
              <w:rPr>
                <w:rFonts w:hint="eastAsia"/>
                <w:color w:val="000000"/>
                <w:szCs w:val="21"/>
                <w:highlight w:val="none"/>
              </w:rPr>
              <w:t>前三年有行贿犯罪行为的单位和个人；</w:t>
            </w:r>
          </w:p>
          <w:p w14:paraId="19CBFC1D">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ascii="宋体" w:hAnsi="宋体"/>
                <w:color w:val="000000"/>
                <w:szCs w:val="21"/>
                <w:highlight w:val="none"/>
              </w:rPr>
              <w:t>⑧</w:t>
            </w:r>
            <w:r>
              <w:rPr>
                <w:rFonts w:hint="eastAsia"/>
                <w:color w:val="000000"/>
                <w:szCs w:val="21"/>
                <w:highlight w:val="none"/>
              </w:rPr>
              <w:t>被滁州市县两级公管部门及各行业主管部门取消在一定期限内的投标资格且在取消期限内的；</w:t>
            </w:r>
          </w:p>
          <w:p w14:paraId="7B82BBA9">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ascii="宋体" w:hAnsi="宋体"/>
                <w:color w:val="000000"/>
                <w:szCs w:val="21"/>
                <w:highlight w:val="none"/>
              </w:rPr>
              <w:t>⑨</w:t>
            </w:r>
            <w:r>
              <w:rPr>
                <w:rFonts w:hint="eastAsia"/>
                <w:color w:val="000000"/>
                <w:szCs w:val="21"/>
                <w:highlight w:val="none"/>
              </w:rPr>
              <w:t>因拖欠农民工工资被县级及以上有关行政主管部门限制投标资格且在限制期限内的；</w:t>
            </w:r>
          </w:p>
          <w:p w14:paraId="1031498E">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ascii="宋体" w:hAnsi="宋体"/>
                <w:color w:val="000000"/>
                <w:szCs w:val="21"/>
                <w:highlight w:val="none"/>
              </w:rPr>
              <w:t>⑩</w:t>
            </w:r>
            <w:r>
              <w:rPr>
                <w:rFonts w:hint="eastAsia"/>
                <w:color w:val="000000"/>
                <w:szCs w:val="21"/>
                <w:highlight w:val="none"/>
              </w:rPr>
              <w:t>被列入省级、市级农民工工资支付异常名录的施工企业，在限制其参加全市范围内房建和市政工程建设项目投标的期限内的；列入县级异常名录的施工企业，在限制其参加本行政区域内房建和市政建设项目投标的期限内的。</w:t>
            </w:r>
          </w:p>
          <w:bookmarkEnd w:id="3"/>
          <w:bookmarkEnd w:id="4"/>
          <w:bookmarkEnd w:id="5"/>
          <w:bookmarkEnd w:id="6"/>
          <w:p w14:paraId="405DACD7">
            <w:pPr>
              <w:keepNext w:val="0"/>
              <w:keepLines w:val="0"/>
              <w:pageBreakBefore w:val="0"/>
              <w:widowControl/>
              <w:kinsoku/>
              <w:overflowPunct/>
              <w:topLinePunct w:val="0"/>
              <w:autoSpaceDE/>
              <w:autoSpaceDN/>
              <w:bidi w:val="0"/>
              <w:spacing w:line="400" w:lineRule="exact"/>
              <w:ind w:left="105" w:hanging="105" w:hangingChars="50"/>
              <w:jc w:val="left"/>
              <w:textAlignment w:val="auto"/>
              <w:rPr>
                <w:color w:val="000000"/>
                <w:szCs w:val="21"/>
                <w:highlight w:val="none"/>
              </w:rPr>
            </w:pPr>
            <w:r>
              <w:rPr>
                <w:color w:val="000000"/>
                <w:szCs w:val="21"/>
                <w:highlight w:val="none"/>
              </w:rPr>
              <w:t>2</w:t>
            </w:r>
            <w:r>
              <w:rPr>
                <w:rFonts w:hint="eastAsia" w:eastAsia="宋体" w:cs="Times New Roman"/>
                <w:color w:val="000000"/>
                <w:szCs w:val="21"/>
                <w:highlight w:val="none"/>
              </w:rPr>
              <w:t>、投标人所属分公司、办事处等分支机构存在第1条信誉要求①-⑩项情形之一的，接受其被确定为中标人。</w:t>
            </w:r>
          </w:p>
          <w:p w14:paraId="2726EF53">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color w:val="000000"/>
                <w:szCs w:val="21"/>
                <w:highlight w:val="none"/>
              </w:rPr>
              <w:t>备注：第1、2条按照附件1“关于联合惩戒失信行为加强信用查询管理的通知”查询或承诺。</w:t>
            </w:r>
          </w:p>
        </w:tc>
      </w:tr>
      <w:tr w14:paraId="3D719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B1E2FAB">
            <w:pPr>
              <w:keepNext w:val="0"/>
              <w:keepLines w:val="0"/>
              <w:pageBreakBefore w:val="0"/>
              <w:widowControl/>
              <w:kinsoku/>
              <w:overflowPunct/>
              <w:topLinePunct w:val="0"/>
              <w:autoSpaceDE/>
              <w:autoSpaceDN/>
              <w:bidi w:val="0"/>
              <w:spacing w:line="400" w:lineRule="exact"/>
              <w:jc w:val="center"/>
              <w:textAlignment w:val="auto"/>
              <w:rPr>
                <w:rFonts w:ascii="宋体" w:cs="宋体"/>
                <w:color w:val="000000"/>
                <w:kern w:val="0"/>
                <w:szCs w:val="21"/>
                <w:highlight w:val="none"/>
              </w:rPr>
            </w:pPr>
            <w:r>
              <w:rPr>
                <w:rFonts w:hint="eastAsia" w:ascii="宋体" w:hAnsi="宋体" w:cs="宋体"/>
                <w:color w:val="000000"/>
                <w:kern w:val="0"/>
                <w:szCs w:val="21"/>
                <w:highlight w:val="none"/>
              </w:rPr>
              <w:t>联合体投标</w:t>
            </w:r>
          </w:p>
        </w:tc>
        <w:tc>
          <w:tcPr>
            <w:tcW w:w="8313" w:type="dxa"/>
            <w:noWrap w:val="0"/>
            <w:vAlign w:val="center"/>
          </w:tcPr>
          <w:p w14:paraId="7AE83122">
            <w:pPr>
              <w:keepNext w:val="0"/>
              <w:keepLines w:val="0"/>
              <w:pageBreakBefore w:val="0"/>
              <w:widowControl/>
              <w:kinsoku/>
              <w:overflowPunct/>
              <w:topLinePunct w:val="0"/>
              <w:autoSpaceDE/>
              <w:autoSpaceDN/>
              <w:bidi w:val="0"/>
              <w:adjustRightInd w:val="0"/>
              <w:snapToGrid w:val="0"/>
              <w:spacing w:line="400" w:lineRule="exact"/>
              <w:jc w:val="left"/>
              <w:textAlignment w:val="auto"/>
              <w:rPr>
                <w:rFonts w:hint="eastAsia" w:ascii="宋体" w:hAnsi="宋体" w:cs="宋体"/>
                <w:kern w:val="0"/>
                <w:highlight w:val="none"/>
              </w:rPr>
            </w:pPr>
            <w:r>
              <w:rPr>
                <w:rFonts w:hint="eastAsia" w:ascii="宋体" w:hAnsi="宋体" w:cs="宋体"/>
                <w:kern w:val="0"/>
                <w:highlight w:val="none"/>
              </w:rPr>
              <w:t>本次招标接受联合体投标，应满足下列要求：</w:t>
            </w:r>
          </w:p>
          <w:p w14:paraId="65837209">
            <w:pPr>
              <w:keepNext w:val="0"/>
              <w:keepLines w:val="0"/>
              <w:pageBreakBefore w:val="0"/>
              <w:widowControl/>
              <w:kinsoku/>
              <w:overflowPunct/>
              <w:topLinePunct w:val="0"/>
              <w:autoSpaceDE/>
              <w:autoSpaceDN/>
              <w:bidi w:val="0"/>
              <w:adjustRightInd w:val="0"/>
              <w:snapToGrid w:val="0"/>
              <w:spacing w:line="400" w:lineRule="exact"/>
              <w:jc w:val="left"/>
              <w:textAlignment w:val="auto"/>
              <w:rPr>
                <w:rFonts w:hint="eastAsia" w:ascii="宋体" w:hAnsi="宋体" w:cs="宋体"/>
                <w:kern w:val="0"/>
                <w:highlight w:val="none"/>
              </w:rPr>
            </w:pPr>
            <w:r>
              <w:rPr>
                <w:rFonts w:hint="eastAsia" w:ascii="宋体" w:hAnsi="宋体" w:cs="宋体"/>
                <w:kern w:val="0"/>
                <w:highlight w:val="none"/>
                <w:lang w:val="en-US" w:eastAsia="zh-CN"/>
              </w:rPr>
              <w:t>1</w:t>
            </w:r>
            <w:r>
              <w:rPr>
                <w:rFonts w:hint="eastAsia" w:ascii="宋体" w:hAnsi="宋体" w:cs="宋体"/>
                <w:kern w:val="0"/>
                <w:highlight w:val="none"/>
              </w:rPr>
              <w:t>、</w:t>
            </w:r>
            <w:r>
              <w:rPr>
                <w:rFonts w:hint="eastAsia" w:ascii="宋体" w:hAnsi="宋体" w:cs="宋体"/>
                <w:kern w:val="0"/>
                <w:highlight w:val="none"/>
                <w:lang w:val="en-US" w:eastAsia="zh-CN"/>
              </w:rPr>
              <w:t>联合体牵头方为建筑工程施工总承包企业。</w:t>
            </w:r>
          </w:p>
          <w:p w14:paraId="5FC1F469">
            <w:pPr>
              <w:keepNext w:val="0"/>
              <w:keepLines w:val="0"/>
              <w:pageBreakBefore w:val="0"/>
              <w:widowControl/>
              <w:kinsoku/>
              <w:overflowPunct/>
              <w:topLinePunct w:val="0"/>
              <w:autoSpaceDE/>
              <w:autoSpaceDN/>
              <w:bidi w:val="0"/>
              <w:adjustRightInd w:val="0"/>
              <w:snapToGrid w:val="0"/>
              <w:spacing w:line="400" w:lineRule="exact"/>
              <w:jc w:val="left"/>
              <w:textAlignment w:val="auto"/>
              <w:rPr>
                <w:rFonts w:ascii="宋体" w:hAnsi="宋体" w:cs="宋体"/>
                <w:color w:val="000000"/>
                <w:kern w:val="0"/>
                <w:szCs w:val="21"/>
                <w:highlight w:val="none"/>
              </w:rPr>
            </w:pPr>
            <w:r>
              <w:rPr>
                <w:rFonts w:hint="eastAsia" w:ascii="宋体" w:hAnsi="宋体" w:cs="宋体"/>
                <w:bCs/>
                <w:color w:val="000000"/>
                <w:kern w:val="0"/>
                <w:szCs w:val="21"/>
                <w:highlight w:val="none"/>
                <w:lang w:val="en-US" w:eastAsia="zh-CN"/>
              </w:rPr>
              <w:t>2、</w:t>
            </w:r>
            <w:r>
              <w:rPr>
                <w:rFonts w:hint="eastAsia" w:ascii="宋体" w:hAnsi="宋体" w:cs="宋体"/>
                <w:bCs/>
                <w:color w:val="000000"/>
                <w:kern w:val="0"/>
                <w:szCs w:val="21"/>
                <w:highlight w:val="none"/>
              </w:rPr>
              <w:t>联合体参加投标的，</w:t>
            </w:r>
            <w:r>
              <w:rPr>
                <w:rFonts w:hint="eastAsia" w:ascii="宋体" w:hAnsi="宋体" w:cs="宋体"/>
                <w:b/>
                <w:color w:val="000000"/>
                <w:kern w:val="0"/>
                <w:szCs w:val="21"/>
                <w:highlight w:val="none"/>
              </w:rPr>
              <w:t xml:space="preserve">联合体（牵头方和成员方）总数不得超过 </w:t>
            </w:r>
            <w:r>
              <w:rPr>
                <w:rFonts w:hint="eastAsia" w:ascii="宋体" w:hAnsi="宋体" w:cs="宋体"/>
                <w:b/>
                <w:color w:val="000000"/>
                <w:kern w:val="0"/>
                <w:szCs w:val="21"/>
                <w:highlight w:val="none"/>
                <w:u w:val="single"/>
              </w:rPr>
              <w:t>2</w:t>
            </w:r>
            <w:r>
              <w:rPr>
                <w:rFonts w:hint="eastAsia" w:ascii="宋体" w:hAnsi="宋体" w:cs="宋体"/>
                <w:b/>
                <w:color w:val="000000"/>
                <w:kern w:val="0"/>
                <w:szCs w:val="21"/>
                <w:highlight w:val="none"/>
              </w:rPr>
              <w:t>家</w:t>
            </w:r>
            <w:r>
              <w:rPr>
                <w:color w:val="000000"/>
                <w:spacing w:val="-2"/>
                <w:szCs w:val="21"/>
                <w:highlight w:val="none"/>
              </w:rPr>
              <w:t>。</w:t>
            </w:r>
            <w:r>
              <w:rPr>
                <w:rFonts w:hint="eastAsia" w:ascii="宋体" w:hAnsi="宋体" w:cs="宋体"/>
                <w:bCs/>
                <w:color w:val="000000"/>
                <w:kern w:val="0"/>
                <w:szCs w:val="21"/>
                <w:highlight w:val="none"/>
              </w:rPr>
              <w:t>同一专业工程由一个单位承担的，按照承担单位资质确定资质等级；同一专业工程由两个单位共同承担的，按照资质等级较低的单位确定资质等级；不同专业工程由不同单位分别承担的，按照各单位的相应资质确定联合体</w:t>
            </w:r>
            <w:r>
              <w:rPr>
                <w:rFonts w:hint="eastAsia" w:ascii="宋体" w:hAnsi="宋体" w:cs="宋体"/>
                <w:color w:val="000000"/>
                <w:kern w:val="0"/>
                <w:szCs w:val="21"/>
                <w:highlight w:val="none"/>
              </w:rPr>
              <w:t>的资质。联合体牵头人和联合体成员按专业分工确定的联合体资质须满足招标文件的要求。</w:t>
            </w:r>
          </w:p>
          <w:p w14:paraId="6E89E2F3">
            <w:pPr>
              <w:keepNext w:val="0"/>
              <w:keepLines w:val="0"/>
              <w:pageBreakBefore w:val="0"/>
              <w:widowControl/>
              <w:kinsoku/>
              <w:overflowPunct/>
              <w:topLinePunct w:val="0"/>
              <w:autoSpaceDE/>
              <w:autoSpaceDN/>
              <w:bidi w:val="0"/>
              <w:adjustRightInd w:val="0"/>
              <w:snapToGrid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lang w:val="en-US" w:eastAsia="zh-CN"/>
              </w:rPr>
              <w:t>3</w:t>
            </w:r>
            <w:r>
              <w:rPr>
                <w:rFonts w:hint="eastAsia" w:ascii="宋体" w:hAnsi="宋体" w:cs="宋体"/>
                <w:color w:val="000000"/>
                <w:kern w:val="0"/>
                <w:szCs w:val="21"/>
                <w:highlight w:val="none"/>
              </w:rPr>
              <w:t>、联合体参加投标的，招标文件下载、投标保证金缴纳、投标文件编制、电子签章、网上递交标书、解密等工作均由其牵头人负责办理，其他联合体成员方按招标文件要求提供相关材料即可。</w:t>
            </w:r>
          </w:p>
          <w:p w14:paraId="7ED6D8F7">
            <w:pPr>
              <w:keepNext w:val="0"/>
              <w:keepLines w:val="0"/>
              <w:pageBreakBefore w:val="0"/>
              <w:kinsoku/>
              <w:overflowPunct/>
              <w:topLinePunct w:val="0"/>
              <w:autoSpaceDE/>
              <w:autoSpaceDN/>
              <w:bidi w:val="0"/>
              <w:adjustRightInd w:val="0"/>
              <w:snapToGrid w:val="0"/>
              <w:spacing w:line="400" w:lineRule="exact"/>
              <w:textAlignment w:val="auto"/>
              <w:rPr>
                <w:rFonts w:ascii="宋体" w:hAnsi="宋体" w:cs="宋体"/>
                <w:color w:val="000000"/>
                <w:kern w:val="0"/>
                <w:szCs w:val="21"/>
                <w:highlight w:val="none"/>
              </w:rPr>
            </w:pPr>
            <w:r>
              <w:rPr>
                <w:rFonts w:hint="eastAsia" w:ascii="宋体" w:hAnsi="宋体" w:cs="宋体"/>
                <w:color w:val="000000"/>
                <w:kern w:val="0"/>
                <w:szCs w:val="21"/>
                <w:highlight w:val="none"/>
                <w:lang w:val="en-US" w:eastAsia="zh-CN"/>
              </w:rPr>
              <w:t>4</w:t>
            </w:r>
            <w:r>
              <w:rPr>
                <w:rFonts w:hint="eastAsia" w:ascii="宋体" w:hAnsi="宋体" w:cs="宋体"/>
                <w:color w:val="000000"/>
                <w:kern w:val="0"/>
                <w:szCs w:val="21"/>
                <w:highlight w:val="none"/>
              </w:rPr>
              <w:t>、联合体参加投标的，一旦中标，联合体各方将向招标人承担连带责任，各方应服从招标人的管理。</w:t>
            </w:r>
          </w:p>
          <w:p w14:paraId="084F8838">
            <w:pPr>
              <w:keepNext w:val="0"/>
              <w:keepLines w:val="0"/>
              <w:pageBreakBefore w:val="0"/>
              <w:kinsoku/>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lang w:val="en-US" w:eastAsia="zh-CN"/>
              </w:rPr>
              <w:t>5</w:t>
            </w:r>
            <w:r>
              <w:rPr>
                <w:rFonts w:hint="eastAsia" w:ascii="宋体" w:hAnsi="宋体" w:cs="宋体"/>
                <w:color w:val="000000"/>
                <w:kern w:val="0"/>
                <w:szCs w:val="21"/>
                <w:highlight w:val="none"/>
              </w:rPr>
              <w:t>、若为联合体投标的，联合体投标牵头方必须在投标文件中填报派驻项目经理（建造师）A岗，联合体成员方可根据项目情况自行选择是否在投标文件中填报派驻项目经理（建造师）B岗，若派驻，AB岗须满足项目经理资格要求。如联合体成员方没有在投标文件中填报派驻项目经理（建造师） B岗的，视为放弃填报派驻项目经理（建造师） B岗的权利，中标后不予填报增派。</w:t>
            </w:r>
          </w:p>
          <w:p w14:paraId="68F8D811">
            <w:pPr>
              <w:keepNext w:val="0"/>
              <w:keepLines w:val="0"/>
              <w:pageBreakBefore w:val="0"/>
              <w:widowControl/>
              <w:kinsoku/>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lang w:val="en-US" w:eastAsia="zh-CN"/>
              </w:rPr>
              <w:t>6</w:t>
            </w:r>
            <w:r>
              <w:rPr>
                <w:rFonts w:hint="eastAsia" w:ascii="宋体" w:hAnsi="宋体" w:cs="宋体"/>
                <w:color w:val="000000"/>
                <w:kern w:val="0"/>
                <w:szCs w:val="21"/>
                <w:highlight w:val="none"/>
              </w:rPr>
              <w:t>、联合体牵头人及成员单位共同对所提交的投标文件及相关证书材料的真实合规性负责。如联合体任一方出现保证金不予退还的情形，联合体所缴纳的投标保证金均不予退还。</w:t>
            </w:r>
          </w:p>
        </w:tc>
      </w:tr>
      <w:tr w14:paraId="0C84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337A5936">
            <w:pPr>
              <w:keepNext w:val="0"/>
              <w:keepLines w:val="0"/>
              <w:pageBreakBefore w:val="0"/>
              <w:widowControl/>
              <w:kinsoku/>
              <w:overflowPunct/>
              <w:topLinePunct w:val="0"/>
              <w:autoSpaceDE/>
              <w:autoSpaceDN/>
              <w:bidi w:val="0"/>
              <w:spacing w:line="400" w:lineRule="exact"/>
              <w:jc w:val="center"/>
              <w:textAlignment w:val="auto"/>
              <w:rPr>
                <w:rFonts w:ascii="宋体" w:cs="宋体"/>
                <w:color w:val="000000"/>
                <w:kern w:val="0"/>
                <w:szCs w:val="21"/>
                <w:highlight w:val="none"/>
              </w:rPr>
            </w:pPr>
            <w:r>
              <w:rPr>
                <w:rFonts w:hint="eastAsia" w:ascii="宋体" w:hAnsi="宋体" w:cs="宋体"/>
                <w:color w:val="000000"/>
                <w:kern w:val="0"/>
                <w:szCs w:val="21"/>
                <w:highlight w:val="none"/>
              </w:rPr>
              <w:t>多标段投标</w:t>
            </w:r>
          </w:p>
        </w:tc>
        <w:tc>
          <w:tcPr>
            <w:tcW w:w="8313" w:type="dxa"/>
            <w:noWrap w:val="0"/>
            <w:vAlign w:val="center"/>
          </w:tcPr>
          <w:p w14:paraId="028CCB4C">
            <w:pPr>
              <w:keepNext w:val="0"/>
              <w:keepLines w:val="0"/>
              <w:pageBreakBefore w:val="0"/>
              <w:widowControl/>
              <w:kinsoku/>
              <w:overflowPunct/>
              <w:topLinePunct w:val="0"/>
              <w:autoSpaceDE/>
              <w:autoSpaceDN/>
              <w:bidi w:val="0"/>
              <w:spacing w:line="400" w:lineRule="exact"/>
              <w:jc w:val="left"/>
              <w:textAlignment w:val="auto"/>
              <w:rPr>
                <w:rFonts w:hint="default" w:ascii="宋体" w:eastAsia="宋体" w:cs="宋体-18030"/>
                <w:color w:val="000000"/>
                <w:szCs w:val="21"/>
                <w:highlight w:val="none"/>
                <w:lang w:val="en-US" w:eastAsia="zh-CN"/>
              </w:rPr>
            </w:pPr>
            <w:r>
              <w:rPr>
                <w:rFonts w:hint="eastAsia" w:ascii="宋体" w:cs="宋体-18030"/>
                <w:color w:val="000000"/>
                <w:szCs w:val="21"/>
                <w:highlight w:val="none"/>
                <w:lang w:val="en-US" w:eastAsia="zh-CN"/>
              </w:rPr>
              <w:t>/</w:t>
            </w:r>
          </w:p>
        </w:tc>
      </w:tr>
      <w:tr w14:paraId="0DE20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354A0531">
            <w:pPr>
              <w:keepNext w:val="0"/>
              <w:keepLines w:val="0"/>
              <w:pageBreakBefore w:val="0"/>
              <w:widowControl/>
              <w:kinsoku/>
              <w:overflowPunct/>
              <w:topLinePunct w:val="0"/>
              <w:autoSpaceDE/>
              <w:autoSpaceDN/>
              <w:bidi w:val="0"/>
              <w:spacing w:line="400" w:lineRule="exact"/>
              <w:jc w:val="center"/>
              <w:textAlignment w:val="auto"/>
              <w:rPr>
                <w:rFonts w:ascii="宋体" w:cs="宋体"/>
                <w:color w:val="000000"/>
                <w:kern w:val="0"/>
                <w:szCs w:val="21"/>
                <w:highlight w:val="none"/>
              </w:rPr>
            </w:pPr>
            <w:r>
              <w:rPr>
                <w:rFonts w:hint="eastAsia" w:ascii="宋体" w:hAnsi="宋体" w:cs="宋体"/>
                <w:color w:val="000000"/>
                <w:kern w:val="0"/>
                <w:szCs w:val="21"/>
                <w:highlight w:val="none"/>
              </w:rPr>
              <w:t>其他要求</w:t>
            </w:r>
          </w:p>
        </w:tc>
        <w:tc>
          <w:tcPr>
            <w:tcW w:w="8313" w:type="dxa"/>
            <w:noWrap w:val="0"/>
            <w:vAlign w:val="center"/>
          </w:tcPr>
          <w:p w14:paraId="29BB6724">
            <w:pPr>
              <w:keepNext w:val="0"/>
              <w:keepLines w:val="0"/>
              <w:pageBreakBefore w:val="0"/>
              <w:kinsoku/>
              <w:overflowPunct/>
              <w:topLinePunct w:val="0"/>
              <w:autoSpaceDE/>
              <w:autoSpaceDN/>
              <w:bidi w:val="0"/>
              <w:spacing w:line="400" w:lineRule="exact"/>
              <w:jc w:val="left"/>
              <w:textAlignment w:val="auto"/>
              <w:rPr>
                <w:rFonts w:hint="default" w:ascii="宋体" w:eastAsia="宋体" w:cs="宋体-18030"/>
                <w:color w:val="000000"/>
                <w:szCs w:val="21"/>
                <w:highlight w:val="none"/>
                <w:lang w:val="en-US" w:eastAsia="zh-CN"/>
              </w:rPr>
            </w:pPr>
            <w:r>
              <w:rPr>
                <w:rFonts w:hint="eastAsia" w:ascii="宋体" w:cs="宋体-18030"/>
                <w:color w:val="000000"/>
                <w:szCs w:val="21"/>
                <w:highlight w:val="none"/>
                <w:lang w:val="en-US" w:eastAsia="zh-CN"/>
              </w:rPr>
              <w:t>/</w:t>
            </w:r>
          </w:p>
        </w:tc>
      </w:tr>
      <w:tr w14:paraId="0BD9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8" w:type="dxa"/>
            <w:gridSpan w:val="2"/>
            <w:noWrap w:val="0"/>
            <w:vAlign w:val="center"/>
          </w:tcPr>
          <w:p w14:paraId="0889B5C5">
            <w:pPr>
              <w:keepNext w:val="0"/>
              <w:keepLines w:val="0"/>
              <w:pageBreakBefore w:val="0"/>
              <w:widowControl/>
              <w:kinsoku/>
              <w:overflowPunct/>
              <w:topLinePunct w:val="0"/>
              <w:autoSpaceDE/>
              <w:autoSpaceDN/>
              <w:bidi w:val="0"/>
              <w:spacing w:line="400" w:lineRule="exact"/>
              <w:jc w:val="center"/>
              <w:textAlignment w:val="auto"/>
              <w:rPr>
                <w:b/>
                <w:color w:val="000000"/>
                <w:sz w:val="24"/>
                <w:highlight w:val="none"/>
              </w:rPr>
            </w:pPr>
            <w:r>
              <w:rPr>
                <w:rFonts w:hint="eastAsia"/>
                <w:b/>
                <w:color w:val="000000"/>
                <w:sz w:val="24"/>
                <w:highlight w:val="none"/>
              </w:rPr>
              <w:t>招标文件的获取</w:t>
            </w:r>
          </w:p>
        </w:tc>
      </w:tr>
      <w:tr w14:paraId="3A4A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007C8BB8">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获取时间</w:t>
            </w:r>
          </w:p>
        </w:tc>
        <w:tc>
          <w:tcPr>
            <w:tcW w:w="8313" w:type="dxa"/>
            <w:noWrap w:val="0"/>
            <w:vAlign w:val="center"/>
          </w:tcPr>
          <w:p w14:paraId="40AA563F">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ascii="宋体" w:hAnsi="宋体" w:cs="宋体"/>
                <w:bCs/>
                <w:snapToGrid w:val="0"/>
                <w:color w:val="000000"/>
                <w:kern w:val="0"/>
                <w:szCs w:val="21"/>
                <w:highlight w:val="none"/>
                <w:u w:val="single"/>
                <w:lang w:val="en-US" w:eastAsia="zh-CN"/>
              </w:rPr>
              <w:t>2025</w:t>
            </w:r>
            <w:r>
              <w:rPr>
                <w:rFonts w:hint="eastAsia" w:ascii="宋体" w:hAnsi="宋体" w:cs="宋体"/>
                <w:bCs/>
                <w:snapToGrid w:val="0"/>
                <w:color w:val="000000"/>
                <w:kern w:val="0"/>
                <w:szCs w:val="21"/>
                <w:highlight w:val="none"/>
              </w:rPr>
              <w:t>年</w:t>
            </w:r>
            <w:r>
              <w:rPr>
                <w:rFonts w:hint="eastAsia" w:ascii="宋体" w:hAnsi="宋体" w:cs="宋体"/>
                <w:bCs/>
                <w:snapToGrid w:val="0"/>
                <w:color w:val="000000"/>
                <w:kern w:val="0"/>
                <w:szCs w:val="21"/>
                <w:highlight w:val="none"/>
                <w:u w:val="single"/>
                <w:lang w:val="en-US" w:eastAsia="zh-CN"/>
              </w:rPr>
              <w:t>6</w:t>
            </w:r>
            <w:r>
              <w:rPr>
                <w:rFonts w:hint="eastAsia" w:ascii="宋体" w:hAnsi="宋体" w:cs="宋体"/>
                <w:bCs/>
                <w:snapToGrid w:val="0"/>
                <w:color w:val="000000"/>
                <w:kern w:val="0"/>
                <w:szCs w:val="21"/>
                <w:highlight w:val="none"/>
              </w:rPr>
              <w:t>月</w:t>
            </w:r>
            <w:r>
              <w:rPr>
                <w:rFonts w:hint="eastAsia" w:ascii="宋体" w:hAnsi="宋体" w:cs="宋体"/>
                <w:bCs/>
                <w:snapToGrid w:val="0"/>
                <w:color w:val="000000"/>
                <w:kern w:val="0"/>
                <w:szCs w:val="21"/>
                <w:highlight w:val="none"/>
                <w:u w:val="single"/>
              </w:rPr>
              <w:t xml:space="preserve"> </w:t>
            </w:r>
            <w:r>
              <w:rPr>
                <w:rFonts w:hint="eastAsia" w:ascii="宋体" w:hAnsi="宋体" w:cs="宋体"/>
                <w:bCs/>
                <w:snapToGrid w:val="0"/>
                <w:color w:val="000000"/>
                <w:kern w:val="0"/>
                <w:szCs w:val="21"/>
                <w:highlight w:val="none"/>
                <w:u w:val="single"/>
                <w:lang w:val="en-US" w:eastAsia="zh-CN"/>
              </w:rPr>
              <w:t>20</w:t>
            </w:r>
            <w:r>
              <w:rPr>
                <w:rFonts w:hint="eastAsia" w:ascii="宋体" w:hAnsi="宋体" w:cs="宋体"/>
                <w:bCs/>
                <w:snapToGrid w:val="0"/>
                <w:color w:val="000000"/>
                <w:kern w:val="0"/>
                <w:szCs w:val="21"/>
                <w:highlight w:val="none"/>
                <w:u w:val="single"/>
              </w:rPr>
              <w:t xml:space="preserve"> </w:t>
            </w:r>
            <w:r>
              <w:rPr>
                <w:rFonts w:hint="eastAsia" w:ascii="宋体" w:hAnsi="宋体" w:cs="宋体"/>
                <w:bCs/>
                <w:snapToGrid w:val="0"/>
                <w:color w:val="000000"/>
                <w:kern w:val="0"/>
                <w:szCs w:val="21"/>
                <w:highlight w:val="none"/>
              </w:rPr>
              <w:t>日</w:t>
            </w:r>
            <w:r>
              <w:rPr>
                <w:rFonts w:hint="eastAsia" w:ascii="宋体" w:hAnsi="宋体" w:cs="宋体"/>
                <w:bCs/>
                <w:snapToGrid w:val="0"/>
                <w:color w:val="000000"/>
                <w:kern w:val="0"/>
                <w:szCs w:val="21"/>
                <w:highlight w:val="none"/>
                <w:u w:val="single"/>
                <w:lang w:val="en-US" w:eastAsia="zh-CN"/>
              </w:rPr>
              <w:t>17</w:t>
            </w:r>
            <w:r>
              <w:rPr>
                <w:rFonts w:hint="eastAsia" w:ascii="宋体" w:hAnsi="宋体" w:cs="宋体"/>
                <w:bCs/>
                <w:snapToGrid w:val="0"/>
                <w:color w:val="000000"/>
                <w:kern w:val="0"/>
                <w:szCs w:val="21"/>
                <w:highlight w:val="none"/>
              </w:rPr>
              <w:t>时</w:t>
            </w:r>
            <w:r>
              <w:rPr>
                <w:rFonts w:hint="eastAsia" w:ascii="宋体" w:hAnsi="宋体" w:cs="宋体"/>
                <w:bCs/>
                <w:snapToGrid w:val="0"/>
                <w:color w:val="000000"/>
                <w:kern w:val="0"/>
                <w:szCs w:val="21"/>
                <w:highlight w:val="none"/>
                <w:u w:val="single"/>
                <w:lang w:val="en-US" w:eastAsia="zh-CN"/>
              </w:rPr>
              <w:t>00</w:t>
            </w:r>
            <w:r>
              <w:rPr>
                <w:rFonts w:hint="eastAsia" w:ascii="宋体" w:hAnsi="宋体" w:cs="宋体"/>
                <w:bCs/>
                <w:snapToGrid w:val="0"/>
                <w:color w:val="000000"/>
                <w:kern w:val="0"/>
                <w:szCs w:val="21"/>
                <w:highlight w:val="none"/>
              </w:rPr>
              <w:t>分至</w:t>
            </w:r>
            <w:r>
              <w:rPr>
                <w:rFonts w:hint="eastAsia" w:ascii="宋体" w:hAnsi="宋体" w:cs="宋体"/>
                <w:bCs/>
                <w:snapToGrid w:val="0"/>
                <w:color w:val="000000"/>
                <w:kern w:val="0"/>
                <w:szCs w:val="21"/>
                <w:highlight w:val="none"/>
                <w:u w:val="single"/>
                <w:lang w:val="en-US" w:eastAsia="zh-CN"/>
              </w:rPr>
              <w:t>2025</w:t>
            </w:r>
            <w:r>
              <w:rPr>
                <w:rFonts w:hint="eastAsia" w:ascii="宋体" w:hAnsi="宋体" w:cs="宋体"/>
                <w:bCs/>
                <w:snapToGrid w:val="0"/>
                <w:color w:val="000000"/>
                <w:kern w:val="0"/>
                <w:szCs w:val="21"/>
                <w:highlight w:val="none"/>
              </w:rPr>
              <w:t>年</w:t>
            </w:r>
            <w:r>
              <w:rPr>
                <w:rFonts w:hint="eastAsia" w:ascii="宋体" w:hAnsi="宋体" w:cs="宋体"/>
                <w:bCs/>
                <w:snapToGrid w:val="0"/>
                <w:color w:val="000000"/>
                <w:kern w:val="0"/>
                <w:szCs w:val="21"/>
                <w:highlight w:val="none"/>
                <w:u w:val="single"/>
                <w:lang w:val="en-US" w:eastAsia="zh-CN"/>
              </w:rPr>
              <w:t>7</w:t>
            </w:r>
            <w:r>
              <w:rPr>
                <w:rFonts w:hint="eastAsia" w:ascii="宋体" w:hAnsi="宋体" w:cs="宋体"/>
                <w:bCs/>
                <w:snapToGrid w:val="0"/>
                <w:color w:val="000000"/>
                <w:kern w:val="0"/>
                <w:szCs w:val="21"/>
                <w:highlight w:val="none"/>
              </w:rPr>
              <w:t>月</w:t>
            </w:r>
            <w:r>
              <w:rPr>
                <w:rFonts w:hint="eastAsia" w:ascii="宋体" w:hAnsi="宋体" w:cs="宋体"/>
                <w:bCs/>
                <w:snapToGrid w:val="0"/>
                <w:color w:val="000000"/>
                <w:kern w:val="0"/>
                <w:szCs w:val="21"/>
                <w:highlight w:val="none"/>
                <w:u w:val="single"/>
                <w:lang w:val="en-US" w:eastAsia="zh-CN"/>
              </w:rPr>
              <w:t xml:space="preserve"> 21 </w:t>
            </w:r>
            <w:r>
              <w:rPr>
                <w:rFonts w:hint="eastAsia" w:ascii="宋体" w:hAnsi="宋体" w:cs="宋体"/>
                <w:bCs/>
                <w:snapToGrid w:val="0"/>
                <w:color w:val="000000"/>
                <w:kern w:val="0"/>
                <w:szCs w:val="21"/>
                <w:highlight w:val="none"/>
                <w:u w:val="single"/>
              </w:rPr>
              <w:t xml:space="preserve"> </w:t>
            </w:r>
            <w:r>
              <w:rPr>
                <w:rFonts w:hint="eastAsia" w:ascii="宋体" w:hAnsi="宋体" w:cs="宋体"/>
                <w:bCs/>
                <w:snapToGrid w:val="0"/>
                <w:color w:val="000000"/>
                <w:kern w:val="0"/>
                <w:szCs w:val="21"/>
                <w:highlight w:val="none"/>
              </w:rPr>
              <w:t>日</w:t>
            </w:r>
            <w:r>
              <w:rPr>
                <w:rFonts w:hint="eastAsia" w:ascii="宋体" w:hAnsi="宋体" w:cs="宋体"/>
                <w:bCs/>
                <w:snapToGrid w:val="0"/>
                <w:color w:val="000000"/>
                <w:kern w:val="0"/>
                <w:szCs w:val="21"/>
                <w:highlight w:val="none"/>
                <w:u w:val="single"/>
                <w:lang w:val="en-US" w:eastAsia="zh-CN"/>
              </w:rPr>
              <w:t>8</w:t>
            </w:r>
            <w:r>
              <w:rPr>
                <w:rFonts w:hint="eastAsia" w:ascii="宋体" w:hAnsi="宋体" w:cs="宋体"/>
                <w:bCs/>
                <w:snapToGrid w:val="0"/>
                <w:color w:val="000000"/>
                <w:kern w:val="0"/>
                <w:szCs w:val="21"/>
                <w:highlight w:val="none"/>
              </w:rPr>
              <w:t>时</w:t>
            </w:r>
            <w:r>
              <w:rPr>
                <w:rFonts w:hint="eastAsia" w:ascii="宋体" w:hAnsi="宋体" w:cs="宋体"/>
                <w:bCs/>
                <w:snapToGrid w:val="0"/>
                <w:color w:val="000000"/>
                <w:kern w:val="0"/>
                <w:szCs w:val="21"/>
                <w:highlight w:val="none"/>
                <w:u w:val="single"/>
                <w:lang w:val="en-US" w:eastAsia="zh-CN"/>
              </w:rPr>
              <w:t>00</w:t>
            </w:r>
            <w:r>
              <w:rPr>
                <w:rFonts w:hint="eastAsia" w:ascii="宋体" w:hAnsi="宋体" w:cs="宋体"/>
                <w:bCs/>
                <w:snapToGrid w:val="0"/>
                <w:color w:val="000000"/>
                <w:kern w:val="0"/>
                <w:szCs w:val="21"/>
                <w:highlight w:val="none"/>
              </w:rPr>
              <w:t>分。</w:t>
            </w:r>
          </w:p>
        </w:tc>
      </w:tr>
      <w:tr w14:paraId="4CFA6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4D239F8F">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获取方式</w:t>
            </w:r>
          </w:p>
        </w:tc>
        <w:tc>
          <w:tcPr>
            <w:tcW w:w="8313" w:type="dxa"/>
            <w:noWrap w:val="0"/>
            <w:vAlign w:val="center"/>
          </w:tcPr>
          <w:p w14:paraId="38AD9185">
            <w:pPr>
              <w:keepNext w:val="0"/>
              <w:keepLines w:val="0"/>
              <w:pageBreakBefore w:val="0"/>
              <w:kinsoku/>
              <w:overflowPunct/>
              <w:topLinePunct w:val="0"/>
              <w:autoSpaceDE/>
              <w:autoSpaceDN/>
              <w:bidi w:val="0"/>
              <w:adjustRightInd w:val="0"/>
              <w:snapToGrid w:val="0"/>
              <w:spacing w:line="400" w:lineRule="exact"/>
              <w:textAlignment w:val="auto"/>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潜在投标人须登录</w:t>
            </w:r>
            <w:r>
              <w:rPr>
                <w:rFonts w:hint="eastAsia" w:ascii="宋体" w:hAnsi="宋体" w:cs="宋体"/>
                <w:bCs/>
                <w:snapToGrid w:val="0"/>
                <w:color w:val="000000"/>
                <w:kern w:val="0"/>
                <w:szCs w:val="21"/>
                <w:highlight w:val="none"/>
                <w:u w:val="single"/>
              </w:rPr>
              <w:t>滁州市公共资源交易中心网站（http://ggzy.chuzhou.gov.cn/）</w:t>
            </w:r>
            <w:r>
              <w:rPr>
                <w:rFonts w:hint="eastAsia" w:ascii="宋体" w:hAnsi="宋体" w:cs="宋体"/>
                <w:bCs/>
                <w:snapToGrid w:val="0"/>
                <w:color w:val="000000"/>
                <w:kern w:val="0"/>
                <w:szCs w:val="21"/>
                <w:highlight w:val="none"/>
              </w:rPr>
              <w:t>查阅并下载电子招标文件。</w:t>
            </w:r>
          </w:p>
          <w:p w14:paraId="34F40806">
            <w:pPr>
              <w:keepNext w:val="0"/>
              <w:keepLines w:val="0"/>
              <w:pageBreakBefore w:val="0"/>
              <w:widowControl/>
              <w:kinsoku/>
              <w:wordWrap w:val="0"/>
              <w:overflowPunct/>
              <w:topLinePunct w:val="0"/>
              <w:autoSpaceDE/>
              <w:autoSpaceDN/>
              <w:bidi w:val="0"/>
              <w:spacing w:line="400" w:lineRule="exact"/>
              <w:jc w:val="left"/>
              <w:textAlignment w:val="auto"/>
              <w:rPr>
                <w:color w:val="000000"/>
                <w:szCs w:val="21"/>
                <w:highlight w:val="none"/>
              </w:rPr>
            </w:pPr>
            <w:r>
              <w:rPr>
                <w:rFonts w:hint="eastAsia" w:ascii="宋体" w:hAnsi="宋体" w:cs="宋体"/>
                <w:bCs/>
                <w:snapToGrid w:val="0"/>
                <w:color w:val="000000"/>
                <w:kern w:val="0"/>
                <w:szCs w:val="21"/>
                <w:highlight w:val="none"/>
              </w:rPr>
              <w:t>招标文件获取过程中有任何疑问，请在工作时间（工作时间：工作日</w:t>
            </w:r>
            <w:r>
              <w:rPr>
                <w:rFonts w:hint="eastAsia" w:ascii="宋体" w:hAnsi="宋体" w:cs="宋体"/>
                <w:bCs/>
                <w:snapToGrid w:val="0"/>
                <w:color w:val="000000"/>
                <w:kern w:val="0"/>
                <w:szCs w:val="21"/>
                <w:highlight w:val="none"/>
                <w:u w:val="single"/>
              </w:rPr>
              <w:t>8:00-12:00,14:30-17:30</w:t>
            </w:r>
            <w:r>
              <w:rPr>
                <w:rFonts w:hint="eastAsia" w:ascii="宋体" w:hAnsi="宋体" w:cs="宋体"/>
                <w:bCs/>
                <w:snapToGrid w:val="0"/>
                <w:color w:val="000000"/>
                <w:kern w:val="0"/>
                <w:szCs w:val="21"/>
                <w:highlight w:val="none"/>
              </w:rPr>
              <w:t>）拨打</w:t>
            </w:r>
            <w:r>
              <w:rPr>
                <w:rFonts w:hint="eastAsia" w:ascii="宋体" w:hAnsi="宋体" w:cs="宋体"/>
                <w:bCs/>
                <w:snapToGrid w:val="0"/>
                <w:color w:val="000000"/>
                <w:kern w:val="0"/>
                <w:szCs w:val="21"/>
                <w:highlight w:val="none"/>
                <w:u w:val="single"/>
              </w:rPr>
              <w:t>0550-3801701</w:t>
            </w:r>
            <w:r>
              <w:rPr>
                <w:rFonts w:hint="eastAsia" w:ascii="宋体" w:hAnsi="宋体" w:cs="宋体"/>
                <w:bCs/>
                <w:snapToGrid w:val="0"/>
                <w:color w:val="000000"/>
                <w:kern w:val="0"/>
                <w:szCs w:val="21"/>
                <w:highlight w:val="none"/>
              </w:rPr>
              <w:t>。</w:t>
            </w:r>
          </w:p>
        </w:tc>
      </w:tr>
      <w:tr w14:paraId="298FD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23938C57">
            <w:pPr>
              <w:keepNext w:val="0"/>
              <w:keepLines w:val="0"/>
              <w:pageBreakBefore w:val="0"/>
              <w:widowControl/>
              <w:kinsoku/>
              <w:overflowPunct/>
              <w:topLinePunct w:val="0"/>
              <w:autoSpaceDE/>
              <w:autoSpaceDN/>
              <w:bidi w:val="0"/>
              <w:spacing w:line="400" w:lineRule="exact"/>
              <w:jc w:val="center"/>
              <w:textAlignment w:val="auto"/>
              <w:rPr>
                <w:rFonts w:ascii="宋体" w:cs="宋体"/>
                <w:color w:val="000000"/>
                <w:kern w:val="0"/>
                <w:szCs w:val="21"/>
                <w:highlight w:val="none"/>
              </w:rPr>
            </w:pPr>
            <w:r>
              <w:rPr>
                <w:rFonts w:hint="eastAsia" w:ascii="宋体" w:hAnsi="宋体" w:cs="宋体"/>
                <w:color w:val="000000"/>
                <w:kern w:val="0"/>
                <w:szCs w:val="21"/>
                <w:highlight w:val="none"/>
              </w:rPr>
              <w:t>招标公告发布时间</w:t>
            </w:r>
          </w:p>
        </w:tc>
        <w:tc>
          <w:tcPr>
            <w:tcW w:w="8313" w:type="dxa"/>
            <w:noWrap w:val="0"/>
            <w:vAlign w:val="center"/>
          </w:tcPr>
          <w:p w14:paraId="11572C80">
            <w:pPr>
              <w:keepNext w:val="0"/>
              <w:keepLines w:val="0"/>
              <w:pageBreakBefore w:val="0"/>
              <w:widowControl/>
              <w:kinsoku/>
              <w:overflowPunct/>
              <w:topLinePunct w:val="0"/>
              <w:autoSpaceDE/>
              <w:autoSpaceDN/>
              <w:bidi w:val="0"/>
              <w:spacing w:line="400" w:lineRule="exact"/>
              <w:jc w:val="left"/>
              <w:textAlignment w:val="auto"/>
              <w:rPr>
                <w:rFonts w:ascii="宋体" w:cs="宋体"/>
                <w:color w:val="000000"/>
                <w:kern w:val="0"/>
                <w:szCs w:val="21"/>
                <w:highlight w:val="none"/>
              </w:rPr>
            </w:pPr>
            <w:r>
              <w:rPr>
                <w:color w:val="000000"/>
                <w:szCs w:val="21"/>
                <w:highlight w:val="none"/>
              </w:rPr>
              <w:t>20</w:t>
            </w:r>
            <w:r>
              <w:rPr>
                <w:rFonts w:hint="eastAsia"/>
                <w:color w:val="000000"/>
                <w:szCs w:val="21"/>
                <w:highlight w:val="none"/>
                <w:lang w:val="en-US" w:eastAsia="zh-CN"/>
              </w:rPr>
              <w:t>25</w:t>
            </w:r>
            <w:r>
              <w:rPr>
                <w:rFonts w:hint="eastAsia"/>
                <w:color w:val="000000"/>
                <w:szCs w:val="21"/>
                <w:highlight w:val="none"/>
              </w:rPr>
              <w:t>年</w:t>
            </w:r>
            <w:r>
              <w:rPr>
                <w:rFonts w:hint="eastAsia"/>
                <w:color w:val="000000"/>
                <w:szCs w:val="21"/>
                <w:highlight w:val="none"/>
                <w:lang w:val="en-US" w:eastAsia="zh-CN"/>
              </w:rPr>
              <w:t>6</w:t>
            </w:r>
            <w:r>
              <w:rPr>
                <w:rFonts w:hint="eastAsia"/>
                <w:color w:val="000000"/>
                <w:szCs w:val="21"/>
                <w:highlight w:val="none"/>
              </w:rPr>
              <w:t>月</w:t>
            </w:r>
            <w:r>
              <w:rPr>
                <w:rFonts w:hint="eastAsia"/>
                <w:color w:val="000000"/>
                <w:szCs w:val="21"/>
                <w:highlight w:val="none"/>
                <w:lang w:val="en-US" w:eastAsia="zh-CN"/>
              </w:rPr>
              <w:t xml:space="preserve"> 20 </w:t>
            </w:r>
            <w:r>
              <w:rPr>
                <w:rFonts w:hint="eastAsia"/>
                <w:color w:val="000000"/>
                <w:szCs w:val="21"/>
                <w:highlight w:val="none"/>
              </w:rPr>
              <w:t>日</w:t>
            </w:r>
          </w:p>
        </w:tc>
      </w:tr>
      <w:tr w14:paraId="7FEDF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1F3ECFD1">
            <w:pPr>
              <w:keepNext w:val="0"/>
              <w:keepLines w:val="0"/>
              <w:pageBreakBefore w:val="0"/>
              <w:widowControl/>
              <w:kinsoku/>
              <w:overflowPunct/>
              <w:topLinePunct w:val="0"/>
              <w:autoSpaceDE/>
              <w:autoSpaceDN/>
              <w:bidi w:val="0"/>
              <w:spacing w:line="400" w:lineRule="exact"/>
              <w:jc w:val="center"/>
              <w:textAlignment w:val="auto"/>
              <w:rPr>
                <w:rFonts w:ascii="宋体" w:cs="宋体"/>
                <w:color w:val="000000"/>
                <w:kern w:val="0"/>
                <w:szCs w:val="21"/>
                <w:highlight w:val="none"/>
              </w:rPr>
            </w:pPr>
            <w:r>
              <w:rPr>
                <w:rFonts w:hint="eastAsia" w:ascii="宋体" w:hAnsi="宋体" w:cs="宋体"/>
                <w:color w:val="000000"/>
                <w:szCs w:val="21"/>
                <w:highlight w:val="none"/>
              </w:rPr>
              <w:t>投标文件递交的截止时间</w:t>
            </w:r>
          </w:p>
        </w:tc>
        <w:tc>
          <w:tcPr>
            <w:tcW w:w="8313" w:type="dxa"/>
            <w:noWrap w:val="0"/>
            <w:vAlign w:val="center"/>
          </w:tcPr>
          <w:p w14:paraId="76C1A1A6">
            <w:pPr>
              <w:keepNext w:val="0"/>
              <w:keepLines w:val="0"/>
              <w:pageBreakBefore w:val="0"/>
              <w:widowControl/>
              <w:kinsoku/>
              <w:overflowPunct/>
              <w:topLinePunct w:val="0"/>
              <w:autoSpaceDE/>
              <w:autoSpaceDN/>
              <w:bidi w:val="0"/>
              <w:spacing w:line="400" w:lineRule="exact"/>
              <w:jc w:val="left"/>
              <w:textAlignment w:val="auto"/>
              <w:rPr>
                <w:rFonts w:ascii="宋体" w:cs="宋体"/>
                <w:color w:val="000000"/>
                <w:kern w:val="0"/>
                <w:szCs w:val="21"/>
                <w:highlight w:val="none"/>
              </w:rPr>
            </w:pPr>
            <w:r>
              <w:rPr>
                <w:color w:val="000000"/>
                <w:szCs w:val="21"/>
                <w:highlight w:val="none"/>
              </w:rPr>
              <w:t>20</w:t>
            </w:r>
            <w:r>
              <w:rPr>
                <w:rFonts w:hint="eastAsia"/>
                <w:color w:val="000000"/>
                <w:szCs w:val="21"/>
                <w:highlight w:val="none"/>
                <w:lang w:val="en-US" w:eastAsia="zh-CN"/>
              </w:rPr>
              <w:t>25</w:t>
            </w:r>
            <w:r>
              <w:rPr>
                <w:rFonts w:hint="eastAsia"/>
                <w:color w:val="000000"/>
                <w:szCs w:val="21"/>
                <w:highlight w:val="none"/>
              </w:rPr>
              <w:t>年</w:t>
            </w:r>
            <w:r>
              <w:rPr>
                <w:rFonts w:hint="eastAsia"/>
                <w:color w:val="000000"/>
                <w:szCs w:val="21"/>
                <w:highlight w:val="none"/>
                <w:lang w:val="en-US" w:eastAsia="zh-CN"/>
              </w:rPr>
              <w:t>7</w:t>
            </w:r>
            <w:r>
              <w:rPr>
                <w:rFonts w:hint="eastAsia"/>
                <w:color w:val="000000"/>
                <w:szCs w:val="21"/>
                <w:highlight w:val="none"/>
              </w:rPr>
              <w:t>月</w:t>
            </w:r>
            <w:r>
              <w:rPr>
                <w:rFonts w:hint="eastAsia"/>
                <w:color w:val="000000"/>
                <w:szCs w:val="21"/>
                <w:highlight w:val="none"/>
                <w:lang w:val="en-US" w:eastAsia="zh-CN"/>
              </w:rPr>
              <w:t xml:space="preserve"> 21 </w:t>
            </w:r>
            <w:r>
              <w:rPr>
                <w:rFonts w:hint="eastAsia"/>
                <w:color w:val="000000"/>
                <w:szCs w:val="21"/>
                <w:highlight w:val="none"/>
              </w:rPr>
              <w:t>日</w:t>
            </w:r>
            <w:r>
              <w:rPr>
                <w:rFonts w:hint="eastAsia"/>
                <w:color w:val="000000"/>
                <w:szCs w:val="21"/>
                <w:highlight w:val="none"/>
                <w:lang w:val="en-US" w:eastAsia="zh-CN"/>
              </w:rPr>
              <w:t>8</w:t>
            </w:r>
            <w:r>
              <w:rPr>
                <w:rFonts w:hint="eastAsia"/>
                <w:color w:val="000000"/>
                <w:szCs w:val="21"/>
                <w:highlight w:val="none"/>
              </w:rPr>
              <w:t>时</w:t>
            </w:r>
            <w:r>
              <w:rPr>
                <w:rFonts w:hint="eastAsia"/>
                <w:color w:val="000000"/>
                <w:szCs w:val="21"/>
                <w:highlight w:val="none"/>
                <w:lang w:val="en-US" w:eastAsia="zh-CN"/>
              </w:rPr>
              <w:t>00</w:t>
            </w:r>
            <w:r>
              <w:rPr>
                <w:rFonts w:hint="eastAsia"/>
                <w:color w:val="000000"/>
                <w:szCs w:val="21"/>
                <w:highlight w:val="none"/>
              </w:rPr>
              <w:t>分</w:t>
            </w:r>
          </w:p>
        </w:tc>
      </w:tr>
      <w:tr w14:paraId="500B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618AA0E7">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szCs w:val="21"/>
                <w:highlight w:val="none"/>
              </w:rPr>
            </w:pPr>
            <w:r>
              <w:rPr>
                <w:rFonts w:hint="eastAsia" w:ascii="宋体" w:hAnsi="宋体" w:cs="宋体"/>
                <w:color w:val="000000"/>
                <w:szCs w:val="21"/>
                <w:highlight w:val="none"/>
              </w:rPr>
              <w:t>投标文件递交的方式</w:t>
            </w:r>
          </w:p>
        </w:tc>
        <w:tc>
          <w:tcPr>
            <w:tcW w:w="8313" w:type="dxa"/>
            <w:noWrap w:val="0"/>
            <w:vAlign w:val="center"/>
          </w:tcPr>
          <w:p w14:paraId="2E633D5B">
            <w:pPr>
              <w:keepNext w:val="0"/>
              <w:keepLines w:val="0"/>
              <w:pageBreakBefore w:val="0"/>
              <w:widowControl/>
              <w:kinsoku/>
              <w:overflowPunct/>
              <w:topLinePunct w:val="0"/>
              <w:autoSpaceDE/>
              <w:autoSpaceDN/>
              <w:bidi w:val="0"/>
              <w:spacing w:line="400" w:lineRule="exact"/>
              <w:jc w:val="left"/>
              <w:textAlignment w:val="auto"/>
              <w:rPr>
                <w:color w:val="000000"/>
                <w:szCs w:val="21"/>
                <w:highlight w:val="none"/>
              </w:rPr>
            </w:pPr>
            <w:r>
              <w:rPr>
                <w:rFonts w:hint="eastAsia"/>
                <w:color w:val="000000"/>
                <w:szCs w:val="21"/>
                <w:highlight w:val="none"/>
              </w:rPr>
              <w:t>投标人应在投标截止时间前通过滁州市公共资源交易中心交易系统递交电子投标文件。</w:t>
            </w:r>
          </w:p>
        </w:tc>
      </w:tr>
      <w:tr w14:paraId="0ADE5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875" w:type="dxa"/>
            <w:noWrap w:val="0"/>
            <w:vAlign w:val="center"/>
          </w:tcPr>
          <w:p w14:paraId="59791E6D">
            <w:pPr>
              <w:keepNext w:val="0"/>
              <w:keepLines w:val="0"/>
              <w:pageBreakBefore w:val="0"/>
              <w:widowControl/>
              <w:kinsoku/>
              <w:overflowPunct/>
              <w:topLinePunct w:val="0"/>
              <w:autoSpaceDE/>
              <w:autoSpaceDN/>
              <w:bidi w:val="0"/>
              <w:spacing w:line="400" w:lineRule="exact"/>
              <w:jc w:val="center"/>
              <w:textAlignment w:val="auto"/>
              <w:rPr>
                <w:rFonts w:ascii="宋体" w:cs="宋体"/>
                <w:color w:val="000000"/>
                <w:kern w:val="0"/>
                <w:szCs w:val="21"/>
                <w:highlight w:val="none"/>
              </w:rPr>
            </w:pPr>
            <w:r>
              <w:rPr>
                <w:rFonts w:hint="eastAsia" w:ascii="宋体" w:hAnsi="宋体" w:cs="宋体"/>
                <w:color w:val="000000"/>
                <w:szCs w:val="21"/>
                <w:highlight w:val="none"/>
              </w:rPr>
              <w:t>开标时间</w:t>
            </w:r>
          </w:p>
        </w:tc>
        <w:tc>
          <w:tcPr>
            <w:tcW w:w="8313" w:type="dxa"/>
            <w:noWrap w:val="0"/>
            <w:vAlign w:val="center"/>
          </w:tcPr>
          <w:p w14:paraId="03C26B24">
            <w:pPr>
              <w:keepNext w:val="0"/>
              <w:keepLines w:val="0"/>
              <w:pageBreakBefore w:val="0"/>
              <w:widowControl/>
              <w:kinsoku/>
              <w:overflowPunct/>
              <w:topLinePunct w:val="0"/>
              <w:autoSpaceDE/>
              <w:autoSpaceDN/>
              <w:bidi w:val="0"/>
              <w:spacing w:line="400" w:lineRule="exact"/>
              <w:jc w:val="left"/>
              <w:textAlignment w:val="auto"/>
              <w:rPr>
                <w:rFonts w:ascii="宋体" w:cs="宋体"/>
                <w:color w:val="000000"/>
                <w:kern w:val="0"/>
                <w:szCs w:val="21"/>
                <w:highlight w:val="none"/>
              </w:rPr>
            </w:pPr>
            <w:r>
              <w:rPr>
                <w:color w:val="000000"/>
                <w:szCs w:val="21"/>
                <w:highlight w:val="none"/>
              </w:rPr>
              <w:t>20</w:t>
            </w:r>
            <w:r>
              <w:rPr>
                <w:rFonts w:hint="eastAsia"/>
                <w:color w:val="000000"/>
                <w:szCs w:val="21"/>
                <w:highlight w:val="none"/>
                <w:lang w:val="en-US" w:eastAsia="zh-CN"/>
              </w:rPr>
              <w:t>25</w:t>
            </w:r>
            <w:r>
              <w:rPr>
                <w:rFonts w:hint="eastAsia"/>
                <w:color w:val="000000"/>
                <w:szCs w:val="21"/>
                <w:highlight w:val="none"/>
              </w:rPr>
              <w:t>年</w:t>
            </w:r>
            <w:r>
              <w:rPr>
                <w:rFonts w:hint="eastAsia"/>
                <w:color w:val="000000"/>
                <w:szCs w:val="21"/>
                <w:highlight w:val="none"/>
                <w:lang w:val="en-US" w:eastAsia="zh-CN"/>
              </w:rPr>
              <w:t>7</w:t>
            </w:r>
            <w:r>
              <w:rPr>
                <w:rFonts w:hint="eastAsia"/>
                <w:color w:val="000000"/>
                <w:szCs w:val="21"/>
                <w:highlight w:val="none"/>
              </w:rPr>
              <w:t>月</w:t>
            </w:r>
            <w:r>
              <w:rPr>
                <w:rFonts w:hint="eastAsia"/>
                <w:color w:val="000000"/>
                <w:szCs w:val="21"/>
                <w:highlight w:val="none"/>
                <w:lang w:val="en-US" w:eastAsia="zh-CN"/>
              </w:rPr>
              <w:t xml:space="preserve"> 21 </w:t>
            </w:r>
            <w:r>
              <w:rPr>
                <w:rFonts w:hint="eastAsia"/>
                <w:color w:val="000000"/>
                <w:szCs w:val="21"/>
                <w:highlight w:val="none"/>
              </w:rPr>
              <w:t>日</w:t>
            </w:r>
            <w:r>
              <w:rPr>
                <w:rFonts w:hint="eastAsia"/>
                <w:color w:val="000000"/>
                <w:szCs w:val="21"/>
                <w:highlight w:val="none"/>
                <w:lang w:val="en-US" w:eastAsia="zh-CN"/>
              </w:rPr>
              <w:t>8</w:t>
            </w:r>
            <w:r>
              <w:rPr>
                <w:rFonts w:hint="eastAsia"/>
                <w:color w:val="000000"/>
                <w:szCs w:val="21"/>
                <w:highlight w:val="none"/>
              </w:rPr>
              <w:t>时</w:t>
            </w:r>
            <w:r>
              <w:rPr>
                <w:rFonts w:hint="eastAsia"/>
                <w:color w:val="000000"/>
                <w:szCs w:val="21"/>
                <w:highlight w:val="none"/>
                <w:lang w:val="en-US" w:eastAsia="zh-CN"/>
              </w:rPr>
              <w:t>00</w:t>
            </w:r>
            <w:r>
              <w:rPr>
                <w:rFonts w:hint="eastAsia"/>
                <w:color w:val="000000"/>
                <w:szCs w:val="21"/>
                <w:highlight w:val="none"/>
              </w:rPr>
              <w:t>分</w:t>
            </w:r>
          </w:p>
        </w:tc>
      </w:tr>
      <w:tr w14:paraId="56A3A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875" w:type="dxa"/>
            <w:noWrap w:val="0"/>
            <w:vAlign w:val="center"/>
          </w:tcPr>
          <w:p w14:paraId="332B26E8">
            <w:pPr>
              <w:keepNext w:val="0"/>
              <w:keepLines w:val="0"/>
              <w:pageBreakBefore w:val="0"/>
              <w:widowControl/>
              <w:kinsoku/>
              <w:overflowPunct/>
              <w:topLinePunct w:val="0"/>
              <w:autoSpaceDE/>
              <w:autoSpaceDN/>
              <w:bidi w:val="0"/>
              <w:spacing w:line="400" w:lineRule="exact"/>
              <w:jc w:val="center"/>
              <w:textAlignment w:val="auto"/>
              <w:rPr>
                <w:rFonts w:ascii="宋体" w:cs="宋体"/>
                <w:color w:val="000000"/>
                <w:kern w:val="0"/>
                <w:szCs w:val="21"/>
                <w:highlight w:val="none"/>
              </w:rPr>
            </w:pPr>
            <w:r>
              <w:rPr>
                <w:rFonts w:hint="eastAsia" w:ascii="宋体" w:hAnsi="宋体" w:cs="宋体"/>
                <w:color w:val="000000"/>
                <w:szCs w:val="21"/>
                <w:highlight w:val="none"/>
              </w:rPr>
              <w:t>开标地点</w:t>
            </w:r>
          </w:p>
        </w:tc>
        <w:tc>
          <w:tcPr>
            <w:tcW w:w="8313" w:type="dxa"/>
            <w:noWrap w:val="0"/>
            <w:vAlign w:val="center"/>
          </w:tcPr>
          <w:p w14:paraId="4787BF0B">
            <w:pPr>
              <w:keepNext w:val="0"/>
              <w:keepLines w:val="0"/>
              <w:pageBreakBefore w:val="0"/>
              <w:widowControl/>
              <w:kinsoku/>
              <w:wordWrap w:val="0"/>
              <w:overflowPunct/>
              <w:topLinePunct w:val="0"/>
              <w:autoSpaceDE/>
              <w:autoSpaceDN/>
              <w:bidi w:val="0"/>
              <w:spacing w:line="400" w:lineRule="exact"/>
              <w:jc w:val="left"/>
              <w:textAlignment w:val="auto"/>
              <w:rPr>
                <w:rFonts w:ascii="宋体" w:cs="宋体"/>
                <w:color w:val="000000"/>
                <w:kern w:val="0"/>
                <w:szCs w:val="21"/>
                <w:highlight w:val="none"/>
              </w:rPr>
            </w:pPr>
            <w:r>
              <w:rPr>
                <w:rFonts w:hint="eastAsia" w:ascii="宋体" w:hAnsi="宋体" w:cs="宋体"/>
                <w:color w:val="000000"/>
                <w:kern w:val="0"/>
                <w:szCs w:val="21"/>
                <w:highlight w:val="none"/>
              </w:rPr>
              <w:t>网上开标，投标人登录滁州市不见面开标系统参与网上开标（网址：</w:t>
            </w:r>
            <w:r>
              <w:rPr>
                <w:highlight w:val="none"/>
              </w:rPr>
              <w:fldChar w:fldCharType="begin"/>
            </w:r>
            <w:r>
              <w:rPr>
                <w:highlight w:val="none"/>
              </w:rPr>
              <w:instrText xml:space="preserve"> HYPERLINK "https://ggzy.chuzhou.gov.cn/BidOpening/bidopeninghallaction/hall/login）。操作手册见" </w:instrText>
            </w:r>
            <w:r>
              <w:rPr>
                <w:highlight w:val="none"/>
              </w:rPr>
              <w:fldChar w:fldCharType="separate"/>
            </w:r>
            <w:r>
              <w:rPr>
                <w:rStyle w:val="27"/>
                <w:rFonts w:ascii="宋体" w:hAnsi="宋体" w:cs="宋体"/>
                <w:kern w:val="0"/>
                <w:szCs w:val="21"/>
                <w:highlight w:val="none"/>
              </w:rPr>
              <w:t>https://ggzy.chuzhou.gov.cn/BidOpening/bidopeninghallaction/hall/login</w:t>
            </w:r>
            <w:r>
              <w:rPr>
                <w:rStyle w:val="27"/>
                <w:rFonts w:hint="eastAsia" w:ascii="宋体" w:hAnsi="宋体" w:cs="宋体"/>
                <w:kern w:val="0"/>
                <w:szCs w:val="21"/>
                <w:highlight w:val="none"/>
              </w:rPr>
              <w:t>）。操作手册见</w:t>
            </w:r>
            <w:r>
              <w:rPr>
                <w:rStyle w:val="27"/>
                <w:rFonts w:ascii="宋体" w:hAnsi="宋体" w:cs="宋体"/>
                <w:kern w:val="0"/>
                <w:szCs w:val="21"/>
                <w:highlight w:val="none"/>
              </w:rPr>
              <w:fldChar w:fldCharType="end"/>
            </w:r>
            <w:r>
              <w:rPr>
                <w:rFonts w:ascii="宋体" w:hAnsi="宋体" w:cs="宋体"/>
                <w:color w:val="000000"/>
                <w:kern w:val="0"/>
                <w:szCs w:val="21"/>
                <w:highlight w:val="none"/>
              </w:rPr>
              <w:t>https://ggzy.chuzhou.gov.cn/fwzn/011006/20240510/f0637388-583d-4c69-8331-05b6adfcf24d.html</w:t>
            </w:r>
            <w:r>
              <w:rPr>
                <w:rFonts w:hint="eastAsia" w:ascii="宋体" w:hAnsi="宋体" w:cs="宋体"/>
                <w:color w:val="000000"/>
                <w:kern w:val="0"/>
                <w:szCs w:val="21"/>
                <w:highlight w:val="none"/>
              </w:rPr>
              <w:t>。</w:t>
            </w:r>
          </w:p>
        </w:tc>
      </w:tr>
      <w:tr w14:paraId="1C0D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29BC70DA">
            <w:pPr>
              <w:keepNext w:val="0"/>
              <w:keepLines w:val="0"/>
              <w:pageBreakBefore w:val="0"/>
              <w:widowControl/>
              <w:kinsoku/>
              <w:overflowPunct/>
              <w:topLinePunct w:val="0"/>
              <w:autoSpaceDE/>
              <w:autoSpaceDN/>
              <w:bidi w:val="0"/>
              <w:spacing w:line="400" w:lineRule="exact"/>
              <w:jc w:val="center"/>
              <w:textAlignment w:val="auto"/>
              <w:rPr>
                <w:rFonts w:ascii="宋体" w:cs="宋体"/>
                <w:color w:val="000000"/>
                <w:kern w:val="0"/>
                <w:szCs w:val="21"/>
                <w:highlight w:val="none"/>
              </w:rPr>
            </w:pPr>
            <w:r>
              <w:rPr>
                <w:rFonts w:hint="eastAsia" w:ascii="宋体" w:hAnsi="宋体" w:cs="宋体"/>
                <w:color w:val="000000"/>
                <w:szCs w:val="21"/>
                <w:highlight w:val="none"/>
              </w:rPr>
              <w:t>招标文件价格</w:t>
            </w:r>
          </w:p>
        </w:tc>
        <w:tc>
          <w:tcPr>
            <w:tcW w:w="8313" w:type="dxa"/>
            <w:noWrap w:val="0"/>
            <w:vAlign w:val="center"/>
          </w:tcPr>
          <w:p w14:paraId="0A388277">
            <w:pPr>
              <w:keepNext w:val="0"/>
              <w:keepLines w:val="0"/>
              <w:pageBreakBefore w:val="0"/>
              <w:widowControl/>
              <w:kinsoku/>
              <w:overflowPunct/>
              <w:topLinePunct w:val="0"/>
              <w:autoSpaceDE/>
              <w:autoSpaceDN/>
              <w:bidi w:val="0"/>
              <w:spacing w:line="400" w:lineRule="exact"/>
              <w:jc w:val="left"/>
              <w:textAlignment w:val="auto"/>
              <w:rPr>
                <w:rFonts w:ascii="宋体" w:cs="宋体"/>
                <w:color w:val="000000"/>
                <w:kern w:val="0"/>
                <w:szCs w:val="21"/>
                <w:highlight w:val="none"/>
              </w:rPr>
            </w:pPr>
            <w:r>
              <w:rPr>
                <w:rFonts w:ascii="宋体" w:cs="宋体"/>
                <w:color w:val="000000"/>
                <w:kern w:val="0"/>
                <w:szCs w:val="21"/>
                <w:highlight w:val="none"/>
              </w:rPr>
              <w:t>0</w:t>
            </w:r>
            <w:r>
              <w:rPr>
                <w:rFonts w:hint="eastAsia" w:ascii="宋体" w:hAnsi="宋体" w:cs="宋体"/>
                <w:color w:val="000000"/>
                <w:kern w:val="0"/>
                <w:szCs w:val="21"/>
                <w:highlight w:val="none"/>
              </w:rPr>
              <w:t>元</w:t>
            </w:r>
          </w:p>
        </w:tc>
      </w:tr>
      <w:tr w14:paraId="0FAA6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6ED911F6">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szCs w:val="21"/>
                <w:highlight w:val="none"/>
              </w:rPr>
            </w:pPr>
            <w:r>
              <w:rPr>
                <w:rFonts w:hint="eastAsia" w:ascii="宋体" w:hAnsi="宋体" w:cs="宋体"/>
                <w:color w:val="000000"/>
                <w:szCs w:val="21"/>
                <w:highlight w:val="none"/>
              </w:rPr>
              <w:t>发布公告的媒介</w:t>
            </w:r>
          </w:p>
        </w:tc>
        <w:tc>
          <w:tcPr>
            <w:tcW w:w="8313" w:type="dxa"/>
            <w:noWrap w:val="0"/>
            <w:vAlign w:val="center"/>
          </w:tcPr>
          <w:p w14:paraId="0331C335">
            <w:pPr>
              <w:keepNext w:val="0"/>
              <w:keepLines w:val="0"/>
              <w:pageBreakBefore w:val="0"/>
              <w:widowControl/>
              <w:kinsoku/>
              <w:overflowPunct/>
              <w:topLinePunct w:val="0"/>
              <w:autoSpaceDE/>
              <w:autoSpaceDN/>
              <w:bidi w:val="0"/>
              <w:spacing w:line="400" w:lineRule="exact"/>
              <w:jc w:val="left"/>
              <w:textAlignment w:val="auto"/>
              <w:rPr>
                <w:rFonts w:ascii="宋体" w:cs="宋体"/>
                <w:color w:val="000000"/>
                <w:kern w:val="0"/>
                <w:szCs w:val="21"/>
                <w:highlight w:val="none"/>
              </w:rPr>
            </w:pPr>
            <w:r>
              <w:rPr>
                <w:rFonts w:hint="eastAsia" w:ascii="宋体" w:cs="宋体"/>
                <w:color w:val="000000"/>
                <w:kern w:val="0"/>
                <w:szCs w:val="21"/>
                <w:highlight w:val="none"/>
              </w:rPr>
              <w:t>本次招标公告同时在滁州市公共资源交易中心、安徽省公共资源交易监管网、安徽省招标投标信息网等网站发布。</w:t>
            </w:r>
          </w:p>
        </w:tc>
      </w:tr>
      <w:tr w14:paraId="5C31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5CB8089">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szCs w:val="21"/>
                <w:highlight w:val="none"/>
              </w:rPr>
            </w:pPr>
            <w:r>
              <w:rPr>
                <w:rFonts w:hint="eastAsia" w:ascii="宋体" w:hAnsi="宋体" w:cs="宋体"/>
                <w:b/>
                <w:color w:val="000000"/>
                <w:szCs w:val="21"/>
                <w:highlight w:val="none"/>
              </w:rPr>
              <w:t>投标人提出异议的截止时间及方式</w:t>
            </w:r>
          </w:p>
        </w:tc>
        <w:tc>
          <w:tcPr>
            <w:tcW w:w="8313" w:type="dxa"/>
            <w:noWrap w:val="0"/>
            <w:vAlign w:val="center"/>
          </w:tcPr>
          <w:p w14:paraId="6A045BFD">
            <w:pPr>
              <w:keepNext w:val="0"/>
              <w:keepLines w:val="0"/>
              <w:pageBreakBefore w:val="0"/>
              <w:widowControl/>
              <w:kinsoku/>
              <w:overflowPunct/>
              <w:topLinePunct w:val="0"/>
              <w:autoSpaceDE/>
              <w:autoSpaceDN/>
              <w:bidi w:val="0"/>
              <w:spacing w:line="400" w:lineRule="exact"/>
              <w:jc w:val="left"/>
              <w:textAlignment w:val="auto"/>
              <w:rPr>
                <w:rFonts w:ascii="宋体" w:cs="宋体"/>
                <w:color w:val="000000"/>
                <w:kern w:val="0"/>
                <w:szCs w:val="21"/>
                <w:highlight w:val="none"/>
              </w:rPr>
            </w:pPr>
            <w:r>
              <w:rPr>
                <w:rFonts w:hint="eastAsia" w:ascii="宋体" w:hAnsi="宋体" w:cs="宋体"/>
                <w:b/>
                <w:color w:val="000000"/>
                <w:kern w:val="0"/>
                <w:szCs w:val="21"/>
                <w:highlight w:val="none"/>
              </w:rPr>
              <w:t>如投标人对招标文件有异议，请于</w:t>
            </w:r>
            <w:r>
              <w:rPr>
                <w:rFonts w:hint="eastAsia" w:ascii="宋体" w:hAnsi="宋体" w:cs="宋体"/>
                <w:b/>
                <w:color w:val="000000"/>
                <w:kern w:val="0"/>
                <w:szCs w:val="21"/>
                <w:highlight w:val="none"/>
                <w:u w:val="single"/>
                <w:lang w:val="en-US" w:eastAsia="zh-CN"/>
              </w:rPr>
              <w:t>2025</w:t>
            </w:r>
            <w:r>
              <w:rPr>
                <w:rFonts w:hint="eastAsia" w:ascii="宋体" w:hAnsi="宋体" w:cs="宋体"/>
                <w:b/>
                <w:color w:val="000000"/>
                <w:kern w:val="0"/>
                <w:szCs w:val="21"/>
                <w:highlight w:val="none"/>
              </w:rPr>
              <w:t>年</w:t>
            </w:r>
            <w:r>
              <w:rPr>
                <w:rFonts w:hint="eastAsia" w:ascii="宋体" w:hAnsi="宋体" w:cs="宋体"/>
                <w:b/>
                <w:color w:val="000000"/>
                <w:kern w:val="0"/>
                <w:szCs w:val="21"/>
                <w:highlight w:val="none"/>
                <w:u w:val="single"/>
                <w:lang w:val="en-US" w:eastAsia="zh-CN"/>
              </w:rPr>
              <w:t>7</w:t>
            </w:r>
            <w:r>
              <w:rPr>
                <w:rFonts w:hint="eastAsia" w:ascii="宋体" w:hAnsi="宋体" w:cs="宋体"/>
                <w:b/>
                <w:color w:val="000000"/>
                <w:kern w:val="0"/>
                <w:szCs w:val="21"/>
                <w:highlight w:val="none"/>
              </w:rPr>
              <w:t>月</w:t>
            </w:r>
            <w:r>
              <w:rPr>
                <w:rFonts w:hint="eastAsia" w:ascii="宋体" w:hAnsi="宋体" w:cs="宋体"/>
                <w:b/>
                <w:color w:val="000000"/>
                <w:kern w:val="0"/>
                <w:szCs w:val="21"/>
                <w:highlight w:val="none"/>
                <w:u w:val="single"/>
              </w:rPr>
              <w:t xml:space="preserve"> </w:t>
            </w:r>
            <w:r>
              <w:rPr>
                <w:rFonts w:hint="eastAsia" w:ascii="宋体" w:hAnsi="宋体" w:cs="宋体"/>
                <w:b/>
                <w:color w:val="000000"/>
                <w:kern w:val="0"/>
                <w:szCs w:val="21"/>
                <w:highlight w:val="none"/>
                <w:u w:val="single"/>
                <w:lang w:val="en-US" w:eastAsia="zh-CN"/>
              </w:rPr>
              <w:t xml:space="preserve">11 </w:t>
            </w:r>
            <w:r>
              <w:rPr>
                <w:rFonts w:hint="eastAsia" w:ascii="宋体" w:hAnsi="宋体" w:cs="宋体"/>
                <w:b/>
                <w:color w:val="000000"/>
                <w:kern w:val="0"/>
                <w:szCs w:val="21"/>
                <w:highlight w:val="none"/>
              </w:rPr>
              <w:t>日</w:t>
            </w:r>
            <w:r>
              <w:rPr>
                <w:rFonts w:hint="eastAsia" w:ascii="宋体" w:hAnsi="宋体" w:cs="宋体"/>
                <w:b/>
                <w:color w:val="000000"/>
                <w:kern w:val="0"/>
                <w:szCs w:val="21"/>
                <w:highlight w:val="none"/>
                <w:u w:val="single"/>
                <w:lang w:val="en-US" w:eastAsia="zh-CN"/>
              </w:rPr>
              <w:t>8</w:t>
            </w:r>
            <w:r>
              <w:rPr>
                <w:rFonts w:hint="eastAsia" w:ascii="宋体" w:hAnsi="宋体" w:cs="宋体"/>
                <w:b/>
                <w:color w:val="000000"/>
                <w:kern w:val="0"/>
                <w:szCs w:val="21"/>
                <w:highlight w:val="none"/>
              </w:rPr>
              <w:t>时（投标截止 10 日）前在滁州市公共资源交易中心网电子交易系统中在线进行异议，具体操作步骤和程序请参见服务指南&gt;交易须知&gt;在线异议、质疑和投诉操作手册。</w:t>
            </w:r>
          </w:p>
        </w:tc>
      </w:tr>
      <w:tr w14:paraId="22FD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1FB02430">
            <w:pPr>
              <w:keepNext w:val="0"/>
              <w:keepLines w:val="0"/>
              <w:pageBreakBefore w:val="0"/>
              <w:widowControl/>
              <w:kinsoku/>
              <w:overflowPunct/>
              <w:topLinePunct w:val="0"/>
              <w:autoSpaceDE/>
              <w:autoSpaceDN/>
              <w:bidi w:val="0"/>
              <w:spacing w:line="400" w:lineRule="exact"/>
              <w:jc w:val="center"/>
              <w:textAlignment w:val="auto"/>
              <w:rPr>
                <w:rFonts w:ascii="宋体" w:cs="宋体"/>
                <w:color w:val="000000"/>
                <w:kern w:val="0"/>
                <w:szCs w:val="21"/>
                <w:highlight w:val="none"/>
              </w:rPr>
            </w:pPr>
            <w:r>
              <w:rPr>
                <w:rFonts w:hint="eastAsia" w:ascii="宋体" w:cs="宋体"/>
                <w:color w:val="000000"/>
                <w:kern w:val="0"/>
                <w:szCs w:val="21"/>
                <w:highlight w:val="none"/>
              </w:rPr>
              <w:t>受理异议的联系人及联系方式</w:t>
            </w:r>
          </w:p>
        </w:tc>
        <w:tc>
          <w:tcPr>
            <w:tcW w:w="8313" w:type="dxa"/>
            <w:noWrap w:val="0"/>
            <w:vAlign w:val="center"/>
          </w:tcPr>
          <w:p w14:paraId="36B5BBE0">
            <w:pPr>
              <w:keepNext w:val="0"/>
              <w:keepLines w:val="0"/>
              <w:pageBreakBefore w:val="0"/>
              <w:widowControl/>
              <w:kinsoku/>
              <w:overflowPunct/>
              <w:topLinePunct w:val="0"/>
              <w:autoSpaceDE/>
              <w:autoSpaceDN/>
              <w:bidi w:val="0"/>
              <w:spacing w:line="400" w:lineRule="exact"/>
              <w:jc w:val="left"/>
              <w:textAlignment w:val="auto"/>
              <w:rPr>
                <w:rFonts w:ascii="宋体" w:cs="宋体"/>
                <w:color w:val="000000"/>
                <w:kern w:val="0"/>
                <w:szCs w:val="21"/>
                <w:highlight w:val="none"/>
              </w:rPr>
            </w:pPr>
            <w:r>
              <w:rPr>
                <w:rFonts w:hint="eastAsia" w:ascii="宋体" w:cs="宋体"/>
                <w:color w:val="000000"/>
                <w:kern w:val="0"/>
                <w:szCs w:val="21"/>
                <w:highlight w:val="none"/>
              </w:rPr>
              <w:t>联系人：</w:t>
            </w:r>
            <w:r>
              <w:rPr>
                <w:rFonts w:hint="eastAsia" w:ascii="宋体" w:cs="宋体"/>
                <w:color w:val="000000"/>
                <w:kern w:val="0"/>
                <w:szCs w:val="21"/>
                <w:highlight w:val="none"/>
                <w:u w:val="single"/>
              </w:rPr>
              <w:t>侯健</w:t>
            </w:r>
            <w:r>
              <w:rPr>
                <w:rFonts w:hint="eastAsia" w:ascii="宋体" w:cs="宋体"/>
                <w:color w:val="000000"/>
                <w:kern w:val="0"/>
                <w:szCs w:val="21"/>
                <w:highlight w:val="none"/>
                <w:u w:val="single"/>
                <w:lang w:eastAsia="zh-CN"/>
              </w:rPr>
              <w:t>、</w:t>
            </w:r>
            <w:r>
              <w:rPr>
                <w:rFonts w:hint="eastAsia" w:ascii="宋体" w:cs="宋体"/>
                <w:color w:val="000000"/>
                <w:kern w:val="0"/>
                <w:szCs w:val="21"/>
                <w:highlight w:val="none"/>
                <w:u w:val="single"/>
                <w:lang w:val="en-US" w:eastAsia="zh-CN"/>
              </w:rPr>
              <w:t>周蓓蕾</w:t>
            </w:r>
            <w:r>
              <w:rPr>
                <w:rFonts w:hint="eastAsia" w:ascii="宋体" w:cs="宋体"/>
                <w:color w:val="000000"/>
                <w:kern w:val="0"/>
                <w:szCs w:val="21"/>
                <w:highlight w:val="none"/>
                <w:u w:val="single"/>
              </w:rPr>
              <w:t xml:space="preserve">  </w:t>
            </w:r>
            <w:r>
              <w:rPr>
                <w:rFonts w:hint="eastAsia" w:ascii="宋体" w:cs="宋体"/>
                <w:color w:val="000000"/>
                <w:kern w:val="0"/>
                <w:szCs w:val="21"/>
                <w:highlight w:val="none"/>
              </w:rPr>
              <w:t>联系方式:</w:t>
            </w:r>
            <w:r>
              <w:rPr>
                <w:rFonts w:hint="eastAsia" w:ascii="宋体" w:cs="宋体"/>
                <w:color w:val="000000"/>
                <w:kern w:val="0"/>
                <w:szCs w:val="21"/>
                <w:highlight w:val="none"/>
                <w:u w:val="single"/>
              </w:rPr>
              <w:t xml:space="preserve"> </w:t>
            </w:r>
            <w:r>
              <w:rPr>
                <w:rFonts w:hint="eastAsia" w:ascii="宋体" w:cs="宋体"/>
                <w:color w:val="000000"/>
                <w:kern w:val="0"/>
                <w:szCs w:val="21"/>
                <w:highlight w:val="none"/>
                <w:u w:val="single"/>
                <w:lang w:val="en-US" w:eastAsia="zh-CN"/>
              </w:rPr>
              <w:t>15955007778、18005505728</w:t>
            </w:r>
            <w:r>
              <w:rPr>
                <w:rFonts w:hint="eastAsia" w:ascii="宋体" w:cs="宋体"/>
                <w:color w:val="000000"/>
                <w:kern w:val="0"/>
                <w:szCs w:val="21"/>
                <w:highlight w:val="none"/>
                <w:u w:val="single"/>
              </w:rPr>
              <w:t xml:space="preserve"> </w:t>
            </w:r>
          </w:p>
        </w:tc>
      </w:tr>
      <w:tr w14:paraId="42457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B406423">
            <w:pPr>
              <w:keepNext w:val="0"/>
              <w:keepLines w:val="0"/>
              <w:pageBreakBefore w:val="0"/>
              <w:widowControl/>
              <w:kinsoku/>
              <w:overflowPunct/>
              <w:topLinePunct w:val="0"/>
              <w:autoSpaceDE/>
              <w:autoSpaceDN/>
              <w:bidi w:val="0"/>
              <w:spacing w:line="400" w:lineRule="exact"/>
              <w:jc w:val="center"/>
              <w:textAlignment w:val="auto"/>
              <w:rPr>
                <w:rFonts w:ascii="宋体" w:cs="宋体"/>
                <w:color w:val="000000"/>
                <w:kern w:val="0"/>
                <w:szCs w:val="21"/>
                <w:highlight w:val="none"/>
              </w:rPr>
            </w:pPr>
            <w:r>
              <w:rPr>
                <w:rFonts w:hint="eastAsia" w:ascii="宋体" w:hAnsi="宋体" w:cs="宋体"/>
                <w:b/>
                <w:color w:val="000000"/>
                <w:szCs w:val="21"/>
                <w:highlight w:val="none"/>
              </w:rPr>
              <w:t>投标人提出投诉的方式</w:t>
            </w:r>
          </w:p>
        </w:tc>
        <w:tc>
          <w:tcPr>
            <w:tcW w:w="8313" w:type="dxa"/>
            <w:noWrap w:val="0"/>
            <w:vAlign w:val="top"/>
          </w:tcPr>
          <w:p w14:paraId="2A2BA41E">
            <w:pPr>
              <w:keepNext w:val="0"/>
              <w:keepLines w:val="0"/>
              <w:pageBreakBefore w:val="0"/>
              <w:widowControl/>
              <w:kinsoku/>
              <w:wordWrap w:val="0"/>
              <w:overflowPunct/>
              <w:topLinePunct w:val="0"/>
              <w:autoSpaceDE/>
              <w:autoSpaceDN/>
              <w:bidi w:val="0"/>
              <w:spacing w:line="400" w:lineRule="exact"/>
              <w:jc w:val="left"/>
              <w:textAlignment w:val="auto"/>
              <w:rPr>
                <w:rFonts w:ascii="宋体" w:cs="宋体"/>
                <w:color w:val="000000"/>
                <w:kern w:val="0"/>
                <w:szCs w:val="21"/>
                <w:highlight w:val="none"/>
              </w:rPr>
            </w:pPr>
            <w:r>
              <w:rPr>
                <w:rFonts w:hint="eastAsia" w:ascii="宋体" w:hAnsi="宋体" w:cs="宋体"/>
                <w:color w:val="000000"/>
                <w:kern w:val="0"/>
                <w:szCs w:val="21"/>
                <w:highlight w:val="none"/>
                <w:u w:val="single"/>
              </w:rPr>
              <w:t xml:space="preserve">投标人或者其他利害关系人认为招标投标活动违反法律、法规和规章规定的，有权向相关行政监督部门投诉。在线投诉具体步骤和程序请参照服务指南&gt;投诉渠道 </w:t>
            </w:r>
            <w:r>
              <w:rPr>
                <w:highlight w:val="none"/>
              </w:rPr>
              <w:fldChar w:fldCharType="begin"/>
            </w:r>
            <w:r>
              <w:rPr>
                <w:highlight w:val="none"/>
              </w:rPr>
              <w:instrText xml:space="preserve"> HYPERLINK "https://ggzy.chuzhou.gov.cn/fwzn/011001/serviceGuide.html" </w:instrText>
            </w:r>
            <w:r>
              <w:rPr>
                <w:highlight w:val="none"/>
              </w:rPr>
              <w:fldChar w:fldCharType="separate"/>
            </w:r>
            <w:r>
              <w:rPr>
                <w:rFonts w:ascii="宋体" w:hAnsi="宋体" w:cs="宋体"/>
                <w:color w:val="000000"/>
                <w:kern w:val="0"/>
                <w:szCs w:val="21"/>
                <w:highlight w:val="none"/>
                <w:u w:val="single"/>
              </w:rPr>
              <w:t>https://ggzy.chuzhou.gov.cn/fwzn/011001/serviceGuide.html</w:t>
            </w:r>
            <w:r>
              <w:rPr>
                <w:rFonts w:ascii="宋体" w:hAnsi="宋体" w:cs="宋体"/>
                <w:color w:val="000000"/>
                <w:kern w:val="0"/>
                <w:szCs w:val="21"/>
                <w:highlight w:val="none"/>
                <w:u w:val="single"/>
              </w:rPr>
              <w:fldChar w:fldCharType="end"/>
            </w:r>
            <w:r>
              <w:rPr>
                <w:rFonts w:hint="eastAsia" w:ascii="宋体" w:hAnsi="宋体" w:cs="宋体"/>
                <w:color w:val="000000"/>
                <w:kern w:val="0"/>
                <w:szCs w:val="21"/>
                <w:highlight w:val="none"/>
                <w:u w:val="single"/>
              </w:rPr>
              <w:t>；投诉书格式等内容参见服务指南&gt;办事指南&gt;投标人服务&gt;投诉受理一次告知书</w:t>
            </w:r>
            <w:r>
              <w:rPr>
                <w:rFonts w:ascii="宋体" w:hAnsi="宋体" w:cs="宋体"/>
                <w:color w:val="000000"/>
                <w:kern w:val="0"/>
                <w:szCs w:val="21"/>
                <w:highlight w:val="none"/>
                <w:u w:val="single"/>
              </w:rPr>
              <w:t>https://ggzy.chuzhou.gov.cn/fwzn/011001/011001001/011001001003/20211022/4b7d87ec-2c58-49b0-b76c-3a6277377930.html</w:t>
            </w:r>
            <w:r>
              <w:rPr>
                <w:rFonts w:hint="eastAsia" w:ascii="宋体" w:hAnsi="宋体" w:cs="宋体"/>
                <w:color w:val="000000"/>
                <w:kern w:val="0"/>
                <w:szCs w:val="21"/>
                <w:highlight w:val="none"/>
                <w:u w:val="single"/>
              </w:rPr>
              <w:t>。</w:t>
            </w:r>
          </w:p>
        </w:tc>
      </w:tr>
      <w:tr w14:paraId="1CA42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8" w:type="dxa"/>
            <w:gridSpan w:val="2"/>
            <w:noWrap w:val="0"/>
            <w:vAlign w:val="center"/>
          </w:tcPr>
          <w:p w14:paraId="1EB59705">
            <w:pPr>
              <w:keepNext w:val="0"/>
              <w:keepLines w:val="0"/>
              <w:pageBreakBefore w:val="0"/>
              <w:widowControl/>
              <w:kinsoku/>
              <w:overflowPunct/>
              <w:topLinePunct w:val="0"/>
              <w:autoSpaceDE/>
              <w:autoSpaceDN/>
              <w:bidi w:val="0"/>
              <w:spacing w:line="400" w:lineRule="exact"/>
              <w:jc w:val="center"/>
              <w:textAlignment w:val="auto"/>
              <w:rPr>
                <w:rFonts w:ascii="宋体" w:cs="宋体"/>
                <w:b/>
                <w:color w:val="000000"/>
                <w:kern w:val="0"/>
                <w:sz w:val="24"/>
                <w:highlight w:val="none"/>
              </w:rPr>
            </w:pPr>
            <w:r>
              <w:rPr>
                <w:rFonts w:hint="eastAsia" w:ascii="宋体" w:hAnsi="宋体" w:cs="宋体"/>
                <w:b/>
                <w:color w:val="000000"/>
                <w:sz w:val="24"/>
                <w:highlight w:val="none"/>
              </w:rPr>
              <w:t>投标保证金收取</w:t>
            </w:r>
          </w:p>
        </w:tc>
      </w:tr>
      <w:tr w14:paraId="7E450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4F32D1BE">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szCs w:val="21"/>
                <w:highlight w:val="none"/>
              </w:rPr>
            </w:pPr>
            <w:r>
              <w:rPr>
                <w:rFonts w:hint="eastAsia" w:ascii="宋体" w:hAnsi="宋体" w:cs="宋体"/>
                <w:color w:val="000000"/>
                <w:szCs w:val="21"/>
                <w:highlight w:val="none"/>
              </w:rPr>
              <w:t>投标保证金收取</w:t>
            </w:r>
            <w:r>
              <w:rPr>
                <w:rStyle w:val="30"/>
                <w:rFonts w:ascii="宋体" w:hAnsi="宋体" w:cs="宋体"/>
                <w:color w:val="000000"/>
                <w:szCs w:val="21"/>
                <w:highlight w:val="none"/>
              </w:rPr>
              <w:footnoteReference w:id="0"/>
            </w:r>
          </w:p>
        </w:tc>
        <w:tc>
          <w:tcPr>
            <w:tcW w:w="8313" w:type="dxa"/>
            <w:noWrap w:val="0"/>
            <w:vAlign w:val="center"/>
          </w:tcPr>
          <w:p w14:paraId="2A82EFDF">
            <w:pPr>
              <w:keepNext w:val="0"/>
              <w:keepLines w:val="0"/>
              <w:pageBreakBefore w:val="0"/>
              <w:widowControl/>
              <w:kinsoku/>
              <w:overflowPunct/>
              <w:topLinePunct w:val="0"/>
              <w:autoSpaceDE/>
              <w:autoSpaceDN/>
              <w:bidi w:val="0"/>
              <w:spacing w:line="400" w:lineRule="exact"/>
              <w:jc w:val="left"/>
              <w:textAlignment w:val="auto"/>
              <w:rPr>
                <w:rFonts w:ascii="宋体" w:hAnsi="宋体"/>
                <w:highlight w:val="none"/>
              </w:rPr>
            </w:pPr>
            <w:r>
              <w:rPr>
                <w:rFonts w:hint="eastAsia" w:ascii="宋体" w:hAnsi="宋体" w:cs="宋体"/>
                <w:color w:val="000000"/>
                <w:kern w:val="0"/>
                <w:szCs w:val="21"/>
                <w:highlight w:val="none"/>
              </w:rPr>
              <w:t>投标保证金的金额：</w:t>
            </w:r>
            <w:r>
              <w:rPr>
                <w:rFonts w:hint="eastAsia" w:ascii="宋体" w:hAnsi="宋体" w:cs="宋体"/>
                <w:color w:val="000000"/>
                <w:kern w:val="0"/>
                <w:szCs w:val="21"/>
                <w:highlight w:val="none"/>
                <w:lang w:val="en-US" w:eastAsia="zh-CN"/>
              </w:rPr>
              <w:t>10</w:t>
            </w:r>
            <w:r>
              <w:rPr>
                <w:rFonts w:hint="eastAsia" w:ascii="宋体" w:hAnsi="宋体" w:cs="宋体"/>
                <w:color w:val="000000"/>
                <w:kern w:val="0"/>
                <w:szCs w:val="21"/>
                <w:highlight w:val="none"/>
              </w:rPr>
              <w:t>万元，要求投标人提交投标保证金。</w:t>
            </w:r>
          </w:p>
        </w:tc>
      </w:tr>
      <w:tr w14:paraId="2C3AB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top"/>
          </w:tcPr>
          <w:p w14:paraId="5F766CD1">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szCs w:val="21"/>
                <w:highlight w:val="none"/>
              </w:rPr>
            </w:pPr>
            <w:r>
              <w:rPr>
                <w:rFonts w:hint="eastAsia" w:ascii="宋体" w:hAnsi="宋体" w:cs="宋体"/>
                <w:color w:val="000000"/>
                <w:szCs w:val="21"/>
                <w:highlight w:val="none"/>
              </w:rPr>
              <w:t>投标保证金形式</w:t>
            </w:r>
          </w:p>
        </w:tc>
        <w:tc>
          <w:tcPr>
            <w:tcW w:w="8313" w:type="dxa"/>
            <w:noWrap w:val="0"/>
            <w:vAlign w:val="top"/>
          </w:tcPr>
          <w:p w14:paraId="17C61DAE">
            <w:pPr>
              <w:keepNext w:val="0"/>
              <w:keepLines w:val="0"/>
              <w:pageBreakBefore w:val="0"/>
              <w:widowControl/>
              <w:kinsoku/>
              <w:overflowPunct/>
              <w:topLinePunct w:val="0"/>
              <w:autoSpaceDE/>
              <w:autoSpaceDN/>
              <w:bidi w:val="0"/>
              <w:spacing w:line="400" w:lineRule="exact"/>
              <w:jc w:val="left"/>
              <w:textAlignment w:val="auto"/>
              <w:rPr>
                <w:rFonts w:ascii="MS Mincho" w:hAnsi="MS Mincho" w:eastAsia="MS Mincho" w:cs="MS Mincho"/>
                <w:color w:val="000000"/>
                <w:kern w:val="0"/>
                <w:szCs w:val="21"/>
                <w:highlight w:val="none"/>
              </w:rPr>
            </w:pPr>
            <w:r>
              <w:rPr>
                <w:rFonts w:hint="eastAsia" w:ascii="宋体" w:hAnsi="宋体" w:cs="MS Mincho"/>
                <w:color w:val="000000"/>
                <w:kern w:val="0"/>
                <w:szCs w:val="21"/>
                <w:highlight w:val="none"/>
              </w:rPr>
              <w:t>支持现金（银行转账、银行电汇）、银行保函、保证保险、担保机构担保。</w:t>
            </w:r>
          </w:p>
        </w:tc>
      </w:tr>
      <w:tr w14:paraId="2C382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63D5C32A">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szCs w:val="21"/>
                <w:highlight w:val="none"/>
              </w:rPr>
            </w:pPr>
            <w:r>
              <w:rPr>
                <w:rFonts w:hint="eastAsia" w:ascii="宋体" w:hAnsi="宋体" w:cs="宋体"/>
                <w:color w:val="000000"/>
                <w:szCs w:val="21"/>
                <w:highlight w:val="none"/>
              </w:rPr>
              <w:t>接收投标保证金的账户信息</w:t>
            </w:r>
          </w:p>
        </w:tc>
        <w:tc>
          <w:tcPr>
            <w:tcW w:w="8313" w:type="dxa"/>
            <w:noWrap w:val="0"/>
            <w:vAlign w:val="center"/>
          </w:tcPr>
          <w:p w14:paraId="25CE83FA">
            <w:pPr>
              <w:keepNext w:val="0"/>
              <w:keepLines w:val="0"/>
              <w:pageBreakBefore w:val="0"/>
              <w:widowControl/>
              <w:kinsoku/>
              <w:overflowPunct/>
              <w:topLinePunct w:val="0"/>
              <w:autoSpaceDE/>
              <w:autoSpaceDN/>
              <w:bidi w:val="0"/>
              <w:spacing w:line="400" w:lineRule="exact"/>
              <w:jc w:val="left"/>
              <w:textAlignment w:val="auto"/>
              <w:rPr>
                <w:rFonts w:ascii="宋体" w:hAnsi="宋体" w:cs="MS Mincho"/>
                <w:color w:val="000000"/>
                <w:kern w:val="0"/>
                <w:szCs w:val="21"/>
                <w:highlight w:val="none"/>
              </w:rPr>
            </w:pPr>
            <w:r>
              <w:rPr>
                <w:rFonts w:hint="eastAsia" w:ascii="宋体" w:hAnsi="宋体" w:cs="宋体"/>
                <w:color w:val="000000"/>
                <w:kern w:val="0"/>
                <w:szCs w:val="21"/>
                <w:highlight w:val="none"/>
              </w:rPr>
              <w:t>银</w:t>
            </w:r>
            <w:r>
              <w:rPr>
                <w:rFonts w:hint="eastAsia" w:ascii="宋体" w:hAnsi="宋体" w:cs="MS Mincho"/>
                <w:color w:val="000000"/>
                <w:kern w:val="0"/>
                <w:szCs w:val="21"/>
                <w:highlight w:val="none"/>
              </w:rPr>
              <w:t>行</w:t>
            </w:r>
            <w:r>
              <w:rPr>
                <w:rFonts w:hint="eastAsia" w:ascii="宋体" w:hAnsi="宋体" w:cs="宋体"/>
                <w:color w:val="000000"/>
                <w:kern w:val="0"/>
                <w:szCs w:val="21"/>
                <w:highlight w:val="none"/>
              </w:rPr>
              <w:t>转账缴纳</w:t>
            </w:r>
            <w:r>
              <w:rPr>
                <w:rFonts w:hint="eastAsia" w:ascii="宋体" w:hAnsi="宋体" w:cs="MS Mincho"/>
                <w:color w:val="000000"/>
                <w:kern w:val="0"/>
                <w:szCs w:val="21"/>
                <w:highlight w:val="none"/>
              </w:rPr>
              <w:t>的投</w:t>
            </w:r>
            <w:r>
              <w:rPr>
                <w:rFonts w:hint="eastAsia" w:ascii="宋体" w:hAnsi="宋体" w:cs="宋体"/>
                <w:color w:val="000000"/>
                <w:kern w:val="0"/>
                <w:szCs w:val="21"/>
                <w:highlight w:val="none"/>
              </w:rPr>
              <w:t>标</w:t>
            </w:r>
            <w:r>
              <w:rPr>
                <w:rFonts w:hint="eastAsia" w:ascii="宋体" w:hAnsi="宋体" w:cs="MS Mincho"/>
                <w:color w:val="000000"/>
                <w:kern w:val="0"/>
                <w:szCs w:val="21"/>
                <w:highlight w:val="none"/>
              </w:rPr>
              <w:t>保</w:t>
            </w:r>
            <w:r>
              <w:rPr>
                <w:rFonts w:hint="eastAsia" w:ascii="宋体" w:hAnsi="宋体" w:cs="宋体"/>
                <w:color w:val="000000"/>
                <w:kern w:val="0"/>
                <w:szCs w:val="21"/>
                <w:highlight w:val="none"/>
              </w:rPr>
              <w:t>证</w:t>
            </w:r>
            <w:r>
              <w:rPr>
                <w:rFonts w:hint="eastAsia" w:ascii="宋体" w:hAnsi="宋体" w:cs="MS Mincho"/>
                <w:color w:val="000000"/>
                <w:kern w:val="0"/>
                <w:szCs w:val="21"/>
                <w:highlight w:val="none"/>
              </w:rPr>
              <w:t>金</w:t>
            </w:r>
            <w:r>
              <w:rPr>
                <w:rFonts w:hint="eastAsia" w:ascii="宋体" w:hAnsi="宋体" w:cs="宋体"/>
                <w:color w:val="000000"/>
                <w:kern w:val="0"/>
                <w:szCs w:val="21"/>
                <w:highlight w:val="none"/>
              </w:rPr>
              <w:t>须</w:t>
            </w:r>
            <w:r>
              <w:rPr>
                <w:rFonts w:hint="eastAsia" w:ascii="宋体" w:hAnsi="宋体" w:cs="MS Mincho"/>
                <w:color w:val="000000"/>
                <w:kern w:val="0"/>
                <w:szCs w:val="21"/>
                <w:highlight w:val="none"/>
              </w:rPr>
              <w:t>投</w:t>
            </w:r>
            <w:r>
              <w:rPr>
                <w:rFonts w:hint="eastAsia" w:ascii="宋体" w:hAnsi="宋体" w:cs="宋体"/>
                <w:color w:val="000000"/>
                <w:kern w:val="0"/>
                <w:szCs w:val="21"/>
                <w:highlight w:val="none"/>
              </w:rPr>
              <w:t>标</w:t>
            </w:r>
            <w:r>
              <w:rPr>
                <w:rFonts w:hint="eastAsia" w:ascii="宋体" w:hAnsi="宋体" w:cs="MS Mincho"/>
                <w:color w:val="000000"/>
                <w:kern w:val="0"/>
                <w:szCs w:val="21"/>
                <w:highlight w:val="none"/>
              </w:rPr>
              <w:t>截止</w:t>
            </w:r>
            <w:r>
              <w:rPr>
                <w:rFonts w:hint="eastAsia" w:ascii="宋体" w:hAnsi="宋体" w:cs="宋体"/>
                <w:color w:val="000000"/>
                <w:kern w:val="0"/>
                <w:szCs w:val="21"/>
                <w:highlight w:val="none"/>
              </w:rPr>
              <w:t>时间</w:t>
            </w:r>
            <w:r>
              <w:rPr>
                <w:rFonts w:hint="eastAsia" w:ascii="宋体" w:hAnsi="宋体" w:cs="MS Mincho"/>
                <w:color w:val="000000"/>
                <w:kern w:val="0"/>
                <w:szCs w:val="21"/>
                <w:highlight w:val="none"/>
              </w:rPr>
              <w:t>前交</w:t>
            </w:r>
            <w:r>
              <w:rPr>
                <w:rFonts w:hint="eastAsia" w:ascii="宋体" w:hAnsi="宋体" w:cs="宋体"/>
                <w:color w:val="000000"/>
                <w:kern w:val="0"/>
                <w:szCs w:val="21"/>
                <w:highlight w:val="none"/>
              </w:rPr>
              <w:t>纳</w:t>
            </w:r>
            <w:r>
              <w:rPr>
                <w:rFonts w:hint="eastAsia" w:ascii="宋体" w:hAnsi="宋体" w:cs="MS Mincho"/>
                <w:color w:val="000000"/>
                <w:kern w:val="0"/>
                <w:szCs w:val="21"/>
                <w:highlight w:val="none"/>
              </w:rPr>
              <w:t>完</w:t>
            </w:r>
            <w:r>
              <w:rPr>
                <w:rFonts w:hint="eastAsia" w:ascii="宋体" w:hAnsi="宋体" w:cs="宋体"/>
                <w:color w:val="000000"/>
                <w:kern w:val="0"/>
                <w:szCs w:val="21"/>
                <w:highlight w:val="none"/>
              </w:rPr>
              <w:t>毕</w:t>
            </w:r>
            <w:r>
              <w:rPr>
                <w:rFonts w:hint="eastAsia" w:ascii="宋体" w:hAnsi="宋体" w:cs="MS Mincho"/>
                <w:color w:val="000000"/>
                <w:kern w:val="0"/>
                <w:szCs w:val="21"/>
                <w:highlight w:val="none"/>
              </w:rPr>
              <w:t>；投</w:t>
            </w:r>
            <w:r>
              <w:rPr>
                <w:rFonts w:hint="eastAsia" w:ascii="宋体" w:hAnsi="宋体" w:cs="宋体"/>
                <w:color w:val="000000"/>
                <w:kern w:val="0"/>
                <w:szCs w:val="21"/>
                <w:highlight w:val="none"/>
              </w:rPr>
              <w:t>标</w:t>
            </w:r>
            <w:r>
              <w:rPr>
                <w:rFonts w:hint="eastAsia" w:ascii="宋体" w:hAnsi="宋体" w:cs="MS Mincho"/>
                <w:color w:val="000000"/>
                <w:kern w:val="0"/>
                <w:szCs w:val="21"/>
                <w:highlight w:val="none"/>
              </w:rPr>
              <w:t>保</w:t>
            </w:r>
            <w:r>
              <w:rPr>
                <w:rFonts w:hint="eastAsia" w:ascii="宋体" w:hAnsi="宋体" w:cs="宋体"/>
                <w:color w:val="000000"/>
                <w:kern w:val="0"/>
                <w:szCs w:val="21"/>
                <w:highlight w:val="none"/>
              </w:rPr>
              <w:t>证</w:t>
            </w:r>
            <w:r>
              <w:rPr>
                <w:rFonts w:hint="eastAsia" w:ascii="宋体" w:hAnsi="宋体" w:cs="MS Mincho"/>
                <w:color w:val="000000"/>
                <w:kern w:val="0"/>
                <w:szCs w:val="21"/>
                <w:highlight w:val="none"/>
              </w:rPr>
              <w:t>金</w:t>
            </w:r>
            <w:r>
              <w:rPr>
                <w:rFonts w:hint="eastAsia" w:ascii="宋体" w:hAnsi="宋体" w:cs="宋体"/>
                <w:color w:val="000000"/>
                <w:kern w:val="0"/>
                <w:szCs w:val="21"/>
                <w:highlight w:val="none"/>
              </w:rPr>
              <w:t>须</w:t>
            </w:r>
            <w:r>
              <w:rPr>
                <w:rFonts w:hint="eastAsia" w:ascii="宋体" w:hAnsi="宋体" w:cs="MS Mincho"/>
                <w:color w:val="000000"/>
                <w:kern w:val="0"/>
                <w:szCs w:val="21"/>
                <w:highlight w:val="none"/>
              </w:rPr>
              <w:t>从投</w:t>
            </w:r>
            <w:r>
              <w:rPr>
                <w:rFonts w:hint="eastAsia" w:ascii="宋体" w:hAnsi="宋体" w:cs="宋体"/>
                <w:color w:val="000000"/>
                <w:kern w:val="0"/>
                <w:szCs w:val="21"/>
                <w:highlight w:val="none"/>
              </w:rPr>
              <w:t>标</w:t>
            </w:r>
            <w:r>
              <w:rPr>
                <w:rFonts w:hint="eastAsia" w:ascii="宋体" w:hAnsi="宋体" w:cs="MS Mincho"/>
                <w:color w:val="000000"/>
                <w:kern w:val="0"/>
                <w:szCs w:val="21"/>
                <w:highlight w:val="none"/>
              </w:rPr>
              <w:t>人基本</w:t>
            </w:r>
            <w:r>
              <w:rPr>
                <w:rFonts w:hint="eastAsia" w:ascii="宋体" w:hAnsi="宋体" w:cs="宋体"/>
                <w:color w:val="000000"/>
                <w:kern w:val="0"/>
                <w:szCs w:val="21"/>
                <w:highlight w:val="none"/>
              </w:rPr>
              <w:t>账户转</w:t>
            </w:r>
            <w:r>
              <w:rPr>
                <w:rFonts w:hint="eastAsia" w:ascii="宋体" w:hAnsi="宋体" w:cs="MS Mincho"/>
                <w:color w:val="000000"/>
                <w:kern w:val="0"/>
                <w:szCs w:val="21"/>
                <w:highlight w:val="none"/>
              </w:rPr>
              <w:t>入交易中心下列</w:t>
            </w:r>
            <w:r>
              <w:rPr>
                <w:rFonts w:hint="eastAsia" w:ascii="宋体" w:hAnsi="宋体" w:cs="宋体"/>
                <w:color w:val="000000"/>
                <w:kern w:val="0"/>
                <w:szCs w:val="21"/>
                <w:highlight w:val="none"/>
              </w:rPr>
              <w:t>账户</w:t>
            </w:r>
            <w:r>
              <w:rPr>
                <w:rFonts w:hint="eastAsia" w:ascii="宋体" w:hAnsi="宋体" w:cs="MS Mincho"/>
                <w:color w:val="000000"/>
                <w:kern w:val="0"/>
                <w:szCs w:val="21"/>
                <w:highlight w:val="none"/>
              </w:rPr>
              <w:t>之一，投</w:t>
            </w:r>
            <w:r>
              <w:rPr>
                <w:rFonts w:hint="eastAsia" w:ascii="宋体" w:hAnsi="宋体" w:cs="宋体"/>
                <w:color w:val="000000"/>
                <w:kern w:val="0"/>
                <w:szCs w:val="21"/>
                <w:highlight w:val="none"/>
              </w:rPr>
              <w:t>标</w:t>
            </w:r>
            <w:r>
              <w:rPr>
                <w:rFonts w:hint="eastAsia" w:ascii="宋体" w:hAnsi="宋体" w:cs="MS Mincho"/>
                <w:color w:val="000000"/>
                <w:kern w:val="0"/>
                <w:szCs w:val="21"/>
                <w:highlight w:val="none"/>
              </w:rPr>
              <w:t>保</w:t>
            </w:r>
            <w:r>
              <w:rPr>
                <w:rFonts w:hint="eastAsia" w:ascii="宋体" w:hAnsi="宋体" w:cs="宋体"/>
                <w:color w:val="000000"/>
                <w:kern w:val="0"/>
                <w:szCs w:val="21"/>
                <w:highlight w:val="none"/>
              </w:rPr>
              <w:t>证</w:t>
            </w:r>
            <w:r>
              <w:rPr>
                <w:rFonts w:hint="eastAsia" w:ascii="宋体" w:hAnsi="宋体" w:cs="MS Mincho"/>
                <w:color w:val="000000"/>
                <w:kern w:val="0"/>
                <w:szCs w:val="21"/>
                <w:highlight w:val="none"/>
              </w:rPr>
              <w:t>金付款人的</w:t>
            </w:r>
            <w:r>
              <w:rPr>
                <w:rFonts w:hint="eastAsia" w:ascii="宋体" w:hAnsi="宋体" w:cs="宋体"/>
                <w:color w:val="000000"/>
                <w:kern w:val="0"/>
                <w:szCs w:val="21"/>
                <w:highlight w:val="none"/>
              </w:rPr>
              <w:t>账户</w:t>
            </w:r>
            <w:r>
              <w:rPr>
                <w:rFonts w:hint="eastAsia" w:ascii="宋体" w:hAnsi="宋体" w:cs="MS Mincho"/>
                <w:color w:val="000000"/>
                <w:kern w:val="0"/>
                <w:szCs w:val="21"/>
                <w:highlight w:val="none"/>
              </w:rPr>
              <w:t>名称必</w:t>
            </w:r>
            <w:r>
              <w:rPr>
                <w:rFonts w:hint="eastAsia" w:ascii="宋体" w:hAnsi="宋体" w:cs="宋体"/>
                <w:color w:val="000000"/>
                <w:kern w:val="0"/>
                <w:szCs w:val="21"/>
                <w:highlight w:val="none"/>
              </w:rPr>
              <w:t>须</w:t>
            </w:r>
            <w:r>
              <w:rPr>
                <w:rFonts w:hint="eastAsia" w:ascii="宋体" w:hAnsi="宋体" w:cs="MS Mincho"/>
                <w:color w:val="000000"/>
                <w:kern w:val="0"/>
                <w:szCs w:val="21"/>
                <w:highlight w:val="none"/>
              </w:rPr>
              <w:t>与投</w:t>
            </w:r>
            <w:r>
              <w:rPr>
                <w:rFonts w:hint="eastAsia" w:ascii="宋体" w:hAnsi="宋体" w:cs="宋体"/>
                <w:color w:val="000000"/>
                <w:kern w:val="0"/>
                <w:szCs w:val="21"/>
                <w:highlight w:val="none"/>
              </w:rPr>
              <w:t>标</w:t>
            </w:r>
            <w:r>
              <w:rPr>
                <w:rFonts w:hint="eastAsia" w:ascii="宋体" w:hAnsi="宋体" w:cs="MS Mincho"/>
                <w:color w:val="000000"/>
                <w:kern w:val="0"/>
                <w:szCs w:val="21"/>
                <w:highlight w:val="none"/>
              </w:rPr>
              <w:t>人名称一致，不接受</w:t>
            </w:r>
            <w:r>
              <w:rPr>
                <w:rFonts w:hint="eastAsia" w:ascii="宋体" w:hAnsi="宋体" w:cs="宋体"/>
                <w:color w:val="000000"/>
                <w:kern w:val="0"/>
                <w:szCs w:val="21"/>
                <w:highlight w:val="none"/>
              </w:rPr>
              <w:t>汇</w:t>
            </w:r>
            <w:r>
              <w:rPr>
                <w:rFonts w:hint="eastAsia" w:ascii="宋体" w:hAnsi="宋体" w:cs="MS Mincho"/>
                <w:color w:val="000000"/>
                <w:kern w:val="0"/>
                <w:szCs w:val="21"/>
                <w:highlight w:val="none"/>
              </w:rPr>
              <w:t>票和</w:t>
            </w:r>
            <w:r>
              <w:rPr>
                <w:rFonts w:hint="eastAsia" w:ascii="宋体" w:hAnsi="宋体" w:cs="宋体"/>
                <w:color w:val="000000"/>
                <w:kern w:val="0"/>
                <w:szCs w:val="21"/>
                <w:highlight w:val="none"/>
              </w:rPr>
              <w:t>结</w:t>
            </w:r>
            <w:r>
              <w:rPr>
                <w:rFonts w:hint="eastAsia" w:ascii="宋体" w:hAnsi="宋体" w:cs="MS Mincho"/>
                <w:color w:val="000000"/>
                <w:kern w:val="0"/>
                <w:szCs w:val="21"/>
                <w:highlight w:val="none"/>
              </w:rPr>
              <w:t>算卡</w:t>
            </w:r>
            <w:r>
              <w:rPr>
                <w:rFonts w:hint="eastAsia" w:ascii="宋体" w:hAnsi="宋体" w:cs="宋体"/>
                <w:color w:val="000000"/>
                <w:kern w:val="0"/>
                <w:szCs w:val="21"/>
                <w:highlight w:val="none"/>
              </w:rPr>
              <w:t>汇</w:t>
            </w:r>
            <w:r>
              <w:rPr>
                <w:rFonts w:hint="eastAsia" w:ascii="宋体" w:hAnsi="宋体" w:cs="MS Mincho"/>
                <w:color w:val="000000"/>
                <w:kern w:val="0"/>
                <w:szCs w:val="21"/>
                <w:highlight w:val="none"/>
              </w:rPr>
              <w:t>入，以</w:t>
            </w:r>
            <w:r>
              <w:rPr>
                <w:rFonts w:hint="eastAsia" w:ascii="宋体" w:hAnsi="宋体" w:cs="宋体"/>
                <w:color w:val="000000"/>
                <w:kern w:val="0"/>
                <w:szCs w:val="21"/>
                <w:highlight w:val="none"/>
              </w:rPr>
              <w:t>资</w:t>
            </w:r>
            <w:r>
              <w:rPr>
                <w:rFonts w:hint="eastAsia" w:ascii="宋体" w:hAnsi="宋体" w:cs="MS Mincho"/>
                <w:color w:val="000000"/>
                <w:kern w:val="0"/>
                <w:szCs w:val="21"/>
                <w:highlight w:val="none"/>
              </w:rPr>
              <w:t>金到</w:t>
            </w:r>
            <w:r>
              <w:rPr>
                <w:rFonts w:hint="eastAsia" w:ascii="宋体" w:hAnsi="宋体" w:cs="宋体"/>
                <w:color w:val="000000"/>
                <w:kern w:val="0"/>
                <w:szCs w:val="21"/>
                <w:highlight w:val="none"/>
              </w:rPr>
              <w:t>账时间为</w:t>
            </w:r>
            <w:r>
              <w:rPr>
                <w:rFonts w:hint="eastAsia" w:ascii="宋体" w:hAnsi="宋体" w:cs="MS Mincho"/>
                <w:color w:val="000000"/>
                <w:kern w:val="0"/>
                <w:szCs w:val="21"/>
                <w:highlight w:val="none"/>
              </w:rPr>
              <w:t>确</w:t>
            </w:r>
            <w:r>
              <w:rPr>
                <w:rFonts w:hint="eastAsia" w:ascii="宋体" w:hAnsi="宋体" w:cs="宋体"/>
                <w:color w:val="000000"/>
                <w:kern w:val="0"/>
                <w:szCs w:val="21"/>
                <w:highlight w:val="none"/>
              </w:rPr>
              <w:t>认</w:t>
            </w:r>
            <w:r>
              <w:rPr>
                <w:rFonts w:hint="eastAsia" w:ascii="宋体" w:hAnsi="宋体" w:cs="MS Mincho"/>
                <w:color w:val="000000"/>
                <w:kern w:val="0"/>
                <w:szCs w:val="21"/>
                <w:highlight w:val="none"/>
              </w:rPr>
              <w:t>保</w:t>
            </w:r>
            <w:r>
              <w:rPr>
                <w:rFonts w:hint="eastAsia" w:ascii="宋体" w:hAnsi="宋体" w:cs="宋体"/>
                <w:color w:val="000000"/>
                <w:kern w:val="0"/>
                <w:szCs w:val="21"/>
                <w:highlight w:val="none"/>
              </w:rPr>
              <w:t>证</w:t>
            </w:r>
            <w:r>
              <w:rPr>
                <w:rFonts w:hint="eastAsia" w:ascii="宋体" w:hAnsi="宋体" w:cs="MS Mincho"/>
                <w:color w:val="000000"/>
                <w:kern w:val="0"/>
                <w:szCs w:val="21"/>
                <w:highlight w:val="none"/>
              </w:rPr>
              <w:t>金交</w:t>
            </w:r>
            <w:r>
              <w:rPr>
                <w:rFonts w:hint="eastAsia" w:ascii="宋体" w:hAnsi="宋体" w:cs="宋体"/>
                <w:color w:val="000000"/>
                <w:kern w:val="0"/>
                <w:szCs w:val="21"/>
                <w:highlight w:val="none"/>
              </w:rPr>
              <w:t>纳</w:t>
            </w:r>
            <w:r>
              <w:rPr>
                <w:rFonts w:hint="eastAsia" w:ascii="宋体" w:hAnsi="宋体" w:cs="MS Mincho"/>
                <w:color w:val="000000"/>
                <w:kern w:val="0"/>
                <w:szCs w:val="21"/>
                <w:highlight w:val="none"/>
              </w:rPr>
              <w:t>完</w:t>
            </w:r>
            <w:r>
              <w:rPr>
                <w:rFonts w:hint="eastAsia" w:ascii="宋体" w:hAnsi="宋体" w:cs="宋体"/>
                <w:color w:val="000000"/>
                <w:kern w:val="0"/>
                <w:szCs w:val="21"/>
                <w:highlight w:val="none"/>
              </w:rPr>
              <w:t>毕时间</w:t>
            </w:r>
            <w:r>
              <w:rPr>
                <w:rFonts w:hint="eastAsia" w:ascii="宋体" w:hAnsi="宋体" w:cs="MS Mincho"/>
                <w:color w:val="000000"/>
                <w:kern w:val="0"/>
                <w:szCs w:val="21"/>
                <w:highlight w:val="none"/>
              </w:rPr>
              <w:t>。</w:t>
            </w:r>
          </w:p>
          <w:p w14:paraId="38161133">
            <w:pPr>
              <w:keepNext w:val="0"/>
              <w:keepLines w:val="0"/>
              <w:pageBreakBefore w:val="0"/>
              <w:widowControl/>
              <w:kinsoku/>
              <w:overflowPunct/>
              <w:topLinePunct w:val="0"/>
              <w:autoSpaceDE/>
              <w:autoSpaceDN/>
              <w:bidi w:val="0"/>
              <w:spacing w:line="400" w:lineRule="exact"/>
              <w:jc w:val="left"/>
              <w:textAlignment w:val="auto"/>
              <w:rPr>
                <w:rFonts w:hint="eastAsia" w:ascii="宋体" w:hAnsi="宋体" w:cs="MS Mincho"/>
                <w:color w:val="000000"/>
                <w:kern w:val="0"/>
                <w:szCs w:val="21"/>
                <w:highlight w:val="none"/>
              </w:rPr>
            </w:pPr>
            <w:r>
              <w:rPr>
                <w:rFonts w:hint="eastAsia" w:ascii="宋体" w:hAnsi="宋体" w:cs="MS Mincho"/>
                <w:color w:val="000000"/>
                <w:kern w:val="0"/>
                <w:szCs w:val="21"/>
                <w:highlight w:val="none"/>
              </w:rPr>
              <w:t>①</w:t>
            </w:r>
            <w:r>
              <w:rPr>
                <w:rFonts w:hint="eastAsia" w:ascii="宋体" w:hAnsi="宋体" w:cs="宋体"/>
                <w:color w:val="000000"/>
                <w:kern w:val="0"/>
                <w:szCs w:val="21"/>
                <w:highlight w:val="none"/>
              </w:rPr>
              <w:t>户</w:t>
            </w:r>
            <w:r>
              <w:rPr>
                <w:rFonts w:hint="eastAsia" w:ascii="宋体" w:hAnsi="宋体" w:cs="MS Mincho"/>
                <w:color w:val="000000"/>
                <w:kern w:val="0"/>
                <w:szCs w:val="21"/>
                <w:highlight w:val="none"/>
              </w:rPr>
              <w:t>名：滁州市公共</w:t>
            </w:r>
            <w:r>
              <w:rPr>
                <w:rFonts w:hint="eastAsia" w:ascii="宋体" w:hAnsi="宋体" w:cs="宋体"/>
                <w:color w:val="000000"/>
                <w:kern w:val="0"/>
                <w:szCs w:val="21"/>
                <w:highlight w:val="none"/>
              </w:rPr>
              <w:t>资</w:t>
            </w:r>
            <w:r>
              <w:rPr>
                <w:rFonts w:hint="eastAsia" w:ascii="宋体" w:hAnsi="宋体" w:cs="MS Mincho"/>
                <w:color w:val="000000"/>
                <w:kern w:val="0"/>
                <w:szCs w:val="21"/>
                <w:highlight w:val="none"/>
              </w:rPr>
              <w:t>源交易中心</w:t>
            </w:r>
          </w:p>
          <w:p w14:paraId="4FFA8DDA">
            <w:pPr>
              <w:keepNext w:val="0"/>
              <w:keepLines w:val="0"/>
              <w:pageBreakBefore w:val="0"/>
              <w:widowControl/>
              <w:kinsoku/>
              <w:overflowPunct/>
              <w:topLinePunct w:val="0"/>
              <w:autoSpaceDE/>
              <w:autoSpaceDN/>
              <w:bidi w:val="0"/>
              <w:spacing w:line="400" w:lineRule="exact"/>
              <w:jc w:val="left"/>
              <w:textAlignment w:val="auto"/>
              <w:rPr>
                <w:rFonts w:hint="eastAsia" w:ascii="宋体" w:hAnsi="宋体" w:cs="MS Mincho"/>
                <w:color w:val="000000"/>
                <w:kern w:val="0"/>
                <w:szCs w:val="21"/>
                <w:highlight w:val="none"/>
              </w:rPr>
            </w:pPr>
            <w:r>
              <w:rPr>
                <w:rFonts w:hint="eastAsia" w:ascii="宋体" w:hAnsi="宋体" w:cs="MS Mincho"/>
                <w:color w:val="000000"/>
                <w:kern w:val="0"/>
                <w:szCs w:val="21"/>
                <w:highlight w:val="none"/>
              </w:rPr>
              <w:t xml:space="preserve">开户行：中国建设银行股份有限公司滁州南谯支行 </w:t>
            </w:r>
          </w:p>
          <w:p w14:paraId="62729B4B">
            <w:pPr>
              <w:keepNext w:val="0"/>
              <w:keepLines w:val="0"/>
              <w:pageBreakBefore w:val="0"/>
              <w:widowControl/>
              <w:kinsoku/>
              <w:overflowPunct/>
              <w:topLinePunct w:val="0"/>
              <w:autoSpaceDE/>
              <w:autoSpaceDN/>
              <w:bidi w:val="0"/>
              <w:spacing w:line="400" w:lineRule="exact"/>
              <w:jc w:val="left"/>
              <w:textAlignment w:val="auto"/>
              <w:rPr>
                <w:rFonts w:hint="default" w:ascii="宋体" w:hAnsi="宋体" w:cs="MS Mincho"/>
                <w:color w:val="000000"/>
                <w:kern w:val="0"/>
                <w:szCs w:val="21"/>
                <w:highlight w:val="none"/>
              </w:rPr>
            </w:pPr>
            <w:r>
              <w:rPr>
                <w:rFonts w:hint="eastAsia" w:ascii="宋体" w:hAnsi="宋体" w:cs="MS Mincho"/>
                <w:color w:val="000000"/>
                <w:kern w:val="0"/>
                <w:szCs w:val="21"/>
                <w:highlight w:val="none"/>
              </w:rPr>
              <w:t>账号：</w:t>
            </w:r>
            <w:r>
              <w:rPr>
                <w:rFonts w:hint="default" w:ascii="宋体" w:hAnsi="宋体" w:cs="MS Mincho"/>
                <w:color w:val="000000"/>
                <w:kern w:val="0"/>
                <w:szCs w:val="21"/>
                <w:highlight w:val="none"/>
                <w:lang w:val="en-US" w:eastAsia="zh-CN"/>
              </w:rPr>
              <w:t>6232811720000043211</w:t>
            </w:r>
            <w:r>
              <w:rPr>
                <w:rFonts w:hint="eastAsia" w:ascii="宋体" w:hAnsi="宋体" w:cs="MS Mincho"/>
                <w:color w:val="000000"/>
                <w:kern w:val="0"/>
                <w:szCs w:val="21"/>
                <w:highlight w:val="none"/>
                <w:lang w:val="en-US" w:eastAsia="zh-CN"/>
              </w:rPr>
              <w:t>；</w:t>
            </w:r>
          </w:p>
          <w:p w14:paraId="4B3E8811">
            <w:pPr>
              <w:keepNext w:val="0"/>
              <w:keepLines w:val="0"/>
              <w:pageBreakBefore w:val="0"/>
              <w:widowControl/>
              <w:kinsoku/>
              <w:overflowPunct/>
              <w:topLinePunct w:val="0"/>
              <w:autoSpaceDE/>
              <w:autoSpaceDN/>
              <w:bidi w:val="0"/>
              <w:spacing w:line="400" w:lineRule="exact"/>
              <w:jc w:val="left"/>
              <w:textAlignment w:val="auto"/>
              <w:rPr>
                <w:rFonts w:ascii="宋体" w:hAnsi="宋体" w:cs="MS Mincho"/>
                <w:color w:val="000000"/>
                <w:kern w:val="0"/>
                <w:szCs w:val="21"/>
                <w:highlight w:val="none"/>
              </w:rPr>
            </w:pPr>
            <w:r>
              <w:rPr>
                <w:rFonts w:hint="eastAsia" w:ascii="宋体" w:hAnsi="宋体" w:cs="MS Mincho"/>
                <w:color w:val="000000"/>
                <w:kern w:val="0"/>
                <w:szCs w:val="21"/>
                <w:highlight w:val="none"/>
              </w:rPr>
              <w:t>②</w:t>
            </w:r>
            <w:r>
              <w:rPr>
                <w:rFonts w:hint="eastAsia" w:ascii="宋体" w:hAnsi="宋体" w:cs="宋体"/>
                <w:color w:val="000000"/>
                <w:kern w:val="0"/>
                <w:szCs w:val="21"/>
                <w:highlight w:val="none"/>
              </w:rPr>
              <w:t>户</w:t>
            </w:r>
            <w:r>
              <w:rPr>
                <w:rFonts w:hint="eastAsia" w:ascii="宋体" w:hAnsi="宋体" w:cs="MS Mincho"/>
                <w:color w:val="000000"/>
                <w:kern w:val="0"/>
                <w:szCs w:val="21"/>
                <w:highlight w:val="none"/>
              </w:rPr>
              <w:t xml:space="preserve">  名：滁州市公共</w:t>
            </w:r>
            <w:r>
              <w:rPr>
                <w:rFonts w:hint="eastAsia" w:ascii="宋体" w:hAnsi="宋体" w:cs="宋体"/>
                <w:color w:val="000000"/>
                <w:kern w:val="0"/>
                <w:szCs w:val="21"/>
                <w:highlight w:val="none"/>
              </w:rPr>
              <w:t>资</w:t>
            </w:r>
            <w:r>
              <w:rPr>
                <w:rFonts w:hint="eastAsia" w:ascii="宋体" w:hAnsi="宋体" w:cs="MS Mincho"/>
                <w:color w:val="000000"/>
                <w:kern w:val="0"/>
                <w:szCs w:val="21"/>
                <w:highlight w:val="none"/>
              </w:rPr>
              <w:t xml:space="preserve">源交易中心 </w:t>
            </w:r>
          </w:p>
          <w:p w14:paraId="306FC88E">
            <w:pPr>
              <w:keepNext w:val="0"/>
              <w:keepLines w:val="0"/>
              <w:pageBreakBefore w:val="0"/>
              <w:widowControl/>
              <w:kinsoku/>
              <w:overflowPunct/>
              <w:topLinePunct w:val="0"/>
              <w:autoSpaceDE/>
              <w:autoSpaceDN/>
              <w:bidi w:val="0"/>
              <w:spacing w:line="400" w:lineRule="exact"/>
              <w:jc w:val="left"/>
              <w:textAlignment w:val="auto"/>
              <w:rPr>
                <w:rFonts w:ascii="宋体" w:hAnsi="宋体" w:cs="MS Mincho"/>
                <w:color w:val="000000"/>
                <w:kern w:val="0"/>
                <w:szCs w:val="21"/>
                <w:highlight w:val="none"/>
              </w:rPr>
            </w:pPr>
            <w:r>
              <w:rPr>
                <w:rFonts w:hint="eastAsia" w:ascii="宋体" w:hAnsi="宋体" w:cs="MS Mincho"/>
                <w:color w:val="000000"/>
                <w:kern w:val="0"/>
                <w:szCs w:val="21"/>
                <w:highlight w:val="none"/>
              </w:rPr>
              <w:t>开</w:t>
            </w:r>
            <w:r>
              <w:rPr>
                <w:rFonts w:hint="eastAsia" w:ascii="宋体" w:hAnsi="宋体" w:cs="宋体"/>
                <w:color w:val="000000"/>
                <w:kern w:val="0"/>
                <w:szCs w:val="21"/>
                <w:highlight w:val="none"/>
              </w:rPr>
              <w:t>户</w:t>
            </w:r>
            <w:r>
              <w:rPr>
                <w:rFonts w:hint="eastAsia" w:ascii="宋体" w:hAnsi="宋体" w:cs="MS Mincho"/>
                <w:color w:val="000000"/>
                <w:kern w:val="0"/>
                <w:szCs w:val="21"/>
                <w:highlight w:val="none"/>
              </w:rPr>
              <w:t>行：中国</w:t>
            </w:r>
            <w:r>
              <w:rPr>
                <w:rFonts w:hint="eastAsia" w:ascii="宋体" w:hAnsi="宋体" w:cs="宋体"/>
                <w:color w:val="000000"/>
                <w:kern w:val="0"/>
                <w:szCs w:val="21"/>
                <w:highlight w:val="none"/>
              </w:rPr>
              <w:t>农业银</w:t>
            </w:r>
            <w:r>
              <w:rPr>
                <w:rFonts w:hint="eastAsia" w:ascii="宋体" w:hAnsi="宋体" w:cs="MS Mincho"/>
                <w:color w:val="000000"/>
                <w:kern w:val="0"/>
                <w:szCs w:val="21"/>
                <w:highlight w:val="none"/>
              </w:rPr>
              <w:t xml:space="preserve">行滁州中都支行 </w:t>
            </w:r>
          </w:p>
          <w:p w14:paraId="0CE520C7">
            <w:pPr>
              <w:keepNext w:val="0"/>
              <w:keepLines w:val="0"/>
              <w:pageBreakBefore w:val="0"/>
              <w:widowControl/>
              <w:kinsoku/>
              <w:overflowPunct/>
              <w:topLinePunct w:val="0"/>
              <w:autoSpaceDE/>
              <w:autoSpaceDN/>
              <w:bidi w:val="0"/>
              <w:spacing w:line="400" w:lineRule="exact"/>
              <w:jc w:val="left"/>
              <w:textAlignment w:val="auto"/>
              <w:rPr>
                <w:rFonts w:ascii="宋体" w:hAnsi="宋体" w:cs="MS Mincho"/>
                <w:color w:val="000000"/>
                <w:kern w:val="0"/>
                <w:szCs w:val="21"/>
                <w:highlight w:val="none"/>
              </w:rPr>
            </w:pPr>
            <w:r>
              <w:rPr>
                <w:rFonts w:hint="eastAsia" w:ascii="宋体" w:hAnsi="宋体" w:cs="宋体"/>
                <w:color w:val="000000"/>
                <w:kern w:val="0"/>
                <w:szCs w:val="21"/>
                <w:highlight w:val="none"/>
                <w:lang w:val="en-US" w:eastAsia="zh-CN"/>
              </w:rPr>
              <w:t>账号：</w:t>
            </w:r>
            <w:r>
              <w:rPr>
                <w:rFonts w:hint="default" w:ascii="宋体" w:hAnsi="宋体" w:cs="宋体"/>
                <w:color w:val="000000"/>
                <w:kern w:val="0"/>
                <w:szCs w:val="21"/>
                <w:highlight w:val="none"/>
                <w:lang w:val="en-US" w:eastAsia="zh-CN"/>
              </w:rPr>
              <w:t>123340010400044210000001516</w:t>
            </w:r>
            <w:r>
              <w:rPr>
                <w:rFonts w:hint="eastAsia" w:ascii="宋体" w:hAnsi="宋体" w:cs="宋体"/>
                <w:color w:val="000000"/>
                <w:kern w:val="0"/>
                <w:szCs w:val="21"/>
                <w:highlight w:val="none"/>
                <w:lang w:val="en-US" w:eastAsia="zh-CN"/>
              </w:rPr>
              <w:t>；</w:t>
            </w:r>
            <w:r>
              <w:rPr>
                <w:rFonts w:hint="eastAsia" w:ascii="宋体" w:hAnsi="宋体" w:cs="MS Mincho"/>
                <w:color w:val="000000"/>
                <w:kern w:val="0"/>
                <w:szCs w:val="21"/>
                <w:highlight w:val="none"/>
              </w:rPr>
              <w:t xml:space="preserve"> </w:t>
            </w:r>
          </w:p>
          <w:p w14:paraId="08DBD59B">
            <w:pPr>
              <w:keepNext w:val="0"/>
              <w:keepLines w:val="0"/>
              <w:pageBreakBefore w:val="0"/>
              <w:widowControl/>
              <w:kinsoku/>
              <w:overflowPunct/>
              <w:topLinePunct w:val="0"/>
              <w:autoSpaceDE/>
              <w:autoSpaceDN/>
              <w:bidi w:val="0"/>
              <w:spacing w:line="400" w:lineRule="exact"/>
              <w:jc w:val="left"/>
              <w:textAlignment w:val="auto"/>
              <w:rPr>
                <w:rFonts w:ascii="宋体" w:hAnsi="宋体" w:cs="MS Mincho"/>
                <w:color w:val="000000"/>
                <w:kern w:val="0"/>
                <w:szCs w:val="21"/>
                <w:highlight w:val="none"/>
              </w:rPr>
            </w:pPr>
            <w:r>
              <w:rPr>
                <w:rFonts w:hint="eastAsia" w:ascii="宋体" w:hAnsi="宋体" w:cs="MS Mincho"/>
                <w:color w:val="000000"/>
                <w:kern w:val="0"/>
                <w:szCs w:val="21"/>
                <w:highlight w:val="none"/>
              </w:rPr>
              <w:t>③</w:t>
            </w:r>
            <w:r>
              <w:rPr>
                <w:rFonts w:hint="eastAsia" w:ascii="宋体" w:hAnsi="宋体" w:cs="宋体"/>
                <w:color w:val="000000"/>
                <w:kern w:val="0"/>
                <w:szCs w:val="21"/>
                <w:highlight w:val="none"/>
              </w:rPr>
              <w:t>户</w:t>
            </w:r>
            <w:r>
              <w:rPr>
                <w:rFonts w:hint="eastAsia" w:ascii="宋体" w:hAnsi="宋体" w:cs="MS Mincho"/>
                <w:color w:val="000000"/>
                <w:kern w:val="0"/>
                <w:szCs w:val="21"/>
                <w:highlight w:val="none"/>
              </w:rPr>
              <w:t xml:space="preserve">  名：滁州市公共</w:t>
            </w:r>
            <w:r>
              <w:rPr>
                <w:rFonts w:hint="eastAsia" w:ascii="宋体" w:hAnsi="宋体" w:cs="宋体"/>
                <w:color w:val="000000"/>
                <w:kern w:val="0"/>
                <w:szCs w:val="21"/>
                <w:highlight w:val="none"/>
              </w:rPr>
              <w:t>资</w:t>
            </w:r>
            <w:r>
              <w:rPr>
                <w:rFonts w:hint="eastAsia" w:ascii="宋体" w:hAnsi="宋体" w:cs="MS Mincho"/>
                <w:color w:val="000000"/>
                <w:kern w:val="0"/>
                <w:szCs w:val="21"/>
                <w:highlight w:val="none"/>
              </w:rPr>
              <w:t xml:space="preserve">源交易中心        </w:t>
            </w:r>
          </w:p>
          <w:p w14:paraId="65FF154C">
            <w:pPr>
              <w:keepNext w:val="0"/>
              <w:keepLines w:val="0"/>
              <w:pageBreakBefore w:val="0"/>
              <w:widowControl/>
              <w:kinsoku/>
              <w:overflowPunct/>
              <w:topLinePunct w:val="0"/>
              <w:autoSpaceDE/>
              <w:autoSpaceDN/>
              <w:bidi w:val="0"/>
              <w:spacing w:line="400" w:lineRule="exact"/>
              <w:jc w:val="left"/>
              <w:textAlignment w:val="auto"/>
              <w:rPr>
                <w:rFonts w:hint="default" w:ascii="宋体" w:hAnsi="宋体" w:cs="宋体"/>
                <w:color w:val="000000"/>
                <w:kern w:val="0"/>
                <w:szCs w:val="21"/>
                <w:highlight w:val="none"/>
                <w:lang w:val="en-US" w:eastAsia="zh-CN"/>
              </w:rPr>
            </w:pPr>
            <w:r>
              <w:rPr>
                <w:rFonts w:hint="eastAsia" w:ascii="宋体" w:hAnsi="宋体" w:cs="宋体"/>
                <w:color w:val="000000"/>
                <w:kern w:val="0"/>
                <w:szCs w:val="21"/>
                <w:highlight w:val="none"/>
                <w:lang w:val="en-US" w:eastAsia="zh-CN"/>
              </w:rPr>
              <w:t xml:space="preserve">开户行：中国银行滁州分行        </w:t>
            </w:r>
            <w:bookmarkStart w:id="1022" w:name="_GoBack"/>
            <w:bookmarkEnd w:id="1022"/>
            <w:r>
              <w:rPr>
                <w:rFonts w:hint="eastAsia" w:ascii="宋体" w:hAnsi="宋体" w:cs="宋体"/>
                <w:color w:val="000000"/>
                <w:kern w:val="0"/>
                <w:szCs w:val="21"/>
                <w:highlight w:val="none"/>
                <w:lang w:val="en-US" w:eastAsia="zh-CN"/>
              </w:rPr>
              <w:t xml:space="preserve">        </w:t>
            </w:r>
          </w:p>
          <w:p w14:paraId="0CDDE5EC">
            <w:pPr>
              <w:keepNext w:val="0"/>
              <w:keepLines w:val="0"/>
              <w:pageBreakBefore w:val="0"/>
              <w:widowControl/>
              <w:kinsoku/>
              <w:overflowPunct/>
              <w:topLinePunct w:val="0"/>
              <w:autoSpaceDE/>
              <w:autoSpaceDN/>
              <w:bidi w:val="0"/>
              <w:spacing w:line="400" w:lineRule="exact"/>
              <w:jc w:val="left"/>
              <w:textAlignment w:val="auto"/>
              <w:rPr>
                <w:rFonts w:hint="default" w:ascii="宋体" w:hAnsi="宋体" w:cs="宋体"/>
                <w:color w:val="000000"/>
                <w:kern w:val="0"/>
                <w:szCs w:val="21"/>
                <w:highlight w:val="none"/>
                <w:lang w:val="en-US" w:eastAsia="zh-CN"/>
              </w:rPr>
            </w:pPr>
            <w:r>
              <w:rPr>
                <w:rFonts w:hint="eastAsia" w:ascii="宋体" w:hAnsi="宋体" w:cs="宋体"/>
                <w:color w:val="000000"/>
                <w:kern w:val="0"/>
                <w:szCs w:val="21"/>
                <w:highlight w:val="none"/>
                <w:lang w:val="en-US" w:eastAsia="zh-CN"/>
              </w:rPr>
              <w:t>账号：</w:t>
            </w:r>
            <w:r>
              <w:rPr>
                <w:rFonts w:hint="default" w:ascii="宋体" w:hAnsi="宋体" w:cs="宋体"/>
                <w:color w:val="000000"/>
                <w:kern w:val="0"/>
                <w:szCs w:val="21"/>
                <w:highlight w:val="none"/>
                <w:lang w:val="en-US" w:eastAsia="zh-CN"/>
              </w:rPr>
              <w:t>176728935424</w:t>
            </w:r>
            <w:r>
              <w:rPr>
                <w:rFonts w:hint="eastAsia" w:ascii="宋体" w:hAnsi="宋体" w:cs="宋体"/>
                <w:color w:val="000000"/>
                <w:kern w:val="0"/>
                <w:szCs w:val="21"/>
                <w:highlight w:val="none"/>
                <w:lang w:val="en-US" w:eastAsia="zh-CN"/>
              </w:rPr>
              <w:t>；</w:t>
            </w:r>
          </w:p>
          <w:p w14:paraId="1E4B9BEA">
            <w:pPr>
              <w:keepNext w:val="0"/>
              <w:keepLines w:val="0"/>
              <w:pageBreakBefore w:val="0"/>
              <w:kinsoku/>
              <w:overflowPunct/>
              <w:topLinePunct w:val="0"/>
              <w:autoSpaceDE/>
              <w:autoSpaceDN/>
              <w:bidi w:val="0"/>
              <w:adjustRightInd w:val="0"/>
              <w:snapToGrid w:val="0"/>
              <w:spacing w:line="400" w:lineRule="exact"/>
              <w:jc w:val="left"/>
              <w:textAlignment w:val="auto"/>
              <w:rPr>
                <w:rFonts w:ascii="宋体" w:hAnsi="宋体" w:cs="MS Mincho"/>
                <w:color w:val="000000"/>
                <w:kern w:val="0"/>
                <w:szCs w:val="21"/>
                <w:highlight w:val="none"/>
              </w:rPr>
            </w:pPr>
            <w:r>
              <w:rPr>
                <w:rFonts w:hint="eastAsia" w:ascii="宋体" w:hAnsi="宋体" w:cs="MS Mincho"/>
                <w:color w:val="000000"/>
                <w:kern w:val="0"/>
                <w:szCs w:val="21"/>
                <w:highlight w:val="none"/>
              </w:rPr>
              <w:t>保</w:t>
            </w:r>
            <w:r>
              <w:rPr>
                <w:rFonts w:hint="eastAsia" w:ascii="宋体" w:hAnsi="宋体" w:cs="宋体"/>
                <w:color w:val="000000"/>
                <w:kern w:val="0"/>
                <w:szCs w:val="21"/>
                <w:highlight w:val="none"/>
              </w:rPr>
              <w:t>证</w:t>
            </w:r>
            <w:r>
              <w:rPr>
                <w:rFonts w:hint="eastAsia" w:ascii="宋体" w:hAnsi="宋体" w:cs="MS Mincho"/>
                <w:color w:val="000000"/>
                <w:kern w:val="0"/>
                <w:szCs w:val="21"/>
                <w:highlight w:val="none"/>
              </w:rPr>
              <w:t>金到</w:t>
            </w:r>
            <w:r>
              <w:rPr>
                <w:rFonts w:hint="eastAsia" w:ascii="宋体" w:hAnsi="宋体" w:cs="宋体"/>
                <w:color w:val="000000"/>
                <w:kern w:val="0"/>
                <w:szCs w:val="21"/>
                <w:highlight w:val="none"/>
              </w:rPr>
              <w:t>账</w:t>
            </w:r>
            <w:r>
              <w:rPr>
                <w:rFonts w:hint="eastAsia" w:ascii="宋体" w:hAnsi="宋体" w:cs="MS Mincho"/>
                <w:color w:val="000000"/>
                <w:kern w:val="0"/>
                <w:szCs w:val="21"/>
                <w:highlight w:val="none"/>
              </w:rPr>
              <w:t>截止</w:t>
            </w:r>
            <w:r>
              <w:rPr>
                <w:rFonts w:hint="eastAsia" w:ascii="宋体" w:hAnsi="宋体" w:cs="宋体"/>
                <w:color w:val="000000"/>
                <w:kern w:val="0"/>
                <w:szCs w:val="21"/>
                <w:highlight w:val="none"/>
              </w:rPr>
              <w:t>时间</w:t>
            </w:r>
            <w:r>
              <w:rPr>
                <w:rFonts w:hint="eastAsia" w:ascii="宋体" w:hAnsi="宋体" w:cs="MS Mincho"/>
                <w:color w:val="000000"/>
                <w:kern w:val="0"/>
                <w:szCs w:val="21"/>
                <w:highlight w:val="none"/>
              </w:rPr>
              <w:t>同投</w:t>
            </w:r>
            <w:r>
              <w:rPr>
                <w:rFonts w:hint="eastAsia" w:ascii="宋体" w:hAnsi="宋体" w:cs="宋体"/>
                <w:color w:val="000000"/>
                <w:kern w:val="0"/>
                <w:szCs w:val="21"/>
                <w:highlight w:val="none"/>
              </w:rPr>
              <w:t>标</w:t>
            </w:r>
            <w:r>
              <w:rPr>
                <w:rFonts w:hint="eastAsia" w:ascii="宋体" w:hAnsi="宋体" w:cs="MS Mincho"/>
                <w:color w:val="000000"/>
                <w:kern w:val="0"/>
                <w:szCs w:val="21"/>
                <w:highlight w:val="none"/>
              </w:rPr>
              <w:t>文件</w:t>
            </w:r>
            <w:r>
              <w:rPr>
                <w:rFonts w:hint="eastAsia" w:ascii="宋体" w:hAnsi="宋体" w:cs="宋体"/>
                <w:color w:val="000000"/>
                <w:kern w:val="0"/>
                <w:szCs w:val="21"/>
                <w:highlight w:val="none"/>
              </w:rPr>
              <w:t>递</w:t>
            </w:r>
            <w:r>
              <w:rPr>
                <w:rFonts w:hint="eastAsia" w:ascii="宋体" w:hAnsi="宋体" w:cs="MS Mincho"/>
                <w:color w:val="000000"/>
                <w:kern w:val="0"/>
                <w:szCs w:val="21"/>
                <w:highlight w:val="none"/>
              </w:rPr>
              <w:t>交截止</w:t>
            </w:r>
            <w:r>
              <w:rPr>
                <w:rFonts w:hint="eastAsia" w:ascii="宋体" w:hAnsi="宋体" w:cs="宋体"/>
                <w:color w:val="000000"/>
                <w:kern w:val="0"/>
                <w:szCs w:val="21"/>
                <w:highlight w:val="none"/>
              </w:rPr>
              <w:t>时间</w:t>
            </w:r>
            <w:r>
              <w:rPr>
                <w:rFonts w:hint="eastAsia" w:ascii="宋体" w:hAnsi="宋体" w:cs="MS Mincho"/>
                <w:color w:val="000000"/>
                <w:kern w:val="0"/>
                <w:szCs w:val="21"/>
                <w:highlight w:val="none"/>
              </w:rPr>
              <w:t>，交</w:t>
            </w:r>
            <w:r>
              <w:rPr>
                <w:rFonts w:hint="eastAsia" w:ascii="宋体" w:hAnsi="宋体" w:cs="宋体"/>
                <w:color w:val="000000"/>
                <w:kern w:val="0"/>
                <w:szCs w:val="21"/>
                <w:highlight w:val="none"/>
              </w:rPr>
              <w:t>纳</w:t>
            </w:r>
            <w:r>
              <w:rPr>
                <w:rFonts w:hint="eastAsia" w:ascii="宋体" w:hAnsi="宋体" w:cs="MS Mincho"/>
                <w:color w:val="000000"/>
                <w:kern w:val="0"/>
                <w:szCs w:val="21"/>
                <w:highlight w:val="none"/>
              </w:rPr>
              <w:t>保</w:t>
            </w:r>
            <w:r>
              <w:rPr>
                <w:rFonts w:hint="eastAsia" w:ascii="宋体" w:hAnsi="宋体" w:cs="宋体"/>
                <w:color w:val="000000"/>
                <w:kern w:val="0"/>
                <w:szCs w:val="21"/>
                <w:highlight w:val="none"/>
              </w:rPr>
              <w:t>证</w:t>
            </w:r>
            <w:r>
              <w:rPr>
                <w:rFonts w:hint="eastAsia" w:ascii="宋体" w:hAnsi="宋体" w:cs="MS Mincho"/>
                <w:color w:val="000000"/>
                <w:kern w:val="0"/>
                <w:szCs w:val="21"/>
                <w:highlight w:val="none"/>
              </w:rPr>
              <w:t>金</w:t>
            </w:r>
            <w:r>
              <w:rPr>
                <w:rFonts w:hint="eastAsia" w:ascii="宋体" w:hAnsi="宋体" w:cs="宋体"/>
                <w:color w:val="000000"/>
                <w:kern w:val="0"/>
                <w:szCs w:val="21"/>
                <w:highlight w:val="none"/>
              </w:rPr>
              <w:t>时须</w:t>
            </w:r>
            <w:r>
              <w:rPr>
                <w:rFonts w:hint="eastAsia" w:ascii="宋体" w:hAnsi="宋体" w:cs="MS Mincho"/>
                <w:color w:val="000000"/>
                <w:kern w:val="0"/>
                <w:szCs w:val="21"/>
                <w:highlight w:val="none"/>
              </w:rPr>
              <w:t>在交易附言中注明：“</w:t>
            </w:r>
            <w:r>
              <w:rPr>
                <w:rFonts w:hint="eastAsia" w:ascii="宋体" w:hAnsi="宋体" w:cs="MS Mincho"/>
                <w:color w:val="000000"/>
                <w:kern w:val="0"/>
                <w:szCs w:val="21"/>
                <w:highlight w:val="none"/>
                <w:u w:val="single"/>
                <w:lang w:val="en-US" w:eastAsia="zh-CN"/>
              </w:rPr>
              <w:t>滁州市大剧院修缮</w:t>
            </w:r>
            <w:r>
              <w:rPr>
                <w:rFonts w:hint="eastAsia" w:ascii="宋体" w:hAnsi="宋体" w:eastAsia="宋体" w:cs="MS Mincho"/>
                <w:color w:val="000000"/>
                <w:kern w:val="0"/>
                <w:szCs w:val="21"/>
                <w:highlight w:val="none"/>
                <w:u w:val="single"/>
              </w:rPr>
              <w:t>工程总承包</w:t>
            </w:r>
            <w:r>
              <w:rPr>
                <w:rFonts w:hint="eastAsia" w:ascii="宋体" w:hAnsi="宋体" w:cs="MS Mincho"/>
                <w:color w:val="000000"/>
                <w:kern w:val="0"/>
                <w:szCs w:val="21"/>
                <w:highlight w:val="none"/>
              </w:rPr>
              <w:t>”</w:t>
            </w:r>
            <w:r>
              <w:rPr>
                <w:rFonts w:hint="eastAsia" w:ascii="宋体" w:hAnsi="宋体" w:cs="宋体"/>
                <w:color w:val="000000"/>
                <w:kern w:val="0"/>
                <w:szCs w:val="21"/>
                <w:highlight w:val="none"/>
              </w:rPr>
              <w:t>项</w:t>
            </w:r>
            <w:r>
              <w:rPr>
                <w:rFonts w:hint="eastAsia" w:ascii="宋体" w:hAnsi="宋体" w:cs="MS Mincho"/>
                <w:color w:val="000000"/>
                <w:kern w:val="0"/>
                <w:szCs w:val="21"/>
                <w:highlight w:val="none"/>
              </w:rPr>
              <w:t>目投</w:t>
            </w:r>
            <w:r>
              <w:rPr>
                <w:rFonts w:hint="eastAsia" w:ascii="宋体" w:hAnsi="宋体" w:cs="宋体"/>
                <w:color w:val="000000"/>
                <w:kern w:val="0"/>
                <w:szCs w:val="21"/>
                <w:highlight w:val="none"/>
              </w:rPr>
              <w:t>标</w:t>
            </w:r>
            <w:r>
              <w:rPr>
                <w:rFonts w:hint="eastAsia" w:ascii="宋体" w:hAnsi="宋体" w:cs="MS Mincho"/>
                <w:color w:val="000000"/>
                <w:kern w:val="0"/>
                <w:szCs w:val="21"/>
                <w:highlight w:val="none"/>
              </w:rPr>
              <w:t>保</w:t>
            </w:r>
            <w:r>
              <w:rPr>
                <w:rFonts w:hint="eastAsia" w:ascii="宋体" w:hAnsi="宋体" w:cs="宋体"/>
                <w:color w:val="000000"/>
                <w:kern w:val="0"/>
                <w:szCs w:val="21"/>
                <w:highlight w:val="none"/>
              </w:rPr>
              <w:t>证</w:t>
            </w:r>
            <w:r>
              <w:rPr>
                <w:rFonts w:hint="eastAsia" w:ascii="宋体" w:hAnsi="宋体" w:cs="MS Mincho"/>
                <w:color w:val="000000"/>
                <w:kern w:val="0"/>
                <w:szCs w:val="21"/>
                <w:highlight w:val="none"/>
              </w:rPr>
              <w:t>金。</w:t>
            </w:r>
          </w:p>
          <w:p w14:paraId="53BA36E9">
            <w:pPr>
              <w:keepNext w:val="0"/>
              <w:keepLines w:val="0"/>
              <w:pageBreakBefore w:val="0"/>
              <w:widowControl/>
              <w:kinsoku/>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各投标人请严格按照招标公告和招标文件载明的银行、账户汇入投标保证金，否则在开标时无法查询保证金是否到账将导致评标委员会否决其投标。</w:t>
            </w:r>
          </w:p>
        </w:tc>
      </w:tr>
      <w:tr w14:paraId="30F09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02F4C94E">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color w:val="000000"/>
                <w:szCs w:val="21"/>
                <w:highlight w:val="none"/>
              </w:rPr>
            </w:pPr>
            <w:r>
              <w:rPr>
                <w:rFonts w:hint="eastAsia"/>
                <w:bCs/>
                <w:color w:val="000000"/>
                <w:spacing w:val="-6"/>
                <w:szCs w:val="21"/>
                <w:highlight w:val="none"/>
              </w:rPr>
              <w:t>投标保函要求</w:t>
            </w:r>
          </w:p>
        </w:tc>
        <w:tc>
          <w:tcPr>
            <w:tcW w:w="8313" w:type="dxa"/>
            <w:noWrap w:val="0"/>
            <w:vAlign w:val="center"/>
          </w:tcPr>
          <w:p w14:paraId="2E3EFD25">
            <w:pPr>
              <w:pStyle w:val="17"/>
              <w:keepNext w:val="0"/>
              <w:keepLines w:val="0"/>
              <w:pageBreakBefore w:val="0"/>
              <w:kinsoku/>
              <w:overflowPunct/>
              <w:topLinePunct w:val="0"/>
              <w:autoSpaceDE/>
              <w:autoSpaceDN/>
              <w:bidi w:val="0"/>
              <w:spacing w:after="0" w:line="400" w:lineRule="exact"/>
              <w:ind w:left="0" w:leftChars="0" w:firstLine="0" w:firstLineChars="0"/>
              <w:jc w:val="left"/>
              <w:textAlignment w:val="auto"/>
              <w:rPr>
                <w:color w:val="000000"/>
                <w:highlight w:val="none"/>
              </w:rPr>
            </w:pPr>
            <w:r>
              <w:rPr>
                <w:rFonts w:hint="eastAsia"/>
                <w:color w:val="000000"/>
                <w:highlight w:val="none"/>
              </w:rPr>
              <w:t>1、根据《国务院办公厅关于创新完善体制机制推动招标投标市场规范健康发展的意见》文件精神，本项目投标保证金保函只接受电子保函。投标人可登录滁州市公共资源交易中心网站“滁州市公共资源交易中心网站金融服务平台”，在线办理电子投标保函。操作手册见“滁州市公共资源交易中心-金融服务平台-通知公告”。</w:t>
            </w:r>
          </w:p>
          <w:p w14:paraId="057E3D3E">
            <w:pPr>
              <w:pStyle w:val="17"/>
              <w:keepNext w:val="0"/>
              <w:keepLines w:val="0"/>
              <w:pageBreakBefore w:val="0"/>
              <w:kinsoku/>
              <w:overflowPunct/>
              <w:topLinePunct w:val="0"/>
              <w:autoSpaceDE/>
              <w:autoSpaceDN/>
              <w:bidi w:val="0"/>
              <w:spacing w:after="0" w:line="400" w:lineRule="exact"/>
              <w:ind w:left="0" w:leftChars="0" w:firstLine="0" w:firstLineChars="0"/>
              <w:jc w:val="left"/>
              <w:textAlignment w:val="auto"/>
              <w:rPr>
                <w:highlight w:val="none"/>
              </w:rPr>
            </w:pPr>
            <w:r>
              <w:rPr>
                <w:rFonts w:hint="eastAsia"/>
                <w:color w:val="000000"/>
                <w:highlight w:val="none"/>
              </w:rPr>
              <w:t>2、投标保函的保证期截止时间不得早于该项目投标有效期的截止时间，否则资格审查不通过。</w:t>
            </w:r>
          </w:p>
        </w:tc>
      </w:tr>
      <w:tr w14:paraId="7E9BB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5AC05B69">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备注</w:t>
            </w:r>
          </w:p>
        </w:tc>
        <w:tc>
          <w:tcPr>
            <w:tcW w:w="8313" w:type="dxa"/>
            <w:noWrap w:val="0"/>
            <w:vAlign w:val="center"/>
          </w:tcPr>
          <w:p w14:paraId="097B42A8">
            <w:pPr>
              <w:keepNext w:val="0"/>
              <w:keepLines w:val="0"/>
              <w:pageBreakBefore w:val="0"/>
              <w:widowControl/>
              <w:kinsoku/>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1、投标人为联合体投标的，保证金由牵头人基本账户转入交易中心账户或由牵头人办理投标担保。</w:t>
            </w:r>
          </w:p>
          <w:p w14:paraId="28E02225">
            <w:pPr>
              <w:keepNext w:val="0"/>
              <w:keepLines w:val="0"/>
              <w:pageBreakBefore w:val="0"/>
              <w:widowControl/>
              <w:kinsoku/>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2、本项目不缴纳投标保证金条款仅针对在投标过程中未违反本招标文件第二章“投标人须知”中第3.4.4项约定的投标人。如在投标过程中投标人存在本招标文件第二章“投标人须知”中第3.4.4项约定情形，则无条件按招标人要求的金额、时间、账号缴纳投标保证金。投标人采用银行保函、担保机构担保、保证保险方式提交投标保证金的，如出现本招标文件“投标人须知”第 3.4.4 项所列情形的，提供担保的银行、担保机构及保险机构将无条件向招标人支付保函所列的全部投标保证金金额，该支付行为视同投标保证金不予退还。</w:t>
            </w:r>
          </w:p>
          <w:p w14:paraId="13C1B73B">
            <w:pPr>
              <w:keepNext w:val="0"/>
              <w:keepLines w:val="0"/>
              <w:pageBreakBefore w:val="0"/>
              <w:kinsoku/>
              <w:overflowPunct/>
              <w:topLinePunct w:val="0"/>
              <w:autoSpaceDE/>
              <w:autoSpaceDN/>
              <w:bidi w:val="0"/>
              <w:spacing w:line="400" w:lineRule="exact"/>
              <w:textAlignment w:val="auto"/>
              <w:rPr>
                <w:rFonts w:ascii="宋体" w:hAnsi="宋体" w:cs="宋体"/>
                <w:b/>
                <w:color w:val="000000"/>
                <w:kern w:val="0"/>
                <w:szCs w:val="21"/>
                <w:highlight w:val="none"/>
              </w:rPr>
            </w:pPr>
            <w:r>
              <w:rPr>
                <w:rFonts w:hint="eastAsia"/>
                <w:color w:val="000000"/>
                <w:highlight w:val="none"/>
              </w:rPr>
              <w:t>3、投标人采用虚假银行保函、担保机构担保、保证保险方式提交投标保证金的，应依法承担弄虚作假、骗取中标的法律责任。</w:t>
            </w:r>
          </w:p>
        </w:tc>
      </w:tr>
      <w:tr w14:paraId="2BEE1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8" w:type="dxa"/>
            <w:gridSpan w:val="2"/>
            <w:noWrap w:val="0"/>
            <w:vAlign w:val="center"/>
          </w:tcPr>
          <w:p w14:paraId="66D83E59">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b/>
                <w:color w:val="000000"/>
                <w:kern w:val="0"/>
                <w:sz w:val="24"/>
                <w:highlight w:val="none"/>
              </w:rPr>
            </w:pPr>
            <w:r>
              <w:rPr>
                <w:rFonts w:hint="eastAsia" w:ascii="宋体" w:hAnsi="宋体" w:cs="宋体"/>
                <w:b/>
                <w:color w:val="000000"/>
                <w:kern w:val="0"/>
                <w:sz w:val="24"/>
                <w:highlight w:val="none"/>
              </w:rPr>
              <w:t>其他说明</w:t>
            </w:r>
          </w:p>
        </w:tc>
      </w:tr>
      <w:tr w14:paraId="63EB9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4EA2A758">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重要说明</w:t>
            </w:r>
          </w:p>
        </w:tc>
        <w:tc>
          <w:tcPr>
            <w:tcW w:w="8313" w:type="dxa"/>
            <w:noWrap w:val="0"/>
            <w:vAlign w:val="center"/>
          </w:tcPr>
          <w:p w14:paraId="0B79B92E">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1、本项目只接受在安徽省公共资源交易市场主体库（</w:t>
            </w:r>
            <w:r>
              <w:rPr>
                <w:rFonts w:ascii="宋体" w:hAnsi="宋体" w:cs="宋体"/>
                <w:color w:val="000000"/>
                <w:kern w:val="0"/>
                <w:szCs w:val="21"/>
                <w:highlight w:val="none"/>
              </w:rPr>
              <w:t>http://ggzy.ah.gov.cn/ahggfwpt-zhutiku/dengludenglu</w:t>
            </w:r>
            <w:r>
              <w:rPr>
                <w:rFonts w:hint="eastAsia" w:ascii="宋体" w:hAnsi="宋体" w:cs="宋体"/>
                <w:color w:val="000000"/>
                <w:kern w:val="0"/>
                <w:szCs w:val="21"/>
                <w:highlight w:val="none"/>
              </w:rPr>
              <w:t>）登记并进行信息确认提交的投标人投标，未登记的投标人请及时办理CA数字证书并登录安徽省公共资源交易市场主体库进行信息填写及确认提交；已办理过CA数字证书视为已在省库登记，进行信息更新及确认提交即可。办理流程为登录滁州市公共资源交易中心网&gt;服务指南&gt;办事指南中的“CA数字证书和电子签章”及“市场主体登记”。相关服务电话：（1）安徽省公共资源交易市场主体库使用相关问题（系统登录、信息登记、录入及提交、数字证书关联等）：010-86483801转5-2 ；（2） CA数字证书有关问题：安徽CA客服400-880-4959、0550-3019013（工作日）,CFCA客服025-66085508 、0550-3801669（工作日）；（3）市场主体招标环节和投标环节系统使用问题：0512-58188516（8:00-21:00）、0550-3801701（工作日）。因未及时通过CA数字证书登录省主体库对相关信息进行补充完善并确认提交，导致无法投标的，责任自负。为保证系统使用过程中产生的问题能够及时得到解决，请各主体在工作时间进行主体信息登记、更新、投标文件制作等相关操作。</w:t>
            </w:r>
          </w:p>
          <w:p w14:paraId="27510EC7">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2、请投标人登录滁州市公共资源交易中心网站查看参加本项目的程序（具体操作步骤和程序请参见服务指南&gt;交易须知&gt;投标人填写投标信息、下载文件及网上提问操作手册）。</w:t>
            </w:r>
          </w:p>
          <w:p w14:paraId="4005AD66">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3、本项目采用不见面开标(远程解密)方式，开标时投标人无须至开标现场进行解密，开标采取远程解密方式解密投标文件，投标人远程解密方式：投标人在开标时间前使用CA数字证书登录滁州市“不见面开标系统”，网址为https://ggzy.chuzhou.gov.cn/BidOpening,等待开标并按系统提示进行相应的投标人解密等事项，无需到开标现场。采用本方式可以观看开标现场音视频直播并进行互动交流。具体操作方法见中心网站&gt;服务指南&gt;交易须知中的《滁州市不见面开标系统操作手册》。解密时间要求为：从本项目解密程序开始时计时，至完成投标文件解密时间，不得超过60分钟，否则投标文件将被拒绝。</w:t>
            </w:r>
          </w:p>
          <w:p w14:paraId="23968BD9">
            <w:pPr>
              <w:keepNext w:val="0"/>
              <w:keepLines w:val="0"/>
              <w:pageBreakBefore w:val="0"/>
              <w:widowControl/>
              <w:kinsoku/>
              <w:wordWrap w:val="0"/>
              <w:overflowPunct/>
              <w:topLinePunct w:val="0"/>
              <w:autoSpaceDE/>
              <w:autoSpaceDN/>
              <w:bidi w:val="0"/>
              <w:spacing w:line="400" w:lineRule="exact"/>
              <w:jc w:val="left"/>
              <w:textAlignment w:val="auto"/>
              <w:rPr>
                <w:color w:val="000000"/>
                <w:highlight w:val="none"/>
              </w:rPr>
            </w:pPr>
            <w:r>
              <w:rPr>
                <w:rFonts w:hint="eastAsia" w:ascii="宋体" w:hAnsi="宋体" w:cs="宋体"/>
                <w:color w:val="000000"/>
                <w:kern w:val="0"/>
                <w:szCs w:val="21"/>
                <w:highlight w:val="none"/>
              </w:rPr>
              <w:t>4、投标文件格式、内容和制作要求以招标文件为准，投标文件制作工具中提供的相关格式及内容仅供参考，投标企业可根据招标文件要求自行调整。</w:t>
            </w:r>
          </w:p>
        </w:tc>
      </w:tr>
      <w:tr w14:paraId="0E666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1684BB6F">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特别提示</w:t>
            </w:r>
          </w:p>
          <w:p w14:paraId="5E3CA6BC">
            <w:pPr>
              <w:pStyle w:val="17"/>
              <w:keepNext w:val="0"/>
              <w:keepLines w:val="0"/>
              <w:pageBreakBefore w:val="0"/>
              <w:kinsoku/>
              <w:overflowPunct/>
              <w:topLinePunct w:val="0"/>
              <w:autoSpaceDE/>
              <w:autoSpaceDN/>
              <w:bidi w:val="0"/>
              <w:spacing w:line="400" w:lineRule="exact"/>
              <w:textAlignment w:val="auto"/>
              <w:rPr>
                <w:color w:val="000000"/>
                <w:highlight w:val="none"/>
              </w:rPr>
            </w:pPr>
          </w:p>
        </w:tc>
        <w:tc>
          <w:tcPr>
            <w:tcW w:w="8313" w:type="dxa"/>
            <w:noWrap w:val="0"/>
            <w:vAlign w:val="center"/>
          </w:tcPr>
          <w:p w14:paraId="7F818911">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1</w:t>
            </w:r>
            <w:r>
              <w:rPr>
                <w:rFonts w:ascii="宋体" w:hAnsi="宋体" w:cs="宋体"/>
                <w:color w:val="000000"/>
                <w:kern w:val="0"/>
                <w:szCs w:val="21"/>
                <w:highlight w:val="none"/>
              </w:rPr>
              <w:t>.</w:t>
            </w:r>
            <w:r>
              <w:rPr>
                <w:rFonts w:hint="eastAsia" w:ascii="宋体" w:hAnsi="宋体" w:cs="宋体"/>
                <w:color w:val="000000"/>
                <w:kern w:val="0"/>
                <w:szCs w:val="21"/>
                <w:highlight w:val="none"/>
              </w:rPr>
              <w:t>本项目投标保证金、履约保证金、工程质量保证金、农民工工资保证金均支持保函使用。以现金形式提交保证金的，应当同时退还保证金本金和银行同期存款利息。</w:t>
            </w:r>
          </w:p>
          <w:p w14:paraId="5375ADCB">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2.投标人应填写投标信息并下载招标文件，否则无法上传投标文件。</w:t>
            </w:r>
          </w:p>
          <w:p w14:paraId="783C27AD">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注：投标人如为联合体的，牵头人必须完善投标人信息，并在上传投标文件环节添加联合体投标信息。</w:t>
            </w:r>
          </w:p>
          <w:p w14:paraId="3580E62C">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3.本项目采用电子招标投标，请投标人在滁州市公共资源交易中心网站&gt;服务指南&gt;软件下载栏目点击下载投标文件制作工具。投标人需采用最新版投标文件制作工具。软件运行需在国际互联网络通畅状态，投标人需注意更新，以免造成投标文件制作错误，如因此导致评标委员会否决其投标，责任自负。如有技术问题请联系0550-3801701，0512-58188516。</w:t>
            </w:r>
          </w:p>
          <w:p w14:paraId="56ED3ADE">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4.如果过程中出现招标文件更改，应以最后发布的招标答疑澄清文件中的模板制作本项目最新投标文件。</w:t>
            </w:r>
          </w:p>
          <w:p w14:paraId="4DA70EBB">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 xml:space="preserve">5.投标人应当用本单位CA数字证书制作投标文件，制作成功后进行投标文件上传。 </w:t>
            </w:r>
          </w:p>
          <w:p w14:paraId="5973A730">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6.投标人须用CA数字证书盖章和加密投标文件，建议使用主锁。（如未办理CA数字证书请及时办理，网上办理和窗口办理均可。查看办理所需资料请登录滁州市公共资源交易中心网站&gt;服务指南&gt;办事指南&gt;CA数字证书和电子签章。因未及时办理CA数字证书手续导致无法投标的，责任自负）</w:t>
            </w:r>
          </w:p>
          <w:p w14:paraId="3A83C84F">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7.请投标人注意加密投标文件CA数字证书的有效期，不在有效期的CA数字证书无法解密投标文件。</w:t>
            </w:r>
          </w:p>
          <w:p w14:paraId="61857321">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8.投标人投标MAC地址一致或申请开具电子保函MAC地址一致的，由评标委员会否决其投标。</w:t>
            </w:r>
          </w:p>
          <w:p w14:paraId="3F4CA4AA">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9.投标人投标文件中单方面出现其他投标人材料的（依法组成联合体投标的除外），由评标委员会否决其投标。</w:t>
            </w:r>
          </w:p>
          <w:p w14:paraId="121D1B8E">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10.评标时查询投标文件制作机器码、文件创建标识码及造价软件加密锁号。若存在投标文件制作机器码或创建标识码或造价软件加密锁号信息与其他投标人雷同的，由评标委员会否决其投标，依法依规予以处理。</w:t>
            </w:r>
          </w:p>
          <w:p w14:paraId="72840335">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11.若存在不予退还投标人投标保证金的情形，银行转账的，由公共资源交易中心代为收缴，递交保函的，由招标人予以追缴。</w:t>
            </w:r>
          </w:p>
          <w:p w14:paraId="61A477F3">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12.投标人以联合体名义投标的，其异议投诉应当由联合体全体成员共同提出。联合体成员单独进行异议投诉的，应当书面征得联合体其他成员同意，联合体成员之间投诉的除外。</w:t>
            </w:r>
          </w:p>
          <w:p w14:paraId="12698A91">
            <w:pPr>
              <w:keepNext w:val="0"/>
              <w:keepLines w:val="0"/>
              <w:pageBreakBefore w:val="0"/>
              <w:widowControl/>
              <w:kinsoku/>
              <w:wordWrap w:val="0"/>
              <w:overflowPunct/>
              <w:topLinePunct w:val="0"/>
              <w:autoSpaceDE/>
              <w:autoSpaceDN/>
              <w:bidi w:val="0"/>
              <w:spacing w:line="400" w:lineRule="exact"/>
              <w:jc w:val="left"/>
              <w:textAlignment w:val="auto"/>
              <w:rPr>
                <w:rFonts w:ascii="宋体" w:hAnsi="宋体" w:cs="宋体"/>
                <w:color w:val="000000"/>
                <w:kern w:val="0"/>
                <w:szCs w:val="21"/>
                <w:highlight w:val="none"/>
              </w:rPr>
            </w:pPr>
            <w:r>
              <w:rPr>
                <w:rFonts w:hint="eastAsia" w:ascii="宋体" w:hAnsi="宋体" w:cs="宋体"/>
                <w:color w:val="000000"/>
                <w:kern w:val="0"/>
                <w:szCs w:val="21"/>
                <w:highlight w:val="none"/>
              </w:rPr>
              <w:t>13.投标人联系人或联系电话相同的，由评标委员会否决其投标，并报告监管部门作不良行为处理和进一步调查。</w:t>
            </w:r>
          </w:p>
          <w:p w14:paraId="05178DFD">
            <w:pPr>
              <w:keepNext w:val="0"/>
              <w:keepLines w:val="0"/>
              <w:pageBreakBefore w:val="0"/>
              <w:widowControl/>
              <w:kinsoku/>
              <w:wordWrap w:val="0"/>
              <w:overflowPunct/>
              <w:topLinePunct w:val="0"/>
              <w:autoSpaceDE/>
              <w:autoSpaceDN/>
              <w:bidi w:val="0"/>
              <w:spacing w:line="400" w:lineRule="exact"/>
              <w:jc w:val="left"/>
              <w:textAlignment w:val="auto"/>
              <w:rPr>
                <w:color w:val="000000"/>
                <w:highlight w:val="none"/>
              </w:rPr>
            </w:pPr>
            <w:r>
              <w:rPr>
                <w:rFonts w:hint="eastAsia" w:ascii="宋体" w:hAnsi="宋体" w:cs="宋体"/>
                <w:color w:val="000000"/>
                <w:kern w:val="0"/>
                <w:szCs w:val="21"/>
                <w:highlight w:val="none"/>
              </w:rPr>
              <w:t>14.注册地在安徽省内且未在安徽省外开展业务、省外无违法违规行为的企业可通过安徽政务服务网开具由安徽省公共信用信息服务中心出具的《公共信用信息报告（无违法违规证明版或核查版）》代替《诚信投标承诺书》，信用报告出具有关问题可咨询滁州市信用办0550-3035032。</w:t>
            </w:r>
          </w:p>
        </w:tc>
      </w:tr>
      <w:tr w14:paraId="5D27D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8" w:type="dxa"/>
            <w:gridSpan w:val="2"/>
            <w:noWrap w:val="0"/>
            <w:vAlign w:val="center"/>
          </w:tcPr>
          <w:p w14:paraId="651F4FDC">
            <w:pPr>
              <w:keepNext w:val="0"/>
              <w:keepLines w:val="0"/>
              <w:pageBreakBefore w:val="0"/>
              <w:widowControl/>
              <w:kinsoku/>
              <w:overflowPunct/>
              <w:topLinePunct w:val="0"/>
              <w:autoSpaceDE/>
              <w:autoSpaceDN/>
              <w:bidi w:val="0"/>
              <w:spacing w:line="400" w:lineRule="exact"/>
              <w:jc w:val="center"/>
              <w:textAlignment w:val="auto"/>
              <w:rPr>
                <w:rFonts w:ascii="宋体" w:hAnsi="宋体" w:cs="宋体"/>
                <w:b/>
                <w:color w:val="000000"/>
                <w:kern w:val="0"/>
                <w:sz w:val="24"/>
                <w:highlight w:val="none"/>
              </w:rPr>
            </w:pPr>
            <w:r>
              <w:rPr>
                <w:rFonts w:hint="eastAsia" w:ascii="宋体" w:hAnsi="宋体" w:cs="宋体"/>
                <w:b/>
                <w:color w:val="000000"/>
                <w:kern w:val="0"/>
                <w:sz w:val="24"/>
                <w:highlight w:val="none"/>
              </w:rPr>
              <w:t>联系方式（受理异议的联系人及联系方式）</w:t>
            </w:r>
          </w:p>
        </w:tc>
      </w:tr>
      <w:tr w14:paraId="5BA4B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C274F26">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招标人名称</w:t>
            </w:r>
          </w:p>
        </w:tc>
        <w:tc>
          <w:tcPr>
            <w:tcW w:w="8313" w:type="dxa"/>
            <w:noWrap w:val="0"/>
            <w:vAlign w:val="center"/>
          </w:tcPr>
          <w:p w14:paraId="639EEC5A">
            <w:pPr>
              <w:widowControl/>
              <w:spacing w:line="440" w:lineRule="exact"/>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 滁州市亭城文化旅游投资集团有限公司  </w:t>
            </w:r>
          </w:p>
        </w:tc>
      </w:tr>
      <w:tr w14:paraId="2222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5C8E2F0">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招标人地址</w:t>
            </w:r>
          </w:p>
        </w:tc>
        <w:tc>
          <w:tcPr>
            <w:tcW w:w="8313" w:type="dxa"/>
            <w:noWrap w:val="0"/>
            <w:vAlign w:val="center"/>
          </w:tcPr>
          <w:p w14:paraId="09CB60E3">
            <w:pPr>
              <w:widowControl/>
              <w:spacing w:line="440" w:lineRule="exact"/>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 </w:t>
            </w:r>
            <w:r>
              <w:rPr>
                <w:rFonts w:hint="eastAsia" w:ascii="宋体" w:hAnsi="宋体" w:cs="宋体"/>
                <w:color w:val="000000"/>
                <w:kern w:val="0"/>
                <w:szCs w:val="21"/>
                <w:highlight w:val="none"/>
                <w:lang w:val="en-US" w:eastAsia="zh-CN"/>
              </w:rPr>
              <w:t>安徽省滁州市琅琊区凤凰东路476号城管大厦7楼</w:t>
            </w:r>
            <w:r>
              <w:rPr>
                <w:rFonts w:hint="eastAsia" w:ascii="宋体" w:hAnsi="宋体" w:cs="宋体"/>
                <w:color w:val="000000"/>
                <w:kern w:val="0"/>
                <w:szCs w:val="21"/>
                <w:highlight w:val="none"/>
              </w:rPr>
              <w:t xml:space="preserve"> </w:t>
            </w:r>
          </w:p>
        </w:tc>
      </w:tr>
      <w:tr w14:paraId="0ACD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7C3E8B1D">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招标人联系人</w:t>
            </w:r>
          </w:p>
        </w:tc>
        <w:tc>
          <w:tcPr>
            <w:tcW w:w="8313" w:type="dxa"/>
            <w:noWrap w:val="0"/>
            <w:vAlign w:val="center"/>
          </w:tcPr>
          <w:p w14:paraId="7BE661A5">
            <w:pPr>
              <w:widowControl/>
              <w:spacing w:line="440" w:lineRule="exact"/>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 </w:t>
            </w:r>
            <w:r>
              <w:rPr>
                <w:rFonts w:hint="eastAsia" w:ascii="宋体" w:hAnsi="宋体" w:cs="宋体"/>
                <w:color w:val="000000"/>
                <w:kern w:val="0"/>
                <w:szCs w:val="21"/>
                <w:highlight w:val="none"/>
                <w:lang w:val="en-US" w:eastAsia="zh-CN"/>
              </w:rPr>
              <w:t>侯健</w:t>
            </w:r>
            <w:r>
              <w:rPr>
                <w:rFonts w:hint="eastAsia" w:ascii="宋体" w:hAnsi="宋体" w:cs="宋体"/>
                <w:color w:val="000000"/>
                <w:kern w:val="0"/>
                <w:szCs w:val="21"/>
                <w:highlight w:val="none"/>
              </w:rPr>
              <w:t xml:space="preserve">  </w:t>
            </w:r>
          </w:p>
        </w:tc>
      </w:tr>
      <w:tr w14:paraId="7A586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38B43096">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招标人电话</w:t>
            </w:r>
          </w:p>
        </w:tc>
        <w:tc>
          <w:tcPr>
            <w:tcW w:w="8313" w:type="dxa"/>
            <w:noWrap w:val="0"/>
            <w:vAlign w:val="center"/>
          </w:tcPr>
          <w:p w14:paraId="15578BFE">
            <w:pPr>
              <w:widowControl/>
              <w:spacing w:line="440" w:lineRule="exact"/>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 </w:t>
            </w:r>
            <w:r>
              <w:rPr>
                <w:rFonts w:hint="eastAsia" w:ascii="宋体" w:hAnsi="宋体" w:cs="宋体"/>
                <w:color w:val="000000"/>
                <w:kern w:val="0"/>
                <w:szCs w:val="21"/>
                <w:highlight w:val="none"/>
                <w:lang w:val="en-US" w:eastAsia="zh-CN"/>
              </w:rPr>
              <w:t xml:space="preserve">15955007778 </w:t>
            </w:r>
            <w:r>
              <w:rPr>
                <w:rFonts w:hint="eastAsia" w:ascii="宋体" w:hAnsi="宋体" w:cs="宋体"/>
                <w:color w:val="000000"/>
                <w:kern w:val="0"/>
                <w:szCs w:val="21"/>
                <w:highlight w:val="none"/>
              </w:rPr>
              <w:t xml:space="preserve">  </w:t>
            </w:r>
          </w:p>
        </w:tc>
      </w:tr>
      <w:tr w14:paraId="353C8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2BC89310">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招标代理机构名称</w:t>
            </w:r>
          </w:p>
        </w:tc>
        <w:tc>
          <w:tcPr>
            <w:tcW w:w="8313" w:type="dxa"/>
            <w:noWrap w:val="0"/>
            <w:vAlign w:val="center"/>
          </w:tcPr>
          <w:p w14:paraId="6A77E166">
            <w:pPr>
              <w:widowControl/>
              <w:spacing w:line="440" w:lineRule="exact"/>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 </w:t>
            </w:r>
            <w:r>
              <w:rPr>
                <w:rFonts w:hint="eastAsia" w:ascii="宋体" w:hAnsi="宋体" w:cs="宋体"/>
                <w:color w:val="000000"/>
                <w:kern w:val="0"/>
                <w:szCs w:val="21"/>
                <w:highlight w:val="none"/>
                <w:lang w:val="en-US" w:eastAsia="zh-CN"/>
              </w:rPr>
              <w:t>滁州市城投工程咨询管理有限公司</w:t>
            </w:r>
            <w:r>
              <w:rPr>
                <w:rFonts w:hint="eastAsia" w:ascii="宋体" w:hAnsi="宋体" w:cs="宋体"/>
                <w:color w:val="000000"/>
                <w:kern w:val="0"/>
                <w:szCs w:val="21"/>
                <w:highlight w:val="none"/>
              </w:rPr>
              <w:t xml:space="preserve"> </w:t>
            </w:r>
          </w:p>
        </w:tc>
      </w:tr>
      <w:tr w14:paraId="311D4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52DA6746">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招标代理机构地址</w:t>
            </w:r>
          </w:p>
        </w:tc>
        <w:tc>
          <w:tcPr>
            <w:tcW w:w="8313" w:type="dxa"/>
            <w:noWrap w:val="0"/>
            <w:vAlign w:val="center"/>
          </w:tcPr>
          <w:p w14:paraId="21240F0F">
            <w:pPr>
              <w:widowControl/>
              <w:spacing w:line="440" w:lineRule="exact"/>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 </w:t>
            </w:r>
            <w:r>
              <w:rPr>
                <w:rFonts w:hint="eastAsia" w:ascii="宋体" w:hAnsi="宋体" w:cs="宋体"/>
                <w:color w:val="000000"/>
                <w:kern w:val="0"/>
                <w:szCs w:val="21"/>
                <w:highlight w:val="none"/>
                <w:lang w:val="en-US" w:eastAsia="zh-CN"/>
              </w:rPr>
              <w:t>滁州市龙蟠大道109号房产大厦6楼</w:t>
            </w:r>
            <w:r>
              <w:rPr>
                <w:rFonts w:hint="eastAsia" w:ascii="宋体" w:hAnsi="宋体" w:cs="宋体"/>
                <w:color w:val="000000"/>
                <w:kern w:val="0"/>
                <w:szCs w:val="21"/>
                <w:highlight w:val="none"/>
              </w:rPr>
              <w:t xml:space="preserve">  </w:t>
            </w:r>
          </w:p>
        </w:tc>
      </w:tr>
      <w:tr w14:paraId="6E7B3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3652BB69">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招标代理机构    联系人</w:t>
            </w:r>
          </w:p>
        </w:tc>
        <w:tc>
          <w:tcPr>
            <w:tcW w:w="8313" w:type="dxa"/>
            <w:noWrap w:val="0"/>
            <w:vAlign w:val="center"/>
          </w:tcPr>
          <w:p w14:paraId="6120CFF6">
            <w:pPr>
              <w:widowControl/>
              <w:spacing w:line="440" w:lineRule="exact"/>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 </w:t>
            </w:r>
            <w:r>
              <w:rPr>
                <w:rFonts w:hint="eastAsia" w:ascii="宋体" w:hAnsi="宋体" w:cs="宋体"/>
                <w:color w:val="auto"/>
                <w:kern w:val="0"/>
                <w:szCs w:val="21"/>
                <w:highlight w:val="none"/>
                <w:lang w:val="en-US" w:eastAsia="zh-CN"/>
              </w:rPr>
              <w:t>周蓓蕾</w:t>
            </w:r>
            <w:r>
              <w:rPr>
                <w:rFonts w:hint="eastAsia" w:ascii="宋体" w:hAnsi="宋体" w:cs="宋体"/>
                <w:color w:val="000000"/>
                <w:kern w:val="0"/>
                <w:szCs w:val="21"/>
                <w:highlight w:val="none"/>
              </w:rPr>
              <w:t xml:space="preserve"> </w:t>
            </w:r>
          </w:p>
        </w:tc>
      </w:tr>
      <w:tr w14:paraId="00674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41AB83EF">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代理机构电话</w:t>
            </w:r>
          </w:p>
        </w:tc>
        <w:tc>
          <w:tcPr>
            <w:tcW w:w="8313" w:type="dxa"/>
            <w:noWrap w:val="0"/>
            <w:vAlign w:val="center"/>
          </w:tcPr>
          <w:p w14:paraId="19C993EF">
            <w:pPr>
              <w:widowControl/>
              <w:spacing w:line="440" w:lineRule="exact"/>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 </w:t>
            </w:r>
            <w:r>
              <w:rPr>
                <w:rFonts w:hint="eastAsia" w:ascii="宋体" w:hAnsi="宋体" w:cs="宋体"/>
                <w:color w:val="auto"/>
                <w:kern w:val="0"/>
                <w:szCs w:val="21"/>
                <w:highlight w:val="none"/>
              </w:rPr>
              <w:t>0550-351951</w:t>
            </w:r>
            <w:r>
              <w:rPr>
                <w:rFonts w:hint="eastAsia" w:ascii="宋体" w:hAnsi="宋体" w:cs="宋体"/>
                <w:color w:val="auto"/>
                <w:kern w:val="0"/>
                <w:szCs w:val="21"/>
                <w:highlight w:val="none"/>
                <w:lang w:val="en-US" w:eastAsia="zh-CN"/>
              </w:rPr>
              <w:t>9</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eastAsia="zh-CN"/>
              </w:rPr>
              <w:t>18005505728</w:t>
            </w:r>
            <w:r>
              <w:rPr>
                <w:rFonts w:hint="eastAsia" w:ascii="宋体" w:hAnsi="宋体" w:cs="宋体"/>
                <w:color w:val="000000"/>
                <w:kern w:val="0"/>
                <w:szCs w:val="21"/>
                <w:highlight w:val="none"/>
              </w:rPr>
              <w:t xml:space="preserve">  </w:t>
            </w:r>
          </w:p>
        </w:tc>
      </w:tr>
      <w:tr w14:paraId="361F3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noWrap w:val="0"/>
            <w:vAlign w:val="center"/>
          </w:tcPr>
          <w:p w14:paraId="21E827DB">
            <w:pPr>
              <w:keepNext w:val="0"/>
              <w:keepLines w:val="0"/>
              <w:pageBreakBefore w:val="0"/>
              <w:widowControl/>
              <w:kinsoku/>
              <w:overflowPunct/>
              <w:topLinePunct w:val="0"/>
              <w:autoSpaceDE/>
              <w:autoSpaceDN/>
              <w:bidi w:val="0"/>
              <w:spacing w:line="400" w:lineRule="exact"/>
              <w:jc w:val="center"/>
              <w:textAlignment w:val="auto"/>
              <w:rPr>
                <w:bCs/>
                <w:color w:val="000000"/>
                <w:spacing w:val="-6"/>
                <w:szCs w:val="21"/>
                <w:highlight w:val="none"/>
              </w:rPr>
            </w:pPr>
            <w:r>
              <w:rPr>
                <w:rFonts w:hint="eastAsia"/>
                <w:bCs/>
                <w:color w:val="000000"/>
                <w:spacing w:val="-6"/>
                <w:szCs w:val="21"/>
                <w:highlight w:val="none"/>
              </w:rPr>
              <w:t>招标投标行政监督部门</w:t>
            </w:r>
          </w:p>
        </w:tc>
        <w:tc>
          <w:tcPr>
            <w:tcW w:w="8313" w:type="dxa"/>
            <w:noWrap w:val="0"/>
            <w:vAlign w:val="center"/>
          </w:tcPr>
          <w:p w14:paraId="420DCC4C">
            <w:pPr>
              <w:widowControl/>
              <w:spacing w:line="440" w:lineRule="exact"/>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 </w:t>
            </w:r>
            <w:r>
              <w:rPr>
                <w:rFonts w:hint="eastAsia"/>
                <w:bCs/>
                <w:color w:val="auto"/>
                <w:spacing w:val="-6"/>
                <w:sz w:val="21"/>
                <w:szCs w:val="21"/>
                <w:highlight w:val="none"/>
                <w:lang w:val="en-US" w:eastAsia="zh-CN"/>
              </w:rPr>
              <w:t>滁州市公共资源交易监督管理局</w:t>
            </w:r>
          </w:p>
        </w:tc>
      </w:tr>
    </w:tbl>
    <w:p w14:paraId="5BCE59E6">
      <w:pPr>
        <w:pStyle w:val="2"/>
        <w:pageBreakBefore/>
        <w:adjustRightInd w:val="0"/>
        <w:snapToGrid w:val="0"/>
        <w:spacing w:before="0" w:after="0" w:line="560" w:lineRule="exact"/>
        <w:jc w:val="center"/>
        <w:rPr>
          <w:color w:val="000000"/>
          <w:highlight w:val="none"/>
        </w:rPr>
      </w:pPr>
      <w:bookmarkStart w:id="12" w:name="_Toc179632544"/>
      <w:bookmarkStart w:id="13" w:name="_Toc144974495"/>
      <w:bookmarkStart w:id="14" w:name="_Toc246996173"/>
      <w:bookmarkStart w:id="15" w:name="_Toc152045527"/>
      <w:bookmarkStart w:id="16" w:name="_Toc247085687"/>
      <w:bookmarkStart w:id="17" w:name="_Toc60061431"/>
      <w:bookmarkStart w:id="18" w:name="_Toc506107267"/>
      <w:bookmarkStart w:id="19" w:name="_Toc324404813"/>
      <w:bookmarkStart w:id="20" w:name="_Toc95223333"/>
      <w:bookmarkStart w:id="21" w:name="_Toc152042303"/>
      <w:bookmarkStart w:id="22" w:name="_Toc15058844"/>
      <w:bookmarkStart w:id="23" w:name="_Toc246996916"/>
      <w:r>
        <w:rPr>
          <w:rFonts w:hint="eastAsia"/>
          <w:color w:val="000000"/>
          <w:highlight w:val="none"/>
        </w:rPr>
        <w:t>第二章 投标人须知</w:t>
      </w:r>
      <w:bookmarkEnd w:id="12"/>
      <w:bookmarkEnd w:id="13"/>
      <w:bookmarkEnd w:id="14"/>
      <w:bookmarkEnd w:id="15"/>
      <w:bookmarkEnd w:id="16"/>
      <w:bookmarkEnd w:id="17"/>
      <w:bookmarkEnd w:id="18"/>
      <w:bookmarkEnd w:id="19"/>
      <w:bookmarkEnd w:id="20"/>
      <w:bookmarkEnd w:id="21"/>
      <w:bookmarkEnd w:id="22"/>
      <w:bookmarkEnd w:id="23"/>
    </w:p>
    <w:p w14:paraId="201BB839">
      <w:pPr>
        <w:pStyle w:val="3"/>
        <w:adjustRightInd w:val="0"/>
        <w:snapToGrid w:val="0"/>
        <w:spacing w:before="0" w:after="0" w:line="560" w:lineRule="exact"/>
        <w:jc w:val="center"/>
        <w:rPr>
          <w:color w:val="000000"/>
          <w:highlight w:val="none"/>
        </w:rPr>
      </w:pPr>
      <w:bookmarkStart w:id="24" w:name="_Toc506107268"/>
      <w:bookmarkStart w:id="25" w:name="_Toc152045528"/>
      <w:bookmarkStart w:id="26" w:name="_Toc179632545"/>
      <w:bookmarkStart w:id="27" w:name="_Toc324404814"/>
      <w:bookmarkStart w:id="28" w:name="_Toc247085688"/>
      <w:bookmarkStart w:id="29" w:name="_Toc246996174"/>
      <w:bookmarkStart w:id="30" w:name="_Toc144974496"/>
      <w:bookmarkStart w:id="31" w:name="_Toc95223334"/>
      <w:bookmarkStart w:id="32" w:name="_Toc246996917"/>
      <w:bookmarkStart w:id="33" w:name="_Toc15058845"/>
      <w:bookmarkStart w:id="34" w:name="_Toc83301687"/>
      <w:bookmarkStart w:id="35" w:name="_Toc152042304"/>
      <w:bookmarkStart w:id="36" w:name="_Toc60061432"/>
      <w:bookmarkStart w:id="37" w:name="_Toc324404815"/>
      <w:bookmarkStart w:id="38" w:name="_Toc152045529"/>
      <w:bookmarkStart w:id="39" w:name="_Toc506107269"/>
      <w:bookmarkStart w:id="40" w:name="_Toc144974497"/>
      <w:bookmarkStart w:id="41" w:name="_Toc15058846"/>
      <w:bookmarkStart w:id="42" w:name="_Toc246996918"/>
      <w:bookmarkStart w:id="43" w:name="_Toc152042305"/>
      <w:bookmarkStart w:id="44" w:name="_Toc246996175"/>
      <w:bookmarkStart w:id="45" w:name="_Toc247085689"/>
      <w:bookmarkStart w:id="46" w:name="_Toc179632546"/>
      <w:r>
        <w:rPr>
          <w:rFonts w:hint="eastAsia"/>
          <w:color w:val="000000"/>
          <w:highlight w:val="none"/>
        </w:rPr>
        <w:t>投标人须知前附表</w:t>
      </w:r>
      <w:bookmarkEnd w:id="24"/>
      <w:bookmarkEnd w:id="25"/>
      <w:bookmarkEnd w:id="26"/>
      <w:bookmarkEnd w:id="27"/>
      <w:bookmarkEnd w:id="28"/>
      <w:bookmarkEnd w:id="29"/>
      <w:bookmarkEnd w:id="30"/>
      <w:bookmarkEnd w:id="31"/>
      <w:bookmarkEnd w:id="32"/>
      <w:bookmarkEnd w:id="33"/>
      <w:bookmarkEnd w:id="34"/>
      <w:bookmarkEnd w:id="35"/>
      <w:bookmarkEnd w:id="36"/>
    </w:p>
    <w:tbl>
      <w:tblPr>
        <w:tblStyle w:val="18"/>
        <w:tblW w:w="0" w:type="auto"/>
        <w:jc w:val="center"/>
        <w:tblLayout w:type="fixed"/>
        <w:tblCellMar>
          <w:top w:w="0" w:type="dxa"/>
          <w:left w:w="108" w:type="dxa"/>
          <w:bottom w:w="0" w:type="dxa"/>
          <w:right w:w="108" w:type="dxa"/>
        </w:tblCellMar>
      </w:tblPr>
      <w:tblGrid>
        <w:gridCol w:w="1016"/>
        <w:gridCol w:w="1984"/>
        <w:gridCol w:w="7175"/>
      </w:tblGrid>
      <w:tr w14:paraId="471CDAB6">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274B9A05">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b/>
                <w:color w:val="000000"/>
                <w:szCs w:val="21"/>
                <w:highlight w:val="none"/>
              </w:rPr>
            </w:pPr>
            <w:r>
              <w:rPr>
                <w:rFonts w:hint="eastAsia" w:ascii="宋体" w:hAnsi="宋体" w:cs="宋体"/>
                <w:b/>
                <w:color w:val="000000"/>
                <w:szCs w:val="21"/>
                <w:highlight w:val="none"/>
              </w:rPr>
              <w:t>序号</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554B07C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b/>
                <w:color w:val="000000"/>
                <w:szCs w:val="21"/>
                <w:highlight w:val="none"/>
              </w:rPr>
            </w:pPr>
            <w:r>
              <w:rPr>
                <w:rFonts w:hint="eastAsia" w:ascii="宋体" w:hAnsi="宋体" w:cs="宋体"/>
                <w:b/>
                <w:color w:val="000000"/>
                <w:szCs w:val="21"/>
                <w:highlight w:val="none"/>
              </w:rPr>
              <w:t>条  款  名  称</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57315BD3">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b/>
                <w:color w:val="000000"/>
                <w:szCs w:val="21"/>
                <w:highlight w:val="none"/>
              </w:rPr>
            </w:pPr>
            <w:r>
              <w:rPr>
                <w:rFonts w:hint="eastAsia" w:ascii="宋体" w:hAnsi="宋体" w:cs="宋体"/>
                <w:b/>
                <w:color w:val="000000"/>
                <w:szCs w:val="21"/>
                <w:highlight w:val="none"/>
              </w:rPr>
              <w:t>编  列  内  容</w:t>
            </w:r>
          </w:p>
        </w:tc>
      </w:tr>
      <w:tr w14:paraId="1412476B">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5924677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1.1.2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0C0D8D27">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招标人</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55173E5E">
            <w:pPr>
              <w:pStyle w:val="34"/>
              <w:keepNext w:val="0"/>
              <w:keepLines w:val="0"/>
              <w:pageBreakBefore w:val="0"/>
              <w:kinsoku/>
              <w:wordWrap/>
              <w:overflowPunct/>
              <w:autoSpaceDE/>
              <w:autoSpaceDN/>
              <w:bidi w:val="0"/>
              <w:adjustRightInd w:val="0"/>
              <w:snapToGrid w:val="0"/>
              <w:spacing w:line="440" w:lineRule="exact"/>
              <w:jc w:val="left"/>
              <w:textAlignment w:val="auto"/>
              <w:rPr>
                <w:rFonts w:ascii="宋体" w:hAnsi="宋体" w:cs="宋体"/>
                <w:color w:val="000000"/>
                <w:kern w:val="2"/>
                <w:sz w:val="24"/>
                <w:szCs w:val="24"/>
                <w:highlight w:val="none"/>
              </w:rPr>
            </w:pPr>
            <w:r>
              <w:rPr>
                <w:rFonts w:hint="eastAsia" w:ascii="宋体" w:hAnsi="宋体" w:cs="宋体"/>
                <w:color w:val="000000"/>
                <w:sz w:val="24"/>
                <w:highlight w:val="none"/>
              </w:rPr>
              <w:t>见招标公告</w:t>
            </w:r>
          </w:p>
        </w:tc>
      </w:tr>
      <w:tr w14:paraId="41E10B46">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141547DA">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1.1.3</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2B596C63">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招标代理机构</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39F166A0">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见招标公告</w:t>
            </w:r>
          </w:p>
        </w:tc>
      </w:tr>
      <w:tr w14:paraId="2044E913">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1C099059">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1.1.4</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479859F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招标项目名称</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16EC21AF">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见招标公告</w:t>
            </w:r>
          </w:p>
        </w:tc>
      </w:tr>
      <w:tr w14:paraId="5DE90C59">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0031C0FD">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1.1.5</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403B7DA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建设地点</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60FB54A5">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见招标公告</w:t>
            </w:r>
          </w:p>
        </w:tc>
      </w:tr>
      <w:tr w14:paraId="2EFEB048">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26BEABFE">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1.2.1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136AD7AE">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资金来源及出资比例</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5C3668A0">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见招标公告</w:t>
            </w:r>
          </w:p>
        </w:tc>
      </w:tr>
      <w:tr w14:paraId="2F106E81">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20270C39">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1.2.2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09B603CD">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资金落实情况</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1AD1A85C">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lang w:val="en-US" w:eastAsia="zh-CN"/>
              </w:rPr>
              <w:t>已落实</w:t>
            </w:r>
            <w:r>
              <w:rPr>
                <w:rFonts w:hint="eastAsia" w:ascii="宋体" w:hAnsi="宋体" w:cs="宋体"/>
                <w:color w:val="000000"/>
                <w:sz w:val="24"/>
                <w:highlight w:val="none"/>
              </w:rPr>
              <w:t xml:space="preserve">  </w:t>
            </w:r>
          </w:p>
        </w:tc>
      </w:tr>
      <w:tr w14:paraId="7EDBDB6C">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7B78588F">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1.3.1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12AEAFA6">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招标范围</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6770EBF4">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见招标公告</w:t>
            </w:r>
          </w:p>
        </w:tc>
      </w:tr>
      <w:tr w14:paraId="4FE9FAF9">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4D32ACA6">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1.3.2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6B52787F">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计划工期</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2A029434">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b/>
                <w:color w:val="000000"/>
                <w:sz w:val="24"/>
                <w:highlight w:val="none"/>
              </w:rPr>
            </w:pPr>
            <w:r>
              <w:rPr>
                <w:rFonts w:hint="eastAsia" w:ascii="宋体" w:hAnsi="宋体" w:cs="宋体"/>
                <w:b/>
                <w:color w:val="000000"/>
                <w:sz w:val="24"/>
                <w:highlight w:val="none"/>
              </w:rPr>
              <w:t>计划工期：不高于</w:t>
            </w:r>
            <w:r>
              <w:rPr>
                <w:rFonts w:hint="eastAsia" w:ascii="宋体" w:hAnsi="宋体" w:cs="宋体"/>
                <w:b/>
                <w:color w:val="000000"/>
                <w:sz w:val="24"/>
                <w:highlight w:val="none"/>
                <w:u w:val="single"/>
                <w:lang w:val="en-US" w:eastAsia="zh-CN"/>
              </w:rPr>
              <w:t>100</w:t>
            </w:r>
            <w:r>
              <w:rPr>
                <w:rFonts w:hint="eastAsia" w:ascii="宋体" w:hAnsi="宋体" w:cs="宋体"/>
                <w:b/>
                <w:color w:val="000000"/>
                <w:sz w:val="24"/>
                <w:highlight w:val="none"/>
              </w:rPr>
              <w:t>个日历天。</w:t>
            </w:r>
          </w:p>
          <w:p w14:paraId="30E30F9D">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 xml:space="preserve">（具体开工日期以开工通知为准或招标时由招标人根据实际情况自行规定）                       </w:t>
            </w:r>
          </w:p>
        </w:tc>
      </w:tr>
      <w:tr w14:paraId="35E37DB9">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027B3F24">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1.3.3</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44CC34E4">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质量要求</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7C2D8B31">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工程质量必须达到国家工程施工质量验收</w:t>
            </w:r>
            <w:r>
              <w:rPr>
                <w:rFonts w:hint="eastAsia" w:ascii="宋体" w:hAnsi="宋体" w:cs="宋体"/>
                <w:b/>
                <w:color w:val="000000"/>
                <w:sz w:val="24"/>
                <w:highlight w:val="none"/>
                <w:u w:val="single"/>
                <w:lang w:val="en-US" w:eastAsia="zh-CN"/>
              </w:rPr>
              <w:t>合格</w:t>
            </w:r>
            <w:r>
              <w:rPr>
                <w:rFonts w:hint="eastAsia" w:ascii="宋体" w:hAnsi="宋体" w:cs="宋体"/>
                <w:color w:val="000000"/>
                <w:sz w:val="24"/>
                <w:highlight w:val="none"/>
              </w:rPr>
              <w:t xml:space="preserve">标准。 </w:t>
            </w:r>
          </w:p>
        </w:tc>
      </w:tr>
      <w:tr w14:paraId="18A271F7">
        <w:tblPrEx>
          <w:tblCellMar>
            <w:top w:w="0" w:type="dxa"/>
            <w:left w:w="108" w:type="dxa"/>
            <w:bottom w:w="0" w:type="dxa"/>
            <w:right w:w="108" w:type="dxa"/>
          </w:tblCellMar>
        </w:tblPrEx>
        <w:trPr>
          <w:trHeight w:val="1232" w:hRule="atLeast"/>
          <w:jc w:val="center"/>
        </w:trPr>
        <w:tc>
          <w:tcPr>
            <w:tcW w:w="1016" w:type="dxa"/>
            <w:tcBorders>
              <w:top w:val="single" w:color="auto" w:sz="4" w:space="0"/>
              <w:left w:val="single" w:color="auto" w:sz="4" w:space="0"/>
              <w:right w:val="single" w:color="auto" w:sz="4" w:space="0"/>
            </w:tcBorders>
            <w:noWrap w:val="0"/>
            <w:vAlign w:val="center"/>
          </w:tcPr>
          <w:p w14:paraId="1408237C">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1.4.1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6359575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投标人资质条件、能力和信誉</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2BDE3A38">
            <w:pPr>
              <w:keepNext w:val="0"/>
              <w:keepLines w:val="0"/>
              <w:pageBreakBefore w:val="0"/>
              <w:widowControl/>
              <w:kinsoku/>
              <w:wordWrap/>
              <w:overflowPunct/>
              <w:autoSpaceDE/>
              <w:autoSpaceDN/>
              <w:bidi w:val="0"/>
              <w:adjustRightInd w:val="0"/>
              <w:snapToGrid w:val="0"/>
              <w:spacing w:line="440" w:lineRule="exact"/>
              <w:jc w:val="left"/>
              <w:textAlignment w:val="auto"/>
              <w:rPr>
                <w:rFonts w:ascii="宋体" w:hAnsi="宋体" w:cs="宋体"/>
                <w:color w:val="000000"/>
                <w:sz w:val="24"/>
                <w:highlight w:val="none"/>
                <w:u w:val="single"/>
              </w:rPr>
            </w:pPr>
            <w:r>
              <w:rPr>
                <w:rFonts w:hint="eastAsia" w:ascii="宋体" w:hAnsi="宋体" w:cs="宋体"/>
                <w:color w:val="000000"/>
                <w:sz w:val="24"/>
                <w:highlight w:val="none"/>
                <w:u w:val="single"/>
              </w:rPr>
              <w:t>详见招标公告</w:t>
            </w:r>
          </w:p>
        </w:tc>
      </w:tr>
      <w:tr w14:paraId="6B052FE7">
        <w:tblPrEx>
          <w:tblCellMar>
            <w:top w:w="0" w:type="dxa"/>
            <w:left w:w="108" w:type="dxa"/>
            <w:bottom w:w="0" w:type="dxa"/>
            <w:right w:w="108" w:type="dxa"/>
          </w:tblCellMar>
        </w:tblPrEx>
        <w:trPr>
          <w:trHeight w:val="683"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39B44327">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1.4.2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76866EEC">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pacing w:val="-4"/>
                <w:kern w:val="0"/>
                <w:sz w:val="24"/>
                <w:highlight w:val="none"/>
              </w:rPr>
            </w:pPr>
            <w:r>
              <w:rPr>
                <w:rFonts w:hint="eastAsia" w:ascii="宋体" w:hAnsi="宋体" w:cs="宋体"/>
                <w:color w:val="000000"/>
                <w:spacing w:val="-4"/>
                <w:kern w:val="0"/>
                <w:sz w:val="24"/>
                <w:highlight w:val="none"/>
              </w:rPr>
              <w:t>是否接受联合体投标</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22A33719">
            <w:pPr>
              <w:pStyle w:val="8"/>
              <w:keepNext w:val="0"/>
              <w:keepLines w:val="0"/>
              <w:pageBreakBefore w:val="0"/>
              <w:kinsoku/>
              <w:wordWrap/>
              <w:overflowPunct/>
              <w:topLinePunct/>
              <w:autoSpaceDE/>
              <w:autoSpaceDN/>
              <w:bidi w:val="0"/>
              <w:adjustRightInd w:val="0"/>
              <w:snapToGrid w:val="0"/>
              <w:spacing w:line="440" w:lineRule="exact"/>
              <w:textAlignment w:val="auto"/>
              <w:rPr>
                <w:rFonts w:hAnsi="宋体" w:cs="宋体"/>
                <w:color w:val="000000"/>
                <w:szCs w:val="24"/>
                <w:highlight w:val="none"/>
              </w:rPr>
            </w:pPr>
            <w:r>
              <w:rPr>
                <w:rFonts w:hint="eastAsia" w:hAnsi="宋体" w:cs="宋体"/>
                <w:color w:val="000000"/>
                <w:szCs w:val="24"/>
                <w:highlight w:val="none"/>
                <w:u w:val="single"/>
              </w:rPr>
              <w:t>详见招标公告</w:t>
            </w:r>
          </w:p>
        </w:tc>
      </w:tr>
      <w:tr w14:paraId="43B7563B">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46912773">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1.4.3</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142D2A84">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pacing w:val="-4"/>
                <w:kern w:val="0"/>
                <w:sz w:val="24"/>
                <w:highlight w:val="none"/>
              </w:rPr>
            </w:pPr>
            <w:r>
              <w:rPr>
                <w:rFonts w:hint="eastAsia" w:ascii="宋体" w:hAnsi="宋体" w:cs="宋体"/>
                <w:color w:val="000000"/>
                <w:spacing w:val="-4"/>
                <w:kern w:val="0"/>
                <w:sz w:val="24"/>
                <w:highlight w:val="none"/>
              </w:rPr>
              <w:t>投标人不得存在的其他关联情形</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79BE35A5">
            <w:pPr>
              <w:pStyle w:val="8"/>
              <w:keepNext w:val="0"/>
              <w:keepLines w:val="0"/>
              <w:pageBreakBefore w:val="0"/>
              <w:kinsoku/>
              <w:wordWrap/>
              <w:overflowPunct/>
              <w:topLinePunct/>
              <w:autoSpaceDE/>
              <w:autoSpaceDN/>
              <w:bidi w:val="0"/>
              <w:adjustRightInd w:val="0"/>
              <w:snapToGrid w:val="0"/>
              <w:spacing w:line="440" w:lineRule="exact"/>
              <w:textAlignment w:val="auto"/>
              <w:rPr>
                <w:rFonts w:hAnsi="宋体" w:cs="宋体"/>
                <w:color w:val="000000"/>
                <w:szCs w:val="24"/>
                <w:highlight w:val="none"/>
              </w:rPr>
            </w:pPr>
            <w:r>
              <w:rPr>
                <w:rFonts w:hint="eastAsia" w:hAnsi="宋体" w:cs="宋体"/>
                <w:color w:val="000000"/>
                <w:szCs w:val="24"/>
                <w:highlight w:val="none"/>
                <w:u w:val="single"/>
              </w:rPr>
              <w:t>详见招标公告</w:t>
            </w:r>
          </w:p>
        </w:tc>
      </w:tr>
      <w:tr w14:paraId="1E99AA1A">
        <w:tblPrEx>
          <w:tblCellMar>
            <w:top w:w="0" w:type="dxa"/>
            <w:left w:w="108" w:type="dxa"/>
            <w:bottom w:w="0" w:type="dxa"/>
            <w:right w:w="108" w:type="dxa"/>
          </w:tblCellMar>
        </w:tblPrEx>
        <w:trPr>
          <w:trHeight w:val="683"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6DA7FE03">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1.9</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49F69583">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pacing w:val="-4"/>
                <w:kern w:val="0"/>
                <w:sz w:val="24"/>
                <w:highlight w:val="none"/>
              </w:rPr>
            </w:pPr>
            <w:r>
              <w:rPr>
                <w:rFonts w:hint="eastAsia" w:ascii="宋体" w:hAnsi="宋体" w:cs="宋体"/>
                <w:color w:val="000000"/>
                <w:spacing w:val="-4"/>
                <w:kern w:val="0"/>
                <w:sz w:val="24"/>
                <w:highlight w:val="none"/>
              </w:rPr>
              <w:t>踏勘现场</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7FE49CAE">
            <w:pPr>
              <w:pStyle w:val="8"/>
              <w:keepNext w:val="0"/>
              <w:keepLines w:val="0"/>
              <w:pageBreakBefore w:val="0"/>
              <w:kinsoku/>
              <w:wordWrap/>
              <w:overflowPunct/>
              <w:topLinePunct/>
              <w:autoSpaceDE/>
              <w:autoSpaceDN/>
              <w:bidi w:val="0"/>
              <w:adjustRightInd w:val="0"/>
              <w:snapToGrid w:val="0"/>
              <w:spacing w:line="440" w:lineRule="exact"/>
              <w:textAlignment w:val="auto"/>
              <w:rPr>
                <w:rFonts w:hAnsi="宋体" w:cs="宋体"/>
                <w:color w:val="000000"/>
                <w:szCs w:val="24"/>
                <w:highlight w:val="none"/>
              </w:rPr>
            </w:pPr>
            <w:r>
              <w:rPr>
                <w:rFonts w:hint="eastAsia" w:hAnsi="宋体" w:cs="宋体"/>
                <w:color w:val="000000"/>
                <w:spacing w:val="-4"/>
                <w:kern w:val="0"/>
                <w:szCs w:val="24"/>
                <w:highlight w:val="none"/>
              </w:rPr>
              <w:t>不组织，投标人自行组织踏勘</w:t>
            </w:r>
            <w:r>
              <w:rPr>
                <w:rFonts w:hint="eastAsia" w:hAnsi="宋体" w:cs="宋体"/>
                <w:color w:val="000000"/>
                <w:szCs w:val="24"/>
                <w:highlight w:val="none"/>
              </w:rPr>
              <w:t>。</w:t>
            </w:r>
          </w:p>
        </w:tc>
      </w:tr>
      <w:tr w14:paraId="2EC56298">
        <w:tblPrEx>
          <w:tblCellMar>
            <w:top w:w="0" w:type="dxa"/>
            <w:left w:w="108" w:type="dxa"/>
            <w:bottom w:w="0" w:type="dxa"/>
            <w:right w:w="108" w:type="dxa"/>
          </w:tblCellMar>
        </w:tblPrEx>
        <w:trPr>
          <w:trHeight w:val="661"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1DC8943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1.10.1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5ACB445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pacing w:val="-4"/>
                <w:kern w:val="0"/>
                <w:sz w:val="24"/>
                <w:highlight w:val="none"/>
              </w:rPr>
            </w:pPr>
            <w:r>
              <w:rPr>
                <w:rFonts w:hint="eastAsia" w:ascii="宋体" w:hAnsi="宋体" w:cs="宋体"/>
                <w:color w:val="000000"/>
                <w:spacing w:val="-4"/>
                <w:kern w:val="0"/>
                <w:sz w:val="24"/>
                <w:highlight w:val="none"/>
              </w:rPr>
              <w:t>投标预备会</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280C44A4">
            <w:pPr>
              <w:pStyle w:val="8"/>
              <w:keepNext w:val="0"/>
              <w:keepLines w:val="0"/>
              <w:pageBreakBefore w:val="0"/>
              <w:kinsoku/>
              <w:wordWrap/>
              <w:overflowPunct/>
              <w:topLinePunct/>
              <w:autoSpaceDE/>
              <w:autoSpaceDN/>
              <w:bidi w:val="0"/>
              <w:adjustRightInd w:val="0"/>
              <w:snapToGrid w:val="0"/>
              <w:spacing w:line="440" w:lineRule="exact"/>
              <w:textAlignment w:val="auto"/>
              <w:rPr>
                <w:rFonts w:hint="eastAsia" w:hAnsi="宋体" w:eastAsia="宋体" w:cs="宋体"/>
                <w:color w:val="000000"/>
                <w:szCs w:val="24"/>
                <w:highlight w:val="none"/>
                <w:lang w:eastAsia="zh-CN"/>
              </w:rPr>
            </w:pPr>
            <w:r>
              <w:rPr>
                <w:rFonts w:hint="eastAsia" w:hAnsi="宋体" w:cs="宋体"/>
                <w:color w:val="000000"/>
                <w:szCs w:val="24"/>
                <w:highlight w:val="none"/>
                <w:u w:val="none"/>
              </w:rPr>
              <w:t>不召开</w:t>
            </w:r>
            <w:r>
              <w:rPr>
                <w:rFonts w:hint="eastAsia" w:hAnsi="宋体" w:cs="宋体"/>
                <w:color w:val="000000"/>
                <w:szCs w:val="24"/>
                <w:highlight w:val="none"/>
                <w:u w:val="none"/>
                <w:lang w:eastAsia="zh-CN"/>
              </w:rPr>
              <w:t>。</w:t>
            </w:r>
          </w:p>
        </w:tc>
      </w:tr>
      <w:tr w14:paraId="49315CE7">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2AACCCFD">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1.10.2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766E1644">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投标人在投标预备会前提出问题</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57CAB06B">
            <w:pPr>
              <w:pStyle w:val="8"/>
              <w:keepNext w:val="0"/>
              <w:keepLines w:val="0"/>
              <w:pageBreakBefore w:val="0"/>
              <w:kinsoku/>
              <w:wordWrap/>
              <w:overflowPunct/>
              <w:topLinePunct/>
              <w:autoSpaceDE/>
              <w:autoSpaceDN/>
              <w:bidi w:val="0"/>
              <w:adjustRightInd w:val="0"/>
              <w:snapToGrid w:val="0"/>
              <w:spacing w:line="440" w:lineRule="exact"/>
              <w:textAlignment w:val="auto"/>
              <w:rPr>
                <w:rFonts w:hint="eastAsia" w:ascii="宋体" w:hAnsi="宋体" w:eastAsia="宋体" w:cs="宋体"/>
                <w:color w:val="000000"/>
                <w:szCs w:val="24"/>
                <w:highlight w:val="none"/>
                <w:u w:val="none"/>
                <w:lang w:eastAsia="zh-CN"/>
              </w:rPr>
            </w:pPr>
            <w:r>
              <w:rPr>
                <w:rFonts w:hint="eastAsia" w:ascii="宋体" w:hAnsi="宋体" w:eastAsia="宋体" w:cs="宋体"/>
                <w:color w:val="000000"/>
                <w:szCs w:val="24"/>
                <w:highlight w:val="none"/>
                <w:u w:val="none"/>
              </w:rPr>
              <w:t>时间：</w:t>
            </w:r>
            <w:r>
              <w:rPr>
                <w:rFonts w:hint="eastAsia" w:ascii="宋体" w:hAnsi="宋体" w:eastAsia="宋体" w:cs="宋体"/>
                <w:color w:val="000000"/>
                <w:szCs w:val="24"/>
                <w:highlight w:val="none"/>
                <w:u w:val="none"/>
                <w:lang w:eastAsia="zh-CN"/>
              </w:rPr>
              <w:t>详见本须知</w:t>
            </w:r>
            <w:r>
              <w:rPr>
                <w:rFonts w:hint="eastAsia" w:ascii="宋体" w:hAnsi="宋体" w:eastAsia="宋体" w:cs="宋体"/>
                <w:color w:val="000000"/>
                <w:szCs w:val="24"/>
                <w:highlight w:val="none"/>
                <w:u w:val="none"/>
                <w:lang w:val="en-US" w:eastAsia="zh-CN"/>
              </w:rPr>
              <w:t>2.2条</w:t>
            </w:r>
          </w:p>
          <w:p w14:paraId="5B6D50B6">
            <w:pPr>
              <w:pStyle w:val="8"/>
              <w:keepNext w:val="0"/>
              <w:keepLines w:val="0"/>
              <w:pageBreakBefore w:val="0"/>
              <w:kinsoku/>
              <w:wordWrap/>
              <w:overflowPunct/>
              <w:topLine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eastAsia="宋体" w:cs="宋体"/>
                <w:color w:val="000000"/>
                <w:szCs w:val="24"/>
                <w:highlight w:val="none"/>
                <w:u w:val="none"/>
              </w:rPr>
              <w:t>形式：</w:t>
            </w:r>
            <w:r>
              <w:rPr>
                <w:rFonts w:hint="eastAsia" w:ascii="宋体" w:hAnsi="宋体" w:eastAsia="宋体" w:cs="宋体"/>
                <w:color w:val="000000"/>
                <w:szCs w:val="24"/>
                <w:highlight w:val="none"/>
                <w:u w:val="none"/>
                <w:lang w:eastAsia="zh-CN"/>
              </w:rPr>
              <w:t>详见本须知</w:t>
            </w:r>
            <w:r>
              <w:rPr>
                <w:rFonts w:hint="eastAsia" w:ascii="宋体" w:hAnsi="宋体" w:eastAsia="宋体" w:cs="宋体"/>
                <w:color w:val="000000"/>
                <w:szCs w:val="24"/>
                <w:highlight w:val="none"/>
                <w:u w:val="none"/>
                <w:lang w:val="en-US" w:eastAsia="zh-CN"/>
              </w:rPr>
              <w:t>2.2条</w:t>
            </w:r>
            <w:r>
              <w:rPr>
                <w:rFonts w:hint="eastAsia" w:ascii="宋体" w:hAnsi="宋体" w:eastAsia="宋体" w:cs="宋体"/>
                <w:color w:val="000000"/>
                <w:szCs w:val="24"/>
                <w:highlight w:val="none"/>
                <w:u w:val="none"/>
              </w:rPr>
              <w:t xml:space="preserve">     </w:t>
            </w:r>
          </w:p>
        </w:tc>
      </w:tr>
      <w:tr w14:paraId="15D8BC07">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5B156D93">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1.11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7C47D4A6">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分包</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78A9D656">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u w:val="single"/>
              </w:rPr>
              <w:t>允许</w:t>
            </w:r>
            <w:r>
              <w:rPr>
                <w:rFonts w:hint="eastAsia" w:ascii="宋体" w:hAnsi="宋体" w:cs="宋体"/>
                <w:color w:val="000000"/>
                <w:sz w:val="24"/>
                <w:highlight w:val="none"/>
                <w:u w:val="none"/>
              </w:rPr>
              <w:t>，</w:t>
            </w:r>
            <w:r>
              <w:rPr>
                <w:rFonts w:hint="eastAsia" w:ascii="宋体" w:hAnsi="宋体" w:cs="宋体"/>
                <w:color w:val="000000"/>
                <w:sz w:val="24"/>
                <w:highlight w:val="none"/>
              </w:rPr>
              <w:t xml:space="preserve">分包内容要求：                       </w:t>
            </w:r>
          </w:p>
          <w:p w14:paraId="71417504">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 xml:space="preserve">      分包金额要求：                       </w:t>
            </w:r>
          </w:p>
          <w:p w14:paraId="103C6E1D">
            <w:pPr>
              <w:keepNext w:val="0"/>
              <w:keepLines w:val="0"/>
              <w:pageBreakBefore w:val="0"/>
              <w:kinsoku/>
              <w:wordWrap/>
              <w:overflowPunct/>
              <w:autoSpaceDE/>
              <w:autoSpaceDN/>
              <w:bidi w:val="0"/>
              <w:adjustRightInd w:val="0"/>
              <w:snapToGrid w:val="0"/>
              <w:spacing w:line="440" w:lineRule="exact"/>
              <w:jc w:val="left"/>
              <w:textAlignment w:val="auto"/>
              <w:rPr>
                <w:rFonts w:ascii="宋体" w:hAnsi="宋体" w:cs="宋体"/>
                <w:color w:val="000000"/>
                <w:sz w:val="24"/>
                <w:highlight w:val="none"/>
              </w:rPr>
            </w:pPr>
            <w:r>
              <w:rPr>
                <w:rFonts w:hint="eastAsia" w:ascii="宋体" w:hAnsi="宋体" w:cs="宋体"/>
                <w:color w:val="000000"/>
                <w:sz w:val="24"/>
                <w:highlight w:val="none"/>
              </w:rPr>
              <w:t xml:space="preserve">      接受分包的第三人资质要求： </w:t>
            </w:r>
          </w:p>
          <w:p w14:paraId="16FE5F33">
            <w:pPr>
              <w:keepNext w:val="0"/>
              <w:keepLines w:val="0"/>
              <w:pageBreakBefore w:val="0"/>
              <w:kinsoku/>
              <w:wordWrap/>
              <w:overflowPunct/>
              <w:autoSpaceDE/>
              <w:autoSpaceDN/>
              <w:bidi w:val="0"/>
              <w:adjustRightInd w:val="0"/>
              <w:snapToGrid w:val="0"/>
              <w:spacing w:line="440" w:lineRule="exact"/>
              <w:jc w:val="left"/>
              <w:textAlignment w:val="auto"/>
              <w:rPr>
                <w:rFonts w:ascii="宋体" w:hAnsi="宋体" w:cs="宋体"/>
                <w:color w:val="000000"/>
                <w:kern w:val="0"/>
                <w:sz w:val="24"/>
                <w:highlight w:val="none"/>
              </w:rPr>
            </w:pPr>
            <w:r>
              <w:rPr>
                <w:rFonts w:hint="eastAsia" w:ascii="宋体" w:hAnsi="宋体" w:cs="宋体"/>
                <w:color w:val="000000"/>
                <w:sz w:val="24"/>
                <w:highlight w:val="none"/>
              </w:rPr>
              <w:t>注：允许分包的，其分包合同须报建设单位备案。</w:t>
            </w:r>
          </w:p>
        </w:tc>
      </w:tr>
      <w:tr w14:paraId="38CF8417">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3478DE66">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2.1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3A7B6616">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构成招标文件的其他资料</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4297DBAE">
            <w:pPr>
              <w:keepNext w:val="0"/>
              <w:keepLines w:val="0"/>
              <w:pageBreakBefore w:val="0"/>
              <w:kinsoku/>
              <w:wordWrap/>
              <w:overflowPunct/>
              <w:autoSpaceDE/>
              <w:autoSpaceDN/>
              <w:bidi w:val="0"/>
              <w:adjustRightInd w:val="0"/>
              <w:snapToGrid w:val="0"/>
              <w:spacing w:line="440" w:lineRule="exact"/>
              <w:jc w:val="left"/>
              <w:textAlignment w:val="auto"/>
              <w:rPr>
                <w:rFonts w:ascii="宋体" w:hAnsi="宋体" w:cs="宋体"/>
                <w:color w:val="000000"/>
                <w:sz w:val="24"/>
                <w:highlight w:val="none"/>
              </w:rPr>
            </w:pPr>
            <w:r>
              <w:rPr>
                <w:rFonts w:hint="eastAsia" w:ascii="宋体" w:hAnsi="宋体" w:eastAsia="宋体" w:cs="宋体"/>
                <w:color w:val="000000"/>
                <w:sz w:val="24"/>
                <w:highlight w:val="none"/>
                <w:lang w:val="en-US" w:eastAsia="zh-CN"/>
              </w:rPr>
              <w:t>本工程招标澄清答疑文件。</w:t>
            </w:r>
          </w:p>
        </w:tc>
      </w:tr>
      <w:tr w14:paraId="55799B06">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474BFCA3">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2.2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166E9B15">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投标人提出异议的截止时间及方式</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176BA140">
            <w:pPr>
              <w:keepNext w:val="0"/>
              <w:keepLines w:val="0"/>
              <w:pageBreakBefore w:val="0"/>
              <w:kinsoku/>
              <w:wordWrap/>
              <w:overflowPunct/>
              <w:autoSpaceDE/>
              <w:autoSpaceDN/>
              <w:bidi w:val="0"/>
              <w:adjustRightInd w:val="0"/>
              <w:snapToGrid w:val="0"/>
              <w:spacing w:line="440" w:lineRule="exact"/>
              <w:jc w:val="left"/>
              <w:textAlignment w:val="auto"/>
              <w:rPr>
                <w:rFonts w:ascii="宋体" w:hAnsi="宋体" w:cs="宋体"/>
                <w:color w:val="000000"/>
                <w:sz w:val="24"/>
                <w:highlight w:val="none"/>
              </w:rPr>
            </w:pPr>
            <w:r>
              <w:rPr>
                <w:rFonts w:hint="eastAsia" w:ascii="宋体" w:hAnsi="宋体" w:cs="宋体"/>
                <w:color w:val="000000"/>
                <w:kern w:val="0"/>
                <w:sz w:val="24"/>
                <w:highlight w:val="none"/>
              </w:rPr>
              <w:t>如投标人对招标文件有异议，请于</w:t>
            </w:r>
            <w:r>
              <w:rPr>
                <w:rFonts w:hint="eastAsia" w:ascii="宋体" w:hAnsi="宋体" w:cs="宋体"/>
                <w:color w:val="000000"/>
                <w:kern w:val="0"/>
                <w:sz w:val="24"/>
                <w:highlight w:val="none"/>
                <w:lang w:val="en-US" w:eastAsia="zh-CN"/>
              </w:rPr>
              <w:t>2025</w:t>
            </w:r>
            <w:r>
              <w:rPr>
                <w:rFonts w:hint="eastAsia" w:ascii="宋体" w:hAnsi="宋体" w:cs="宋体"/>
                <w:color w:val="000000"/>
                <w:kern w:val="0"/>
                <w:sz w:val="24"/>
                <w:highlight w:val="none"/>
              </w:rPr>
              <w:t>年</w:t>
            </w:r>
            <w:r>
              <w:rPr>
                <w:rFonts w:hint="eastAsia" w:ascii="宋体" w:hAnsi="宋体" w:cs="宋体"/>
                <w:color w:val="000000"/>
                <w:kern w:val="0"/>
                <w:sz w:val="24"/>
                <w:highlight w:val="none"/>
                <w:lang w:val="en-US" w:eastAsia="zh-CN"/>
              </w:rPr>
              <w:t>7</w:t>
            </w:r>
            <w:r>
              <w:rPr>
                <w:rFonts w:hint="eastAsia" w:ascii="宋体" w:hAnsi="宋体" w:cs="宋体"/>
                <w:color w:val="000000"/>
                <w:kern w:val="0"/>
                <w:sz w:val="24"/>
                <w:highlight w:val="none"/>
              </w:rPr>
              <w:t>月</w:t>
            </w:r>
            <w:r>
              <w:rPr>
                <w:rFonts w:hint="eastAsia" w:ascii="宋体" w:hAnsi="宋体" w:cs="宋体"/>
                <w:color w:val="000000"/>
                <w:kern w:val="0"/>
                <w:sz w:val="24"/>
                <w:highlight w:val="none"/>
                <w:lang w:val="en-US" w:eastAsia="zh-CN"/>
              </w:rPr>
              <w:t>11</w:t>
            </w:r>
            <w:r>
              <w:rPr>
                <w:rFonts w:hint="eastAsia" w:ascii="宋体" w:hAnsi="宋体" w:cs="宋体"/>
                <w:color w:val="000000"/>
                <w:kern w:val="0"/>
                <w:sz w:val="24"/>
                <w:highlight w:val="none"/>
              </w:rPr>
              <w:t>日</w:t>
            </w:r>
            <w:r>
              <w:rPr>
                <w:rFonts w:hint="eastAsia" w:ascii="宋体" w:hAnsi="宋体" w:cs="宋体"/>
                <w:color w:val="000000"/>
                <w:kern w:val="0"/>
                <w:sz w:val="24"/>
                <w:highlight w:val="none"/>
                <w:lang w:val="en-US" w:eastAsia="zh-CN"/>
              </w:rPr>
              <w:t>8</w:t>
            </w:r>
            <w:r>
              <w:rPr>
                <w:rFonts w:hint="eastAsia" w:ascii="宋体" w:hAnsi="宋体" w:cs="宋体"/>
                <w:color w:val="000000"/>
                <w:kern w:val="0"/>
                <w:sz w:val="24"/>
                <w:highlight w:val="none"/>
              </w:rPr>
              <w:t>时（投标截止 10 日）前在滁州市公共资源交易中心网电子交易系统中进行异议，具体操作步骤和程序请参见服务指南&gt;交易须知&gt;在线异议、质疑和投诉操作手册。</w:t>
            </w:r>
          </w:p>
        </w:tc>
      </w:tr>
      <w:tr w14:paraId="37EE1730">
        <w:tblPrEx>
          <w:tblCellMar>
            <w:top w:w="0" w:type="dxa"/>
            <w:left w:w="108" w:type="dxa"/>
            <w:bottom w:w="0" w:type="dxa"/>
            <w:right w:w="108" w:type="dxa"/>
          </w:tblCellMar>
        </w:tblPrEx>
        <w:trPr>
          <w:trHeight w:val="1196"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303C8EBE">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2.3</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13626B86">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招标人澄清的时间及方式</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3B727040">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u w:val="single"/>
                <w:lang w:val="en-US" w:eastAsia="zh-CN"/>
              </w:rPr>
              <w:t>2025</w:t>
            </w:r>
            <w:r>
              <w:rPr>
                <w:rFonts w:hint="eastAsia" w:ascii="宋体" w:hAnsi="宋体" w:cs="宋体"/>
                <w:color w:val="000000"/>
                <w:sz w:val="24"/>
                <w:highlight w:val="none"/>
              </w:rPr>
              <w:t>年</w:t>
            </w:r>
            <w:r>
              <w:rPr>
                <w:rFonts w:hint="eastAsia" w:ascii="宋体" w:hAnsi="宋体" w:cs="宋体"/>
                <w:color w:val="000000"/>
                <w:sz w:val="24"/>
                <w:highlight w:val="none"/>
                <w:u w:val="single"/>
                <w:lang w:val="en-US" w:eastAsia="zh-CN"/>
              </w:rPr>
              <w:t>7</w:t>
            </w:r>
            <w:r>
              <w:rPr>
                <w:rFonts w:hint="eastAsia" w:ascii="宋体" w:hAnsi="宋体" w:cs="宋体"/>
                <w:color w:val="000000"/>
                <w:sz w:val="24"/>
                <w:highlight w:val="none"/>
              </w:rPr>
              <w:t>月</w:t>
            </w:r>
            <w:r>
              <w:rPr>
                <w:rFonts w:hint="eastAsia" w:ascii="宋体" w:hAnsi="宋体" w:cs="宋体"/>
                <w:color w:val="000000"/>
                <w:sz w:val="24"/>
                <w:highlight w:val="none"/>
                <w:u w:val="single"/>
                <w:lang w:val="en-US" w:eastAsia="zh-CN"/>
              </w:rPr>
              <w:t>14</w:t>
            </w:r>
            <w:r>
              <w:rPr>
                <w:rFonts w:hint="eastAsia" w:ascii="宋体" w:hAnsi="宋体" w:cs="宋体"/>
                <w:color w:val="000000"/>
                <w:sz w:val="24"/>
                <w:highlight w:val="none"/>
              </w:rPr>
              <w:t>日</w:t>
            </w:r>
            <w:r>
              <w:rPr>
                <w:rFonts w:hint="eastAsia" w:ascii="宋体" w:hAnsi="宋体" w:cs="宋体"/>
                <w:color w:val="000000"/>
                <w:sz w:val="24"/>
                <w:highlight w:val="none"/>
                <w:u w:val="single"/>
              </w:rPr>
              <w:t>17</w:t>
            </w:r>
            <w:r>
              <w:rPr>
                <w:rFonts w:hint="eastAsia" w:ascii="宋体" w:hAnsi="宋体" w:cs="宋体"/>
                <w:color w:val="000000"/>
                <w:sz w:val="24"/>
                <w:highlight w:val="none"/>
              </w:rPr>
              <w:t>时前</w:t>
            </w:r>
            <w:r>
              <w:rPr>
                <w:rFonts w:hint="eastAsia" w:ascii="宋体" w:hAnsi="宋体" w:cs="宋体"/>
                <w:color w:val="000000"/>
                <w:kern w:val="0"/>
                <w:sz w:val="24"/>
                <w:highlight w:val="none"/>
              </w:rPr>
              <w:t>在滁州市公共资源交易中心网站</w:t>
            </w:r>
            <w:r>
              <w:rPr>
                <w:rFonts w:hint="eastAsia" w:ascii="宋体" w:hAnsi="宋体" w:cs="宋体"/>
                <w:color w:val="000000"/>
                <w:sz w:val="24"/>
                <w:highlight w:val="none"/>
              </w:rPr>
              <w:t xml:space="preserve"> “答疑澄清文件”栏目予以公告</w:t>
            </w:r>
            <w:r>
              <w:rPr>
                <w:rFonts w:hint="eastAsia" w:ascii="宋体" w:hAnsi="宋体" w:cs="宋体"/>
                <w:color w:val="000000"/>
                <w:kern w:val="0"/>
                <w:sz w:val="24"/>
                <w:highlight w:val="none"/>
              </w:rPr>
              <w:t>。</w:t>
            </w:r>
          </w:p>
        </w:tc>
      </w:tr>
      <w:tr w14:paraId="6A876218">
        <w:tblPrEx>
          <w:tblCellMar>
            <w:top w:w="0" w:type="dxa"/>
            <w:left w:w="108" w:type="dxa"/>
            <w:bottom w:w="0" w:type="dxa"/>
            <w:right w:w="108" w:type="dxa"/>
          </w:tblCellMar>
        </w:tblPrEx>
        <w:trPr>
          <w:trHeight w:val="681"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5C75AE39">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3.2.1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335D0E8A">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color w:val="000000"/>
                <w:sz w:val="24"/>
                <w:highlight w:val="none"/>
              </w:rPr>
              <w:t>增值税税金</w:t>
            </w:r>
          </w:p>
        </w:tc>
        <w:tc>
          <w:tcPr>
            <w:tcW w:w="7175" w:type="dxa"/>
            <w:tcBorders>
              <w:top w:val="single" w:color="auto" w:sz="4" w:space="0"/>
              <w:left w:val="single" w:color="auto" w:sz="4" w:space="0"/>
              <w:bottom w:val="single" w:color="auto" w:sz="4" w:space="0"/>
              <w:right w:val="single" w:color="auto" w:sz="4" w:space="0"/>
            </w:tcBorders>
            <w:noWrap w:val="0"/>
            <w:vAlign w:val="top"/>
          </w:tcPr>
          <w:p w14:paraId="01DA1444">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bCs/>
                <w:snapToGrid w:val="0"/>
                <w:color w:val="000000"/>
                <w:kern w:val="0"/>
                <w:sz w:val="24"/>
                <w:highlight w:val="none"/>
              </w:rPr>
            </w:pPr>
            <w:r>
              <w:rPr>
                <w:rFonts w:hint="eastAsia" w:ascii="宋体" w:hAnsi="宋体" w:cs="宋体"/>
                <w:bCs/>
                <w:snapToGrid w:val="0"/>
                <w:color w:val="000000"/>
                <w:kern w:val="0"/>
                <w:sz w:val="24"/>
                <w:highlight w:val="none"/>
              </w:rPr>
              <w:t>（1）计税方法：一般计税方法</w:t>
            </w:r>
          </w:p>
          <w:p w14:paraId="1C6BAD33">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bCs/>
                <w:snapToGrid w:val="0"/>
                <w:color w:val="000000"/>
                <w:kern w:val="0"/>
                <w:sz w:val="24"/>
                <w:highlight w:val="none"/>
                <w:u w:val="single"/>
              </w:rPr>
            </w:pPr>
            <w:r>
              <w:rPr>
                <w:rFonts w:hint="eastAsia" w:ascii="宋体" w:hAnsi="宋体" w:cs="宋体"/>
                <w:bCs/>
                <w:snapToGrid w:val="0"/>
                <w:color w:val="000000"/>
                <w:kern w:val="0"/>
                <w:sz w:val="24"/>
                <w:highlight w:val="none"/>
              </w:rPr>
              <w:t>（2）发票类型：增值税专用发票</w:t>
            </w:r>
          </w:p>
          <w:p w14:paraId="6F2FDE23">
            <w:pPr>
              <w:keepNext w:val="0"/>
              <w:keepLines w:val="0"/>
              <w:pageBreakBefore w:val="0"/>
              <w:numPr>
                <w:ilvl w:val="0"/>
                <w:numId w:val="2"/>
              </w:numPr>
              <w:kinsoku/>
              <w:wordWrap/>
              <w:overflowPunct/>
              <w:autoSpaceDE/>
              <w:autoSpaceDN/>
              <w:bidi w:val="0"/>
              <w:adjustRightInd w:val="0"/>
              <w:snapToGrid w:val="0"/>
              <w:spacing w:line="440" w:lineRule="exact"/>
              <w:textAlignment w:val="auto"/>
              <w:rPr>
                <w:rFonts w:ascii="宋体" w:hAnsi="宋体" w:cs="宋体"/>
                <w:bCs/>
                <w:snapToGrid w:val="0"/>
                <w:color w:val="000000"/>
                <w:kern w:val="0"/>
                <w:sz w:val="24"/>
                <w:highlight w:val="none"/>
              </w:rPr>
            </w:pPr>
            <w:r>
              <w:rPr>
                <w:rFonts w:hint="eastAsia" w:ascii="宋体" w:hAnsi="宋体" w:cs="宋体"/>
                <w:bCs/>
                <w:snapToGrid w:val="0"/>
                <w:color w:val="000000"/>
                <w:kern w:val="0"/>
                <w:sz w:val="24"/>
                <w:highlight w:val="none"/>
              </w:rPr>
              <w:t>增值税税率按照国家有关规定执行。</w:t>
            </w:r>
          </w:p>
          <w:p w14:paraId="6AB03992">
            <w:pPr>
              <w:pStyle w:val="8"/>
              <w:keepNext w:val="0"/>
              <w:keepLines w:val="0"/>
              <w:pageBreakBefore w:val="0"/>
              <w:kinsoku/>
              <w:wordWrap/>
              <w:overflowPunct/>
              <w:topLinePunct/>
              <w:autoSpaceDE/>
              <w:autoSpaceDN/>
              <w:bidi w:val="0"/>
              <w:adjustRightInd w:val="0"/>
              <w:snapToGrid w:val="0"/>
              <w:spacing w:line="440" w:lineRule="exact"/>
              <w:ind w:firstLine="600" w:firstLineChars="250"/>
              <w:textAlignment w:val="auto"/>
              <w:rPr>
                <w:rFonts w:hAnsi="宋体" w:cs="宋体"/>
                <w:color w:val="000000"/>
                <w:kern w:val="0"/>
                <w:szCs w:val="24"/>
                <w:highlight w:val="none"/>
              </w:rPr>
            </w:pPr>
            <w:r>
              <w:rPr>
                <w:rFonts w:hint="eastAsia" w:hAnsi="宋体" w:cs="宋体"/>
                <w:bCs/>
                <w:snapToGrid w:val="0"/>
                <w:color w:val="000000"/>
                <w:kern w:val="0"/>
                <w:szCs w:val="24"/>
                <w:highlight w:val="none"/>
              </w:rPr>
              <w:t>其它：</w:t>
            </w:r>
            <w:r>
              <w:rPr>
                <w:rFonts w:hint="eastAsia" w:hAnsi="宋体" w:cs="宋体"/>
                <w:bCs/>
                <w:snapToGrid w:val="0"/>
                <w:color w:val="000000"/>
                <w:kern w:val="0"/>
                <w:szCs w:val="24"/>
                <w:highlight w:val="none"/>
                <w:u w:val="single"/>
                <w:lang w:val="en-US" w:eastAsia="zh-CN"/>
              </w:rPr>
              <w:t xml:space="preserve"> /</w:t>
            </w:r>
            <w:r>
              <w:rPr>
                <w:rFonts w:hint="eastAsia" w:hAnsi="宋体" w:cs="宋体"/>
                <w:bCs/>
                <w:snapToGrid w:val="0"/>
                <w:color w:val="000000"/>
                <w:kern w:val="0"/>
                <w:szCs w:val="24"/>
                <w:highlight w:val="none"/>
              </w:rPr>
              <w:t xml:space="preserve"> 。</w:t>
            </w:r>
          </w:p>
        </w:tc>
      </w:tr>
      <w:tr w14:paraId="292FD533">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1B9AEF12">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3.2.4</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03616256">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b/>
                <w:bCs/>
                <w:color w:val="000000"/>
                <w:sz w:val="24"/>
                <w:highlight w:val="none"/>
              </w:rPr>
              <w:t>最高投标限价</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4E8572A1">
            <w:pPr>
              <w:keepNext w:val="0"/>
              <w:keepLines w:val="0"/>
              <w:pageBreakBefore w:val="0"/>
              <w:numPr>
                <w:ilvl w:val="0"/>
                <w:numId w:val="3"/>
              </w:numPr>
              <w:kinsoku/>
              <w:wordWrap/>
              <w:overflowPunct/>
              <w:autoSpaceDE/>
              <w:autoSpaceDN/>
              <w:bidi w:val="0"/>
              <w:adjustRightInd w:val="0"/>
              <w:snapToGrid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投标人应仔细阅读招标文件及招标人提供的</w:t>
            </w:r>
            <w:r>
              <w:rPr>
                <w:rFonts w:hint="eastAsia" w:ascii="宋体" w:hAnsi="宋体" w:cs="宋体"/>
                <w:color w:val="000000"/>
                <w:sz w:val="24"/>
                <w:highlight w:val="none"/>
                <w:lang w:val="en-US" w:eastAsia="zh-CN"/>
              </w:rPr>
              <w:t>方案设计、工程量清单</w:t>
            </w:r>
            <w:r>
              <w:rPr>
                <w:rFonts w:hint="eastAsia" w:ascii="宋体" w:hAnsi="宋体" w:eastAsia="宋体" w:cs="宋体"/>
                <w:color w:val="000000"/>
                <w:sz w:val="24"/>
                <w:highlight w:val="none"/>
                <w:lang w:val="en-US" w:eastAsia="zh-CN"/>
              </w:rPr>
              <w:t>，了解拟投标合同段的全部工程内容，根据深化优化后的方案及施工图</w:t>
            </w:r>
            <w:r>
              <w:rPr>
                <w:rFonts w:hint="eastAsia" w:ascii="宋体" w:hAnsi="宋体" w:cs="宋体"/>
                <w:color w:val="000000"/>
                <w:sz w:val="24"/>
                <w:highlight w:val="none"/>
                <w:lang w:val="en-US" w:eastAsia="zh-CN"/>
              </w:rPr>
              <w:t>填报投标下浮率，投标下浮率</w:t>
            </w:r>
            <w:r>
              <w:rPr>
                <w:rFonts w:hint="eastAsia" w:ascii="宋体" w:hAnsi="宋体" w:eastAsia="宋体" w:cs="宋体"/>
                <w:color w:val="000000"/>
                <w:kern w:val="0"/>
                <w:sz w:val="24"/>
                <w:highlight w:val="none"/>
              </w:rPr>
              <w:t>≥</w:t>
            </w:r>
            <w:r>
              <w:rPr>
                <w:rFonts w:hint="eastAsia" w:ascii="宋体" w:hAnsi="宋体" w:cs="宋体"/>
                <w:color w:val="000000"/>
                <w:sz w:val="24"/>
                <w:highlight w:val="none"/>
                <w:lang w:val="en-US" w:eastAsia="zh-CN"/>
              </w:rPr>
              <w:t>8%</w:t>
            </w:r>
            <w:r>
              <w:rPr>
                <w:rFonts w:hint="eastAsia" w:ascii="宋体" w:hAnsi="宋体" w:eastAsia="宋体" w:cs="宋体"/>
                <w:color w:val="000000"/>
                <w:sz w:val="24"/>
                <w:highlight w:val="none"/>
                <w:lang w:val="en-US" w:eastAsia="zh-CN"/>
              </w:rPr>
              <w:t>。</w:t>
            </w:r>
          </w:p>
          <w:p w14:paraId="429112A8">
            <w:pPr>
              <w:keepNext w:val="0"/>
              <w:keepLines w:val="0"/>
              <w:pageBreakBefore w:val="0"/>
              <w:numPr>
                <w:ilvl w:val="0"/>
                <w:numId w:val="3"/>
              </w:numPr>
              <w:kinsoku/>
              <w:wordWrap/>
              <w:overflowPunct/>
              <w:autoSpaceDE/>
              <w:autoSpaceDN/>
              <w:bidi w:val="0"/>
              <w:adjustRightInd w:val="0"/>
              <w:snapToGrid w:val="0"/>
              <w:spacing w:line="440" w:lineRule="exact"/>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投标人不得修改招标人发布的工程量清单，</w:t>
            </w:r>
            <w:r>
              <w:rPr>
                <w:rFonts w:hint="eastAsia" w:ascii="宋体" w:hAnsi="宋体" w:eastAsia="宋体" w:cs="宋体"/>
                <w:color w:val="000000"/>
                <w:sz w:val="24"/>
                <w:highlight w:val="none"/>
                <w:lang w:val="en-US" w:eastAsia="zh-CN"/>
              </w:rPr>
              <w:t>投标人的投标</w:t>
            </w:r>
            <w:r>
              <w:rPr>
                <w:rFonts w:hint="eastAsia" w:ascii="宋体" w:hAnsi="宋体" w:cs="宋体"/>
                <w:color w:val="000000"/>
                <w:sz w:val="24"/>
                <w:highlight w:val="none"/>
                <w:lang w:val="en-US" w:eastAsia="zh-CN"/>
              </w:rPr>
              <w:t>下浮率</w:t>
            </w:r>
            <w:r>
              <w:rPr>
                <w:rFonts w:hint="eastAsia" w:ascii="宋体" w:hAnsi="宋体" w:eastAsia="宋体" w:cs="宋体"/>
                <w:color w:val="000000"/>
                <w:sz w:val="24"/>
                <w:highlight w:val="none"/>
                <w:lang w:val="en-US" w:eastAsia="zh-CN"/>
              </w:rPr>
              <w:t xml:space="preserve">应是招标文件所确定的招标范围内全部工程内容的价格体现。 </w:t>
            </w:r>
          </w:p>
          <w:p w14:paraId="56C313BA">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3.</w:t>
            </w:r>
            <w:r>
              <w:rPr>
                <w:rFonts w:hint="eastAsia" w:ascii="宋体" w:hAnsi="宋体" w:eastAsia="宋体" w:cs="宋体"/>
                <w:color w:val="000000"/>
                <w:kern w:val="0"/>
                <w:sz w:val="24"/>
                <w:highlight w:val="none"/>
                <w:lang w:val="en-US" w:eastAsia="zh-CN"/>
              </w:rPr>
              <w:t>合同价=控制价*（1-中标下浮率）+（暂列金+暂估价）*1.09*中标下浮率。</w:t>
            </w:r>
          </w:p>
          <w:p w14:paraId="1B7242AE">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4.</w:t>
            </w:r>
            <w:r>
              <w:rPr>
                <w:rFonts w:hint="eastAsia" w:ascii="宋体" w:hAnsi="宋体" w:eastAsia="宋体" w:cs="宋体"/>
                <w:color w:val="000000"/>
                <w:kern w:val="0"/>
                <w:sz w:val="24"/>
                <w:highlight w:val="none"/>
                <w:lang w:val="en-US" w:eastAsia="zh-CN"/>
              </w:rPr>
              <w:t>工程量清单编制的一般规定</w:t>
            </w:r>
          </w:p>
          <w:p w14:paraId="2681B9D2">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lang w:val="en-US" w:eastAsia="zh-CN"/>
              </w:rPr>
            </w:pPr>
            <w:r>
              <w:rPr>
                <w:rFonts w:hint="eastAsia" w:ascii="宋体" w:hAnsi="宋体" w:eastAsia="宋体" w:cs="宋体"/>
                <w:color w:val="000000"/>
                <w:kern w:val="0"/>
                <w:sz w:val="24"/>
                <w:highlight w:val="none"/>
                <w:lang w:val="en-US" w:eastAsia="zh-CN"/>
              </w:rPr>
              <w:t>工程量清单应由具有编制能力的招标人，或招标人委托具有相应资质的工程造价咨询机构，依据现行 2018 版《安徽省建设工程工程量清单计价依据》、《2018 版安徽省建设工程计价依据修订内容》</w:t>
            </w:r>
            <w:r>
              <w:rPr>
                <w:rFonts w:hint="eastAsia" w:ascii="宋体" w:hAnsi="宋体" w:cs="宋体"/>
                <w:color w:val="000000"/>
                <w:kern w:val="0"/>
                <w:sz w:val="24"/>
                <w:highlight w:val="none"/>
                <w:lang w:val="en-US" w:eastAsia="zh-CN"/>
              </w:rPr>
              <w:t>、《安徽省房屋修缮工程计价定额》</w:t>
            </w:r>
            <w:r>
              <w:rPr>
                <w:rFonts w:hint="eastAsia" w:ascii="宋体" w:hAnsi="宋体" w:eastAsia="宋体" w:cs="宋体"/>
                <w:color w:val="000000"/>
                <w:kern w:val="0"/>
                <w:sz w:val="24"/>
                <w:highlight w:val="none"/>
                <w:lang w:val="en-US" w:eastAsia="zh-CN"/>
              </w:rPr>
              <w:t>编制。</w:t>
            </w:r>
          </w:p>
          <w:p w14:paraId="0353EF27">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cs="宋体"/>
                <w:color w:val="000000"/>
                <w:kern w:val="0"/>
                <w:sz w:val="24"/>
                <w:highlight w:val="none"/>
                <w:lang w:val="en-US" w:eastAsia="zh-CN"/>
              </w:rPr>
              <w:t>5.</w:t>
            </w:r>
            <w:r>
              <w:rPr>
                <w:rFonts w:hint="eastAsia" w:ascii="宋体" w:hAnsi="宋体" w:eastAsia="宋体" w:cs="宋体"/>
                <w:color w:val="000000"/>
                <w:kern w:val="0"/>
                <w:sz w:val="24"/>
                <w:highlight w:val="none"/>
                <w:lang w:val="en-US" w:eastAsia="zh-CN"/>
              </w:rPr>
              <w:t xml:space="preserve">最高投标限价编制的一般规定 </w:t>
            </w:r>
          </w:p>
          <w:p w14:paraId="1FF0F29E">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（1）最高投标限价应由具有编制能力的招标人，或招标人委托具有相应能力的工程造价咨询机构，依据现行 2018 版《安徽省建设工程工程量清单计价依据》、《2018 版安徽省建设工程计价依据修订内容》</w:t>
            </w:r>
            <w:r>
              <w:rPr>
                <w:rFonts w:hint="eastAsia" w:ascii="宋体" w:hAnsi="宋体" w:cs="宋体"/>
                <w:color w:val="000000"/>
                <w:kern w:val="0"/>
                <w:sz w:val="24"/>
                <w:highlight w:val="none"/>
                <w:lang w:val="en-US" w:eastAsia="zh-CN"/>
              </w:rPr>
              <w:t>、《安徽省房屋修缮工程计价定额》</w:t>
            </w:r>
            <w:r>
              <w:rPr>
                <w:rFonts w:hint="eastAsia" w:ascii="宋体" w:hAnsi="宋体" w:eastAsia="宋体" w:cs="宋体"/>
                <w:color w:val="000000"/>
                <w:kern w:val="0"/>
                <w:sz w:val="24"/>
                <w:highlight w:val="none"/>
                <w:lang w:val="en-US" w:eastAsia="zh-CN"/>
              </w:rPr>
              <w:t xml:space="preserve">编制。编制完成后须经招标人委托的第三方复审单位审核后，招标人、中标人双方共同确认。 </w:t>
            </w:r>
          </w:p>
          <w:p w14:paraId="0C739DCD">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（2）最高投标限价及中标下浮率作为本项目支付进度款的依据。 </w:t>
            </w:r>
          </w:p>
          <w:p w14:paraId="2A633305">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cs="宋体"/>
                <w:color w:val="000000"/>
                <w:kern w:val="0"/>
                <w:sz w:val="24"/>
                <w:highlight w:val="none"/>
                <w:lang w:val="en-US" w:eastAsia="zh-CN"/>
              </w:rPr>
              <w:t>6.</w:t>
            </w:r>
            <w:r>
              <w:rPr>
                <w:rFonts w:hint="eastAsia" w:ascii="宋体" w:hAnsi="宋体" w:eastAsia="宋体" w:cs="宋体"/>
                <w:color w:val="000000"/>
                <w:kern w:val="0"/>
                <w:sz w:val="24"/>
                <w:highlight w:val="none"/>
                <w:lang w:val="en-US" w:eastAsia="zh-CN"/>
              </w:rPr>
              <w:t xml:space="preserve">工程量清单、最高投标限价的编制依据 </w:t>
            </w:r>
          </w:p>
          <w:p w14:paraId="232C5A19">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（1）工程量清单的编制 </w:t>
            </w:r>
          </w:p>
          <w:p w14:paraId="093DACFD">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工程量清单编制依据《建设工程工程量清单计价规范》（GB50500-2013）、《2018版安徽省建设工程计价依据修订内容》</w:t>
            </w:r>
            <w:r>
              <w:rPr>
                <w:rFonts w:hint="eastAsia" w:ascii="宋体" w:hAnsi="宋体" w:cs="宋体"/>
                <w:color w:val="000000"/>
                <w:kern w:val="0"/>
                <w:sz w:val="24"/>
                <w:highlight w:val="none"/>
                <w:lang w:val="en-US" w:eastAsia="zh-CN"/>
              </w:rPr>
              <w:t>、《安徽省房屋修缮工程计价定额》</w:t>
            </w:r>
            <w:r>
              <w:rPr>
                <w:rFonts w:hint="eastAsia" w:ascii="宋体" w:hAnsi="宋体" w:eastAsia="宋体" w:cs="宋体"/>
                <w:color w:val="000000"/>
                <w:kern w:val="0"/>
                <w:sz w:val="24"/>
                <w:highlight w:val="none"/>
                <w:lang w:val="en-US" w:eastAsia="zh-CN"/>
              </w:rPr>
              <w:t xml:space="preserve">和相关工程的国家计量规范；国家或省级、行业建设主管部门颁发的计价定额和办法；建设工程设计文件及相关资料；与建设工程有关的标准、规范、技术资料；拟定的招标文件；施工现场情况、地勘水文资料、工程特点及常规施工方案；其他相关资料。经审查后的施工图设计文件和相关技术资料、省清单计价规范、施工场地条件和工程构造的具体特征等编制。 </w:t>
            </w:r>
          </w:p>
          <w:p w14:paraId="57977C4F">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（2）最高投标限价的编制依据 </w:t>
            </w:r>
          </w:p>
          <w:p w14:paraId="35F70B8A">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①最高投标限价应当依据《建设工程工程量清单计价规范》（GB50500-2013）、《2018 版安徽省建设工程计价依据修订内容》</w:t>
            </w:r>
            <w:r>
              <w:rPr>
                <w:rFonts w:hint="eastAsia" w:ascii="宋体" w:hAnsi="宋体" w:cs="宋体"/>
                <w:color w:val="000000"/>
                <w:kern w:val="0"/>
                <w:sz w:val="24"/>
                <w:highlight w:val="none"/>
                <w:lang w:val="en-US" w:eastAsia="zh-CN"/>
              </w:rPr>
              <w:t>、《安徽省房屋修缮工程计价定额》</w:t>
            </w:r>
            <w:r>
              <w:rPr>
                <w:rFonts w:hint="eastAsia" w:ascii="宋体" w:hAnsi="宋体" w:eastAsia="宋体" w:cs="宋体"/>
                <w:color w:val="000000"/>
                <w:kern w:val="0"/>
                <w:sz w:val="24"/>
                <w:highlight w:val="none"/>
                <w:lang w:val="en-US" w:eastAsia="zh-CN"/>
              </w:rPr>
              <w:t xml:space="preserve">；国家或省级、行业建设主管部门颁发的计价定额和办法；建设工程设计文件及相关资料；拟定的招标文件及工程量清单；与建设工程有关的标准、规范、技术资料；施工现场情况、工程特点及常规施工方案；工程造价管理机构发布的工程造价信息，当工程造价信息没有发布时，根据金额大小由发包人组织询价或招标；其他相关资料。工程量清单、招标文件有关要求、施工现场实际情况、合理的施工方法和 2018 版《安徽省建设工程工程量清单计价依据》以及工程造价管理机构发布的工程造价信息等进行编制。 </w:t>
            </w:r>
          </w:p>
          <w:p w14:paraId="037EDEBE">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lang w:val="en-US" w:eastAsia="zh-CN"/>
              </w:rPr>
            </w:pPr>
            <w:r>
              <w:rPr>
                <w:rFonts w:hint="eastAsia" w:ascii="宋体" w:hAnsi="宋体" w:eastAsia="宋体" w:cs="宋体"/>
                <w:color w:val="000000"/>
                <w:kern w:val="0"/>
                <w:sz w:val="24"/>
                <w:highlight w:val="none"/>
                <w:lang w:val="en-US" w:eastAsia="zh-CN"/>
              </w:rPr>
              <w:t>②编制最高投标限价时，材料价格采用滁州市建设工程造价管理站发布的《滁州市工程造价信息》【（</w:t>
            </w:r>
            <w:r>
              <w:rPr>
                <w:rFonts w:hint="eastAsia" w:ascii="宋体" w:hAnsi="宋体" w:cs="宋体"/>
                <w:color w:val="000000"/>
                <w:kern w:val="0"/>
                <w:sz w:val="24"/>
                <w:highlight w:val="none"/>
                <w:lang w:val="en-US" w:eastAsia="zh-CN"/>
              </w:rPr>
              <w:t>2025年第5期</w:t>
            </w:r>
            <w:r>
              <w:rPr>
                <w:rFonts w:hint="eastAsia" w:ascii="宋体" w:hAnsi="宋体" w:eastAsia="宋体" w:cs="宋体"/>
                <w:color w:val="000000"/>
                <w:kern w:val="0"/>
                <w:sz w:val="24"/>
                <w:highlight w:val="none"/>
                <w:lang w:val="en-US" w:eastAsia="zh-CN"/>
              </w:rPr>
              <w:t>不含税材料价格）】中相对应的价格进行编制。滁州信息价没有的，依次参照南京、合肥信息价及广材网，以实际施工期间算术平均价按中标下浮率下浮后作为合同价；上述价格也没有的，参照我市同期招标中标价格（不下浮）；无信息价且无同期招标中标价的，则根据金额大小由发包人和承包人共同招标或询价，招标或询价价格不再下浮。</w:t>
            </w:r>
          </w:p>
          <w:p w14:paraId="5F59B040">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cs="宋体"/>
                <w:color w:val="000000"/>
                <w:kern w:val="0"/>
                <w:sz w:val="24"/>
                <w:highlight w:val="none"/>
                <w:lang w:val="en-US" w:eastAsia="zh-CN"/>
              </w:rPr>
              <w:t>7.</w:t>
            </w:r>
            <w:r>
              <w:rPr>
                <w:rFonts w:hint="eastAsia" w:ascii="宋体" w:hAnsi="宋体" w:eastAsia="宋体" w:cs="宋体"/>
                <w:color w:val="000000"/>
                <w:kern w:val="0"/>
                <w:sz w:val="24"/>
                <w:highlight w:val="none"/>
                <w:lang w:val="en-US" w:eastAsia="zh-CN"/>
              </w:rPr>
              <w:t xml:space="preserve">计价依据： </w:t>
            </w:r>
          </w:p>
          <w:p w14:paraId="71BBAF96">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(1) 2018 版《安徽省建设工程工程量清单计价办法》； </w:t>
            </w:r>
          </w:p>
          <w:p w14:paraId="18122994">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(2) 2018 版《安徽省建设工程施工机械台班费用编制规则》； </w:t>
            </w:r>
          </w:p>
          <w:p w14:paraId="266A43E8">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(3) 2018 版《安徽省建设工程计价定额(共用册）》； </w:t>
            </w:r>
          </w:p>
          <w:p w14:paraId="145B4A0B">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(4) 2018 版《安徽省建筑工程计价定额》； </w:t>
            </w:r>
          </w:p>
          <w:p w14:paraId="0B9C30DA">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(5) 2018 版《安徽省装饰装修工程计价定额》； </w:t>
            </w:r>
          </w:p>
          <w:p w14:paraId="4CF250C1">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(6) 2018 版《安徽省安装工程计价定额》； </w:t>
            </w:r>
          </w:p>
          <w:p w14:paraId="3D81D795">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(7) 2018 版《安徽省市政工程计价定额》； </w:t>
            </w:r>
          </w:p>
          <w:p w14:paraId="21139461">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(8) 2018 版《安徽省园林绿化工程计价定额》； </w:t>
            </w:r>
          </w:p>
          <w:p w14:paraId="28DE1BD9">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(9) 2018 版《安徽省仿古建筑工程计价定额》； </w:t>
            </w:r>
          </w:p>
          <w:p w14:paraId="6EFD7B03">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 xml:space="preserve">(10) 2018 版《安徽省建设工程费用定额》； </w:t>
            </w:r>
          </w:p>
          <w:p w14:paraId="5D6893BC">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lang w:val="en-US" w:eastAsia="zh-CN"/>
              </w:rPr>
            </w:pPr>
            <w:r>
              <w:rPr>
                <w:rFonts w:hint="eastAsia" w:ascii="宋体" w:hAnsi="宋体" w:eastAsia="宋体" w:cs="宋体"/>
                <w:color w:val="000000"/>
                <w:kern w:val="0"/>
                <w:sz w:val="24"/>
                <w:highlight w:val="none"/>
                <w:lang w:val="en-US" w:eastAsia="zh-CN"/>
              </w:rPr>
              <w:t>(11)《2018 版安徽省建设工程计价依据修订内容》；</w:t>
            </w:r>
          </w:p>
          <w:p w14:paraId="6E205609">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en-US" w:eastAsia="zh-CN"/>
              </w:rPr>
              <w:t>(13)</w:t>
            </w:r>
            <w:r>
              <w:rPr>
                <w:rFonts w:hint="eastAsia" w:ascii="宋体" w:hAnsi="宋体" w:cs="宋体"/>
                <w:color w:val="000000"/>
                <w:kern w:val="0"/>
                <w:sz w:val="24"/>
                <w:highlight w:val="none"/>
                <w:lang w:val="en-US" w:eastAsia="zh-CN"/>
              </w:rPr>
              <w:t>《安徽</w:t>
            </w:r>
            <w:r>
              <w:rPr>
                <w:rFonts w:hint="eastAsia" w:ascii="宋体" w:hAnsi="宋体" w:eastAsia="宋体" w:cs="宋体"/>
                <w:color w:val="000000"/>
                <w:kern w:val="0"/>
                <w:sz w:val="24"/>
                <w:highlight w:val="none"/>
                <w:lang w:val="en-US" w:eastAsia="zh-CN"/>
              </w:rPr>
              <w:t>省房屋修缮工程计价定额》 ；</w:t>
            </w:r>
          </w:p>
          <w:p w14:paraId="11A50139">
            <w:pPr>
              <w:keepNext w:val="0"/>
              <w:keepLines w:val="0"/>
              <w:pageBreakBefore w:val="0"/>
              <w:kinsoku/>
              <w:wordWrap/>
              <w:overflowPunct/>
              <w:autoSpaceDE/>
              <w:autoSpaceDN/>
              <w:bidi w:val="0"/>
              <w:adjustRightInd w:val="0"/>
              <w:snapToGrid w:val="0"/>
              <w:spacing w:line="440" w:lineRule="exact"/>
              <w:jc w:val="left"/>
              <w:textAlignment w:val="auto"/>
              <w:rPr>
                <w:rFonts w:hint="default" w:ascii="宋体" w:hAnsi="宋体" w:eastAsia="宋体" w:cs="宋体"/>
                <w:b/>
                <w:bCs/>
                <w:color w:val="000000"/>
                <w:kern w:val="0"/>
                <w:sz w:val="24"/>
                <w:highlight w:val="none"/>
                <w:lang w:val="en-US" w:eastAsia="zh-CN"/>
              </w:rPr>
            </w:pPr>
            <w:r>
              <w:rPr>
                <w:rFonts w:hint="eastAsia" w:ascii="宋体" w:hAnsi="宋体" w:eastAsia="宋体" w:cs="宋体"/>
                <w:color w:val="000000"/>
                <w:kern w:val="0"/>
                <w:sz w:val="24"/>
                <w:highlight w:val="none"/>
                <w:lang w:val="en-US" w:eastAsia="zh-CN"/>
              </w:rPr>
              <w:t xml:space="preserve">(12) </w:t>
            </w:r>
            <w:r>
              <w:rPr>
                <w:rFonts w:hint="eastAsia" w:ascii="宋体" w:hAnsi="宋体" w:eastAsia="宋体" w:cs="宋体"/>
                <w:sz w:val="24"/>
                <w:szCs w:val="24"/>
              </w:rPr>
              <w:t>截止20</w:t>
            </w:r>
            <w:r>
              <w:rPr>
                <w:rFonts w:hint="eastAsia" w:ascii="宋体" w:hAnsi="宋体" w:eastAsia="宋体" w:cs="宋体"/>
                <w:sz w:val="24"/>
                <w:szCs w:val="24"/>
                <w:lang w:val="en-US" w:eastAsia="zh-CN"/>
              </w:rPr>
              <w:t>25</w:t>
            </w:r>
            <w:r>
              <w:rPr>
                <w:rFonts w:hint="eastAsia" w:ascii="宋体" w:hAnsi="宋体" w:eastAsia="宋体" w:cs="宋体"/>
                <w:sz w:val="24"/>
                <w:szCs w:val="24"/>
              </w:rPr>
              <w:t>年</w:t>
            </w:r>
            <w:r>
              <w:rPr>
                <w:rFonts w:hint="eastAsia" w:ascii="宋体" w:hAnsi="宋体" w:eastAsia="宋体" w:cs="宋体"/>
                <w:sz w:val="24"/>
                <w:szCs w:val="24"/>
                <w:lang w:val="en-US" w:eastAsia="zh-CN"/>
              </w:rPr>
              <w:t>6</w:t>
            </w:r>
            <w:r>
              <w:rPr>
                <w:rFonts w:hint="eastAsia" w:ascii="宋体" w:hAnsi="宋体" w:eastAsia="宋体" w:cs="宋体"/>
                <w:sz w:val="24"/>
                <w:szCs w:val="24"/>
              </w:rPr>
              <w:t>月</w:t>
            </w:r>
            <w:r>
              <w:rPr>
                <w:rFonts w:hint="eastAsia" w:ascii="宋体" w:hAnsi="宋体" w:cs="宋体"/>
                <w:sz w:val="24"/>
                <w:szCs w:val="24"/>
              </w:rPr>
              <w:t>的省市有关政策性文件</w:t>
            </w:r>
            <w:r>
              <w:rPr>
                <w:rFonts w:hint="eastAsia" w:ascii="宋体" w:hAnsi="宋体" w:eastAsia="宋体" w:cs="宋体"/>
                <w:color w:val="000000"/>
                <w:kern w:val="0"/>
                <w:sz w:val="24"/>
                <w:highlight w:val="none"/>
              </w:rPr>
              <w:t>。</w:t>
            </w:r>
          </w:p>
        </w:tc>
      </w:tr>
      <w:tr w14:paraId="2D77B71C">
        <w:tblPrEx>
          <w:tblCellMar>
            <w:top w:w="0" w:type="dxa"/>
            <w:left w:w="108" w:type="dxa"/>
            <w:bottom w:w="0" w:type="dxa"/>
            <w:right w:w="108" w:type="dxa"/>
          </w:tblCellMar>
        </w:tblPrEx>
        <w:trPr>
          <w:trHeight w:val="681"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31F6870F">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3.2.5</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172A0182">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投标报价的</w:t>
            </w:r>
          </w:p>
          <w:p w14:paraId="6DEFFAF4">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其他要求</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00BDED6E">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lang w:val="en-US" w:eastAsia="zh-CN"/>
              </w:rPr>
            </w:pPr>
            <w:r>
              <w:rPr>
                <w:rFonts w:hint="eastAsia" w:ascii="宋体" w:hAnsi="宋体" w:eastAsia="宋体" w:cs="宋体"/>
                <w:color w:val="000000"/>
                <w:kern w:val="0"/>
                <w:sz w:val="24"/>
                <w:highlight w:val="none"/>
                <w:lang w:val="en-US" w:eastAsia="zh-CN"/>
              </w:rPr>
              <w:t xml:space="preserve">1.投标报价（下浮率）包含但不限于完成方案深化设计、施工图设计、施工图审查、后期图纸调整、本项目设计内容中所有工程施工、工程所需设备采购供货、材料保管、移交和缺陷责任期的技术服务与缺陷修复、保修期内的保修工作等全部费用。 </w:t>
            </w:r>
          </w:p>
          <w:p w14:paraId="768F8C35">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lang w:val="en-US" w:eastAsia="zh-CN"/>
              </w:rPr>
            </w:pPr>
            <w:r>
              <w:rPr>
                <w:rFonts w:hint="eastAsia" w:ascii="宋体" w:hAnsi="宋体" w:eastAsia="宋体" w:cs="宋体"/>
                <w:color w:val="000000"/>
                <w:kern w:val="0"/>
                <w:sz w:val="24"/>
                <w:highlight w:val="none"/>
                <w:lang w:val="en-US" w:eastAsia="zh-CN"/>
              </w:rPr>
              <w:t xml:space="preserve">2.中标人所提供的方案深化设计须经招标人认可后，方可继续进行施工图设计。 </w:t>
            </w:r>
          </w:p>
          <w:p w14:paraId="44517F83">
            <w:pPr>
              <w:keepNext w:val="0"/>
              <w:keepLines w:val="0"/>
              <w:pageBreakBefore w:val="0"/>
              <w:kinsoku/>
              <w:wordWrap/>
              <w:overflowPunct/>
              <w:autoSpaceDE/>
              <w:autoSpaceDN/>
              <w:bidi w:val="0"/>
              <w:adjustRightInd w:val="0"/>
              <w:snapToGrid w:val="0"/>
              <w:spacing w:line="440" w:lineRule="exact"/>
              <w:jc w:val="left"/>
              <w:textAlignment w:val="auto"/>
              <w:rPr>
                <w:rFonts w:hint="eastAsia" w:ascii="宋体" w:hAnsi="宋体" w:eastAsia="宋体" w:cs="宋体"/>
                <w:color w:val="000000"/>
                <w:kern w:val="0"/>
                <w:sz w:val="24"/>
                <w:highlight w:val="none"/>
                <w:lang w:val="en-US" w:eastAsia="zh-CN"/>
              </w:rPr>
            </w:pPr>
            <w:r>
              <w:rPr>
                <w:rFonts w:hint="eastAsia" w:ascii="宋体" w:hAnsi="宋体" w:eastAsia="宋体" w:cs="宋体"/>
                <w:color w:val="000000"/>
                <w:kern w:val="0"/>
                <w:sz w:val="24"/>
                <w:highlight w:val="none"/>
                <w:lang w:val="en-US" w:eastAsia="zh-CN"/>
              </w:rPr>
              <w:t>3.中标后招标人有权要求其根据项目的实际情况进行调整（优化）设计，中标单位需按招标人要求对其设计方案进行修改且必须经招标人认可。</w:t>
            </w:r>
          </w:p>
          <w:p w14:paraId="41B50193">
            <w:pPr>
              <w:keepNext w:val="0"/>
              <w:keepLines w:val="0"/>
              <w:pageBreakBefore w:val="0"/>
              <w:numPr>
                <w:ilvl w:val="0"/>
                <w:numId w:val="0"/>
              </w:numPr>
              <w:kinsoku/>
              <w:wordWrap/>
              <w:overflowPunct/>
              <w:autoSpaceDE/>
              <w:autoSpaceDN/>
              <w:bidi w:val="0"/>
              <w:adjustRightInd w:val="0"/>
              <w:snapToGrid w:val="0"/>
              <w:spacing w:line="440" w:lineRule="exact"/>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4.本项目方案深化设计费</w:t>
            </w:r>
            <w:r>
              <w:rPr>
                <w:rFonts w:hint="eastAsia" w:ascii="宋体" w:hAnsi="宋体" w:eastAsia="宋体" w:cs="宋体"/>
                <w:color w:val="000000"/>
                <w:sz w:val="24"/>
                <w:highlight w:val="none"/>
                <w:lang w:val="en-US" w:eastAsia="zh-CN"/>
              </w:rPr>
              <w:t>用含在投标报价（下浮率）中，不</w:t>
            </w:r>
            <w:r>
              <w:rPr>
                <w:rFonts w:hint="eastAsia" w:ascii="宋体" w:hAnsi="宋体" w:cs="宋体"/>
                <w:color w:val="000000"/>
                <w:sz w:val="24"/>
                <w:highlight w:val="none"/>
                <w:lang w:val="en-US" w:eastAsia="zh-CN"/>
              </w:rPr>
              <w:t>再</w:t>
            </w:r>
            <w:r>
              <w:rPr>
                <w:rFonts w:hint="eastAsia" w:ascii="宋体" w:hAnsi="宋体" w:eastAsia="宋体" w:cs="宋体"/>
                <w:color w:val="000000"/>
                <w:sz w:val="24"/>
                <w:highlight w:val="none"/>
                <w:lang w:val="en-US" w:eastAsia="zh-CN"/>
              </w:rPr>
              <w:t>另行计算。</w:t>
            </w:r>
          </w:p>
          <w:p w14:paraId="40975491">
            <w:pPr>
              <w:keepNext w:val="0"/>
              <w:keepLines w:val="0"/>
              <w:pageBreakBefore w:val="0"/>
              <w:numPr>
                <w:ilvl w:val="0"/>
                <w:numId w:val="0"/>
              </w:numPr>
              <w:kinsoku/>
              <w:wordWrap/>
              <w:overflowPunct/>
              <w:autoSpaceDE/>
              <w:autoSpaceDN/>
              <w:bidi w:val="0"/>
              <w:adjustRightInd w:val="0"/>
              <w:snapToGrid w:val="0"/>
              <w:spacing w:line="440" w:lineRule="exact"/>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5.</w:t>
            </w:r>
            <w:r>
              <w:rPr>
                <w:rFonts w:hint="eastAsia" w:ascii="宋体" w:hAnsi="宋体" w:eastAsia="宋体" w:cs="宋体"/>
                <w:color w:val="000000"/>
                <w:sz w:val="24"/>
                <w:highlight w:val="none"/>
                <w:lang w:val="en-US" w:eastAsia="zh-CN"/>
              </w:rPr>
              <w:t>投标人可先到项目现场踏勘以充分了解工地位置、情况、道路、储存空间、装卸限制</w:t>
            </w:r>
            <w:r>
              <w:rPr>
                <w:rFonts w:hint="eastAsia" w:ascii="宋体" w:hAnsi="宋体" w:cs="宋体"/>
                <w:color w:val="000000"/>
                <w:sz w:val="24"/>
                <w:highlight w:val="none"/>
                <w:lang w:val="en-US" w:eastAsia="zh-CN"/>
              </w:rPr>
              <w:t>、垂直运输限制</w:t>
            </w:r>
            <w:r>
              <w:rPr>
                <w:rFonts w:hint="eastAsia" w:ascii="宋体" w:hAnsi="宋体" w:eastAsia="宋体" w:cs="宋体"/>
                <w:color w:val="000000"/>
                <w:sz w:val="24"/>
                <w:highlight w:val="none"/>
                <w:lang w:val="en-US" w:eastAsia="zh-CN"/>
              </w:rPr>
              <w:t xml:space="preserve">及任何其他足以影响承包价的情况，任何因忽视或误解工地情况而导致的索赔或工期延长申请将不被批准。 </w:t>
            </w:r>
          </w:p>
          <w:p w14:paraId="70838195">
            <w:pPr>
              <w:keepNext w:val="0"/>
              <w:keepLines w:val="0"/>
              <w:pageBreakBefore w:val="0"/>
              <w:numPr>
                <w:ilvl w:val="0"/>
                <w:numId w:val="0"/>
              </w:numPr>
              <w:kinsoku/>
              <w:wordWrap/>
              <w:overflowPunct/>
              <w:autoSpaceDE/>
              <w:autoSpaceDN/>
              <w:bidi w:val="0"/>
              <w:adjustRightInd w:val="0"/>
              <w:snapToGrid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6.</w:t>
            </w:r>
            <w:r>
              <w:rPr>
                <w:rFonts w:hint="eastAsia" w:ascii="宋体" w:hAnsi="宋体" w:eastAsia="宋体" w:cs="宋体"/>
                <w:color w:val="000000"/>
                <w:sz w:val="24"/>
                <w:highlight w:val="none"/>
                <w:lang w:val="en-US" w:eastAsia="zh-CN"/>
              </w:rPr>
              <w:t>对于受施工现场场地限制，需要另外寻找场地解决临时住宿、材料及设备堆放，由此所产生的费用应包含在投标报价</w:t>
            </w:r>
            <w:r>
              <w:rPr>
                <w:rFonts w:hint="eastAsia" w:ascii="宋体" w:hAnsi="宋体" w:cs="宋体"/>
                <w:color w:val="000000"/>
                <w:sz w:val="24"/>
                <w:highlight w:val="none"/>
                <w:lang w:val="en-US" w:eastAsia="zh-CN"/>
              </w:rPr>
              <w:t>（下浮率）</w:t>
            </w:r>
            <w:r>
              <w:rPr>
                <w:rFonts w:hint="eastAsia" w:ascii="宋体" w:hAnsi="宋体" w:eastAsia="宋体" w:cs="宋体"/>
                <w:color w:val="000000"/>
                <w:sz w:val="24"/>
                <w:highlight w:val="none"/>
                <w:lang w:val="en-US" w:eastAsia="zh-CN"/>
              </w:rPr>
              <w:t>范围内，招标人不再承担该费用。</w:t>
            </w:r>
          </w:p>
          <w:p w14:paraId="3AB3DAD9">
            <w:pPr>
              <w:keepNext w:val="0"/>
              <w:keepLines w:val="0"/>
              <w:pageBreakBefore w:val="0"/>
              <w:numPr>
                <w:ilvl w:val="0"/>
                <w:numId w:val="0"/>
              </w:numPr>
              <w:kinsoku/>
              <w:wordWrap/>
              <w:overflowPunct/>
              <w:autoSpaceDE/>
              <w:autoSpaceDN/>
              <w:bidi w:val="0"/>
              <w:adjustRightInd w:val="0"/>
              <w:snapToGrid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7.中标价格为</w:t>
            </w:r>
            <w:r>
              <w:rPr>
                <w:rFonts w:hint="eastAsia" w:ascii="宋体" w:hAnsi="宋体" w:eastAsia="宋体" w:cs="宋体"/>
                <w:color w:val="000000"/>
                <w:sz w:val="24"/>
                <w:highlight w:val="none"/>
                <w:lang w:val="en-US" w:eastAsia="zh-CN"/>
              </w:rPr>
              <w:t>固定</w:t>
            </w:r>
            <w:r>
              <w:rPr>
                <w:rFonts w:hint="eastAsia" w:ascii="宋体" w:hAnsi="宋体" w:cs="宋体"/>
                <w:color w:val="000000"/>
                <w:sz w:val="24"/>
                <w:highlight w:val="none"/>
                <w:lang w:val="en-US" w:eastAsia="zh-CN"/>
              </w:rPr>
              <w:t>下浮率</w:t>
            </w:r>
            <w:r>
              <w:rPr>
                <w:rFonts w:hint="eastAsia" w:ascii="宋体" w:hAnsi="宋体" w:eastAsia="宋体" w:cs="宋体"/>
                <w:color w:val="000000"/>
                <w:sz w:val="24"/>
                <w:highlight w:val="none"/>
                <w:lang w:val="en-US" w:eastAsia="zh-CN"/>
              </w:rPr>
              <w:t>，投标人必须完成招标人提供的清单范围内的所有工程内容。因招标人指令引起工程量的增减或变更，按实结算。</w:t>
            </w:r>
          </w:p>
          <w:p w14:paraId="6E26D45B">
            <w:pPr>
              <w:keepNext w:val="0"/>
              <w:keepLines w:val="0"/>
              <w:pageBreakBefore w:val="0"/>
              <w:numPr>
                <w:ilvl w:val="0"/>
                <w:numId w:val="0"/>
              </w:numPr>
              <w:kinsoku/>
              <w:wordWrap/>
              <w:overflowPunct/>
              <w:autoSpaceDE/>
              <w:autoSpaceDN/>
              <w:bidi w:val="0"/>
              <w:adjustRightInd w:val="0"/>
              <w:snapToGrid w:val="0"/>
              <w:spacing w:line="440" w:lineRule="exact"/>
              <w:textAlignment w:val="auto"/>
              <w:rPr>
                <w:rFonts w:hint="default"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8.</w:t>
            </w:r>
            <w:r>
              <w:rPr>
                <w:rFonts w:hint="eastAsia" w:ascii="宋体" w:hAnsi="宋体" w:eastAsia="宋体" w:cs="宋体"/>
                <w:color w:val="000000"/>
                <w:sz w:val="24"/>
                <w:highlight w:val="none"/>
                <w:lang w:val="en-US" w:eastAsia="zh-CN"/>
              </w:rPr>
              <w:t>因中标人</w:t>
            </w:r>
            <w:r>
              <w:rPr>
                <w:rFonts w:hint="eastAsia" w:ascii="宋体" w:hAnsi="宋体" w:cs="宋体"/>
                <w:color w:val="000000"/>
                <w:sz w:val="24"/>
                <w:highlight w:val="none"/>
                <w:lang w:val="en-US" w:eastAsia="zh-CN"/>
              </w:rPr>
              <w:t>方案</w:t>
            </w:r>
            <w:r>
              <w:rPr>
                <w:rFonts w:hint="eastAsia" w:ascii="宋体" w:hAnsi="宋体" w:eastAsia="宋体" w:cs="宋体"/>
                <w:color w:val="000000"/>
                <w:sz w:val="24"/>
                <w:highlight w:val="none"/>
                <w:lang w:val="en-US" w:eastAsia="zh-CN"/>
              </w:rPr>
              <w:t>深化设计缺陷或不能满足招标人提供的方案或未达到相关规范文件指标或因中标人考虑不周造成的漏项、施工工艺变更或实际工程量超出对应的报价量范围、未通过相关竣工验收等一系列由中标人自身原因造成的工程变更均不予调整</w:t>
            </w:r>
            <w:r>
              <w:rPr>
                <w:rFonts w:hint="eastAsia" w:ascii="宋体" w:hAnsi="宋体" w:cs="宋体"/>
                <w:color w:val="000000"/>
                <w:sz w:val="24"/>
                <w:highlight w:val="none"/>
                <w:lang w:val="en-US" w:eastAsia="zh-CN"/>
              </w:rPr>
              <w:t>中标价（下浮率）</w:t>
            </w:r>
            <w:r>
              <w:rPr>
                <w:rFonts w:hint="eastAsia" w:ascii="宋体" w:hAnsi="宋体" w:eastAsia="宋体" w:cs="宋体"/>
                <w:color w:val="000000"/>
                <w:sz w:val="24"/>
                <w:highlight w:val="none"/>
                <w:lang w:val="en-US" w:eastAsia="zh-CN"/>
              </w:rPr>
              <w:t>，由中标人自行承担，其产生的相关费用均含在</w:t>
            </w:r>
            <w:r>
              <w:rPr>
                <w:rFonts w:hint="eastAsia" w:ascii="宋体" w:hAnsi="宋体" w:cs="宋体"/>
                <w:color w:val="000000"/>
                <w:sz w:val="24"/>
                <w:highlight w:val="none"/>
                <w:lang w:val="en-US" w:eastAsia="zh-CN"/>
              </w:rPr>
              <w:t>中标</w:t>
            </w:r>
            <w:r>
              <w:rPr>
                <w:rFonts w:hint="eastAsia" w:ascii="宋体" w:hAnsi="宋体" w:eastAsia="宋体" w:cs="宋体"/>
                <w:color w:val="000000"/>
                <w:sz w:val="24"/>
                <w:highlight w:val="none"/>
                <w:lang w:val="en-US" w:eastAsia="zh-CN"/>
              </w:rPr>
              <w:t>价中</w:t>
            </w:r>
            <w:r>
              <w:rPr>
                <w:rFonts w:hint="eastAsia" w:ascii="宋体" w:hAnsi="宋体" w:cs="宋体"/>
                <w:color w:val="000000"/>
                <w:sz w:val="24"/>
                <w:highlight w:val="none"/>
                <w:lang w:val="en-US" w:eastAsia="zh-CN"/>
              </w:rPr>
              <w:t>（下浮率）</w:t>
            </w:r>
            <w:r>
              <w:rPr>
                <w:rFonts w:hint="eastAsia" w:ascii="宋体" w:hAnsi="宋体" w:eastAsia="宋体" w:cs="宋体"/>
                <w:color w:val="000000"/>
                <w:sz w:val="24"/>
                <w:highlight w:val="none"/>
                <w:lang w:val="en-US" w:eastAsia="zh-CN"/>
              </w:rPr>
              <w:t xml:space="preserve">。 </w:t>
            </w:r>
          </w:p>
        </w:tc>
      </w:tr>
      <w:tr w14:paraId="47F1F378">
        <w:tblPrEx>
          <w:tblCellMar>
            <w:top w:w="0" w:type="dxa"/>
            <w:left w:w="108" w:type="dxa"/>
            <w:bottom w:w="0" w:type="dxa"/>
            <w:right w:w="108" w:type="dxa"/>
          </w:tblCellMar>
        </w:tblPrEx>
        <w:trPr>
          <w:trHeight w:val="681"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443E017A">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3.3.1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2189305A">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投标有效期</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4F217286">
            <w:pPr>
              <w:pStyle w:val="8"/>
              <w:keepNext w:val="0"/>
              <w:keepLines w:val="0"/>
              <w:pageBreakBefore w:val="0"/>
              <w:kinsoku/>
              <w:wordWrap/>
              <w:overflowPunct/>
              <w:topLinePunct/>
              <w:autoSpaceDE/>
              <w:autoSpaceDN/>
              <w:bidi w:val="0"/>
              <w:adjustRightInd w:val="0"/>
              <w:snapToGrid w:val="0"/>
              <w:spacing w:line="440" w:lineRule="exact"/>
              <w:textAlignment w:val="auto"/>
              <w:rPr>
                <w:rFonts w:hAnsi="宋体" w:cs="宋体"/>
                <w:color w:val="000000"/>
                <w:kern w:val="0"/>
                <w:szCs w:val="24"/>
                <w:highlight w:val="none"/>
              </w:rPr>
            </w:pPr>
            <w:r>
              <w:rPr>
                <w:rFonts w:hint="eastAsia" w:hAnsi="宋体" w:cs="宋体"/>
                <w:color w:val="000000"/>
                <w:kern w:val="0"/>
                <w:szCs w:val="24"/>
                <w:highlight w:val="none"/>
              </w:rPr>
              <w:t>自投标人递交投标文件截止之日起计算</w:t>
            </w:r>
            <w:r>
              <w:rPr>
                <w:rFonts w:hint="eastAsia" w:hAnsi="宋体" w:cs="宋体"/>
                <w:color w:val="000000"/>
                <w:kern w:val="0"/>
                <w:szCs w:val="24"/>
                <w:highlight w:val="none"/>
                <w:lang w:val="en-US" w:eastAsia="zh-CN"/>
              </w:rPr>
              <w:t>90</w:t>
            </w:r>
            <w:r>
              <w:rPr>
                <w:rFonts w:hint="eastAsia" w:hAnsi="宋体" w:cs="宋体"/>
                <w:color w:val="000000"/>
                <w:kern w:val="0"/>
                <w:szCs w:val="24"/>
                <w:highlight w:val="none"/>
              </w:rPr>
              <w:t>日历天。在此期限内，凡符合本招标文件要求的投标文件均保持有效。</w:t>
            </w:r>
          </w:p>
        </w:tc>
      </w:tr>
      <w:tr w14:paraId="4B73ED22">
        <w:tblPrEx>
          <w:tblCellMar>
            <w:top w:w="0" w:type="dxa"/>
            <w:left w:w="108" w:type="dxa"/>
            <w:bottom w:w="0" w:type="dxa"/>
            <w:right w:w="108" w:type="dxa"/>
          </w:tblCellMar>
        </w:tblPrEx>
        <w:trPr>
          <w:trHeight w:val="647"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144FEE2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3.4.1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32DF3708">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投标保证金</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71982BD9">
            <w:pPr>
              <w:keepNext w:val="0"/>
              <w:keepLines w:val="0"/>
              <w:pageBreakBefore w:val="0"/>
              <w:kinsoku/>
              <w:wordWrap/>
              <w:overflowPunct/>
              <w:autoSpaceDE/>
              <w:autoSpaceDN/>
              <w:bidi w:val="0"/>
              <w:adjustRightInd w:val="0"/>
              <w:snapToGrid w:val="0"/>
              <w:spacing w:line="440" w:lineRule="exact"/>
              <w:jc w:val="left"/>
              <w:textAlignment w:val="auto"/>
              <w:rPr>
                <w:rFonts w:ascii="宋体" w:hAnsi="宋体" w:cs="宋体"/>
                <w:color w:val="000000"/>
                <w:sz w:val="24"/>
                <w:highlight w:val="none"/>
              </w:rPr>
            </w:pPr>
            <w:r>
              <w:rPr>
                <w:rFonts w:hint="eastAsia" w:ascii="宋体" w:hAnsi="宋体" w:cs="宋体"/>
                <w:color w:val="000000"/>
                <w:sz w:val="24"/>
                <w:highlight w:val="none"/>
              </w:rPr>
              <w:t>详见招标公告。</w:t>
            </w:r>
          </w:p>
        </w:tc>
      </w:tr>
      <w:tr w14:paraId="46998A89">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25F85D94">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3.5.1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1A8411EE">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snapToGrid w:val="0"/>
                <w:color w:val="000000"/>
                <w:kern w:val="0"/>
                <w:sz w:val="24"/>
                <w:highlight w:val="none"/>
                <w:shd w:val="clear" w:color="auto" w:fill="FFFFFF"/>
              </w:rPr>
              <w:t>施工组织设计编制的特殊要求</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7FA274CF">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snapToGrid w:val="0"/>
                <w:color w:val="000000"/>
                <w:kern w:val="0"/>
                <w:sz w:val="24"/>
                <w:highlight w:val="none"/>
                <w:shd w:val="clear" w:color="auto" w:fill="FFFFFF"/>
              </w:rPr>
            </w:pPr>
            <w:r>
              <w:rPr>
                <w:rFonts w:hint="eastAsia" w:ascii="宋体" w:hAnsi="宋体" w:cs="宋体"/>
                <w:b/>
                <w:snapToGrid w:val="0"/>
                <w:color w:val="000000"/>
                <w:kern w:val="0"/>
                <w:sz w:val="24"/>
                <w:highlight w:val="none"/>
                <w:shd w:val="clear" w:color="auto" w:fill="FFFFFF"/>
              </w:rPr>
              <w:t>（1）本招标项目重点难点：</w:t>
            </w:r>
            <w:r>
              <w:rPr>
                <w:rFonts w:hint="eastAsia" w:ascii="宋体" w:hAnsi="宋体" w:cs="宋体"/>
                <w:b/>
                <w:snapToGrid w:val="0"/>
                <w:color w:val="000000"/>
                <w:kern w:val="0"/>
                <w:sz w:val="24"/>
                <w:highlight w:val="none"/>
                <w:u w:val="single"/>
                <w:shd w:val="clear" w:color="auto" w:fill="FFFFFF"/>
                <w:lang w:val="en-US" w:eastAsia="zh-CN"/>
              </w:rPr>
              <w:t>由投标人根据项目的情况进行编制</w:t>
            </w:r>
            <w:r>
              <w:rPr>
                <w:rFonts w:hint="eastAsia" w:ascii="宋体" w:hAnsi="宋体" w:cs="宋体"/>
                <w:snapToGrid w:val="0"/>
                <w:color w:val="000000"/>
                <w:kern w:val="0"/>
                <w:sz w:val="24"/>
                <w:highlight w:val="none"/>
                <w:shd w:val="clear" w:color="auto" w:fill="FFFFFF"/>
              </w:rPr>
              <w:t xml:space="preserve">； </w:t>
            </w:r>
          </w:p>
          <w:p w14:paraId="0EE8856F">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snapToGrid w:val="0"/>
                <w:color w:val="000000"/>
                <w:kern w:val="0"/>
                <w:sz w:val="24"/>
                <w:highlight w:val="none"/>
                <w:shd w:val="clear" w:color="auto" w:fill="FFFFFF"/>
              </w:rPr>
            </w:pPr>
            <w:r>
              <w:rPr>
                <w:rFonts w:hint="eastAsia" w:ascii="宋体" w:hAnsi="宋体" w:cs="宋体"/>
                <w:snapToGrid w:val="0"/>
                <w:color w:val="000000"/>
                <w:kern w:val="0"/>
                <w:sz w:val="24"/>
                <w:highlight w:val="none"/>
                <w:shd w:val="clear" w:color="auto" w:fill="FFFFFF"/>
              </w:rPr>
              <w:t>（注：本项内容与施工组织设计重难点评审相对应，投标人必须在施工组织设计中全面重点阐述）</w:t>
            </w:r>
          </w:p>
          <w:p w14:paraId="0DFC65C4">
            <w:pPr>
              <w:keepNext w:val="0"/>
              <w:keepLines w:val="0"/>
              <w:pageBreakBefore w:val="0"/>
              <w:kinsoku/>
              <w:wordWrap/>
              <w:overflowPunct/>
              <w:autoSpaceDE/>
              <w:autoSpaceDN/>
              <w:bidi w:val="0"/>
              <w:adjustRightInd w:val="0"/>
              <w:snapToGrid w:val="0"/>
              <w:spacing w:line="440" w:lineRule="exact"/>
              <w:textAlignment w:val="auto"/>
              <w:rPr>
                <w:rFonts w:hint="eastAsia" w:ascii="宋体" w:hAnsi="宋体" w:eastAsia="宋体" w:cs="宋体"/>
                <w:snapToGrid w:val="0"/>
                <w:color w:val="000000"/>
                <w:kern w:val="0"/>
                <w:sz w:val="24"/>
                <w:highlight w:val="none"/>
                <w:shd w:val="clear" w:color="auto" w:fill="FFFFFF"/>
                <w:lang w:eastAsia="zh-CN"/>
              </w:rPr>
            </w:pPr>
            <w:r>
              <w:rPr>
                <w:rFonts w:hint="eastAsia" w:ascii="宋体" w:hAnsi="宋体" w:cs="宋体"/>
                <w:b/>
                <w:snapToGrid w:val="0"/>
                <w:color w:val="000000"/>
                <w:kern w:val="0"/>
                <w:sz w:val="24"/>
                <w:highlight w:val="none"/>
                <w:shd w:val="clear" w:color="auto" w:fill="FFFFFF"/>
              </w:rPr>
              <w:t>（2）本招标项目危险性较大的分部分项工程清单：</w:t>
            </w:r>
            <w:r>
              <w:rPr>
                <w:rFonts w:hint="eastAsia" w:ascii="宋体" w:hAnsi="宋体" w:cs="宋体"/>
                <w:b/>
                <w:bCs w:val="0"/>
                <w:snapToGrid w:val="0"/>
                <w:color w:val="auto"/>
                <w:kern w:val="0"/>
                <w:sz w:val="24"/>
                <w:highlight w:val="none"/>
                <w:u w:val="single"/>
                <w:shd w:val="clear" w:color="auto" w:fill="FFFFFF"/>
              </w:rPr>
              <w:t>包括但不限于起重吊装及起重机械安装拆卸工程、脚手架工程，具体内容请投标人结合现场情况自行考虑</w:t>
            </w:r>
            <w:r>
              <w:rPr>
                <w:rFonts w:hint="eastAsia" w:ascii="宋体" w:hAnsi="宋体" w:cs="宋体"/>
                <w:b/>
                <w:bCs w:val="0"/>
                <w:snapToGrid w:val="0"/>
                <w:color w:val="auto"/>
                <w:kern w:val="0"/>
                <w:sz w:val="24"/>
                <w:highlight w:val="none"/>
                <w:u w:val="single"/>
                <w:shd w:val="clear" w:color="auto" w:fill="FFFFFF"/>
                <w:lang w:eastAsia="zh-CN"/>
              </w:rPr>
              <w:t>。</w:t>
            </w:r>
          </w:p>
        </w:tc>
      </w:tr>
      <w:tr w14:paraId="205B6B1C">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3ECA90AF">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3.5.8</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1898363E">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投标文件份数</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73098ECD">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加密电子投标文件应在投标截止时间前通过交易中心电子交易系统上传。</w:t>
            </w:r>
          </w:p>
          <w:p w14:paraId="1D0A922C">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b/>
                <w:color w:val="000000"/>
                <w:kern w:val="0"/>
                <w:sz w:val="24"/>
                <w:highlight w:val="none"/>
              </w:rPr>
              <w:t>（投标人中标后须递交与网上电子投标文件完全一致的纸质版投标文件，并按要求加盖单位章；份数：正本</w:t>
            </w:r>
            <w:r>
              <w:rPr>
                <w:rFonts w:hint="eastAsia" w:ascii="宋体" w:hAnsi="宋体" w:cs="宋体"/>
                <w:b/>
                <w:color w:val="000000"/>
                <w:kern w:val="0"/>
                <w:sz w:val="24"/>
                <w:highlight w:val="none"/>
                <w:u w:val="single"/>
                <w:lang w:val="en-US" w:eastAsia="zh-CN"/>
              </w:rPr>
              <w:t>1</w:t>
            </w:r>
            <w:r>
              <w:rPr>
                <w:rFonts w:hint="eastAsia" w:ascii="宋体" w:hAnsi="宋体" w:cs="宋体"/>
                <w:b/>
                <w:color w:val="000000"/>
                <w:kern w:val="0"/>
                <w:sz w:val="24"/>
                <w:highlight w:val="none"/>
              </w:rPr>
              <w:t>份，副本</w:t>
            </w:r>
            <w:r>
              <w:rPr>
                <w:rFonts w:hint="eastAsia" w:ascii="宋体" w:hAnsi="宋体" w:cs="宋体"/>
                <w:b/>
                <w:color w:val="000000"/>
                <w:kern w:val="0"/>
                <w:sz w:val="24"/>
                <w:highlight w:val="none"/>
                <w:u w:val="single"/>
                <w:lang w:val="en-US" w:eastAsia="zh-CN"/>
              </w:rPr>
              <w:t>2</w:t>
            </w:r>
            <w:r>
              <w:rPr>
                <w:rFonts w:hint="eastAsia" w:ascii="宋体" w:hAnsi="宋体" w:cs="宋体"/>
                <w:b/>
                <w:color w:val="000000"/>
                <w:kern w:val="0"/>
                <w:sz w:val="24"/>
                <w:highlight w:val="none"/>
              </w:rPr>
              <w:t>份；中标人领取中标通知书时，一并递交给招标代理机构）。</w:t>
            </w:r>
          </w:p>
        </w:tc>
      </w:tr>
      <w:tr w14:paraId="1782F2A6">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1ADF474F">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3.6.1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5198ECD2">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是否允许递交备选投标方案</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4544F316">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u w:val="none"/>
              </w:rPr>
            </w:pPr>
            <w:r>
              <w:rPr>
                <w:rFonts w:hint="eastAsia" w:ascii="宋体" w:hAnsi="宋体" w:cs="宋体"/>
                <w:color w:val="000000"/>
                <w:sz w:val="24"/>
                <w:highlight w:val="none"/>
                <w:u w:val="none"/>
              </w:rPr>
              <w:t>不允许。</w:t>
            </w:r>
          </w:p>
        </w:tc>
      </w:tr>
      <w:tr w14:paraId="301CF474">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0B0BC94C">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4.3.2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61BBE196">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是否退还投标文件</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443CFB4B">
            <w:pPr>
              <w:keepNext w:val="0"/>
              <w:keepLines w:val="0"/>
              <w:pageBreakBefore w:val="0"/>
              <w:kinsoku/>
              <w:wordWrap/>
              <w:overflowPunct/>
              <w:autoSpaceDE/>
              <w:autoSpaceDN/>
              <w:bidi w:val="0"/>
              <w:adjustRightInd w:val="0"/>
              <w:snapToGrid w:val="0"/>
              <w:spacing w:line="440" w:lineRule="exact"/>
              <w:textAlignment w:val="auto"/>
              <w:rPr>
                <w:rFonts w:hint="eastAsia" w:ascii="宋体" w:hAnsi="宋体" w:eastAsia="宋体" w:cs="宋体"/>
                <w:color w:val="000000"/>
                <w:sz w:val="24"/>
                <w:highlight w:val="none"/>
                <w:u w:val="none"/>
                <w:lang w:eastAsia="zh-CN"/>
              </w:rPr>
            </w:pPr>
            <w:r>
              <w:rPr>
                <w:rFonts w:hint="eastAsia" w:ascii="宋体" w:hAnsi="宋体" w:cs="宋体"/>
                <w:color w:val="000000"/>
                <w:sz w:val="24"/>
                <w:highlight w:val="none"/>
                <w:u w:val="none"/>
              </w:rPr>
              <w:t>否</w:t>
            </w:r>
            <w:r>
              <w:rPr>
                <w:rFonts w:hint="eastAsia" w:ascii="宋体" w:hAnsi="宋体" w:cs="宋体"/>
                <w:color w:val="000000"/>
                <w:sz w:val="24"/>
                <w:highlight w:val="none"/>
                <w:u w:val="none"/>
                <w:lang w:eastAsia="zh-CN"/>
              </w:rPr>
              <w:t>。</w:t>
            </w:r>
          </w:p>
        </w:tc>
      </w:tr>
      <w:tr w14:paraId="598F056C">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5D8D465A">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5.1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364C957D">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开标时间和地点</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3C7CCA0E">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开标时间：同投标截止时间</w:t>
            </w:r>
          </w:p>
          <w:p w14:paraId="2677BB27">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开标地点：见招标公告</w:t>
            </w:r>
          </w:p>
        </w:tc>
      </w:tr>
      <w:tr w14:paraId="7E1FD701">
        <w:tblPrEx>
          <w:tblCellMar>
            <w:top w:w="0" w:type="dxa"/>
            <w:left w:w="108" w:type="dxa"/>
            <w:bottom w:w="0" w:type="dxa"/>
            <w:right w:w="108" w:type="dxa"/>
          </w:tblCellMar>
        </w:tblPrEx>
        <w:trPr>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34A64FF1">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5.2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1B30AC35">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开标程序</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0C011DB4">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bCs/>
                <w:snapToGrid w:val="0"/>
                <w:color w:val="000000"/>
                <w:kern w:val="0"/>
                <w:sz w:val="24"/>
                <w:highlight w:val="none"/>
              </w:rPr>
            </w:pPr>
            <w:r>
              <w:rPr>
                <w:rFonts w:hint="eastAsia" w:ascii="宋体" w:hAnsi="宋体" w:cs="宋体"/>
                <w:color w:val="000000"/>
                <w:sz w:val="24"/>
                <w:highlight w:val="none"/>
              </w:rPr>
              <w:t>（</w:t>
            </w:r>
            <w:r>
              <w:rPr>
                <w:rFonts w:hint="eastAsia" w:ascii="宋体" w:hAnsi="宋体" w:cs="宋体"/>
                <w:color w:val="000000"/>
                <w:sz w:val="24"/>
                <w:highlight w:val="none"/>
                <w:lang w:val="en-US" w:eastAsia="zh-CN"/>
              </w:rPr>
              <w:t>1</w:t>
            </w:r>
            <w:r>
              <w:rPr>
                <w:rFonts w:hint="eastAsia" w:ascii="宋体" w:hAnsi="宋体" w:cs="宋体"/>
                <w:color w:val="000000"/>
                <w:sz w:val="24"/>
                <w:highlight w:val="none"/>
              </w:rPr>
              <w:t>）解密时间：解密程序开始后</w:t>
            </w:r>
            <w:r>
              <w:rPr>
                <w:rFonts w:hint="eastAsia" w:ascii="宋体" w:hAnsi="宋体" w:cs="宋体"/>
                <w:color w:val="000000"/>
                <w:sz w:val="24"/>
                <w:highlight w:val="none"/>
                <w:u w:val="single"/>
              </w:rPr>
              <w:t>60</w:t>
            </w:r>
            <w:r>
              <w:rPr>
                <w:rFonts w:hint="eastAsia" w:ascii="宋体" w:hAnsi="宋体" w:cs="宋体"/>
                <w:color w:val="000000"/>
                <w:sz w:val="24"/>
                <w:highlight w:val="none"/>
              </w:rPr>
              <w:t>分钟内</w:t>
            </w:r>
            <w:r>
              <w:rPr>
                <w:rFonts w:hint="eastAsia" w:ascii="宋体" w:hAnsi="宋体" w:cs="宋体"/>
                <w:bCs/>
                <w:snapToGrid w:val="0"/>
                <w:color w:val="000000"/>
                <w:kern w:val="0"/>
                <w:sz w:val="24"/>
                <w:highlight w:val="none"/>
              </w:rPr>
              <w:t>（以电子交易系统解密倒计时为准），</w:t>
            </w:r>
            <w:r>
              <w:rPr>
                <w:rFonts w:hint="eastAsia" w:ascii="宋体" w:hAnsi="宋体" w:cs="宋体"/>
                <w:color w:val="000000"/>
                <w:sz w:val="24"/>
                <w:highlight w:val="none"/>
              </w:rPr>
              <w:t>解密时间为</w:t>
            </w:r>
            <w:r>
              <w:rPr>
                <w:rFonts w:hint="eastAsia" w:ascii="宋体" w:hAnsi="宋体" w:cs="宋体"/>
                <w:color w:val="000000"/>
                <w:sz w:val="24"/>
                <w:highlight w:val="none"/>
                <w:u w:val="single"/>
                <w:lang w:val="en-US" w:eastAsia="zh-CN"/>
              </w:rPr>
              <w:t>2025</w:t>
            </w:r>
            <w:r>
              <w:rPr>
                <w:rFonts w:hint="eastAsia" w:ascii="宋体" w:hAnsi="宋体" w:cs="宋体"/>
                <w:color w:val="000000"/>
                <w:sz w:val="24"/>
                <w:highlight w:val="none"/>
              </w:rPr>
              <w:t>年</w:t>
            </w:r>
            <w:r>
              <w:rPr>
                <w:rFonts w:hint="eastAsia" w:ascii="宋体" w:hAnsi="宋体" w:cs="宋体"/>
                <w:color w:val="000000"/>
                <w:sz w:val="24"/>
                <w:highlight w:val="none"/>
                <w:u w:val="single"/>
                <w:lang w:val="en-US" w:eastAsia="zh-CN"/>
              </w:rPr>
              <w:t>7</w:t>
            </w:r>
            <w:r>
              <w:rPr>
                <w:rFonts w:hint="eastAsia" w:ascii="宋体" w:hAnsi="宋体" w:cs="宋体"/>
                <w:color w:val="000000"/>
                <w:sz w:val="24"/>
                <w:highlight w:val="none"/>
              </w:rPr>
              <w:t>月</w:t>
            </w:r>
            <w:r>
              <w:rPr>
                <w:rFonts w:hint="eastAsia" w:ascii="宋体" w:hAnsi="宋体" w:cs="宋体"/>
                <w:color w:val="000000"/>
                <w:sz w:val="24"/>
                <w:highlight w:val="none"/>
                <w:u w:val="single"/>
                <w:lang w:val="en-US" w:eastAsia="zh-CN"/>
              </w:rPr>
              <w:t>21</w:t>
            </w:r>
            <w:r>
              <w:rPr>
                <w:rFonts w:hint="eastAsia" w:ascii="宋体" w:hAnsi="宋体" w:cs="宋体"/>
                <w:color w:val="000000"/>
                <w:sz w:val="24"/>
                <w:highlight w:val="none"/>
              </w:rPr>
              <w:t>日</w:t>
            </w:r>
            <w:r>
              <w:rPr>
                <w:rFonts w:hint="eastAsia" w:ascii="宋体" w:hAnsi="宋体" w:cs="宋体"/>
                <w:color w:val="000000"/>
                <w:sz w:val="24"/>
                <w:highlight w:val="none"/>
                <w:u w:val="single"/>
                <w:lang w:val="en-US" w:eastAsia="zh-CN"/>
              </w:rPr>
              <w:t>8</w:t>
            </w:r>
            <w:r>
              <w:rPr>
                <w:rFonts w:hint="eastAsia" w:ascii="宋体" w:hAnsi="宋体" w:cs="宋体"/>
                <w:color w:val="000000"/>
                <w:sz w:val="24"/>
                <w:highlight w:val="none"/>
              </w:rPr>
              <w:t>时</w:t>
            </w:r>
            <w:r>
              <w:rPr>
                <w:rFonts w:hint="eastAsia" w:ascii="宋体" w:hAnsi="宋体" w:cs="宋体"/>
                <w:color w:val="000000"/>
                <w:sz w:val="24"/>
                <w:highlight w:val="none"/>
                <w:u w:val="single"/>
                <w:lang w:val="en-US" w:eastAsia="zh-CN"/>
              </w:rPr>
              <w:t>00</w:t>
            </w:r>
            <w:r>
              <w:rPr>
                <w:rFonts w:hint="eastAsia" w:ascii="宋体" w:hAnsi="宋体" w:cs="宋体"/>
                <w:color w:val="000000"/>
                <w:sz w:val="24"/>
                <w:highlight w:val="none"/>
              </w:rPr>
              <w:t>分至</w:t>
            </w:r>
            <w:r>
              <w:rPr>
                <w:rFonts w:hint="eastAsia" w:ascii="宋体" w:hAnsi="宋体" w:cs="宋体"/>
                <w:color w:val="000000"/>
                <w:sz w:val="24"/>
                <w:highlight w:val="none"/>
                <w:u w:val="single"/>
                <w:lang w:val="en-US" w:eastAsia="zh-CN"/>
              </w:rPr>
              <w:t>2025</w:t>
            </w:r>
            <w:r>
              <w:rPr>
                <w:rFonts w:hint="eastAsia" w:ascii="宋体" w:hAnsi="宋体" w:cs="宋体"/>
                <w:color w:val="000000"/>
                <w:sz w:val="24"/>
                <w:highlight w:val="none"/>
              </w:rPr>
              <w:t>年</w:t>
            </w:r>
            <w:r>
              <w:rPr>
                <w:rFonts w:hint="eastAsia" w:ascii="宋体" w:hAnsi="宋体" w:cs="宋体"/>
                <w:color w:val="000000"/>
                <w:sz w:val="24"/>
                <w:highlight w:val="none"/>
                <w:u w:val="single"/>
                <w:lang w:val="en-US" w:eastAsia="zh-CN"/>
              </w:rPr>
              <w:t>7</w:t>
            </w:r>
            <w:r>
              <w:rPr>
                <w:rFonts w:hint="eastAsia" w:ascii="宋体" w:hAnsi="宋体" w:cs="宋体"/>
                <w:color w:val="000000"/>
                <w:sz w:val="24"/>
                <w:highlight w:val="none"/>
              </w:rPr>
              <w:t>月</w:t>
            </w:r>
            <w:r>
              <w:rPr>
                <w:rFonts w:hint="eastAsia" w:ascii="宋体" w:hAnsi="宋体" w:cs="宋体"/>
                <w:color w:val="000000"/>
                <w:sz w:val="24"/>
                <w:highlight w:val="none"/>
                <w:u w:val="single"/>
                <w:lang w:val="en-US" w:eastAsia="zh-CN"/>
              </w:rPr>
              <w:t>21</w:t>
            </w:r>
            <w:r>
              <w:rPr>
                <w:rFonts w:hint="eastAsia" w:ascii="宋体" w:hAnsi="宋体" w:cs="宋体"/>
                <w:color w:val="000000"/>
                <w:sz w:val="24"/>
                <w:highlight w:val="none"/>
              </w:rPr>
              <w:t>日</w:t>
            </w:r>
            <w:r>
              <w:rPr>
                <w:rFonts w:hint="eastAsia" w:ascii="宋体" w:hAnsi="宋体" w:cs="宋体"/>
                <w:color w:val="000000"/>
                <w:sz w:val="24"/>
                <w:highlight w:val="none"/>
                <w:u w:val="single"/>
                <w:lang w:val="en-US" w:eastAsia="zh-CN"/>
              </w:rPr>
              <w:t>9</w:t>
            </w:r>
            <w:r>
              <w:rPr>
                <w:rFonts w:hint="eastAsia" w:ascii="宋体" w:hAnsi="宋体" w:cs="宋体"/>
                <w:color w:val="000000"/>
                <w:sz w:val="24"/>
                <w:highlight w:val="none"/>
              </w:rPr>
              <w:t>时</w:t>
            </w:r>
            <w:r>
              <w:rPr>
                <w:rFonts w:hint="eastAsia" w:ascii="宋体" w:hAnsi="宋体" w:cs="宋体"/>
                <w:color w:val="000000"/>
                <w:sz w:val="24"/>
                <w:highlight w:val="none"/>
                <w:u w:val="single"/>
                <w:lang w:val="en-US" w:eastAsia="zh-CN"/>
              </w:rPr>
              <w:t>00</w:t>
            </w:r>
            <w:r>
              <w:rPr>
                <w:rFonts w:hint="eastAsia" w:ascii="宋体" w:hAnsi="宋体" w:cs="宋体"/>
                <w:color w:val="000000"/>
                <w:sz w:val="24"/>
                <w:highlight w:val="none"/>
              </w:rPr>
              <w:t>分。</w:t>
            </w:r>
          </w:p>
          <w:p w14:paraId="1FA83E27">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w:t>
            </w:r>
            <w:r>
              <w:rPr>
                <w:rFonts w:hint="eastAsia" w:ascii="宋体" w:hAnsi="宋体" w:cs="宋体"/>
                <w:color w:val="000000"/>
                <w:sz w:val="24"/>
                <w:highlight w:val="none"/>
                <w:lang w:val="en-US" w:eastAsia="zh-CN"/>
              </w:rPr>
              <w:t>2</w:t>
            </w:r>
            <w:r>
              <w:rPr>
                <w:rFonts w:hint="eastAsia" w:ascii="宋体" w:hAnsi="宋体" w:cs="宋体"/>
                <w:color w:val="000000"/>
                <w:sz w:val="24"/>
                <w:highlight w:val="none"/>
              </w:rPr>
              <w:t>）公布投标人</w:t>
            </w:r>
            <w:r>
              <w:rPr>
                <w:rFonts w:hint="eastAsia" w:ascii="宋体" w:hAnsi="宋体" w:eastAsia="宋体" w:cs="宋体"/>
                <w:color w:val="000000"/>
                <w:sz w:val="24"/>
                <w:highlight w:val="none"/>
                <w:u w:val="single"/>
              </w:rPr>
              <w:t>公布在投标截止时间前通过电子交易系统完成投标文件递交的投标人名称；投标人在投标截止时间后在投标人须知前附表规定的解密时间内完成投标文件的解密工作；招标人或招标代理机构完成解密工作，导入并读取所有成功解密的投标文件；按投标人须知前附表规定公布投标人名称、标段名称、投标报价、质量目标、工期及其他内容；开标结束</w:t>
            </w:r>
            <w:r>
              <w:rPr>
                <w:rFonts w:hint="eastAsia" w:ascii="宋体" w:hAnsi="宋体" w:cs="宋体"/>
                <w:color w:val="000000"/>
                <w:sz w:val="24"/>
                <w:highlight w:val="none"/>
              </w:rPr>
              <w:t>。</w:t>
            </w:r>
          </w:p>
        </w:tc>
      </w:tr>
      <w:tr w14:paraId="562565B8">
        <w:tblPrEx>
          <w:tblCellMar>
            <w:top w:w="0" w:type="dxa"/>
            <w:left w:w="108" w:type="dxa"/>
            <w:bottom w:w="0" w:type="dxa"/>
            <w:right w:w="108" w:type="dxa"/>
          </w:tblCellMar>
        </w:tblPrEx>
        <w:trPr>
          <w:trHeight w:val="488"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654D8BEF">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6.1.1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353228A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评标委员会的组建</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59FF4020">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评标委员会构成：</w:t>
            </w:r>
            <w:r>
              <w:rPr>
                <w:rFonts w:hint="eastAsia" w:ascii="宋体" w:hAnsi="宋体" w:cs="宋体"/>
                <w:color w:val="000000"/>
                <w:sz w:val="24"/>
                <w:highlight w:val="none"/>
                <w:u w:val="single"/>
                <w:lang w:val="en-US" w:eastAsia="zh-CN"/>
              </w:rPr>
              <w:t>7</w:t>
            </w:r>
            <w:r>
              <w:rPr>
                <w:rFonts w:hint="eastAsia" w:ascii="宋体" w:hAnsi="宋体" w:cs="宋体"/>
                <w:color w:val="000000"/>
                <w:sz w:val="24"/>
                <w:highlight w:val="none"/>
              </w:rPr>
              <w:t>人，其中招标人代表</w:t>
            </w:r>
            <w:r>
              <w:rPr>
                <w:rFonts w:hint="eastAsia" w:ascii="宋体" w:hAnsi="宋体" w:cs="宋体"/>
                <w:color w:val="000000"/>
                <w:sz w:val="24"/>
                <w:highlight w:val="none"/>
                <w:u w:val="single"/>
                <w:lang w:val="en-US" w:eastAsia="zh-CN"/>
              </w:rPr>
              <w:t>2</w:t>
            </w:r>
            <w:r>
              <w:rPr>
                <w:rFonts w:hint="eastAsia" w:ascii="宋体" w:hAnsi="宋体" w:cs="宋体"/>
                <w:color w:val="000000"/>
                <w:sz w:val="24"/>
                <w:highlight w:val="none"/>
              </w:rPr>
              <w:t>人，评标专家</w:t>
            </w:r>
            <w:r>
              <w:rPr>
                <w:rFonts w:hint="eastAsia" w:ascii="宋体" w:hAnsi="宋体" w:cs="宋体"/>
                <w:color w:val="000000"/>
                <w:sz w:val="24"/>
                <w:highlight w:val="none"/>
                <w:u w:val="single"/>
                <w:lang w:val="en-US" w:eastAsia="zh-CN"/>
              </w:rPr>
              <w:t>5</w:t>
            </w:r>
            <w:r>
              <w:rPr>
                <w:rFonts w:hint="eastAsia" w:ascii="宋体" w:hAnsi="宋体" w:cs="宋体"/>
                <w:color w:val="000000"/>
                <w:sz w:val="24"/>
                <w:highlight w:val="none"/>
              </w:rPr>
              <w:t>人。</w:t>
            </w:r>
          </w:p>
          <w:p w14:paraId="72E47348">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评标专家确定方式：评标专家由招标人在开标前从专家库中随机抽取。</w:t>
            </w:r>
          </w:p>
        </w:tc>
      </w:tr>
      <w:tr w14:paraId="65F5F54E">
        <w:tblPrEx>
          <w:tblCellMar>
            <w:top w:w="0" w:type="dxa"/>
            <w:left w:w="108" w:type="dxa"/>
            <w:bottom w:w="0" w:type="dxa"/>
            <w:right w:w="108" w:type="dxa"/>
          </w:tblCellMar>
        </w:tblPrEx>
        <w:trPr>
          <w:trHeight w:val="88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1380EEB9">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6.3.2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6E267D8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评标委员会确定中标候选人的人数</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5D8664CA">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 xml:space="preserve"> </w:t>
            </w:r>
            <w:r>
              <w:rPr>
                <w:rFonts w:hint="eastAsia" w:ascii="宋体" w:hAnsi="宋体" w:cs="宋体"/>
                <w:color w:val="000000"/>
                <w:sz w:val="24"/>
                <w:highlight w:val="none"/>
                <w:u w:val="single"/>
                <w:lang w:val="en-US" w:eastAsia="zh-CN"/>
              </w:rPr>
              <w:t>3</w:t>
            </w:r>
            <w:r>
              <w:rPr>
                <w:rFonts w:hint="eastAsia" w:ascii="宋体" w:hAnsi="宋体" w:cs="宋体"/>
                <w:color w:val="000000"/>
                <w:sz w:val="24"/>
                <w:highlight w:val="none"/>
              </w:rPr>
              <w:t>名。</w:t>
            </w:r>
          </w:p>
        </w:tc>
      </w:tr>
      <w:tr w14:paraId="46CA5E54">
        <w:tblPrEx>
          <w:tblCellMar>
            <w:top w:w="0" w:type="dxa"/>
            <w:left w:w="108" w:type="dxa"/>
            <w:bottom w:w="0" w:type="dxa"/>
            <w:right w:w="108" w:type="dxa"/>
          </w:tblCellMar>
        </w:tblPrEx>
        <w:trPr>
          <w:trHeight w:val="653"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4FFB12D4">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7.1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54596FE6">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中标候选人公示媒介及期限</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44ACFCED">
            <w:pPr>
              <w:keepNext w:val="0"/>
              <w:keepLines w:val="0"/>
              <w:pageBreakBefore w:val="0"/>
              <w:widowControl/>
              <w:kinsoku/>
              <w:wordWrap/>
              <w:overflowPunct/>
              <w:autoSpaceDE/>
              <w:autoSpaceDN/>
              <w:bidi w:val="0"/>
              <w:adjustRightInd w:val="0"/>
              <w:snapToGrid w:val="0"/>
              <w:spacing w:line="440" w:lineRule="exact"/>
              <w:jc w:val="left"/>
              <w:textAlignment w:val="auto"/>
              <w:rPr>
                <w:rFonts w:ascii="宋体" w:hAnsi="宋体" w:cs="宋体"/>
                <w:color w:val="000000"/>
                <w:sz w:val="24"/>
                <w:highlight w:val="none"/>
              </w:rPr>
            </w:pPr>
            <w:r>
              <w:rPr>
                <w:rFonts w:hint="eastAsia" w:ascii="宋体" w:hAnsi="宋体" w:cs="宋体"/>
                <w:color w:val="000000"/>
                <w:sz w:val="24"/>
                <w:highlight w:val="none"/>
              </w:rPr>
              <w:t>公示媒介：同招标公告发布媒介</w:t>
            </w:r>
          </w:p>
          <w:p w14:paraId="1F6754BD">
            <w:pPr>
              <w:keepNext w:val="0"/>
              <w:keepLines w:val="0"/>
              <w:pageBreakBefore w:val="0"/>
              <w:widowControl/>
              <w:kinsoku/>
              <w:wordWrap/>
              <w:overflowPunct/>
              <w:autoSpaceDE/>
              <w:autoSpaceDN/>
              <w:bidi w:val="0"/>
              <w:adjustRightInd w:val="0"/>
              <w:snapToGrid w:val="0"/>
              <w:spacing w:line="440" w:lineRule="exact"/>
              <w:jc w:val="left"/>
              <w:textAlignment w:val="auto"/>
              <w:rPr>
                <w:rFonts w:ascii="宋体" w:hAnsi="宋体" w:cs="宋体"/>
                <w:color w:val="000000"/>
                <w:sz w:val="24"/>
                <w:highlight w:val="none"/>
              </w:rPr>
            </w:pPr>
            <w:r>
              <w:rPr>
                <w:rFonts w:hint="eastAsia" w:ascii="宋体" w:hAnsi="宋体" w:cs="宋体"/>
                <w:color w:val="000000"/>
                <w:sz w:val="24"/>
                <w:highlight w:val="none"/>
              </w:rPr>
              <w:t>公示期限：公示发布次日起3日（如公示第三日为休息日或节假日，则顺延至休息日或节假日后第一个工作日）</w:t>
            </w:r>
          </w:p>
        </w:tc>
      </w:tr>
      <w:tr w14:paraId="541B1D72">
        <w:tblPrEx>
          <w:tblCellMar>
            <w:top w:w="0" w:type="dxa"/>
            <w:left w:w="108" w:type="dxa"/>
            <w:bottom w:w="0" w:type="dxa"/>
            <w:right w:w="108" w:type="dxa"/>
          </w:tblCellMar>
        </w:tblPrEx>
        <w:trPr>
          <w:trHeight w:val="653"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495DF9A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7.5</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7F309688">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是否授权评标委员会确定中标人</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08171198">
            <w:pPr>
              <w:keepNext w:val="0"/>
              <w:keepLines w:val="0"/>
              <w:pageBreakBefore w:val="0"/>
              <w:widowControl/>
              <w:kinsoku/>
              <w:wordWrap/>
              <w:overflowPunct/>
              <w:autoSpaceDE/>
              <w:autoSpaceDN/>
              <w:bidi w:val="0"/>
              <w:adjustRightInd w:val="0"/>
              <w:snapToGrid w:val="0"/>
              <w:spacing w:line="440" w:lineRule="exact"/>
              <w:jc w:val="left"/>
              <w:textAlignment w:val="auto"/>
              <w:rPr>
                <w:rFonts w:hint="eastAsia" w:ascii="宋体" w:hAnsi="宋体" w:eastAsia="方正小标宋简体" w:cs="宋体"/>
                <w:color w:val="000000"/>
                <w:sz w:val="24"/>
                <w:highlight w:val="none"/>
                <w:u w:val="single"/>
                <w:lang w:val="en-US" w:eastAsia="zh-CN"/>
              </w:rPr>
            </w:pPr>
            <w:r>
              <w:rPr>
                <w:rFonts w:hint="eastAsia" w:ascii="宋体" w:hAnsi="宋体" w:eastAsia="宋体" w:cs="宋体"/>
                <w:color w:val="000000"/>
                <w:sz w:val="24"/>
                <w:highlight w:val="none"/>
                <w:lang w:val="en-US" w:eastAsia="zh-CN"/>
              </w:rPr>
              <w:t>否</w:t>
            </w:r>
            <w:r>
              <w:rPr>
                <w:rFonts w:hint="eastAsia" w:ascii="宋体" w:hAnsi="宋体" w:eastAsia="宋体" w:cs="宋体"/>
                <w:color w:val="000000"/>
                <w:sz w:val="24"/>
                <w:highlight w:val="none"/>
                <w:lang w:eastAsia="zh-CN"/>
              </w:rPr>
              <w:t>。</w:t>
            </w:r>
          </w:p>
        </w:tc>
      </w:tr>
      <w:tr w14:paraId="24F89E1F">
        <w:tblPrEx>
          <w:tblCellMar>
            <w:top w:w="0" w:type="dxa"/>
            <w:left w:w="108" w:type="dxa"/>
            <w:bottom w:w="0" w:type="dxa"/>
            <w:right w:w="108" w:type="dxa"/>
          </w:tblCellMar>
        </w:tblPrEx>
        <w:trPr>
          <w:trHeight w:val="653"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02BDC14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7.6</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3B5A35CE">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color w:val="000000"/>
                <w:sz w:val="24"/>
                <w:highlight w:val="none"/>
              </w:rPr>
              <w:t>中标通知书发出形式</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2B949E7F">
            <w:pPr>
              <w:keepNext w:val="0"/>
              <w:keepLines w:val="0"/>
              <w:pageBreakBefore w:val="0"/>
              <w:widowControl/>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color w:val="000000"/>
                <w:sz w:val="24"/>
                <w:highlight w:val="none"/>
              </w:rPr>
              <w:t>数据电文</w:t>
            </w:r>
          </w:p>
        </w:tc>
      </w:tr>
      <w:tr w14:paraId="1A8F80A8">
        <w:tblPrEx>
          <w:tblCellMar>
            <w:top w:w="0" w:type="dxa"/>
            <w:left w:w="108" w:type="dxa"/>
            <w:bottom w:w="0" w:type="dxa"/>
            <w:right w:w="108" w:type="dxa"/>
          </w:tblCellMar>
        </w:tblPrEx>
        <w:trPr>
          <w:trHeight w:val="653"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2E87937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7.7</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44B02D2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中标结果公示媒介</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05FEC1C2">
            <w:pPr>
              <w:keepNext w:val="0"/>
              <w:keepLines w:val="0"/>
              <w:pageBreakBefore w:val="0"/>
              <w:widowControl/>
              <w:kinsoku/>
              <w:wordWrap/>
              <w:overflowPunct/>
              <w:autoSpaceDE/>
              <w:autoSpaceDN/>
              <w:bidi w:val="0"/>
              <w:adjustRightInd w:val="0"/>
              <w:snapToGrid w:val="0"/>
              <w:spacing w:line="440" w:lineRule="exact"/>
              <w:jc w:val="left"/>
              <w:textAlignment w:val="auto"/>
              <w:rPr>
                <w:rFonts w:ascii="宋体" w:hAnsi="宋体" w:cs="宋体"/>
                <w:color w:val="000000"/>
                <w:sz w:val="24"/>
                <w:highlight w:val="none"/>
              </w:rPr>
            </w:pPr>
            <w:r>
              <w:rPr>
                <w:rFonts w:hint="eastAsia" w:ascii="宋体" w:hAnsi="宋体" w:cs="宋体"/>
                <w:color w:val="000000"/>
                <w:sz w:val="24"/>
                <w:highlight w:val="none"/>
              </w:rPr>
              <w:t>公示媒介：同招标公告发布媒介；</w:t>
            </w:r>
          </w:p>
          <w:p w14:paraId="5CE1E4E9">
            <w:pPr>
              <w:keepNext w:val="0"/>
              <w:keepLines w:val="0"/>
              <w:pageBreakBefore w:val="0"/>
              <w:widowControl/>
              <w:kinsoku/>
              <w:wordWrap/>
              <w:overflowPunct/>
              <w:autoSpaceDE/>
              <w:autoSpaceDN/>
              <w:bidi w:val="0"/>
              <w:adjustRightInd w:val="0"/>
              <w:snapToGrid w:val="0"/>
              <w:spacing w:line="440" w:lineRule="exact"/>
              <w:jc w:val="left"/>
              <w:textAlignment w:val="auto"/>
              <w:rPr>
                <w:color w:val="000000"/>
                <w:highlight w:val="none"/>
              </w:rPr>
            </w:pPr>
            <w:r>
              <w:rPr>
                <w:rFonts w:hint="eastAsia" w:ascii="宋体" w:hAnsi="宋体" w:cs="宋体"/>
                <w:color w:val="000000"/>
                <w:sz w:val="24"/>
                <w:highlight w:val="none"/>
              </w:rPr>
              <w:t>公示期限：</w:t>
            </w:r>
            <w:r>
              <w:rPr>
                <w:rFonts w:hint="eastAsia" w:ascii="宋体" w:hAnsi="宋体" w:cs="宋体"/>
                <w:color w:val="000000"/>
                <w:sz w:val="24"/>
                <w:highlight w:val="none"/>
                <w:lang w:val="en-US" w:eastAsia="zh-CN"/>
              </w:rPr>
              <w:t>1</w:t>
            </w:r>
            <w:r>
              <w:rPr>
                <w:rFonts w:hint="eastAsia" w:ascii="宋体" w:hAnsi="宋体" w:cs="宋体"/>
                <w:color w:val="000000"/>
                <w:sz w:val="24"/>
                <w:highlight w:val="none"/>
              </w:rPr>
              <w:t>日（公示期截止时间在法定休息日的顺延至首个工作日）。</w:t>
            </w:r>
          </w:p>
        </w:tc>
      </w:tr>
      <w:tr w14:paraId="01A7C7A0">
        <w:tblPrEx>
          <w:tblCellMar>
            <w:top w:w="0" w:type="dxa"/>
            <w:left w:w="108" w:type="dxa"/>
            <w:bottom w:w="0" w:type="dxa"/>
            <w:right w:w="108" w:type="dxa"/>
          </w:tblCellMar>
        </w:tblPrEx>
        <w:trPr>
          <w:trHeight w:val="97"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206DE723">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7.8</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796766C1">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履约担保</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4B57BC36">
            <w:pPr>
              <w:keepNext w:val="0"/>
              <w:keepLines w:val="0"/>
              <w:pageBreakBefore w:val="0"/>
              <w:widowControl/>
              <w:kinsoku/>
              <w:wordWrap/>
              <w:overflowPunct/>
              <w:autoSpaceDE/>
              <w:autoSpaceDN/>
              <w:bidi w:val="0"/>
              <w:spacing w:line="440" w:lineRule="exact"/>
              <w:jc w:val="left"/>
              <w:textAlignment w:val="auto"/>
              <w:rPr>
                <w:rFonts w:ascii="宋体" w:hAnsi="宋体" w:cs="宋体"/>
                <w:color w:val="000000"/>
                <w:kern w:val="0"/>
                <w:szCs w:val="21"/>
                <w:highlight w:val="none"/>
              </w:rPr>
            </w:pPr>
            <w:r>
              <w:rPr>
                <w:rFonts w:hint="eastAsia" w:ascii="宋体" w:hAnsi="宋体" w:cs="宋体"/>
                <w:color w:val="000000"/>
                <w:sz w:val="24"/>
                <w:highlight w:val="none"/>
              </w:rPr>
              <w:t>要求中标人提交履约保证金。</w:t>
            </w:r>
          </w:p>
          <w:p w14:paraId="7E5AD46E">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形式：支持银行转账、银行电汇、银行保函、担保机构担保、保证保险使用。</w:t>
            </w:r>
          </w:p>
          <w:p w14:paraId="39F99E6A">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金   额：中标合同金额×</w:t>
            </w:r>
            <w:r>
              <w:rPr>
                <w:rFonts w:hint="eastAsia" w:ascii="宋体" w:hAnsi="宋体" w:cs="宋体"/>
                <w:color w:val="000000"/>
                <w:sz w:val="24"/>
                <w:highlight w:val="none"/>
                <w:u w:val="single"/>
              </w:rPr>
              <w:t>2%</w:t>
            </w:r>
            <w:r>
              <w:rPr>
                <w:rFonts w:hint="eastAsia" w:ascii="宋体" w:hAnsi="宋体" w:cs="宋体"/>
                <w:color w:val="000000"/>
                <w:sz w:val="24"/>
                <w:highlight w:val="none"/>
              </w:rPr>
              <w:t xml:space="preserve"> </w:t>
            </w:r>
          </w:p>
          <w:p w14:paraId="5503685E">
            <w:pPr>
              <w:keepNext w:val="0"/>
              <w:keepLines w:val="0"/>
              <w:pageBreakBefore w:val="0"/>
              <w:kinsoku/>
              <w:wordWrap/>
              <w:overflowPunct/>
              <w:autoSpaceDE/>
              <w:autoSpaceDN/>
              <w:bidi w:val="0"/>
              <w:adjustRightInd w:val="0"/>
              <w:snapToGrid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rPr>
              <w:t>收款单位：</w:t>
            </w:r>
            <w:r>
              <w:rPr>
                <w:rFonts w:hint="eastAsia" w:ascii="宋体" w:hAnsi="宋体" w:eastAsia="宋体" w:cs="宋体"/>
                <w:color w:val="000000"/>
                <w:sz w:val="24"/>
                <w:highlight w:val="none"/>
                <w:lang w:val="en-US" w:eastAsia="zh-CN"/>
              </w:rPr>
              <w:t>滁州市亭城文化旅游投资集团有限公司</w:t>
            </w:r>
          </w:p>
          <w:p w14:paraId="2FBD57C0">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开户银行：</w:t>
            </w:r>
            <w:r>
              <w:rPr>
                <w:rFonts w:hint="eastAsia" w:ascii="宋体" w:hAnsi="宋体" w:cs="宋体"/>
                <w:color w:val="000000"/>
                <w:sz w:val="24"/>
                <w:highlight w:val="none"/>
                <w:lang w:val="en-US" w:eastAsia="zh-CN"/>
              </w:rPr>
              <w:t>中标后另行通知</w:t>
            </w:r>
          </w:p>
          <w:p w14:paraId="56E5C3D2">
            <w:pPr>
              <w:keepNext w:val="0"/>
              <w:keepLines w:val="0"/>
              <w:pageBreakBefore w:val="0"/>
              <w:kinsoku/>
              <w:wordWrap/>
              <w:overflowPunct/>
              <w:autoSpaceDE/>
              <w:autoSpaceDN/>
              <w:bidi w:val="0"/>
              <w:adjustRightInd w:val="0"/>
              <w:snapToGrid w:val="0"/>
              <w:spacing w:line="440" w:lineRule="exact"/>
              <w:textAlignment w:val="auto"/>
              <w:rPr>
                <w:rFonts w:hint="eastAsia" w:ascii="宋体" w:hAnsi="宋体" w:cs="宋体"/>
                <w:color w:val="000000"/>
                <w:sz w:val="24"/>
                <w:highlight w:val="none"/>
                <w:lang w:val="en-US" w:eastAsia="zh-CN"/>
              </w:rPr>
            </w:pPr>
            <w:r>
              <w:rPr>
                <w:rFonts w:hint="eastAsia" w:ascii="宋体" w:hAnsi="宋体" w:cs="宋体"/>
                <w:color w:val="000000"/>
                <w:sz w:val="24"/>
                <w:highlight w:val="none"/>
              </w:rPr>
              <w:t>银行账号：</w:t>
            </w:r>
            <w:r>
              <w:rPr>
                <w:rFonts w:hint="eastAsia" w:ascii="宋体" w:hAnsi="宋体" w:cs="宋体"/>
                <w:color w:val="000000"/>
                <w:sz w:val="24"/>
                <w:highlight w:val="none"/>
                <w:lang w:val="en-US" w:eastAsia="zh-CN"/>
              </w:rPr>
              <w:t>中标后另行通知</w:t>
            </w:r>
          </w:p>
          <w:p w14:paraId="50530BC1">
            <w:pPr>
              <w:keepNext w:val="0"/>
              <w:keepLines w:val="0"/>
              <w:pageBreakBefore w:val="0"/>
              <w:kinsoku/>
              <w:wordWrap/>
              <w:overflowPunct/>
              <w:autoSpaceDE/>
              <w:autoSpaceDN/>
              <w:bidi w:val="0"/>
              <w:adjustRightInd w:val="0"/>
              <w:snapToGrid w:val="0"/>
              <w:spacing w:line="440" w:lineRule="exact"/>
              <w:textAlignment w:val="auto"/>
              <w:rPr>
                <w:rFonts w:hint="eastAsia" w:ascii="宋体" w:hAnsi="宋体" w:cs="宋体"/>
                <w:color w:val="000000"/>
                <w:sz w:val="24"/>
                <w:highlight w:val="none"/>
                <w:lang w:val="en-US" w:eastAsia="zh-CN"/>
              </w:rPr>
            </w:pPr>
            <w:r>
              <w:rPr>
                <w:rFonts w:hint="eastAsia" w:ascii="宋体" w:hAnsi="宋体" w:cs="宋体"/>
                <w:color w:val="000000"/>
                <w:sz w:val="24"/>
                <w:highlight w:val="none"/>
              </w:rPr>
              <w:t>缴纳时限：</w:t>
            </w:r>
            <w:r>
              <w:rPr>
                <w:rFonts w:hint="eastAsia" w:ascii="宋体" w:hAnsi="宋体" w:cs="宋体"/>
                <w:color w:val="000000"/>
                <w:sz w:val="24"/>
                <w:highlight w:val="none"/>
                <w:lang w:val="en-US" w:eastAsia="zh-CN"/>
              </w:rPr>
              <w:t>中标后另行通知</w:t>
            </w:r>
          </w:p>
          <w:p w14:paraId="1C8F1426">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履约保证金退还时限：履约保证金有效期满7日内。</w:t>
            </w:r>
          </w:p>
          <w:p w14:paraId="5D5A0364">
            <w:pPr>
              <w:pStyle w:val="17"/>
              <w:keepNext w:val="0"/>
              <w:keepLines w:val="0"/>
              <w:pageBreakBefore w:val="0"/>
              <w:numPr>
                <w:ilvl w:val="0"/>
                <w:numId w:val="0"/>
              </w:numPr>
              <w:kinsoku/>
              <w:wordWrap/>
              <w:overflowPunct/>
              <w:autoSpaceDE/>
              <w:autoSpaceDN/>
              <w:bidi w:val="0"/>
              <w:adjustRightInd w:val="0"/>
              <w:snapToGrid w:val="0"/>
              <w:spacing w:after="0" w:line="440" w:lineRule="exact"/>
              <w:ind w:leftChars="0"/>
              <w:textAlignment w:val="auto"/>
              <w:rPr>
                <w:rFonts w:hint="eastAsia" w:ascii="宋体" w:hAnsi="宋体" w:cs="宋体"/>
                <w:color w:val="000000"/>
                <w:position w:val="6"/>
                <w:sz w:val="24"/>
                <w:highlight w:val="none"/>
                <w:u w:val="single"/>
              </w:rPr>
            </w:pPr>
            <w:r>
              <w:rPr>
                <w:rFonts w:hint="eastAsia" w:ascii="宋体" w:hAnsi="宋体" w:cs="宋体"/>
                <w:color w:val="000000"/>
                <w:position w:val="6"/>
                <w:sz w:val="24"/>
                <w:highlight w:val="none"/>
                <w:u w:val="single"/>
              </w:rPr>
              <w:t>其他相关要求：满足招标人要求</w:t>
            </w:r>
          </w:p>
          <w:p w14:paraId="6933FFC7">
            <w:pPr>
              <w:pStyle w:val="17"/>
              <w:keepNext w:val="0"/>
              <w:keepLines w:val="0"/>
              <w:pageBreakBefore w:val="0"/>
              <w:numPr>
                <w:ilvl w:val="0"/>
                <w:numId w:val="0"/>
              </w:numPr>
              <w:kinsoku/>
              <w:wordWrap/>
              <w:overflowPunct/>
              <w:autoSpaceDE/>
              <w:autoSpaceDN/>
              <w:bidi w:val="0"/>
              <w:adjustRightInd w:val="0"/>
              <w:snapToGrid w:val="0"/>
              <w:spacing w:after="0" w:line="440" w:lineRule="exact"/>
              <w:ind w:leftChars="0"/>
              <w:textAlignment w:val="auto"/>
              <w:rPr>
                <w:color w:val="000000"/>
                <w:sz w:val="24"/>
                <w:highlight w:val="none"/>
              </w:rPr>
            </w:pPr>
            <w:r>
              <w:rPr>
                <w:rFonts w:hint="eastAsia" w:ascii="宋体" w:hAnsi="宋体" w:cs="宋体"/>
                <w:color w:val="000000"/>
                <w:position w:val="6"/>
                <w:sz w:val="24"/>
                <w:highlight w:val="none"/>
                <w:u w:val="single"/>
              </w:rPr>
              <w:t>联合体参加投标且中标的，以联合体牵头人的名义按上述要求缴纳履约担保。</w:t>
            </w:r>
          </w:p>
        </w:tc>
      </w:tr>
      <w:tr w14:paraId="5CF76D83">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15204DDF">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7.9</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54E15DB3">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color w:val="000000"/>
                <w:sz w:val="24"/>
                <w:highlight w:val="none"/>
              </w:rPr>
              <w:t>签订合同</w:t>
            </w:r>
          </w:p>
        </w:tc>
        <w:tc>
          <w:tcPr>
            <w:tcW w:w="7175" w:type="dxa"/>
            <w:tcBorders>
              <w:top w:val="single" w:color="auto" w:sz="4" w:space="0"/>
              <w:left w:val="single" w:color="auto" w:sz="4" w:space="0"/>
              <w:bottom w:val="single" w:color="auto" w:sz="4" w:space="0"/>
              <w:right w:val="single" w:color="auto" w:sz="4" w:space="0"/>
            </w:tcBorders>
            <w:noWrap w:val="0"/>
            <w:vAlign w:val="top"/>
          </w:tcPr>
          <w:p w14:paraId="7E03E35C">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color w:val="000000"/>
                <w:sz w:val="24"/>
                <w:highlight w:val="none"/>
              </w:rPr>
              <w:t>中标通知书发出之日起</w:t>
            </w:r>
            <w:r>
              <w:rPr>
                <w:rFonts w:hint="eastAsia"/>
                <w:color w:val="000000"/>
                <w:sz w:val="24"/>
                <w:highlight w:val="none"/>
                <w:u w:val="single"/>
                <w:lang w:val="en-US" w:eastAsia="zh-CN"/>
              </w:rPr>
              <w:t>3</w:t>
            </w:r>
            <w:r>
              <w:rPr>
                <w:rFonts w:hint="eastAsia"/>
                <w:color w:val="000000"/>
                <w:sz w:val="24"/>
                <w:highlight w:val="none"/>
              </w:rPr>
              <w:t>日内，应委派代表与招标人联系并商讨书面合同签订事宜。中标人和招标人应在投标有效期内以及中标通知书发出之日起30日内，根据招标文件和中标人的投标文件订立书面合同。</w:t>
            </w:r>
          </w:p>
        </w:tc>
      </w:tr>
      <w:tr w14:paraId="06F0A14A">
        <w:tblPrEx>
          <w:tblCellMar>
            <w:top w:w="0" w:type="dxa"/>
            <w:left w:w="108" w:type="dxa"/>
            <w:bottom w:w="0" w:type="dxa"/>
            <w:right w:w="108" w:type="dxa"/>
          </w:tblCellMar>
        </w:tblPrEx>
        <w:trPr>
          <w:trHeight w:val="90" w:hRule="atLeast"/>
          <w:jc w:val="center"/>
        </w:trPr>
        <w:tc>
          <w:tcPr>
            <w:tcW w:w="10175" w:type="dxa"/>
            <w:gridSpan w:val="3"/>
            <w:tcBorders>
              <w:top w:val="single" w:color="auto" w:sz="4" w:space="0"/>
              <w:left w:val="single" w:color="auto" w:sz="4" w:space="0"/>
              <w:bottom w:val="single" w:color="auto" w:sz="4" w:space="0"/>
              <w:right w:val="single" w:color="auto" w:sz="4" w:space="0"/>
            </w:tcBorders>
            <w:noWrap w:val="0"/>
            <w:vAlign w:val="center"/>
          </w:tcPr>
          <w:p w14:paraId="5998DE3C">
            <w:pPr>
              <w:keepNext w:val="0"/>
              <w:keepLines w:val="0"/>
              <w:pageBreakBefore w:val="0"/>
              <w:kinsoku/>
              <w:wordWrap/>
              <w:overflowPunct/>
              <w:autoSpaceDE/>
              <w:autoSpaceDN/>
              <w:bidi w:val="0"/>
              <w:adjustRightInd w:val="0"/>
              <w:snapToGrid w:val="0"/>
              <w:spacing w:line="440" w:lineRule="exact"/>
              <w:jc w:val="left"/>
              <w:textAlignment w:val="auto"/>
              <w:rPr>
                <w:rFonts w:ascii="宋体" w:hAnsi="宋体" w:cs="宋体"/>
                <w:color w:val="000000"/>
                <w:sz w:val="24"/>
                <w:highlight w:val="none"/>
              </w:rPr>
            </w:pPr>
            <w:r>
              <w:rPr>
                <w:rFonts w:hint="eastAsia" w:ascii="宋体" w:hAnsi="宋体" w:cs="宋体"/>
                <w:color w:val="000000"/>
                <w:sz w:val="24"/>
                <w:highlight w:val="none"/>
              </w:rPr>
              <w:t>10.需要补充的其他内容</w:t>
            </w:r>
          </w:p>
        </w:tc>
      </w:tr>
      <w:tr w14:paraId="0CB6DA2B">
        <w:tblPrEx>
          <w:tblCellMar>
            <w:top w:w="0" w:type="dxa"/>
            <w:left w:w="108" w:type="dxa"/>
            <w:bottom w:w="0" w:type="dxa"/>
            <w:right w:w="108" w:type="dxa"/>
          </w:tblCellMar>
        </w:tblPrEx>
        <w:trPr>
          <w:trHeight w:val="90" w:hRule="atLeast"/>
          <w:jc w:val="center"/>
        </w:trPr>
        <w:tc>
          <w:tcPr>
            <w:tcW w:w="10175" w:type="dxa"/>
            <w:gridSpan w:val="3"/>
            <w:tcBorders>
              <w:top w:val="single" w:color="auto" w:sz="4" w:space="0"/>
              <w:left w:val="single" w:color="auto" w:sz="4" w:space="0"/>
              <w:bottom w:val="single" w:color="auto" w:sz="4" w:space="0"/>
              <w:right w:val="single" w:color="auto" w:sz="4" w:space="0"/>
            </w:tcBorders>
            <w:noWrap w:val="0"/>
            <w:vAlign w:val="center"/>
          </w:tcPr>
          <w:p w14:paraId="00B139A8">
            <w:pPr>
              <w:keepNext w:val="0"/>
              <w:keepLines w:val="0"/>
              <w:pageBreakBefore w:val="0"/>
              <w:kinsoku/>
              <w:wordWrap/>
              <w:overflowPunct/>
              <w:autoSpaceDE/>
              <w:autoSpaceDN/>
              <w:bidi w:val="0"/>
              <w:adjustRightInd w:val="0"/>
              <w:snapToGrid w:val="0"/>
              <w:spacing w:line="440" w:lineRule="exact"/>
              <w:jc w:val="left"/>
              <w:textAlignment w:val="auto"/>
              <w:rPr>
                <w:rFonts w:ascii="宋体" w:hAnsi="宋体" w:cs="宋体"/>
                <w:color w:val="000000"/>
                <w:sz w:val="24"/>
                <w:highlight w:val="none"/>
              </w:rPr>
            </w:pPr>
            <w:r>
              <w:rPr>
                <w:rFonts w:hint="eastAsia" w:ascii="宋体" w:hAnsi="宋体" w:cs="宋体"/>
                <w:color w:val="000000"/>
                <w:sz w:val="24"/>
                <w:highlight w:val="none"/>
              </w:rPr>
              <w:t>10.1招标代理服务费和专家评审劳务费</w:t>
            </w:r>
          </w:p>
        </w:tc>
      </w:tr>
      <w:tr w14:paraId="0926A570">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63D0A866">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10.1.1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669439D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招标代理服务费</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20F06F39">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kern w:val="0"/>
                <w:sz w:val="24"/>
                <w:highlight w:val="none"/>
              </w:rPr>
            </w:pPr>
            <w:r>
              <w:rPr>
                <w:rFonts w:hint="eastAsia" w:ascii="宋体" w:hAnsi="宋体" w:cs="宋体"/>
                <w:color w:val="000000"/>
                <w:sz w:val="24"/>
                <w:highlight w:val="none"/>
              </w:rPr>
              <w:t>代理服务费具体金额：</w:t>
            </w:r>
            <w:r>
              <w:rPr>
                <w:rFonts w:hint="eastAsia" w:ascii="宋体" w:hAnsi="宋体" w:cs="宋体"/>
                <w:color w:val="000000"/>
                <w:kern w:val="0"/>
                <w:sz w:val="24"/>
                <w:highlight w:val="none"/>
                <w:u w:val="single"/>
                <w:lang w:val="en-US" w:eastAsia="zh-CN"/>
              </w:rPr>
              <w:t>36398</w:t>
            </w:r>
            <w:r>
              <w:rPr>
                <w:rFonts w:hint="eastAsia" w:ascii="宋体" w:hAnsi="宋体" w:cs="宋体"/>
                <w:color w:val="000000"/>
                <w:kern w:val="0"/>
                <w:sz w:val="24"/>
                <w:highlight w:val="none"/>
              </w:rPr>
              <w:t>元；</w:t>
            </w:r>
          </w:p>
          <w:p w14:paraId="003A4CF5">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kern w:val="0"/>
                <w:sz w:val="24"/>
                <w:highlight w:val="none"/>
                <w:u w:val="single"/>
              </w:rPr>
            </w:pPr>
            <w:r>
              <w:rPr>
                <w:rFonts w:hint="eastAsia" w:ascii="宋体" w:hAnsi="宋体" w:cs="宋体"/>
                <w:color w:val="000000"/>
                <w:kern w:val="0"/>
                <w:sz w:val="24"/>
                <w:highlight w:val="none"/>
              </w:rPr>
              <w:t>代理服务费支付主体</w:t>
            </w:r>
            <w:r>
              <w:rPr>
                <w:rStyle w:val="30"/>
                <w:rFonts w:ascii="宋体" w:hAnsi="宋体" w:cs="宋体"/>
                <w:color w:val="000000"/>
                <w:kern w:val="0"/>
                <w:sz w:val="24"/>
                <w:highlight w:val="none"/>
              </w:rPr>
              <w:footnoteReference w:id="1"/>
            </w:r>
            <w:r>
              <w:rPr>
                <w:rFonts w:hint="eastAsia" w:ascii="宋体" w:hAnsi="宋体" w:cs="宋体"/>
                <w:color w:val="000000"/>
                <w:sz w:val="24"/>
                <w:highlight w:val="none"/>
              </w:rPr>
              <w:t>：</w:t>
            </w:r>
            <w:r>
              <w:rPr>
                <w:rFonts w:hint="eastAsia" w:ascii="宋体" w:hAnsi="宋体" w:cs="宋体"/>
                <w:color w:val="000000"/>
                <w:kern w:val="0"/>
                <w:sz w:val="24"/>
                <w:highlight w:val="none"/>
                <w:u w:val="single"/>
                <w:lang w:val="en-US" w:eastAsia="zh-CN"/>
              </w:rPr>
              <w:t>中标单位</w:t>
            </w:r>
            <w:r>
              <w:rPr>
                <w:rFonts w:hint="eastAsia" w:ascii="宋体" w:hAnsi="宋体" w:cs="宋体"/>
                <w:color w:val="000000"/>
                <w:kern w:val="0"/>
                <w:sz w:val="24"/>
                <w:highlight w:val="none"/>
              </w:rPr>
              <w:t>。</w:t>
            </w:r>
          </w:p>
        </w:tc>
      </w:tr>
      <w:tr w14:paraId="12902316">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55BE80F7">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10.1.2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285FD89F">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专家评审劳务费</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2E6499D8">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color w:val="000000"/>
                <w:sz w:val="24"/>
                <w:highlight w:val="none"/>
              </w:rPr>
              <w:t>费用或支付标准：</w:t>
            </w:r>
            <w:r>
              <w:rPr>
                <w:rFonts w:hint="eastAsia" w:ascii="宋体" w:hAnsi="宋体" w:cs="宋体"/>
                <w:color w:val="000000"/>
                <w:sz w:val="24"/>
                <w:highlight w:val="none"/>
                <w:lang w:val="en-US" w:eastAsia="zh-CN"/>
              </w:rPr>
              <w:t>以实际发生为准。</w:t>
            </w:r>
            <w:r>
              <w:rPr>
                <w:rFonts w:hint="eastAsia" w:ascii="宋体" w:hAnsi="宋体" w:cs="宋体"/>
                <w:color w:val="000000"/>
                <w:sz w:val="24"/>
                <w:highlight w:val="none"/>
              </w:rPr>
              <w:t xml:space="preserve">  </w:t>
            </w:r>
          </w:p>
          <w:p w14:paraId="13050C98">
            <w:pPr>
              <w:keepNext w:val="0"/>
              <w:keepLines w:val="0"/>
              <w:pageBreakBefore w:val="0"/>
              <w:kinsoku/>
              <w:wordWrap/>
              <w:overflowPunct/>
              <w:autoSpaceDE/>
              <w:autoSpaceDN/>
              <w:bidi w:val="0"/>
              <w:adjustRightInd w:val="0"/>
              <w:snapToGrid w:val="0"/>
              <w:spacing w:line="440" w:lineRule="exact"/>
              <w:textAlignment w:val="auto"/>
              <w:rPr>
                <w:color w:val="000000"/>
                <w:sz w:val="24"/>
                <w:highlight w:val="none"/>
              </w:rPr>
            </w:pPr>
            <w:r>
              <w:rPr>
                <w:rFonts w:hint="eastAsia" w:ascii="宋体" w:hAnsi="宋体" w:cs="宋体"/>
                <w:color w:val="000000"/>
                <w:sz w:val="24"/>
                <w:highlight w:val="none"/>
              </w:rPr>
              <w:t>支付主体：</w:t>
            </w:r>
            <w:r>
              <w:rPr>
                <w:rFonts w:hint="eastAsia" w:ascii="宋体" w:hAnsi="宋体" w:cs="宋体"/>
                <w:color w:val="000000"/>
                <w:sz w:val="24"/>
                <w:highlight w:val="none"/>
                <w:lang w:val="en-US" w:eastAsia="zh-CN"/>
              </w:rPr>
              <w:t>招标代理机构。</w:t>
            </w:r>
            <w:r>
              <w:rPr>
                <w:rFonts w:hint="eastAsia" w:ascii="宋体" w:hAnsi="宋体" w:cs="宋体"/>
                <w:color w:val="000000"/>
                <w:sz w:val="24"/>
                <w:highlight w:val="none"/>
              </w:rPr>
              <w:t xml:space="preserve">  </w:t>
            </w:r>
          </w:p>
        </w:tc>
      </w:tr>
      <w:tr w14:paraId="7C254588">
        <w:tblPrEx>
          <w:tblCellMar>
            <w:top w:w="0" w:type="dxa"/>
            <w:left w:w="108" w:type="dxa"/>
            <w:bottom w:w="0" w:type="dxa"/>
            <w:right w:w="108" w:type="dxa"/>
          </w:tblCellMar>
        </w:tblPrEx>
        <w:trPr>
          <w:trHeight w:val="90" w:hRule="atLeast"/>
          <w:jc w:val="center"/>
        </w:trPr>
        <w:tc>
          <w:tcPr>
            <w:tcW w:w="10175" w:type="dxa"/>
            <w:gridSpan w:val="3"/>
            <w:tcBorders>
              <w:top w:val="single" w:color="auto" w:sz="4" w:space="0"/>
              <w:left w:val="single" w:color="auto" w:sz="4" w:space="0"/>
              <w:bottom w:val="single" w:color="auto" w:sz="4" w:space="0"/>
              <w:right w:val="single" w:color="auto" w:sz="4" w:space="0"/>
            </w:tcBorders>
            <w:noWrap w:val="0"/>
            <w:vAlign w:val="center"/>
          </w:tcPr>
          <w:p w14:paraId="62543366">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bCs/>
                <w:snapToGrid w:val="0"/>
                <w:color w:val="000000"/>
                <w:kern w:val="0"/>
                <w:sz w:val="24"/>
                <w:highlight w:val="none"/>
              </w:rPr>
            </w:pPr>
            <w:r>
              <w:rPr>
                <w:rFonts w:hint="eastAsia" w:ascii="宋体" w:hAnsi="宋体" w:cs="宋体"/>
                <w:color w:val="000000"/>
                <w:sz w:val="24"/>
                <w:highlight w:val="none"/>
              </w:rPr>
              <w:t>10.2 招标文件获取与通知</w:t>
            </w:r>
          </w:p>
        </w:tc>
      </w:tr>
      <w:tr w14:paraId="6CF15879">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27DE3186">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10.2.1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32290CDF">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bCs/>
                <w:snapToGrid w:val="0"/>
                <w:color w:val="000000"/>
                <w:kern w:val="0"/>
                <w:sz w:val="24"/>
                <w:highlight w:val="none"/>
              </w:rPr>
            </w:pPr>
            <w:r>
              <w:rPr>
                <w:rFonts w:hint="eastAsia" w:ascii="宋体" w:hAnsi="宋体" w:cs="宋体"/>
                <w:bCs/>
                <w:snapToGrid w:val="0"/>
                <w:color w:val="000000"/>
                <w:kern w:val="0"/>
                <w:sz w:val="24"/>
                <w:highlight w:val="none"/>
              </w:rPr>
              <w:t>电子招投标</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6F01ED28">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bCs/>
                <w:snapToGrid w:val="0"/>
                <w:color w:val="000000"/>
                <w:kern w:val="0"/>
                <w:sz w:val="24"/>
                <w:highlight w:val="none"/>
              </w:rPr>
              <w:t>本项目采用电子招标投标方式。</w:t>
            </w:r>
          </w:p>
        </w:tc>
      </w:tr>
      <w:tr w14:paraId="7B9CA123">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42C7C3D1">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10.2.2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12E0B0D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bCs/>
                <w:snapToGrid w:val="0"/>
                <w:color w:val="000000"/>
                <w:kern w:val="0"/>
                <w:sz w:val="24"/>
                <w:highlight w:val="none"/>
              </w:rPr>
              <w:t>图纸获取说明</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613FCF7A">
            <w:pPr>
              <w:keepNext w:val="0"/>
              <w:keepLines w:val="0"/>
              <w:pageBreakBefore w:val="0"/>
              <w:kinsoku/>
              <w:wordWrap/>
              <w:overflowPunct/>
              <w:autoSpaceDE/>
              <w:autoSpaceDN/>
              <w:bidi w:val="0"/>
              <w:adjustRightInd w:val="0"/>
              <w:snapToGrid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cs="宋体"/>
                <w:bCs/>
                <w:snapToGrid w:val="0"/>
                <w:color w:val="000000"/>
                <w:kern w:val="0"/>
                <w:sz w:val="24"/>
                <w:highlight w:val="none"/>
              </w:rPr>
              <w:t>通过</w:t>
            </w:r>
            <w:r>
              <w:rPr>
                <w:rFonts w:hint="eastAsia" w:ascii="宋体" w:hAnsi="宋体" w:cs="宋体"/>
                <w:bCs/>
                <w:snapToGrid w:val="0"/>
                <w:color w:val="000000"/>
                <w:kern w:val="0"/>
                <w:sz w:val="24"/>
                <w:highlight w:val="none"/>
                <w:u w:val="single"/>
              </w:rPr>
              <w:t>滁州市公共资源交易中心网站</w:t>
            </w:r>
            <w:r>
              <w:rPr>
                <w:rFonts w:hint="eastAsia" w:ascii="宋体" w:hAnsi="宋体" w:cs="宋体"/>
                <w:bCs/>
                <w:snapToGrid w:val="0"/>
                <w:color w:val="000000"/>
                <w:kern w:val="0"/>
                <w:sz w:val="24"/>
                <w:highlight w:val="none"/>
              </w:rPr>
              <w:t>发布，投标人应自行下载</w:t>
            </w:r>
            <w:r>
              <w:rPr>
                <w:rFonts w:hint="eastAsia" w:ascii="宋体" w:hAnsi="宋体" w:cs="宋体"/>
                <w:bCs/>
                <w:snapToGrid w:val="0"/>
                <w:color w:val="000000"/>
                <w:kern w:val="0"/>
                <w:sz w:val="24"/>
                <w:highlight w:val="none"/>
                <w:lang w:eastAsia="zh-CN"/>
              </w:rPr>
              <w:t>。</w:t>
            </w:r>
          </w:p>
        </w:tc>
      </w:tr>
      <w:tr w14:paraId="1E14F1C8">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27A172B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10.2.3</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18752913">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bCs/>
                <w:snapToGrid w:val="0"/>
                <w:color w:val="000000"/>
                <w:kern w:val="0"/>
                <w:sz w:val="24"/>
                <w:highlight w:val="none"/>
              </w:rPr>
              <w:t>获取与查看通知</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6A817E9F">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color w:val="000000"/>
                <w:sz w:val="24"/>
                <w:highlight w:val="none"/>
              </w:rPr>
            </w:pPr>
            <w:r>
              <w:rPr>
                <w:rFonts w:hint="eastAsia" w:ascii="宋体" w:hAnsi="宋体" w:cs="宋体"/>
                <w:bCs/>
                <w:snapToGrid w:val="0"/>
                <w:color w:val="000000"/>
                <w:kern w:val="0"/>
                <w:sz w:val="24"/>
                <w:highlight w:val="none"/>
              </w:rPr>
              <w:t>本项目的招标文件、工程量清单、澄清及修改等相关资料均通过</w:t>
            </w:r>
            <w:r>
              <w:rPr>
                <w:rFonts w:hint="eastAsia" w:ascii="宋体" w:hAnsi="宋体" w:cs="宋体"/>
                <w:bCs/>
                <w:snapToGrid w:val="0"/>
                <w:color w:val="000000"/>
                <w:kern w:val="0"/>
                <w:sz w:val="24"/>
                <w:highlight w:val="none"/>
                <w:u w:val="single"/>
              </w:rPr>
              <w:t>滁州市公共资源交易中心网站</w:t>
            </w:r>
            <w:r>
              <w:rPr>
                <w:rFonts w:hint="eastAsia" w:ascii="宋体" w:hAnsi="宋体" w:cs="宋体"/>
                <w:bCs/>
                <w:snapToGrid w:val="0"/>
                <w:color w:val="000000"/>
                <w:kern w:val="0"/>
                <w:sz w:val="24"/>
                <w:highlight w:val="none"/>
              </w:rPr>
              <w:t>发布，投标人应自行下载。投标人应当及时登录</w:t>
            </w:r>
            <w:r>
              <w:rPr>
                <w:rFonts w:hint="eastAsia" w:ascii="宋体" w:hAnsi="宋体" w:cs="宋体"/>
                <w:bCs/>
                <w:snapToGrid w:val="0"/>
                <w:color w:val="000000"/>
                <w:kern w:val="0"/>
                <w:sz w:val="24"/>
                <w:highlight w:val="none"/>
                <w:u w:val="single"/>
              </w:rPr>
              <w:t>滁州市公共资源交易中心交易</w:t>
            </w:r>
            <w:r>
              <w:rPr>
                <w:rFonts w:hint="eastAsia" w:ascii="宋体" w:hAnsi="宋体" w:cs="宋体"/>
                <w:bCs/>
                <w:snapToGrid w:val="0"/>
                <w:color w:val="000000"/>
                <w:kern w:val="0"/>
                <w:sz w:val="24"/>
                <w:highlight w:val="none"/>
              </w:rPr>
              <w:t>系统查看。</w:t>
            </w:r>
          </w:p>
        </w:tc>
      </w:tr>
      <w:tr w14:paraId="50BBCF93">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7B51A0B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10.3</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4115388A">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主要材料要求</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23035AC4">
            <w:pPr>
              <w:pStyle w:val="35"/>
              <w:keepNext w:val="0"/>
              <w:keepLines w:val="0"/>
              <w:pageBreakBefore w:val="0"/>
              <w:kinsoku/>
              <w:wordWrap/>
              <w:overflowPunct/>
              <w:autoSpaceDE/>
              <w:autoSpaceDN/>
              <w:bidi w:val="0"/>
              <w:spacing w:line="440" w:lineRule="exact"/>
              <w:jc w:val="left"/>
              <w:textAlignment w:val="auto"/>
              <w:rPr>
                <w:rFonts w:hint="eastAsia"/>
                <w:bCs/>
                <w:color w:val="000000"/>
                <w:sz w:val="24"/>
                <w:highlight w:val="none"/>
                <w:lang w:val="en-US"/>
              </w:rPr>
            </w:pPr>
            <w:r>
              <w:rPr>
                <w:rFonts w:hint="eastAsia"/>
                <w:bCs/>
                <w:color w:val="000000"/>
                <w:sz w:val="24"/>
                <w:highlight w:val="none"/>
                <w:lang w:val="en-US"/>
              </w:rPr>
              <w:t>主要材料由中标人自行采购</w:t>
            </w:r>
          </w:p>
          <w:p w14:paraId="2A7532A7">
            <w:pPr>
              <w:pStyle w:val="35"/>
              <w:keepNext w:val="0"/>
              <w:keepLines w:val="0"/>
              <w:pageBreakBefore w:val="0"/>
              <w:kinsoku/>
              <w:wordWrap/>
              <w:overflowPunct/>
              <w:autoSpaceDE/>
              <w:autoSpaceDN/>
              <w:bidi w:val="0"/>
              <w:spacing w:line="440" w:lineRule="exact"/>
              <w:jc w:val="left"/>
              <w:textAlignment w:val="auto"/>
              <w:rPr>
                <w:bCs/>
                <w:color w:val="000000"/>
                <w:sz w:val="24"/>
                <w:highlight w:val="none"/>
                <w:lang w:val="en-US"/>
              </w:rPr>
            </w:pPr>
            <w:r>
              <w:rPr>
                <w:rFonts w:hint="eastAsia"/>
                <w:bCs/>
                <w:color w:val="000000"/>
                <w:sz w:val="24"/>
                <w:highlight w:val="none"/>
                <w:lang w:val="en-US"/>
              </w:rPr>
              <w:t>如招标人对主要材料、设备的技术性能指标有特殊要求，应在招标文件第八章“技术标准和要求”品牌推荐表中推荐不少于三个品牌。对于招标人推荐品牌的材料、设备，投标人可选用推荐品牌或不低于推荐品牌技术性能指标的其他品牌；采用其他品牌的应在报价文件《招标人推荐的材料品牌响应表》中注明并提供相关技术性能指标、业绩等供评标委员会评审，未在《招标人推荐的材料品牌响应表》中注明且未提供相关技术性能指标、业绩，或经评标委员会评审未通过的，中标后只能从招标人推荐品牌中进行选择，合同价格不予调整。</w:t>
            </w:r>
          </w:p>
          <w:p w14:paraId="1D7B024C">
            <w:pPr>
              <w:pStyle w:val="35"/>
              <w:keepNext w:val="0"/>
              <w:keepLines w:val="0"/>
              <w:pageBreakBefore w:val="0"/>
              <w:kinsoku/>
              <w:wordWrap/>
              <w:overflowPunct/>
              <w:autoSpaceDE/>
              <w:autoSpaceDN/>
              <w:bidi w:val="0"/>
              <w:spacing w:line="440" w:lineRule="exact"/>
              <w:jc w:val="left"/>
              <w:textAlignment w:val="auto"/>
              <w:rPr>
                <w:b/>
                <w:bCs/>
                <w:color w:val="000000"/>
                <w:sz w:val="24"/>
                <w:highlight w:val="none"/>
                <w:u w:val="single"/>
                <w:lang w:val="en-US"/>
              </w:rPr>
            </w:pPr>
            <w:r>
              <w:rPr>
                <w:rFonts w:hint="eastAsia"/>
                <w:b/>
                <w:bCs/>
                <w:color w:val="000000"/>
                <w:sz w:val="24"/>
                <w:highlight w:val="none"/>
                <w:lang w:val="en-US"/>
              </w:rPr>
              <w:t>1、</w:t>
            </w:r>
            <w:r>
              <w:rPr>
                <w:rFonts w:hint="eastAsia"/>
                <w:b/>
                <w:bCs/>
                <w:color w:val="000000"/>
                <w:sz w:val="24"/>
                <w:highlight w:val="none"/>
                <w:u w:val="single"/>
                <w:lang w:val="en-US"/>
              </w:rPr>
              <w:t>本工程采用商品砼。</w:t>
            </w:r>
          </w:p>
          <w:p w14:paraId="54164B66">
            <w:pPr>
              <w:pStyle w:val="35"/>
              <w:keepNext w:val="0"/>
              <w:keepLines w:val="0"/>
              <w:pageBreakBefore w:val="0"/>
              <w:kinsoku/>
              <w:wordWrap/>
              <w:overflowPunct/>
              <w:autoSpaceDE/>
              <w:autoSpaceDN/>
              <w:bidi w:val="0"/>
              <w:spacing w:line="440" w:lineRule="exact"/>
              <w:jc w:val="left"/>
              <w:textAlignment w:val="auto"/>
              <w:rPr>
                <w:color w:val="000000"/>
                <w:sz w:val="24"/>
                <w:highlight w:val="none"/>
              </w:rPr>
            </w:pPr>
            <w:r>
              <w:rPr>
                <w:rFonts w:hint="eastAsia"/>
                <w:b/>
                <w:bCs/>
                <w:color w:val="000000"/>
                <w:sz w:val="24"/>
                <w:highlight w:val="none"/>
                <w:lang w:val="en-US"/>
              </w:rPr>
              <w:t>2、</w:t>
            </w:r>
            <w:r>
              <w:rPr>
                <w:rFonts w:hint="eastAsia"/>
                <w:b/>
                <w:bCs/>
                <w:color w:val="000000"/>
                <w:sz w:val="24"/>
                <w:highlight w:val="none"/>
                <w:u w:val="single"/>
                <w:lang w:val="en-US"/>
              </w:rPr>
              <w:t>本项目采用预拌砂浆。</w:t>
            </w:r>
          </w:p>
        </w:tc>
      </w:tr>
      <w:tr w14:paraId="69D78C75">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3E1CCC72">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10.4</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4B305C7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bCs/>
                <w:snapToGrid w:val="0"/>
                <w:color w:val="000000"/>
                <w:kern w:val="0"/>
                <w:sz w:val="24"/>
                <w:highlight w:val="none"/>
              </w:rPr>
              <w:t>相关要求</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1549F5BA">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b/>
                <w:bCs/>
                <w:color w:val="000000"/>
                <w:sz w:val="24"/>
                <w:highlight w:val="none"/>
              </w:rPr>
            </w:pPr>
            <w:r>
              <w:rPr>
                <w:rFonts w:hint="eastAsia" w:ascii="宋体" w:hAnsi="宋体" w:cs="宋体"/>
                <w:b/>
                <w:bCs/>
                <w:color w:val="000000"/>
                <w:sz w:val="24"/>
                <w:highlight w:val="none"/>
              </w:rPr>
              <w:t>1、本项目投标保证金、履约保证金、工程质量保证金、农民工工资保证金均支持保函使用。以现金形式提交保证金的，应当同时退还保证金本金和银行同期存款利息。</w:t>
            </w:r>
          </w:p>
          <w:p w14:paraId="543B90A9">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bCs/>
                <w:color w:val="000000"/>
                <w:sz w:val="24"/>
                <w:highlight w:val="none"/>
              </w:rPr>
            </w:pPr>
            <w:r>
              <w:rPr>
                <w:rFonts w:hint="eastAsia" w:ascii="宋体" w:hAnsi="宋体" w:cs="宋体"/>
                <w:bCs/>
                <w:color w:val="000000"/>
                <w:sz w:val="24"/>
                <w:highlight w:val="none"/>
              </w:rPr>
              <w:t>2、承包人在工程实施过程中的用工行为，必须严格按照《保障农民工工资支付条例》（国务院令 第724号）、《安徽省人民政府办公厅关于全面治理拖欠农民工工资问题的实施意见》（皖政办〔2016〕22号）以及</w:t>
            </w:r>
            <w:bookmarkStart w:id="47" w:name="OLE_LINK39"/>
            <w:bookmarkStart w:id="48" w:name="OLE_LINK38"/>
            <w:r>
              <w:rPr>
                <w:rFonts w:hint="eastAsia" w:ascii="宋体" w:hAnsi="宋体" w:cs="宋体"/>
                <w:bCs/>
                <w:color w:val="000000"/>
                <w:sz w:val="24"/>
                <w:highlight w:val="none"/>
              </w:rPr>
              <w:t>《贯彻落实&lt;工程建设领域农民工工资专用账户管理暂行办法&gt;的通知》（皖人社发〔2022〕5号）、</w:t>
            </w:r>
            <w:bookmarkEnd w:id="47"/>
            <w:bookmarkEnd w:id="48"/>
            <w:r>
              <w:rPr>
                <w:rFonts w:hint="eastAsia" w:ascii="宋体" w:hAnsi="宋体" w:cs="宋体"/>
                <w:bCs/>
                <w:color w:val="000000"/>
                <w:sz w:val="24"/>
                <w:highlight w:val="none"/>
              </w:rPr>
              <w:t>《安徽省工程建设领域农民工工资保证金实施办法》（皖人社发〔2022〕8号）等文件精神的有关规定，依法与招用的农民工签订劳动合同，并按规定及时足额支付工资。</w:t>
            </w:r>
          </w:p>
          <w:p w14:paraId="26E9B2CC">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bCs/>
                <w:color w:val="000000"/>
                <w:sz w:val="24"/>
                <w:highlight w:val="none"/>
              </w:rPr>
            </w:pPr>
            <w:r>
              <w:rPr>
                <w:rFonts w:hint="eastAsia" w:ascii="宋体" w:hAnsi="宋体" w:cs="宋体"/>
                <w:bCs/>
                <w:color w:val="000000"/>
                <w:sz w:val="24"/>
                <w:highlight w:val="none"/>
              </w:rPr>
              <w:t>为切实保障建筑行业农民工工资支付、加快培育新时代建筑产业工人队伍、有效破解拖欠工程款问题，承包人应严格落实安徽省住建厅《关于建立长效机制切实保障建筑行业农民工工资支付工作的通知》（建市函〔2022〕490号），《关于加快培育和壮大我省建筑产业工人队伍的意见》（建市规〔2023〕1号）以及《关于印发〈安徽省房屋建筑和市政基础设施工程施工过程结算管理办法〉 的通知》（建市规〔2023〕2号）等文件要求。</w:t>
            </w:r>
          </w:p>
          <w:p w14:paraId="7FB4DFC3">
            <w:pPr>
              <w:pStyle w:val="17"/>
              <w:keepNext w:val="0"/>
              <w:keepLines w:val="0"/>
              <w:pageBreakBefore w:val="0"/>
              <w:kinsoku/>
              <w:wordWrap/>
              <w:overflowPunct/>
              <w:autoSpaceDE/>
              <w:autoSpaceDN/>
              <w:bidi w:val="0"/>
              <w:spacing w:after="0" w:line="440" w:lineRule="exact"/>
              <w:ind w:left="0" w:leftChars="0" w:firstLine="0" w:firstLineChars="0"/>
              <w:textAlignment w:val="auto"/>
              <w:rPr>
                <w:rFonts w:ascii="宋体" w:hAnsi="宋体" w:cs="宋体"/>
                <w:bCs/>
                <w:color w:val="000000"/>
                <w:sz w:val="24"/>
                <w:highlight w:val="none"/>
              </w:rPr>
            </w:pPr>
            <w:r>
              <w:rPr>
                <w:rFonts w:hint="eastAsia" w:ascii="宋体" w:hAnsi="宋体" w:cs="宋体"/>
                <w:bCs/>
                <w:color w:val="000000"/>
                <w:sz w:val="24"/>
                <w:highlight w:val="none"/>
              </w:rPr>
              <w:t>执行《贯彻落实&lt;工程建设领域农民工工资专用账户管理暂行办法&gt;的通知》（皖人社发〔2022〕5号）、，其中工资保证金和工资专户由工程建设项目的施工总承包企业（包括直接承包建设单位发包工程的专业承包企业）缴存和开设。若为联合体中标，由联合体中牵头人缴存和开设专户。</w:t>
            </w:r>
          </w:p>
          <w:p w14:paraId="1F995385">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bCs/>
                <w:color w:val="000000"/>
                <w:sz w:val="24"/>
                <w:highlight w:val="none"/>
              </w:rPr>
            </w:pPr>
            <w:r>
              <w:rPr>
                <w:rFonts w:hint="eastAsia" w:ascii="宋体" w:hAnsi="宋体" w:cs="宋体"/>
                <w:bCs/>
                <w:color w:val="000000"/>
                <w:sz w:val="24"/>
                <w:highlight w:val="none"/>
              </w:rPr>
              <w:t xml:space="preserve">3、省外建设工程企业按照《关于优化进皖建设工程企业信息登记服务和管理有关工作的通知》（建市函〔2022〕580号）进行相关信息登记。 </w:t>
            </w:r>
          </w:p>
          <w:p w14:paraId="2E716788">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bCs/>
                <w:color w:val="000000"/>
                <w:sz w:val="24"/>
                <w:highlight w:val="none"/>
              </w:rPr>
            </w:pPr>
            <w:r>
              <w:rPr>
                <w:rFonts w:hint="eastAsia" w:ascii="宋体" w:hAnsi="宋体" w:cs="宋体"/>
                <w:bCs/>
                <w:color w:val="000000"/>
                <w:sz w:val="24"/>
                <w:highlight w:val="none"/>
              </w:rPr>
              <w:t>4、保证保险产品应按《中国银保监会办公厅关于进一步加强和改进财产保险公司产品监管有关问题的通知》执行。</w:t>
            </w:r>
          </w:p>
          <w:p w14:paraId="76AAA1BC">
            <w:pPr>
              <w:keepNext w:val="0"/>
              <w:keepLines w:val="0"/>
              <w:pageBreakBefore w:val="0"/>
              <w:kinsoku/>
              <w:wordWrap/>
              <w:overflowPunct/>
              <w:autoSpaceDE/>
              <w:autoSpaceDN/>
              <w:bidi w:val="0"/>
              <w:adjustRightInd w:val="0"/>
              <w:snapToGrid w:val="0"/>
              <w:spacing w:line="440" w:lineRule="exact"/>
              <w:textAlignment w:val="auto"/>
              <w:rPr>
                <w:color w:val="000000"/>
                <w:highlight w:val="none"/>
              </w:rPr>
            </w:pPr>
            <w:r>
              <w:rPr>
                <w:rFonts w:hint="eastAsia" w:ascii="宋体" w:hAnsi="宋体" w:cs="宋体"/>
                <w:bCs/>
                <w:color w:val="000000"/>
                <w:sz w:val="24"/>
                <w:highlight w:val="none"/>
              </w:rPr>
              <w:t>5、我省行政区域内按照规定应办理建筑工程施工许可证的房屋建筑和市政工程建设项目，均应办理工程款支付担保。具体金额、担保方式等按《安徽省住房和城乡建设厅关于加强房屋建筑和市政基础设施工程建设领域工程款支付担保管理工作的通知》（建市〔2022〕54号）执行。</w:t>
            </w:r>
          </w:p>
        </w:tc>
      </w:tr>
      <w:tr w14:paraId="26F48176">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06BEA34E">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10.5</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39E81D4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评标过程中的澄清、说明或补正</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10853B5D">
            <w:pPr>
              <w:pStyle w:val="35"/>
              <w:keepNext w:val="0"/>
              <w:keepLines w:val="0"/>
              <w:pageBreakBefore w:val="0"/>
              <w:tabs>
                <w:tab w:val="left" w:pos="636"/>
              </w:tabs>
              <w:kinsoku/>
              <w:wordWrap/>
              <w:overflowPunct/>
              <w:autoSpaceDE/>
              <w:autoSpaceDN/>
              <w:bidi w:val="0"/>
              <w:adjustRightInd w:val="0"/>
              <w:snapToGrid w:val="0"/>
              <w:spacing w:line="440" w:lineRule="exact"/>
              <w:jc w:val="left"/>
              <w:textAlignment w:val="auto"/>
              <w:rPr>
                <w:color w:val="000000"/>
                <w:sz w:val="24"/>
                <w:highlight w:val="none"/>
              </w:rPr>
            </w:pPr>
            <w:r>
              <w:rPr>
                <w:rFonts w:hint="eastAsia"/>
                <w:color w:val="000000"/>
                <w:sz w:val="24"/>
                <w:highlight w:val="none"/>
              </w:rPr>
              <w:t>1、</w:t>
            </w:r>
            <w:r>
              <w:rPr>
                <w:color w:val="000000"/>
                <w:sz w:val="24"/>
                <w:highlight w:val="none"/>
              </w:rPr>
              <w:t>评标委员会通过</w:t>
            </w:r>
            <w:r>
              <w:rPr>
                <w:rFonts w:hint="eastAsia"/>
                <w:color w:val="000000"/>
                <w:sz w:val="24"/>
                <w:highlight w:val="none"/>
                <w:lang w:val="en-US"/>
              </w:rPr>
              <w:t>网上开评标系统</w:t>
            </w:r>
            <w:r>
              <w:rPr>
                <w:color w:val="000000"/>
                <w:sz w:val="24"/>
                <w:highlight w:val="none"/>
              </w:rPr>
              <w:t>将需要澄清、说明或补正</w:t>
            </w:r>
            <w:r>
              <w:rPr>
                <w:color w:val="000000"/>
                <w:spacing w:val="-7"/>
                <w:sz w:val="24"/>
                <w:highlight w:val="none"/>
              </w:rPr>
              <w:t>的内容以询标函的形式发送给投标人，投标人应安排专人登录</w:t>
            </w:r>
            <w:r>
              <w:rPr>
                <w:rFonts w:hint="eastAsia"/>
                <w:color w:val="000000"/>
                <w:spacing w:val="-9"/>
                <w:sz w:val="24"/>
                <w:highlight w:val="none"/>
                <w:lang w:val="en-US"/>
              </w:rPr>
              <w:t>网上开评标系统</w:t>
            </w:r>
            <w:r>
              <w:rPr>
                <w:color w:val="000000"/>
                <w:spacing w:val="-9"/>
                <w:sz w:val="24"/>
                <w:highlight w:val="none"/>
              </w:rPr>
              <w:t>并保持在线状态</w:t>
            </w:r>
            <w:r>
              <w:rPr>
                <w:rFonts w:hint="eastAsia"/>
                <w:color w:val="000000"/>
                <w:spacing w:val="-9"/>
                <w:sz w:val="24"/>
                <w:highlight w:val="none"/>
              </w:rPr>
              <w:t>，并确保联系方式有效</w:t>
            </w:r>
            <w:r>
              <w:rPr>
                <w:color w:val="000000"/>
                <w:spacing w:val="-9"/>
                <w:sz w:val="24"/>
                <w:highlight w:val="none"/>
              </w:rPr>
              <w:t>，以便及时接收评标委员会可能</w:t>
            </w:r>
            <w:r>
              <w:rPr>
                <w:color w:val="000000"/>
                <w:spacing w:val="-5"/>
                <w:sz w:val="24"/>
                <w:highlight w:val="none"/>
              </w:rPr>
              <w:t>发出的询标函。</w:t>
            </w:r>
          </w:p>
          <w:p w14:paraId="2DE293DD">
            <w:pPr>
              <w:pStyle w:val="35"/>
              <w:keepNext w:val="0"/>
              <w:keepLines w:val="0"/>
              <w:pageBreakBefore w:val="0"/>
              <w:tabs>
                <w:tab w:val="left" w:pos="636"/>
              </w:tabs>
              <w:kinsoku/>
              <w:wordWrap/>
              <w:overflowPunct/>
              <w:autoSpaceDE/>
              <w:autoSpaceDN/>
              <w:bidi w:val="0"/>
              <w:adjustRightInd w:val="0"/>
              <w:snapToGrid w:val="0"/>
              <w:spacing w:line="440" w:lineRule="exact"/>
              <w:jc w:val="left"/>
              <w:textAlignment w:val="auto"/>
              <w:rPr>
                <w:color w:val="000000"/>
                <w:spacing w:val="-3"/>
                <w:sz w:val="24"/>
                <w:highlight w:val="none"/>
              </w:rPr>
            </w:pPr>
            <w:r>
              <w:rPr>
                <w:rFonts w:hint="eastAsia"/>
                <w:color w:val="000000"/>
                <w:sz w:val="24"/>
                <w:highlight w:val="none"/>
              </w:rPr>
              <w:t>2、</w:t>
            </w:r>
            <w:r>
              <w:rPr>
                <w:color w:val="000000"/>
                <w:sz w:val="24"/>
                <w:highlight w:val="none"/>
              </w:rPr>
              <w:t>因投标人未登录</w:t>
            </w:r>
            <w:r>
              <w:rPr>
                <w:rFonts w:hint="eastAsia"/>
                <w:color w:val="000000"/>
                <w:sz w:val="24"/>
                <w:highlight w:val="none"/>
                <w:lang w:val="en-US"/>
              </w:rPr>
              <w:t>网上开评标系统</w:t>
            </w:r>
            <w:r>
              <w:rPr>
                <w:color w:val="000000"/>
                <w:sz w:val="24"/>
                <w:highlight w:val="none"/>
              </w:rPr>
              <w:t>导致无法及时接收询标函（</w:t>
            </w:r>
            <w:r>
              <w:rPr>
                <w:color w:val="000000"/>
                <w:spacing w:val="-3"/>
                <w:sz w:val="24"/>
                <w:highlight w:val="none"/>
              </w:rPr>
              <w:t>远程网上询标</w:t>
            </w:r>
            <w:r>
              <w:rPr>
                <w:color w:val="000000"/>
                <w:spacing w:val="-56"/>
                <w:sz w:val="24"/>
                <w:highlight w:val="none"/>
              </w:rPr>
              <w:t>）</w:t>
            </w:r>
            <w:r>
              <w:rPr>
                <w:color w:val="000000"/>
                <w:spacing w:val="-3"/>
                <w:sz w:val="24"/>
                <w:highlight w:val="none"/>
              </w:rPr>
              <w:t>或未在规定时间内按评标委员会要求进行澄</w:t>
            </w:r>
            <w:r>
              <w:rPr>
                <w:color w:val="000000"/>
                <w:spacing w:val="-8"/>
                <w:sz w:val="24"/>
                <w:highlight w:val="none"/>
              </w:rPr>
              <w:t>清、说明或补正内容的视同投标人放弃澄清、说明或补正内容</w:t>
            </w:r>
            <w:r>
              <w:rPr>
                <w:color w:val="000000"/>
                <w:spacing w:val="-5"/>
                <w:sz w:val="24"/>
                <w:highlight w:val="none"/>
              </w:rPr>
              <w:t>的权利，评标委员会可按对投标人不利的解释进行判定。</w:t>
            </w:r>
          </w:p>
        </w:tc>
      </w:tr>
      <w:tr w14:paraId="645E965C">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576D9174">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10.6</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77872DA7">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解释权</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472F40FA">
            <w:pPr>
              <w:pStyle w:val="35"/>
              <w:keepNext w:val="0"/>
              <w:keepLines w:val="0"/>
              <w:pageBreakBefore w:val="0"/>
              <w:kinsoku/>
              <w:wordWrap/>
              <w:overflowPunct/>
              <w:autoSpaceDE/>
              <w:autoSpaceDN/>
              <w:bidi w:val="0"/>
              <w:adjustRightInd w:val="0"/>
              <w:snapToGrid w:val="0"/>
              <w:spacing w:line="440" w:lineRule="exact"/>
              <w:textAlignment w:val="auto"/>
              <w:rPr>
                <w:color w:val="000000"/>
                <w:spacing w:val="-3"/>
                <w:sz w:val="24"/>
                <w:highlight w:val="none"/>
              </w:rPr>
            </w:pPr>
            <w:r>
              <w:rPr>
                <w:rFonts w:hint="eastAsia"/>
                <w:color w:val="000000"/>
                <w:spacing w:val="-3"/>
                <w:sz w:val="24"/>
                <w:highlight w:val="none"/>
              </w:rPr>
              <w:t>1、</w:t>
            </w:r>
            <w:r>
              <w:rPr>
                <w:color w:val="000000"/>
                <w:spacing w:val="-3"/>
                <w:sz w:val="24"/>
                <w:highlight w:val="none"/>
              </w:rPr>
              <w:t>构成本招标文件的各个组成文件应互为解释，互为说明；</w:t>
            </w:r>
          </w:p>
          <w:p w14:paraId="4839B2C5">
            <w:pPr>
              <w:pStyle w:val="35"/>
              <w:keepNext w:val="0"/>
              <w:keepLines w:val="0"/>
              <w:pageBreakBefore w:val="0"/>
              <w:kinsoku/>
              <w:wordWrap/>
              <w:overflowPunct/>
              <w:autoSpaceDE/>
              <w:autoSpaceDN/>
              <w:bidi w:val="0"/>
              <w:adjustRightInd w:val="0"/>
              <w:snapToGrid w:val="0"/>
              <w:spacing w:line="440" w:lineRule="exact"/>
              <w:textAlignment w:val="auto"/>
              <w:rPr>
                <w:color w:val="000000"/>
                <w:sz w:val="24"/>
                <w:highlight w:val="none"/>
              </w:rPr>
            </w:pPr>
            <w:r>
              <w:rPr>
                <w:rFonts w:hint="eastAsia"/>
                <w:color w:val="000000"/>
                <w:spacing w:val="-3"/>
                <w:sz w:val="24"/>
                <w:highlight w:val="none"/>
              </w:rPr>
              <w:t>2、</w:t>
            </w:r>
            <w:r>
              <w:rPr>
                <w:color w:val="000000"/>
                <w:spacing w:val="-7"/>
                <w:sz w:val="24"/>
                <w:highlight w:val="none"/>
              </w:rPr>
              <w:t>同一组成文件中就同一事项的规定或约定不一致的，以编排</w:t>
            </w:r>
            <w:r>
              <w:rPr>
                <w:color w:val="000000"/>
                <w:spacing w:val="-5"/>
                <w:sz w:val="24"/>
                <w:highlight w:val="none"/>
              </w:rPr>
              <w:t>顺序在后者为准；</w:t>
            </w:r>
          </w:p>
          <w:p w14:paraId="3F36652B">
            <w:pPr>
              <w:pStyle w:val="35"/>
              <w:keepNext w:val="0"/>
              <w:keepLines w:val="0"/>
              <w:pageBreakBefore w:val="0"/>
              <w:tabs>
                <w:tab w:val="left" w:pos="351"/>
              </w:tabs>
              <w:kinsoku/>
              <w:wordWrap/>
              <w:overflowPunct/>
              <w:autoSpaceDE/>
              <w:autoSpaceDN/>
              <w:bidi w:val="0"/>
              <w:adjustRightInd w:val="0"/>
              <w:snapToGrid w:val="0"/>
              <w:spacing w:line="440" w:lineRule="exact"/>
              <w:textAlignment w:val="auto"/>
              <w:rPr>
                <w:color w:val="000000"/>
                <w:sz w:val="24"/>
                <w:highlight w:val="none"/>
              </w:rPr>
            </w:pPr>
            <w:r>
              <w:rPr>
                <w:rFonts w:hint="eastAsia"/>
                <w:color w:val="000000"/>
                <w:spacing w:val="-10"/>
                <w:sz w:val="24"/>
                <w:highlight w:val="none"/>
              </w:rPr>
              <w:t>3、</w:t>
            </w:r>
            <w:r>
              <w:rPr>
                <w:color w:val="000000"/>
                <w:spacing w:val="-10"/>
                <w:sz w:val="24"/>
                <w:highlight w:val="none"/>
              </w:rPr>
              <w:t>如有不明确或不一致，构成合同文件组成内容的，以合同文件约定内容为准，且以专用合同条款约定的合同文件优先顺序解释；</w:t>
            </w:r>
          </w:p>
          <w:p w14:paraId="4A92CB70">
            <w:pPr>
              <w:pStyle w:val="35"/>
              <w:keepNext w:val="0"/>
              <w:keepLines w:val="0"/>
              <w:pageBreakBefore w:val="0"/>
              <w:tabs>
                <w:tab w:val="left" w:pos="354"/>
              </w:tabs>
              <w:kinsoku/>
              <w:wordWrap/>
              <w:overflowPunct/>
              <w:autoSpaceDE/>
              <w:autoSpaceDN/>
              <w:bidi w:val="0"/>
              <w:adjustRightInd w:val="0"/>
              <w:snapToGrid w:val="0"/>
              <w:spacing w:line="440" w:lineRule="exact"/>
              <w:textAlignment w:val="auto"/>
              <w:rPr>
                <w:color w:val="000000"/>
                <w:spacing w:val="-2"/>
                <w:sz w:val="24"/>
                <w:highlight w:val="none"/>
              </w:rPr>
            </w:pPr>
            <w:r>
              <w:rPr>
                <w:rFonts w:hint="eastAsia"/>
                <w:color w:val="000000"/>
                <w:spacing w:val="-2"/>
                <w:sz w:val="24"/>
                <w:highlight w:val="none"/>
              </w:rPr>
              <w:t>4、</w:t>
            </w:r>
            <w:r>
              <w:rPr>
                <w:rFonts w:hint="eastAsia"/>
                <w:color w:val="000000"/>
                <w:sz w:val="24"/>
                <w:highlight w:val="none"/>
              </w:rPr>
              <w:t>系统中提供的表格（或格式文件）与招标文件中不一致时，以招标文件中提供的为准；</w:t>
            </w:r>
          </w:p>
          <w:p w14:paraId="0158DCD0">
            <w:pPr>
              <w:pStyle w:val="35"/>
              <w:keepNext w:val="0"/>
              <w:keepLines w:val="0"/>
              <w:pageBreakBefore w:val="0"/>
              <w:tabs>
                <w:tab w:val="left" w:pos="636"/>
              </w:tabs>
              <w:kinsoku/>
              <w:wordWrap/>
              <w:overflowPunct/>
              <w:autoSpaceDE/>
              <w:autoSpaceDN/>
              <w:bidi w:val="0"/>
              <w:adjustRightInd w:val="0"/>
              <w:snapToGrid w:val="0"/>
              <w:spacing w:line="440" w:lineRule="exact"/>
              <w:jc w:val="left"/>
              <w:textAlignment w:val="auto"/>
              <w:rPr>
                <w:color w:val="000000"/>
                <w:sz w:val="24"/>
                <w:highlight w:val="none"/>
              </w:rPr>
            </w:pPr>
            <w:r>
              <w:rPr>
                <w:rFonts w:hint="eastAsia"/>
                <w:color w:val="000000"/>
                <w:spacing w:val="-3"/>
                <w:sz w:val="24"/>
                <w:highlight w:val="none"/>
              </w:rPr>
              <w:t>5、</w:t>
            </w:r>
            <w:r>
              <w:rPr>
                <w:color w:val="000000"/>
                <w:spacing w:val="-3"/>
                <w:sz w:val="24"/>
                <w:highlight w:val="none"/>
              </w:rPr>
              <w:t>按本款前述规定仍不能形成结论的，由招标人负责解释。</w:t>
            </w:r>
          </w:p>
        </w:tc>
      </w:tr>
      <w:tr w14:paraId="2C7DA180">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3A4EF01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10.7</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665BAB7A">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同义词语</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2177A8A2">
            <w:pPr>
              <w:pStyle w:val="35"/>
              <w:keepNext w:val="0"/>
              <w:keepLines w:val="0"/>
              <w:pageBreakBefore w:val="0"/>
              <w:kinsoku/>
              <w:wordWrap/>
              <w:overflowPunct/>
              <w:autoSpaceDE/>
              <w:autoSpaceDN/>
              <w:bidi w:val="0"/>
              <w:adjustRightInd w:val="0"/>
              <w:snapToGrid w:val="0"/>
              <w:spacing w:line="440" w:lineRule="exact"/>
              <w:textAlignment w:val="auto"/>
              <w:rPr>
                <w:color w:val="000000"/>
                <w:spacing w:val="-3"/>
                <w:sz w:val="24"/>
                <w:highlight w:val="none"/>
              </w:rPr>
            </w:pPr>
            <w:r>
              <w:rPr>
                <w:rFonts w:hint="eastAsia"/>
                <w:color w:val="000000"/>
                <w:sz w:val="24"/>
                <w:highlight w:val="none"/>
              </w:rPr>
              <w:t>构成招标文件组成部分的“通用合同条款”、“专用合同条款”、“技术标准和要求”和“工程量清单”等章节中 “发包人”和“承包人”，等同于招标投标阶段的“招标人”和“投标人/中标人”。</w:t>
            </w:r>
          </w:p>
        </w:tc>
      </w:tr>
      <w:tr w14:paraId="07C67FD6">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3949B1FC">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10.8</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739028EA">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关于招标工程量清单及投标报价编制特别说明</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36DDFF18">
            <w:pPr>
              <w:pStyle w:val="35"/>
              <w:keepNext w:val="0"/>
              <w:keepLines w:val="0"/>
              <w:pageBreakBefore w:val="0"/>
              <w:kinsoku/>
              <w:wordWrap/>
              <w:overflowPunct/>
              <w:autoSpaceDE/>
              <w:autoSpaceDN/>
              <w:bidi w:val="0"/>
              <w:adjustRightInd w:val="0"/>
              <w:snapToGrid w:val="0"/>
              <w:spacing w:line="440" w:lineRule="exact"/>
              <w:textAlignment w:val="auto"/>
              <w:rPr>
                <w:color w:val="000000"/>
                <w:sz w:val="24"/>
                <w:highlight w:val="none"/>
              </w:rPr>
            </w:pPr>
            <w:r>
              <w:rPr>
                <w:rFonts w:hint="eastAsia"/>
                <w:color w:val="000000"/>
                <w:sz w:val="24"/>
                <w:highlight w:val="none"/>
              </w:rPr>
              <w:t>投标人</w:t>
            </w:r>
            <w:r>
              <w:rPr>
                <w:rFonts w:hint="eastAsia" w:ascii="宋体" w:hAnsi="宋体" w:eastAsia="宋体" w:cs="宋体"/>
                <w:color w:val="000000"/>
                <w:sz w:val="24"/>
                <w:highlight w:val="none"/>
              </w:rPr>
              <w:t>应根据</w:t>
            </w:r>
            <w:r>
              <w:rPr>
                <w:rFonts w:hint="eastAsia" w:cs="宋体"/>
                <w:color w:val="000000"/>
                <w:sz w:val="24"/>
                <w:highlight w:val="none"/>
                <w:lang w:val="en-US" w:eastAsia="zh-CN"/>
              </w:rPr>
              <w:t>初步设计方案</w:t>
            </w:r>
            <w:r>
              <w:rPr>
                <w:rFonts w:hint="eastAsia" w:ascii="宋体" w:hAnsi="宋体" w:eastAsia="宋体" w:cs="宋体"/>
                <w:color w:val="000000"/>
                <w:sz w:val="24"/>
                <w:highlight w:val="none"/>
              </w:rPr>
              <w:t>、招标工程量清单、补遗，并结合企业自身</w:t>
            </w:r>
            <w:r>
              <w:rPr>
                <w:rFonts w:hint="eastAsia" w:ascii="宋体" w:hAnsi="宋体" w:eastAsia="宋体" w:cs="宋体"/>
                <w:color w:val="000000"/>
                <w:sz w:val="24"/>
                <w:highlight w:val="none"/>
                <w:lang w:val="en-US" w:eastAsia="zh-CN"/>
              </w:rPr>
              <w:t>设计方案，并根据市场价格及投标人实际情况</w:t>
            </w:r>
            <w:r>
              <w:rPr>
                <w:rFonts w:hint="eastAsia" w:ascii="宋体" w:hAnsi="宋体" w:eastAsia="宋体" w:cs="宋体"/>
                <w:color w:val="000000"/>
                <w:sz w:val="24"/>
                <w:highlight w:val="none"/>
              </w:rPr>
              <w:t>理性报价</w:t>
            </w:r>
            <w:r>
              <w:rPr>
                <w:rFonts w:hint="eastAsia" w:ascii="宋体" w:hAnsi="宋体" w:eastAsia="宋体" w:cs="宋体"/>
                <w:color w:val="000000"/>
                <w:sz w:val="24"/>
                <w:highlight w:val="none"/>
                <w:lang w:val="en-US" w:eastAsia="zh-CN"/>
              </w:rPr>
              <w:t>。</w:t>
            </w:r>
          </w:p>
        </w:tc>
      </w:tr>
      <w:tr w14:paraId="7A784AFD">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7C57641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10.9</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71EEA2E1">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其他</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2B938BE2">
            <w:pPr>
              <w:pStyle w:val="35"/>
              <w:keepNext w:val="0"/>
              <w:keepLines w:val="0"/>
              <w:pageBreakBefore w:val="0"/>
              <w:kinsoku/>
              <w:wordWrap/>
              <w:overflowPunct/>
              <w:autoSpaceDE/>
              <w:autoSpaceDN/>
              <w:bidi w:val="0"/>
              <w:adjustRightInd w:val="0"/>
              <w:snapToGrid w:val="0"/>
              <w:spacing w:line="440" w:lineRule="exact"/>
              <w:jc w:val="left"/>
              <w:textAlignment w:val="auto"/>
              <w:rPr>
                <w:color w:val="000000"/>
                <w:sz w:val="24"/>
                <w:highlight w:val="none"/>
                <w:lang w:val="en-US"/>
              </w:rPr>
            </w:pPr>
            <w:r>
              <w:rPr>
                <w:rFonts w:hint="eastAsia"/>
                <w:color w:val="000000"/>
                <w:sz w:val="24"/>
                <w:highlight w:val="none"/>
                <w:lang w:val="en-US"/>
              </w:rPr>
              <w:t>1、</w:t>
            </w:r>
            <w:r>
              <w:rPr>
                <w:rFonts w:hint="eastAsia"/>
                <w:bCs/>
                <w:snapToGrid w:val="0"/>
                <w:color w:val="000000"/>
                <w:kern w:val="0"/>
                <w:sz w:val="24"/>
                <w:highlight w:val="none"/>
              </w:rPr>
              <w:t>如本项目招标文件中出现特定性、唯一性品牌的表述，该品牌仅作为参考，施工过程中不具有限定性。</w:t>
            </w:r>
          </w:p>
          <w:p w14:paraId="759399B9">
            <w:pPr>
              <w:pStyle w:val="35"/>
              <w:keepNext w:val="0"/>
              <w:keepLines w:val="0"/>
              <w:pageBreakBefore w:val="0"/>
              <w:kinsoku/>
              <w:wordWrap/>
              <w:overflowPunct/>
              <w:autoSpaceDE/>
              <w:autoSpaceDN/>
              <w:bidi w:val="0"/>
              <w:adjustRightInd w:val="0"/>
              <w:snapToGrid w:val="0"/>
              <w:spacing w:line="440" w:lineRule="exact"/>
              <w:jc w:val="left"/>
              <w:textAlignment w:val="auto"/>
              <w:rPr>
                <w:color w:val="000000"/>
                <w:sz w:val="24"/>
                <w:highlight w:val="none"/>
              </w:rPr>
            </w:pPr>
            <w:r>
              <w:rPr>
                <w:rFonts w:hint="eastAsia"/>
                <w:color w:val="000000"/>
                <w:sz w:val="24"/>
                <w:highlight w:val="none"/>
                <w:lang w:val="en-US"/>
              </w:rPr>
              <w:t>2、项目经理必须是投标人本单位工作人员，提供虚假资料谋取中标将被依法处罚。</w:t>
            </w:r>
            <w:r>
              <w:rPr>
                <w:color w:val="000000"/>
                <w:sz w:val="24"/>
                <w:highlight w:val="none"/>
              </w:rPr>
              <w:t>投标人对所提交的投标人或拟派项目经理业绩、投标人</w:t>
            </w:r>
            <w:r>
              <w:rPr>
                <w:color w:val="000000"/>
                <w:spacing w:val="-6"/>
                <w:sz w:val="24"/>
                <w:highlight w:val="none"/>
              </w:rPr>
              <w:t>资质等证明资料承担缔约过失责任和法律责任。若投诉人或举</w:t>
            </w:r>
            <w:r>
              <w:rPr>
                <w:color w:val="000000"/>
                <w:spacing w:val="-5"/>
                <w:sz w:val="24"/>
                <w:highlight w:val="none"/>
              </w:rPr>
              <w:t xml:space="preserve">报人对前述资料或证明资料存在争议，进行有效投诉或举报， </w:t>
            </w:r>
            <w:r>
              <w:rPr>
                <w:color w:val="000000"/>
                <w:spacing w:val="-8"/>
                <w:sz w:val="24"/>
                <w:highlight w:val="none"/>
              </w:rPr>
              <w:t>被投诉人、被举报人应当主动配合执法机关调查，并在规定的</w:t>
            </w:r>
            <w:r>
              <w:rPr>
                <w:color w:val="000000"/>
                <w:spacing w:val="-10"/>
                <w:sz w:val="24"/>
                <w:highlight w:val="none"/>
              </w:rPr>
              <w:t>期限内举证，提供有关证明资料的原件；拒不配合执法机构调</w:t>
            </w:r>
            <w:r>
              <w:rPr>
                <w:color w:val="000000"/>
                <w:spacing w:val="-9"/>
                <w:sz w:val="24"/>
                <w:highlight w:val="none"/>
              </w:rPr>
              <w:t>查，且未在规定期限内举证、提供证明资料原件的，执法机构</w:t>
            </w:r>
            <w:r>
              <w:rPr>
                <w:rFonts w:hint="eastAsia"/>
                <w:color w:val="000000"/>
                <w:sz w:val="24"/>
                <w:highlight w:val="none"/>
                <w:lang w:val="en-US"/>
              </w:rPr>
              <w:t>滁州市</w:t>
            </w:r>
            <w:r>
              <w:rPr>
                <w:color w:val="000000"/>
                <w:sz w:val="24"/>
                <w:highlight w:val="none"/>
              </w:rPr>
              <w:t>公共资源交易监督管理局</w:t>
            </w:r>
            <w:r>
              <w:rPr>
                <w:rFonts w:hint="eastAsia"/>
                <w:color w:val="000000"/>
                <w:sz w:val="24"/>
                <w:highlight w:val="none"/>
              </w:rPr>
              <w:t>或各县（市、区）公管局</w:t>
            </w:r>
            <w:r>
              <w:rPr>
                <w:color w:val="000000"/>
                <w:sz w:val="24"/>
                <w:highlight w:val="none"/>
              </w:rPr>
              <w:t>依法处理。</w:t>
            </w:r>
          </w:p>
          <w:p w14:paraId="072A8719">
            <w:pPr>
              <w:pStyle w:val="35"/>
              <w:keepNext w:val="0"/>
              <w:keepLines w:val="0"/>
              <w:pageBreakBefore w:val="0"/>
              <w:tabs>
                <w:tab w:val="left" w:pos="636"/>
              </w:tabs>
              <w:kinsoku/>
              <w:wordWrap/>
              <w:overflowPunct/>
              <w:autoSpaceDE/>
              <w:autoSpaceDN/>
              <w:bidi w:val="0"/>
              <w:adjustRightInd w:val="0"/>
              <w:snapToGrid w:val="0"/>
              <w:spacing w:line="440" w:lineRule="exact"/>
              <w:jc w:val="left"/>
              <w:textAlignment w:val="auto"/>
              <w:rPr>
                <w:color w:val="000000"/>
                <w:sz w:val="24"/>
                <w:highlight w:val="none"/>
              </w:rPr>
            </w:pPr>
            <w:r>
              <w:rPr>
                <w:rFonts w:hint="eastAsia"/>
                <w:color w:val="000000"/>
                <w:sz w:val="24"/>
                <w:highlight w:val="none"/>
                <w:lang w:val="en-US"/>
              </w:rPr>
              <w:t>3、</w:t>
            </w:r>
            <w:r>
              <w:rPr>
                <w:color w:val="000000"/>
                <w:sz w:val="24"/>
                <w:highlight w:val="none"/>
              </w:rPr>
              <w:t>中标人未履行下述义务的，</w:t>
            </w:r>
            <w:r>
              <w:rPr>
                <w:rFonts w:hint="eastAsia"/>
                <w:color w:val="000000"/>
                <w:sz w:val="24"/>
                <w:highlight w:val="none"/>
                <w:lang w:val="en-US"/>
              </w:rPr>
              <w:t>滁州市</w:t>
            </w:r>
            <w:r>
              <w:rPr>
                <w:color w:val="000000"/>
                <w:sz w:val="24"/>
                <w:highlight w:val="none"/>
              </w:rPr>
              <w:t>公共资源交</w:t>
            </w:r>
            <w:r>
              <w:rPr>
                <w:color w:val="000000"/>
                <w:spacing w:val="-7"/>
                <w:sz w:val="24"/>
                <w:highlight w:val="none"/>
              </w:rPr>
              <w:t>易监督管理局</w:t>
            </w:r>
            <w:r>
              <w:rPr>
                <w:rFonts w:hint="eastAsia"/>
                <w:color w:val="000000"/>
                <w:spacing w:val="-7"/>
                <w:sz w:val="24"/>
                <w:highlight w:val="none"/>
              </w:rPr>
              <w:t>或各县（市、区）公管局</w:t>
            </w:r>
            <w:r>
              <w:rPr>
                <w:color w:val="000000"/>
                <w:spacing w:val="-7"/>
                <w:sz w:val="24"/>
                <w:highlight w:val="none"/>
              </w:rPr>
              <w:t>将依法对中标人进行处理，追究相关责</w:t>
            </w:r>
            <w:r>
              <w:rPr>
                <w:color w:val="000000"/>
                <w:sz w:val="24"/>
                <w:highlight w:val="none"/>
              </w:rPr>
              <w:t>任：</w:t>
            </w:r>
          </w:p>
          <w:p w14:paraId="0427A5B1">
            <w:pPr>
              <w:pStyle w:val="35"/>
              <w:keepNext w:val="0"/>
              <w:keepLines w:val="0"/>
              <w:pageBreakBefore w:val="0"/>
              <w:kinsoku/>
              <w:wordWrap/>
              <w:overflowPunct/>
              <w:autoSpaceDE/>
              <w:autoSpaceDN/>
              <w:bidi w:val="0"/>
              <w:adjustRightInd w:val="0"/>
              <w:snapToGrid w:val="0"/>
              <w:spacing w:line="440" w:lineRule="exact"/>
              <w:jc w:val="left"/>
              <w:textAlignment w:val="auto"/>
              <w:rPr>
                <w:color w:val="000000"/>
                <w:sz w:val="24"/>
                <w:highlight w:val="none"/>
              </w:rPr>
            </w:pPr>
            <w:r>
              <w:rPr>
                <w:rFonts w:hint="eastAsia"/>
                <w:color w:val="000000"/>
                <w:sz w:val="24"/>
                <w:highlight w:val="none"/>
              </w:rPr>
              <w:t>①中标人无正当理由不与招标人订立合同，在签订合同时向招标人提出附加条件，或者不按照招标文件要求提交履约保证金的</w:t>
            </w:r>
            <w:r>
              <w:rPr>
                <w:color w:val="000000"/>
                <w:spacing w:val="-6"/>
                <w:sz w:val="24"/>
                <w:highlight w:val="none"/>
              </w:rPr>
              <w:t>，招标人</w:t>
            </w:r>
            <w:r>
              <w:rPr>
                <w:color w:val="000000"/>
                <w:spacing w:val="-5"/>
                <w:sz w:val="24"/>
                <w:highlight w:val="none"/>
              </w:rPr>
              <w:t>有权取消中标人中标资格，并将相关违约行为报送监管部门</w:t>
            </w:r>
            <w:r>
              <w:rPr>
                <w:rFonts w:hint="eastAsia"/>
                <w:color w:val="000000"/>
                <w:spacing w:val="-5"/>
                <w:sz w:val="24"/>
                <w:highlight w:val="none"/>
              </w:rPr>
              <w:t>处理</w:t>
            </w:r>
            <w:r>
              <w:rPr>
                <w:color w:val="000000"/>
                <w:spacing w:val="-2"/>
                <w:sz w:val="24"/>
                <w:highlight w:val="none"/>
              </w:rPr>
              <w:t>；</w:t>
            </w:r>
          </w:p>
          <w:p w14:paraId="4236DB88">
            <w:pPr>
              <w:pStyle w:val="35"/>
              <w:keepNext w:val="0"/>
              <w:keepLines w:val="0"/>
              <w:pageBreakBefore w:val="0"/>
              <w:kinsoku/>
              <w:wordWrap/>
              <w:overflowPunct/>
              <w:autoSpaceDE/>
              <w:autoSpaceDN/>
              <w:bidi w:val="0"/>
              <w:adjustRightInd w:val="0"/>
              <w:snapToGrid w:val="0"/>
              <w:spacing w:line="440" w:lineRule="exact"/>
              <w:jc w:val="left"/>
              <w:textAlignment w:val="auto"/>
              <w:rPr>
                <w:color w:val="000000"/>
                <w:spacing w:val="-5"/>
                <w:sz w:val="24"/>
                <w:highlight w:val="none"/>
              </w:rPr>
            </w:pPr>
            <w:r>
              <w:rPr>
                <w:rFonts w:hint="eastAsia" w:ascii="仿宋_GB2312" w:eastAsia="仿宋_GB2312"/>
                <w:color w:val="000000"/>
                <w:spacing w:val="-3"/>
                <w:sz w:val="24"/>
                <w:highlight w:val="none"/>
              </w:rPr>
              <w:t>②</w:t>
            </w:r>
            <w:r>
              <w:rPr>
                <w:color w:val="000000"/>
                <w:spacing w:val="-3"/>
                <w:sz w:val="24"/>
                <w:highlight w:val="none"/>
              </w:rPr>
              <w:t>合同签订后，中标人存在规定时间内不组织人员进场开工、</w:t>
            </w:r>
            <w:r>
              <w:rPr>
                <w:color w:val="000000"/>
                <w:spacing w:val="-6"/>
                <w:sz w:val="24"/>
                <w:highlight w:val="none"/>
              </w:rPr>
              <w:t>不履行供货安装义务等情况，招标人有权解除合同，并追究违</w:t>
            </w:r>
            <w:r>
              <w:rPr>
                <w:color w:val="000000"/>
                <w:spacing w:val="-16"/>
                <w:sz w:val="24"/>
                <w:highlight w:val="none"/>
              </w:rPr>
              <w:t>约责任，同时将相关违约行为报送监管部门</w:t>
            </w:r>
            <w:r>
              <w:rPr>
                <w:rFonts w:hint="eastAsia"/>
                <w:color w:val="000000"/>
                <w:spacing w:val="-16"/>
                <w:sz w:val="24"/>
                <w:highlight w:val="none"/>
              </w:rPr>
              <w:t>处理</w:t>
            </w:r>
            <w:r>
              <w:rPr>
                <w:rFonts w:hint="eastAsia"/>
                <w:color w:val="000000"/>
                <w:spacing w:val="-5"/>
                <w:sz w:val="24"/>
                <w:highlight w:val="none"/>
              </w:rPr>
              <w:t>。</w:t>
            </w:r>
          </w:p>
          <w:p w14:paraId="33DD5164">
            <w:pPr>
              <w:pStyle w:val="35"/>
              <w:keepNext w:val="0"/>
              <w:keepLines w:val="0"/>
              <w:pageBreakBefore w:val="0"/>
              <w:kinsoku/>
              <w:wordWrap/>
              <w:overflowPunct/>
              <w:autoSpaceDE/>
              <w:autoSpaceDN/>
              <w:bidi w:val="0"/>
              <w:adjustRightInd w:val="0"/>
              <w:snapToGrid w:val="0"/>
              <w:spacing w:line="440" w:lineRule="exact"/>
              <w:jc w:val="left"/>
              <w:textAlignment w:val="auto"/>
              <w:rPr>
                <w:color w:val="000000"/>
                <w:sz w:val="24"/>
                <w:highlight w:val="none"/>
                <w:lang w:val="en-US"/>
              </w:rPr>
            </w:pPr>
            <w:r>
              <w:rPr>
                <w:rFonts w:hint="eastAsia"/>
                <w:color w:val="000000"/>
                <w:sz w:val="24"/>
                <w:highlight w:val="none"/>
                <w:lang w:val="en-US"/>
              </w:rPr>
              <w:t>4、项目经理（建造师）变更按照《关于进一步加强建筑施工现场项目经理（建造师）变更行为管理的通知》（滁公管〔2020〕1号）规定，需经发包人以及公管、住建部门同意。技术负责人变更需经发包人同意。</w:t>
            </w:r>
          </w:p>
          <w:p w14:paraId="0D15974C">
            <w:pPr>
              <w:pStyle w:val="35"/>
              <w:keepNext w:val="0"/>
              <w:keepLines w:val="0"/>
              <w:pageBreakBefore w:val="0"/>
              <w:kinsoku/>
              <w:wordWrap/>
              <w:overflowPunct/>
              <w:autoSpaceDE/>
              <w:autoSpaceDN/>
              <w:bidi w:val="0"/>
              <w:adjustRightInd w:val="0"/>
              <w:snapToGrid w:val="0"/>
              <w:spacing w:line="440" w:lineRule="exact"/>
              <w:jc w:val="left"/>
              <w:textAlignment w:val="auto"/>
              <w:rPr>
                <w:color w:val="000000"/>
                <w:sz w:val="24"/>
                <w:highlight w:val="none"/>
                <w:lang w:val="en-US"/>
              </w:rPr>
            </w:pPr>
            <w:r>
              <w:rPr>
                <w:rFonts w:hint="eastAsia"/>
                <w:color w:val="000000"/>
                <w:sz w:val="24"/>
                <w:highlight w:val="none"/>
                <w:lang w:val="en-US"/>
              </w:rPr>
              <w:t>中标人因下列原因变更项目经理（建造师），须缴纳违约金</w:t>
            </w:r>
            <w:r>
              <w:rPr>
                <w:rFonts w:hint="eastAsia"/>
                <w:color w:val="000000"/>
                <w:sz w:val="24"/>
                <w:highlight w:val="none"/>
                <w:u w:val="single"/>
                <w:lang w:val="en-US" w:eastAsia="zh-CN"/>
              </w:rPr>
              <w:t>100000</w:t>
            </w:r>
            <w:r>
              <w:rPr>
                <w:rFonts w:hint="eastAsia"/>
                <w:color w:val="000000"/>
                <w:sz w:val="24"/>
                <w:highlight w:val="none"/>
                <w:lang w:val="en-US"/>
              </w:rPr>
              <w:t>元</w:t>
            </w:r>
            <w:r>
              <w:rPr>
                <w:color w:val="000000"/>
                <w:sz w:val="24"/>
                <w:highlight w:val="none"/>
                <w:lang w:val="en-US"/>
              </w:rPr>
              <w:t xml:space="preserve">: </w:t>
            </w:r>
            <w:r>
              <w:rPr>
                <w:rFonts w:hint="eastAsia" w:ascii="宋体" w:hAnsi="宋体" w:eastAsia="宋体" w:cs="宋体"/>
                <w:bCs/>
                <w:snapToGrid w:val="0"/>
                <w:color w:val="auto"/>
                <w:kern w:val="0"/>
                <w:sz w:val="24"/>
                <w:szCs w:val="24"/>
                <w:highlight w:val="none"/>
                <w:lang w:val="en-US" w:eastAsia="zh-CN"/>
              </w:rPr>
              <w:t>详见合同约定</w:t>
            </w:r>
            <w:r>
              <w:rPr>
                <w:rFonts w:hint="eastAsia"/>
                <w:color w:val="000000"/>
                <w:sz w:val="24"/>
                <w:highlight w:val="none"/>
                <w:lang w:val="en-US"/>
              </w:rPr>
              <w:t>。</w:t>
            </w:r>
          </w:p>
          <w:p w14:paraId="69935D7A">
            <w:pPr>
              <w:pStyle w:val="35"/>
              <w:keepNext w:val="0"/>
              <w:keepLines w:val="0"/>
              <w:pageBreakBefore w:val="0"/>
              <w:kinsoku/>
              <w:wordWrap/>
              <w:overflowPunct/>
              <w:autoSpaceDE/>
              <w:autoSpaceDN/>
              <w:bidi w:val="0"/>
              <w:adjustRightInd w:val="0"/>
              <w:snapToGrid w:val="0"/>
              <w:spacing w:line="440" w:lineRule="exact"/>
              <w:jc w:val="left"/>
              <w:textAlignment w:val="auto"/>
              <w:rPr>
                <w:rFonts w:ascii="MS Mincho" w:hAnsi="MS Mincho" w:cs="MS Mincho"/>
                <w:color w:val="000000"/>
                <w:sz w:val="24"/>
                <w:highlight w:val="none"/>
                <w:lang w:val="en-US"/>
              </w:rPr>
            </w:pPr>
            <w:r>
              <w:rPr>
                <w:rFonts w:hint="eastAsia"/>
                <w:color w:val="000000"/>
                <w:sz w:val="24"/>
                <w:highlight w:val="none"/>
                <w:lang w:val="en-US"/>
              </w:rPr>
              <w:t>中标人因下列原因变更技术负责人，须缴纳违约金</w:t>
            </w:r>
            <w:r>
              <w:rPr>
                <w:rFonts w:hint="eastAsia"/>
                <w:color w:val="000000"/>
                <w:sz w:val="24"/>
                <w:highlight w:val="none"/>
                <w:u w:val="single"/>
                <w:lang w:val="en-US" w:eastAsia="zh-CN"/>
              </w:rPr>
              <w:t>50000</w:t>
            </w:r>
            <w:r>
              <w:rPr>
                <w:rFonts w:hint="eastAsia"/>
                <w:color w:val="000000"/>
                <w:sz w:val="24"/>
                <w:highlight w:val="none"/>
                <w:lang w:val="en-US"/>
              </w:rPr>
              <w:t>元</w:t>
            </w:r>
            <w:r>
              <w:rPr>
                <w:color w:val="000000"/>
                <w:sz w:val="24"/>
                <w:highlight w:val="none"/>
                <w:lang w:val="en-US"/>
              </w:rPr>
              <w:t>:</w:t>
            </w:r>
            <w:r>
              <w:rPr>
                <w:rFonts w:hint="eastAsia" w:ascii="宋体" w:hAnsi="宋体" w:eastAsia="宋体" w:cs="宋体"/>
                <w:bCs/>
                <w:snapToGrid w:val="0"/>
                <w:color w:val="auto"/>
                <w:kern w:val="0"/>
                <w:sz w:val="24"/>
                <w:szCs w:val="24"/>
                <w:highlight w:val="none"/>
                <w:lang w:val="en-US" w:eastAsia="zh-CN"/>
              </w:rPr>
              <w:t>详见合同约定。</w:t>
            </w:r>
          </w:p>
        </w:tc>
      </w:tr>
      <w:tr w14:paraId="4E229161">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3E3D529A">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w:t>
            </w:r>
            <w:r>
              <w:rPr>
                <w:rFonts w:ascii="宋体" w:hAnsi="宋体" w:cs="宋体"/>
                <w:color w:val="000000"/>
                <w:sz w:val="24"/>
                <w:highlight w:val="none"/>
              </w:rPr>
              <w:t>.10</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3851930E">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重点项目约谈</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2C746737">
            <w:pPr>
              <w:keepNext w:val="0"/>
              <w:keepLines w:val="0"/>
              <w:pageBreakBefore w:val="0"/>
              <w:kinsoku/>
              <w:wordWrap/>
              <w:overflowPunct/>
              <w:autoSpaceDE/>
              <w:autoSpaceDN/>
              <w:bidi w:val="0"/>
              <w:adjustRightInd w:val="0"/>
              <w:snapToGrid w:val="0"/>
              <w:spacing w:line="440" w:lineRule="exact"/>
              <w:textAlignment w:val="auto"/>
              <w:rPr>
                <w:rFonts w:ascii="宋体" w:hAnsi="宋体" w:cs="宋体"/>
                <w:b/>
                <w:bCs/>
                <w:color w:val="000000"/>
                <w:sz w:val="24"/>
                <w:highlight w:val="none"/>
              </w:rPr>
            </w:pPr>
            <w:r>
              <w:rPr>
                <w:rFonts w:hint="eastAsia" w:ascii="宋体" w:hAnsi="宋体" w:cs="宋体"/>
                <w:color w:val="000000"/>
                <w:sz w:val="24"/>
                <w:highlight w:val="none"/>
                <w:lang w:bidi="zh-CN"/>
              </w:rPr>
              <w:t>实行重点工程项目考察约谈机制。项目单位牵头负责，公管等部门参与对预中标单位进行考察约谈、警醒提示，防止非法转包、违法分包、挂靠及出借资质的情况发生。</w:t>
            </w:r>
          </w:p>
        </w:tc>
      </w:tr>
      <w:tr w14:paraId="00B30CBF">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7DC077BE">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10.11</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63ABB7D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变更招标方式</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73D56B09">
            <w:pPr>
              <w:pStyle w:val="9"/>
              <w:keepNext w:val="0"/>
              <w:keepLines w:val="0"/>
              <w:pageBreakBefore w:val="0"/>
              <w:kinsoku/>
              <w:wordWrap/>
              <w:overflowPunct/>
              <w:autoSpaceDE/>
              <w:autoSpaceDN/>
              <w:bidi w:val="0"/>
              <w:adjustRightInd w:val="0"/>
              <w:snapToGrid w:val="0"/>
              <w:spacing w:after="0" w:line="440" w:lineRule="exact"/>
              <w:textAlignment w:val="auto"/>
              <w:rPr>
                <w:color w:val="000000"/>
                <w:sz w:val="22"/>
                <w:highlight w:val="none"/>
              </w:rPr>
            </w:pPr>
            <w:r>
              <w:rPr>
                <w:rFonts w:hint="eastAsia" w:ascii="宋体" w:hAnsi="宋体" w:cs="宋体"/>
                <w:color w:val="000000"/>
                <w:sz w:val="24"/>
                <w:highlight w:val="none"/>
                <w:lang w:bidi="zh-CN"/>
              </w:rPr>
              <w:t>按照滁州市公共资源交易监督管理局现行规定执行。</w:t>
            </w:r>
          </w:p>
        </w:tc>
      </w:tr>
      <w:tr w14:paraId="0B8D2BDC">
        <w:tblPrEx>
          <w:tblCellMar>
            <w:top w:w="0" w:type="dxa"/>
            <w:left w:w="108" w:type="dxa"/>
            <w:bottom w:w="0" w:type="dxa"/>
            <w:right w:w="108" w:type="dxa"/>
          </w:tblCellMar>
        </w:tblPrEx>
        <w:trPr>
          <w:trHeight w:val="90" w:hRule="atLeast"/>
          <w:jc w:val="center"/>
        </w:trPr>
        <w:tc>
          <w:tcPr>
            <w:tcW w:w="1016" w:type="dxa"/>
            <w:tcBorders>
              <w:top w:val="single" w:color="auto" w:sz="4" w:space="0"/>
              <w:left w:val="single" w:color="auto" w:sz="4" w:space="0"/>
              <w:bottom w:val="single" w:color="auto" w:sz="4" w:space="0"/>
              <w:right w:val="single" w:color="auto" w:sz="4" w:space="0"/>
            </w:tcBorders>
            <w:noWrap w:val="0"/>
            <w:vAlign w:val="center"/>
          </w:tcPr>
          <w:p w14:paraId="6EF8E041">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10.12</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425DF97B">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招标人补充的</w:t>
            </w:r>
          </w:p>
          <w:p w14:paraId="5D594A40">
            <w:pPr>
              <w:keepNext w:val="0"/>
              <w:keepLines w:val="0"/>
              <w:pageBreakBefore w:val="0"/>
              <w:kinsoku/>
              <w:wordWrap/>
              <w:overflowPunct/>
              <w:autoSpaceDE/>
              <w:autoSpaceDN/>
              <w:bidi w:val="0"/>
              <w:adjustRightInd w:val="0"/>
              <w:snapToGrid w:val="0"/>
              <w:spacing w:line="440" w:lineRule="exact"/>
              <w:jc w:val="center"/>
              <w:textAlignment w:val="auto"/>
              <w:rPr>
                <w:rFonts w:ascii="宋体" w:hAnsi="宋体" w:cs="宋体"/>
                <w:color w:val="000000"/>
                <w:sz w:val="24"/>
                <w:highlight w:val="none"/>
              </w:rPr>
            </w:pPr>
            <w:r>
              <w:rPr>
                <w:rFonts w:hint="eastAsia" w:ascii="宋体" w:hAnsi="宋体" w:cs="宋体"/>
                <w:color w:val="000000"/>
                <w:sz w:val="24"/>
                <w:highlight w:val="none"/>
              </w:rPr>
              <w:t>其他内容</w:t>
            </w:r>
          </w:p>
        </w:tc>
        <w:tc>
          <w:tcPr>
            <w:tcW w:w="7175" w:type="dxa"/>
            <w:tcBorders>
              <w:top w:val="single" w:color="auto" w:sz="4" w:space="0"/>
              <w:left w:val="single" w:color="auto" w:sz="4" w:space="0"/>
              <w:bottom w:val="single" w:color="auto" w:sz="4" w:space="0"/>
              <w:right w:val="single" w:color="auto" w:sz="4" w:space="0"/>
            </w:tcBorders>
            <w:noWrap w:val="0"/>
            <w:vAlign w:val="center"/>
          </w:tcPr>
          <w:p w14:paraId="728F7CC5">
            <w:pPr>
              <w:pStyle w:val="9"/>
              <w:keepNext w:val="0"/>
              <w:keepLines w:val="0"/>
              <w:pageBreakBefore w:val="0"/>
              <w:kinsoku/>
              <w:wordWrap/>
              <w:overflowPunct/>
              <w:autoSpaceDE/>
              <w:autoSpaceDN/>
              <w:bidi w:val="0"/>
              <w:adjustRightInd w:val="0"/>
              <w:snapToGrid w:val="0"/>
              <w:spacing w:after="0" w:line="440" w:lineRule="exact"/>
              <w:textAlignment w:val="auto"/>
              <w:rPr>
                <w:rFonts w:hint="eastAsia" w:ascii="宋体" w:hAnsi="宋体" w:eastAsia="宋体" w:cs="宋体"/>
                <w:color w:val="000000"/>
                <w:sz w:val="24"/>
                <w:highlight w:val="none"/>
                <w:lang w:bidi="zh-CN"/>
              </w:rPr>
            </w:pPr>
            <w:r>
              <w:rPr>
                <w:rFonts w:hint="eastAsia" w:ascii="宋体" w:hAnsi="宋体" w:eastAsia="宋体" w:cs="宋体"/>
                <w:color w:val="000000"/>
                <w:sz w:val="24"/>
                <w:highlight w:val="none"/>
                <w:lang w:bidi="zh-CN"/>
              </w:rPr>
              <w:t>（</w:t>
            </w:r>
            <w:r>
              <w:rPr>
                <w:rFonts w:hint="eastAsia" w:ascii="宋体" w:hAnsi="宋体" w:eastAsia="宋体" w:cs="宋体"/>
                <w:color w:val="000000"/>
                <w:sz w:val="24"/>
                <w:highlight w:val="none"/>
                <w:lang w:val="en-US" w:eastAsia="zh-CN" w:bidi="zh-CN"/>
              </w:rPr>
              <w:t>1</w:t>
            </w:r>
            <w:r>
              <w:rPr>
                <w:rFonts w:hint="eastAsia" w:ascii="宋体" w:hAnsi="宋体" w:eastAsia="宋体" w:cs="宋体"/>
                <w:color w:val="000000"/>
                <w:sz w:val="24"/>
                <w:highlight w:val="none"/>
                <w:lang w:bidi="zh-CN"/>
              </w:rPr>
              <w:t>）安全生产</w:t>
            </w:r>
          </w:p>
          <w:p w14:paraId="52370D73">
            <w:pPr>
              <w:pStyle w:val="9"/>
              <w:keepNext w:val="0"/>
              <w:keepLines w:val="0"/>
              <w:pageBreakBefore w:val="0"/>
              <w:kinsoku/>
              <w:wordWrap/>
              <w:overflowPunct/>
              <w:autoSpaceDE/>
              <w:autoSpaceDN/>
              <w:bidi w:val="0"/>
              <w:adjustRightInd w:val="0"/>
              <w:snapToGrid w:val="0"/>
              <w:spacing w:after="0" w:line="440" w:lineRule="exact"/>
              <w:textAlignment w:val="auto"/>
              <w:rPr>
                <w:rFonts w:hint="eastAsia" w:ascii="宋体" w:hAnsi="宋体" w:eastAsia="宋体" w:cs="宋体"/>
                <w:color w:val="000000"/>
                <w:sz w:val="24"/>
                <w:highlight w:val="none"/>
                <w:lang w:bidi="zh-CN"/>
              </w:rPr>
            </w:pPr>
            <w:r>
              <w:rPr>
                <w:rFonts w:hint="eastAsia" w:ascii="宋体" w:hAnsi="宋体" w:eastAsia="宋体" w:cs="宋体"/>
                <w:color w:val="000000"/>
                <w:sz w:val="24"/>
                <w:highlight w:val="none"/>
                <w:lang w:bidi="zh-CN"/>
              </w:rPr>
              <w:t>①须严格遵守《中华人民共和国安全生产法》、《建设工程安全生产管理条例》等国家有关安全生产的法律法规、《建设项目安全设施“三同时”监督管理办法》等有关安全生产的规定。认真执行工程承包合同中的有关安全要求。</w:t>
            </w:r>
          </w:p>
          <w:p w14:paraId="58426C18">
            <w:pPr>
              <w:pStyle w:val="9"/>
              <w:keepNext w:val="0"/>
              <w:keepLines w:val="0"/>
              <w:pageBreakBefore w:val="0"/>
              <w:kinsoku/>
              <w:wordWrap/>
              <w:overflowPunct/>
              <w:autoSpaceDE/>
              <w:autoSpaceDN/>
              <w:bidi w:val="0"/>
              <w:adjustRightInd w:val="0"/>
              <w:snapToGrid w:val="0"/>
              <w:spacing w:after="0" w:line="440" w:lineRule="exact"/>
              <w:textAlignment w:val="auto"/>
              <w:rPr>
                <w:rFonts w:ascii="宋体" w:hAnsi="宋体" w:cs="宋体"/>
                <w:color w:val="000000"/>
                <w:sz w:val="24"/>
                <w:highlight w:val="none"/>
              </w:rPr>
            </w:pPr>
            <w:r>
              <w:rPr>
                <w:rFonts w:hint="eastAsia" w:ascii="宋体" w:hAnsi="宋体" w:eastAsia="宋体" w:cs="宋体"/>
                <w:color w:val="000000"/>
                <w:sz w:val="24"/>
                <w:highlight w:val="none"/>
                <w:lang w:bidi="zh-CN"/>
              </w:rPr>
              <w:t>②坚持“安全第一、预防为主、综合治理”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合同的各项规定，做到生产与安全工作同时计划、布置、检查、总结和评比。</w:t>
            </w:r>
          </w:p>
        </w:tc>
      </w:tr>
    </w:tbl>
    <w:p w14:paraId="3E693991">
      <w:pPr>
        <w:rPr>
          <w:highlight w:val="none"/>
        </w:rPr>
      </w:pPr>
      <w:bookmarkStart w:id="49" w:name="_Toc283798422"/>
      <w:bookmarkStart w:id="50" w:name="_Toc95223335"/>
      <w:bookmarkStart w:id="51" w:name="_Toc38879323"/>
      <w:bookmarkStart w:id="52" w:name="_Toc25869"/>
    </w:p>
    <w:p w14:paraId="18A7A65E">
      <w:pPr>
        <w:keepNext/>
        <w:keepLines/>
        <w:spacing w:before="260" w:after="260" w:line="500" w:lineRule="exact"/>
        <w:jc w:val="center"/>
        <w:outlineLvl w:val="2"/>
        <w:rPr>
          <w:rFonts w:ascii="宋体" w:hAnsi="宋体" w:cs="宋体"/>
          <w:smallCaps/>
          <w:snapToGrid w:val="0"/>
          <w:color w:val="000000"/>
          <w:kern w:val="0"/>
          <w:sz w:val="30"/>
          <w:szCs w:val="30"/>
          <w:highlight w:val="none"/>
        </w:rPr>
      </w:pPr>
      <w:r>
        <w:rPr>
          <w:rFonts w:hint="eastAsia" w:ascii="宋体" w:hAnsi="宋体" w:cs="宋体"/>
          <w:bCs/>
          <w:smallCaps/>
          <w:snapToGrid w:val="0"/>
          <w:color w:val="000000"/>
          <w:kern w:val="0"/>
          <w:sz w:val="30"/>
          <w:szCs w:val="30"/>
          <w:highlight w:val="none"/>
        </w:rPr>
        <w:t>投标人须知</w:t>
      </w:r>
      <w:bookmarkEnd w:id="49"/>
      <w:r>
        <w:rPr>
          <w:rFonts w:hint="eastAsia" w:ascii="宋体" w:hAnsi="宋体" w:cs="宋体"/>
          <w:bCs/>
          <w:smallCaps/>
          <w:snapToGrid w:val="0"/>
          <w:color w:val="000000"/>
          <w:kern w:val="0"/>
          <w:sz w:val="30"/>
          <w:szCs w:val="30"/>
          <w:highlight w:val="none"/>
        </w:rPr>
        <w:t>正文修改一览表</w:t>
      </w:r>
      <w:bookmarkEnd w:id="50"/>
      <w:bookmarkEnd w:id="51"/>
      <w:bookmarkEnd w:id="52"/>
    </w:p>
    <w:p w14:paraId="23D01D1A">
      <w:pPr>
        <w:autoSpaceDE w:val="0"/>
        <w:autoSpaceDN w:val="0"/>
        <w:adjustRightInd w:val="0"/>
        <w:snapToGrid w:val="0"/>
        <w:spacing w:line="240" w:lineRule="atLeast"/>
        <w:jc w:val="center"/>
        <w:rPr>
          <w:rFonts w:ascii="宋体" w:hAnsi="宋体" w:cs="宋体"/>
          <w:b/>
          <w:color w:val="000000"/>
          <w:sz w:val="31"/>
          <w:szCs w:val="49"/>
          <w:highlight w:val="none"/>
        </w:rPr>
      </w:pPr>
    </w:p>
    <w:p w14:paraId="165D7A7E">
      <w:pPr>
        <w:ind w:firstLine="420" w:firstLineChars="200"/>
        <w:rPr>
          <w:rFonts w:ascii="宋体" w:hAnsi="宋体" w:cs="宋体"/>
          <w:color w:val="000000"/>
          <w:kern w:val="0"/>
          <w:szCs w:val="21"/>
          <w:highlight w:val="none"/>
        </w:rPr>
      </w:pPr>
      <w:r>
        <w:rPr>
          <w:rFonts w:hint="eastAsia" w:ascii="宋体" w:hAnsi="宋体" w:cs="宋体"/>
          <w:color w:val="000000"/>
          <w:kern w:val="0"/>
          <w:szCs w:val="21"/>
          <w:highlight w:val="none"/>
        </w:rPr>
        <w:t>投标人须知正文条款内容修改如下：</w:t>
      </w:r>
    </w:p>
    <w:p w14:paraId="72E2E76E">
      <w:pPr>
        <w:autoSpaceDE w:val="0"/>
        <w:autoSpaceDN w:val="0"/>
        <w:adjustRightInd w:val="0"/>
        <w:snapToGrid w:val="0"/>
        <w:spacing w:line="240" w:lineRule="atLeast"/>
        <w:ind w:firstLine="190" w:firstLineChars="100"/>
        <w:rPr>
          <w:rFonts w:ascii="宋体" w:hAnsi="宋体" w:cs="宋体"/>
          <w:color w:val="000000"/>
          <w:spacing w:val="-10"/>
          <w:kern w:val="0"/>
          <w:highlight w:val="none"/>
        </w:rPr>
      </w:pP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7"/>
        <w:gridCol w:w="3663"/>
        <w:gridCol w:w="3244"/>
      </w:tblGrid>
      <w:tr w14:paraId="1F21A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14:paraId="0EA8A414">
            <w:pPr>
              <w:jc w:val="center"/>
              <w:rPr>
                <w:rFonts w:ascii="宋体" w:hAnsi="宋体" w:cs="宋体"/>
                <w:b/>
                <w:color w:val="000000"/>
                <w:highlight w:val="none"/>
              </w:rPr>
            </w:pPr>
            <w:r>
              <w:rPr>
                <w:rFonts w:hint="eastAsia" w:ascii="宋体" w:hAnsi="宋体" w:cs="宋体"/>
                <w:b/>
                <w:color w:val="000000"/>
                <w:highlight w:val="none"/>
              </w:rPr>
              <w:t>条款编号</w:t>
            </w:r>
          </w:p>
        </w:tc>
        <w:tc>
          <w:tcPr>
            <w:tcW w:w="3663" w:type="dxa"/>
            <w:tcBorders>
              <w:top w:val="single" w:color="auto" w:sz="4" w:space="0"/>
              <w:left w:val="single" w:color="auto" w:sz="4" w:space="0"/>
              <w:bottom w:val="single" w:color="auto" w:sz="4" w:space="0"/>
              <w:right w:val="single" w:color="auto" w:sz="4" w:space="0"/>
            </w:tcBorders>
            <w:noWrap w:val="0"/>
            <w:vAlign w:val="center"/>
          </w:tcPr>
          <w:p w14:paraId="5FE441C5">
            <w:pPr>
              <w:jc w:val="center"/>
              <w:rPr>
                <w:rFonts w:ascii="宋体" w:hAnsi="宋体" w:cs="宋体"/>
                <w:b/>
                <w:color w:val="000000"/>
                <w:highlight w:val="none"/>
              </w:rPr>
            </w:pPr>
            <w:r>
              <w:rPr>
                <w:rFonts w:hint="eastAsia" w:ascii="宋体" w:hAnsi="宋体" w:cs="宋体"/>
                <w:b/>
                <w:color w:val="000000"/>
                <w:highlight w:val="none"/>
              </w:rPr>
              <w:t>示范文本中条款内容</w:t>
            </w:r>
          </w:p>
        </w:tc>
        <w:tc>
          <w:tcPr>
            <w:tcW w:w="3244" w:type="dxa"/>
            <w:tcBorders>
              <w:top w:val="single" w:color="auto" w:sz="4" w:space="0"/>
              <w:left w:val="single" w:color="auto" w:sz="4" w:space="0"/>
              <w:bottom w:val="single" w:color="auto" w:sz="4" w:space="0"/>
              <w:right w:val="single" w:color="auto" w:sz="4" w:space="0"/>
            </w:tcBorders>
            <w:noWrap w:val="0"/>
            <w:vAlign w:val="center"/>
          </w:tcPr>
          <w:p w14:paraId="79991008">
            <w:pPr>
              <w:jc w:val="center"/>
              <w:rPr>
                <w:rFonts w:ascii="宋体" w:hAnsi="宋体" w:cs="宋体"/>
                <w:b/>
                <w:color w:val="000000"/>
                <w:highlight w:val="none"/>
              </w:rPr>
            </w:pPr>
            <w:r>
              <w:rPr>
                <w:rFonts w:hint="eastAsia" w:ascii="宋体" w:hAnsi="宋体" w:cs="宋体"/>
                <w:b/>
                <w:color w:val="000000"/>
                <w:highlight w:val="none"/>
              </w:rPr>
              <w:t>修改后条款内容</w:t>
            </w:r>
          </w:p>
        </w:tc>
      </w:tr>
      <w:tr w14:paraId="50F04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14:paraId="7E362166">
            <w:pPr>
              <w:jc w:val="center"/>
              <w:rPr>
                <w:rFonts w:hint="default" w:ascii="宋体" w:hAnsi="宋体" w:eastAsia="宋体" w:cs="宋体"/>
                <w:color w:val="000000"/>
                <w:highlight w:val="none"/>
                <w:lang w:val="en-US" w:eastAsia="zh-CN"/>
              </w:rPr>
            </w:pPr>
            <w:r>
              <w:rPr>
                <w:rFonts w:hint="eastAsia" w:ascii="宋体" w:hAnsi="宋体" w:cs="宋体"/>
                <w:color w:val="000000"/>
                <w:highlight w:val="none"/>
                <w:lang w:val="en-US" w:eastAsia="zh-CN"/>
              </w:rPr>
              <w:t>7.5定标</w:t>
            </w:r>
          </w:p>
        </w:tc>
        <w:tc>
          <w:tcPr>
            <w:tcW w:w="3663" w:type="dxa"/>
            <w:tcBorders>
              <w:top w:val="single" w:color="auto" w:sz="4" w:space="0"/>
              <w:left w:val="single" w:color="auto" w:sz="4" w:space="0"/>
              <w:bottom w:val="single" w:color="auto" w:sz="4" w:space="0"/>
              <w:right w:val="single" w:color="auto" w:sz="4" w:space="0"/>
            </w:tcBorders>
            <w:noWrap w:val="0"/>
            <w:vAlign w:val="center"/>
          </w:tcPr>
          <w:p w14:paraId="5763BBF7">
            <w:pPr>
              <w:jc w:val="center"/>
              <w:rPr>
                <w:rFonts w:ascii="宋体" w:hAnsi="宋体" w:cs="宋体"/>
                <w:color w:val="000000"/>
                <w:highlight w:val="none"/>
              </w:rPr>
            </w:pPr>
            <w:r>
              <w:rPr>
                <w:rFonts w:hint="eastAsia" w:ascii="宋体" w:hAnsi="宋体" w:cs="宋体"/>
                <w:color w:val="000000"/>
                <w:szCs w:val="21"/>
                <w:highlight w:val="none"/>
              </w:rPr>
              <w:t>按照投标人须知前附表的规定，招标人或招标人授权的评标委员会依法确定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tc>
        <w:tc>
          <w:tcPr>
            <w:tcW w:w="3244" w:type="dxa"/>
            <w:tcBorders>
              <w:top w:val="single" w:color="auto" w:sz="4" w:space="0"/>
              <w:left w:val="single" w:color="auto" w:sz="4" w:space="0"/>
              <w:bottom w:val="single" w:color="auto" w:sz="4" w:space="0"/>
              <w:right w:val="single" w:color="auto" w:sz="4" w:space="0"/>
            </w:tcBorders>
            <w:noWrap w:val="0"/>
            <w:vAlign w:val="center"/>
          </w:tcPr>
          <w:p w14:paraId="4A921812">
            <w:pPr>
              <w:jc w:val="center"/>
              <w:rPr>
                <w:rFonts w:ascii="宋体" w:hAnsi="宋体" w:cs="宋体"/>
                <w:color w:val="000000"/>
                <w:highlight w:val="none"/>
              </w:rPr>
            </w:pPr>
            <w:r>
              <w:rPr>
                <w:rFonts w:hint="eastAsia" w:ascii="宋体" w:hAnsi="宋体" w:eastAsia="宋体" w:cs="宋体"/>
                <w:color w:val="000000"/>
                <w:szCs w:val="21"/>
                <w:highlight w:val="none"/>
              </w:rPr>
              <w:t>评标委员会应当按照招标文件的规定推荐</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rPr>
              <w:t>名</w:t>
            </w:r>
            <w:r>
              <w:rPr>
                <w:rFonts w:hint="eastAsia" w:ascii="宋体" w:hAnsi="宋体" w:eastAsia="宋体" w:cs="宋体"/>
                <w:color w:val="000000"/>
                <w:szCs w:val="21"/>
                <w:highlight w:val="none"/>
                <w:lang w:val="en-US" w:eastAsia="zh-CN"/>
              </w:rPr>
              <w:t>中</w:t>
            </w:r>
            <w:r>
              <w:rPr>
                <w:rFonts w:hint="eastAsia" w:ascii="宋体" w:hAnsi="宋体" w:eastAsia="宋体" w:cs="宋体"/>
                <w:color w:val="000000"/>
                <w:szCs w:val="21"/>
                <w:highlight w:val="none"/>
              </w:rPr>
              <w:t>标候选人，招标人自收到评标报告之日起5个工作日内召开定标会议。</w:t>
            </w:r>
          </w:p>
        </w:tc>
      </w:tr>
      <w:tr w14:paraId="52FD0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14:paraId="3D73BA50">
            <w:pPr>
              <w:jc w:val="center"/>
              <w:rPr>
                <w:rFonts w:ascii="宋体" w:hAnsi="宋体" w:cs="宋体"/>
                <w:color w:val="000000"/>
                <w:highlight w:val="none"/>
              </w:rPr>
            </w:pPr>
          </w:p>
        </w:tc>
        <w:tc>
          <w:tcPr>
            <w:tcW w:w="3663" w:type="dxa"/>
            <w:tcBorders>
              <w:top w:val="single" w:color="auto" w:sz="4" w:space="0"/>
              <w:left w:val="single" w:color="auto" w:sz="4" w:space="0"/>
              <w:bottom w:val="single" w:color="auto" w:sz="4" w:space="0"/>
              <w:right w:val="single" w:color="auto" w:sz="4" w:space="0"/>
            </w:tcBorders>
            <w:noWrap w:val="0"/>
            <w:vAlign w:val="center"/>
          </w:tcPr>
          <w:p w14:paraId="3E607A0B">
            <w:pPr>
              <w:snapToGrid w:val="0"/>
              <w:jc w:val="center"/>
              <w:rPr>
                <w:rFonts w:ascii="宋体" w:hAnsi="宋体" w:cs="宋体"/>
                <w:color w:val="000000"/>
                <w:highlight w:val="none"/>
              </w:rPr>
            </w:pPr>
          </w:p>
        </w:tc>
        <w:tc>
          <w:tcPr>
            <w:tcW w:w="3244" w:type="dxa"/>
            <w:tcBorders>
              <w:top w:val="single" w:color="auto" w:sz="4" w:space="0"/>
              <w:left w:val="single" w:color="auto" w:sz="4" w:space="0"/>
              <w:bottom w:val="single" w:color="auto" w:sz="4" w:space="0"/>
              <w:right w:val="single" w:color="auto" w:sz="4" w:space="0"/>
            </w:tcBorders>
            <w:noWrap w:val="0"/>
            <w:vAlign w:val="center"/>
          </w:tcPr>
          <w:p w14:paraId="17CD47E2">
            <w:pPr>
              <w:jc w:val="center"/>
              <w:rPr>
                <w:rFonts w:ascii="宋体" w:hAnsi="宋体" w:cs="宋体"/>
                <w:b/>
                <w:color w:val="000000"/>
                <w:highlight w:val="none"/>
              </w:rPr>
            </w:pPr>
          </w:p>
        </w:tc>
      </w:tr>
      <w:tr w14:paraId="50B2F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14:paraId="49950C51">
            <w:pPr>
              <w:jc w:val="center"/>
              <w:rPr>
                <w:rFonts w:ascii="宋体" w:hAnsi="宋体" w:cs="宋体"/>
                <w:color w:val="000000"/>
                <w:highlight w:val="none"/>
              </w:rPr>
            </w:pPr>
          </w:p>
        </w:tc>
        <w:tc>
          <w:tcPr>
            <w:tcW w:w="3663" w:type="dxa"/>
            <w:tcBorders>
              <w:top w:val="single" w:color="auto" w:sz="4" w:space="0"/>
              <w:left w:val="single" w:color="auto" w:sz="4" w:space="0"/>
              <w:bottom w:val="single" w:color="auto" w:sz="4" w:space="0"/>
              <w:right w:val="single" w:color="auto" w:sz="4" w:space="0"/>
            </w:tcBorders>
            <w:noWrap w:val="0"/>
            <w:vAlign w:val="center"/>
          </w:tcPr>
          <w:p w14:paraId="6B150250">
            <w:pPr>
              <w:snapToGrid w:val="0"/>
              <w:jc w:val="center"/>
              <w:rPr>
                <w:rFonts w:ascii="宋体" w:hAnsi="宋体" w:cs="宋体"/>
                <w:color w:val="000000"/>
                <w:highlight w:val="none"/>
              </w:rPr>
            </w:pPr>
          </w:p>
        </w:tc>
        <w:tc>
          <w:tcPr>
            <w:tcW w:w="3244" w:type="dxa"/>
            <w:tcBorders>
              <w:top w:val="single" w:color="auto" w:sz="4" w:space="0"/>
              <w:left w:val="single" w:color="auto" w:sz="4" w:space="0"/>
              <w:bottom w:val="single" w:color="auto" w:sz="4" w:space="0"/>
              <w:right w:val="single" w:color="auto" w:sz="4" w:space="0"/>
            </w:tcBorders>
            <w:noWrap w:val="0"/>
            <w:vAlign w:val="center"/>
          </w:tcPr>
          <w:p w14:paraId="14A5F25C">
            <w:pPr>
              <w:jc w:val="center"/>
              <w:rPr>
                <w:rFonts w:ascii="宋体" w:hAnsi="宋体" w:cs="宋体"/>
                <w:b/>
                <w:color w:val="000000"/>
                <w:highlight w:val="none"/>
              </w:rPr>
            </w:pPr>
          </w:p>
        </w:tc>
      </w:tr>
      <w:tr w14:paraId="3BF01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14:paraId="585F497F">
            <w:pPr>
              <w:jc w:val="center"/>
              <w:rPr>
                <w:rFonts w:ascii="宋体" w:hAnsi="宋体" w:cs="宋体"/>
                <w:color w:val="000000"/>
                <w:highlight w:val="none"/>
              </w:rPr>
            </w:pPr>
          </w:p>
        </w:tc>
        <w:tc>
          <w:tcPr>
            <w:tcW w:w="3663" w:type="dxa"/>
            <w:tcBorders>
              <w:top w:val="single" w:color="auto" w:sz="4" w:space="0"/>
              <w:left w:val="single" w:color="auto" w:sz="4" w:space="0"/>
              <w:bottom w:val="single" w:color="auto" w:sz="4" w:space="0"/>
              <w:right w:val="single" w:color="auto" w:sz="4" w:space="0"/>
            </w:tcBorders>
            <w:noWrap w:val="0"/>
            <w:vAlign w:val="center"/>
          </w:tcPr>
          <w:p w14:paraId="29104A94">
            <w:pPr>
              <w:jc w:val="center"/>
              <w:rPr>
                <w:rFonts w:ascii="宋体" w:hAnsi="宋体" w:cs="宋体"/>
                <w:color w:val="000000"/>
                <w:highlight w:val="none"/>
              </w:rPr>
            </w:pPr>
          </w:p>
        </w:tc>
        <w:tc>
          <w:tcPr>
            <w:tcW w:w="3244" w:type="dxa"/>
            <w:tcBorders>
              <w:top w:val="single" w:color="auto" w:sz="4" w:space="0"/>
              <w:left w:val="single" w:color="auto" w:sz="4" w:space="0"/>
              <w:bottom w:val="single" w:color="auto" w:sz="4" w:space="0"/>
              <w:right w:val="single" w:color="auto" w:sz="4" w:space="0"/>
            </w:tcBorders>
            <w:noWrap w:val="0"/>
            <w:vAlign w:val="center"/>
          </w:tcPr>
          <w:p w14:paraId="3205E1A3">
            <w:pPr>
              <w:snapToGrid w:val="0"/>
              <w:jc w:val="center"/>
              <w:rPr>
                <w:rFonts w:ascii="宋体" w:hAnsi="宋体" w:cs="宋体"/>
                <w:color w:val="000000"/>
                <w:highlight w:val="none"/>
              </w:rPr>
            </w:pPr>
          </w:p>
        </w:tc>
      </w:tr>
      <w:tr w14:paraId="5B2A5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14:paraId="1986B94D">
            <w:pPr>
              <w:jc w:val="center"/>
              <w:rPr>
                <w:rFonts w:ascii="宋体" w:hAnsi="宋体" w:cs="宋体"/>
                <w:color w:val="000000"/>
                <w:highlight w:val="none"/>
              </w:rPr>
            </w:pPr>
          </w:p>
        </w:tc>
        <w:tc>
          <w:tcPr>
            <w:tcW w:w="3663" w:type="dxa"/>
            <w:tcBorders>
              <w:top w:val="single" w:color="auto" w:sz="4" w:space="0"/>
              <w:left w:val="single" w:color="auto" w:sz="4" w:space="0"/>
              <w:bottom w:val="single" w:color="auto" w:sz="4" w:space="0"/>
              <w:right w:val="single" w:color="auto" w:sz="4" w:space="0"/>
            </w:tcBorders>
            <w:noWrap w:val="0"/>
            <w:vAlign w:val="center"/>
          </w:tcPr>
          <w:p w14:paraId="58093361">
            <w:pPr>
              <w:jc w:val="center"/>
              <w:rPr>
                <w:rFonts w:ascii="宋体" w:hAnsi="宋体" w:cs="宋体"/>
                <w:color w:val="000000"/>
                <w:highlight w:val="none"/>
              </w:rPr>
            </w:pPr>
          </w:p>
        </w:tc>
        <w:tc>
          <w:tcPr>
            <w:tcW w:w="3244" w:type="dxa"/>
            <w:tcBorders>
              <w:top w:val="single" w:color="auto" w:sz="4" w:space="0"/>
              <w:left w:val="single" w:color="auto" w:sz="4" w:space="0"/>
              <w:bottom w:val="single" w:color="auto" w:sz="4" w:space="0"/>
              <w:right w:val="single" w:color="auto" w:sz="4" w:space="0"/>
            </w:tcBorders>
            <w:noWrap w:val="0"/>
            <w:vAlign w:val="center"/>
          </w:tcPr>
          <w:p w14:paraId="32785CE5">
            <w:pPr>
              <w:jc w:val="center"/>
              <w:rPr>
                <w:rFonts w:ascii="宋体" w:hAnsi="宋体" w:cs="宋体"/>
                <w:color w:val="000000"/>
                <w:highlight w:val="none"/>
              </w:rPr>
            </w:pPr>
          </w:p>
        </w:tc>
      </w:tr>
      <w:tr w14:paraId="50A67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597" w:type="dxa"/>
            <w:tcBorders>
              <w:top w:val="single" w:color="auto" w:sz="4" w:space="0"/>
              <w:left w:val="single" w:color="auto" w:sz="4" w:space="0"/>
              <w:bottom w:val="single" w:color="auto" w:sz="4" w:space="0"/>
              <w:right w:val="single" w:color="auto" w:sz="4" w:space="0"/>
            </w:tcBorders>
            <w:noWrap w:val="0"/>
            <w:vAlign w:val="center"/>
          </w:tcPr>
          <w:p w14:paraId="25DF4C60">
            <w:pPr>
              <w:jc w:val="center"/>
              <w:rPr>
                <w:rFonts w:ascii="宋体" w:hAnsi="宋体" w:cs="宋体"/>
                <w:color w:val="000000"/>
                <w:highlight w:val="none"/>
              </w:rPr>
            </w:pPr>
          </w:p>
        </w:tc>
        <w:tc>
          <w:tcPr>
            <w:tcW w:w="3663" w:type="dxa"/>
            <w:tcBorders>
              <w:top w:val="single" w:color="auto" w:sz="4" w:space="0"/>
              <w:left w:val="single" w:color="auto" w:sz="4" w:space="0"/>
              <w:bottom w:val="single" w:color="auto" w:sz="4" w:space="0"/>
              <w:right w:val="single" w:color="auto" w:sz="4" w:space="0"/>
            </w:tcBorders>
            <w:noWrap w:val="0"/>
            <w:vAlign w:val="center"/>
          </w:tcPr>
          <w:p w14:paraId="0FBC84EB">
            <w:pPr>
              <w:jc w:val="center"/>
              <w:rPr>
                <w:rFonts w:ascii="宋体" w:hAnsi="宋体" w:cs="宋体"/>
                <w:color w:val="000000"/>
                <w:highlight w:val="none"/>
              </w:rPr>
            </w:pPr>
          </w:p>
        </w:tc>
        <w:tc>
          <w:tcPr>
            <w:tcW w:w="3244" w:type="dxa"/>
            <w:tcBorders>
              <w:top w:val="single" w:color="auto" w:sz="4" w:space="0"/>
              <w:left w:val="single" w:color="auto" w:sz="4" w:space="0"/>
              <w:bottom w:val="single" w:color="auto" w:sz="4" w:space="0"/>
              <w:right w:val="single" w:color="auto" w:sz="4" w:space="0"/>
            </w:tcBorders>
            <w:noWrap w:val="0"/>
            <w:vAlign w:val="center"/>
          </w:tcPr>
          <w:p w14:paraId="6F24825D">
            <w:pPr>
              <w:jc w:val="center"/>
              <w:rPr>
                <w:rFonts w:ascii="宋体" w:hAnsi="宋体" w:cs="宋体"/>
                <w:color w:val="000000"/>
                <w:highlight w:val="none"/>
              </w:rPr>
            </w:pPr>
          </w:p>
        </w:tc>
      </w:tr>
    </w:tbl>
    <w:p w14:paraId="4BC092E9">
      <w:pPr>
        <w:pStyle w:val="9"/>
        <w:adjustRightInd w:val="0"/>
        <w:snapToGrid w:val="0"/>
        <w:spacing w:after="0" w:line="560" w:lineRule="exact"/>
        <w:rPr>
          <w:color w:val="000000"/>
          <w:sz w:val="22"/>
          <w:highlight w:val="none"/>
        </w:rPr>
        <w:sectPr>
          <w:footerReference r:id="rId5" w:type="default"/>
          <w:pgSz w:w="11910" w:h="16850"/>
          <w:pgMar w:top="1600" w:right="660" w:bottom="1100" w:left="1120" w:header="0" w:footer="746" w:gutter="0"/>
          <w:pgBorders>
            <w:top w:val="none" w:sz="0" w:space="0"/>
            <w:left w:val="none" w:sz="0" w:space="0"/>
            <w:bottom w:val="none" w:sz="0" w:space="0"/>
            <w:right w:val="none" w:sz="0" w:space="0"/>
          </w:pgBorders>
          <w:pgNumType w:start="1"/>
          <w:cols w:space="720" w:num="1"/>
        </w:sectPr>
      </w:pPr>
    </w:p>
    <w:p w14:paraId="378146F4">
      <w:pPr>
        <w:pStyle w:val="3"/>
        <w:pageBreakBefore/>
        <w:adjustRightInd w:val="0"/>
        <w:snapToGrid w:val="0"/>
        <w:spacing w:before="0" w:after="0" w:line="560" w:lineRule="exact"/>
        <w:ind w:firstLine="422" w:firstLineChars="200"/>
        <w:rPr>
          <w:rFonts w:ascii="黑体" w:hAnsi="黑体" w:cs="黑体"/>
          <w:color w:val="000000"/>
          <w:sz w:val="21"/>
          <w:szCs w:val="21"/>
          <w:highlight w:val="none"/>
        </w:rPr>
      </w:pPr>
      <w:bookmarkStart w:id="53" w:name="_Toc95223336"/>
      <w:bookmarkStart w:id="54" w:name="_Toc83301688"/>
      <w:bookmarkStart w:id="55" w:name="_Toc60061433"/>
      <w:r>
        <w:rPr>
          <w:rFonts w:hint="eastAsia" w:ascii="黑体" w:hAnsi="黑体" w:cs="黑体"/>
          <w:color w:val="000000"/>
          <w:sz w:val="21"/>
          <w:szCs w:val="21"/>
          <w:highlight w:val="none"/>
        </w:rPr>
        <w:t>1. 总则</w:t>
      </w:r>
      <w:bookmarkEnd w:id="37"/>
      <w:bookmarkEnd w:id="38"/>
      <w:bookmarkEnd w:id="39"/>
      <w:bookmarkEnd w:id="40"/>
      <w:bookmarkEnd w:id="41"/>
      <w:bookmarkEnd w:id="42"/>
      <w:bookmarkEnd w:id="43"/>
      <w:bookmarkEnd w:id="44"/>
      <w:bookmarkEnd w:id="45"/>
      <w:bookmarkEnd w:id="46"/>
      <w:bookmarkEnd w:id="53"/>
      <w:bookmarkEnd w:id="54"/>
      <w:bookmarkEnd w:id="55"/>
    </w:p>
    <w:p w14:paraId="0841D42D">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56" w:name="_Toc144974498"/>
      <w:bookmarkStart w:id="57" w:name="_Toc95223337"/>
      <w:bookmarkStart w:id="58" w:name="_Toc296602421"/>
      <w:bookmarkStart w:id="59" w:name="_Toc83301689"/>
      <w:bookmarkStart w:id="60" w:name="_Toc60061434"/>
      <w:bookmarkStart w:id="61" w:name="_Toc179632547"/>
      <w:bookmarkStart w:id="62" w:name="_Toc152045530"/>
      <w:bookmarkStart w:id="63" w:name="_Toc246996919"/>
      <w:bookmarkStart w:id="64" w:name="_Toc152042306"/>
      <w:bookmarkStart w:id="65" w:name="_Toc246996176"/>
      <w:bookmarkStart w:id="66" w:name="_Toc506107270"/>
      <w:bookmarkStart w:id="67" w:name="_Toc15058847"/>
      <w:bookmarkStart w:id="68" w:name="_Toc324404816"/>
      <w:bookmarkStart w:id="69" w:name="_Toc247085690"/>
      <w:r>
        <w:rPr>
          <w:rFonts w:hint="eastAsia" w:ascii="黑体" w:hAnsi="黑体" w:eastAsia="黑体" w:cs="黑体"/>
          <w:color w:val="000000"/>
          <w:sz w:val="21"/>
          <w:szCs w:val="21"/>
          <w:highlight w:val="none"/>
        </w:rPr>
        <w:t>1.1 项目概况</w:t>
      </w:r>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42DD752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1.1.1根据《中华人民共和国招标投标法》《中华人民共和国招标投标法实施条例》等有关法律、法规和规章的规定，本招标项目已具备招标条件，现对本项目进行招标。</w:t>
      </w:r>
    </w:p>
    <w:p w14:paraId="5ED687E9">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1.1.2 本招标项目招标人：见投标人须知前附表。</w:t>
      </w:r>
    </w:p>
    <w:p w14:paraId="1AC633D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1.1.3 本招标项目招标代理机构：见投标人须知前附表。</w:t>
      </w:r>
    </w:p>
    <w:p w14:paraId="157EE34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1.1.4 本招标项目名称：见投标人须知前附表。</w:t>
      </w:r>
    </w:p>
    <w:p w14:paraId="5CA435E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1.1.5 本招标项目建设地点：见投标人须知前附表。</w:t>
      </w:r>
    </w:p>
    <w:p w14:paraId="54449E66">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70" w:name="_Toc179632548"/>
      <w:bookmarkStart w:id="71" w:name="_Toc95223338"/>
      <w:bookmarkStart w:id="72" w:name="_Toc506107271"/>
      <w:bookmarkStart w:id="73" w:name="_Toc15058848"/>
      <w:bookmarkStart w:id="74" w:name="_Toc152042307"/>
      <w:bookmarkStart w:id="75" w:name="_Toc246996177"/>
      <w:bookmarkStart w:id="76" w:name="_Toc152045531"/>
      <w:bookmarkStart w:id="77" w:name="_Toc60061435"/>
      <w:bookmarkStart w:id="78" w:name="_Toc247085691"/>
      <w:bookmarkStart w:id="79" w:name="_Toc324404817"/>
      <w:bookmarkStart w:id="80" w:name="_Toc296602422"/>
      <w:bookmarkStart w:id="81" w:name="_Toc83301690"/>
      <w:bookmarkStart w:id="82" w:name="_Toc144974499"/>
      <w:bookmarkStart w:id="83" w:name="_Toc246996920"/>
      <w:r>
        <w:rPr>
          <w:rFonts w:hint="eastAsia" w:ascii="黑体" w:hAnsi="黑体" w:eastAsia="黑体" w:cs="黑体"/>
          <w:color w:val="000000"/>
          <w:sz w:val="21"/>
          <w:szCs w:val="21"/>
          <w:highlight w:val="none"/>
        </w:rPr>
        <w:t>1.2 资金来源和落实情况</w:t>
      </w:r>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1CA9339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1.2.1 本招标项目的资金来源及出资比例：见投标人须知前附表。</w:t>
      </w:r>
    </w:p>
    <w:p w14:paraId="7921689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1.2.2 本招标项目的资金落实情况：见投标人须知前附表。</w:t>
      </w:r>
    </w:p>
    <w:p w14:paraId="3361C04C">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84" w:name="_Toc246996178"/>
      <w:bookmarkStart w:id="85" w:name="_Toc152045532"/>
      <w:bookmarkStart w:id="86" w:name="_Toc152042308"/>
      <w:bookmarkStart w:id="87" w:name="_Toc246996921"/>
      <w:bookmarkStart w:id="88" w:name="_Toc144974500"/>
      <w:bookmarkStart w:id="89" w:name="_Toc296602423"/>
      <w:bookmarkStart w:id="90" w:name="_Toc247085692"/>
      <w:bookmarkStart w:id="91" w:name="_Toc15058849"/>
      <w:bookmarkStart w:id="92" w:name="_Toc506107272"/>
      <w:bookmarkStart w:id="93" w:name="_Toc83301691"/>
      <w:bookmarkStart w:id="94" w:name="_Toc60061436"/>
      <w:bookmarkStart w:id="95" w:name="_Toc179632549"/>
      <w:bookmarkStart w:id="96" w:name="_Toc324404818"/>
      <w:bookmarkStart w:id="97" w:name="_Toc95223339"/>
      <w:r>
        <w:rPr>
          <w:rFonts w:hint="eastAsia" w:ascii="黑体" w:hAnsi="黑体" w:eastAsia="黑体" w:cs="黑体"/>
          <w:color w:val="000000"/>
          <w:sz w:val="21"/>
          <w:szCs w:val="21"/>
          <w:highlight w:val="none"/>
        </w:rPr>
        <w:t>1.3 招标范围、计划工期、质量要求</w:t>
      </w:r>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22DDA4E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1.3.1 本次招标范围：见投标人须知前附表。</w:t>
      </w:r>
    </w:p>
    <w:p w14:paraId="6396982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1.3.2 本招标项目的计划工期：见投标人须知前附表。</w:t>
      </w:r>
    </w:p>
    <w:p w14:paraId="128C4A7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1.3.3 本招标项目的质量要求：见投标人须知前附表。</w:t>
      </w:r>
    </w:p>
    <w:p w14:paraId="20B7E05D">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98" w:name="_Toc324404819"/>
      <w:bookmarkStart w:id="99" w:name="_Toc95223340"/>
      <w:bookmarkStart w:id="100" w:name="_Toc179632551"/>
      <w:bookmarkStart w:id="101" w:name="_Toc152042310"/>
      <w:bookmarkStart w:id="102" w:name="_Toc246996179"/>
      <w:bookmarkStart w:id="103" w:name="_Toc296602424"/>
      <w:bookmarkStart w:id="104" w:name="_Toc246996922"/>
      <w:bookmarkStart w:id="105" w:name="_Toc247085693"/>
      <w:bookmarkStart w:id="106" w:name="_Toc60061437"/>
      <w:bookmarkStart w:id="107" w:name="_Toc506107273"/>
      <w:bookmarkStart w:id="108" w:name="_Toc144974502"/>
      <w:bookmarkStart w:id="109" w:name="_Toc15058850"/>
      <w:bookmarkStart w:id="110" w:name="_Toc152045534"/>
      <w:bookmarkStart w:id="111" w:name="_Toc83301692"/>
      <w:r>
        <w:rPr>
          <w:rFonts w:hint="eastAsia" w:ascii="黑体" w:hAnsi="黑体" w:eastAsia="黑体" w:cs="黑体"/>
          <w:color w:val="000000"/>
          <w:sz w:val="21"/>
          <w:szCs w:val="21"/>
          <w:highlight w:val="none"/>
        </w:rPr>
        <w:t>1.4 投标人资格要求</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6352FB9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1.4.1 投标人应具备承担本项目施工的资质条件、能力和信誉。</w:t>
      </w:r>
    </w:p>
    <w:p w14:paraId="43B7C24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（1）资质条件：见投标人须知前附表；</w:t>
      </w:r>
    </w:p>
    <w:p w14:paraId="34DD9C1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（2）信誉要求：见投标人须知前附表；</w:t>
      </w:r>
    </w:p>
    <w:p w14:paraId="7FA1D44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（3）项目经理（建造师）资格：见投标人须知前附表；</w:t>
      </w:r>
    </w:p>
    <w:p w14:paraId="58026FC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（4）其他要求：见投标人须知前附表。</w:t>
      </w:r>
    </w:p>
    <w:p w14:paraId="27D47CC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1.4.2 投标人须知前附表规定接受联合体投标的，除应符合本章第1.4.1项和投标人须知前附表的要求外，还应遵守以下规定： </w:t>
      </w:r>
    </w:p>
    <w:p w14:paraId="58D4898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（1）联合体各方应按招标文件提供的格式签订联合体协议书，明确联合体各方权利义务</w:t>
      </w:r>
      <w:r>
        <w:rPr>
          <w:color w:val="000000"/>
          <w:spacing w:val="-3"/>
          <w:highlight w:val="none"/>
        </w:rPr>
        <w:t>，并承诺就中标项目向招标人承担连带责任</w:t>
      </w:r>
      <w:r>
        <w:rPr>
          <w:rFonts w:hint="eastAsia" w:ascii="宋体" w:hAnsi="宋体" w:cs="宋体"/>
          <w:color w:val="000000"/>
          <w:szCs w:val="21"/>
          <w:highlight w:val="none"/>
        </w:rPr>
        <w:t>；</w:t>
      </w:r>
    </w:p>
    <w:p w14:paraId="40CE423C">
      <w:pPr>
        <w:adjustRightInd w:val="0"/>
        <w:snapToGrid w:val="0"/>
        <w:spacing w:line="560" w:lineRule="exact"/>
        <w:ind w:firstLine="420" w:firstLineChars="200"/>
        <w:rPr>
          <w:color w:val="000000"/>
          <w:highlight w:val="none"/>
        </w:rPr>
      </w:pPr>
      <w:r>
        <w:rPr>
          <w:rFonts w:hint="eastAsia" w:ascii="宋体" w:hAnsi="宋体" w:cs="宋体"/>
          <w:color w:val="000000"/>
          <w:szCs w:val="21"/>
          <w:highlight w:val="none"/>
        </w:rPr>
        <w:t>（2）联合体各方不得再以自己名义单独或参加其他联合体在同一标段中投标。</w:t>
      </w:r>
    </w:p>
    <w:p w14:paraId="2AE427C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1.4.3</w:t>
      </w:r>
      <w:bookmarkStart w:id="112" w:name="_Toc152045535"/>
      <w:bookmarkStart w:id="113" w:name="_Toc179632552"/>
      <w:bookmarkStart w:id="114" w:name="_Toc246996180"/>
      <w:bookmarkStart w:id="115" w:name="_Toc15058851"/>
      <w:bookmarkStart w:id="116" w:name="_Toc247085694"/>
      <w:bookmarkStart w:id="117" w:name="_Toc95223341"/>
      <w:bookmarkStart w:id="118" w:name="_Toc246996923"/>
      <w:bookmarkStart w:id="119" w:name="_Toc83301693"/>
      <w:bookmarkStart w:id="120" w:name="_Toc324404820"/>
      <w:bookmarkStart w:id="121" w:name="_Toc296602425"/>
      <w:bookmarkStart w:id="122" w:name="_Toc60061438"/>
      <w:bookmarkStart w:id="123" w:name="_Toc144974503"/>
      <w:bookmarkStart w:id="124" w:name="_Toc506107274"/>
      <w:bookmarkStart w:id="125" w:name="_Toc152042311"/>
      <w:r>
        <w:rPr>
          <w:rFonts w:hint="eastAsia" w:ascii="宋体" w:hAnsi="宋体" w:cs="宋体"/>
          <w:color w:val="000000"/>
          <w:szCs w:val="21"/>
          <w:highlight w:val="none"/>
        </w:rPr>
        <w:t>投标人（包括联合体各成员）不得与本标段相关单位存在下列关联关系：</w:t>
      </w:r>
    </w:p>
    <w:p w14:paraId="569A24F9">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（1）为招标人不具有独立法人资格的附属机构（单位）；</w:t>
      </w:r>
    </w:p>
    <w:p w14:paraId="3768838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（2）与招标人存在利害关系且可能影响招标公正性；</w:t>
      </w:r>
    </w:p>
    <w:p w14:paraId="467D63D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（3）与本标段的其他投标人同为一个单位负责人；</w:t>
      </w:r>
    </w:p>
    <w:p w14:paraId="0514606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（4）与本标段的其他投标人存在控股、管理关系；</w:t>
      </w:r>
    </w:p>
    <w:p w14:paraId="7F72A35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（5）为本标段的监理人；</w:t>
      </w:r>
    </w:p>
    <w:p w14:paraId="04D219C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（6）为本标段的代建人；</w:t>
      </w:r>
    </w:p>
    <w:p w14:paraId="4D45157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（7）为本标段的招标代理机构；</w:t>
      </w:r>
    </w:p>
    <w:p w14:paraId="451ACC9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（8）与本标段的监理人或代建人或招标代理机构同为一个法定代表人；</w:t>
      </w:r>
    </w:p>
    <w:p w14:paraId="0B2AA40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（9）与本标段的监理人或代建人或招标代理机构存在控股或参股关系；</w:t>
      </w:r>
    </w:p>
    <w:p w14:paraId="4CB9668C">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（10）法律法规或投标人须知前附表规定的其他情形。</w:t>
      </w:r>
    </w:p>
    <w:p w14:paraId="22A177E5">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r>
        <w:rPr>
          <w:rFonts w:hint="eastAsia" w:ascii="黑体" w:hAnsi="黑体" w:eastAsia="黑体" w:cs="黑体"/>
          <w:color w:val="000000"/>
          <w:sz w:val="21"/>
          <w:szCs w:val="21"/>
          <w:highlight w:val="none"/>
        </w:rPr>
        <w:t>1.5 费用承担</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368BB99C">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投标人准备和参加投标活动发生的费用自理。</w:t>
      </w:r>
    </w:p>
    <w:p w14:paraId="0B3584E3">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126" w:name="_Toc144974504"/>
      <w:bookmarkStart w:id="127" w:name="_Toc247085695"/>
      <w:bookmarkStart w:id="128" w:name="_Toc246996924"/>
      <w:bookmarkStart w:id="129" w:name="_Toc246996181"/>
      <w:bookmarkStart w:id="130" w:name="_Toc179632553"/>
      <w:bookmarkStart w:id="131" w:name="_Toc83301694"/>
      <w:bookmarkStart w:id="132" w:name="_Toc152042312"/>
      <w:bookmarkStart w:id="133" w:name="_Toc15058852"/>
      <w:bookmarkStart w:id="134" w:name="_Toc60061439"/>
      <w:bookmarkStart w:id="135" w:name="_Toc506107275"/>
      <w:bookmarkStart w:id="136" w:name="_Toc324404821"/>
      <w:bookmarkStart w:id="137" w:name="_Toc95223342"/>
      <w:bookmarkStart w:id="138" w:name="_Toc296602426"/>
      <w:bookmarkStart w:id="139" w:name="_Toc152045536"/>
      <w:r>
        <w:rPr>
          <w:rFonts w:hint="eastAsia" w:ascii="黑体" w:hAnsi="黑体" w:eastAsia="黑体" w:cs="黑体"/>
          <w:color w:val="000000"/>
          <w:sz w:val="21"/>
          <w:szCs w:val="21"/>
          <w:highlight w:val="none"/>
        </w:rPr>
        <w:t>1.6 保密</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06959F8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参与招标投标活动的各方应对招标文件和投标文件中的商业和技术等秘密保密，违者应对由此造成的后果承担法律责任。 </w:t>
      </w:r>
    </w:p>
    <w:p w14:paraId="6D18DC20">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140" w:name="_Toc144974505"/>
      <w:bookmarkStart w:id="141" w:name="_Toc247085696"/>
      <w:bookmarkStart w:id="142" w:name="_Toc246996925"/>
      <w:bookmarkStart w:id="143" w:name="_Toc296602427"/>
      <w:bookmarkStart w:id="144" w:name="_Toc95223343"/>
      <w:bookmarkStart w:id="145" w:name="_Toc60061440"/>
      <w:bookmarkStart w:id="146" w:name="_Toc179632554"/>
      <w:bookmarkStart w:id="147" w:name="_Toc246996182"/>
      <w:bookmarkStart w:id="148" w:name="_Toc506107276"/>
      <w:bookmarkStart w:id="149" w:name="_Toc15058853"/>
      <w:bookmarkStart w:id="150" w:name="_Toc152045537"/>
      <w:bookmarkStart w:id="151" w:name="_Toc152042313"/>
      <w:bookmarkStart w:id="152" w:name="_Toc324404822"/>
      <w:bookmarkStart w:id="153" w:name="_Toc83301695"/>
      <w:r>
        <w:rPr>
          <w:rFonts w:hint="eastAsia" w:ascii="黑体" w:hAnsi="黑体" w:eastAsia="黑体" w:cs="黑体"/>
          <w:color w:val="000000"/>
          <w:sz w:val="21"/>
          <w:szCs w:val="21"/>
          <w:highlight w:val="none"/>
        </w:rPr>
        <w:t>1.7 语言</w:t>
      </w:r>
      <w:bookmarkEnd w:id="140"/>
      <w:r>
        <w:rPr>
          <w:rFonts w:hint="eastAsia" w:ascii="黑体" w:hAnsi="黑体" w:eastAsia="黑体" w:cs="黑体"/>
          <w:color w:val="000000"/>
          <w:sz w:val="21"/>
          <w:szCs w:val="21"/>
          <w:highlight w:val="none"/>
        </w:rPr>
        <w:t>文字</w:t>
      </w:r>
      <w:bookmarkEnd w:id="141"/>
      <w:bookmarkEnd w:id="142"/>
      <w:bookmarkEnd w:id="143"/>
      <w:bookmarkEnd w:id="144"/>
      <w:bookmarkEnd w:id="145"/>
      <w:bookmarkEnd w:id="146"/>
      <w:bookmarkEnd w:id="147"/>
      <w:bookmarkEnd w:id="148"/>
      <w:bookmarkEnd w:id="149"/>
      <w:bookmarkEnd w:id="150"/>
      <w:bookmarkEnd w:id="151"/>
      <w:bookmarkEnd w:id="152"/>
      <w:bookmarkEnd w:id="153"/>
    </w:p>
    <w:p w14:paraId="4027EEB0">
      <w:pPr>
        <w:adjustRightInd w:val="0"/>
        <w:snapToGrid w:val="0"/>
        <w:spacing w:line="560" w:lineRule="exact"/>
        <w:ind w:firstLine="420" w:firstLineChars="200"/>
        <w:rPr>
          <w:rFonts w:ascii="宋体" w:hAnsi="宋体" w:cs="宋体"/>
          <w:color w:val="000000"/>
          <w:szCs w:val="21"/>
          <w:highlight w:val="none"/>
        </w:rPr>
      </w:pPr>
      <w:bookmarkStart w:id="154" w:name="_Toc246996183"/>
      <w:bookmarkStart w:id="155" w:name="_Toc247085697"/>
      <w:bookmarkStart w:id="156" w:name="_Toc152042314"/>
      <w:bookmarkStart w:id="157" w:name="_Toc179632555"/>
      <w:bookmarkStart w:id="158" w:name="_Toc152045538"/>
      <w:bookmarkStart w:id="159" w:name="_Toc246996926"/>
      <w:bookmarkStart w:id="160" w:name="_Toc144974506"/>
      <w:r>
        <w:rPr>
          <w:rFonts w:hint="eastAsia" w:ascii="宋体" w:hAnsi="宋体" w:cs="宋体"/>
          <w:color w:val="000000"/>
          <w:szCs w:val="21"/>
          <w:highlight w:val="none"/>
        </w:rPr>
        <w:t>招标投标文件使用的语言文字为中文。专用术语使用外文的，应附有中文注释。</w:t>
      </w:r>
    </w:p>
    <w:p w14:paraId="343BCEE3">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161" w:name="_Toc95223344"/>
      <w:bookmarkStart w:id="162" w:name="_Toc83301696"/>
      <w:bookmarkStart w:id="163" w:name="_Toc324404823"/>
      <w:bookmarkStart w:id="164" w:name="_Toc60061441"/>
      <w:bookmarkStart w:id="165" w:name="_Toc296602428"/>
      <w:bookmarkStart w:id="166" w:name="_Toc15058854"/>
      <w:bookmarkStart w:id="167" w:name="_Toc506107277"/>
      <w:r>
        <w:rPr>
          <w:rFonts w:hint="eastAsia" w:ascii="黑体" w:hAnsi="黑体" w:eastAsia="黑体" w:cs="黑体"/>
          <w:color w:val="000000"/>
          <w:sz w:val="21"/>
          <w:szCs w:val="21"/>
          <w:highlight w:val="none"/>
        </w:rPr>
        <w:t>1.8 计量单位</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364AE41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所有计量均采用中华人民共和国法定计量单位。</w:t>
      </w:r>
    </w:p>
    <w:p w14:paraId="16FA9889">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168" w:name="_Toc247592876"/>
      <w:bookmarkStart w:id="169" w:name="_Toc152045539"/>
      <w:bookmarkStart w:id="170" w:name="_Toc60061442"/>
      <w:bookmarkStart w:id="171" w:name="_Toc144974507"/>
      <w:bookmarkStart w:id="172" w:name="_Toc15058855"/>
      <w:bookmarkStart w:id="173" w:name="_Toc296602429"/>
      <w:bookmarkStart w:id="174" w:name="_Toc83301697"/>
      <w:bookmarkStart w:id="175" w:name="_Toc95223345"/>
      <w:bookmarkStart w:id="176" w:name="_Toc247513962"/>
      <w:bookmarkStart w:id="177" w:name="_Toc506107278"/>
      <w:bookmarkStart w:id="178" w:name="_Toc324404824"/>
      <w:bookmarkStart w:id="179" w:name="_Toc247527563"/>
      <w:bookmarkStart w:id="180" w:name="_Toc152042315"/>
      <w:r>
        <w:rPr>
          <w:rFonts w:hint="eastAsia" w:ascii="黑体" w:hAnsi="黑体" w:eastAsia="黑体" w:cs="黑体"/>
          <w:color w:val="000000"/>
          <w:sz w:val="21"/>
          <w:szCs w:val="21"/>
          <w:highlight w:val="none"/>
        </w:rPr>
        <w:t>1.9 踏勘现场</w:t>
      </w:r>
      <w:bookmarkEnd w:id="168"/>
      <w:bookmarkEnd w:id="169"/>
      <w:bookmarkEnd w:id="170"/>
      <w:bookmarkEnd w:id="171"/>
      <w:bookmarkEnd w:id="172"/>
      <w:bookmarkEnd w:id="173"/>
      <w:bookmarkEnd w:id="174"/>
      <w:bookmarkEnd w:id="175"/>
      <w:bookmarkEnd w:id="176"/>
      <w:bookmarkEnd w:id="177"/>
      <w:bookmarkEnd w:id="178"/>
      <w:bookmarkEnd w:id="179"/>
      <w:bookmarkEnd w:id="180"/>
    </w:p>
    <w:p w14:paraId="515801B2">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1.9.1前附表规定组织踏勘现场的，招标人按投标人须知前附表规定的时间、地点组织投标人踏勘项目现场。</w:t>
      </w:r>
      <w:r>
        <w:rPr>
          <w:color w:val="000000"/>
          <w:spacing w:val="-7"/>
          <w:highlight w:val="none"/>
        </w:rPr>
        <w:t>部分投标人未按时参加踏勘现场的，不影响踏勘现场的正常进行。招标</w:t>
      </w:r>
      <w:r>
        <w:rPr>
          <w:color w:val="000000"/>
          <w:spacing w:val="-5"/>
          <w:highlight w:val="none"/>
        </w:rPr>
        <w:t>人不得组织单个或部分投标人踏勘项目现场。</w:t>
      </w:r>
      <w:r>
        <w:rPr>
          <w:rFonts w:hint="eastAsia" w:ascii="宋体" w:hAnsi="宋体" w:cs="宋体"/>
          <w:color w:val="000000"/>
          <w:szCs w:val="21"/>
          <w:highlight w:val="none"/>
        </w:rPr>
        <w:t xml:space="preserve"> </w:t>
      </w:r>
    </w:p>
    <w:p w14:paraId="478DE8B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1.9.2 投标人踏勘现场发生的费用自理。</w:t>
      </w:r>
    </w:p>
    <w:p w14:paraId="6B4406F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1.9.3 除招标人的原因外，投标人自行负责在踏勘现场中所发生的人员伤亡和财产损失。</w:t>
      </w:r>
    </w:p>
    <w:p w14:paraId="739DF11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1.9.4 招标人在踏勘现场中介绍的工程场地和相关的周边环境情况，供投标人在编制投标文件时参考，招标人不对投标人据此作出的判断和决策负责。</w:t>
      </w:r>
      <w:bookmarkStart w:id="181" w:name="_Toc60061443"/>
      <w:bookmarkStart w:id="182" w:name="_Toc247527564"/>
      <w:bookmarkStart w:id="183" w:name="_Toc144974508"/>
      <w:bookmarkStart w:id="184" w:name="_Toc152045540"/>
      <w:bookmarkStart w:id="185" w:name="_Toc15058856"/>
      <w:bookmarkStart w:id="186" w:name="_Toc247592877"/>
      <w:bookmarkStart w:id="187" w:name="_Toc296602430"/>
      <w:bookmarkStart w:id="188" w:name="_Toc506107279"/>
      <w:bookmarkStart w:id="189" w:name="_Toc324404825"/>
      <w:bookmarkStart w:id="190" w:name="_Toc247513963"/>
      <w:bookmarkStart w:id="191" w:name="_Toc152042316"/>
    </w:p>
    <w:p w14:paraId="771F142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1.9.5无论投标人是否到施工现场实地踏勘，中标后签订合同时和履约过程中，投标人不得以不完全了解现场情况或现场情况与招标文件描述不一致等为由，提出任何形式的增加工程造价或索赔的要求。</w:t>
      </w:r>
    </w:p>
    <w:p w14:paraId="7B4BE89B">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192" w:name="_Toc95223346"/>
      <w:bookmarkStart w:id="193" w:name="_Toc83301698"/>
      <w:r>
        <w:rPr>
          <w:rFonts w:hint="eastAsia" w:ascii="黑体" w:hAnsi="黑体" w:eastAsia="黑体" w:cs="黑体"/>
          <w:color w:val="000000"/>
          <w:sz w:val="21"/>
          <w:szCs w:val="21"/>
          <w:highlight w:val="none"/>
        </w:rPr>
        <w:t>1.10 投标预备会</w:t>
      </w:r>
      <w:bookmarkEnd w:id="181"/>
      <w:bookmarkEnd w:id="182"/>
      <w:bookmarkEnd w:id="183"/>
      <w:bookmarkEnd w:id="184"/>
      <w:bookmarkEnd w:id="185"/>
      <w:bookmarkEnd w:id="186"/>
      <w:bookmarkEnd w:id="187"/>
      <w:bookmarkEnd w:id="188"/>
      <w:bookmarkEnd w:id="189"/>
      <w:bookmarkEnd w:id="190"/>
      <w:bookmarkEnd w:id="191"/>
      <w:bookmarkEnd w:id="192"/>
      <w:bookmarkEnd w:id="193"/>
    </w:p>
    <w:p w14:paraId="1EF9E90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1.10.1投标人须知前附表规定召开投标预备会的，招标人按投标人须知前附表规定的时间和地点召开投标预备会，澄清投标人提出的问题。</w:t>
      </w:r>
    </w:p>
    <w:p w14:paraId="0D7BFDC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1.10.2投标人应在投标人须知前附表规定的时间前，将提出的问题送达招标人，以便招标人澄清。</w:t>
      </w:r>
    </w:p>
    <w:p w14:paraId="4E5D3AF3">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194" w:name="_Toc296602431"/>
      <w:bookmarkStart w:id="195" w:name="_Toc506107280"/>
      <w:bookmarkStart w:id="196" w:name="_Toc324404826"/>
      <w:bookmarkStart w:id="197" w:name="_Toc15058857"/>
      <w:bookmarkStart w:id="198" w:name="_Toc83301699"/>
      <w:bookmarkStart w:id="199" w:name="_Toc95223347"/>
      <w:bookmarkStart w:id="200" w:name="_Toc60061444"/>
      <w:r>
        <w:rPr>
          <w:rFonts w:hint="eastAsia" w:ascii="黑体" w:hAnsi="黑体" w:eastAsia="黑体" w:cs="黑体"/>
          <w:color w:val="000000"/>
          <w:sz w:val="21"/>
          <w:szCs w:val="21"/>
          <w:highlight w:val="none"/>
        </w:rPr>
        <w:t xml:space="preserve">1.11 </w:t>
      </w:r>
      <w:bookmarkEnd w:id="194"/>
      <w:bookmarkEnd w:id="195"/>
      <w:bookmarkEnd w:id="196"/>
      <w:bookmarkEnd w:id="197"/>
      <w:r>
        <w:rPr>
          <w:rFonts w:hint="eastAsia" w:ascii="黑体" w:hAnsi="黑体" w:eastAsia="黑体" w:cs="黑体"/>
          <w:color w:val="000000"/>
          <w:sz w:val="21"/>
          <w:szCs w:val="21"/>
          <w:highlight w:val="none"/>
        </w:rPr>
        <w:t>分包</w:t>
      </w:r>
      <w:bookmarkEnd w:id="198"/>
      <w:bookmarkEnd w:id="199"/>
      <w:bookmarkEnd w:id="200"/>
    </w:p>
    <w:p w14:paraId="7D751F2A">
      <w:pPr>
        <w:adjustRightInd w:val="0"/>
        <w:snapToGrid w:val="0"/>
        <w:spacing w:line="600" w:lineRule="exact"/>
        <w:ind w:firstLine="540"/>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1.11.1 投标人拟在中标后将中标项目的部分非主体、非关键性工作进行分包的，应符合以下规定：</w:t>
      </w:r>
    </w:p>
    <w:p w14:paraId="3B889526">
      <w:pPr>
        <w:tabs>
          <w:tab w:val="left" w:pos="1014"/>
        </w:tabs>
        <w:adjustRightInd w:val="0"/>
        <w:snapToGrid w:val="0"/>
        <w:spacing w:line="600" w:lineRule="exact"/>
        <w:ind w:firstLine="420" w:firstLineChars="200"/>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（1）分包内容要求：招标人允许分包或不允许分包的专业工程（如有）应在投标人须知前附表中载明；</w:t>
      </w:r>
    </w:p>
    <w:p w14:paraId="5C9634F2">
      <w:pPr>
        <w:tabs>
          <w:tab w:val="left" w:pos="1014"/>
        </w:tabs>
        <w:adjustRightInd w:val="0"/>
        <w:snapToGrid w:val="0"/>
        <w:spacing w:line="600" w:lineRule="exact"/>
        <w:ind w:firstLine="420" w:firstLineChars="200"/>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（2）接受分包的第三人资格要求：分包人的资格能力应与其分包工程的标准和规模相适应，且具备投标人须知前附表中规定的资格条件；</w:t>
      </w:r>
    </w:p>
    <w:p w14:paraId="6857A598">
      <w:pPr>
        <w:tabs>
          <w:tab w:val="left" w:pos="1030"/>
        </w:tabs>
        <w:adjustRightInd w:val="0"/>
        <w:snapToGrid w:val="0"/>
        <w:spacing w:line="600" w:lineRule="exact"/>
        <w:ind w:firstLine="420" w:firstLineChars="200"/>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（3）其他要求：投标人如有分包计划，应按第九章“投标文件格式”的要求填写“拟分包项目情况表”，明确拟分包的工程及规模，且投标人中标后的分包应满足合同条款的相关要求。</w:t>
      </w:r>
    </w:p>
    <w:p w14:paraId="6492D252">
      <w:pPr>
        <w:pStyle w:val="17"/>
        <w:adjustRightInd w:val="0"/>
        <w:snapToGrid w:val="0"/>
        <w:spacing w:after="0" w:line="560" w:lineRule="exact"/>
        <w:ind w:left="0" w:leftChars="0" w:firstLine="0" w:firstLineChars="0"/>
        <w:rPr>
          <w:rFonts w:ascii="宋体" w:hAnsi="宋体" w:cs="宋体"/>
          <w:color w:val="000000"/>
          <w:szCs w:val="21"/>
          <w:highlight w:val="none"/>
        </w:rPr>
      </w:pPr>
      <w:r>
        <w:rPr>
          <w:rFonts w:hint="eastAsia" w:ascii="宋体" w:hAnsi="宋体" w:cs="宋体"/>
          <w:color w:val="000000"/>
          <w:szCs w:val="21"/>
          <w:highlight w:val="none"/>
        </w:rPr>
        <w:t xml:space="preserve">   1.11.2中标人不得向他人转让中标项目，接受分包的人不得再次分包。中标人应就分包项目</w:t>
      </w:r>
    </w:p>
    <w:p w14:paraId="3B06896E">
      <w:pPr>
        <w:pStyle w:val="17"/>
        <w:adjustRightInd w:val="0"/>
        <w:snapToGrid w:val="0"/>
        <w:spacing w:after="0" w:line="560" w:lineRule="exact"/>
        <w:ind w:left="0" w:leftChars="0" w:firstLine="0" w:firstLineChars="0"/>
        <w:rPr>
          <w:color w:val="000000"/>
          <w:highlight w:val="none"/>
        </w:rPr>
      </w:pPr>
      <w:r>
        <w:rPr>
          <w:rFonts w:hint="eastAsia" w:ascii="宋体" w:hAnsi="宋体" w:cs="宋体"/>
          <w:color w:val="000000"/>
          <w:szCs w:val="21"/>
          <w:highlight w:val="none"/>
        </w:rPr>
        <w:t>向招标人负责，接受分包的人就分包项目承担连带责任。</w:t>
      </w:r>
    </w:p>
    <w:p w14:paraId="55C1B050">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201" w:name="_Toc60061445"/>
      <w:bookmarkStart w:id="202" w:name="_Toc95223348"/>
      <w:bookmarkStart w:id="203" w:name="_Toc83301700"/>
      <w:r>
        <w:rPr>
          <w:rFonts w:hint="eastAsia" w:ascii="黑体" w:hAnsi="黑体" w:eastAsia="黑体" w:cs="黑体"/>
          <w:color w:val="000000"/>
          <w:sz w:val="21"/>
          <w:szCs w:val="21"/>
          <w:highlight w:val="none"/>
        </w:rPr>
        <w:t>1.12 偏离</w:t>
      </w:r>
      <w:bookmarkEnd w:id="201"/>
      <w:bookmarkEnd w:id="202"/>
      <w:bookmarkEnd w:id="203"/>
    </w:p>
    <w:p w14:paraId="6F6639C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1.12.1投标文件偏离招标文件某些要求，视为投标文件存在偏差。偏差包括重大偏差和细微偏差。</w:t>
      </w:r>
    </w:p>
    <w:p w14:paraId="2B17194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1.12.2投标文件应对招标文件的实质性要求和条件作出满足性或更有利于招标人的响应，否则，视为投标文件存在重大偏差，投标人的投标将被否决。</w:t>
      </w:r>
    </w:p>
    <w:p w14:paraId="623F069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投标文件存在第四章“评标办法”中所列任一无效投标情形的，均属于存在重大偏差。</w:t>
      </w:r>
    </w:p>
    <w:p w14:paraId="21CE15D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1.12.3投标文件中的下列偏差为细微偏差：</w:t>
      </w:r>
    </w:p>
    <w:p w14:paraId="4BECCE39">
      <w:pPr>
        <w:tabs>
          <w:tab w:val="left" w:pos="1014"/>
        </w:tabs>
        <w:adjustRightInd w:val="0"/>
        <w:snapToGrid w:val="0"/>
        <w:spacing w:line="600" w:lineRule="exact"/>
        <w:ind w:firstLine="420" w:firstLineChars="200"/>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1）在按照第四章“评标办法”的规定对投标价进行算术性错误修正及其他错误修正后，最终投标报价未超过最高投标限价（如有）或未被否决投标的情况下，出现第四章“评标办法”规定的算术性错误和投标报价的其他错误；</w:t>
      </w:r>
    </w:p>
    <w:p w14:paraId="418253CE">
      <w:pPr>
        <w:tabs>
          <w:tab w:val="left" w:pos="1014"/>
        </w:tabs>
        <w:adjustRightInd w:val="0"/>
        <w:snapToGrid w:val="0"/>
        <w:spacing w:line="600" w:lineRule="exact"/>
        <w:ind w:firstLine="420" w:firstLineChars="200"/>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（2）投标文件个别文字有遗漏错误等不影响投标文件实质性内容的偏差。</w:t>
      </w:r>
    </w:p>
    <w:p w14:paraId="3E1F3C46">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1.12.4评标委员会对投标文件中的细微偏差按如下规定处理：</w:t>
      </w:r>
    </w:p>
    <w:p w14:paraId="086623A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对于本章第 1.12.3 项（1）目所述的细微偏差，按照第四章“评标办法”的规定予以修正并要求投标人进行澄清；</w:t>
      </w:r>
    </w:p>
    <w:p w14:paraId="1A71B3F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对于本章第 1.12.3 项（2）目所述的细微偏差，可要求投标人对细微偏差进行澄清。</w:t>
      </w:r>
    </w:p>
    <w:p w14:paraId="13A90009">
      <w:pPr>
        <w:adjustRightInd w:val="0"/>
        <w:snapToGrid w:val="0"/>
        <w:spacing w:line="560" w:lineRule="exact"/>
        <w:jc w:val="left"/>
        <w:rPr>
          <w:color w:val="000000"/>
          <w:highlight w:val="none"/>
        </w:rPr>
        <w:sectPr>
          <w:pgSz w:w="11910" w:h="16850"/>
          <w:pgMar w:top="1520" w:right="660" w:bottom="1100" w:left="1120" w:header="0" w:footer="746" w:gutter="0"/>
          <w:pgBorders>
            <w:top w:val="none" w:sz="0" w:space="0"/>
            <w:left w:val="none" w:sz="0" w:space="0"/>
            <w:bottom w:val="none" w:sz="0" w:space="0"/>
            <w:right w:val="none" w:sz="0" w:space="0"/>
          </w:pgBorders>
          <w:cols w:space="720" w:num="1"/>
        </w:sectPr>
      </w:pPr>
    </w:p>
    <w:p w14:paraId="2C508027">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204" w:name="_Toc15058858"/>
      <w:bookmarkStart w:id="205" w:name="_Toc247085701"/>
      <w:bookmarkStart w:id="206" w:name="_Toc179632560"/>
      <w:bookmarkStart w:id="207" w:name="_Toc246996187"/>
      <w:bookmarkStart w:id="208" w:name="_Toc246996930"/>
      <w:bookmarkStart w:id="209" w:name="_Toc152042318"/>
      <w:bookmarkStart w:id="210" w:name="_Toc83301701"/>
      <w:bookmarkStart w:id="211" w:name="_Toc506107281"/>
      <w:bookmarkStart w:id="212" w:name="_Toc324404827"/>
      <w:bookmarkStart w:id="213" w:name="_Toc60061446"/>
      <w:bookmarkStart w:id="214" w:name="_Toc144974510"/>
      <w:bookmarkStart w:id="215" w:name="_Toc152045542"/>
      <w:bookmarkStart w:id="216" w:name="_Toc95223349"/>
      <w:r>
        <w:rPr>
          <w:rFonts w:hint="eastAsia" w:ascii="黑体" w:hAnsi="黑体" w:cs="黑体"/>
          <w:color w:val="000000"/>
          <w:sz w:val="21"/>
          <w:szCs w:val="21"/>
          <w:highlight w:val="none"/>
        </w:rPr>
        <w:t>2. 招标文件</w:t>
      </w:r>
      <w:bookmarkEnd w:id="204"/>
      <w:bookmarkEnd w:id="205"/>
      <w:bookmarkEnd w:id="206"/>
      <w:bookmarkEnd w:id="207"/>
      <w:bookmarkEnd w:id="208"/>
      <w:bookmarkEnd w:id="209"/>
      <w:bookmarkEnd w:id="210"/>
      <w:bookmarkEnd w:id="211"/>
      <w:bookmarkEnd w:id="212"/>
      <w:bookmarkEnd w:id="213"/>
      <w:bookmarkEnd w:id="214"/>
      <w:bookmarkEnd w:id="215"/>
      <w:bookmarkEnd w:id="216"/>
    </w:p>
    <w:p w14:paraId="7FBE96F8">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217" w:name="_Toc15058859"/>
      <w:bookmarkStart w:id="218" w:name="_Toc506107282"/>
      <w:bookmarkStart w:id="219" w:name="_Toc247085702"/>
      <w:bookmarkStart w:id="220" w:name="_Toc246996931"/>
      <w:bookmarkStart w:id="221" w:name="_Toc324404828"/>
      <w:bookmarkStart w:id="222" w:name="_Toc83301702"/>
      <w:bookmarkStart w:id="223" w:name="_Toc95223350"/>
      <w:bookmarkStart w:id="224" w:name="_Toc296602433"/>
      <w:bookmarkStart w:id="225" w:name="_Toc60061447"/>
      <w:bookmarkStart w:id="226" w:name="_Toc179632561"/>
      <w:bookmarkStart w:id="227" w:name="_Toc144974511"/>
      <w:bookmarkStart w:id="228" w:name="_Toc152045543"/>
      <w:bookmarkStart w:id="229" w:name="_Toc246996188"/>
      <w:bookmarkStart w:id="230" w:name="_Toc152042319"/>
      <w:r>
        <w:rPr>
          <w:rFonts w:hint="eastAsia" w:ascii="黑体" w:hAnsi="黑体" w:eastAsia="黑体" w:cs="黑体"/>
          <w:color w:val="000000"/>
          <w:sz w:val="21"/>
          <w:szCs w:val="21"/>
          <w:highlight w:val="none"/>
        </w:rPr>
        <w:t>2.1 招标文件的组成</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52E9182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2.1.1 本招标文件包括：</w:t>
      </w:r>
    </w:p>
    <w:p w14:paraId="2F7B02B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（1）招标公告；</w:t>
      </w:r>
    </w:p>
    <w:p w14:paraId="1FBE2CA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（2）投标人须知；</w:t>
      </w:r>
    </w:p>
    <w:p w14:paraId="5D0A2DA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（3）资格审查办法</w:t>
      </w:r>
    </w:p>
    <w:p w14:paraId="557C3EA6">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（4）评标办法；</w:t>
      </w:r>
    </w:p>
    <w:p w14:paraId="0230C01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（5）合同条款及格式；</w:t>
      </w:r>
    </w:p>
    <w:p w14:paraId="6578D79C">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（6）工程量清单； </w:t>
      </w:r>
    </w:p>
    <w:p w14:paraId="230267C6">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（7）图纸；</w:t>
      </w:r>
    </w:p>
    <w:p w14:paraId="462C1DB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（8）技术标准和要求； </w:t>
      </w:r>
    </w:p>
    <w:p w14:paraId="6217F9D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（9）投标文件格式；</w:t>
      </w:r>
    </w:p>
    <w:p w14:paraId="052B58B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（10）投标人须知前附表规定的其他材料。</w:t>
      </w:r>
    </w:p>
    <w:p w14:paraId="31A7CB3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2.1.2 根据本章第1.10款、第2.2款和第2.3款对招标文件所作的澄清、修改，构成招标文件的组成部分。</w:t>
      </w:r>
    </w:p>
    <w:p w14:paraId="569B19C4">
      <w:pPr>
        <w:pStyle w:val="9"/>
        <w:adjustRightInd w:val="0"/>
        <w:snapToGrid w:val="0"/>
        <w:spacing w:after="0"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2.1.3当招标文件、招标文件的澄清或修改等在同一内容的表述上不一致时，以最后发出的文件为准。</w:t>
      </w:r>
    </w:p>
    <w:p w14:paraId="0F470AC5">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231" w:name="_Toc246996932"/>
      <w:bookmarkStart w:id="232" w:name="_Toc152045544"/>
      <w:bookmarkStart w:id="233" w:name="_Toc247085703"/>
      <w:bookmarkStart w:id="234" w:name="_Toc179632562"/>
      <w:bookmarkStart w:id="235" w:name="_Toc296602434"/>
      <w:bookmarkStart w:id="236" w:name="_Toc144974512"/>
      <w:bookmarkStart w:id="237" w:name="_Toc15058860"/>
      <w:bookmarkStart w:id="238" w:name="_Toc246996189"/>
      <w:bookmarkStart w:id="239" w:name="_Toc95223351"/>
      <w:bookmarkStart w:id="240" w:name="_Toc83301703"/>
      <w:bookmarkStart w:id="241" w:name="_Toc152042320"/>
      <w:bookmarkStart w:id="242" w:name="_Toc506107283"/>
      <w:bookmarkStart w:id="243" w:name="_Toc60061448"/>
      <w:bookmarkStart w:id="244" w:name="_Toc324404829"/>
      <w:bookmarkStart w:id="245" w:name="_Toc152042322"/>
      <w:bookmarkStart w:id="246" w:name="_Toc179632564"/>
      <w:bookmarkStart w:id="247" w:name="_Toc247085705"/>
      <w:bookmarkStart w:id="248" w:name="_Toc95223354"/>
      <w:bookmarkStart w:id="249" w:name="_Toc60061451"/>
      <w:bookmarkStart w:id="250" w:name="_Toc324404832"/>
      <w:bookmarkStart w:id="251" w:name="_Toc15058863"/>
      <w:bookmarkStart w:id="252" w:name="_Toc152045546"/>
      <w:bookmarkStart w:id="253" w:name="_Toc246996191"/>
      <w:bookmarkStart w:id="254" w:name="_Toc246996934"/>
      <w:bookmarkStart w:id="255" w:name="_Toc506107285"/>
      <w:bookmarkStart w:id="256" w:name="_Toc83301706"/>
      <w:bookmarkStart w:id="257" w:name="_Toc144974514"/>
      <w:r>
        <w:rPr>
          <w:rFonts w:hint="eastAsia" w:ascii="黑体" w:hAnsi="黑体" w:eastAsia="黑体" w:cs="黑体"/>
          <w:color w:val="000000"/>
          <w:sz w:val="21"/>
          <w:szCs w:val="21"/>
          <w:highlight w:val="none"/>
        </w:rPr>
        <w:t>2.2招标文件的异议</w:t>
      </w:r>
    </w:p>
    <w:p w14:paraId="5D5DE069">
      <w:pPr>
        <w:pStyle w:val="17"/>
        <w:adjustRightInd w:val="0"/>
        <w:snapToGrid w:val="0"/>
        <w:spacing w:after="0" w:line="560" w:lineRule="exact"/>
        <w:ind w:left="0" w:leftChars="0" w:firstLine="0" w:firstLineChars="0"/>
        <w:rPr>
          <w:color w:val="000000"/>
          <w:highlight w:val="none"/>
        </w:rPr>
      </w:pPr>
      <w:r>
        <w:rPr>
          <w:rFonts w:hint="eastAsia"/>
          <w:color w:val="000000"/>
          <w:highlight w:val="none"/>
        </w:rPr>
        <w:t xml:space="preserve"> </w:t>
      </w:r>
      <w:r>
        <w:rPr>
          <w:rFonts w:hint="eastAsia" w:ascii="宋体" w:hAnsi="宋体" w:cs="宋体"/>
          <w:color w:val="000000"/>
          <w:szCs w:val="21"/>
          <w:highlight w:val="none"/>
        </w:rPr>
        <w:t xml:space="preserve">  </w:t>
      </w:r>
      <w:r>
        <w:rPr>
          <w:rFonts w:hint="eastAsia"/>
          <w:color w:val="000000"/>
          <w:highlight w:val="none"/>
        </w:rPr>
        <w:t>投标人或其他利害关系人投标人应仔细阅读和检查招标文件的全部内容，对招标文件有异议的，应在投标截止时间 10 日前</w:t>
      </w:r>
      <w:r>
        <w:rPr>
          <w:rFonts w:hint="eastAsia" w:ascii="宋体" w:hAnsi="宋体" w:cs="宋体"/>
          <w:color w:val="000000"/>
          <w:szCs w:val="21"/>
          <w:highlight w:val="none"/>
        </w:rPr>
        <w:t>以投标人须知前附表规定的网上留言或书面形式</w:t>
      </w:r>
      <w:r>
        <w:rPr>
          <w:rFonts w:hint="eastAsia"/>
          <w:color w:val="000000"/>
          <w:highlight w:val="none"/>
        </w:rPr>
        <w:t>提出。招标人将在收到异议之日起 3 日内作出答复；作出答复前，将暂停招标投标活动。</w:t>
      </w:r>
    </w:p>
    <w:p w14:paraId="6EF6709E">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r>
        <w:rPr>
          <w:rFonts w:ascii="黑体" w:hAnsi="黑体" w:eastAsia="黑体" w:cs="黑体"/>
          <w:color w:val="000000"/>
          <w:sz w:val="21"/>
          <w:szCs w:val="21"/>
          <w:highlight w:val="none"/>
        </w:rPr>
        <w:t>2.3</w:t>
      </w:r>
      <w:r>
        <w:rPr>
          <w:rFonts w:hint="eastAsia" w:ascii="黑体" w:hAnsi="黑体" w:eastAsia="黑体" w:cs="黑体"/>
          <w:color w:val="000000"/>
          <w:sz w:val="21"/>
          <w:szCs w:val="21"/>
          <w:highlight w:val="none"/>
        </w:rPr>
        <w:t>招标文件的澄清</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Pr>
          <w:rFonts w:hint="eastAsia" w:ascii="黑体" w:hAnsi="黑体" w:eastAsia="黑体" w:cs="黑体"/>
          <w:color w:val="000000"/>
          <w:sz w:val="21"/>
          <w:szCs w:val="21"/>
          <w:highlight w:val="none"/>
        </w:rPr>
        <w:t xml:space="preserve"> </w:t>
      </w:r>
    </w:p>
    <w:p w14:paraId="1DBE5EC2">
      <w:pPr>
        <w:adjustRightInd w:val="0"/>
        <w:snapToGrid w:val="0"/>
        <w:spacing w:line="560" w:lineRule="exact"/>
        <w:ind w:firstLine="420" w:firstLineChars="200"/>
        <w:rPr>
          <w:color w:val="000000"/>
          <w:highlight w:val="none"/>
        </w:rPr>
      </w:pPr>
      <w:r>
        <w:rPr>
          <w:rFonts w:hint="eastAsia" w:ascii="宋体" w:hAnsi="宋体" w:cs="宋体"/>
          <w:color w:val="000000"/>
          <w:szCs w:val="21"/>
          <w:highlight w:val="none"/>
        </w:rPr>
        <w:t>招标人可以澄清招标文件，并以投标人须知前附表规定澄清的方式在滁州市公共资源交易中心网站发布。但如果修改招标文件的时间距投标截止时间不足15天，并且修改内容影响投标文件编制的，将相应延长投标截止时间。</w:t>
      </w:r>
    </w:p>
    <w:p w14:paraId="46718B2E">
      <w:pPr>
        <w:pStyle w:val="3"/>
        <w:adjustRightInd w:val="0"/>
        <w:snapToGrid w:val="0"/>
        <w:spacing w:before="0" w:after="0" w:line="560" w:lineRule="exact"/>
        <w:ind w:firstLine="422" w:firstLineChars="200"/>
        <w:rPr>
          <w:rFonts w:ascii="黑体" w:hAnsi="黑体" w:cs="黑体"/>
          <w:color w:val="000000"/>
          <w:sz w:val="21"/>
          <w:szCs w:val="21"/>
          <w:highlight w:val="none"/>
        </w:rPr>
      </w:pPr>
      <w:r>
        <w:rPr>
          <w:rFonts w:hint="eastAsia" w:ascii="黑体" w:hAnsi="黑体" w:cs="黑体"/>
          <w:color w:val="000000"/>
          <w:sz w:val="21"/>
          <w:szCs w:val="21"/>
          <w:highlight w:val="none"/>
        </w:rPr>
        <w:t>3. 投标文件</w:t>
      </w:r>
      <w:bookmarkEnd w:id="245"/>
      <w:bookmarkEnd w:id="246"/>
      <w:bookmarkEnd w:id="247"/>
      <w:bookmarkEnd w:id="248"/>
      <w:bookmarkEnd w:id="249"/>
      <w:bookmarkEnd w:id="250"/>
      <w:bookmarkEnd w:id="251"/>
      <w:bookmarkEnd w:id="252"/>
      <w:bookmarkEnd w:id="253"/>
      <w:bookmarkEnd w:id="254"/>
      <w:bookmarkEnd w:id="255"/>
      <w:bookmarkEnd w:id="256"/>
      <w:bookmarkEnd w:id="257"/>
    </w:p>
    <w:p w14:paraId="01E11AE4">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258" w:name="_Toc246996192"/>
      <w:bookmarkStart w:id="259" w:name="_Toc246996935"/>
      <w:bookmarkStart w:id="260" w:name="_Toc95223355"/>
      <w:bookmarkStart w:id="261" w:name="_Toc179632565"/>
      <w:bookmarkStart w:id="262" w:name="_Toc152045547"/>
      <w:bookmarkStart w:id="263" w:name="_Toc60061452"/>
      <w:bookmarkStart w:id="264" w:name="_Toc296602437"/>
      <w:bookmarkStart w:id="265" w:name="_Toc152042323"/>
      <w:bookmarkStart w:id="266" w:name="_Toc15058864"/>
      <w:bookmarkStart w:id="267" w:name="_Toc506107286"/>
      <w:bookmarkStart w:id="268" w:name="_Toc83301707"/>
      <w:bookmarkStart w:id="269" w:name="_Toc144974515"/>
      <w:bookmarkStart w:id="270" w:name="_Toc247085706"/>
      <w:bookmarkStart w:id="271" w:name="_Toc324404833"/>
      <w:r>
        <w:rPr>
          <w:rFonts w:hint="eastAsia" w:ascii="黑体" w:hAnsi="黑体" w:eastAsia="黑体" w:cs="黑体"/>
          <w:color w:val="000000"/>
          <w:sz w:val="21"/>
          <w:szCs w:val="21"/>
          <w:highlight w:val="none"/>
        </w:rPr>
        <w:t>3.1 投标文件的组成</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09DB9521">
      <w:pPr>
        <w:adjustRightInd w:val="0"/>
        <w:snapToGrid w:val="0"/>
        <w:spacing w:line="560" w:lineRule="exact"/>
        <w:ind w:firstLine="420" w:firstLineChars="200"/>
        <w:rPr>
          <w:rFonts w:ascii="宋体" w:hAnsi="宋体" w:cs="宋体"/>
          <w:color w:val="000000"/>
          <w:szCs w:val="21"/>
          <w:highlight w:val="none"/>
        </w:rPr>
      </w:pPr>
      <w:bookmarkStart w:id="272" w:name="_Toc15058865"/>
      <w:bookmarkStart w:id="273" w:name="_Toc506107287"/>
      <w:bookmarkStart w:id="274" w:name="_Toc83301708"/>
      <w:bookmarkStart w:id="275" w:name="_Toc324404834"/>
      <w:bookmarkStart w:id="276" w:name="_Toc152045548"/>
      <w:bookmarkStart w:id="277" w:name="_Toc95223356"/>
      <w:bookmarkStart w:id="278" w:name="_Toc246996193"/>
      <w:bookmarkStart w:id="279" w:name="_Toc152042324"/>
      <w:bookmarkStart w:id="280" w:name="_Toc179632566"/>
      <w:bookmarkStart w:id="281" w:name="_Toc296602438"/>
      <w:bookmarkStart w:id="282" w:name="_Toc247085707"/>
      <w:bookmarkStart w:id="283" w:name="_Toc60061453"/>
      <w:bookmarkStart w:id="284" w:name="_Toc144974516"/>
      <w:bookmarkStart w:id="285" w:name="_Toc246996936"/>
      <w:r>
        <w:rPr>
          <w:rFonts w:hint="eastAsia" w:ascii="宋体" w:hAnsi="宋体" w:cs="宋体"/>
          <w:color w:val="000000"/>
          <w:szCs w:val="21"/>
          <w:highlight w:val="none"/>
        </w:rPr>
        <w:t>3.1.1 投标文件应包括下列内容：</w:t>
      </w:r>
    </w:p>
    <w:p w14:paraId="228DF606">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资信证明文件：</w:t>
      </w:r>
    </w:p>
    <w:p w14:paraId="7C74FC0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（1）投标人基本情况表；</w:t>
      </w:r>
    </w:p>
    <w:p w14:paraId="2303232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（2）近年财务状况表；</w:t>
      </w:r>
    </w:p>
    <w:p w14:paraId="3820FC3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（3）近年完成的类似项目情况表；</w:t>
      </w:r>
    </w:p>
    <w:p w14:paraId="2A93777C">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（4）正在实施的和新承接的项目情况表；</w:t>
      </w:r>
    </w:p>
    <w:p w14:paraId="64D3222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（5）联合体协议书 （如有）；</w:t>
      </w:r>
    </w:p>
    <w:p w14:paraId="6160FAE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（6）项目管理机构；</w:t>
      </w:r>
    </w:p>
    <w:p w14:paraId="41D0484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（7）其他资格审查资料。</w:t>
      </w:r>
    </w:p>
    <w:p w14:paraId="220FD31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技术标文件：</w:t>
      </w:r>
    </w:p>
    <w:p w14:paraId="0C62166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（1）施工组织设计；</w:t>
      </w:r>
    </w:p>
    <w:p w14:paraId="4D51AE3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（2）技术标评审所需其他材料。</w:t>
      </w:r>
    </w:p>
    <w:p w14:paraId="0F1CB0D2">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商务标文件：</w:t>
      </w:r>
    </w:p>
    <w:p w14:paraId="69E2A562">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（1）投标函；</w:t>
      </w:r>
    </w:p>
    <w:p w14:paraId="10056F4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（2）工程量清单报价书；</w:t>
      </w:r>
    </w:p>
    <w:p w14:paraId="6475267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（3）招标人推荐的材料品牌响应表（如有）；</w:t>
      </w:r>
    </w:p>
    <w:p w14:paraId="4FA79F56">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（4）全国建筑市场监管公共服务平台(四库一平台)企业注册人员网页截图；</w:t>
      </w:r>
    </w:p>
    <w:p w14:paraId="10C3C9C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（5）商务标评审所需其他材料。</w:t>
      </w:r>
    </w:p>
    <w:p w14:paraId="08441880">
      <w:pPr>
        <w:adjustRightInd w:val="0"/>
        <w:snapToGrid w:val="0"/>
        <w:spacing w:line="600" w:lineRule="exact"/>
        <w:ind w:firstLine="359" w:firstLineChars="171"/>
        <w:rPr>
          <w:rFonts w:ascii="宋体" w:hAnsi="宋体" w:cs="宋体"/>
          <w:color w:val="000000"/>
          <w:highlight w:val="none"/>
        </w:rPr>
      </w:pPr>
      <w:r>
        <w:rPr>
          <w:rFonts w:hint="eastAsia" w:ascii="宋体" w:hAnsi="宋体" w:cs="宋体"/>
          <w:color w:val="000000"/>
          <w:highlight w:val="none"/>
        </w:rPr>
        <w:t>3.1.2 投标人须知前附表规定不接受联合体投标的，或投标人没有组成联合体的，投标文件不包括本章第3.1.1（5）目所指的联合体协议书。</w:t>
      </w:r>
    </w:p>
    <w:p w14:paraId="7A3EE11D">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r>
        <w:rPr>
          <w:rFonts w:hint="eastAsia" w:ascii="黑体" w:hAnsi="黑体" w:eastAsia="黑体" w:cs="黑体"/>
          <w:color w:val="000000"/>
          <w:sz w:val="21"/>
          <w:szCs w:val="21"/>
          <w:highlight w:val="none"/>
        </w:rPr>
        <w:t>3.2 投标报价</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577CCD75">
      <w:pPr>
        <w:adjustRightInd w:val="0"/>
        <w:snapToGrid w:val="0"/>
        <w:spacing w:line="560" w:lineRule="exact"/>
        <w:ind w:firstLine="420" w:firstLineChars="200"/>
        <w:rPr>
          <w:rFonts w:ascii="宋体" w:hAnsi="宋体" w:cs="宋体"/>
          <w:color w:val="000000"/>
          <w:szCs w:val="21"/>
          <w:highlight w:val="none"/>
        </w:rPr>
      </w:pPr>
      <w:bookmarkStart w:id="286" w:name="_Toc246996194"/>
      <w:bookmarkStart w:id="287" w:name="_Toc247085708"/>
      <w:bookmarkStart w:id="288" w:name="_Toc246996937"/>
      <w:bookmarkStart w:id="289" w:name="_Toc152042325"/>
      <w:bookmarkStart w:id="290" w:name="_Toc144974517"/>
      <w:bookmarkStart w:id="291" w:name="_Toc179632567"/>
      <w:bookmarkStart w:id="292" w:name="_Toc324404835"/>
      <w:bookmarkStart w:id="293" w:name="_Toc152045549"/>
      <w:bookmarkStart w:id="294" w:name="_Toc296602439"/>
      <w:r>
        <w:rPr>
          <w:rFonts w:hint="eastAsia" w:ascii="宋体" w:hAnsi="宋体" w:cs="宋体"/>
          <w:color w:val="000000"/>
          <w:szCs w:val="21"/>
          <w:highlight w:val="none"/>
        </w:rPr>
        <w:t>3.2.1投标报价应包括国家规定的增值税税金，除投标人须知前附表另有规定外，增值税税金按一般计税方法计算。投标人应按第九章“投标文件格式”的要求在投标函中进行报价并填写工程量清单相应表格。</w:t>
      </w:r>
    </w:p>
    <w:p w14:paraId="71A66CE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3.2.2投标人应充分了解本项目的总体情况以及影响投标报价的其他要素。</w:t>
      </w:r>
    </w:p>
    <w:p w14:paraId="715937DE">
      <w:pPr>
        <w:pStyle w:val="17"/>
        <w:adjustRightInd w:val="0"/>
        <w:snapToGrid w:val="0"/>
        <w:spacing w:after="0" w:line="560" w:lineRule="exact"/>
        <w:ind w:left="0" w:leftChars="0" w:firstLineChars="0"/>
        <w:rPr>
          <w:rFonts w:ascii="宋体" w:hAnsi="宋体" w:cs="宋体"/>
          <w:color w:val="000000"/>
          <w:szCs w:val="21"/>
          <w:highlight w:val="none"/>
        </w:rPr>
      </w:pPr>
      <w:r>
        <w:rPr>
          <w:rFonts w:hint="eastAsia" w:ascii="宋体" w:hAnsi="宋体" w:cs="宋体"/>
          <w:color w:val="000000"/>
          <w:szCs w:val="21"/>
          <w:highlight w:val="none"/>
        </w:rPr>
        <w:t>3.2.3投标人在投标截止时间前修改投标函中的投标报价总额，应同时修改“已标价工程量清单”中的相应报价，投标报价总额为各分项金额之和。此修改须符合本章第4.4款的有关要求。</w:t>
      </w:r>
    </w:p>
    <w:p w14:paraId="6114BC4C">
      <w:pPr>
        <w:adjustRightInd w:val="0"/>
        <w:snapToGrid w:val="0"/>
        <w:spacing w:line="560" w:lineRule="exact"/>
        <w:ind w:firstLine="420"/>
        <w:rPr>
          <w:color w:val="000000"/>
          <w:highlight w:val="none"/>
        </w:rPr>
      </w:pPr>
      <w:r>
        <w:rPr>
          <w:rFonts w:hint="eastAsia" w:ascii="宋体" w:hAnsi="宋体" w:cs="宋体"/>
          <w:color w:val="000000"/>
          <w:szCs w:val="21"/>
          <w:highlight w:val="none"/>
        </w:rPr>
        <w:t>3.2.4招</w:t>
      </w:r>
      <w:r>
        <w:rPr>
          <w:rFonts w:hint="eastAsia"/>
          <w:color w:val="000000"/>
          <w:highlight w:val="none"/>
        </w:rPr>
        <w:t>标人设有最高投标限价的，投标人的投标报价不得超过最高投标限价，最高投标限价在投标人须知前附表中载明。</w:t>
      </w:r>
    </w:p>
    <w:p w14:paraId="02DFFDBA">
      <w:pPr>
        <w:adjustRightInd w:val="0"/>
        <w:snapToGrid w:val="0"/>
        <w:spacing w:line="600" w:lineRule="exact"/>
        <w:ind w:firstLine="420" w:firstLineChars="200"/>
        <w:rPr>
          <w:rFonts w:ascii="宋体" w:hAnsi="宋体" w:cs="宋体"/>
          <w:bCs/>
          <w:snapToGrid w:val="0"/>
          <w:color w:val="000000"/>
          <w:kern w:val="0"/>
          <w:szCs w:val="21"/>
          <w:highlight w:val="none"/>
        </w:rPr>
      </w:pPr>
      <w:r>
        <w:rPr>
          <w:rFonts w:hint="eastAsia" w:ascii="宋体" w:hAnsi="宋体" w:cs="宋体"/>
          <w:color w:val="000000"/>
          <w:highlight w:val="none"/>
        </w:rPr>
        <w:t xml:space="preserve">3.2.5 </w:t>
      </w:r>
      <w:r>
        <w:rPr>
          <w:rFonts w:hint="eastAsia" w:ascii="宋体" w:hAnsi="宋体" w:cs="宋体"/>
          <w:bCs/>
          <w:snapToGrid w:val="0"/>
          <w:color w:val="000000"/>
          <w:kern w:val="0"/>
          <w:szCs w:val="21"/>
          <w:highlight w:val="none"/>
        </w:rPr>
        <w:t>投标报价的其他要求见投标人须知前附表。</w:t>
      </w:r>
    </w:p>
    <w:p w14:paraId="6EFC83E8">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295" w:name="_Toc15058866"/>
      <w:bookmarkStart w:id="296" w:name="_Toc95223357"/>
      <w:bookmarkStart w:id="297" w:name="_Toc83301709"/>
      <w:bookmarkStart w:id="298" w:name="_Toc60061454"/>
      <w:bookmarkStart w:id="299" w:name="_Toc506107288"/>
      <w:r>
        <w:rPr>
          <w:rFonts w:hint="eastAsia" w:ascii="黑体" w:hAnsi="黑体" w:eastAsia="黑体" w:cs="黑体"/>
          <w:color w:val="000000"/>
          <w:sz w:val="21"/>
          <w:szCs w:val="21"/>
          <w:highlight w:val="none"/>
        </w:rPr>
        <w:t>3.3 投标有效期</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618ECED9">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3.3.1 除投标人须知前附表另有规定外，投标有效期为 90天。</w:t>
      </w:r>
    </w:p>
    <w:p w14:paraId="1D1B2B9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3.3.2在投标有效期内，投标人撤销或修改其投标文件的，应承担招标文件和法律规定的责任。</w:t>
      </w:r>
    </w:p>
    <w:p w14:paraId="38C4D65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3.3.3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589B6D76">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300" w:name="_Toc247085709"/>
      <w:bookmarkStart w:id="301" w:name="_Toc152045550"/>
      <w:bookmarkStart w:id="302" w:name="_Toc83301710"/>
      <w:bookmarkStart w:id="303" w:name="_Toc179632568"/>
      <w:bookmarkStart w:id="304" w:name="_Toc152042326"/>
      <w:bookmarkStart w:id="305" w:name="_Toc95223358"/>
      <w:bookmarkStart w:id="306" w:name="_Toc144974518"/>
      <w:bookmarkStart w:id="307" w:name="_Toc246996195"/>
      <w:bookmarkStart w:id="308" w:name="_Toc15058867"/>
      <w:bookmarkStart w:id="309" w:name="_Toc60061455"/>
      <w:bookmarkStart w:id="310" w:name="_Toc506107289"/>
      <w:bookmarkStart w:id="311" w:name="_Toc296602440"/>
      <w:bookmarkStart w:id="312" w:name="_Toc324404836"/>
      <w:bookmarkStart w:id="313" w:name="_Toc246996938"/>
      <w:r>
        <w:rPr>
          <w:rFonts w:hint="eastAsia" w:ascii="黑体" w:hAnsi="黑体" w:eastAsia="黑体" w:cs="黑体"/>
          <w:color w:val="000000"/>
          <w:sz w:val="21"/>
          <w:szCs w:val="21"/>
          <w:highlight w:val="none"/>
        </w:rPr>
        <w:t>3.4 投标保证金</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2EEC90A9">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3.4.1 投标人须知前附表规定递交投标保证金的，投标人在递交投标文件的同时，应按投标人须知前附表规定的金额、担保形式和第九章“投标文件格式”规定的或者事先经过招标人认可的保证金格式递交保证金，并作为其投标文件的组成部分。联合体投标的，其投标保证金由牵头人递交，并应符合投标人须知前附表的规定。</w:t>
      </w:r>
    </w:p>
    <w:p w14:paraId="2AE5181E">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 xml:space="preserve">    无论采取何种形式的投标保证金，投标保证金有效期均应与投标有效期一致（</w:t>
      </w:r>
      <w:r>
        <w:rPr>
          <w:rFonts w:hint="eastAsia"/>
          <w:color w:val="000000"/>
          <w:highlight w:val="none"/>
        </w:rPr>
        <w:t>采用投标电子保函的保证期截止时间不得早于该项目投标有效期的截止时间</w:t>
      </w:r>
      <w:r>
        <w:rPr>
          <w:rFonts w:hint="eastAsia" w:ascii="宋体" w:hAnsi="宋体" w:cs="宋体"/>
          <w:color w:val="000000"/>
          <w:szCs w:val="21"/>
          <w:highlight w:val="none"/>
        </w:rPr>
        <w:t>）。招标人如果按本章第 3.3.3 项的规定延长了投标有效期，则投标保证金的有效期也相应延长。</w:t>
      </w:r>
    </w:p>
    <w:p w14:paraId="025CD139">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3.4.2 投标人不按本章第3.4.1项要求提交投标保证金的，评标委员会将否决其投标。</w:t>
      </w:r>
    </w:p>
    <w:p w14:paraId="3570A56B">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3.4.3 未中标投标人的投标保证金，中标通知书同步推送至交易中心服务端，银行接到退还指令后一个工作日内退还保证金到达原交纳的基本账户；中标人的投标保证金，在中标人与招标人签订合同并将公开信息推送至交易中心服务端，银行接到退还指令后一个工作日内退付保证金到达原交纳的基本账户。</w:t>
      </w:r>
    </w:p>
    <w:p w14:paraId="08D6AB36">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3.4.4 有下列情形之一的，投标保证金将不予退还： </w:t>
      </w:r>
    </w:p>
    <w:p w14:paraId="7C4FE60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（1）投标截止后投标人撤销投标文件的；</w:t>
      </w:r>
    </w:p>
    <w:p w14:paraId="71E240F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（2）中标人无正当理由不与招标人订立合同，在签订合同时向招标人提出附加条件，或者不按照招标文件要求提交履约保证金的。</w:t>
      </w:r>
    </w:p>
    <w:p w14:paraId="5BB5FB22">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3.4.5 投标保证金按《</w:t>
      </w:r>
      <w:r>
        <w:rPr>
          <w:highlight w:val="none"/>
        </w:rPr>
        <w:fldChar w:fldCharType="begin"/>
      </w:r>
      <w:r>
        <w:rPr>
          <w:highlight w:val="none"/>
        </w:rPr>
        <w:instrText xml:space="preserve"> HYPERLINK "https://www.chuzhou.gov.cn/group1/M00/12/83/CpYI8mGDiKqAD_IkAAEIAMLVghw186.doc" \t "_blank" </w:instrText>
      </w:r>
      <w:r>
        <w:rPr>
          <w:highlight w:val="none"/>
        </w:rPr>
        <w:fldChar w:fldCharType="separate"/>
      </w:r>
      <w:r>
        <w:rPr>
          <w:rFonts w:hint="eastAsia" w:ascii="宋体" w:hAnsi="宋体" w:cs="宋体"/>
          <w:color w:val="000000"/>
          <w:szCs w:val="21"/>
          <w:highlight w:val="none"/>
        </w:rPr>
        <w:t>滁州市公共资源交易投标保证金管理规定</w:t>
      </w:r>
      <w:r>
        <w:rPr>
          <w:rFonts w:ascii="宋体" w:hAnsi="宋体" w:cs="宋体"/>
          <w:color w:val="000000"/>
          <w:szCs w:val="21"/>
          <w:highlight w:val="none"/>
        </w:rPr>
        <w:fldChar w:fldCharType="end"/>
      </w:r>
      <w:r>
        <w:rPr>
          <w:rFonts w:hint="eastAsia" w:ascii="宋体" w:hAnsi="宋体" w:cs="宋体"/>
          <w:color w:val="000000"/>
          <w:szCs w:val="21"/>
          <w:highlight w:val="none"/>
        </w:rPr>
        <w:t>》（滁公管〔2021〕7号）规定执行。</w:t>
      </w:r>
    </w:p>
    <w:p w14:paraId="64CBB53D">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314" w:name="_Toc296602442"/>
      <w:bookmarkStart w:id="315" w:name="_Toc60061456"/>
      <w:bookmarkStart w:id="316" w:name="_Toc95223359"/>
      <w:bookmarkStart w:id="317" w:name="_Toc324404837"/>
      <w:bookmarkStart w:id="318" w:name="_Toc506107290"/>
      <w:bookmarkStart w:id="319" w:name="_Toc15058868"/>
      <w:bookmarkStart w:id="320" w:name="_Toc83301711"/>
      <w:bookmarkStart w:id="321" w:name="_Toc247085711"/>
      <w:bookmarkStart w:id="322" w:name="_Toc152045553"/>
      <w:bookmarkStart w:id="323" w:name="_Toc144974521"/>
      <w:bookmarkStart w:id="324" w:name="_Toc246996197"/>
      <w:bookmarkStart w:id="325" w:name="_Toc152042329"/>
      <w:bookmarkStart w:id="326" w:name="_Toc179632571"/>
      <w:bookmarkStart w:id="327" w:name="_Toc246996940"/>
      <w:r>
        <w:rPr>
          <w:rFonts w:hint="eastAsia" w:ascii="黑体" w:hAnsi="黑体" w:eastAsia="黑体" w:cs="黑体"/>
          <w:color w:val="000000"/>
          <w:sz w:val="21"/>
          <w:szCs w:val="21"/>
          <w:highlight w:val="none"/>
        </w:rPr>
        <w:t>3.5投标文件的编制</w:t>
      </w:r>
      <w:bookmarkEnd w:id="314"/>
      <w:bookmarkEnd w:id="315"/>
      <w:bookmarkEnd w:id="316"/>
      <w:bookmarkEnd w:id="317"/>
      <w:bookmarkEnd w:id="318"/>
      <w:bookmarkEnd w:id="319"/>
      <w:bookmarkEnd w:id="320"/>
    </w:p>
    <w:p w14:paraId="4D87929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3.5.1投标文件应按第九章“投标文件格式”进行编写，如有必要，可以增加附页，作为投标文件的组成部分。其中，投标函在满足招标文件实质性要求的基础上，可以提出比招标文件要求更有利于招标人的承诺。施工组织设计编制的特殊要求见投标人须知前附表。</w:t>
      </w:r>
    </w:p>
    <w:p w14:paraId="3BE6EA8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3.5.2本次投标不需要提供纸质投标文件，投标人应按照电子招标投标的要求，在投标人的电子系统中制作、签章、上传加密的电子投标文件。</w:t>
      </w:r>
    </w:p>
    <w:p w14:paraId="09BC324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3.5.3 投标文件应当对招标文件有关工期、投标有效期、质量要求、技术标准和要求、招标范围等实质性内容作出响应。</w:t>
      </w:r>
    </w:p>
    <w:bookmarkEnd w:id="321"/>
    <w:bookmarkEnd w:id="322"/>
    <w:bookmarkEnd w:id="323"/>
    <w:bookmarkEnd w:id="324"/>
    <w:bookmarkEnd w:id="325"/>
    <w:bookmarkEnd w:id="326"/>
    <w:bookmarkEnd w:id="327"/>
    <w:p w14:paraId="056D4F64">
      <w:pPr>
        <w:adjustRightInd w:val="0"/>
        <w:snapToGrid w:val="0"/>
        <w:spacing w:line="600" w:lineRule="exact"/>
        <w:ind w:firstLine="420" w:firstLineChars="200"/>
        <w:rPr>
          <w:rFonts w:ascii="宋体" w:hAnsi="宋体" w:cs="宋体"/>
          <w:bCs/>
          <w:snapToGrid w:val="0"/>
          <w:color w:val="000000"/>
          <w:kern w:val="0"/>
          <w:szCs w:val="21"/>
          <w:highlight w:val="none"/>
        </w:rPr>
      </w:pPr>
      <w:bookmarkStart w:id="328" w:name="_Toc247085713"/>
      <w:bookmarkStart w:id="329" w:name="_Toc152045555"/>
      <w:bookmarkStart w:id="330" w:name="_Toc144974523"/>
      <w:bookmarkStart w:id="331" w:name="_Toc179632573"/>
      <w:bookmarkStart w:id="332" w:name="_Toc246996199"/>
      <w:bookmarkStart w:id="333" w:name="_Toc152042331"/>
      <w:bookmarkStart w:id="334" w:name="_Toc324404838"/>
      <w:bookmarkStart w:id="335" w:name="_Toc246996942"/>
      <w:r>
        <w:rPr>
          <w:rFonts w:hint="eastAsia" w:ascii="宋体" w:hAnsi="宋体" w:cs="宋体"/>
          <w:bCs/>
          <w:snapToGrid w:val="0"/>
          <w:color w:val="000000"/>
          <w:kern w:val="0"/>
          <w:szCs w:val="21"/>
          <w:highlight w:val="none"/>
        </w:rPr>
        <w:t>3.5.4 投标人须知前附表规定接受联合体投标的，资格审查资料应包括联合体各方相关情况 。</w:t>
      </w:r>
    </w:p>
    <w:p w14:paraId="4C8FC862">
      <w:pPr>
        <w:adjustRightInd w:val="0"/>
        <w:snapToGrid w:val="0"/>
        <w:spacing w:line="600" w:lineRule="exact"/>
        <w:ind w:firstLine="420" w:firstLineChars="200"/>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3.5.5招标人有权核查投标人在投标文件中提供的资料，若发现投标人以他人名义投标或者以其他方式弄虚作假骗取中标的，中标无效；</w:t>
      </w:r>
      <w:r>
        <w:rPr>
          <w:rFonts w:hint="eastAsia" w:ascii="宋体" w:hAnsi="宋体" w:cs="宋体"/>
          <w:b/>
          <w:snapToGrid w:val="0"/>
          <w:color w:val="000000"/>
          <w:kern w:val="0"/>
          <w:szCs w:val="21"/>
          <w:highlight w:val="none"/>
        </w:rPr>
        <w:t>如果签订合同后发现中标人提供了虚假材料，招标人有权解除合同</w:t>
      </w:r>
      <w:r>
        <w:rPr>
          <w:rFonts w:hint="eastAsia" w:ascii="宋体" w:hAnsi="宋体" w:cs="宋体"/>
          <w:bCs/>
          <w:snapToGrid w:val="0"/>
          <w:color w:val="000000"/>
          <w:kern w:val="0"/>
          <w:szCs w:val="21"/>
          <w:highlight w:val="none"/>
        </w:rPr>
        <w:t>。同时招标人将投标人上述弄虚作假行为上报公共资源交易监督管理部门处理。</w:t>
      </w:r>
    </w:p>
    <w:p w14:paraId="03675789">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3.5.6投标文件的制作应满足以下规定：</w:t>
      </w:r>
    </w:p>
    <w:p w14:paraId="1A717AF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（1）投标文件由投标人使用电子交易系统提供的“投标文件制作工具”制作生成。“投标文件制作工具”可以通过电子交易系统下载。</w:t>
      </w:r>
    </w:p>
    <w:p w14:paraId="6E38645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w:t>
      </w:r>
      <w:r>
        <w:rPr>
          <w:rFonts w:hint="eastAsia" w:ascii="宋体" w:hAnsi="宋体" w:cs="宋体"/>
          <w:b/>
          <w:color w:val="000000"/>
          <w:szCs w:val="21"/>
          <w:highlight w:val="none"/>
        </w:rPr>
        <w:t>招标文件中“签章”是指签字或盖章。</w:t>
      </w:r>
      <w:r>
        <w:rPr>
          <w:rFonts w:hint="eastAsia" w:ascii="宋体" w:hAnsi="宋体" w:cs="宋体"/>
          <w:color w:val="000000"/>
          <w:szCs w:val="21"/>
          <w:highlight w:val="none"/>
        </w:rPr>
        <w:t>在第九章“投标文件格式”中要求签章处，投标人应加盖投标人单位电子印章和法定代表人的个人电子印章/电子签名章或直接上传加盖投标人单位印章和法定代表人的印章（或签字）的原件彩色扫描件。联合体投标的，除联合体协议书外， 投标文件由联合体牵头人按上述规定加盖联合体牵头人单位电子印章和法定代表人的个人电子印章/电子签名章或直接上传加盖联合体牵头人单位印章和法定代表人的印章（或签字）的原件彩色扫描件。</w:t>
      </w:r>
    </w:p>
    <w:p w14:paraId="304A82C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投标文件制作完成后，投标人应对投标文件进行文件加密，形成加密的投标文件。采用CA数字证书加密的，加密时投标文件的所有内容均只能使用同一把CA数字证书进行加密，否则引起的解密失败责任由投标人自行承担。</w:t>
      </w:r>
    </w:p>
    <w:p w14:paraId="1A3B983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（4）投标文件制作的具体方法详见“投标文件制作工具”中的帮助文档。</w:t>
      </w:r>
    </w:p>
    <w:p w14:paraId="79DD2B12">
      <w:pPr>
        <w:adjustRightInd w:val="0"/>
        <w:snapToGrid w:val="0"/>
        <w:spacing w:line="560" w:lineRule="exact"/>
        <w:ind w:firstLine="420" w:firstLineChars="200"/>
        <w:rPr>
          <w:rFonts w:ascii="宋体" w:hAnsi="宋体" w:cs="宋体"/>
          <w:color w:val="000000"/>
          <w:kern w:val="0"/>
          <w:szCs w:val="21"/>
          <w:highlight w:val="none"/>
        </w:rPr>
      </w:pPr>
      <w:r>
        <w:rPr>
          <w:rFonts w:hint="eastAsia" w:ascii="宋体" w:hAnsi="宋体" w:cs="宋体"/>
          <w:color w:val="000000"/>
          <w:kern w:val="0"/>
          <w:szCs w:val="21"/>
          <w:highlight w:val="none"/>
        </w:rPr>
        <w:t>3.5.7 因投标人自身原因而导致投标文件无法导入电子交易系统电子开标、评标系统，该投标视为无效投标，投标人自行承担由此导致的全部责任。</w:t>
      </w:r>
    </w:p>
    <w:p w14:paraId="7B659C64">
      <w:pPr>
        <w:adjustRightInd w:val="0"/>
        <w:snapToGrid w:val="0"/>
        <w:spacing w:line="560" w:lineRule="exact"/>
        <w:ind w:firstLine="420" w:firstLineChars="200"/>
        <w:rPr>
          <w:rFonts w:ascii="宋体" w:hAnsi="宋体" w:cs="宋体"/>
          <w:color w:val="000000"/>
          <w:kern w:val="0"/>
          <w:szCs w:val="21"/>
          <w:highlight w:val="none"/>
        </w:rPr>
      </w:pPr>
      <w:r>
        <w:rPr>
          <w:rFonts w:hint="eastAsia" w:ascii="宋体" w:hAnsi="宋体" w:cs="宋体"/>
          <w:color w:val="000000"/>
          <w:kern w:val="0"/>
          <w:szCs w:val="21"/>
          <w:highlight w:val="none"/>
        </w:rPr>
        <w:t>3.5.8 投标人中标后须递交与网上电子投标文件完全一致的纸质版投标文件，在领取中标通知书时，一并递交给招标代理机构。</w:t>
      </w:r>
    </w:p>
    <w:p w14:paraId="4EEF7D84">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r>
        <w:rPr>
          <w:rFonts w:hint="eastAsia" w:ascii="黑体" w:hAnsi="黑体" w:eastAsia="黑体" w:cs="黑体"/>
          <w:color w:val="000000"/>
          <w:sz w:val="21"/>
          <w:szCs w:val="21"/>
          <w:highlight w:val="none"/>
        </w:rPr>
        <w:t>3.6 备选投标方案</w:t>
      </w:r>
    </w:p>
    <w:p w14:paraId="0151A011">
      <w:pPr>
        <w:adjustRightInd w:val="0"/>
        <w:snapToGrid w:val="0"/>
        <w:spacing w:line="600" w:lineRule="exact"/>
        <w:ind w:firstLine="420" w:firstLineChars="200"/>
        <w:rPr>
          <w:rFonts w:ascii="宋体" w:hAnsi="宋体" w:cs="宋体"/>
          <w:color w:val="000000"/>
          <w:highlight w:val="none"/>
        </w:rPr>
      </w:pPr>
      <w:r>
        <w:rPr>
          <w:rFonts w:hint="eastAsia" w:ascii="宋体" w:hAnsi="宋体" w:cs="宋体"/>
          <w:color w:val="000000"/>
          <w:highlight w:val="none"/>
        </w:rPr>
        <w:t xml:space="preserve">3.6.1 </w:t>
      </w:r>
      <w:r>
        <w:rPr>
          <w:rFonts w:hint="eastAsia" w:ascii="宋体" w:hAnsi="宋体" w:cs="宋体"/>
          <w:bCs/>
          <w:snapToGrid w:val="0"/>
          <w:color w:val="000000"/>
          <w:kern w:val="0"/>
          <w:szCs w:val="21"/>
          <w:highlight w:val="none"/>
        </w:rPr>
        <w:t>除投标人须知前附表规定允许外，投标人不得递交备选投标方案，否则其投标将被否决。</w:t>
      </w:r>
    </w:p>
    <w:p w14:paraId="307DFD78">
      <w:pPr>
        <w:adjustRightInd w:val="0"/>
        <w:snapToGrid w:val="0"/>
        <w:spacing w:line="600" w:lineRule="exact"/>
        <w:ind w:firstLine="420" w:firstLineChars="200"/>
        <w:rPr>
          <w:rFonts w:ascii="宋体" w:hAnsi="宋体" w:cs="宋体"/>
          <w:color w:val="000000"/>
          <w:highlight w:val="none"/>
        </w:rPr>
      </w:pPr>
      <w:r>
        <w:rPr>
          <w:rFonts w:hint="eastAsia" w:ascii="宋体" w:hAnsi="宋体" w:cs="宋体"/>
          <w:color w:val="000000"/>
          <w:highlight w:val="none"/>
        </w:rPr>
        <w:t xml:space="preserve">3.6.2 </w:t>
      </w:r>
      <w:r>
        <w:rPr>
          <w:rFonts w:hint="eastAsia" w:ascii="宋体" w:hAnsi="宋体" w:cs="宋体"/>
          <w:bCs/>
          <w:snapToGrid w:val="0"/>
          <w:color w:val="000000"/>
          <w:kern w:val="0"/>
          <w:szCs w:val="21"/>
          <w:highlight w:val="none"/>
        </w:rPr>
        <w:t>允许投标人递交备选投标方案的，只有中标人所递交的备选投标方案方可予以考虑。评标委员会认为中标人的备选投标方案优于其按照招标文件要求编制的投标方案的，招标人可以接受该备选投标方案。</w:t>
      </w:r>
    </w:p>
    <w:p w14:paraId="62AF4A99">
      <w:pPr>
        <w:adjustRightInd w:val="0"/>
        <w:snapToGrid w:val="0"/>
        <w:spacing w:line="600" w:lineRule="exact"/>
        <w:ind w:firstLine="420" w:firstLineChars="200"/>
        <w:rPr>
          <w:rFonts w:ascii="宋体" w:hAnsi="宋体" w:cs="宋体"/>
          <w:bCs/>
          <w:snapToGrid w:val="0"/>
          <w:color w:val="000000"/>
          <w:kern w:val="0"/>
          <w:szCs w:val="21"/>
          <w:highlight w:val="none"/>
        </w:rPr>
      </w:pPr>
      <w:r>
        <w:rPr>
          <w:rFonts w:hint="eastAsia" w:ascii="宋体" w:hAnsi="宋体" w:cs="宋体"/>
          <w:color w:val="000000"/>
          <w:highlight w:val="none"/>
        </w:rPr>
        <w:t xml:space="preserve">3.6.3 </w:t>
      </w:r>
      <w:r>
        <w:rPr>
          <w:rFonts w:hint="eastAsia" w:ascii="宋体" w:hAnsi="宋体" w:cs="宋体"/>
          <w:bCs/>
          <w:snapToGrid w:val="0"/>
          <w:color w:val="000000"/>
          <w:kern w:val="0"/>
          <w:szCs w:val="21"/>
          <w:highlight w:val="none"/>
        </w:rPr>
        <w:t>投标人提供两个或两个以上投标报价，或在投标文件中提供一个报价，但同时提供两个或两个以上施工组织设计的，视为提供备选方案。</w:t>
      </w:r>
    </w:p>
    <w:p w14:paraId="57C5688A">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336" w:name="_Toc15058869"/>
      <w:bookmarkStart w:id="337" w:name="_Toc95223360"/>
      <w:bookmarkStart w:id="338" w:name="_Toc506107291"/>
      <w:bookmarkStart w:id="339" w:name="_Toc83301712"/>
      <w:bookmarkStart w:id="340" w:name="_Toc60061457"/>
      <w:r>
        <w:rPr>
          <w:rFonts w:hint="eastAsia" w:ascii="黑体" w:hAnsi="黑体" w:cs="黑体"/>
          <w:color w:val="000000"/>
          <w:sz w:val="21"/>
          <w:szCs w:val="21"/>
          <w:highlight w:val="none"/>
        </w:rPr>
        <w:t>4.投标</w:t>
      </w:r>
      <w:bookmarkEnd w:id="336"/>
      <w:bookmarkEnd w:id="337"/>
      <w:bookmarkEnd w:id="338"/>
      <w:bookmarkEnd w:id="339"/>
      <w:bookmarkEnd w:id="340"/>
    </w:p>
    <w:p w14:paraId="0695ABD7">
      <w:pPr>
        <w:pStyle w:val="4"/>
        <w:adjustRightInd w:val="0"/>
        <w:snapToGrid w:val="0"/>
        <w:spacing w:before="0" w:after="0" w:line="560" w:lineRule="exact"/>
        <w:ind w:firstLine="422" w:firstLineChars="200"/>
        <w:rPr>
          <w:rFonts w:ascii="黑体" w:hAnsi="黑体" w:cs="黑体"/>
          <w:color w:val="000000"/>
          <w:sz w:val="21"/>
          <w:szCs w:val="21"/>
          <w:highlight w:val="none"/>
        </w:rPr>
      </w:pPr>
      <w:bookmarkStart w:id="341" w:name="_Toc95223361"/>
      <w:bookmarkStart w:id="342" w:name="_Toc83301713"/>
      <w:bookmarkStart w:id="343" w:name="_Toc60061458"/>
      <w:bookmarkStart w:id="344" w:name="_Toc15058870"/>
      <w:r>
        <w:rPr>
          <w:rFonts w:hint="eastAsia" w:ascii="黑体" w:hAnsi="黑体" w:eastAsia="黑体" w:cs="黑体"/>
          <w:color w:val="000000"/>
          <w:sz w:val="21"/>
          <w:szCs w:val="21"/>
          <w:highlight w:val="none"/>
        </w:rPr>
        <w:t>4.1投标文件上传</w:t>
      </w:r>
      <w:bookmarkEnd w:id="341"/>
      <w:bookmarkEnd w:id="342"/>
      <w:bookmarkEnd w:id="343"/>
      <w:bookmarkEnd w:id="344"/>
    </w:p>
    <w:p w14:paraId="3F34EF2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4.1.1请投标人通过系统下载投标工具制作投标文件，并利用CA数字证书进行上传投标文件，上传已加密的投标文件，务必通过此方式上传投标文件。</w:t>
      </w:r>
    </w:p>
    <w:p w14:paraId="1C1235E2">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4.1.2投标人在投标文件编制、签章、上传过程中如有任何操作的疑问请及时联系技术支持，电话：0550-3801701。</w:t>
      </w:r>
    </w:p>
    <w:p w14:paraId="23ECC777">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345" w:name="_Toc83301714"/>
      <w:bookmarkStart w:id="346" w:name="_Toc15058871"/>
      <w:bookmarkStart w:id="347" w:name="_Toc324404839"/>
      <w:bookmarkStart w:id="348" w:name="_Toc246996943"/>
      <w:bookmarkStart w:id="349" w:name="_Toc60061459"/>
      <w:bookmarkStart w:id="350" w:name="_Toc296602444"/>
      <w:bookmarkStart w:id="351" w:name="_Toc95223362"/>
      <w:bookmarkStart w:id="352" w:name="_Toc152045556"/>
      <w:bookmarkStart w:id="353" w:name="_Toc247085714"/>
      <w:bookmarkStart w:id="354" w:name="_Toc152042332"/>
      <w:bookmarkStart w:id="355" w:name="_Toc506107292"/>
      <w:bookmarkStart w:id="356" w:name="_Toc179632574"/>
      <w:bookmarkStart w:id="357" w:name="_Toc246996200"/>
      <w:bookmarkStart w:id="358" w:name="_Toc144974524"/>
      <w:r>
        <w:rPr>
          <w:rFonts w:hint="eastAsia" w:ascii="黑体" w:hAnsi="黑体" w:eastAsia="黑体" w:cs="黑体"/>
          <w:color w:val="000000"/>
          <w:sz w:val="21"/>
          <w:szCs w:val="21"/>
          <w:highlight w:val="none"/>
        </w:rPr>
        <w:t>4.2投标文件的密封和标记</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69BBAB78">
      <w:pPr>
        <w:adjustRightInd w:val="0"/>
        <w:snapToGrid w:val="0"/>
        <w:spacing w:line="560" w:lineRule="exact"/>
        <w:ind w:firstLine="420" w:firstLineChars="200"/>
        <w:rPr>
          <w:rFonts w:ascii="宋体" w:hAnsi="宋体" w:cs="宋体"/>
          <w:color w:val="000000"/>
          <w:szCs w:val="21"/>
          <w:highlight w:val="none"/>
        </w:rPr>
      </w:pPr>
      <w:bookmarkStart w:id="359" w:name="_Toc246996201"/>
      <w:bookmarkStart w:id="360" w:name="_Toc152045557"/>
      <w:bookmarkStart w:id="361" w:name="_Toc246996944"/>
      <w:bookmarkStart w:id="362" w:name="_Toc324404840"/>
      <w:bookmarkStart w:id="363" w:name="_Toc144974525"/>
      <w:bookmarkStart w:id="364" w:name="_Toc296602445"/>
      <w:bookmarkStart w:id="365" w:name="_Toc247085715"/>
      <w:bookmarkStart w:id="366" w:name="_Toc179632575"/>
      <w:bookmarkStart w:id="367" w:name="_Toc152042333"/>
      <w:r>
        <w:rPr>
          <w:rFonts w:hint="eastAsia" w:ascii="宋体" w:hAnsi="宋体" w:cs="宋体"/>
          <w:color w:val="000000"/>
          <w:szCs w:val="21"/>
          <w:highlight w:val="none"/>
        </w:rPr>
        <w:t>4.2.1投标文件应按照本章第3.5.6项要求制作并加密，未按要求加密的投标文件将被拒绝接收。以投标人在投标截止时间前网上递交的电子投标文件为准。</w:t>
      </w:r>
    </w:p>
    <w:p w14:paraId="07207EA0">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368" w:name="_Toc506107293"/>
      <w:bookmarkStart w:id="369" w:name="_Toc15058872"/>
      <w:bookmarkStart w:id="370" w:name="_Toc60061460"/>
      <w:bookmarkStart w:id="371" w:name="_Toc95223363"/>
      <w:bookmarkStart w:id="372" w:name="_Toc83301715"/>
      <w:r>
        <w:rPr>
          <w:rFonts w:hint="eastAsia" w:ascii="黑体" w:hAnsi="黑体" w:eastAsia="黑体" w:cs="黑体"/>
          <w:color w:val="000000"/>
          <w:sz w:val="21"/>
          <w:szCs w:val="21"/>
          <w:highlight w:val="none"/>
        </w:rPr>
        <w:t>4.3 投标文件的递交</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5E211FA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4.3.1 投标人应当在第一章“招标公告”规定的投标截止时间前，将加密投标文件上传至电子交易系统。</w:t>
      </w:r>
    </w:p>
    <w:p w14:paraId="10A2538B">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4.3.2 除投标人须知前附表另有规定外，投标人所递交的投标文件不予退还。</w:t>
      </w:r>
    </w:p>
    <w:p w14:paraId="15E18DD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4.3.3 </w:t>
      </w:r>
      <w:r>
        <w:rPr>
          <w:rFonts w:ascii="宋体" w:hAnsi="宋体" w:cs="宋体"/>
          <w:color w:val="000000"/>
          <w:szCs w:val="21"/>
          <w:highlight w:val="none"/>
        </w:rPr>
        <w:t>投标人应当在投标截止时间前完成投标文件的</w:t>
      </w:r>
      <w:r>
        <w:rPr>
          <w:rFonts w:hint="eastAsia" w:ascii="宋体" w:hAnsi="宋体" w:cs="宋体"/>
          <w:color w:val="000000"/>
          <w:szCs w:val="21"/>
          <w:highlight w:val="none"/>
        </w:rPr>
        <w:t>网上递交，</w:t>
      </w:r>
      <w:r>
        <w:rPr>
          <w:rFonts w:ascii="宋体" w:hAnsi="宋体" w:cs="宋体"/>
          <w:color w:val="000000"/>
          <w:szCs w:val="21"/>
          <w:highlight w:val="none"/>
        </w:rPr>
        <w:t xml:space="preserve"> 并可以补充、修改或者撤回投标文件。投标截止时间前未完成投标文件</w:t>
      </w:r>
      <w:r>
        <w:rPr>
          <w:rFonts w:hint="eastAsia" w:ascii="宋体" w:hAnsi="宋体" w:cs="宋体"/>
          <w:color w:val="000000"/>
          <w:szCs w:val="21"/>
          <w:highlight w:val="none"/>
        </w:rPr>
        <w:t>网上递交</w:t>
      </w:r>
      <w:r>
        <w:rPr>
          <w:rFonts w:ascii="宋体" w:hAnsi="宋体" w:cs="宋体"/>
          <w:color w:val="000000"/>
          <w:szCs w:val="21"/>
          <w:highlight w:val="none"/>
        </w:rPr>
        <w:t>的，视为撤回投标文件。未按规定加密或投标截止时间后</w:t>
      </w:r>
      <w:r>
        <w:rPr>
          <w:rFonts w:hint="eastAsia" w:ascii="宋体" w:hAnsi="宋体" w:cs="宋体"/>
          <w:color w:val="000000"/>
          <w:szCs w:val="21"/>
          <w:highlight w:val="none"/>
        </w:rPr>
        <w:t>通过网上招标投标系统递交电子投标文件的</w:t>
      </w:r>
      <w:r>
        <w:rPr>
          <w:rFonts w:ascii="宋体" w:hAnsi="宋体" w:cs="宋体"/>
          <w:color w:val="000000"/>
          <w:szCs w:val="21"/>
          <w:highlight w:val="none"/>
        </w:rPr>
        <w:t>，电子交易系统应当拒收</w:t>
      </w:r>
      <w:r>
        <w:rPr>
          <w:rFonts w:hint="eastAsia" w:ascii="宋体" w:hAnsi="宋体" w:cs="宋体"/>
          <w:color w:val="000000"/>
          <w:szCs w:val="21"/>
          <w:highlight w:val="none"/>
        </w:rPr>
        <w:t>，投标无效。</w:t>
      </w:r>
    </w:p>
    <w:p w14:paraId="6E794BEE">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373" w:name="_Toc60061461"/>
      <w:bookmarkStart w:id="374" w:name="_Toc246996202"/>
      <w:bookmarkStart w:id="375" w:name="_Toc144974526"/>
      <w:bookmarkStart w:id="376" w:name="_Toc83301716"/>
      <w:bookmarkStart w:id="377" w:name="_Toc95223364"/>
      <w:bookmarkStart w:id="378" w:name="_Toc296602446"/>
      <w:bookmarkStart w:id="379" w:name="_Toc152045558"/>
      <w:bookmarkStart w:id="380" w:name="_Toc246996945"/>
      <w:bookmarkStart w:id="381" w:name="_Toc324404841"/>
      <w:bookmarkStart w:id="382" w:name="_Toc15058873"/>
      <w:bookmarkStart w:id="383" w:name="_Toc152042334"/>
      <w:bookmarkStart w:id="384" w:name="_Toc179632576"/>
      <w:bookmarkStart w:id="385" w:name="_Toc506107294"/>
      <w:bookmarkStart w:id="386" w:name="_Toc247085716"/>
      <w:r>
        <w:rPr>
          <w:rFonts w:hint="eastAsia" w:ascii="黑体" w:hAnsi="黑体" w:eastAsia="黑体" w:cs="黑体"/>
          <w:color w:val="000000"/>
          <w:sz w:val="21"/>
          <w:szCs w:val="21"/>
          <w:highlight w:val="none"/>
        </w:rPr>
        <w:t>4.4 投标文件的修改与撤回</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757024B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4.4.1在第一章“招标公告”规定的投标截止时间前，投标人可以自行从网上开评标系统撤回已递交的投标文件，并可修改后重新加密上传，开标时以投标截止时间前投标人最终上传的投标文件为准。</w:t>
      </w:r>
    </w:p>
    <w:p w14:paraId="7183A63F">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387" w:name="_Toc152045559"/>
      <w:bookmarkStart w:id="388" w:name="_Toc324404842"/>
      <w:bookmarkStart w:id="389" w:name="_Toc246996946"/>
      <w:bookmarkStart w:id="390" w:name="_Toc506107295"/>
      <w:bookmarkStart w:id="391" w:name="_Toc95223365"/>
      <w:bookmarkStart w:id="392" w:name="_Toc179632577"/>
      <w:bookmarkStart w:id="393" w:name="_Toc247085717"/>
      <w:bookmarkStart w:id="394" w:name="_Toc246996203"/>
      <w:bookmarkStart w:id="395" w:name="_Toc152042335"/>
      <w:bookmarkStart w:id="396" w:name="_Toc83301717"/>
      <w:bookmarkStart w:id="397" w:name="_Toc15058874"/>
      <w:bookmarkStart w:id="398" w:name="_Toc60061462"/>
      <w:bookmarkStart w:id="399" w:name="_Toc144974527"/>
      <w:r>
        <w:rPr>
          <w:rFonts w:hint="eastAsia" w:ascii="黑体" w:hAnsi="黑体" w:cs="黑体"/>
          <w:color w:val="000000"/>
          <w:sz w:val="21"/>
          <w:szCs w:val="21"/>
          <w:highlight w:val="none"/>
        </w:rPr>
        <w:t>5. 开标</w:t>
      </w:r>
      <w:bookmarkEnd w:id="387"/>
      <w:bookmarkEnd w:id="388"/>
      <w:bookmarkEnd w:id="389"/>
      <w:bookmarkEnd w:id="390"/>
      <w:bookmarkEnd w:id="391"/>
      <w:bookmarkEnd w:id="392"/>
      <w:bookmarkEnd w:id="393"/>
      <w:bookmarkEnd w:id="394"/>
      <w:bookmarkEnd w:id="395"/>
      <w:bookmarkEnd w:id="396"/>
      <w:bookmarkEnd w:id="397"/>
      <w:bookmarkEnd w:id="398"/>
      <w:bookmarkEnd w:id="399"/>
    </w:p>
    <w:p w14:paraId="665FA591">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400" w:name="_Toc83301718"/>
      <w:bookmarkStart w:id="401" w:name="_Toc296602448"/>
      <w:bookmarkStart w:id="402" w:name="_Toc179632578"/>
      <w:bookmarkStart w:id="403" w:name="_Toc152045560"/>
      <w:bookmarkStart w:id="404" w:name="_Toc144974528"/>
      <w:bookmarkStart w:id="405" w:name="_Toc247085718"/>
      <w:bookmarkStart w:id="406" w:name="_Toc246996947"/>
      <w:bookmarkStart w:id="407" w:name="_Toc506107296"/>
      <w:bookmarkStart w:id="408" w:name="_Toc60061463"/>
      <w:bookmarkStart w:id="409" w:name="_Toc152042336"/>
      <w:bookmarkStart w:id="410" w:name="_Toc324404843"/>
      <w:bookmarkStart w:id="411" w:name="_Toc246996204"/>
      <w:bookmarkStart w:id="412" w:name="_Toc15058875"/>
      <w:bookmarkStart w:id="413" w:name="_Toc95223366"/>
      <w:r>
        <w:rPr>
          <w:rFonts w:hint="eastAsia" w:ascii="黑体" w:hAnsi="黑体" w:eastAsia="黑体" w:cs="黑体"/>
          <w:color w:val="000000"/>
          <w:sz w:val="21"/>
          <w:szCs w:val="21"/>
          <w:highlight w:val="none"/>
        </w:rPr>
        <w:t>5.1 开标时间和地点</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5BF0F35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招标人在第一章“招标公告”规定的投标截止时间前（开标时间）和地点</w:t>
      </w:r>
      <w:r>
        <w:rPr>
          <w:color w:val="000000"/>
          <w:highlight w:val="none"/>
        </w:rPr>
        <w:t>通过电子交易系统公开开标</w:t>
      </w:r>
      <w:r>
        <w:rPr>
          <w:rFonts w:hint="eastAsia" w:ascii="宋体" w:hAnsi="宋体" w:cs="宋体"/>
          <w:color w:val="000000"/>
          <w:szCs w:val="21"/>
          <w:highlight w:val="none"/>
        </w:rPr>
        <w:t>。</w:t>
      </w:r>
    </w:p>
    <w:p w14:paraId="1D04E1F4">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414" w:name="_Toc246996205"/>
      <w:bookmarkStart w:id="415" w:name="_Toc95223367"/>
      <w:bookmarkStart w:id="416" w:name="_Toc247085719"/>
      <w:bookmarkStart w:id="417" w:name="_Toc296602449"/>
      <w:bookmarkStart w:id="418" w:name="_Toc60061464"/>
      <w:bookmarkStart w:id="419" w:name="_Toc15058876"/>
      <w:bookmarkStart w:id="420" w:name="_Toc506107297"/>
      <w:bookmarkStart w:id="421" w:name="_Toc179632579"/>
      <w:bookmarkStart w:id="422" w:name="_Toc246996948"/>
      <w:bookmarkStart w:id="423" w:name="_Toc144974529"/>
      <w:bookmarkStart w:id="424" w:name="_Toc324404844"/>
      <w:bookmarkStart w:id="425" w:name="_Toc152042337"/>
      <w:bookmarkStart w:id="426" w:name="_Toc152045561"/>
      <w:bookmarkStart w:id="427" w:name="_Toc83301719"/>
      <w:r>
        <w:rPr>
          <w:rFonts w:hint="eastAsia" w:ascii="黑体" w:hAnsi="黑体" w:eastAsia="黑体" w:cs="黑体"/>
          <w:color w:val="000000"/>
          <w:sz w:val="21"/>
          <w:szCs w:val="21"/>
          <w:highlight w:val="none"/>
        </w:rPr>
        <w:t>5.2 开标程序</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54C80FC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主持人按下列程序进行开标：</w:t>
      </w:r>
    </w:p>
    <w:p w14:paraId="69F4C6FA">
      <w:pPr>
        <w:adjustRightInd w:val="0"/>
        <w:snapToGrid w:val="0"/>
        <w:spacing w:line="600" w:lineRule="exact"/>
        <w:ind w:firstLine="420" w:firstLineChars="200"/>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（1）公布在投标截止时间前通过电子交易系统完成投标文件递交的投标人名称；</w:t>
      </w:r>
    </w:p>
    <w:p w14:paraId="13BE87F1">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 xml:space="preserve">    （2）投标人在投标截止时间后在投标人须知前附表规定的解密时间内完成投标文件的解密工作；</w:t>
      </w:r>
    </w:p>
    <w:p w14:paraId="6B831357">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 xml:space="preserve">    （3）</w:t>
      </w:r>
      <w:r>
        <w:rPr>
          <w:rFonts w:hint="eastAsia" w:ascii="宋体" w:hAnsi="宋体" w:cs="宋体"/>
          <w:bCs/>
          <w:snapToGrid w:val="0"/>
          <w:color w:val="000000"/>
          <w:kern w:val="0"/>
          <w:szCs w:val="21"/>
          <w:highlight w:val="none"/>
        </w:rPr>
        <w:t>招标人或招标代理机构完成解密工作，导入并读取所有成功解密的投标文件；</w:t>
      </w:r>
    </w:p>
    <w:p w14:paraId="35129E9D">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 xml:space="preserve">    （4）按投标人须知前附表规定公布投标人名称、标段名称、投标报价、质量目标、工期及其他内容；</w:t>
      </w:r>
    </w:p>
    <w:p w14:paraId="18BE8405">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 xml:space="preserve">    （5）开标结束。</w:t>
      </w:r>
    </w:p>
    <w:bookmarkEnd w:id="328"/>
    <w:bookmarkEnd w:id="329"/>
    <w:bookmarkEnd w:id="330"/>
    <w:bookmarkEnd w:id="331"/>
    <w:bookmarkEnd w:id="332"/>
    <w:bookmarkEnd w:id="333"/>
    <w:bookmarkEnd w:id="334"/>
    <w:bookmarkEnd w:id="335"/>
    <w:p w14:paraId="3E8386EE">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428" w:name="_Toc60061465"/>
      <w:bookmarkStart w:id="429" w:name="_Toc83301720"/>
      <w:bookmarkStart w:id="430" w:name="_Toc324404845"/>
      <w:bookmarkStart w:id="431" w:name="_Toc95223368"/>
      <w:bookmarkStart w:id="432" w:name="_Toc296602450"/>
      <w:bookmarkStart w:id="433" w:name="_Toc506107298"/>
      <w:bookmarkStart w:id="434" w:name="_Toc15058883"/>
      <w:r>
        <w:rPr>
          <w:rFonts w:hint="eastAsia" w:ascii="黑体" w:hAnsi="黑体" w:eastAsia="黑体" w:cs="黑体"/>
          <w:color w:val="000000"/>
          <w:sz w:val="21"/>
          <w:szCs w:val="21"/>
          <w:highlight w:val="none"/>
        </w:rPr>
        <w:t>5.3 开标异议</w:t>
      </w:r>
      <w:bookmarkEnd w:id="428"/>
      <w:bookmarkEnd w:id="429"/>
      <w:bookmarkEnd w:id="430"/>
      <w:bookmarkEnd w:id="431"/>
      <w:bookmarkEnd w:id="432"/>
      <w:bookmarkEnd w:id="433"/>
      <w:bookmarkEnd w:id="434"/>
    </w:p>
    <w:p w14:paraId="45AE76E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投标人对开标有异议的，应当在开标过程中提出，招标人在开标过程中作出答复，并制作记录。</w:t>
      </w:r>
      <w:r>
        <w:rPr>
          <w:color w:val="000000"/>
          <w:spacing w:val="-5"/>
          <w:highlight w:val="none"/>
        </w:rPr>
        <w:t>异议与答复应通过电子交易系统进行。</w:t>
      </w:r>
    </w:p>
    <w:p w14:paraId="30476470">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435" w:name="_Toc95223369"/>
      <w:bookmarkStart w:id="436" w:name="_Toc152042338"/>
      <w:bookmarkStart w:id="437" w:name="_Toc246996949"/>
      <w:bookmarkStart w:id="438" w:name="_Toc60061466"/>
      <w:bookmarkStart w:id="439" w:name="_Toc324404846"/>
      <w:bookmarkStart w:id="440" w:name="_Toc247085720"/>
      <w:bookmarkStart w:id="441" w:name="_Toc506107299"/>
      <w:bookmarkStart w:id="442" w:name="_Toc144974530"/>
      <w:bookmarkStart w:id="443" w:name="_Toc15058884"/>
      <w:bookmarkStart w:id="444" w:name="_Toc179632580"/>
      <w:bookmarkStart w:id="445" w:name="_Toc246996206"/>
      <w:bookmarkStart w:id="446" w:name="_Toc152045562"/>
      <w:bookmarkStart w:id="447" w:name="_Toc83301721"/>
      <w:r>
        <w:rPr>
          <w:rFonts w:hint="eastAsia" w:ascii="黑体" w:hAnsi="黑体" w:cs="黑体"/>
          <w:color w:val="000000"/>
          <w:sz w:val="21"/>
          <w:szCs w:val="21"/>
          <w:highlight w:val="none"/>
        </w:rPr>
        <w:t>6. 评标</w:t>
      </w:r>
      <w:bookmarkEnd w:id="435"/>
      <w:bookmarkEnd w:id="436"/>
      <w:bookmarkEnd w:id="437"/>
      <w:bookmarkEnd w:id="438"/>
      <w:bookmarkEnd w:id="439"/>
      <w:bookmarkEnd w:id="440"/>
      <w:bookmarkEnd w:id="441"/>
      <w:bookmarkEnd w:id="442"/>
      <w:bookmarkEnd w:id="443"/>
      <w:bookmarkEnd w:id="444"/>
      <w:bookmarkEnd w:id="445"/>
      <w:bookmarkEnd w:id="446"/>
      <w:bookmarkEnd w:id="447"/>
    </w:p>
    <w:p w14:paraId="72EB2CDA">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448" w:name="_Toc152045563"/>
      <w:bookmarkStart w:id="449" w:name="_Toc179632581"/>
      <w:bookmarkStart w:id="450" w:name="_Toc506107300"/>
      <w:bookmarkStart w:id="451" w:name="_Toc246996950"/>
      <w:bookmarkStart w:id="452" w:name="_Toc296602452"/>
      <w:bookmarkStart w:id="453" w:name="_Toc246996207"/>
      <w:bookmarkStart w:id="454" w:name="_Toc152042339"/>
      <w:bookmarkStart w:id="455" w:name="_Toc144974531"/>
      <w:bookmarkStart w:id="456" w:name="_Toc247085721"/>
      <w:bookmarkStart w:id="457" w:name="_Toc83301722"/>
      <w:bookmarkStart w:id="458" w:name="_Toc95223370"/>
      <w:bookmarkStart w:id="459" w:name="_Toc60061467"/>
      <w:bookmarkStart w:id="460" w:name="_Toc15058885"/>
      <w:bookmarkStart w:id="461" w:name="_Toc324404847"/>
      <w:r>
        <w:rPr>
          <w:rFonts w:hint="eastAsia" w:ascii="黑体" w:hAnsi="黑体" w:eastAsia="黑体" w:cs="黑体"/>
          <w:color w:val="000000"/>
          <w:sz w:val="21"/>
          <w:szCs w:val="21"/>
          <w:highlight w:val="none"/>
        </w:rPr>
        <w:t>6.1 评标委员会</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6D161F7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75456CE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6.1.2 评标委员会成员有下列情形之一的，应当回避：</w:t>
      </w:r>
    </w:p>
    <w:p w14:paraId="2FBA33DB">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（1）项目主管部门或行政监督管理部门，项目属地的公共资源交易综合管理部门、交易中心的工作人员；</w:t>
      </w:r>
      <w:r>
        <w:rPr>
          <w:rFonts w:ascii="宋体" w:hAnsi="宋体" w:cs="宋体"/>
          <w:color w:val="000000"/>
          <w:szCs w:val="21"/>
          <w:highlight w:val="none"/>
        </w:rPr>
        <w:t xml:space="preserve"> </w:t>
      </w:r>
    </w:p>
    <w:p w14:paraId="5F91593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（2）与竞争主体主要负责人或者授权参与交易的代理人有近亲属关系的人员；</w:t>
      </w:r>
      <w:r>
        <w:rPr>
          <w:rFonts w:ascii="宋体" w:hAnsi="宋体" w:cs="宋体"/>
          <w:color w:val="000000"/>
          <w:szCs w:val="21"/>
          <w:highlight w:val="none"/>
        </w:rPr>
        <w:t xml:space="preserve"> </w:t>
      </w:r>
    </w:p>
    <w:p w14:paraId="539DA59B">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（3）竞争主体的工作人员或者退休人员；</w:t>
      </w:r>
      <w:r>
        <w:rPr>
          <w:rFonts w:ascii="宋体" w:hAnsi="宋体" w:cs="宋体"/>
          <w:color w:val="000000"/>
          <w:szCs w:val="21"/>
          <w:highlight w:val="none"/>
        </w:rPr>
        <w:t xml:space="preserve"> </w:t>
      </w:r>
    </w:p>
    <w:p w14:paraId="102CED1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（4）竞争主体的上级主管、控股或者被控股单位等相关利害关系的人员，或任职单位与竞争主体单位为同一法定代表人的；</w:t>
      </w:r>
      <w:r>
        <w:rPr>
          <w:rFonts w:ascii="宋体" w:hAnsi="宋体" w:cs="宋体"/>
          <w:color w:val="000000"/>
          <w:szCs w:val="21"/>
          <w:highlight w:val="none"/>
        </w:rPr>
        <w:t xml:space="preserve"> </w:t>
      </w:r>
    </w:p>
    <w:p w14:paraId="6B4B86E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（5）存在其他法定回避情形的。</w:t>
      </w:r>
    </w:p>
    <w:p w14:paraId="1530028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项目实施主体及其子公司、下属单位、上级主管部门或者控股公司的工作人员或者退休人员不得以专家身份参与本单位或者代理项目的评标评审。</w:t>
      </w:r>
      <w:r>
        <w:rPr>
          <w:rFonts w:ascii="宋体" w:hAnsi="宋体" w:cs="宋体"/>
          <w:color w:val="000000"/>
          <w:szCs w:val="21"/>
          <w:highlight w:val="none"/>
        </w:rPr>
        <w:t xml:space="preserve"> </w:t>
      </w:r>
    </w:p>
    <w:p w14:paraId="1468395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评标委员会或评审机构成员有前两款规定情形的，应当主动提出回避；已经进入的应当更换，被更换的成员评标评审意见无效。</w:t>
      </w:r>
      <w:r>
        <w:rPr>
          <w:rFonts w:ascii="宋体" w:hAnsi="宋体" w:cs="宋体"/>
          <w:color w:val="000000"/>
          <w:szCs w:val="21"/>
          <w:highlight w:val="none"/>
        </w:rPr>
        <w:t xml:space="preserve"> </w:t>
      </w:r>
    </w:p>
    <w:p w14:paraId="01F5B88D">
      <w:pPr>
        <w:pStyle w:val="17"/>
        <w:adjustRightInd w:val="0"/>
        <w:snapToGrid w:val="0"/>
        <w:spacing w:after="0" w:line="560" w:lineRule="exact"/>
        <w:ind w:left="0" w:leftChars="0"/>
        <w:rPr>
          <w:color w:val="000000"/>
          <w:highlight w:val="none"/>
        </w:rPr>
      </w:pPr>
      <w:r>
        <w:rPr>
          <w:rFonts w:hint="eastAsia" w:ascii="宋体" w:hAnsi="宋体" w:cs="宋体"/>
          <w:color w:val="000000"/>
          <w:szCs w:val="21"/>
          <w:highlight w:val="none"/>
        </w:rPr>
        <w:t>6.1.3评标过程中，评标委员会成员有回避事由、擅离职守或因健康等原因不能继续评标的， 招标人有权更换。被更换的评标委员会成员作出的评审结论无效，由更换后的评标委员会成员重新进行评审。</w:t>
      </w:r>
    </w:p>
    <w:p w14:paraId="7E3C008E">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462" w:name="_Toc246996208"/>
      <w:bookmarkStart w:id="463" w:name="_Toc95223371"/>
      <w:bookmarkStart w:id="464" w:name="_Toc60061468"/>
      <w:bookmarkStart w:id="465" w:name="_Toc324404848"/>
      <w:bookmarkStart w:id="466" w:name="_Toc506107301"/>
      <w:bookmarkStart w:id="467" w:name="_Toc296602453"/>
      <w:bookmarkStart w:id="468" w:name="_Toc144974532"/>
      <w:bookmarkStart w:id="469" w:name="_Toc152042340"/>
      <w:bookmarkStart w:id="470" w:name="_Toc246996951"/>
      <w:bookmarkStart w:id="471" w:name="_Toc152045564"/>
      <w:bookmarkStart w:id="472" w:name="_Toc179632582"/>
      <w:bookmarkStart w:id="473" w:name="_Toc15058886"/>
      <w:bookmarkStart w:id="474" w:name="_Toc247085722"/>
      <w:bookmarkStart w:id="475" w:name="_Toc83301723"/>
      <w:r>
        <w:rPr>
          <w:rFonts w:hint="eastAsia" w:ascii="黑体" w:hAnsi="黑体" w:eastAsia="黑体" w:cs="黑体"/>
          <w:color w:val="000000"/>
          <w:sz w:val="21"/>
          <w:szCs w:val="21"/>
          <w:highlight w:val="none"/>
        </w:rPr>
        <w:t>6.2 评标原则</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42A5BB4B">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评标活动遵循公平、公正、科学和择优的原则。</w:t>
      </w:r>
    </w:p>
    <w:p w14:paraId="611CFD3D">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476" w:name="_Toc15058887"/>
      <w:bookmarkStart w:id="477" w:name="_Toc95223372"/>
      <w:bookmarkStart w:id="478" w:name="_Toc83301724"/>
      <w:bookmarkStart w:id="479" w:name="_Toc324404849"/>
      <w:bookmarkStart w:id="480" w:name="_Toc247085723"/>
      <w:bookmarkStart w:id="481" w:name="_Toc144974533"/>
      <w:bookmarkStart w:id="482" w:name="_Toc152042341"/>
      <w:bookmarkStart w:id="483" w:name="_Toc296602454"/>
      <w:bookmarkStart w:id="484" w:name="_Toc152045565"/>
      <w:bookmarkStart w:id="485" w:name="_Toc506107302"/>
      <w:bookmarkStart w:id="486" w:name="_Toc179632583"/>
      <w:bookmarkStart w:id="487" w:name="_Toc60061469"/>
      <w:bookmarkStart w:id="488" w:name="_Toc246996952"/>
      <w:bookmarkStart w:id="489" w:name="_Toc246996209"/>
      <w:r>
        <w:rPr>
          <w:rFonts w:hint="eastAsia" w:ascii="黑体" w:hAnsi="黑体" w:eastAsia="黑体" w:cs="黑体"/>
          <w:color w:val="000000"/>
          <w:sz w:val="21"/>
          <w:szCs w:val="21"/>
          <w:highlight w:val="none"/>
        </w:rPr>
        <w:t>6.3 评标</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Start w:id="490" w:name="_Toc506107303"/>
      <w:bookmarkStart w:id="491" w:name="_Toc152045566"/>
      <w:bookmarkStart w:id="492" w:name="_Toc144974534"/>
      <w:bookmarkStart w:id="493" w:name="_Toc152042342"/>
      <w:bookmarkStart w:id="494" w:name="_Toc15058888"/>
      <w:bookmarkStart w:id="495" w:name="_Toc60061470"/>
      <w:bookmarkStart w:id="496" w:name="_Toc324404850"/>
      <w:bookmarkStart w:id="497" w:name="_Toc179632584"/>
      <w:bookmarkStart w:id="498" w:name="_Toc246996953"/>
      <w:bookmarkStart w:id="499" w:name="_Toc246996210"/>
      <w:bookmarkStart w:id="500" w:name="_Toc247085724"/>
      <w:r>
        <w:rPr>
          <w:rFonts w:hint="eastAsia" w:ascii="黑体" w:hAnsi="黑体" w:eastAsia="黑体" w:cs="黑体"/>
          <w:color w:val="000000"/>
          <w:sz w:val="21"/>
          <w:szCs w:val="21"/>
          <w:highlight w:val="none"/>
        </w:rPr>
        <w:t xml:space="preserve">    </w:t>
      </w:r>
    </w:p>
    <w:p w14:paraId="2BB2650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6.3.1评标委员会按照第四章“评标办法”规定的方法、评审因素、标准和程序对投标文件进行评审。第四章“评标办法”没有规定的方法、评审因素和标准，不作为评标依据。</w:t>
      </w:r>
    </w:p>
    <w:p w14:paraId="4B1F2DF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6.3.2评标完成后，评标委员会应向招标人提交书面评标报告和中标候选人名单。评标委员会推荐中标候选人的人数见投标人须知前附表。</w:t>
      </w:r>
    </w:p>
    <w:p w14:paraId="0ACC8D39">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501" w:name="_Toc83301725"/>
      <w:bookmarkStart w:id="502" w:name="_Toc95223373"/>
      <w:r>
        <w:rPr>
          <w:rFonts w:hint="eastAsia" w:ascii="黑体" w:hAnsi="黑体" w:cs="黑体"/>
          <w:color w:val="000000"/>
          <w:sz w:val="21"/>
          <w:szCs w:val="21"/>
          <w:highlight w:val="none"/>
        </w:rPr>
        <w:t>7. 合同授予</w:t>
      </w:r>
      <w:bookmarkEnd w:id="490"/>
      <w:bookmarkEnd w:id="491"/>
      <w:bookmarkEnd w:id="492"/>
      <w:bookmarkEnd w:id="493"/>
      <w:bookmarkEnd w:id="494"/>
      <w:bookmarkEnd w:id="495"/>
      <w:bookmarkEnd w:id="496"/>
      <w:bookmarkEnd w:id="497"/>
      <w:bookmarkEnd w:id="498"/>
      <w:bookmarkEnd w:id="499"/>
      <w:bookmarkEnd w:id="500"/>
      <w:bookmarkEnd w:id="501"/>
      <w:bookmarkEnd w:id="502"/>
    </w:p>
    <w:p w14:paraId="18EB2861">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503" w:name="_Toc296602457"/>
      <w:bookmarkStart w:id="504" w:name="_Toc324404852"/>
      <w:bookmarkStart w:id="505" w:name="_Toc15058890"/>
      <w:bookmarkStart w:id="506" w:name="_Toc60061472"/>
      <w:bookmarkStart w:id="507" w:name="_Toc95223374"/>
      <w:bookmarkStart w:id="508" w:name="_Toc506107305"/>
      <w:bookmarkStart w:id="509" w:name="_Toc83301726"/>
      <w:r>
        <w:rPr>
          <w:rFonts w:hint="eastAsia" w:ascii="黑体" w:hAnsi="黑体" w:eastAsia="黑体" w:cs="黑体"/>
          <w:color w:val="000000"/>
          <w:sz w:val="21"/>
          <w:szCs w:val="21"/>
          <w:highlight w:val="none"/>
        </w:rPr>
        <w:t>7.1 中标候选人公示</w:t>
      </w:r>
      <w:bookmarkEnd w:id="503"/>
      <w:bookmarkEnd w:id="504"/>
      <w:bookmarkEnd w:id="505"/>
      <w:bookmarkEnd w:id="506"/>
      <w:bookmarkEnd w:id="507"/>
      <w:bookmarkEnd w:id="508"/>
      <w:bookmarkEnd w:id="509"/>
    </w:p>
    <w:p w14:paraId="1ED7EF0C">
      <w:pPr>
        <w:adjustRightInd w:val="0"/>
        <w:snapToGrid w:val="0"/>
        <w:spacing w:line="560" w:lineRule="exact"/>
        <w:ind w:firstLine="420" w:firstLineChars="200"/>
        <w:rPr>
          <w:rFonts w:ascii="宋体" w:hAnsi="宋体" w:cs="宋体"/>
          <w:color w:val="000000"/>
          <w:szCs w:val="21"/>
          <w:highlight w:val="none"/>
        </w:rPr>
      </w:pPr>
      <w:bookmarkStart w:id="510" w:name="_Toc60061473"/>
      <w:bookmarkStart w:id="511" w:name="_Toc152045568"/>
      <w:bookmarkStart w:id="512" w:name="_Toc152042344"/>
      <w:bookmarkStart w:id="513" w:name="_Toc324404853"/>
      <w:bookmarkStart w:id="514" w:name="_Toc296602458"/>
      <w:bookmarkStart w:id="515" w:name="_Toc246996955"/>
      <w:bookmarkStart w:id="516" w:name="_Toc247085726"/>
      <w:bookmarkStart w:id="517" w:name="_Toc179632586"/>
      <w:bookmarkStart w:id="518" w:name="_Toc144974536"/>
      <w:bookmarkStart w:id="519" w:name="_Toc246996212"/>
      <w:r>
        <w:rPr>
          <w:rFonts w:hint="eastAsia" w:ascii="宋体" w:hAnsi="宋体" w:cs="宋体"/>
          <w:color w:val="000000"/>
          <w:szCs w:val="21"/>
          <w:highlight w:val="none"/>
        </w:rPr>
        <w:t>招标人在收到评标报告之日起 3 日内，按照投标人须知前附表规定的公示媒介和期限依法公示。中标候选人公示期不得少于 3 日。</w:t>
      </w:r>
    </w:p>
    <w:p w14:paraId="48E1DE13">
      <w:pPr>
        <w:pStyle w:val="4"/>
        <w:adjustRightInd w:val="0"/>
        <w:snapToGrid w:val="0"/>
        <w:spacing w:before="0" w:after="0" w:line="560" w:lineRule="exact"/>
        <w:ind w:firstLine="422" w:firstLineChars="200"/>
        <w:rPr>
          <w:rFonts w:ascii="黑体" w:hAnsi="黑体" w:eastAsia="黑体" w:cs="黑体"/>
          <w:color w:val="000000"/>
          <w:szCs w:val="21"/>
          <w:highlight w:val="none"/>
        </w:rPr>
      </w:pPr>
      <w:r>
        <w:rPr>
          <w:rFonts w:hint="eastAsia" w:ascii="黑体" w:hAnsi="黑体" w:eastAsia="黑体" w:cs="黑体"/>
          <w:color w:val="000000"/>
          <w:sz w:val="21"/>
          <w:szCs w:val="21"/>
          <w:highlight w:val="none"/>
        </w:rPr>
        <w:t>7.2 评标结果异议</w:t>
      </w:r>
    </w:p>
    <w:p w14:paraId="76B1CBD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投标人或其他利害关系人对评标结果有异议的，应在中标候选人公示期内提出。招标人将在收到异议之日起 3 日内作出答复；作出答复前，将暂停招标投标活动。</w:t>
      </w:r>
    </w:p>
    <w:p w14:paraId="3963BA73">
      <w:pPr>
        <w:pStyle w:val="4"/>
        <w:adjustRightInd w:val="0"/>
        <w:snapToGrid w:val="0"/>
        <w:spacing w:before="0" w:after="0" w:line="560" w:lineRule="exact"/>
        <w:ind w:firstLine="422" w:firstLineChars="200"/>
        <w:rPr>
          <w:rFonts w:ascii="黑体" w:hAnsi="黑体" w:eastAsia="黑体" w:cs="黑体"/>
          <w:b w:val="0"/>
          <w:bCs w:val="0"/>
          <w:color w:val="000000"/>
          <w:szCs w:val="21"/>
          <w:highlight w:val="none"/>
        </w:rPr>
      </w:pPr>
      <w:r>
        <w:rPr>
          <w:rFonts w:hint="eastAsia" w:ascii="黑体" w:hAnsi="黑体" w:eastAsia="黑体" w:cs="黑体"/>
          <w:color w:val="000000"/>
          <w:sz w:val="21"/>
          <w:szCs w:val="21"/>
          <w:highlight w:val="none"/>
        </w:rPr>
        <w:t>7.3 中标候选人履约能力审查</w:t>
      </w:r>
    </w:p>
    <w:p w14:paraId="7EDCB14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中标候选人的经营、财务状况发生较大变化或者存在违法行为，招标人认为可能影响其履约能力的，应当在发出中标通知书前由原评标委员会按照招标文件规定的标准和方法审查确认。</w:t>
      </w:r>
    </w:p>
    <w:p w14:paraId="2E657F46">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r>
        <w:rPr>
          <w:rFonts w:hint="eastAsia" w:ascii="黑体" w:hAnsi="黑体" w:eastAsia="黑体" w:cs="黑体"/>
          <w:color w:val="000000"/>
          <w:sz w:val="21"/>
          <w:szCs w:val="21"/>
          <w:highlight w:val="none"/>
        </w:rPr>
        <w:t>7.4 业绩奖项公示</w:t>
      </w:r>
      <w:bookmarkEnd w:id="510"/>
    </w:p>
    <w:p w14:paraId="3316723B">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招标人对中标候选人的得分业绩和奖项进行公示</w:t>
      </w:r>
      <w:r>
        <w:rPr>
          <w:rStyle w:val="30"/>
          <w:rFonts w:ascii="宋体" w:hAnsi="宋体" w:cs="宋体"/>
          <w:color w:val="000000"/>
          <w:szCs w:val="21"/>
          <w:highlight w:val="none"/>
        </w:rPr>
        <w:footnoteReference w:id="2"/>
      </w:r>
      <w:r>
        <w:rPr>
          <w:rFonts w:hint="eastAsia" w:ascii="宋体" w:hAnsi="宋体" w:cs="宋体"/>
          <w:color w:val="000000"/>
          <w:szCs w:val="21"/>
          <w:highlight w:val="none"/>
        </w:rPr>
        <w:t>。</w:t>
      </w:r>
    </w:p>
    <w:p w14:paraId="3CB3C265">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520" w:name="_Toc83301727"/>
      <w:bookmarkStart w:id="521" w:name="_Toc95223375"/>
      <w:bookmarkStart w:id="522" w:name="_Toc60061474"/>
      <w:bookmarkStart w:id="523" w:name="_Toc15058891"/>
      <w:bookmarkStart w:id="524" w:name="_Toc506107306"/>
      <w:r>
        <w:rPr>
          <w:rFonts w:hint="eastAsia" w:ascii="黑体" w:hAnsi="黑体" w:eastAsia="黑体" w:cs="黑体"/>
          <w:color w:val="000000"/>
          <w:sz w:val="21"/>
          <w:szCs w:val="21"/>
          <w:highlight w:val="none"/>
        </w:rPr>
        <w:t>7.5 定标</w:t>
      </w:r>
      <w:bookmarkEnd w:id="520"/>
      <w:bookmarkEnd w:id="521"/>
    </w:p>
    <w:p w14:paraId="037B0F0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按照投标人须知前附表的规定，招标人或招标人授权的评标委员会依法确定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3DB7A340">
      <w:pPr>
        <w:pStyle w:val="4"/>
        <w:adjustRightInd w:val="0"/>
        <w:snapToGrid w:val="0"/>
        <w:spacing w:before="0" w:after="0" w:line="560" w:lineRule="exact"/>
        <w:ind w:firstLine="422" w:firstLineChars="200"/>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 xml:space="preserve"> </w:t>
      </w:r>
      <w:bookmarkStart w:id="525" w:name="_Toc95223376"/>
      <w:bookmarkStart w:id="526" w:name="_Toc83301728"/>
      <w:r>
        <w:rPr>
          <w:rFonts w:hint="eastAsia" w:ascii="黑体" w:hAnsi="黑体" w:eastAsia="黑体" w:cs="黑体"/>
          <w:color w:val="000000"/>
          <w:sz w:val="21"/>
          <w:szCs w:val="21"/>
          <w:highlight w:val="none"/>
        </w:rPr>
        <w:t>7.6 中标通知</w:t>
      </w:r>
      <w:bookmarkEnd w:id="511"/>
      <w:bookmarkEnd w:id="512"/>
      <w:bookmarkEnd w:id="513"/>
      <w:bookmarkEnd w:id="514"/>
      <w:bookmarkEnd w:id="515"/>
      <w:bookmarkEnd w:id="516"/>
      <w:bookmarkEnd w:id="517"/>
      <w:bookmarkEnd w:id="518"/>
      <w:bookmarkEnd w:id="519"/>
      <w:bookmarkEnd w:id="522"/>
      <w:bookmarkEnd w:id="523"/>
      <w:bookmarkEnd w:id="524"/>
      <w:bookmarkEnd w:id="525"/>
      <w:bookmarkEnd w:id="526"/>
    </w:p>
    <w:p w14:paraId="32C2345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在本招标文件规定的投标有效期内，招标人以数据电文向中标人发出中标通知书，同时将中标结果通知未中标的投标人。</w:t>
      </w:r>
    </w:p>
    <w:p w14:paraId="2A12FD35">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527" w:name="_Toc95223377"/>
      <w:r>
        <w:rPr>
          <w:rFonts w:hint="eastAsia" w:ascii="黑体" w:hAnsi="黑体" w:eastAsia="黑体" w:cs="黑体"/>
          <w:color w:val="000000"/>
          <w:sz w:val="21"/>
          <w:szCs w:val="21"/>
          <w:highlight w:val="none"/>
        </w:rPr>
        <w:t>7.7 中标结果公示</w:t>
      </w:r>
      <w:bookmarkEnd w:id="527"/>
    </w:p>
    <w:p w14:paraId="379FA918">
      <w:pPr>
        <w:adjustRightInd w:val="0"/>
        <w:snapToGrid w:val="0"/>
        <w:spacing w:line="600" w:lineRule="exact"/>
        <w:ind w:firstLine="420" w:firstLineChars="200"/>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招标人在确定中标人之日起3日内，按照投标人须知前附表规定的公示媒介和期限依法公示中标结果。</w:t>
      </w:r>
    </w:p>
    <w:p w14:paraId="513C9357">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528" w:name="_Toc179632587"/>
      <w:bookmarkStart w:id="529" w:name="_Toc95223378"/>
      <w:bookmarkStart w:id="530" w:name="_Toc247085727"/>
      <w:bookmarkStart w:id="531" w:name="_Toc296602459"/>
      <w:bookmarkStart w:id="532" w:name="_Toc60061476"/>
      <w:bookmarkStart w:id="533" w:name="_Toc144974537"/>
      <w:bookmarkStart w:id="534" w:name="_Toc506107307"/>
      <w:bookmarkStart w:id="535" w:name="_Toc152042345"/>
      <w:bookmarkStart w:id="536" w:name="_Toc83301730"/>
      <w:bookmarkStart w:id="537" w:name="_Toc246996213"/>
      <w:bookmarkStart w:id="538" w:name="_Toc152045569"/>
      <w:bookmarkStart w:id="539" w:name="_Toc246996956"/>
      <w:bookmarkStart w:id="540" w:name="_Toc324404854"/>
      <w:bookmarkStart w:id="541" w:name="_Toc15058892"/>
      <w:r>
        <w:rPr>
          <w:rFonts w:hint="eastAsia" w:ascii="黑体" w:hAnsi="黑体" w:eastAsia="黑体" w:cs="黑体"/>
          <w:color w:val="000000"/>
          <w:sz w:val="21"/>
          <w:szCs w:val="21"/>
          <w:highlight w:val="none"/>
        </w:rPr>
        <w:t>7.8 履约担保</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14:paraId="4EC2C121">
      <w:pPr>
        <w:adjustRightInd w:val="0"/>
        <w:snapToGrid w:val="0"/>
        <w:spacing w:line="560" w:lineRule="exact"/>
        <w:ind w:firstLine="420" w:firstLineChars="200"/>
        <w:rPr>
          <w:rFonts w:ascii="宋体" w:hAnsi="宋体" w:cs="宋体"/>
          <w:b/>
          <w:color w:val="000000"/>
          <w:szCs w:val="21"/>
          <w:highlight w:val="none"/>
        </w:rPr>
      </w:pPr>
      <w:r>
        <w:rPr>
          <w:rFonts w:hint="eastAsia" w:ascii="宋体" w:hAnsi="宋体" w:cs="宋体"/>
          <w:color w:val="000000"/>
          <w:szCs w:val="21"/>
          <w:highlight w:val="none"/>
        </w:rPr>
        <w:t>7.8.1在签订合同前，中标人应按投标人须知前附表规定的担保形式和招标文件第五章“合同条款及格式”规定的或者事先经过招标人书面认可的履约担保格式向招标人提交履约担保。</w:t>
      </w:r>
      <w:r>
        <w:rPr>
          <w:rFonts w:hint="eastAsia"/>
          <w:color w:val="000000"/>
          <w:highlight w:val="none"/>
        </w:rPr>
        <w:t>联合体中标的，其履约担保应符合投标人须知前附表规定的金额、担保形式和招标文件第五章“合同条款及格式”规定的履约担保格式要求。</w:t>
      </w:r>
    </w:p>
    <w:p w14:paraId="032E1306">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7.8.2 中标人不能按本章第7.8.1项要求提交履约担保的，视为放弃中标，其投标保证金不予退还，给招标人造成的损失超过投标保证金数额的，中标人还应当对超过部分予以赔偿。</w:t>
      </w:r>
    </w:p>
    <w:p w14:paraId="4A3FB58B">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542" w:name="_Toc144974538"/>
      <w:bookmarkStart w:id="543" w:name="_Toc15058893"/>
      <w:bookmarkStart w:id="544" w:name="_Toc324404855"/>
      <w:bookmarkStart w:id="545" w:name="_Toc246996957"/>
      <w:bookmarkStart w:id="546" w:name="_Toc83301731"/>
      <w:bookmarkStart w:id="547" w:name="_Toc296602460"/>
      <w:bookmarkStart w:id="548" w:name="_Toc95223379"/>
      <w:bookmarkStart w:id="549" w:name="_Toc179632588"/>
      <w:bookmarkStart w:id="550" w:name="_Toc60061477"/>
      <w:bookmarkStart w:id="551" w:name="_Toc152045570"/>
      <w:bookmarkStart w:id="552" w:name="_Toc246996214"/>
      <w:bookmarkStart w:id="553" w:name="_Toc506107308"/>
      <w:bookmarkStart w:id="554" w:name="_Toc247085728"/>
      <w:bookmarkStart w:id="555" w:name="_Toc152042346"/>
      <w:r>
        <w:rPr>
          <w:rFonts w:hint="eastAsia" w:ascii="黑体" w:hAnsi="黑体" w:eastAsia="黑体" w:cs="黑体"/>
          <w:color w:val="000000"/>
          <w:sz w:val="21"/>
          <w:szCs w:val="21"/>
          <w:highlight w:val="none"/>
        </w:rPr>
        <w:t>7.9 签订合同</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14:paraId="11BE60A0">
      <w:pPr>
        <w:adjustRightInd w:val="0"/>
        <w:snapToGrid w:val="0"/>
        <w:spacing w:line="560" w:lineRule="exact"/>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7.9.1本招标工程的施工合同将授予按本须知第7.6款规定所确定的中标人。</w:t>
      </w:r>
    </w:p>
    <w:p w14:paraId="6C664609">
      <w:pPr>
        <w:adjustRightInd w:val="0"/>
        <w:snapToGrid w:val="0"/>
        <w:spacing w:line="560" w:lineRule="exact"/>
        <w:ind w:firstLine="420" w:firstLineChars="200"/>
        <w:rPr>
          <w:rFonts w:ascii="宋体" w:hAnsi="宋体" w:cs="宋体"/>
          <w:bCs/>
          <w:color w:val="000000"/>
          <w:szCs w:val="21"/>
          <w:highlight w:val="none"/>
        </w:rPr>
      </w:pPr>
      <w:r>
        <w:rPr>
          <w:rFonts w:hint="eastAsia" w:ascii="宋体" w:hAnsi="宋体" w:cs="宋体"/>
          <w:color w:val="000000"/>
          <w:szCs w:val="21"/>
          <w:highlight w:val="none"/>
        </w:rPr>
        <w:t>投标人所派出项目经理（建造师）须不得有在其他尚未完工（以竣工、交工、完工验收报告等手续为准）项目或已中标项目（以发放中标通知书为准）中担任项目经理（建造师）情形。如有，项目在滁州市区域内的，中标无效，记入不良行为记录；项目在滁州市区域外的，须在中标候选人公示期第一日起开始计算7日内，提供经行政主管部门备案的变更证明材料，否则视为弄虚作假材料骗取中标，中标无效，按有关规定进行处理</w:t>
      </w:r>
      <w:r>
        <w:rPr>
          <w:rFonts w:hint="eastAsia" w:ascii="宋体" w:hAnsi="宋体" w:cs="宋体"/>
          <w:bCs/>
          <w:color w:val="000000"/>
          <w:szCs w:val="21"/>
          <w:highlight w:val="none"/>
        </w:rPr>
        <w:t>。</w:t>
      </w:r>
    </w:p>
    <w:p w14:paraId="0841BA27">
      <w:pPr>
        <w:adjustRightInd w:val="0"/>
        <w:snapToGrid w:val="0"/>
        <w:spacing w:line="560" w:lineRule="exact"/>
        <w:ind w:firstLine="420" w:firstLineChars="200"/>
        <w:rPr>
          <w:rFonts w:ascii="宋体" w:hAnsi="宋体" w:cs="宋体"/>
          <w:bCs/>
          <w:color w:val="000000"/>
          <w:szCs w:val="21"/>
          <w:highlight w:val="none"/>
        </w:rPr>
      </w:pPr>
      <w:bookmarkStart w:id="556" w:name="_Toc324404856"/>
      <w:r>
        <w:rPr>
          <w:rFonts w:hint="eastAsia" w:ascii="宋体" w:hAnsi="宋体" w:cs="宋体"/>
          <w:bCs/>
          <w:color w:val="000000"/>
          <w:szCs w:val="21"/>
          <w:highlight w:val="none"/>
        </w:rPr>
        <w:t>7.9.2招标人和中标人应当自中标通知书发出之日起30天内，根据招标文件和中标人的投标文件订立书面合同。中标人无正当理由拒签合同的，在签订合同时向招标人提出附加条件，或不按照招标文件要求提交履约保证金的，招标人取消其中标资格，其投标保证金不予退还；给招标人造成的损失超过投标保证金数额的，中标人还应当对超过部分予以赔偿。</w:t>
      </w:r>
    </w:p>
    <w:p w14:paraId="1C3384C7">
      <w:pPr>
        <w:adjustRightInd w:val="0"/>
        <w:snapToGrid w:val="0"/>
        <w:spacing w:line="560" w:lineRule="exact"/>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7.9.3 发出中标通知书后，招标人无正当理由拒签合同的，招标人向中标人退还投标保证金；给中标人造成损失的，还应当赔偿损失。</w:t>
      </w:r>
    </w:p>
    <w:p w14:paraId="02F42702">
      <w:pPr>
        <w:adjustRightInd w:val="0"/>
        <w:snapToGrid w:val="0"/>
        <w:spacing w:line="560" w:lineRule="exact"/>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7.9.4  除法定情形外，建设工程合同履行期间项目经理（建造师）不得更换。项目经理（建造师）确需变更的，应根据招标文件要求，变更后的项目经理（建造师）不低于投标文件中拟派项目经理（建造师）的资格条件。</w:t>
      </w:r>
    </w:p>
    <w:p w14:paraId="2F629BF8">
      <w:pPr>
        <w:adjustRightInd w:val="0"/>
        <w:snapToGrid w:val="0"/>
        <w:spacing w:line="600" w:lineRule="exact"/>
        <w:ind w:firstLine="420" w:firstLineChars="200"/>
        <w:rPr>
          <w:rFonts w:ascii="宋体" w:hAnsi="宋体" w:cs="宋体"/>
          <w:bCs/>
          <w:snapToGrid w:val="0"/>
          <w:color w:val="000000"/>
          <w:kern w:val="0"/>
          <w:szCs w:val="21"/>
          <w:highlight w:val="none"/>
        </w:rPr>
      </w:pPr>
      <w:r>
        <w:rPr>
          <w:rFonts w:hint="eastAsia" w:ascii="宋体" w:hAnsi="宋体" w:cs="宋体"/>
          <w:color w:val="000000"/>
          <w:highlight w:val="none"/>
        </w:rPr>
        <w:t xml:space="preserve">7.9.5 </w:t>
      </w:r>
      <w:r>
        <w:rPr>
          <w:rFonts w:hint="eastAsia" w:ascii="宋体" w:hAnsi="宋体" w:cs="宋体"/>
          <w:bCs/>
          <w:snapToGrid w:val="0"/>
          <w:color w:val="000000"/>
          <w:kern w:val="0"/>
          <w:szCs w:val="21"/>
          <w:highlight w:val="none"/>
        </w:rPr>
        <w:t>联合体中标的，联合体各方应当共同与招标人签订合同，就中标项目向招标人承担连带责任。</w:t>
      </w:r>
    </w:p>
    <w:p w14:paraId="33F32FC6">
      <w:pPr>
        <w:pStyle w:val="3"/>
        <w:adjustRightInd w:val="0"/>
        <w:snapToGrid w:val="0"/>
        <w:spacing w:before="0" w:after="0" w:line="560" w:lineRule="exact"/>
        <w:ind w:firstLine="422" w:firstLineChars="200"/>
        <w:rPr>
          <w:color w:val="000000"/>
          <w:highlight w:val="none"/>
        </w:rPr>
      </w:pPr>
      <w:bookmarkStart w:id="557" w:name="_Toc152045571"/>
      <w:bookmarkStart w:id="558" w:name="_Toc83301732"/>
      <w:bookmarkStart w:id="559" w:name="_Toc60061478"/>
      <w:bookmarkStart w:id="560" w:name="_Toc179632589"/>
      <w:bookmarkStart w:id="561" w:name="_Toc144974539"/>
      <w:bookmarkStart w:id="562" w:name="_Toc152042347"/>
      <w:bookmarkStart w:id="563" w:name="_Toc95223381"/>
      <w:r>
        <w:rPr>
          <w:rFonts w:hint="eastAsia" w:ascii="黑体" w:hAnsi="黑体" w:cs="黑体"/>
          <w:color w:val="000000"/>
          <w:sz w:val="21"/>
          <w:szCs w:val="21"/>
          <w:highlight w:val="none"/>
        </w:rPr>
        <w:t>8. 重新招标和不再招标</w:t>
      </w:r>
      <w:bookmarkEnd w:id="557"/>
      <w:bookmarkEnd w:id="558"/>
      <w:bookmarkEnd w:id="559"/>
      <w:bookmarkEnd w:id="560"/>
      <w:bookmarkEnd w:id="561"/>
      <w:bookmarkEnd w:id="562"/>
      <w:bookmarkEnd w:id="563"/>
    </w:p>
    <w:p w14:paraId="12B8D67A">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564" w:name="_Toc152042348"/>
      <w:bookmarkStart w:id="565" w:name="_Toc152045572"/>
      <w:bookmarkStart w:id="566" w:name="_Toc144974540"/>
      <w:bookmarkStart w:id="567" w:name="_Toc95223382"/>
      <w:bookmarkStart w:id="568" w:name="_Toc60061479"/>
      <w:bookmarkStart w:id="569" w:name="_Toc179632590"/>
      <w:bookmarkStart w:id="570" w:name="_Toc83301733"/>
      <w:r>
        <w:rPr>
          <w:rFonts w:hint="eastAsia" w:ascii="黑体" w:hAnsi="黑体" w:eastAsia="黑体" w:cs="黑体"/>
          <w:color w:val="000000"/>
          <w:sz w:val="21"/>
          <w:szCs w:val="21"/>
          <w:highlight w:val="none"/>
        </w:rPr>
        <w:t>8.1 重新招标</w:t>
      </w:r>
      <w:bookmarkEnd w:id="564"/>
      <w:bookmarkEnd w:id="565"/>
      <w:bookmarkEnd w:id="566"/>
      <w:bookmarkEnd w:id="567"/>
      <w:bookmarkEnd w:id="568"/>
      <w:bookmarkEnd w:id="569"/>
      <w:bookmarkEnd w:id="570"/>
    </w:p>
    <w:p w14:paraId="458DF85B">
      <w:pPr>
        <w:adjustRightInd w:val="0"/>
        <w:snapToGrid w:val="0"/>
        <w:spacing w:line="600" w:lineRule="exact"/>
        <w:ind w:firstLine="359" w:firstLineChars="171"/>
        <w:rPr>
          <w:rFonts w:ascii="宋体" w:hAnsi="宋体" w:cs="宋体"/>
          <w:color w:val="000000"/>
          <w:highlight w:val="none"/>
        </w:rPr>
      </w:pPr>
      <w:r>
        <w:rPr>
          <w:rFonts w:hint="eastAsia" w:ascii="宋体" w:hAnsi="宋体" w:cs="宋体"/>
          <w:color w:val="000000"/>
          <w:highlight w:val="none"/>
        </w:rPr>
        <w:t>依法必须招标的项目有下列情形之一的，招标人将重新招标：</w:t>
      </w:r>
    </w:p>
    <w:p w14:paraId="0967FA8A">
      <w:pPr>
        <w:adjustRightInd w:val="0"/>
        <w:snapToGrid w:val="0"/>
        <w:spacing w:line="600" w:lineRule="exact"/>
        <w:ind w:firstLine="359" w:firstLineChars="171"/>
        <w:rPr>
          <w:rFonts w:ascii="宋体" w:hAnsi="宋体" w:cs="宋体"/>
          <w:color w:val="000000"/>
          <w:highlight w:val="none"/>
        </w:rPr>
      </w:pPr>
      <w:r>
        <w:rPr>
          <w:rFonts w:hint="eastAsia" w:ascii="宋体" w:hAnsi="宋体" w:cs="宋体"/>
          <w:color w:val="000000"/>
          <w:highlight w:val="none"/>
        </w:rPr>
        <w:t>（1）投标截止时间止，投标人少于3个的；</w:t>
      </w:r>
    </w:p>
    <w:p w14:paraId="0E3F640A">
      <w:pPr>
        <w:adjustRightInd w:val="0"/>
        <w:snapToGrid w:val="0"/>
        <w:spacing w:line="600" w:lineRule="exact"/>
        <w:ind w:firstLine="359" w:firstLineChars="171"/>
        <w:rPr>
          <w:rFonts w:ascii="宋体" w:hAnsi="宋体" w:cs="宋体"/>
          <w:color w:val="000000"/>
          <w:highlight w:val="none"/>
        </w:rPr>
      </w:pPr>
      <w:r>
        <w:rPr>
          <w:rFonts w:hint="eastAsia" w:ascii="宋体" w:hAnsi="宋体" w:cs="宋体"/>
          <w:color w:val="000000"/>
          <w:highlight w:val="none"/>
        </w:rPr>
        <w:t>（2）经评标委员会评审后否决所有投标的；</w:t>
      </w:r>
    </w:p>
    <w:p w14:paraId="53383C97">
      <w:pPr>
        <w:adjustRightInd w:val="0"/>
        <w:snapToGrid w:val="0"/>
        <w:spacing w:line="600" w:lineRule="exact"/>
        <w:ind w:firstLine="359" w:firstLineChars="171"/>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（3）中标候选人均未与招标人签订合同的；</w:t>
      </w:r>
    </w:p>
    <w:p w14:paraId="56A3D6C4">
      <w:pPr>
        <w:adjustRightInd w:val="0"/>
        <w:snapToGrid w:val="0"/>
        <w:spacing w:line="600" w:lineRule="exact"/>
        <w:ind w:firstLine="359" w:firstLineChars="171"/>
        <w:rPr>
          <w:rFonts w:ascii="宋体" w:hAnsi="宋体" w:cs="宋体"/>
          <w:bCs/>
          <w:snapToGrid w:val="0"/>
          <w:color w:val="000000"/>
          <w:kern w:val="0"/>
          <w:szCs w:val="21"/>
          <w:highlight w:val="none"/>
        </w:rPr>
      </w:pPr>
      <w:r>
        <w:rPr>
          <w:rFonts w:hint="eastAsia" w:ascii="宋体" w:hAnsi="宋体" w:cs="宋体"/>
          <w:bCs/>
          <w:snapToGrid w:val="0"/>
          <w:color w:val="000000"/>
          <w:kern w:val="0"/>
          <w:szCs w:val="21"/>
          <w:highlight w:val="none"/>
        </w:rPr>
        <w:t>（4）法律、法规规定的其他情形。</w:t>
      </w:r>
    </w:p>
    <w:p w14:paraId="12CA9002">
      <w:pPr>
        <w:pStyle w:val="4"/>
        <w:adjustRightInd w:val="0"/>
        <w:snapToGrid w:val="0"/>
        <w:spacing w:before="0" w:after="0" w:line="560" w:lineRule="exact"/>
        <w:ind w:firstLine="422" w:firstLineChars="200"/>
        <w:rPr>
          <w:color w:val="000000"/>
          <w:highlight w:val="none"/>
        </w:rPr>
      </w:pPr>
      <w:bookmarkStart w:id="571" w:name="_Toc60061480"/>
      <w:bookmarkStart w:id="572" w:name="_Toc83301734"/>
      <w:bookmarkStart w:id="573" w:name="_Toc144974541"/>
      <w:bookmarkStart w:id="574" w:name="_Toc152045573"/>
      <w:bookmarkStart w:id="575" w:name="_Toc179632591"/>
      <w:bookmarkStart w:id="576" w:name="_Toc152042349"/>
      <w:bookmarkStart w:id="577" w:name="_Toc95223383"/>
      <w:r>
        <w:rPr>
          <w:rFonts w:hint="eastAsia" w:ascii="黑体" w:hAnsi="黑体" w:eastAsia="黑体" w:cs="黑体"/>
          <w:color w:val="000000"/>
          <w:sz w:val="21"/>
          <w:szCs w:val="21"/>
          <w:highlight w:val="none"/>
        </w:rPr>
        <w:t>8.2 不再招标</w:t>
      </w:r>
      <w:bookmarkEnd w:id="571"/>
      <w:bookmarkEnd w:id="572"/>
      <w:bookmarkEnd w:id="573"/>
      <w:bookmarkEnd w:id="574"/>
      <w:bookmarkEnd w:id="575"/>
      <w:bookmarkEnd w:id="576"/>
      <w:bookmarkEnd w:id="577"/>
    </w:p>
    <w:p w14:paraId="2E6CFB8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重新招标后投标人仍少于3个或者所有投标被否决的，属于必须审批或核准的工程建设项目，经原审批或核准部门批准后不再进行招标。</w:t>
      </w:r>
    </w:p>
    <w:p w14:paraId="1944EFC7">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578" w:name="_Toc95223384"/>
      <w:bookmarkStart w:id="579" w:name="_Toc60061481"/>
      <w:bookmarkStart w:id="580" w:name="_Toc15058894"/>
      <w:bookmarkStart w:id="581" w:name="_Toc506107309"/>
      <w:bookmarkStart w:id="582" w:name="_Toc83301735"/>
      <w:r>
        <w:rPr>
          <w:rFonts w:hint="eastAsia" w:ascii="黑体" w:hAnsi="黑体" w:cs="黑体"/>
          <w:color w:val="000000"/>
          <w:sz w:val="21"/>
          <w:szCs w:val="21"/>
          <w:highlight w:val="none"/>
        </w:rPr>
        <w:t>9. 纪律和监督</w:t>
      </w:r>
      <w:bookmarkEnd w:id="556"/>
      <w:bookmarkEnd w:id="578"/>
      <w:bookmarkEnd w:id="579"/>
      <w:bookmarkEnd w:id="580"/>
      <w:bookmarkEnd w:id="581"/>
      <w:bookmarkEnd w:id="582"/>
    </w:p>
    <w:p w14:paraId="1A2DE689">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583" w:name="_Toc296590983"/>
      <w:bookmarkStart w:id="584" w:name="_Toc152042351"/>
      <w:bookmarkStart w:id="585" w:name="_Toc246996962"/>
      <w:bookmarkStart w:id="586" w:name="_Toc144974543"/>
      <w:bookmarkStart w:id="587" w:name="_Toc60061482"/>
      <w:bookmarkStart w:id="588" w:name="_Toc247085733"/>
      <w:bookmarkStart w:id="589" w:name="_Toc324404857"/>
      <w:bookmarkStart w:id="590" w:name="_Toc246996219"/>
      <w:bookmarkStart w:id="591" w:name="_Toc152045575"/>
      <w:bookmarkStart w:id="592" w:name="_Toc179632593"/>
      <w:bookmarkStart w:id="593" w:name="_Toc15058895"/>
      <w:bookmarkStart w:id="594" w:name="_Toc95223385"/>
      <w:bookmarkStart w:id="595" w:name="_Toc83301736"/>
      <w:bookmarkStart w:id="596" w:name="_Toc296602462"/>
      <w:bookmarkStart w:id="597" w:name="_Toc506107310"/>
      <w:r>
        <w:rPr>
          <w:rFonts w:hint="eastAsia" w:ascii="黑体" w:hAnsi="黑体" w:eastAsia="黑体" w:cs="黑体"/>
          <w:color w:val="000000"/>
          <w:sz w:val="21"/>
          <w:szCs w:val="21"/>
          <w:highlight w:val="none"/>
        </w:rPr>
        <w:t>9.1 对招标人的纪律要求</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41466BB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招标人不得泄漏招标投标活动中应当保密的情况和资料，不得与投标人串通损害国家利益、社会公共利益或者他人合法权益。</w:t>
      </w:r>
    </w:p>
    <w:p w14:paraId="62F40130">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598" w:name="_Toc60061483"/>
      <w:bookmarkStart w:id="599" w:name="_Toc152045576"/>
      <w:bookmarkStart w:id="600" w:name="_Toc247085734"/>
      <w:bookmarkStart w:id="601" w:name="_Toc83301737"/>
      <w:bookmarkStart w:id="602" w:name="_Toc324404858"/>
      <w:bookmarkStart w:id="603" w:name="_Toc95223386"/>
      <w:bookmarkStart w:id="604" w:name="_Toc296602463"/>
      <w:bookmarkStart w:id="605" w:name="_Toc506107311"/>
      <w:bookmarkStart w:id="606" w:name="_Toc179632594"/>
      <w:bookmarkStart w:id="607" w:name="_Toc15058896"/>
      <w:bookmarkStart w:id="608" w:name="_Toc144974544"/>
      <w:bookmarkStart w:id="609" w:name="_Toc152042352"/>
      <w:bookmarkStart w:id="610" w:name="_Toc246996963"/>
      <w:bookmarkStart w:id="611" w:name="_Toc246996220"/>
      <w:r>
        <w:rPr>
          <w:rFonts w:hint="eastAsia" w:ascii="黑体" w:hAnsi="黑体" w:eastAsia="黑体" w:cs="黑体"/>
          <w:color w:val="000000"/>
          <w:sz w:val="21"/>
          <w:szCs w:val="21"/>
          <w:highlight w:val="none"/>
        </w:rPr>
        <w:t>9.2 对投标人的纪律要求</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1D99FB1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79EBABB7">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612" w:name="_Toc247085735"/>
      <w:bookmarkStart w:id="613" w:name="_Toc506107312"/>
      <w:bookmarkStart w:id="614" w:name="_Toc246996964"/>
      <w:bookmarkStart w:id="615" w:name="_Toc83301738"/>
      <w:bookmarkStart w:id="616" w:name="_Toc179632595"/>
      <w:bookmarkStart w:id="617" w:name="_Toc60061484"/>
      <w:bookmarkStart w:id="618" w:name="_Toc152042353"/>
      <w:bookmarkStart w:id="619" w:name="_Toc296602464"/>
      <w:bookmarkStart w:id="620" w:name="_Toc324404859"/>
      <w:bookmarkStart w:id="621" w:name="_Toc15058897"/>
      <w:bookmarkStart w:id="622" w:name="_Toc144974545"/>
      <w:bookmarkStart w:id="623" w:name="_Toc152045577"/>
      <w:bookmarkStart w:id="624" w:name="_Toc95223387"/>
      <w:bookmarkStart w:id="625" w:name="_Toc246996221"/>
      <w:r>
        <w:rPr>
          <w:rFonts w:hint="eastAsia" w:ascii="黑体" w:hAnsi="黑体" w:eastAsia="黑体" w:cs="黑体"/>
          <w:color w:val="000000"/>
          <w:sz w:val="21"/>
          <w:szCs w:val="21"/>
          <w:highlight w:val="none"/>
        </w:rPr>
        <w:t>9.3 对评标委员会成员的纪律要求</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4F5F04D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四章“评标办法”没有规定的评审因素和标准进行评标。</w:t>
      </w:r>
    </w:p>
    <w:p w14:paraId="30C30C7F">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626" w:name="_Toc83301739"/>
      <w:bookmarkStart w:id="627" w:name="_Toc152042354"/>
      <w:bookmarkStart w:id="628" w:name="_Toc246996222"/>
      <w:bookmarkStart w:id="629" w:name="_Toc60061485"/>
      <w:bookmarkStart w:id="630" w:name="_Toc95223388"/>
      <w:bookmarkStart w:id="631" w:name="_Toc152045578"/>
      <w:bookmarkStart w:id="632" w:name="_Toc506107313"/>
      <w:bookmarkStart w:id="633" w:name="_Toc296602465"/>
      <w:bookmarkStart w:id="634" w:name="_Toc324404860"/>
      <w:bookmarkStart w:id="635" w:name="_Toc247085736"/>
      <w:bookmarkStart w:id="636" w:name="_Toc179632596"/>
      <w:bookmarkStart w:id="637" w:name="_Toc15058898"/>
      <w:bookmarkStart w:id="638" w:name="_Toc246996965"/>
      <w:bookmarkStart w:id="639" w:name="_Toc144974546"/>
      <w:r>
        <w:rPr>
          <w:rFonts w:hint="eastAsia" w:ascii="黑体" w:hAnsi="黑体" w:eastAsia="黑体" w:cs="黑体"/>
          <w:color w:val="000000"/>
          <w:sz w:val="21"/>
          <w:szCs w:val="21"/>
          <w:highlight w:val="none"/>
        </w:rPr>
        <w:t>9.4 对与评标活动有关的工作人员的纪律要求</w:t>
      </w:r>
      <w:bookmarkEnd w:id="626"/>
      <w:bookmarkEnd w:id="627"/>
      <w:bookmarkEnd w:id="628"/>
      <w:bookmarkEnd w:id="629"/>
      <w:bookmarkEnd w:id="630"/>
      <w:bookmarkEnd w:id="631"/>
      <w:bookmarkEnd w:id="632"/>
      <w:bookmarkEnd w:id="633"/>
      <w:bookmarkEnd w:id="634"/>
      <w:bookmarkEnd w:id="635"/>
      <w:bookmarkEnd w:id="636"/>
      <w:bookmarkEnd w:id="637"/>
      <w:bookmarkEnd w:id="638"/>
    </w:p>
    <w:p w14:paraId="5C013D5F">
      <w:pPr>
        <w:adjustRightInd w:val="0"/>
        <w:snapToGrid w:val="0"/>
        <w:spacing w:line="560" w:lineRule="exact"/>
        <w:ind w:firstLine="420" w:firstLineChars="200"/>
        <w:rPr>
          <w:rFonts w:ascii="宋体" w:hAnsi="宋体" w:cs="宋体"/>
          <w:color w:val="000000"/>
          <w:szCs w:val="21"/>
          <w:highlight w:val="none"/>
        </w:rPr>
      </w:pPr>
      <w:bookmarkStart w:id="640" w:name="_Toc152042355"/>
      <w:r>
        <w:rPr>
          <w:rFonts w:hint="eastAsia" w:ascii="宋体" w:hAnsi="宋体" w:cs="宋体"/>
          <w:color w:val="000000"/>
          <w:szCs w:val="21"/>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640"/>
    </w:p>
    <w:p w14:paraId="36B55018">
      <w:pPr>
        <w:pStyle w:val="4"/>
        <w:adjustRightInd w:val="0"/>
        <w:snapToGrid w:val="0"/>
        <w:spacing w:before="0" w:after="0" w:line="560" w:lineRule="exact"/>
        <w:ind w:firstLine="422" w:firstLineChars="200"/>
        <w:rPr>
          <w:rFonts w:ascii="黑体" w:hAnsi="黑体" w:eastAsia="黑体" w:cs="黑体"/>
          <w:color w:val="000000"/>
          <w:sz w:val="21"/>
          <w:szCs w:val="21"/>
          <w:highlight w:val="none"/>
        </w:rPr>
      </w:pPr>
      <w:bookmarkStart w:id="641" w:name="_Toc179632597"/>
      <w:bookmarkStart w:id="642" w:name="_Toc152042356"/>
      <w:bookmarkStart w:id="643" w:name="_Toc324404861"/>
      <w:bookmarkStart w:id="644" w:name="_Toc246996223"/>
      <w:bookmarkStart w:id="645" w:name="_Toc15058899"/>
      <w:bookmarkStart w:id="646" w:name="_Toc246996966"/>
      <w:bookmarkStart w:id="647" w:name="_Toc60061486"/>
      <w:bookmarkStart w:id="648" w:name="_Toc247085737"/>
      <w:bookmarkStart w:id="649" w:name="_Toc83301740"/>
      <w:bookmarkStart w:id="650" w:name="_Toc506107314"/>
      <w:bookmarkStart w:id="651" w:name="_Toc296602466"/>
      <w:bookmarkStart w:id="652" w:name="_Toc152045579"/>
      <w:bookmarkStart w:id="653" w:name="_Toc95223389"/>
      <w:r>
        <w:rPr>
          <w:rFonts w:hint="eastAsia" w:ascii="黑体" w:hAnsi="黑体" w:eastAsia="黑体" w:cs="黑体"/>
          <w:color w:val="000000"/>
          <w:sz w:val="21"/>
          <w:szCs w:val="21"/>
          <w:highlight w:val="none"/>
        </w:rPr>
        <w:t>9.5 投诉</w:t>
      </w:r>
      <w:bookmarkEnd w:id="639"/>
      <w:bookmarkEnd w:id="641"/>
      <w:bookmarkEnd w:id="642"/>
      <w:bookmarkEnd w:id="643"/>
      <w:bookmarkEnd w:id="644"/>
      <w:bookmarkEnd w:id="645"/>
      <w:bookmarkEnd w:id="646"/>
      <w:bookmarkEnd w:id="647"/>
      <w:bookmarkEnd w:id="648"/>
      <w:bookmarkEnd w:id="649"/>
      <w:bookmarkEnd w:id="650"/>
      <w:bookmarkEnd w:id="651"/>
      <w:bookmarkEnd w:id="652"/>
      <w:bookmarkEnd w:id="653"/>
    </w:p>
    <w:p w14:paraId="4CCE3366">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9.5.1投标人或者其他利害关系人认为招标投标活动违反法律、法规和规章规定的，有权向相关行政监督部门投诉。投诉应当有明确的请求和必要的证明材料。</w:t>
      </w:r>
    </w:p>
    <w:p w14:paraId="6E4A266B">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9.5.2投标人和其他利害关系人对招标文件、开标和评标结果事项投诉的，应当按照投标人须知的规定先向招标人提出异议。异议答复期间不计算在第9.5.1</w:t>
      </w:r>
      <w:r>
        <w:rPr>
          <w:rFonts w:hint="eastAsia"/>
          <w:color w:val="000000"/>
          <w:highlight w:val="none"/>
        </w:rPr>
        <w:t>项</w:t>
      </w:r>
      <w:r>
        <w:rPr>
          <w:rFonts w:hint="eastAsia" w:ascii="宋体" w:hAnsi="宋体" w:cs="宋体"/>
          <w:color w:val="000000"/>
          <w:szCs w:val="21"/>
          <w:highlight w:val="none"/>
        </w:rPr>
        <w:t>规定的期限内。</w:t>
      </w:r>
    </w:p>
    <w:p w14:paraId="6419B5FB">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54" w:name="_Toc95223390"/>
      <w:bookmarkStart w:id="655" w:name="_Toc83301741"/>
      <w:bookmarkStart w:id="656" w:name="_Toc144974547"/>
      <w:bookmarkStart w:id="657" w:name="_Toc152045580"/>
      <w:bookmarkStart w:id="658" w:name="_Toc246996967"/>
      <w:bookmarkStart w:id="659" w:name="_Toc152042357"/>
      <w:bookmarkStart w:id="660" w:name="_Toc324404862"/>
      <w:bookmarkStart w:id="661" w:name="_Toc60061487"/>
      <w:bookmarkStart w:id="662" w:name="_Toc179632598"/>
      <w:bookmarkStart w:id="663" w:name="_Toc506107315"/>
      <w:bookmarkStart w:id="664" w:name="_Toc247085738"/>
      <w:bookmarkStart w:id="665" w:name="_Toc246996224"/>
      <w:bookmarkStart w:id="666" w:name="_Toc15058900"/>
      <w:r>
        <w:rPr>
          <w:rFonts w:hint="eastAsia" w:ascii="黑体" w:hAnsi="黑体" w:cs="黑体"/>
          <w:color w:val="000000"/>
          <w:sz w:val="21"/>
          <w:szCs w:val="21"/>
          <w:highlight w:val="none"/>
        </w:rPr>
        <w:t>10.需要补充的其他内容</w:t>
      </w:r>
      <w:bookmarkEnd w:id="654"/>
      <w:bookmarkEnd w:id="655"/>
      <w:bookmarkEnd w:id="656"/>
      <w:bookmarkEnd w:id="657"/>
      <w:bookmarkEnd w:id="658"/>
      <w:bookmarkEnd w:id="659"/>
      <w:bookmarkEnd w:id="660"/>
      <w:bookmarkEnd w:id="661"/>
      <w:bookmarkEnd w:id="662"/>
      <w:bookmarkEnd w:id="663"/>
      <w:bookmarkEnd w:id="664"/>
      <w:bookmarkEnd w:id="665"/>
      <w:bookmarkEnd w:id="666"/>
      <w:bookmarkStart w:id="667" w:name="_Toc15058901"/>
      <w:bookmarkStart w:id="668" w:name="_Toc60061488"/>
    </w:p>
    <w:p w14:paraId="3F60346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需要补充的其他内容：见投标人须知前附表。</w:t>
      </w:r>
      <w:bookmarkEnd w:id="667"/>
      <w:bookmarkEnd w:id="668"/>
    </w:p>
    <w:p w14:paraId="55CC1F6A">
      <w:pPr>
        <w:adjustRightInd w:val="0"/>
        <w:snapToGrid w:val="0"/>
        <w:spacing w:line="560" w:lineRule="exact"/>
        <w:rPr>
          <w:rFonts w:ascii="宋体" w:hAnsi="宋体" w:cs="宋体"/>
          <w:color w:val="000000"/>
          <w:szCs w:val="21"/>
          <w:highlight w:val="none"/>
        </w:rPr>
      </w:pPr>
    </w:p>
    <w:p w14:paraId="02485D9D">
      <w:pPr>
        <w:adjustRightInd w:val="0"/>
        <w:snapToGrid w:val="0"/>
        <w:spacing w:line="560" w:lineRule="exact"/>
        <w:rPr>
          <w:rFonts w:ascii="宋体" w:hAnsi="宋体" w:cs="宋体"/>
          <w:color w:val="000000"/>
          <w:szCs w:val="21"/>
          <w:highlight w:val="none"/>
        </w:rPr>
      </w:pPr>
    </w:p>
    <w:p w14:paraId="778F8413">
      <w:pPr>
        <w:adjustRightInd w:val="0"/>
        <w:snapToGrid w:val="0"/>
        <w:spacing w:line="560" w:lineRule="exact"/>
        <w:rPr>
          <w:rFonts w:ascii="宋体" w:hAnsi="宋体" w:cs="宋体"/>
          <w:color w:val="000000"/>
          <w:szCs w:val="21"/>
          <w:highlight w:val="none"/>
        </w:rPr>
      </w:pPr>
    </w:p>
    <w:p w14:paraId="03595C52">
      <w:pPr>
        <w:adjustRightInd w:val="0"/>
        <w:snapToGrid w:val="0"/>
        <w:spacing w:line="560" w:lineRule="exact"/>
        <w:rPr>
          <w:rFonts w:ascii="宋体" w:hAnsi="宋体" w:cs="宋体"/>
          <w:color w:val="000000"/>
          <w:szCs w:val="21"/>
          <w:highlight w:val="none"/>
        </w:rPr>
      </w:pPr>
    </w:p>
    <w:p w14:paraId="73074F11">
      <w:pPr>
        <w:adjustRightInd w:val="0"/>
        <w:snapToGrid w:val="0"/>
        <w:spacing w:line="560" w:lineRule="exact"/>
        <w:rPr>
          <w:rFonts w:ascii="宋体" w:hAnsi="宋体" w:cs="宋体"/>
          <w:color w:val="000000"/>
          <w:szCs w:val="21"/>
          <w:highlight w:val="none"/>
        </w:rPr>
      </w:pPr>
    </w:p>
    <w:p w14:paraId="74FD9487">
      <w:pPr>
        <w:adjustRightInd w:val="0"/>
        <w:snapToGrid w:val="0"/>
        <w:spacing w:line="560" w:lineRule="exact"/>
        <w:rPr>
          <w:rFonts w:ascii="宋体" w:hAnsi="宋体" w:cs="宋体"/>
          <w:color w:val="000000"/>
          <w:szCs w:val="21"/>
          <w:highlight w:val="none"/>
        </w:rPr>
      </w:pPr>
    </w:p>
    <w:p w14:paraId="6D149BC8">
      <w:pPr>
        <w:adjustRightInd w:val="0"/>
        <w:snapToGrid w:val="0"/>
        <w:spacing w:line="560" w:lineRule="exact"/>
        <w:rPr>
          <w:rFonts w:ascii="宋体" w:hAnsi="宋体" w:cs="宋体"/>
          <w:color w:val="000000"/>
          <w:szCs w:val="21"/>
          <w:highlight w:val="none"/>
        </w:rPr>
      </w:pPr>
    </w:p>
    <w:p w14:paraId="580075DF">
      <w:pPr>
        <w:adjustRightInd w:val="0"/>
        <w:snapToGrid w:val="0"/>
        <w:spacing w:line="560" w:lineRule="exact"/>
        <w:rPr>
          <w:rFonts w:ascii="宋体" w:hAnsi="宋体" w:cs="宋体"/>
          <w:color w:val="000000"/>
          <w:szCs w:val="21"/>
          <w:highlight w:val="none"/>
        </w:rPr>
      </w:pPr>
    </w:p>
    <w:p w14:paraId="4AAB43C5">
      <w:pPr>
        <w:adjustRightInd w:val="0"/>
        <w:snapToGrid w:val="0"/>
        <w:spacing w:line="560" w:lineRule="exact"/>
        <w:rPr>
          <w:rFonts w:ascii="宋体" w:hAnsi="宋体" w:cs="宋体"/>
          <w:color w:val="000000"/>
          <w:szCs w:val="21"/>
          <w:highlight w:val="none"/>
        </w:rPr>
      </w:pPr>
    </w:p>
    <w:p w14:paraId="6234A629">
      <w:pPr>
        <w:adjustRightInd w:val="0"/>
        <w:snapToGrid w:val="0"/>
        <w:spacing w:line="560" w:lineRule="exact"/>
        <w:rPr>
          <w:rFonts w:ascii="宋体" w:hAnsi="宋体" w:cs="宋体"/>
          <w:color w:val="000000"/>
          <w:szCs w:val="21"/>
          <w:highlight w:val="none"/>
        </w:rPr>
      </w:pPr>
    </w:p>
    <w:p w14:paraId="6D8F1913">
      <w:pPr>
        <w:adjustRightInd w:val="0"/>
        <w:snapToGrid w:val="0"/>
        <w:spacing w:line="560" w:lineRule="exact"/>
        <w:rPr>
          <w:rFonts w:ascii="宋体" w:hAnsi="宋体" w:cs="宋体"/>
          <w:color w:val="000000"/>
          <w:szCs w:val="21"/>
          <w:highlight w:val="none"/>
        </w:rPr>
      </w:pPr>
    </w:p>
    <w:p w14:paraId="2E549A07">
      <w:pPr>
        <w:adjustRightInd w:val="0"/>
        <w:snapToGrid w:val="0"/>
        <w:spacing w:line="560" w:lineRule="exact"/>
        <w:rPr>
          <w:rFonts w:ascii="宋体" w:hAnsi="宋体" w:cs="宋体"/>
          <w:color w:val="000000"/>
          <w:szCs w:val="21"/>
          <w:highlight w:val="none"/>
        </w:rPr>
      </w:pPr>
    </w:p>
    <w:p w14:paraId="29E5CA8A">
      <w:pPr>
        <w:adjustRightInd w:val="0"/>
        <w:snapToGrid w:val="0"/>
        <w:spacing w:line="560" w:lineRule="exact"/>
        <w:rPr>
          <w:rFonts w:ascii="宋体" w:hAnsi="宋体" w:cs="宋体"/>
          <w:color w:val="000000"/>
          <w:szCs w:val="21"/>
          <w:highlight w:val="none"/>
        </w:rPr>
      </w:pPr>
    </w:p>
    <w:p w14:paraId="62C47A67">
      <w:pPr>
        <w:pStyle w:val="2"/>
        <w:spacing w:before="0" w:after="0" w:line="240" w:lineRule="auto"/>
        <w:rPr>
          <w:color w:val="000000"/>
          <w:highlight w:val="none"/>
        </w:rPr>
        <w:sectPr>
          <w:pgSz w:w="11906" w:h="16838"/>
          <w:pgMar w:top="1440" w:right="1800" w:bottom="1440" w:left="1800" w:header="720" w:footer="998" w:gutter="0"/>
          <w:pgBorders>
            <w:top w:val="none" w:sz="0" w:space="0"/>
            <w:left w:val="none" w:sz="0" w:space="0"/>
            <w:bottom w:val="none" w:sz="0" w:space="0"/>
            <w:right w:val="none" w:sz="0" w:space="0"/>
          </w:pgBorders>
          <w:cols w:space="720" w:num="1"/>
          <w:docGrid w:linePitch="326" w:charSpace="0"/>
        </w:sectPr>
      </w:pPr>
      <w:bookmarkStart w:id="669" w:name="_Toc15058903"/>
      <w:bookmarkStart w:id="670" w:name="_Toc506107318"/>
      <w:bookmarkStart w:id="671" w:name="_Toc95223393"/>
      <w:bookmarkStart w:id="672" w:name="_Toc60061490"/>
      <w:bookmarkStart w:id="673" w:name="_Toc324404865"/>
      <w:bookmarkStart w:id="674" w:name="_Toc296602475"/>
    </w:p>
    <w:p w14:paraId="326F4EC5">
      <w:pPr>
        <w:pStyle w:val="2"/>
        <w:spacing w:before="0" w:after="0" w:line="240" w:lineRule="auto"/>
        <w:rPr>
          <w:color w:val="000000"/>
          <w:highlight w:val="none"/>
        </w:rPr>
      </w:pPr>
      <w:r>
        <w:rPr>
          <w:rFonts w:hint="eastAsia"/>
          <w:color w:val="000000"/>
          <w:highlight w:val="none"/>
        </w:rPr>
        <w:t>第三章 资格审查办法（综合评估法）</w:t>
      </w:r>
    </w:p>
    <w:p w14:paraId="69CE6E8C">
      <w:pPr>
        <w:pStyle w:val="3"/>
        <w:tabs>
          <w:tab w:val="left" w:pos="2796"/>
          <w:tab w:val="center" w:pos="4479"/>
        </w:tabs>
        <w:adjustRightInd w:val="0"/>
        <w:snapToGrid w:val="0"/>
        <w:spacing w:before="0" w:after="0" w:line="560" w:lineRule="exact"/>
        <w:jc w:val="center"/>
        <w:rPr>
          <w:sz w:val="28"/>
          <w:szCs w:val="28"/>
          <w:highlight w:val="none"/>
        </w:rPr>
      </w:pPr>
      <w:r>
        <w:rPr>
          <w:rFonts w:hint="eastAsia"/>
          <w:color w:val="000000"/>
          <w:sz w:val="28"/>
          <w:szCs w:val="28"/>
          <w:highlight w:val="none"/>
        </w:rPr>
        <w:t>资格审查办法前附表</w:t>
      </w:r>
    </w:p>
    <w:tbl>
      <w:tblPr>
        <w:tblStyle w:val="18"/>
        <w:tblW w:w="100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58"/>
        <w:gridCol w:w="6044"/>
        <w:gridCol w:w="1999"/>
      </w:tblGrid>
      <w:tr w14:paraId="7291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2023" w:type="dxa"/>
            <w:gridSpan w:val="2"/>
            <w:noWrap w:val="0"/>
            <w:vAlign w:val="center"/>
          </w:tcPr>
          <w:p w14:paraId="110B0C51">
            <w:pPr>
              <w:adjustRightInd w:val="0"/>
              <w:snapToGrid w:val="0"/>
              <w:spacing w:line="560" w:lineRule="exact"/>
              <w:jc w:val="center"/>
              <w:rPr>
                <w:rFonts w:ascii="黑体" w:hAnsi="黑体" w:eastAsia="黑体" w:cs="宋体"/>
                <w:b/>
                <w:bCs/>
                <w:color w:val="000000"/>
                <w:szCs w:val="21"/>
                <w:highlight w:val="none"/>
              </w:rPr>
            </w:pPr>
            <w:r>
              <w:rPr>
                <w:rFonts w:hint="eastAsia" w:ascii="黑体" w:hAnsi="黑体" w:eastAsia="黑体" w:cs="宋体"/>
                <w:b/>
                <w:bCs/>
                <w:color w:val="000000"/>
                <w:szCs w:val="21"/>
                <w:highlight w:val="none"/>
              </w:rPr>
              <w:t>条款号</w:t>
            </w:r>
          </w:p>
        </w:tc>
        <w:tc>
          <w:tcPr>
            <w:tcW w:w="6044" w:type="dxa"/>
            <w:noWrap w:val="0"/>
            <w:vAlign w:val="center"/>
          </w:tcPr>
          <w:p w14:paraId="6E7E603B">
            <w:pPr>
              <w:adjustRightInd w:val="0"/>
              <w:snapToGrid w:val="0"/>
              <w:spacing w:line="560" w:lineRule="exact"/>
              <w:jc w:val="center"/>
              <w:rPr>
                <w:rFonts w:ascii="黑体" w:hAnsi="黑体" w:eastAsia="黑体" w:cs="宋体"/>
                <w:b/>
                <w:bCs/>
                <w:color w:val="000000"/>
                <w:szCs w:val="21"/>
                <w:highlight w:val="none"/>
              </w:rPr>
            </w:pPr>
            <w:r>
              <w:rPr>
                <w:rFonts w:hint="eastAsia" w:ascii="黑体" w:hAnsi="黑体" w:eastAsia="黑体" w:cs="宋体"/>
                <w:b/>
                <w:bCs/>
                <w:color w:val="000000"/>
                <w:szCs w:val="21"/>
                <w:highlight w:val="none"/>
              </w:rPr>
              <w:t>审查内容</w:t>
            </w:r>
          </w:p>
        </w:tc>
        <w:tc>
          <w:tcPr>
            <w:tcW w:w="1999" w:type="dxa"/>
            <w:noWrap w:val="0"/>
            <w:vAlign w:val="center"/>
          </w:tcPr>
          <w:p w14:paraId="36D95155">
            <w:pPr>
              <w:adjustRightInd w:val="0"/>
              <w:snapToGrid w:val="0"/>
              <w:spacing w:line="560" w:lineRule="exact"/>
              <w:jc w:val="center"/>
              <w:rPr>
                <w:rFonts w:ascii="黑体" w:hAnsi="黑体" w:eastAsia="黑体" w:cs="宋体"/>
                <w:b/>
                <w:bCs/>
                <w:color w:val="000000"/>
                <w:szCs w:val="21"/>
                <w:highlight w:val="none"/>
              </w:rPr>
            </w:pPr>
            <w:r>
              <w:rPr>
                <w:rFonts w:hint="eastAsia" w:ascii="黑体" w:hAnsi="黑体" w:eastAsia="黑体" w:cs="宋体"/>
                <w:b/>
                <w:bCs/>
                <w:color w:val="000000"/>
                <w:szCs w:val="21"/>
                <w:highlight w:val="none"/>
              </w:rPr>
              <w:t>评审标准</w:t>
            </w:r>
          </w:p>
        </w:tc>
      </w:tr>
      <w:tr w14:paraId="583CC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65" w:type="dxa"/>
            <w:vMerge w:val="restart"/>
            <w:noWrap w:val="0"/>
            <w:vAlign w:val="center"/>
          </w:tcPr>
          <w:p w14:paraId="0144BA28">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1</w:t>
            </w:r>
          </w:p>
        </w:tc>
        <w:tc>
          <w:tcPr>
            <w:tcW w:w="1258" w:type="dxa"/>
            <w:vMerge w:val="restart"/>
            <w:noWrap w:val="0"/>
            <w:vAlign w:val="center"/>
          </w:tcPr>
          <w:p w14:paraId="273730AE">
            <w:pPr>
              <w:adjustRightInd w:val="0"/>
              <w:snapToGrid w:val="0"/>
              <w:spacing w:line="560" w:lineRule="exact"/>
              <w:jc w:val="center"/>
              <w:rPr>
                <w:rFonts w:ascii="宋体" w:hAnsi="宋体" w:cs="宋体"/>
                <w:b/>
                <w:bCs/>
                <w:color w:val="000000"/>
                <w:szCs w:val="21"/>
                <w:highlight w:val="none"/>
              </w:rPr>
            </w:pPr>
            <w:r>
              <w:rPr>
                <w:rFonts w:hint="eastAsia" w:ascii="宋体" w:hAnsi="宋体" w:cs="宋体"/>
                <w:b/>
                <w:bCs/>
                <w:color w:val="000000"/>
                <w:szCs w:val="21"/>
                <w:highlight w:val="none"/>
              </w:rPr>
              <w:t>审查资料</w:t>
            </w:r>
          </w:p>
        </w:tc>
        <w:tc>
          <w:tcPr>
            <w:tcW w:w="6044" w:type="dxa"/>
            <w:noWrap w:val="0"/>
            <w:vAlign w:val="top"/>
          </w:tcPr>
          <w:p w14:paraId="37A96990">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法定代表人身份证明和本人有效身份证(或法定代表人授权委托书和委托代理人有效身份证)</w:t>
            </w:r>
          </w:p>
        </w:tc>
        <w:tc>
          <w:tcPr>
            <w:tcW w:w="1999" w:type="dxa"/>
            <w:vMerge w:val="restart"/>
            <w:noWrap w:val="0"/>
            <w:vAlign w:val="center"/>
          </w:tcPr>
          <w:p w14:paraId="57539C03">
            <w:pPr>
              <w:adjustRightInd w:val="0"/>
              <w:snapToGrid w:val="0"/>
              <w:spacing w:line="560" w:lineRule="exact"/>
              <w:jc w:val="center"/>
              <w:rPr>
                <w:rFonts w:ascii="宋体" w:hAnsi="宋体" w:cs="宋体"/>
                <w:b/>
                <w:color w:val="000000"/>
                <w:szCs w:val="21"/>
                <w:highlight w:val="none"/>
              </w:rPr>
            </w:pPr>
            <w:r>
              <w:rPr>
                <w:rFonts w:hint="eastAsia" w:ascii="宋体" w:hAnsi="宋体" w:cs="宋体"/>
                <w:b/>
                <w:color w:val="000000"/>
                <w:szCs w:val="21"/>
                <w:highlight w:val="none"/>
              </w:rPr>
              <w:t>检验电子标书</w:t>
            </w:r>
          </w:p>
        </w:tc>
      </w:tr>
      <w:tr w14:paraId="037E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5" w:type="dxa"/>
            <w:vMerge w:val="continue"/>
            <w:noWrap w:val="0"/>
            <w:vAlign w:val="center"/>
          </w:tcPr>
          <w:p w14:paraId="2429CE3D">
            <w:pPr>
              <w:adjustRightInd w:val="0"/>
              <w:snapToGrid w:val="0"/>
              <w:spacing w:line="560" w:lineRule="exact"/>
              <w:jc w:val="center"/>
              <w:rPr>
                <w:rFonts w:ascii="宋体" w:hAnsi="宋体" w:cs="宋体"/>
                <w:color w:val="000000"/>
                <w:szCs w:val="21"/>
                <w:highlight w:val="none"/>
              </w:rPr>
            </w:pPr>
          </w:p>
        </w:tc>
        <w:tc>
          <w:tcPr>
            <w:tcW w:w="1258" w:type="dxa"/>
            <w:vMerge w:val="continue"/>
            <w:noWrap w:val="0"/>
            <w:vAlign w:val="center"/>
          </w:tcPr>
          <w:p w14:paraId="2244DD76">
            <w:pPr>
              <w:adjustRightInd w:val="0"/>
              <w:snapToGrid w:val="0"/>
              <w:spacing w:line="560" w:lineRule="exact"/>
              <w:jc w:val="center"/>
              <w:rPr>
                <w:rFonts w:ascii="宋体" w:hAnsi="宋体" w:cs="宋体"/>
                <w:b/>
                <w:bCs/>
                <w:color w:val="000000"/>
                <w:szCs w:val="21"/>
                <w:highlight w:val="none"/>
              </w:rPr>
            </w:pPr>
          </w:p>
        </w:tc>
        <w:tc>
          <w:tcPr>
            <w:tcW w:w="6044" w:type="dxa"/>
            <w:noWrap w:val="0"/>
            <w:vAlign w:val="top"/>
          </w:tcPr>
          <w:p w14:paraId="4F494A8B">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诚信投标承诺书（或《</w:t>
            </w:r>
            <w:r>
              <w:rPr>
                <w:rFonts w:hint="eastAsia" w:ascii="宋体" w:hAnsi="宋体" w:cs="宋体"/>
                <w:color w:val="000000"/>
                <w:kern w:val="0"/>
                <w:szCs w:val="21"/>
                <w:highlight w:val="none"/>
              </w:rPr>
              <w:t>公共信用信息报告（无违法违规证明版或核查版）</w:t>
            </w:r>
            <w:r>
              <w:rPr>
                <w:rFonts w:hint="eastAsia" w:ascii="宋体" w:hAnsi="宋体" w:cs="宋体"/>
                <w:color w:val="000000"/>
                <w:szCs w:val="21"/>
                <w:highlight w:val="none"/>
              </w:rPr>
              <w:t>》）</w:t>
            </w:r>
            <w:r>
              <w:rPr>
                <w:rFonts w:hint="eastAsia" w:ascii="宋体" w:hAnsi="宋体" w:cs="宋体"/>
                <w:szCs w:val="21"/>
                <w:highlight w:val="none"/>
              </w:rPr>
              <w:t>（联合体投标的，各方均提供）</w:t>
            </w:r>
          </w:p>
        </w:tc>
        <w:tc>
          <w:tcPr>
            <w:tcW w:w="1999" w:type="dxa"/>
            <w:vMerge w:val="continue"/>
            <w:noWrap w:val="0"/>
            <w:vAlign w:val="center"/>
          </w:tcPr>
          <w:p w14:paraId="73E1AB2E">
            <w:pPr>
              <w:adjustRightInd w:val="0"/>
              <w:snapToGrid w:val="0"/>
              <w:spacing w:line="560" w:lineRule="exact"/>
              <w:jc w:val="center"/>
              <w:rPr>
                <w:rFonts w:ascii="宋体" w:hAnsi="宋体" w:cs="宋体"/>
                <w:b/>
                <w:color w:val="000000"/>
                <w:szCs w:val="21"/>
                <w:highlight w:val="none"/>
              </w:rPr>
            </w:pPr>
          </w:p>
        </w:tc>
      </w:tr>
      <w:tr w14:paraId="17803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5" w:type="dxa"/>
            <w:vMerge w:val="continue"/>
            <w:noWrap w:val="0"/>
            <w:vAlign w:val="center"/>
          </w:tcPr>
          <w:p w14:paraId="646C0F10">
            <w:pPr>
              <w:adjustRightInd w:val="0"/>
              <w:snapToGrid w:val="0"/>
              <w:spacing w:line="560" w:lineRule="exact"/>
              <w:jc w:val="center"/>
              <w:rPr>
                <w:rFonts w:ascii="宋体" w:hAnsi="宋体" w:cs="宋体"/>
                <w:color w:val="000000"/>
                <w:szCs w:val="21"/>
                <w:highlight w:val="none"/>
              </w:rPr>
            </w:pPr>
          </w:p>
        </w:tc>
        <w:tc>
          <w:tcPr>
            <w:tcW w:w="1258" w:type="dxa"/>
            <w:vMerge w:val="continue"/>
            <w:noWrap w:val="0"/>
            <w:vAlign w:val="center"/>
          </w:tcPr>
          <w:p w14:paraId="6679CCE8">
            <w:pPr>
              <w:adjustRightInd w:val="0"/>
              <w:snapToGrid w:val="0"/>
              <w:spacing w:line="560" w:lineRule="exact"/>
              <w:jc w:val="center"/>
              <w:rPr>
                <w:rFonts w:ascii="宋体" w:hAnsi="宋体" w:cs="宋体"/>
                <w:b/>
                <w:bCs/>
                <w:color w:val="000000"/>
                <w:szCs w:val="21"/>
                <w:highlight w:val="none"/>
              </w:rPr>
            </w:pPr>
          </w:p>
        </w:tc>
        <w:tc>
          <w:tcPr>
            <w:tcW w:w="6044" w:type="dxa"/>
            <w:noWrap w:val="0"/>
            <w:vAlign w:val="top"/>
          </w:tcPr>
          <w:p w14:paraId="0106E779">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企业法人营业执照</w:t>
            </w:r>
            <w:r>
              <w:rPr>
                <w:rFonts w:hint="eastAsia" w:ascii="宋体" w:hAnsi="宋体" w:cs="宋体"/>
                <w:szCs w:val="21"/>
                <w:highlight w:val="none"/>
              </w:rPr>
              <w:t>（联合体投标的，各方均提供）</w:t>
            </w:r>
          </w:p>
        </w:tc>
        <w:tc>
          <w:tcPr>
            <w:tcW w:w="1999" w:type="dxa"/>
            <w:vMerge w:val="continue"/>
            <w:noWrap w:val="0"/>
            <w:vAlign w:val="center"/>
          </w:tcPr>
          <w:p w14:paraId="657E8AF2">
            <w:pPr>
              <w:adjustRightInd w:val="0"/>
              <w:snapToGrid w:val="0"/>
              <w:spacing w:line="560" w:lineRule="exact"/>
              <w:jc w:val="center"/>
              <w:rPr>
                <w:rFonts w:ascii="宋体" w:hAnsi="宋体" w:cs="宋体"/>
                <w:b/>
                <w:color w:val="000000"/>
                <w:szCs w:val="21"/>
                <w:highlight w:val="none"/>
              </w:rPr>
            </w:pPr>
          </w:p>
        </w:tc>
      </w:tr>
      <w:tr w14:paraId="0FCA5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65" w:type="dxa"/>
            <w:vMerge w:val="continue"/>
            <w:noWrap w:val="0"/>
            <w:vAlign w:val="center"/>
          </w:tcPr>
          <w:p w14:paraId="2992322A">
            <w:pPr>
              <w:adjustRightInd w:val="0"/>
              <w:snapToGrid w:val="0"/>
              <w:spacing w:line="560" w:lineRule="exact"/>
              <w:jc w:val="center"/>
              <w:rPr>
                <w:rFonts w:ascii="宋体" w:hAnsi="宋体" w:cs="宋体"/>
                <w:color w:val="000000"/>
                <w:szCs w:val="21"/>
                <w:highlight w:val="none"/>
              </w:rPr>
            </w:pPr>
          </w:p>
        </w:tc>
        <w:tc>
          <w:tcPr>
            <w:tcW w:w="1258" w:type="dxa"/>
            <w:vMerge w:val="continue"/>
            <w:noWrap w:val="0"/>
            <w:vAlign w:val="center"/>
          </w:tcPr>
          <w:p w14:paraId="300F7BD4">
            <w:pPr>
              <w:adjustRightInd w:val="0"/>
              <w:snapToGrid w:val="0"/>
              <w:spacing w:line="560" w:lineRule="exact"/>
              <w:jc w:val="center"/>
              <w:rPr>
                <w:rFonts w:ascii="宋体" w:hAnsi="宋体" w:cs="宋体"/>
                <w:b/>
                <w:bCs/>
                <w:color w:val="000000"/>
                <w:szCs w:val="21"/>
                <w:highlight w:val="none"/>
              </w:rPr>
            </w:pPr>
          </w:p>
        </w:tc>
        <w:tc>
          <w:tcPr>
            <w:tcW w:w="6044" w:type="dxa"/>
            <w:noWrap w:val="0"/>
            <w:vAlign w:val="top"/>
          </w:tcPr>
          <w:p w14:paraId="51663539">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企业资质证书</w:t>
            </w:r>
            <w:r>
              <w:rPr>
                <w:rFonts w:hint="eastAsia" w:ascii="宋体" w:hAnsi="宋体" w:cs="宋体"/>
                <w:szCs w:val="21"/>
                <w:highlight w:val="none"/>
              </w:rPr>
              <w:t>（联合体投标的，各方均提供）</w:t>
            </w:r>
          </w:p>
        </w:tc>
        <w:tc>
          <w:tcPr>
            <w:tcW w:w="1999" w:type="dxa"/>
            <w:vMerge w:val="continue"/>
            <w:noWrap w:val="0"/>
            <w:vAlign w:val="center"/>
          </w:tcPr>
          <w:p w14:paraId="1BD04914">
            <w:pPr>
              <w:adjustRightInd w:val="0"/>
              <w:snapToGrid w:val="0"/>
              <w:spacing w:line="560" w:lineRule="exact"/>
              <w:jc w:val="center"/>
              <w:rPr>
                <w:rFonts w:ascii="宋体" w:hAnsi="宋体" w:cs="宋体"/>
                <w:color w:val="000000"/>
                <w:szCs w:val="21"/>
                <w:highlight w:val="none"/>
              </w:rPr>
            </w:pPr>
          </w:p>
        </w:tc>
      </w:tr>
      <w:tr w14:paraId="1F0BD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65" w:type="dxa"/>
            <w:vMerge w:val="continue"/>
            <w:noWrap w:val="0"/>
            <w:vAlign w:val="center"/>
          </w:tcPr>
          <w:p w14:paraId="4C7A3A56">
            <w:pPr>
              <w:adjustRightInd w:val="0"/>
              <w:snapToGrid w:val="0"/>
              <w:spacing w:line="560" w:lineRule="exact"/>
              <w:jc w:val="center"/>
              <w:rPr>
                <w:rFonts w:ascii="宋体" w:hAnsi="宋体" w:cs="宋体"/>
                <w:color w:val="000000"/>
                <w:szCs w:val="21"/>
                <w:highlight w:val="none"/>
              </w:rPr>
            </w:pPr>
          </w:p>
        </w:tc>
        <w:tc>
          <w:tcPr>
            <w:tcW w:w="1258" w:type="dxa"/>
            <w:vMerge w:val="continue"/>
            <w:noWrap w:val="0"/>
            <w:vAlign w:val="center"/>
          </w:tcPr>
          <w:p w14:paraId="02A0F830">
            <w:pPr>
              <w:adjustRightInd w:val="0"/>
              <w:snapToGrid w:val="0"/>
              <w:spacing w:line="560" w:lineRule="exact"/>
              <w:jc w:val="center"/>
              <w:rPr>
                <w:rFonts w:ascii="宋体" w:hAnsi="宋体" w:cs="宋体"/>
                <w:b/>
                <w:bCs/>
                <w:color w:val="000000"/>
                <w:szCs w:val="21"/>
                <w:highlight w:val="none"/>
              </w:rPr>
            </w:pPr>
          </w:p>
        </w:tc>
        <w:tc>
          <w:tcPr>
            <w:tcW w:w="6044" w:type="dxa"/>
            <w:noWrap w:val="0"/>
            <w:vAlign w:val="top"/>
          </w:tcPr>
          <w:p w14:paraId="038D93D6">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企业安全生产许可证</w:t>
            </w:r>
            <w:r>
              <w:rPr>
                <w:rFonts w:hint="eastAsia" w:ascii="宋体" w:hAnsi="宋体" w:cs="宋体"/>
                <w:szCs w:val="21"/>
                <w:highlight w:val="none"/>
              </w:rPr>
              <w:t>（</w:t>
            </w:r>
            <w:r>
              <w:rPr>
                <w:rFonts w:hint="eastAsia" w:ascii="宋体" w:hAnsi="宋体" w:cs="宋体"/>
                <w:color w:val="000000"/>
                <w:szCs w:val="21"/>
                <w:highlight w:val="none"/>
                <w:lang w:val="en-US" w:eastAsia="zh-CN"/>
              </w:rPr>
              <w:t>联合体投标的，联合体中具有施工资质的单位提供</w:t>
            </w:r>
            <w:r>
              <w:rPr>
                <w:rFonts w:hint="eastAsia" w:ascii="宋体" w:hAnsi="宋体" w:cs="宋体"/>
                <w:szCs w:val="21"/>
                <w:highlight w:val="none"/>
              </w:rPr>
              <w:t>）</w:t>
            </w:r>
          </w:p>
        </w:tc>
        <w:tc>
          <w:tcPr>
            <w:tcW w:w="1999" w:type="dxa"/>
            <w:vMerge w:val="continue"/>
            <w:noWrap w:val="0"/>
            <w:vAlign w:val="center"/>
          </w:tcPr>
          <w:p w14:paraId="318E54BC">
            <w:pPr>
              <w:adjustRightInd w:val="0"/>
              <w:snapToGrid w:val="0"/>
              <w:spacing w:line="560" w:lineRule="exact"/>
              <w:jc w:val="center"/>
              <w:rPr>
                <w:rFonts w:ascii="宋体" w:hAnsi="宋体" w:cs="宋体"/>
                <w:color w:val="000000"/>
                <w:szCs w:val="21"/>
                <w:highlight w:val="none"/>
              </w:rPr>
            </w:pPr>
          </w:p>
        </w:tc>
      </w:tr>
      <w:tr w14:paraId="51145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65" w:type="dxa"/>
            <w:vMerge w:val="continue"/>
            <w:noWrap w:val="0"/>
            <w:vAlign w:val="center"/>
          </w:tcPr>
          <w:p w14:paraId="1D50C36C">
            <w:pPr>
              <w:adjustRightInd w:val="0"/>
              <w:snapToGrid w:val="0"/>
              <w:spacing w:line="560" w:lineRule="exact"/>
              <w:jc w:val="center"/>
              <w:rPr>
                <w:rFonts w:ascii="宋体" w:hAnsi="宋体" w:cs="宋体"/>
                <w:color w:val="000000"/>
                <w:szCs w:val="21"/>
                <w:highlight w:val="none"/>
              </w:rPr>
            </w:pPr>
          </w:p>
        </w:tc>
        <w:tc>
          <w:tcPr>
            <w:tcW w:w="1258" w:type="dxa"/>
            <w:vMerge w:val="continue"/>
            <w:noWrap w:val="0"/>
            <w:vAlign w:val="center"/>
          </w:tcPr>
          <w:p w14:paraId="6654DFF7">
            <w:pPr>
              <w:adjustRightInd w:val="0"/>
              <w:snapToGrid w:val="0"/>
              <w:spacing w:line="560" w:lineRule="exact"/>
              <w:jc w:val="center"/>
              <w:rPr>
                <w:rFonts w:ascii="宋体" w:hAnsi="宋体" w:cs="宋体"/>
                <w:b/>
                <w:bCs/>
                <w:color w:val="000000"/>
                <w:szCs w:val="21"/>
                <w:highlight w:val="none"/>
              </w:rPr>
            </w:pPr>
          </w:p>
        </w:tc>
        <w:tc>
          <w:tcPr>
            <w:tcW w:w="6044" w:type="dxa"/>
            <w:noWrap w:val="0"/>
            <w:vAlign w:val="top"/>
          </w:tcPr>
          <w:p w14:paraId="715BC7B2">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项目</w:t>
            </w:r>
            <w:r>
              <w:rPr>
                <w:rFonts w:hint="eastAsia" w:ascii="宋体" w:hAnsi="宋体" w:cs="宋体"/>
                <w:color w:val="000000"/>
                <w:szCs w:val="21"/>
                <w:highlight w:val="none"/>
                <w:lang w:val="en-US" w:eastAsia="zh-CN"/>
              </w:rPr>
              <w:t>负责人</w:t>
            </w:r>
            <w:r>
              <w:rPr>
                <w:rFonts w:hint="eastAsia" w:ascii="宋体" w:hAnsi="宋体" w:cs="宋体"/>
                <w:color w:val="000000"/>
                <w:szCs w:val="21"/>
                <w:highlight w:val="none"/>
              </w:rPr>
              <w:t>（建造师）有效身份证、注册证书以及安全生产考核合格证书（B证）</w:t>
            </w:r>
          </w:p>
        </w:tc>
        <w:tc>
          <w:tcPr>
            <w:tcW w:w="1999" w:type="dxa"/>
            <w:vMerge w:val="continue"/>
            <w:noWrap w:val="0"/>
            <w:vAlign w:val="center"/>
          </w:tcPr>
          <w:p w14:paraId="0CD4602A">
            <w:pPr>
              <w:adjustRightInd w:val="0"/>
              <w:snapToGrid w:val="0"/>
              <w:spacing w:line="560" w:lineRule="exact"/>
              <w:jc w:val="center"/>
              <w:rPr>
                <w:rFonts w:ascii="宋体" w:hAnsi="宋体" w:cs="宋体"/>
                <w:color w:val="000000"/>
                <w:szCs w:val="21"/>
                <w:highlight w:val="none"/>
              </w:rPr>
            </w:pPr>
          </w:p>
        </w:tc>
      </w:tr>
      <w:tr w14:paraId="1EFBB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65" w:type="dxa"/>
            <w:vMerge w:val="continue"/>
            <w:noWrap w:val="0"/>
            <w:vAlign w:val="center"/>
          </w:tcPr>
          <w:p w14:paraId="65120F75">
            <w:pPr>
              <w:adjustRightInd w:val="0"/>
              <w:snapToGrid w:val="0"/>
              <w:spacing w:line="560" w:lineRule="exact"/>
              <w:jc w:val="center"/>
              <w:rPr>
                <w:rFonts w:ascii="宋体" w:hAnsi="宋体" w:cs="宋体"/>
                <w:color w:val="000000"/>
                <w:szCs w:val="21"/>
                <w:highlight w:val="none"/>
              </w:rPr>
            </w:pPr>
          </w:p>
        </w:tc>
        <w:tc>
          <w:tcPr>
            <w:tcW w:w="1258" w:type="dxa"/>
            <w:vMerge w:val="continue"/>
            <w:noWrap w:val="0"/>
            <w:vAlign w:val="center"/>
          </w:tcPr>
          <w:p w14:paraId="41105287">
            <w:pPr>
              <w:adjustRightInd w:val="0"/>
              <w:snapToGrid w:val="0"/>
              <w:spacing w:line="560" w:lineRule="exact"/>
              <w:jc w:val="center"/>
              <w:rPr>
                <w:rFonts w:ascii="宋体" w:hAnsi="宋体" w:cs="宋体"/>
                <w:b/>
                <w:bCs/>
                <w:color w:val="000000"/>
                <w:szCs w:val="21"/>
                <w:highlight w:val="none"/>
              </w:rPr>
            </w:pPr>
          </w:p>
        </w:tc>
        <w:tc>
          <w:tcPr>
            <w:tcW w:w="6044" w:type="dxa"/>
            <w:noWrap w:val="0"/>
            <w:vAlign w:val="top"/>
          </w:tcPr>
          <w:p w14:paraId="1EE7D12D">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投标人的法定代表人(或委托代理人)和拟任项目</w:t>
            </w:r>
            <w:r>
              <w:rPr>
                <w:rFonts w:hint="eastAsia" w:ascii="宋体" w:hAnsi="宋体" w:cs="宋体"/>
                <w:color w:val="000000"/>
                <w:szCs w:val="21"/>
                <w:highlight w:val="none"/>
                <w:lang w:val="en-US" w:eastAsia="zh-CN"/>
              </w:rPr>
              <w:t>负责人</w:t>
            </w:r>
            <w:r>
              <w:rPr>
                <w:rFonts w:hint="eastAsia" w:ascii="宋体" w:hAnsi="宋体" w:cs="宋体"/>
                <w:color w:val="000000"/>
                <w:szCs w:val="21"/>
                <w:highlight w:val="none"/>
              </w:rPr>
              <w:t>（建造师）须持有社保部门出具的本单位为其缴纳的投标前近三个月连续的养老保险证明（证明文件两个月内有效）（同一人担任不同公司法定代表人的，该法定代表人参加本项目投标时须提供本人在其他公司任法定代表人的营业执照及为其缴纳养老保险证明材料），投标人是事业单位的，暂未缴纳养老保险的，须由其主管部门出具证明</w:t>
            </w:r>
          </w:p>
        </w:tc>
        <w:tc>
          <w:tcPr>
            <w:tcW w:w="1999" w:type="dxa"/>
            <w:vMerge w:val="continue"/>
            <w:noWrap w:val="0"/>
            <w:vAlign w:val="center"/>
          </w:tcPr>
          <w:p w14:paraId="7FBC5097">
            <w:pPr>
              <w:adjustRightInd w:val="0"/>
              <w:snapToGrid w:val="0"/>
              <w:spacing w:line="560" w:lineRule="exact"/>
              <w:jc w:val="center"/>
              <w:rPr>
                <w:rFonts w:ascii="宋体" w:hAnsi="宋体" w:cs="宋体"/>
                <w:color w:val="000000"/>
                <w:szCs w:val="21"/>
                <w:highlight w:val="none"/>
              </w:rPr>
            </w:pPr>
          </w:p>
        </w:tc>
      </w:tr>
      <w:tr w14:paraId="36AD5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vMerge w:val="continue"/>
            <w:noWrap w:val="0"/>
            <w:vAlign w:val="center"/>
          </w:tcPr>
          <w:p w14:paraId="70DB1960">
            <w:pPr>
              <w:adjustRightInd w:val="0"/>
              <w:snapToGrid w:val="0"/>
              <w:spacing w:line="560" w:lineRule="exact"/>
              <w:jc w:val="center"/>
              <w:rPr>
                <w:rFonts w:ascii="宋体" w:hAnsi="宋体" w:cs="宋体"/>
                <w:color w:val="000000"/>
                <w:szCs w:val="21"/>
                <w:highlight w:val="none"/>
              </w:rPr>
            </w:pPr>
          </w:p>
        </w:tc>
        <w:tc>
          <w:tcPr>
            <w:tcW w:w="1258" w:type="dxa"/>
            <w:vMerge w:val="continue"/>
            <w:noWrap w:val="0"/>
            <w:vAlign w:val="center"/>
          </w:tcPr>
          <w:p w14:paraId="66FB85A8">
            <w:pPr>
              <w:adjustRightInd w:val="0"/>
              <w:snapToGrid w:val="0"/>
              <w:spacing w:line="560" w:lineRule="exact"/>
              <w:jc w:val="center"/>
              <w:rPr>
                <w:rFonts w:ascii="宋体" w:hAnsi="宋体" w:cs="宋体"/>
                <w:b/>
                <w:bCs/>
                <w:color w:val="000000"/>
                <w:szCs w:val="21"/>
                <w:highlight w:val="none"/>
              </w:rPr>
            </w:pPr>
          </w:p>
        </w:tc>
        <w:tc>
          <w:tcPr>
            <w:tcW w:w="6044" w:type="dxa"/>
            <w:noWrap w:val="0"/>
            <w:vAlign w:val="top"/>
          </w:tcPr>
          <w:p w14:paraId="14933CDE">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项目管理机构。查看项目管理机构主要人员组成表</w:t>
            </w:r>
          </w:p>
        </w:tc>
        <w:tc>
          <w:tcPr>
            <w:tcW w:w="1999" w:type="dxa"/>
            <w:vMerge w:val="continue"/>
            <w:noWrap w:val="0"/>
            <w:vAlign w:val="center"/>
          </w:tcPr>
          <w:p w14:paraId="2C3F4A85">
            <w:pPr>
              <w:adjustRightInd w:val="0"/>
              <w:snapToGrid w:val="0"/>
              <w:spacing w:line="560" w:lineRule="exact"/>
              <w:jc w:val="center"/>
              <w:rPr>
                <w:rFonts w:ascii="宋体" w:hAnsi="宋体" w:cs="宋体"/>
                <w:b/>
                <w:color w:val="000000"/>
                <w:szCs w:val="21"/>
                <w:highlight w:val="none"/>
              </w:rPr>
            </w:pPr>
          </w:p>
        </w:tc>
      </w:tr>
      <w:tr w14:paraId="3B2A8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vMerge w:val="continue"/>
            <w:noWrap w:val="0"/>
            <w:vAlign w:val="center"/>
          </w:tcPr>
          <w:p w14:paraId="6CE3EE64">
            <w:pPr>
              <w:adjustRightInd w:val="0"/>
              <w:snapToGrid w:val="0"/>
              <w:spacing w:line="560" w:lineRule="exact"/>
              <w:jc w:val="center"/>
              <w:rPr>
                <w:rFonts w:ascii="宋体" w:hAnsi="宋体" w:cs="宋体"/>
                <w:color w:val="000000"/>
                <w:szCs w:val="21"/>
                <w:highlight w:val="none"/>
              </w:rPr>
            </w:pPr>
          </w:p>
        </w:tc>
        <w:tc>
          <w:tcPr>
            <w:tcW w:w="1258" w:type="dxa"/>
            <w:vMerge w:val="continue"/>
            <w:noWrap w:val="0"/>
            <w:vAlign w:val="center"/>
          </w:tcPr>
          <w:p w14:paraId="0022E28A">
            <w:pPr>
              <w:adjustRightInd w:val="0"/>
              <w:snapToGrid w:val="0"/>
              <w:spacing w:line="560" w:lineRule="exact"/>
              <w:jc w:val="center"/>
              <w:rPr>
                <w:rFonts w:ascii="宋体" w:hAnsi="宋体" w:cs="宋体"/>
                <w:b/>
                <w:bCs/>
                <w:color w:val="000000"/>
                <w:szCs w:val="21"/>
                <w:highlight w:val="none"/>
              </w:rPr>
            </w:pPr>
          </w:p>
        </w:tc>
        <w:tc>
          <w:tcPr>
            <w:tcW w:w="6044" w:type="dxa"/>
            <w:noWrap w:val="0"/>
            <w:vAlign w:val="top"/>
          </w:tcPr>
          <w:p w14:paraId="45CBCA12">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联合体协议书（如有）</w:t>
            </w:r>
          </w:p>
        </w:tc>
        <w:tc>
          <w:tcPr>
            <w:tcW w:w="1999" w:type="dxa"/>
            <w:vMerge w:val="continue"/>
            <w:noWrap w:val="0"/>
            <w:vAlign w:val="center"/>
          </w:tcPr>
          <w:p w14:paraId="6FBC214C">
            <w:pPr>
              <w:adjustRightInd w:val="0"/>
              <w:snapToGrid w:val="0"/>
              <w:spacing w:line="560" w:lineRule="exact"/>
              <w:jc w:val="center"/>
              <w:rPr>
                <w:rFonts w:ascii="宋体" w:hAnsi="宋体" w:cs="宋体"/>
                <w:b/>
                <w:color w:val="000000"/>
                <w:szCs w:val="21"/>
                <w:highlight w:val="none"/>
              </w:rPr>
            </w:pPr>
          </w:p>
        </w:tc>
      </w:tr>
    </w:tbl>
    <w:p w14:paraId="5DB2D25E">
      <w:pPr>
        <w:adjustRightInd w:val="0"/>
        <w:snapToGrid w:val="0"/>
        <w:spacing w:line="560" w:lineRule="exact"/>
        <w:ind w:firstLine="422" w:firstLineChars="200"/>
        <w:jc w:val="left"/>
        <w:rPr>
          <w:rFonts w:ascii="黑体" w:hAnsi="黑体" w:eastAsia="黑体" w:cs="黑体"/>
          <w:b/>
          <w:bCs/>
          <w:color w:val="000000"/>
          <w:szCs w:val="21"/>
          <w:highlight w:val="none"/>
        </w:rPr>
      </w:pPr>
      <w:r>
        <w:rPr>
          <w:rFonts w:hint="eastAsia" w:ascii="黑体" w:hAnsi="黑体" w:eastAsia="黑体" w:cs="黑体"/>
          <w:b/>
          <w:bCs/>
          <w:color w:val="000000"/>
          <w:szCs w:val="21"/>
          <w:highlight w:val="none"/>
        </w:rPr>
        <w:t>重要提示：</w:t>
      </w:r>
    </w:p>
    <w:p w14:paraId="3C9E41C0">
      <w:pPr>
        <w:adjustRightInd w:val="0"/>
        <w:snapToGrid w:val="0"/>
        <w:spacing w:line="560" w:lineRule="exact"/>
        <w:ind w:firstLine="422" w:firstLineChars="200"/>
        <w:jc w:val="left"/>
        <w:rPr>
          <w:rFonts w:ascii="黑体" w:hAnsi="黑体" w:eastAsia="黑体" w:cs="黑体"/>
          <w:b/>
          <w:bCs/>
          <w:color w:val="000000"/>
          <w:szCs w:val="21"/>
          <w:highlight w:val="none"/>
        </w:rPr>
      </w:pPr>
      <w:r>
        <w:rPr>
          <w:rFonts w:hint="eastAsia" w:ascii="黑体" w:hAnsi="黑体" w:eastAsia="黑体" w:cs="黑体"/>
          <w:b/>
          <w:bCs/>
          <w:color w:val="000000"/>
          <w:szCs w:val="21"/>
          <w:highlight w:val="none"/>
        </w:rPr>
        <w:t>（1）资格审查材料可以选择①上传到安徽省公共资源交易市场主体库中，制作投标文件时插上CA数字证书，从安徽省公共资源交易市场主体库中挑选相关材料，或按招标文件要求上传至指定位置；若所需材料无对应栏目，则将该材料上传至“其他所需材料”里，做电子投标文件时从“其他所需材料”里获取。请各投标人自行完善安徽省公共资源交易市场主体库中的单位信息，保证信息最新且有效。②或使用国家企业信用信息公示系统和全国建筑市场监管公共服务平台接口获取营业执照、建设工程相关证书等政务数据，投标人自行核验政务数据的准确性，对引用的政务数据承担责任。</w:t>
      </w:r>
    </w:p>
    <w:p w14:paraId="228FD4B0">
      <w:pPr>
        <w:adjustRightInd w:val="0"/>
        <w:snapToGrid w:val="0"/>
        <w:spacing w:line="560" w:lineRule="exact"/>
        <w:ind w:firstLine="422" w:firstLineChars="200"/>
        <w:jc w:val="left"/>
        <w:rPr>
          <w:rFonts w:ascii="黑体" w:hAnsi="黑体" w:eastAsia="黑体" w:cs="黑体"/>
          <w:b/>
          <w:bCs/>
          <w:color w:val="000000"/>
          <w:szCs w:val="21"/>
          <w:highlight w:val="none"/>
        </w:rPr>
      </w:pPr>
      <w:r>
        <w:rPr>
          <w:rFonts w:hint="eastAsia" w:ascii="黑体" w:hAnsi="黑体" w:eastAsia="黑体" w:cs="黑体"/>
          <w:b/>
          <w:bCs/>
          <w:color w:val="000000"/>
          <w:szCs w:val="21"/>
          <w:highlight w:val="none"/>
        </w:rPr>
        <w:t>（2）评标专家在检验电子投标文件过程中，如果由于投标人自身原因导致评标专家无法查看并检验电子投标文件中相关资料的，视为无效标处理。即使投标人将原件携带至现场的，同样按无效标处理。</w:t>
      </w:r>
    </w:p>
    <w:p w14:paraId="1AB696F2">
      <w:pPr>
        <w:spacing w:line="560" w:lineRule="exact"/>
        <w:ind w:firstLine="422" w:firstLineChars="200"/>
        <w:rPr>
          <w:rFonts w:ascii="黑体" w:hAnsi="黑体" w:eastAsia="黑体" w:cs="黑体"/>
          <w:b/>
          <w:bCs/>
          <w:color w:val="000000"/>
          <w:szCs w:val="21"/>
          <w:highlight w:val="none"/>
        </w:rPr>
      </w:pPr>
      <w:r>
        <w:rPr>
          <w:rFonts w:hint="eastAsia" w:ascii="黑体" w:hAnsi="黑体" w:eastAsia="黑体" w:cs="黑体"/>
          <w:b/>
          <w:bCs/>
          <w:color w:val="000000"/>
          <w:szCs w:val="21"/>
          <w:highlight w:val="none"/>
        </w:rPr>
        <w:t>（3）投标人拟委任项目经理为注册建造师（含一级、二级）的，须提供在电子证书使用有效期内的纸质版电子证书。</w:t>
      </w:r>
      <w:r>
        <w:rPr>
          <w:rFonts w:ascii="黑体" w:hAnsi="黑体" w:eastAsia="黑体" w:cs="黑体"/>
          <w:b/>
          <w:bCs/>
          <w:color w:val="000000"/>
          <w:szCs w:val="21"/>
          <w:highlight w:val="none"/>
        </w:rPr>
        <w:t>一级建造师打印电子证书后，应在个人签名处手写本人签名，未手写签名或与签名图像笔迹不一致的，该电子证书无效。</w:t>
      </w:r>
    </w:p>
    <w:p w14:paraId="786C3F27">
      <w:pPr>
        <w:spacing w:line="560" w:lineRule="exact"/>
        <w:ind w:firstLine="422" w:firstLineChars="200"/>
        <w:jc w:val="left"/>
        <w:rPr>
          <w:rFonts w:ascii="黑体" w:hAnsi="黑体" w:eastAsia="黑体" w:cs="黑体"/>
          <w:b/>
          <w:bCs/>
          <w:color w:val="000000"/>
          <w:szCs w:val="21"/>
          <w:highlight w:val="none"/>
        </w:rPr>
      </w:pPr>
      <w:r>
        <w:rPr>
          <w:rFonts w:hint="eastAsia" w:ascii="黑体" w:hAnsi="黑体" w:eastAsia="黑体" w:cs="黑体"/>
          <w:b/>
          <w:bCs/>
          <w:color w:val="000000"/>
          <w:szCs w:val="21"/>
          <w:highlight w:val="none"/>
        </w:rPr>
        <w:t>投标人提供的安徽省新版二级建造师电子注册证书纸质版需在安徽省住房和城乡建设执业资格注册管理系统中打印，打印后应由二级建造师本人在证书的个人签名处手写本人签名，或在新版二级建造师电子注册证书纸质版后附其本人知情承诺（视为个人签名处的手写本人签名），格式自拟。未手写个人签名或未提供二级建造师本人知情承诺的，个人签名或知情承诺签字与签名图片笔迹不一致，此证书无效。其他省份按各省相关规定执行。</w:t>
      </w:r>
    </w:p>
    <w:p w14:paraId="085C836B">
      <w:pPr>
        <w:pStyle w:val="3"/>
        <w:adjustRightInd w:val="0"/>
        <w:snapToGrid w:val="0"/>
        <w:spacing w:before="0" w:after="0" w:line="560" w:lineRule="exact"/>
        <w:ind w:firstLine="422" w:firstLineChars="200"/>
        <w:rPr>
          <w:rFonts w:ascii="黑体" w:hAnsi="黑体" w:cs="黑体"/>
          <w:color w:val="000000"/>
          <w:sz w:val="21"/>
          <w:szCs w:val="21"/>
          <w:highlight w:val="none"/>
        </w:rPr>
      </w:pPr>
      <w:r>
        <w:rPr>
          <w:rFonts w:hint="eastAsia" w:ascii="黑体" w:hAnsi="黑体" w:cs="黑体"/>
          <w:color w:val="000000"/>
          <w:sz w:val="21"/>
          <w:szCs w:val="21"/>
          <w:highlight w:val="none"/>
        </w:rPr>
        <w:t>1.审查资料</w:t>
      </w:r>
    </w:p>
    <w:p w14:paraId="79EB1CDB">
      <w:pPr>
        <w:adjustRightInd w:val="0"/>
        <w:snapToGrid w:val="0"/>
        <w:spacing w:line="560" w:lineRule="exact"/>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（1）法定代表人身份证明和本人有效身份证(或法定代表人授权委托书和委托代理人有效身份证)；</w:t>
      </w:r>
    </w:p>
    <w:p w14:paraId="00F26749">
      <w:pPr>
        <w:adjustRightInd w:val="0"/>
        <w:snapToGrid w:val="0"/>
        <w:spacing w:line="560" w:lineRule="exact"/>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（2）诚信投标承诺书（或《</w:t>
      </w:r>
      <w:r>
        <w:rPr>
          <w:rFonts w:hint="eastAsia" w:ascii="宋体" w:hAnsi="宋体" w:cs="宋体"/>
          <w:color w:val="000000"/>
          <w:kern w:val="0"/>
          <w:szCs w:val="21"/>
          <w:highlight w:val="none"/>
        </w:rPr>
        <w:t>公共信用信息报告（无违法违规证明版或核查版）</w:t>
      </w:r>
      <w:r>
        <w:rPr>
          <w:rFonts w:hint="eastAsia" w:ascii="宋体" w:hAnsi="宋体" w:cs="宋体"/>
          <w:color w:val="000000"/>
          <w:szCs w:val="21"/>
          <w:highlight w:val="none"/>
        </w:rPr>
        <w:t>》）；</w:t>
      </w:r>
      <w:r>
        <w:rPr>
          <w:rFonts w:hint="eastAsia" w:ascii="宋体" w:hAnsi="宋体" w:cs="宋体"/>
          <w:szCs w:val="21"/>
          <w:highlight w:val="none"/>
        </w:rPr>
        <w:t>（联合体投标的，各方均提供）</w:t>
      </w:r>
    </w:p>
    <w:p w14:paraId="1502A8D6">
      <w:pPr>
        <w:adjustRightInd w:val="0"/>
        <w:snapToGrid w:val="0"/>
        <w:spacing w:line="560" w:lineRule="exact"/>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（3）企业法人营业执照；</w:t>
      </w:r>
      <w:r>
        <w:rPr>
          <w:rFonts w:hint="eastAsia" w:ascii="宋体" w:hAnsi="宋体" w:cs="宋体"/>
          <w:szCs w:val="21"/>
          <w:highlight w:val="none"/>
        </w:rPr>
        <w:t>（联合体投标的，各方均提供）</w:t>
      </w:r>
    </w:p>
    <w:p w14:paraId="0052A032">
      <w:pPr>
        <w:adjustRightInd w:val="0"/>
        <w:snapToGrid w:val="0"/>
        <w:spacing w:line="560" w:lineRule="exact"/>
        <w:ind w:firstLine="420" w:firstLineChars="200"/>
        <w:rPr>
          <w:rFonts w:hint="eastAsia"/>
          <w:highlight w:val="none"/>
        </w:rPr>
      </w:pPr>
      <w:r>
        <w:rPr>
          <w:rFonts w:hint="eastAsia" w:ascii="宋体" w:hAnsi="宋体" w:cs="宋体"/>
          <w:color w:val="000000"/>
          <w:szCs w:val="21"/>
          <w:highlight w:val="none"/>
        </w:rPr>
        <w:t>（4）企业资质证书；</w:t>
      </w:r>
      <w:r>
        <w:rPr>
          <w:rFonts w:hint="eastAsia" w:ascii="宋体" w:hAnsi="宋体" w:cs="宋体"/>
          <w:szCs w:val="21"/>
          <w:highlight w:val="none"/>
        </w:rPr>
        <w:t>（联合体投标的，各方均提供）</w:t>
      </w:r>
    </w:p>
    <w:p w14:paraId="007CD660">
      <w:pPr>
        <w:adjustRightInd w:val="0"/>
        <w:snapToGrid w:val="0"/>
        <w:spacing w:line="560" w:lineRule="exact"/>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（5）企业安全生产许可证；</w:t>
      </w:r>
      <w:r>
        <w:rPr>
          <w:rFonts w:hint="eastAsia" w:ascii="宋体" w:hAnsi="宋体" w:cs="宋体"/>
          <w:szCs w:val="21"/>
          <w:highlight w:val="none"/>
        </w:rPr>
        <w:t>（</w:t>
      </w:r>
      <w:r>
        <w:rPr>
          <w:rFonts w:hint="eastAsia" w:ascii="宋体" w:hAnsi="宋体" w:cs="宋体"/>
          <w:color w:val="000000"/>
          <w:szCs w:val="21"/>
          <w:highlight w:val="none"/>
          <w:lang w:val="en-US" w:eastAsia="zh-CN"/>
        </w:rPr>
        <w:t>联合体投标的，联合体中具有施工资质的单位提供</w:t>
      </w:r>
      <w:r>
        <w:rPr>
          <w:rFonts w:hint="eastAsia" w:ascii="宋体" w:hAnsi="宋体" w:cs="宋体"/>
          <w:szCs w:val="21"/>
          <w:highlight w:val="none"/>
        </w:rPr>
        <w:t>）</w:t>
      </w:r>
    </w:p>
    <w:p w14:paraId="02610FCB">
      <w:pPr>
        <w:adjustRightInd w:val="0"/>
        <w:snapToGrid w:val="0"/>
        <w:spacing w:line="560" w:lineRule="exact"/>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（6）项目</w:t>
      </w:r>
      <w:r>
        <w:rPr>
          <w:rFonts w:hint="eastAsia" w:ascii="宋体" w:hAnsi="宋体" w:cs="宋体"/>
          <w:color w:val="000000"/>
          <w:szCs w:val="21"/>
          <w:highlight w:val="none"/>
          <w:lang w:val="en-US" w:eastAsia="zh-CN"/>
        </w:rPr>
        <w:t>负责人</w:t>
      </w:r>
      <w:r>
        <w:rPr>
          <w:rFonts w:hint="eastAsia" w:ascii="宋体" w:hAnsi="宋体" w:cs="宋体"/>
          <w:color w:val="000000"/>
          <w:szCs w:val="21"/>
          <w:highlight w:val="none"/>
        </w:rPr>
        <w:t>（建造师）有效身份证、注册证书以及安全生产考核合格证书（B证）；</w:t>
      </w:r>
    </w:p>
    <w:p w14:paraId="64A8469C">
      <w:pPr>
        <w:widowControl/>
        <w:adjustRightInd w:val="0"/>
        <w:snapToGrid w:val="0"/>
        <w:spacing w:line="560" w:lineRule="exact"/>
        <w:ind w:firstLine="420" w:firstLineChars="200"/>
        <w:jc w:val="left"/>
        <w:rPr>
          <w:rFonts w:hint="eastAsia" w:ascii="宋体" w:hAnsi="宋体" w:cs="宋体"/>
          <w:color w:val="000000"/>
          <w:szCs w:val="21"/>
          <w:highlight w:val="none"/>
        </w:rPr>
      </w:pPr>
      <w:r>
        <w:rPr>
          <w:rFonts w:hint="eastAsia" w:ascii="宋体" w:hAnsi="宋体" w:cs="宋体"/>
          <w:color w:val="000000"/>
          <w:szCs w:val="21"/>
          <w:highlight w:val="none"/>
        </w:rPr>
        <w:t>（7）投标人的法定代表人(或委托代理人)和项目</w:t>
      </w:r>
      <w:r>
        <w:rPr>
          <w:rFonts w:hint="eastAsia" w:ascii="宋体" w:hAnsi="宋体" w:cs="宋体"/>
          <w:color w:val="000000"/>
          <w:szCs w:val="21"/>
          <w:highlight w:val="none"/>
          <w:lang w:val="en-US" w:eastAsia="zh-CN"/>
        </w:rPr>
        <w:t>负责人</w:t>
      </w:r>
      <w:r>
        <w:rPr>
          <w:rFonts w:hint="eastAsia" w:ascii="宋体" w:hAnsi="宋体" w:cs="宋体"/>
          <w:color w:val="000000"/>
          <w:szCs w:val="21"/>
          <w:highlight w:val="none"/>
        </w:rPr>
        <w:t>（建造师）须持有社保部门出具的本单位为其缴纳的投标前近三个月连续的养老保险证明（证明文件两个月内有效）（同一人担任不同公司法定代表人的，该法定代表人参加本项目投标时须提供本人在其他公司任法定代表人的营业执照及为其缴纳养老保险证明材料），投标人是事业单位的，暂未缴纳养老保险的，须由其主管部门出具证明；</w:t>
      </w:r>
    </w:p>
    <w:p w14:paraId="56045C35">
      <w:pPr>
        <w:widowControl/>
        <w:adjustRightInd w:val="0"/>
        <w:snapToGrid w:val="0"/>
        <w:spacing w:line="560" w:lineRule="exact"/>
        <w:ind w:firstLine="420" w:firstLineChars="200"/>
        <w:jc w:val="left"/>
        <w:rPr>
          <w:rFonts w:hint="eastAsia" w:ascii="宋体" w:hAnsi="宋体" w:cs="宋体"/>
          <w:color w:val="000000"/>
          <w:szCs w:val="21"/>
          <w:highlight w:val="none"/>
        </w:rPr>
      </w:pPr>
      <w:r>
        <w:rPr>
          <w:rFonts w:hint="eastAsia" w:ascii="宋体" w:hAnsi="宋体" w:cs="宋体"/>
          <w:color w:val="000000"/>
          <w:szCs w:val="21"/>
          <w:highlight w:val="none"/>
        </w:rPr>
        <w:t>（8）项目管理机构。查看项目管理机构主要人员组成表；</w:t>
      </w:r>
    </w:p>
    <w:p w14:paraId="3BAC1FA6">
      <w:pPr>
        <w:widowControl/>
        <w:adjustRightInd w:val="0"/>
        <w:snapToGrid w:val="0"/>
        <w:spacing w:line="560" w:lineRule="exact"/>
        <w:ind w:firstLine="420" w:firstLineChars="200"/>
        <w:jc w:val="left"/>
        <w:rPr>
          <w:rFonts w:hint="eastAsia" w:ascii="宋体" w:hAnsi="宋体" w:cs="宋体"/>
          <w:color w:val="000000"/>
          <w:szCs w:val="21"/>
          <w:highlight w:val="none"/>
        </w:rPr>
      </w:pPr>
      <w:r>
        <w:rPr>
          <w:rFonts w:hint="eastAsia" w:ascii="宋体" w:hAnsi="宋体" w:cs="宋体"/>
          <w:color w:val="000000"/>
          <w:szCs w:val="21"/>
          <w:highlight w:val="none"/>
        </w:rPr>
        <w:t>（9）联合体协议书（如有）。</w:t>
      </w:r>
    </w:p>
    <w:p w14:paraId="108FB4EC">
      <w:pPr>
        <w:adjustRightInd w:val="0"/>
        <w:snapToGrid w:val="0"/>
        <w:spacing w:line="560" w:lineRule="exact"/>
        <w:ind w:firstLine="422" w:firstLineChars="200"/>
        <w:jc w:val="left"/>
        <w:rPr>
          <w:rFonts w:ascii="黑体" w:hAnsi="黑体" w:eastAsia="黑体" w:cs="黑体"/>
          <w:b/>
          <w:color w:val="000000"/>
          <w:szCs w:val="21"/>
          <w:highlight w:val="none"/>
        </w:rPr>
      </w:pPr>
      <w:r>
        <w:rPr>
          <w:rFonts w:hint="eastAsia" w:ascii="黑体" w:hAnsi="黑体" w:eastAsia="黑体" w:cs="黑体"/>
          <w:b/>
          <w:color w:val="000000"/>
          <w:szCs w:val="21"/>
          <w:highlight w:val="none"/>
        </w:rPr>
        <w:t>温馨提示：</w:t>
      </w:r>
    </w:p>
    <w:p w14:paraId="7964A60B">
      <w:pPr>
        <w:adjustRightInd w:val="0"/>
        <w:snapToGrid w:val="0"/>
        <w:spacing w:line="560" w:lineRule="exact"/>
        <w:ind w:firstLine="422" w:firstLineChars="200"/>
        <w:jc w:val="left"/>
        <w:rPr>
          <w:rFonts w:ascii="黑体" w:hAnsi="黑体" w:eastAsia="黑体" w:cs="黑体"/>
          <w:b/>
          <w:color w:val="000000"/>
          <w:szCs w:val="21"/>
          <w:highlight w:val="none"/>
        </w:rPr>
      </w:pPr>
      <w:r>
        <w:rPr>
          <w:rFonts w:hint="eastAsia" w:ascii="黑体" w:hAnsi="黑体" w:eastAsia="黑体" w:cs="黑体"/>
          <w:b/>
          <w:color w:val="000000"/>
          <w:szCs w:val="21"/>
          <w:highlight w:val="none"/>
        </w:rPr>
        <w:t>（1）请各投标人自行完善安徽省公共资源交易市场主体库中的单位基本信息，保证信息最新且有效。</w:t>
      </w:r>
    </w:p>
    <w:p w14:paraId="1A736703">
      <w:pPr>
        <w:adjustRightInd w:val="0"/>
        <w:snapToGrid w:val="0"/>
        <w:spacing w:line="560" w:lineRule="exact"/>
        <w:ind w:firstLine="422" w:firstLineChars="200"/>
        <w:jc w:val="left"/>
        <w:rPr>
          <w:rFonts w:ascii="黑体" w:hAnsi="黑体" w:eastAsia="黑体" w:cs="黑体"/>
          <w:b/>
          <w:color w:val="000000"/>
          <w:szCs w:val="21"/>
          <w:highlight w:val="none"/>
        </w:rPr>
      </w:pPr>
      <w:r>
        <w:rPr>
          <w:rFonts w:hint="eastAsia" w:ascii="黑体" w:hAnsi="黑体" w:eastAsia="黑体" w:cs="黑体"/>
          <w:b/>
          <w:color w:val="000000"/>
          <w:szCs w:val="21"/>
          <w:highlight w:val="none"/>
        </w:rPr>
        <w:t>（2）请投标人认真准备投标文件资格审查资料,如评标专家在检验电子标书过程中，如果由于投标人自身原因导致评标专家无法查看并检验电子标书中相关资料的，视为无效标处理。即使投标人将原件携带至现场的，同样按无效标处理。</w:t>
      </w:r>
    </w:p>
    <w:p w14:paraId="46E78D38">
      <w:pPr>
        <w:pStyle w:val="3"/>
        <w:adjustRightInd w:val="0"/>
        <w:snapToGrid w:val="0"/>
        <w:spacing w:before="0" w:after="0" w:line="560" w:lineRule="exact"/>
        <w:ind w:firstLine="422" w:firstLineChars="200"/>
        <w:rPr>
          <w:rFonts w:ascii="黑体" w:hAnsi="黑体" w:cs="黑体"/>
          <w:color w:val="000000"/>
          <w:sz w:val="21"/>
          <w:szCs w:val="21"/>
          <w:highlight w:val="none"/>
        </w:rPr>
      </w:pPr>
      <w:r>
        <w:rPr>
          <w:rFonts w:hint="eastAsia" w:ascii="黑体" w:hAnsi="黑体" w:cs="黑体"/>
          <w:color w:val="000000"/>
          <w:sz w:val="21"/>
          <w:szCs w:val="21"/>
          <w:highlight w:val="none"/>
        </w:rPr>
        <w:t>2.审查办法</w:t>
      </w:r>
    </w:p>
    <w:p w14:paraId="7C9C9DC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由资格审查委员会（评标委员会）按资格审查办法前附表中资格审查必要合格条件评审表要求对投标人审查资料进行核验。</w:t>
      </w:r>
    </w:p>
    <w:p w14:paraId="2FDB4CDD">
      <w:pPr>
        <w:pStyle w:val="3"/>
        <w:adjustRightInd w:val="0"/>
        <w:snapToGrid w:val="0"/>
        <w:spacing w:before="0" w:after="0" w:line="560" w:lineRule="exact"/>
        <w:ind w:firstLine="422" w:firstLineChars="200"/>
        <w:rPr>
          <w:rFonts w:ascii="黑体" w:hAnsi="黑体" w:cs="黑体"/>
          <w:color w:val="000000"/>
          <w:sz w:val="21"/>
          <w:szCs w:val="21"/>
          <w:highlight w:val="none"/>
        </w:rPr>
      </w:pPr>
      <w:r>
        <w:rPr>
          <w:rFonts w:hint="eastAsia" w:ascii="黑体" w:hAnsi="黑体" w:cs="黑体"/>
          <w:color w:val="000000"/>
          <w:sz w:val="21"/>
          <w:szCs w:val="21"/>
          <w:highlight w:val="none"/>
        </w:rPr>
        <w:t>3.资格审查委员会和审查标准</w:t>
      </w:r>
    </w:p>
    <w:p w14:paraId="5B52A22C">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3.1资格审查由招标人依法组建的资格审查委员会（或评标委员会）负责。审查标准见资格审查办法前附表。</w:t>
      </w:r>
    </w:p>
    <w:p w14:paraId="6543591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3.2由资格审查委员会（评标委员会）按资格审查办法前附表要求对投标人的审查资料进行核验。投标申请人有下列情形之一的，其资格审查为不合格： </w:t>
      </w:r>
    </w:p>
    <w:p w14:paraId="3C38CF1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（1）未上传电子标书或电子标书经审查不合格；</w:t>
      </w:r>
    </w:p>
    <w:p w14:paraId="5642207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（2）联合体投标人没有提交联合体协议书；</w:t>
      </w:r>
    </w:p>
    <w:p w14:paraId="206DADD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（3）保证金不按第二章“投标人须知”及其前附表要求提交投标保证金的； </w:t>
      </w:r>
    </w:p>
    <w:p w14:paraId="305B53C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（4）投标人未办理省主体库登记入库手续的；</w:t>
      </w:r>
    </w:p>
    <w:p w14:paraId="4DF8FE8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（5）投标人投标 MAC 地址一致的；</w:t>
      </w:r>
    </w:p>
    <w:p w14:paraId="13F9F5B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（6）投标人申请开具电子保函 MAC 地址一致的；</w:t>
      </w:r>
    </w:p>
    <w:p w14:paraId="13B4A15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（7）投标人投标文件制作机器码、文件创建标识码及造价软件加密锁号信息雷同的；</w:t>
      </w:r>
    </w:p>
    <w:p w14:paraId="78241E5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（8）法律、法规规定的其他情形。</w:t>
      </w:r>
    </w:p>
    <w:p w14:paraId="186D6A97">
      <w:pPr>
        <w:pStyle w:val="3"/>
        <w:adjustRightInd w:val="0"/>
        <w:snapToGrid w:val="0"/>
        <w:spacing w:before="0" w:after="0" w:line="560" w:lineRule="exact"/>
        <w:ind w:firstLine="422" w:firstLineChars="200"/>
        <w:rPr>
          <w:rFonts w:ascii="黑体" w:hAnsi="黑体" w:cs="黑体"/>
          <w:color w:val="000000"/>
          <w:sz w:val="21"/>
          <w:szCs w:val="21"/>
          <w:highlight w:val="none"/>
        </w:rPr>
      </w:pPr>
      <w:r>
        <w:rPr>
          <w:rFonts w:hint="eastAsia" w:ascii="黑体" w:hAnsi="黑体" w:cs="黑体"/>
          <w:color w:val="000000"/>
          <w:sz w:val="21"/>
          <w:szCs w:val="21"/>
          <w:highlight w:val="none"/>
        </w:rPr>
        <w:t>4.审查结果</w:t>
      </w:r>
    </w:p>
    <w:p w14:paraId="1206BE7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只有通过资格审查的投标人才能进入下一步的评标程序。</w:t>
      </w:r>
    </w:p>
    <w:bookmarkEnd w:id="669"/>
    <w:bookmarkEnd w:id="670"/>
    <w:bookmarkEnd w:id="671"/>
    <w:bookmarkEnd w:id="672"/>
    <w:bookmarkEnd w:id="673"/>
    <w:p w14:paraId="3EA18764">
      <w:pPr>
        <w:rPr>
          <w:highlight w:val="none"/>
        </w:rPr>
      </w:pPr>
      <w:bookmarkStart w:id="675" w:name="_Toc15058912"/>
      <w:bookmarkStart w:id="676" w:name="_Toc506107323"/>
      <w:bookmarkStart w:id="677" w:name="_Toc60061495"/>
      <w:bookmarkStart w:id="678" w:name="_Toc95223398"/>
    </w:p>
    <w:p w14:paraId="549D478D">
      <w:pPr>
        <w:pStyle w:val="17"/>
        <w:rPr>
          <w:highlight w:val="none"/>
        </w:rPr>
      </w:pPr>
    </w:p>
    <w:p w14:paraId="59761FF9">
      <w:pPr>
        <w:rPr>
          <w:highlight w:val="none"/>
        </w:rPr>
      </w:pPr>
    </w:p>
    <w:p w14:paraId="1F66FAB7">
      <w:pPr>
        <w:pStyle w:val="17"/>
        <w:rPr>
          <w:highlight w:val="none"/>
        </w:rPr>
      </w:pPr>
    </w:p>
    <w:p w14:paraId="6805B591">
      <w:pPr>
        <w:rPr>
          <w:highlight w:val="none"/>
        </w:rPr>
      </w:pPr>
    </w:p>
    <w:p w14:paraId="6930E44A">
      <w:pPr>
        <w:pStyle w:val="17"/>
        <w:rPr>
          <w:highlight w:val="none"/>
        </w:rPr>
      </w:pPr>
    </w:p>
    <w:p w14:paraId="3BAABC57">
      <w:pPr>
        <w:rPr>
          <w:highlight w:val="none"/>
        </w:rPr>
      </w:pPr>
    </w:p>
    <w:p w14:paraId="52C3DA64">
      <w:pPr>
        <w:pStyle w:val="17"/>
        <w:rPr>
          <w:highlight w:val="none"/>
        </w:rPr>
      </w:pPr>
    </w:p>
    <w:p w14:paraId="07CBE596">
      <w:pPr>
        <w:rPr>
          <w:highlight w:val="none"/>
        </w:rPr>
      </w:pPr>
    </w:p>
    <w:p w14:paraId="2C09904B">
      <w:pPr>
        <w:pStyle w:val="17"/>
        <w:rPr>
          <w:highlight w:val="none"/>
        </w:rPr>
      </w:pPr>
    </w:p>
    <w:p w14:paraId="2538CF03">
      <w:pPr>
        <w:rPr>
          <w:highlight w:val="none"/>
        </w:rPr>
      </w:pPr>
    </w:p>
    <w:p w14:paraId="4BACB43F">
      <w:pPr>
        <w:pStyle w:val="17"/>
        <w:rPr>
          <w:highlight w:val="none"/>
        </w:rPr>
      </w:pPr>
    </w:p>
    <w:p w14:paraId="31492FDE">
      <w:pPr>
        <w:rPr>
          <w:highlight w:val="none"/>
        </w:rPr>
      </w:pPr>
    </w:p>
    <w:p w14:paraId="27DE5B38">
      <w:pPr>
        <w:pStyle w:val="17"/>
        <w:rPr>
          <w:highlight w:val="none"/>
        </w:rPr>
      </w:pPr>
    </w:p>
    <w:p w14:paraId="576ED940">
      <w:pPr>
        <w:rPr>
          <w:highlight w:val="none"/>
        </w:rPr>
      </w:pPr>
    </w:p>
    <w:p w14:paraId="0B22DF55">
      <w:pPr>
        <w:pStyle w:val="17"/>
        <w:rPr>
          <w:highlight w:val="none"/>
        </w:rPr>
      </w:pPr>
    </w:p>
    <w:p w14:paraId="7D59C009">
      <w:pPr>
        <w:rPr>
          <w:highlight w:val="none"/>
        </w:rPr>
      </w:pPr>
    </w:p>
    <w:p w14:paraId="546909ED">
      <w:pPr>
        <w:pStyle w:val="17"/>
        <w:rPr>
          <w:highlight w:val="none"/>
        </w:rPr>
      </w:pPr>
    </w:p>
    <w:p w14:paraId="5B203853">
      <w:pPr>
        <w:rPr>
          <w:highlight w:val="none"/>
        </w:rPr>
      </w:pPr>
    </w:p>
    <w:p w14:paraId="5C89CCDC">
      <w:pPr>
        <w:pStyle w:val="17"/>
        <w:rPr>
          <w:highlight w:val="none"/>
        </w:rPr>
      </w:pPr>
    </w:p>
    <w:p w14:paraId="3720403D">
      <w:pPr>
        <w:rPr>
          <w:highlight w:val="none"/>
        </w:rPr>
      </w:pPr>
    </w:p>
    <w:p w14:paraId="2CDB6030">
      <w:pPr>
        <w:rPr>
          <w:highlight w:val="none"/>
        </w:rPr>
      </w:pPr>
    </w:p>
    <w:p w14:paraId="465B3E0F">
      <w:pPr>
        <w:pStyle w:val="17"/>
        <w:rPr>
          <w:highlight w:val="none"/>
        </w:rPr>
      </w:pPr>
    </w:p>
    <w:p w14:paraId="5806CC00">
      <w:pPr>
        <w:rPr>
          <w:highlight w:val="none"/>
        </w:rPr>
      </w:pPr>
    </w:p>
    <w:p w14:paraId="1C3B0D40">
      <w:pPr>
        <w:pStyle w:val="17"/>
        <w:rPr>
          <w:highlight w:val="none"/>
        </w:rPr>
      </w:pPr>
    </w:p>
    <w:p w14:paraId="132AF596">
      <w:pPr>
        <w:rPr>
          <w:highlight w:val="none"/>
        </w:rPr>
      </w:pPr>
    </w:p>
    <w:p w14:paraId="62971324">
      <w:pPr>
        <w:pStyle w:val="17"/>
        <w:rPr>
          <w:highlight w:val="none"/>
        </w:rPr>
      </w:pPr>
    </w:p>
    <w:p w14:paraId="4D1A65AF">
      <w:pPr>
        <w:pStyle w:val="17"/>
        <w:rPr>
          <w:highlight w:val="none"/>
        </w:rPr>
      </w:pPr>
    </w:p>
    <w:p w14:paraId="3AF0C157">
      <w:pPr>
        <w:pStyle w:val="17"/>
        <w:ind w:left="0" w:leftChars="0" w:firstLine="0" w:firstLineChars="0"/>
        <w:rPr>
          <w:highlight w:val="none"/>
        </w:rPr>
      </w:pPr>
    </w:p>
    <w:bookmarkEnd w:id="674"/>
    <w:bookmarkEnd w:id="675"/>
    <w:bookmarkEnd w:id="676"/>
    <w:bookmarkEnd w:id="677"/>
    <w:bookmarkEnd w:id="678"/>
    <w:p w14:paraId="7F9C0050">
      <w:pPr>
        <w:pStyle w:val="2"/>
        <w:pageBreakBefore/>
        <w:adjustRightInd w:val="0"/>
        <w:snapToGrid w:val="0"/>
        <w:spacing w:before="0" w:after="0" w:line="560" w:lineRule="exact"/>
        <w:jc w:val="center"/>
        <w:rPr>
          <w:color w:val="000000"/>
          <w:sz w:val="40"/>
          <w:highlight w:val="none"/>
        </w:rPr>
        <w:sectPr>
          <w:pgSz w:w="11906" w:h="16838"/>
          <w:pgMar w:top="1440" w:right="1800" w:bottom="1440" w:left="1800" w:header="720" w:footer="998" w:gutter="0"/>
          <w:pgBorders>
            <w:top w:val="none" w:sz="0" w:space="0"/>
            <w:left w:val="none" w:sz="0" w:space="0"/>
            <w:bottom w:val="none" w:sz="0" w:space="0"/>
            <w:right w:val="none" w:sz="0" w:space="0"/>
          </w:pgBorders>
          <w:cols w:space="720" w:num="1"/>
          <w:docGrid w:linePitch="326" w:charSpace="0"/>
        </w:sectPr>
      </w:pPr>
      <w:bookmarkStart w:id="679" w:name="_Toc95223443"/>
    </w:p>
    <w:p w14:paraId="5340A341">
      <w:pPr>
        <w:pStyle w:val="2"/>
        <w:pageBreakBefore/>
        <w:adjustRightInd w:val="0"/>
        <w:snapToGrid w:val="0"/>
        <w:spacing w:before="0" w:after="0" w:line="560" w:lineRule="exact"/>
        <w:jc w:val="center"/>
        <w:rPr>
          <w:color w:val="000000"/>
          <w:sz w:val="40"/>
          <w:highlight w:val="none"/>
        </w:rPr>
      </w:pPr>
      <w:r>
        <w:rPr>
          <w:rFonts w:hint="eastAsia"/>
          <w:color w:val="000000"/>
          <w:sz w:val="40"/>
          <w:highlight w:val="none"/>
        </w:rPr>
        <w:t>第四章 评标办法（综合评估法）</w:t>
      </w:r>
      <w:bookmarkEnd w:id="679"/>
      <w:r>
        <w:rPr>
          <w:rFonts w:hint="eastAsia"/>
          <w:color w:val="000000"/>
          <w:sz w:val="40"/>
          <w:highlight w:val="none"/>
        </w:rPr>
        <w:t xml:space="preserve"> </w:t>
      </w:r>
    </w:p>
    <w:p w14:paraId="27507B43">
      <w:pPr>
        <w:spacing w:line="560" w:lineRule="exact"/>
        <w:jc w:val="center"/>
        <w:rPr>
          <w:b/>
          <w:color w:val="000000"/>
          <w:sz w:val="28"/>
          <w:szCs w:val="21"/>
          <w:highlight w:val="none"/>
        </w:rPr>
      </w:pPr>
      <w:r>
        <w:rPr>
          <w:rFonts w:hint="eastAsia"/>
          <w:b/>
          <w:bCs/>
          <w:color w:val="000000"/>
          <w:sz w:val="28"/>
          <w:szCs w:val="28"/>
          <w:highlight w:val="none"/>
        </w:rPr>
        <w:t>（一）</w:t>
      </w:r>
      <w:r>
        <w:rPr>
          <w:rFonts w:hint="eastAsia"/>
          <w:b/>
          <w:color w:val="000000"/>
          <w:sz w:val="28"/>
          <w:szCs w:val="21"/>
          <w:highlight w:val="none"/>
        </w:rPr>
        <w:t>中标候选人的确定</w:t>
      </w:r>
    </w:p>
    <w:p w14:paraId="45D5DDBC">
      <w:pPr>
        <w:pStyle w:val="17"/>
        <w:spacing w:after="0" w:line="560" w:lineRule="exact"/>
        <w:ind w:left="0" w:leftChars="0"/>
        <w:rPr>
          <w:color w:val="000000"/>
          <w:highlight w:val="none"/>
        </w:rPr>
      </w:pPr>
      <w:r>
        <w:rPr>
          <w:rFonts w:hint="eastAsia"/>
          <w:color w:val="000000"/>
          <w:highlight w:val="none"/>
        </w:rPr>
        <w:t>第一阶段，评标委员会对投标人依次进行资信、技术文件审查，对均满足要求的投标人先进行除投标报价之外的评审因素打分，汇总后的得分按照从高到低进行排序（得分相同的并列，下一个排名顺延。如2个投标人并列第一，则第3个排名为第三名），选择总得分排前N名的投标人进入第二阶段评标，N取值为</w:t>
      </w:r>
      <w:r>
        <w:rPr>
          <w:rFonts w:hint="eastAsia"/>
          <w:color w:val="000000"/>
          <w:highlight w:val="none"/>
          <w:u w:val="single"/>
          <w:lang w:val="en-US" w:eastAsia="zh-CN"/>
        </w:rPr>
        <w:t>10</w:t>
      </w:r>
      <w:r>
        <w:rPr>
          <w:rFonts w:hint="eastAsia"/>
          <w:color w:val="000000"/>
          <w:highlight w:val="none"/>
        </w:rPr>
        <w:t>，与第N个得分相同的一并进入第二阶段评标。不少于3个但不足N个的，全部进入第二阶段评标；不足3个的，本项目流标。</w:t>
      </w:r>
    </w:p>
    <w:p w14:paraId="26A41C94">
      <w:pPr>
        <w:pStyle w:val="17"/>
        <w:spacing w:after="0" w:line="560" w:lineRule="exact"/>
        <w:ind w:left="0" w:leftChars="0"/>
        <w:rPr>
          <w:color w:val="000000"/>
          <w:highlight w:val="none"/>
        </w:rPr>
      </w:pPr>
      <w:r>
        <w:rPr>
          <w:rFonts w:hint="eastAsia"/>
          <w:color w:val="000000"/>
          <w:highlight w:val="none"/>
        </w:rPr>
        <w:t>第二阶段，投标报价评审。评标委员会仅针对进入第二阶段的投标人商务标文件进行评审，评审过程中如出现无效投标，将替补至N个投标人，剩余投标人不足替补至N个的，至少替补至3个，否则本项目流标。以进入第二阶段的有效投标报价作为评标基准价计算范围。根据投标报价评审规则计算投标报价得分。</w:t>
      </w:r>
    </w:p>
    <w:p w14:paraId="6D61AE70">
      <w:pPr>
        <w:pStyle w:val="17"/>
        <w:adjustRightInd w:val="0"/>
        <w:snapToGrid w:val="0"/>
        <w:spacing w:after="0" w:line="560" w:lineRule="exact"/>
        <w:ind w:left="0" w:leftChars="0" w:firstLine="0" w:firstLineChars="0"/>
        <w:jc w:val="center"/>
        <w:rPr>
          <w:rFonts w:hint="eastAsia" w:eastAsia="宋体"/>
          <w:b/>
          <w:color w:val="000000"/>
          <w:sz w:val="36"/>
          <w:highlight w:val="none"/>
          <w:lang w:eastAsia="zh-CN"/>
        </w:rPr>
      </w:pPr>
      <w:r>
        <w:rPr>
          <w:rFonts w:hint="eastAsia"/>
          <w:b/>
          <w:color w:val="000000"/>
          <w:sz w:val="28"/>
          <w:szCs w:val="21"/>
          <w:highlight w:val="none"/>
        </w:rPr>
        <w:t>（二）资信标评审</w:t>
      </w:r>
      <w:r>
        <w:rPr>
          <w:rFonts w:hint="eastAsia"/>
          <w:b/>
          <w:color w:val="000000"/>
          <w:sz w:val="28"/>
          <w:szCs w:val="21"/>
          <w:highlight w:val="none"/>
          <w:lang w:eastAsia="zh-CN"/>
        </w:rPr>
        <w:t>（</w:t>
      </w:r>
      <w:r>
        <w:rPr>
          <w:rFonts w:hint="eastAsia"/>
          <w:b/>
          <w:color w:val="000000"/>
          <w:sz w:val="28"/>
          <w:szCs w:val="21"/>
          <w:highlight w:val="none"/>
          <w:lang w:val="en-US" w:eastAsia="zh-CN"/>
        </w:rPr>
        <w:t>10分</w:t>
      </w:r>
      <w:r>
        <w:rPr>
          <w:rFonts w:hint="eastAsia"/>
          <w:b/>
          <w:color w:val="000000"/>
          <w:sz w:val="28"/>
          <w:szCs w:val="21"/>
          <w:highlight w:val="none"/>
          <w:lang w:eastAsia="zh-CN"/>
        </w:rPr>
        <w:t>）</w:t>
      </w:r>
    </w:p>
    <w:tbl>
      <w:tblPr>
        <w:tblStyle w:val="18"/>
        <w:tblW w:w="9254" w:type="dxa"/>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276"/>
        <w:gridCol w:w="1183"/>
        <w:gridCol w:w="5917"/>
      </w:tblGrid>
      <w:tr w14:paraId="7B30E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78" w:type="dxa"/>
            <w:noWrap w:val="0"/>
            <w:vAlign w:val="top"/>
          </w:tcPr>
          <w:p w14:paraId="300BBB7D">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序号</w:t>
            </w:r>
          </w:p>
        </w:tc>
        <w:tc>
          <w:tcPr>
            <w:tcW w:w="1276" w:type="dxa"/>
            <w:noWrap w:val="0"/>
            <w:vAlign w:val="top"/>
          </w:tcPr>
          <w:p w14:paraId="31A5C401">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评审因素</w:t>
            </w:r>
          </w:p>
        </w:tc>
        <w:tc>
          <w:tcPr>
            <w:tcW w:w="1183" w:type="dxa"/>
            <w:noWrap w:val="0"/>
            <w:vAlign w:val="top"/>
          </w:tcPr>
          <w:p w14:paraId="420FED94">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分值设置</w:t>
            </w:r>
          </w:p>
        </w:tc>
        <w:tc>
          <w:tcPr>
            <w:tcW w:w="5917" w:type="dxa"/>
            <w:noWrap w:val="0"/>
            <w:vAlign w:val="top"/>
          </w:tcPr>
          <w:p w14:paraId="4EBA33BA">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评审标准</w:t>
            </w:r>
          </w:p>
        </w:tc>
      </w:tr>
      <w:tr w14:paraId="46D53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78" w:type="dxa"/>
            <w:noWrap w:val="0"/>
            <w:vAlign w:val="center"/>
          </w:tcPr>
          <w:p w14:paraId="3601885F">
            <w:pPr>
              <w:adjustRightInd w:val="0"/>
              <w:snapToGrid w:val="0"/>
              <w:spacing w:line="560" w:lineRule="exact"/>
              <w:jc w:val="center"/>
              <w:rPr>
                <w:rFonts w:hint="eastAsia" w:ascii="宋体" w:hAnsi="宋体" w:eastAsia="宋体" w:cs="宋体"/>
                <w:color w:val="000000"/>
                <w:szCs w:val="21"/>
                <w:highlight w:val="none"/>
                <w:lang w:eastAsia="zh-CN"/>
              </w:rPr>
            </w:pPr>
            <w:r>
              <w:rPr>
                <w:rFonts w:hint="eastAsia" w:ascii="宋体" w:hAnsi="宋体" w:cs="宋体"/>
                <w:color w:val="000000"/>
                <w:szCs w:val="21"/>
                <w:highlight w:val="none"/>
                <w:lang w:val="en-US" w:eastAsia="zh-CN"/>
              </w:rPr>
              <w:t>1</w:t>
            </w:r>
          </w:p>
        </w:tc>
        <w:tc>
          <w:tcPr>
            <w:tcW w:w="1276" w:type="dxa"/>
            <w:noWrap w:val="0"/>
            <w:vAlign w:val="center"/>
          </w:tcPr>
          <w:p w14:paraId="3E5671CB">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设计团队</w:t>
            </w:r>
          </w:p>
        </w:tc>
        <w:tc>
          <w:tcPr>
            <w:tcW w:w="1183" w:type="dxa"/>
            <w:noWrap w:val="0"/>
            <w:vAlign w:val="center"/>
          </w:tcPr>
          <w:p w14:paraId="76574FAB">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lang w:val="en-US" w:eastAsia="zh-CN"/>
              </w:rPr>
              <w:t>8</w:t>
            </w:r>
            <w:r>
              <w:rPr>
                <w:rFonts w:hint="eastAsia" w:ascii="宋体" w:hAnsi="宋体" w:cs="宋体"/>
                <w:color w:val="000000"/>
                <w:szCs w:val="21"/>
                <w:highlight w:val="none"/>
              </w:rPr>
              <w:t>分</w:t>
            </w:r>
          </w:p>
        </w:tc>
        <w:tc>
          <w:tcPr>
            <w:tcW w:w="5917" w:type="dxa"/>
            <w:noWrap w:val="0"/>
            <w:vAlign w:val="top"/>
          </w:tcPr>
          <w:p w14:paraId="05E11627">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left"/>
              <w:textAlignment w:val="auto"/>
              <w:rPr>
                <w:rFonts w:hint="eastAsia" w:ascii="宋体" w:hAnsi="宋体" w:cs="Times New Roman"/>
                <w:color w:val="000000"/>
                <w:szCs w:val="21"/>
                <w:highlight w:val="none"/>
                <w:lang w:val="en-US" w:eastAsia="zh-CN"/>
              </w:rPr>
            </w:pPr>
            <w:r>
              <w:rPr>
                <w:rFonts w:hint="eastAsia" w:ascii="宋体" w:hAnsi="宋体" w:cs="Times New Roman"/>
                <w:color w:val="000000"/>
                <w:szCs w:val="21"/>
                <w:highlight w:val="none"/>
                <w:lang w:val="en-US" w:eastAsia="zh-CN"/>
              </w:rPr>
              <w:t xml:space="preserve">投标人设计团队中： </w:t>
            </w:r>
          </w:p>
          <w:p w14:paraId="2E098530">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eastAsia" w:ascii="宋体" w:hAnsi="宋体" w:cs="Times New Roman"/>
                <w:color w:val="000000"/>
                <w:szCs w:val="21"/>
                <w:highlight w:val="none"/>
                <w:lang w:val="en-US" w:eastAsia="zh-CN"/>
              </w:rPr>
            </w:pPr>
            <w:r>
              <w:rPr>
                <w:rFonts w:hint="eastAsia" w:ascii="宋体" w:hAnsi="宋体" w:cs="Times New Roman"/>
                <w:color w:val="000000"/>
                <w:szCs w:val="21"/>
                <w:highlight w:val="none"/>
                <w:lang w:val="en-US" w:eastAsia="zh-CN"/>
              </w:rPr>
              <w:t xml:space="preserve">（1）提供1个一级注册结构工程师证书的得2分； </w:t>
            </w:r>
          </w:p>
          <w:p w14:paraId="0FBD19BD">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eastAsia" w:ascii="宋体" w:hAnsi="宋体" w:cs="Times New Roman"/>
                <w:color w:val="000000"/>
                <w:szCs w:val="21"/>
                <w:highlight w:val="none"/>
                <w:lang w:val="en-US" w:eastAsia="zh-CN"/>
              </w:rPr>
            </w:pPr>
            <w:r>
              <w:rPr>
                <w:rFonts w:hint="eastAsia" w:ascii="宋体" w:hAnsi="宋体" w:cs="Times New Roman"/>
                <w:color w:val="000000"/>
                <w:szCs w:val="21"/>
                <w:highlight w:val="none"/>
                <w:lang w:val="en-US" w:eastAsia="zh-CN"/>
              </w:rPr>
              <w:t>（2）提供1个一级注册建筑师证书的得2分；</w:t>
            </w:r>
          </w:p>
          <w:p w14:paraId="42027104">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eastAsia" w:ascii="宋体" w:hAnsi="宋体" w:cs="Times New Roman"/>
                <w:color w:val="000000"/>
                <w:szCs w:val="21"/>
                <w:highlight w:val="none"/>
                <w:lang w:val="en-US" w:eastAsia="zh-CN"/>
              </w:rPr>
            </w:pPr>
            <w:r>
              <w:rPr>
                <w:rFonts w:hint="eastAsia" w:ascii="宋体" w:hAnsi="宋体" w:cs="Times New Roman"/>
                <w:color w:val="000000"/>
                <w:szCs w:val="21"/>
                <w:highlight w:val="none"/>
                <w:lang w:val="en-US" w:eastAsia="zh-CN"/>
              </w:rPr>
              <w:t>（3）提供1个注册给水排水工程师证书的得2分；</w:t>
            </w:r>
          </w:p>
          <w:p w14:paraId="5C00CCDC">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eastAsia" w:ascii="宋体" w:hAnsi="宋体" w:cs="Times New Roman"/>
                <w:color w:val="000000"/>
                <w:szCs w:val="21"/>
                <w:highlight w:val="none"/>
                <w:lang w:val="en-US" w:eastAsia="zh-CN"/>
              </w:rPr>
            </w:pPr>
            <w:r>
              <w:rPr>
                <w:rFonts w:hint="eastAsia" w:ascii="宋体" w:hAnsi="宋体" w:cs="Times New Roman"/>
                <w:color w:val="000000"/>
                <w:szCs w:val="21"/>
                <w:highlight w:val="none"/>
                <w:lang w:val="en-US" w:eastAsia="zh-CN"/>
              </w:rPr>
              <w:t xml:space="preserve">（4）提供1个注册电气工程师（供配电）的得2分； </w:t>
            </w:r>
          </w:p>
          <w:p w14:paraId="6F4D5664">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default" w:ascii="宋体" w:hAnsi="宋体" w:cs="Times New Roman"/>
                <w:color w:val="000000"/>
                <w:szCs w:val="21"/>
                <w:highlight w:val="none"/>
                <w:lang w:val="en-US" w:eastAsia="zh-CN"/>
              </w:rPr>
            </w:pPr>
            <w:r>
              <w:rPr>
                <w:rFonts w:hint="eastAsia" w:ascii="宋体" w:hAnsi="宋体" w:cs="Times New Roman"/>
                <w:color w:val="000000"/>
                <w:szCs w:val="21"/>
                <w:highlight w:val="none"/>
                <w:lang w:val="en-US" w:eastAsia="zh-CN"/>
              </w:rPr>
              <w:t>其他的不得分，本项满分8分。</w:t>
            </w:r>
          </w:p>
          <w:p w14:paraId="16E082EA">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eastAsia" w:ascii="宋体" w:hAnsi="宋体" w:cs="Times New Roman"/>
                <w:color w:val="000000"/>
                <w:szCs w:val="21"/>
                <w:highlight w:val="none"/>
                <w:lang w:val="en-US" w:eastAsia="zh-CN"/>
              </w:rPr>
            </w:pPr>
            <w:r>
              <w:rPr>
                <w:rFonts w:hint="eastAsia" w:ascii="宋体" w:hAnsi="宋体" w:cs="Times New Roman"/>
                <w:color w:val="000000"/>
                <w:szCs w:val="21"/>
                <w:highlight w:val="none"/>
                <w:lang w:val="en-US" w:eastAsia="zh-CN"/>
              </w:rPr>
              <w:t>【投标文件中须同时提供人员有效身份证（正反面）和有效证书扫描件。】</w:t>
            </w:r>
          </w:p>
          <w:p w14:paraId="1B77912A">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left"/>
              <w:textAlignment w:val="auto"/>
              <w:rPr>
                <w:rFonts w:ascii="宋体" w:hAnsi="宋体" w:cs="宋体"/>
                <w:color w:val="000000"/>
                <w:szCs w:val="21"/>
                <w:highlight w:val="none"/>
              </w:rPr>
            </w:pPr>
            <w:r>
              <w:rPr>
                <w:rFonts w:hint="eastAsia" w:ascii="宋体" w:hAnsi="宋体" w:cs="Times New Roman"/>
                <w:color w:val="000000"/>
                <w:szCs w:val="21"/>
                <w:highlight w:val="none"/>
                <w:lang w:val="en-US" w:eastAsia="zh-CN"/>
              </w:rPr>
              <w:t xml:space="preserve">注：一人具有多个证书或多人具有同类证书的均计分一次，不重复计分。 </w:t>
            </w:r>
          </w:p>
        </w:tc>
      </w:tr>
      <w:tr w14:paraId="032F1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878" w:type="dxa"/>
            <w:noWrap w:val="0"/>
            <w:vAlign w:val="center"/>
          </w:tcPr>
          <w:p w14:paraId="60AB7FCE">
            <w:pPr>
              <w:adjustRightInd w:val="0"/>
              <w:snapToGrid w:val="0"/>
              <w:spacing w:line="560" w:lineRule="exact"/>
              <w:jc w:val="center"/>
              <w:rPr>
                <w:rFonts w:hint="eastAsia" w:ascii="宋体" w:hAnsi="宋体" w:eastAsia="宋体" w:cs="宋体"/>
                <w:color w:val="000000"/>
                <w:szCs w:val="21"/>
                <w:highlight w:val="none"/>
                <w:lang w:eastAsia="zh-CN"/>
              </w:rPr>
            </w:pPr>
            <w:r>
              <w:rPr>
                <w:rFonts w:hint="eastAsia" w:ascii="宋体" w:hAnsi="宋体"/>
                <w:color w:val="000000"/>
                <w:szCs w:val="21"/>
                <w:highlight w:val="none"/>
                <w:lang w:val="en-US" w:eastAsia="zh-CN"/>
              </w:rPr>
              <w:t>2</w:t>
            </w:r>
          </w:p>
        </w:tc>
        <w:tc>
          <w:tcPr>
            <w:tcW w:w="1276" w:type="dxa"/>
            <w:noWrap w:val="0"/>
            <w:vAlign w:val="center"/>
          </w:tcPr>
          <w:p w14:paraId="4A0E9317">
            <w:pPr>
              <w:adjustRightInd w:val="0"/>
              <w:snapToGrid w:val="0"/>
              <w:spacing w:line="560" w:lineRule="exact"/>
              <w:jc w:val="center"/>
              <w:rPr>
                <w:rFonts w:ascii="宋体" w:hAnsi="宋体" w:cs="宋体"/>
                <w:color w:val="000000"/>
                <w:szCs w:val="21"/>
                <w:highlight w:val="none"/>
              </w:rPr>
            </w:pPr>
            <w:r>
              <w:rPr>
                <w:rFonts w:hint="eastAsia" w:ascii="宋体" w:hAnsi="宋体"/>
                <w:color w:val="000000"/>
                <w:szCs w:val="21"/>
                <w:highlight w:val="none"/>
              </w:rPr>
              <w:t>联合体协议</w:t>
            </w:r>
          </w:p>
        </w:tc>
        <w:tc>
          <w:tcPr>
            <w:tcW w:w="1183" w:type="dxa"/>
            <w:noWrap w:val="0"/>
            <w:vAlign w:val="center"/>
          </w:tcPr>
          <w:p w14:paraId="39E410D8">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2分</w:t>
            </w:r>
          </w:p>
        </w:tc>
        <w:tc>
          <w:tcPr>
            <w:tcW w:w="5917" w:type="dxa"/>
            <w:noWrap w:val="0"/>
            <w:vAlign w:val="center"/>
          </w:tcPr>
          <w:p w14:paraId="5B44DDEC">
            <w:pPr>
              <w:pStyle w:val="17"/>
              <w:adjustRightInd w:val="0"/>
              <w:snapToGrid w:val="0"/>
              <w:spacing w:after="0" w:line="560" w:lineRule="exact"/>
              <w:ind w:left="0" w:leftChars="0" w:firstLine="0" w:firstLineChars="0"/>
              <w:jc w:val="left"/>
              <w:rPr>
                <w:rFonts w:ascii="宋体" w:hAnsi="宋体"/>
                <w:color w:val="000000"/>
                <w:szCs w:val="21"/>
                <w:highlight w:val="none"/>
              </w:rPr>
            </w:pPr>
            <w:r>
              <w:rPr>
                <w:rFonts w:hint="eastAsia" w:ascii="宋体" w:hAnsi="宋体"/>
                <w:color w:val="000000"/>
                <w:szCs w:val="21"/>
                <w:highlight w:val="none"/>
              </w:rPr>
              <w:t>联合体投标的，提供联合体协议明确权责分工等内容的得2分；提供联合体协议但内容不明确的得1分。</w:t>
            </w:r>
          </w:p>
          <w:p w14:paraId="3BDFEFA3">
            <w:pPr>
              <w:adjustRightInd w:val="0"/>
              <w:snapToGrid w:val="0"/>
              <w:spacing w:line="560" w:lineRule="exact"/>
              <w:rPr>
                <w:rFonts w:ascii="宋体" w:hAnsi="宋体" w:cs="宋体"/>
                <w:color w:val="000000"/>
                <w:szCs w:val="21"/>
                <w:highlight w:val="none"/>
              </w:rPr>
            </w:pPr>
            <w:r>
              <w:rPr>
                <w:rFonts w:hint="eastAsia"/>
                <w:color w:val="000000"/>
                <w:highlight w:val="none"/>
              </w:rPr>
              <w:t>非联合体投标的，该项得2分。</w:t>
            </w:r>
          </w:p>
        </w:tc>
      </w:tr>
    </w:tbl>
    <w:p w14:paraId="26D153A4">
      <w:pPr>
        <w:pStyle w:val="17"/>
        <w:adjustRightInd w:val="0"/>
        <w:snapToGrid w:val="0"/>
        <w:spacing w:after="0" w:line="560" w:lineRule="exact"/>
        <w:ind w:left="0" w:leftChars="0" w:firstLine="0" w:firstLineChars="0"/>
        <w:jc w:val="center"/>
        <w:rPr>
          <w:rFonts w:hint="eastAsia" w:eastAsia="宋体"/>
          <w:b/>
          <w:color w:val="000000"/>
          <w:sz w:val="28"/>
          <w:szCs w:val="21"/>
          <w:highlight w:val="none"/>
          <w:lang w:eastAsia="zh-CN"/>
        </w:rPr>
      </w:pPr>
      <w:r>
        <w:rPr>
          <w:rFonts w:hint="eastAsia"/>
          <w:b/>
          <w:color w:val="000000"/>
          <w:sz w:val="28"/>
          <w:szCs w:val="21"/>
          <w:highlight w:val="none"/>
        </w:rPr>
        <w:t>（三）技术标评审</w:t>
      </w:r>
    </w:p>
    <w:tbl>
      <w:tblPr>
        <w:tblStyle w:val="18"/>
        <w:tblW w:w="99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45"/>
        <w:gridCol w:w="1185"/>
        <w:gridCol w:w="91"/>
        <w:gridCol w:w="709"/>
        <w:gridCol w:w="1410"/>
        <w:gridCol w:w="1236"/>
        <w:gridCol w:w="4452"/>
      </w:tblGrid>
      <w:tr w14:paraId="5E060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2184" w:type="dxa"/>
            <w:gridSpan w:val="4"/>
            <w:noWrap w:val="0"/>
            <w:vAlign w:val="center"/>
          </w:tcPr>
          <w:p w14:paraId="4E2502C8">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条款号</w:t>
            </w:r>
          </w:p>
        </w:tc>
        <w:tc>
          <w:tcPr>
            <w:tcW w:w="3355" w:type="dxa"/>
            <w:gridSpan w:val="3"/>
            <w:noWrap w:val="0"/>
            <w:vAlign w:val="center"/>
          </w:tcPr>
          <w:p w14:paraId="119F757C">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评审因素</w:t>
            </w:r>
          </w:p>
        </w:tc>
        <w:tc>
          <w:tcPr>
            <w:tcW w:w="4452" w:type="dxa"/>
            <w:noWrap w:val="0"/>
            <w:vAlign w:val="center"/>
          </w:tcPr>
          <w:p w14:paraId="34B801AF">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评审标准</w:t>
            </w:r>
          </w:p>
        </w:tc>
      </w:tr>
      <w:tr w14:paraId="47202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8" w:type="dxa"/>
            <w:gridSpan w:val="2"/>
            <w:noWrap w:val="0"/>
            <w:vAlign w:val="center"/>
          </w:tcPr>
          <w:p w14:paraId="0BA648BA">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4.1.1</w:t>
            </w:r>
          </w:p>
        </w:tc>
        <w:tc>
          <w:tcPr>
            <w:tcW w:w="1276" w:type="dxa"/>
            <w:gridSpan w:val="2"/>
            <w:noWrap w:val="0"/>
            <w:vAlign w:val="center"/>
          </w:tcPr>
          <w:p w14:paraId="49C16631">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形式评审标准</w:t>
            </w:r>
          </w:p>
        </w:tc>
        <w:tc>
          <w:tcPr>
            <w:tcW w:w="3355" w:type="dxa"/>
            <w:gridSpan w:val="3"/>
            <w:noWrap w:val="0"/>
            <w:vAlign w:val="center"/>
          </w:tcPr>
          <w:p w14:paraId="54ECA4DB">
            <w:pPr>
              <w:spacing w:line="560" w:lineRule="exact"/>
              <w:jc w:val="center"/>
              <w:rPr>
                <w:color w:val="000000"/>
                <w:highlight w:val="none"/>
              </w:rPr>
            </w:pPr>
            <w:r>
              <w:rPr>
                <w:rFonts w:hint="eastAsia"/>
                <w:color w:val="000000"/>
                <w:highlight w:val="none"/>
              </w:rPr>
              <w:t>投标文件格式</w:t>
            </w:r>
          </w:p>
        </w:tc>
        <w:tc>
          <w:tcPr>
            <w:tcW w:w="4452" w:type="dxa"/>
            <w:noWrap w:val="0"/>
            <w:vAlign w:val="center"/>
          </w:tcPr>
          <w:p w14:paraId="0C2A5644">
            <w:pPr>
              <w:spacing w:line="440" w:lineRule="exact"/>
              <w:jc w:val="left"/>
              <w:rPr>
                <w:color w:val="000000"/>
                <w:highlight w:val="none"/>
              </w:rPr>
            </w:pPr>
            <w:r>
              <w:rPr>
                <w:rFonts w:hint="eastAsia"/>
                <w:color w:val="000000"/>
                <w:highlight w:val="none"/>
              </w:rPr>
              <w:t>符合第九章“投标文件格式”的要求，否则经评委会一致认定后,按照无效投标处理。</w:t>
            </w:r>
          </w:p>
          <w:p w14:paraId="6216E1D8">
            <w:pPr>
              <w:spacing w:line="440" w:lineRule="exact"/>
              <w:jc w:val="left"/>
              <w:rPr>
                <w:color w:val="000000"/>
                <w:highlight w:val="none"/>
              </w:rPr>
            </w:pPr>
            <w:r>
              <w:rPr>
                <w:rFonts w:hint="eastAsia"/>
                <w:color w:val="000000"/>
                <w:highlight w:val="none"/>
              </w:rPr>
              <w:t>注：本项目技术标采用暗标评审，无须签章、签字</w:t>
            </w:r>
          </w:p>
        </w:tc>
      </w:tr>
      <w:tr w14:paraId="6683B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8" w:type="dxa"/>
            <w:gridSpan w:val="2"/>
            <w:vMerge w:val="restart"/>
            <w:noWrap w:val="0"/>
            <w:vAlign w:val="center"/>
          </w:tcPr>
          <w:p w14:paraId="15D66D42">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4.1.2</w:t>
            </w:r>
          </w:p>
        </w:tc>
        <w:tc>
          <w:tcPr>
            <w:tcW w:w="1276" w:type="dxa"/>
            <w:gridSpan w:val="2"/>
            <w:vMerge w:val="restart"/>
            <w:noWrap w:val="0"/>
            <w:vAlign w:val="center"/>
          </w:tcPr>
          <w:p w14:paraId="2FDD668E">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响应性评审标准</w:t>
            </w:r>
          </w:p>
        </w:tc>
        <w:tc>
          <w:tcPr>
            <w:tcW w:w="3355" w:type="dxa"/>
            <w:gridSpan w:val="3"/>
            <w:noWrap w:val="0"/>
            <w:vAlign w:val="center"/>
          </w:tcPr>
          <w:p w14:paraId="343BE279">
            <w:pPr>
              <w:adjustRightInd w:val="0"/>
              <w:snapToGrid w:val="0"/>
              <w:spacing w:line="560" w:lineRule="exact"/>
              <w:jc w:val="center"/>
              <w:textAlignment w:val="baseline"/>
              <w:rPr>
                <w:color w:val="000000"/>
                <w:szCs w:val="21"/>
                <w:highlight w:val="none"/>
              </w:rPr>
            </w:pPr>
            <w:r>
              <w:rPr>
                <w:color w:val="000000"/>
                <w:szCs w:val="21"/>
                <w:highlight w:val="none"/>
              </w:rPr>
              <w:t>投标内容</w:t>
            </w:r>
          </w:p>
        </w:tc>
        <w:tc>
          <w:tcPr>
            <w:tcW w:w="4452" w:type="dxa"/>
            <w:noWrap w:val="0"/>
            <w:vAlign w:val="center"/>
          </w:tcPr>
          <w:p w14:paraId="37D64B5E">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符合第二章“投标人须知”规定。</w:t>
            </w:r>
          </w:p>
        </w:tc>
      </w:tr>
      <w:tr w14:paraId="6A51A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8" w:type="dxa"/>
            <w:gridSpan w:val="2"/>
            <w:vMerge w:val="continue"/>
            <w:noWrap w:val="0"/>
            <w:vAlign w:val="top"/>
          </w:tcPr>
          <w:p w14:paraId="68A13638">
            <w:pPr>
              <w:adjustRightInd w:val="0"/>
              <w:snapToGrid w:val="0"/>
              <w:spacing w:line="560" w:lineRule="exact"/>
              <w:jc w:val="center"/>
              <w:rPr>
                <w:rFonts w:ascii="宋体" w:hAnsi="宋体" w:cs="宋体"/>
                <w:color w:val="000000"/>
                <w:szCs w:val="21"/>
                <w:highlight w:val="none"/>
              </w:rPr>
            </w:pPr>
          </w:p>
        </w:tc>
        <w:tc>
          <w:tcPr>
            <w:tcW w:w="1276" w:type="dxa"/>
            <w:gridSpan w:val="2"/>
            <w:vMerge w:val="continue"/>
            <w:noWrap w:val="0"/>
            <w:vAlign w:val="top"/>
          </w:tcPr>
          <w:p w14:paraId="741907CD">
            <w:pPr>
              <w:adjustRightInd w:val="0"/>
              <w:snapToGrid w:val="0"/>
              <w:spacing w:line="560" w:lineRule="exact"/>
              <w:jc w:val="center"/>
              <w:rPr>
                <w:rFonts w:ascii="宋体" w:hAnsi="宋体" w:cs="宋体"/>
                <w:color w:val="000000"/>
                <w:szCs w:val="21"/>
                <w:highlight w:val="none"/>
              </w:rPr>
            </w:pPr>
          </w:p>
        </w:tc>
        <w:tc>
          <w:tcPr>
            <w:tcW w:w="3355" w:type="dxa"/>
            <w:gridSpan w:val="3"/>
            <w:noWrap w:val="0"/>
            <w:vAlign w:val="center"/>
          </w:tcPr>
          <w:p w14:paraId="23AAB0E7">
            <w:pPr>
              <w:adjustRightInd w:val="0"/>
              <w:snapToGrid w:val="0"/>
              <w:spacing w:line="560" w:lineRule="exact"/>
              <w:jc w:val="center"/>
              <w:textAlignment w:val="baseline"/>
              <w:rPr>
                <w:color w:val="000000"/>
                <w:szCs w:val="21"/>
                <w:highlight w:val="none"/>
              </w:rPr>
            </w:pPr>
            <w:r>
              <w:rPr>
                <w:color w:val="000000"/>
                <w:szCs w:val="21"/>
                <w:highlight w:val="none"/>
              </w:rPr>
              <w:t>权利义务</w:t>
            </w:r>
          </w:p>
        </w:tc>
        <w:tc>
          <w:tcPr>
            <w:tcW w:w="4452" w:type="dxa"/>
            <w:noWrap w:val="0"/>
            <w:vAlign w:val="center"/>
          </w:tcPr>
          <w:p w14:paraId="7FD9B307">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符合第五章“合同条款及格式”规定。</w:t>
            </w:r>
          </w:p>
        </w:tc>
      </w:tr>
      <w:tr w14:paraId="3EEB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08" w:type="dxa"/>
            <w:gridSpan w:val="2"/>
            <w:vMerge w:val="continue"/>
            <w:noWrap w:val="0"/>
            <w:vAlign w:val="top"/>
          </w:tcPr>
          <w:p w14:paraId="70DC2DC0">
            <w:pPr>
              <w:adjustRightInd w:val="0"/>
              <w:snapToGrid w:val="0"/>
              <w:spacing w:line="560" w:lineRule="exact"/>
              <w:jc w:val="center"/>
              <w:rPr>
                <w:rFonts w:ascii="宋体" w:hAnsi="宋体" w:cs="宋体"/>
                <w:color w:val="000000"/>
                <w:szCs w:val="21"/>
                <w:highlight w:val="none"/>
              </w:rPr>
            </w:pPr>
          </w:p>
        </w:tc>
        <w:tc>
          <w:tcPr>
            <w:tcW w:w="1276" w:type="dxa"/>
            <w:gridSpan w:val="2"/>
            <w:vMerge w:val="continue"/>
            <w:noWrap w:val="0"/>
            <w:vAlign w:val="top"/>
          </w:tcPr>
          <w:p w14:paraId="3746C878">
            <w:pPr>
              <w:adjustRightInd w:val="0"/>
              <w:snapToGrid w:val="0"/>
              <w:spacing w:line="560" w:lineRule="exact"/>
              <w:jc w:val="center"/>
              <w:rPr>
                <w:rFonts w:ascii="宋体" w:hAnsi="宋体" w:cs="宋体"/>
                <w:color w:val="000000"/>
                <w:szCs w:val="21"/>
                <w:highlight w:val="none"/>
              </w:rPr>
            </w:pPr>
          </w:p>
        </w:tc>
        <w:tc>
          <w:tcPr>
            <w:tcW w:w="3355" w:type="dxa"/>
            <w:gridSpan w:val="3"/>
            <w:noWrap w:val="0"/>
            <w:vAlign w:val="center"/>
          </w:tcPr>
          <w:p w14:paraId="5F9262BE">
            <w:pPr>
              <w:adjustRightInd w:val="0"/>
              <w:snapToGrid w:val="0"/>
              <w:spacing w:line="560" w:lineRule="exact"/>
              <w:jc w:val="center"/>
              <w:textAlignment w:val="baseline"/>
              <w:rPr>
                <w:color w:val="000000"/>
                <w:szCs w:val="21"/>
                <w:highlight w:val="none"/>
              </w:rPr>
            </w:pPr>
            <w:r>
              <w:rPr>
                <w:rFonts w:hint="eastAsia"/>
                <w:color w:val="000000"/>
                <w:szCs w:val="21"/>
                <w:highlight w:val="none"/>
              </w:rPr>
              <w:t>技术标准和要求</w:t>
            </w:r>
          </w:p>
        </w:tc>
        <w:tc>
          <w:tcPr>
            <w:tcW w:w="4452" w:type="dxa"/>
            <w:noWrap w:val="0"/>
            <w:vAlign w:val="center"/>
          </w:tcPr>
          <w:p w14:paraId="4761EC05">
            <w:pPr>
              <w:adjustRightInd w:val="0"/>
              <w:snapToGrid w:val="0"/>
              <w:spacing w:line="560" w:lineRule="exact"/>
              <w:rPr>
                <w:rFonts w:ascii="宋体" w:hAnsi="宋体" w:cs="宋体"/>
                <w:color w:val="000000"/>
                <w:szCs w:val="21"/>
                <w:highlight w:val="none"/>
              </w:rPr>
            </w:pPr>
            <w:r>
              <w:rPr>
                <w:rFonts w:hint="eastAsia" w:ascii="宋体" w:hAnsi="宋体" w:cs="宋体"/>
                <w:color w:val="000000"/>
                <w:szCs w:val="21"/>
                <w:highlight w:val="none"/>
              </w:rPr>
              <w:t>符合第八章“技术标准和要求”规定。</w:t>
            </w:r>
          </w:p>
        </w:tc>
      </w:tr>
      <w:tr w14:paraId="42BE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991" w:type="dxa"/>
            <w:gridSpan w:val="8"/>
            <w:noWrap w:val="0"/>
            <w:vAlign w:val="top"/>
          </w:tcPr>
          <w:p w14:paraId="3BFC0CD2">
            <w:pPr>
              <w:adjustRightInd w:val="0"/>
              <w:snapToGrid w:val="0"/>
              <w:spacing w:line="560" w:lineRule="exact"/>
              <w:jc w:val="center"/>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技术标评分细则</w:t>
            </w:r>
            <w:r>
              <w:rPr>
                <w:rFonts w:hint="eastAsia" w:ascii="宋体" w:hAnsi="宋体" w:cs="宋体"/>
                <w:color w:val="000000"/>
                <w:szCs w:val="21"/>
                <w:highlight w:val="none"/>
                <w:lang w:eastAsia="zh-CN"/>
              </w:rPr>
              <w:t>（</w:t>
            </w:r>
            <w:r>
              <w:rPr>
                <w:rFonts w:hint="eastAsia" w:ascii="宋体" w:hAnsi="宋体" w:cs="宋体"/>
                <w:color w:val="000000"/>
                <w:szCs w:val="21"/>
                <w:highlight w:val="none"/>
                <w:lang w:val="en-US" w:eastAsia="zh-CN"/>
              </w:rPr>
              <w:t>30分</w:t>
            </w:r>
            <w:r>
              <w:rPr>
                <w:rFonts w:hint="eastAsia" w:ascii="宋体" w:hAnsi="宋体" w:cs="宋体"/>
                <w:color w:val="000000"/>
                <w:szCs w:val="21"/>
                <w:highlight w:val="none"/>
                <w:lang w:eastAsia="zh-CN"/>
              </w:rPr>
              <w:t>）</w:t>
            </w:r>
          </w:p>
        </w:tc>
      </w:tr>
      <w:tr w14:paraId="6CFC3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63" w:type="dxa"/>
            <w:noWrap w:val="0"/>
            <w:vAlign w:val="top"/>
          </w:tcPr>
          <w:p w14:paraId="5B945B79">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序号</w:t>
            </w:r>
          </w:p>
        </w:tc>
        <w:tc>
          <w:tcPr>
            <w:tcW w:w="1330" w:type="dxa"/>
            <w:gridSpan w:val="2"/>
            <w:noWrap w:val="0"/>
            <w:vAlign w:val="top"/>
          </w:tcPr>
          <w:p w14:paraId="16228735">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评审因素</w:t>
            </w:r>
          </w:p>
        </w:tc>
        <w:tc>
          <w:tcPr>
            <w:tcW w:w="800" w:type="dxa"/>
            <w:gridSpan w:val="2"/>
            <w:noWrap w:val="0"/>
            <w:vAlign w:val="top"/>
          </w:tcPr>
          <w:p w14:paraId="49851477">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分值设置</w:t>
            </w:r>
          </w:p>
        </w:tc>
        <w:tc>
          <w:tcPr>
            <w:tcW w:w="1410" w:type="dxa"/>
            <w:noWrap w:val="0"/>
            <w:vAlign w:val="top"/>
          </w:tcPr>
          <w:p w14:paraId="5F42777B">
            <w:pPr>
              <w:adjustRightInd w:val="0"/>
              <w:snapToGrid w:val="0"/>
              <w:spacing w:line="560" w:lineRule="exact"/>
              <w:jc w:val="center"/>
              <w:rPr>
                <w:rFonts w:hint="eastAsia" w:ascii="宋体" w:hAnsi="宋体" w:cs="宋体"/>
                <w:color w:val="000000"/>
                <w:szCs w:val="21"/>
                <w:highlight w:val="none"/>
              </w:rPr>
            </w:pPr>
          </w:p>
        </w:tc>
        <w:tc>
          <w:tcPr>
            <w:tcW w:w="5688" w:type="dxa"/>
            <w:gridSpan w:val="2"/>
            <w:noWrap w:val="0"/>
            <w:vAlign w:val="top"/>
          </w:tcPr>
          <w:p w14:paraId="47F51C35">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评审标准</w:t>
            </w:r>
          </w:p>
        </w:tc>
      </w:tr>
      <w:tr w14:paraId="24FB9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63" w:type="dxa"/>
            <w:vMerge w:val="restart"/>
            <w:noWrap w:val="0"/>
            <w:vAlign w:val="center"/>
          </w:tcPr>
          <w:p w14:paraId="588535D9">
            <w:pPr>
              <w:adjustRightInd w:val="0"/>
              <w:snapToGrid w:val="0"/>
              <w:spacing w:line="560" w:lineRule="exact"/>
              <w:jc w:val="center"/>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1</w:t>
            </w:r>
          </w:p>
        </w:tc>
        <w:tc>
          <w:tcPr>
            <w:tcW w:w="1330" w:type="dxa"/>
            <w:gridSpan w:val="2"/>
            <w:vMerge w:val="restart"/>
            <w:noWrap w:val="0"/>
            <w:vAlign w:val="center"/>
          </w:tcPr>
          <w:p w14:paraId="675595E8">
            <w:pPr>
              <w:adjustRightInd w:val="0"/>
              <w:snapToGrid w:val="0"/>
              <w:spacing w:line="560" w:lineRule="exact"/>
              <w:jc w:val="center"/>
              <w:rPr>
                <w:rFonts w:hint="eastAsia" w:ascii="宋体" w:hAnsi="宋体" w:eastAsia="宋体" w:cs="宋体"/>
                <w:color w:val="000000"/>
                <w:szCs w:val="21"/>
                <w:highlight w:val="none"/>
                <w:lang w:eastAsia="zh-CN"/>
              </w:rPr>
            </w:pPr>
            <w:r>
              <w:rPr>
                <w:rFonts w:hint="eastAsia" w:ascii="宋体" w:hAnsi="宋体" w:cs="宋体"/>
                <w:color w:val="000000"/>
                <w:szCs w:val="21"/>
                <w:highlight w:val="none"/>
                <w:lang w:val="en-US" w:eastAsia="zh-CN"/>
              </w:rPr>
              <w:t>深化</w:t>
            </w:r>
            <w:r>
              <w:rPr>
                <w:rFonts w:hint="eastAsia" w:ascii="宋体" w:hAnsi="宋体" w:cs="宋体"/>
                <w:color w:val="000000"/>
                <w:szCs w:val="21"/>
                <w:highlight w:val="none"/>
              </w:rPr>
              <w:t>设计方案</w:t>
            </w:r>
          </w:p>
        </w:tc>
        <w:tc>
          <w:tcPr>
            <w:tcW w:w="800" w:type="dxa"/>
            <w:gridSpan w:val="2"/>
            <w:vMerge w:val="restart"/>
            <w:noWrap w:val="0"/>
            <w:vAlign w:val="center"/>
          </w:tcPr>
          <w:p w14:paraId="2B7FD021">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lang w:val="en-US" w:eastAsia="zh-CN"/>
              </w:rPr>
              <w:t>20</w:t>
            </w:r>
            <w:r>
              <w:rPr>
                <w:rFonts w:hint="eastAsia" w:ascii="宋体" w:hAnsi="宋体" w:cs="宋体"/>
                <w:color w:val="000000"/>
                <w:szCs w:val="21"/>
                <w:highlight w:val="none"/>
              </w:rPr>
              <w:t>分</w:t>
            </w:r>
          </w:p>
        </w:tc>
        <w:tc>
          <w:tcPr>
            <w:tcW w:w="1410" w:type="dxa"/>
            <w:noWrap w:val="0"/>
            <w:vAlign w:val="center"/>
          </w:tcPr>
          <w:p w14:paraId="73D30AA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设计构思</w:t>
            </w:r>
          </w:p>
          <w:p w14:paraId="07A4167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color w:val="000000"/>
                <w:szCs w:val="21"/>
                <w:highlight w:val="none"/>
                <w:lang w:val="en-US" w:eastAsia="zh-CN"/>
              </w:rPr>
            </w:pPr>
            <w:r>
              <w:rPr>
                <w:rFonts w:hint="eastAsia" w:ascii="宋体" w:hAnsi="宋体" w:cs="宋体"/>
                <w:color w:val="000000" w:themeColor="text1"/>
                <w:szCs w:val="21"/>
                <w:highlight w:val="none"/>
                <w:lang w:val="en-US"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4分</w:t>
            </w:r>
            <w:r>
              <w:rPr>
                <w:rFonts w:hint="eastAsia" w:ascii="宋体" w:hAnsi="宋体" w:cs="宋体"/>
                <w:color w:val="000000" w:themeColor="text1"/>
                <w:szCs w:val="21"/>
                <w:highlight w:val="none"/>
                <w:lang w:val="en-US" w:eastAsia="zh-CN"/>
                <w14:textFill>
                  <w14:solidFill>
                    <w14:schemeClr w14:val="tx1"/>
                  </w14:solidFill>
                </w14:textFill>
              </w:rPr>
              <w:t>）</w:t>
            </w:r>
          </w:p>
        </w:tc>
        <w:tc>
          <w:tcPr>
            <w:tcW w:w="5688" w:type="dxa"/>
            <w:gridSpan w:val="2"/>
            <w:noWrap w:val="0"/>
            <w:vAlign w:val="center"/>
          </w:tcPr>
          <w:p w14:paraId="62D3A616">
            <w:pPr>
              <w:adjustRightInd w:val="0"/>
              <w:snapToGrid w:val="0"/>
              <w:spacing w:line="400" w:lineRule="exact"/>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评标小组根据各投标文件所提供的设计构思，以实际使用功能为背景，对设计构思的合理性、可行性、完整性等内容进行综合性评审。</w:t>
            </w:r>
          </w:p>
          <w:p w14:paraId="496698B8">
            <w:pPr>
              <w:adjustRightInd w:val="0"/>
              <w:snapToGrid w:val="0"/>
              <w:spacing w:line="400" w:lineRule="exact"/>
              <w:jc w:val="left"/>
              <w:rPr>
                <w:rFonts w:hint="default" w:cs="Times New Roman"/>
                <w:color w:val="auto"/>
                <w:highlight w:val="none"/>
                <w:lang w:val="en-US" w:eastAsia="zh-CN"/>
              </w:rPr>
            </w:pPr>
            <w:r>
              <w:rPr>
                <w:rFonts w:hint="eastAsia" w:ascii="宋体" w:hAnsi="宋体" w:eastAsia="宋体" w:cs="宋体"/>
                <w:color w:val="auto"/>
                <w:szCs w:val="21"/>
                <w:lang w:val="en-US" w:eastAsia="zh-CN"/>
              </w:rPr>
              <w:t>优秀的得4分；良好的得3.6分；一般的得3.2分；合格的得2.8分；不合格或未提供的得0分。</w:t>
            </w:r>
          </w:p>
        </w:tc>
      </w:tr>
      <w:tr w14:paraId="1FED4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763" w:type="dxa"/>
            <w:vMerge w:val="continue"/>
            <w:noWrap w:val="0"/>
            <w:vAlign w:val="center"/>
          </w:tcPr>
          <w:p w14:paraId="300D982D">
            <w:pPr>
              <w:adjustRightInd w:val="0"/>
              <w:snapToGrid w:val="0"/>
              <w:spacing w:line="560" w:lineRule="exact"/>
              <w:jc w:val="center"/>
              <w:rPr>
                <w:rFonts w:hint="eastAsia" w:ascii="宋体" w:hAnsi="宋体" w:cs="宋体"/>
                <w:color w:val="000000"/>
                <w:szCs w:val="21"/>
                <w:highlight w:val="none"/>
                <w:lang w:val="en-US" w:eastAsia="zh-CN"/>
              </w:rPr>
            </w:pPr>
          </w:p>
        </w:tc>
        <w:tc>
          <w:tcPr>
            <w:tcW w:w="1330" w:type="dxa"/>
            <w:gridSpan w:val="2"/>
            <w:vMerge w:val="continue"/>
            <w:noWrap w:val="0"/>
            <w:vAlign w:val="center"/>
          </w:tcPr>
          <w:p w14:paraId="4C217701">
            <w:pPr>
              <w:adjustRightInd w:val="0"/>
              <w:snapToGrid w:val="0"/>
              <w:spacing w:line="560" w:lineRule="exact"/>
              <w:jc w:val="center"/>
              <w:rPr>
                <w:rFonts w:hint="eastAsia" w:ascii="宋体" w:hAnsi="宋体" w:cs="宋体"/>
                <w:color w:val="000000"/>
                <w:szCs w:val="21"/>
                <w:highlight w:val="none"/>
              </w:rPr>
            </w:pPr>
          </w:p>
        </w:tc>
        <w:tc>
          <w:tcPr>
            <w:tcW w:w="800" w:type="dxa"/>
            <w:gridSpan w:val="2"/>
            <w:vMerge w:val="continue"/>
            <w:noWrap w:val="0"/>
            <w:vAlign w:val="center"/>
          </w:tcPr>
          <w:p w14:paraId="75369E96">
            <w:pPr>
              <w:adjustRightInd w:val="0"/>
              <w:snapToGrid w:val="0"/>
              <w:spacing w:line="560" w:lineRule="exact"/>
              <w:jc w:val="center"/>
              <w:rPr>
                <w:rFonts w:hint="eastAsia" w:ascii="宋体" w:hAnsi="宋体" w:cs="宋体"/>
                <w:color w:val="000000"/>
                <w:szCs w:val="21"/>
                <w:highlight w:val="none"/>
                <w:lang w:val="en-US" w:eastAsia="zh-CN"/>
              </w:rPr>
            </w:pPr>
          </w:p>
        </w:tc>
        <w:tc>
          <w:tcPr>
            <w:tcW w:w="1410" w:type="dxa"/>
            <w:noWrap w:val="0"/>
            <w:vAlign w:val="center"/>
          </w:tcPr>
          <w:p w14:paraId="31416B9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设计的质量保证措施</w:t>
            </w:r>
          </w:p>
          <w:p w14:paraId="7FEDE89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（8分）</w:t>
            </w:r>
          </w:p>
        </w:tc>
        <w:tc>
          <w:tcPr>
            <w:tcW w:w="5688" w:type="dxa"/>
            <w:gridSpan w:val="2"/>
            <w:noWrap w:val="0"/>
            <w:vAlign w:val="center"/>
          </w:tcPr>
          <w:p w14:paraId="7BDBDE6A">
            <w:pPr>
              <w:adjustRightInd w:val="0"/>
              <w:snapToGri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评标小组根据各投标文件所提供招标项目设计的质量保证措施进行综合评审。</w:t>
            </w:r>
          </w:p>
          <w:p w14:paraId="66B259C0">
            <w:pPr>
              <w:adjustRightInd w:val="0"/>
              <w:snapToGrid w:val="0"/>
              <w:spacing w:line="400" w:lineRule="exact"/>
              <w:jc w:val="left"/>
              <w:rPr>
                <w:rFonts w:hint="eastAsia" w:cs="Times New Roman"/>
                <w:color w:val="auto"/>
                <w:highlight w:val="none"/>
                <w:lang w:val="en-US" w:eastAsia="zh-CN"/>
              </w:rPr>
            </w:pPr>
            <w:r>
              <w:rPr>
                <w:rFonts w:hint="eastAsia" w:ascii="宋体" w:hAnsi="宋体" w:eastAsia="宋体" w:cs="宋体"/>
                <w:color w:val="auto"/>
                <w:szCs w:val="21"/>
                <w:highlight w:val="none"/>
                <w:lang w:val="en-US" w:eastAsia="zh-CN"/>
              </w:rPr>
              <w:t>质量保证措施内容详细完善，有效可行，完全满足本项目实施，得8分；质量保证措施内容完整，具有可行性，符合本项目实施，得7.2分； 质量保证措施内容简单，合理可行的，得6.4分；质量保证措施内容简单，可行性存在不足，需进一步完善，得5.6 分；不合格或未提供的得0分。</w:t>
            </w:r>
          </w:p>
        </w:tc>
      </w:tr>
      <w:tr w14:paraId="41212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63" w:type="dxa"/>
            <w:vMerge w:val="continue"/>
            <w:noWrap w:val="0"/>
            <w:vAlign w:val="center"/>
          </w:tcPr>
          <w:p w14:paraId="389C5F6B">
            <w:pPr>
              <w:adjustRightInd w:val="0"/>
              <w:snapToGrid w:val="0"/>
              <w:spacing w:line="560" w:lineRule="exact"/>
              <w:jc w:val="center"/>
              <w:rPr>
                <w:rFonts w:hint="eastAsia" w:ascii="宋体" w:hAnsi="宋体" w:cs="宋体"/>
                <w:color w:val="000000"/>
                <w:szCs w:val="21"/>
                <w:highlight w:val="none"/>
                <w:lang w:val="en-US" w:eastAsia="zh-CN"/>
              </w:rPr>
            </w:pPr>
          </w:p>
        </w:tc>
        <w:tc>
          <w:tcPr>
            <w:tcW w:w="1330" w:type="dxa"/>
            <w:gridSpan w:val="2"/>
            <w:vMerge w:val="continue"/>
            <w:noWrap w:val="0"/>
            <w:vAlign w:val="center"/>
          </w:tcPr>
          <w:p w14:paraId="1F6E12F0">
            <w:pPr>
              <w:adjustRightInd w:val="0"/>
              <w:snapToGrid w:val="0"/>
              <w:spacing w:line="560" w:lineRule="exact"/>
              <w:jc w:val="center"/>
              <w:rPr>
                <w:rFonts w:hint="eastAsia" w:ascii="宋体" w:hAnsi="宋体" w:cs="宋体"/>
                <w:color w:val="000000"/>
                <w:szCs w:val="21"/>
                <w:highlight w:val="none"/>
              </w:rPr>
            </w:pPr>
          </w:p>
        </w:tc>
        <w:tc>
          <w:tcPr>
            <w:tcW w:w="800" w:type="dxa"/>
            <w:gridSpan w:val="2"/>
            <w:vMerge w:val="continue"/>
            <w:noWrap w:val="0"/>
            <w:vAlign w:val="center"/>
          </w:tcPr>
          <w:p w14:paraId="06C32795">
            <w:pPr>
              <w:adjustRightInd w:val="0"/>
              <w:snapToGrid w:val="0"/>
              <w:spacing w:line="560" w:lineRule="exact"/>
              <w:jc w:val="center"/>
              <w:rPr>
                <w:rFonts w:hint="eastAsia" w:ascii="宋体" w:hAnsi="宋体" w:cs="宋体"/>
                <w:color w:val="000000"/>
                <w:szCs w:val="21"/>
                <w:highlight w:val="none"/>
                <w:lang w:val="en-US" w:eastAsia="zh-CN"/>
              </w:rPr>
            </w:pPr>
          </w:p>
        </w:tc>
        <w:tc>
          <w:tcPr>
            <w:tcW w:w="1410" w:type="dxa"/>
            <w:noWrap w:val="0"/>
            <w:vAlign w:val="center"/>
          </w:tcPr>
          <w:p w14:paraId="3CA67B5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后续服务安排及保证措施（8分）</w:t>
            </w:r>
          </w:p>
        </w:tc>
        <w:tc>
          <w:tcPr>
            <w:tcW w:w="5688" w:type="dxa"/>
            <w:gridSpan w:val="2"/>
            <w:noWrap w:val="0"/>
            <w:vAlign w:val="center"/>
          </w:tcPr>
          <w:p w14:paraId="05E1CF90">
            <w:pPr>
              <w:adjustRightInd w:val="0"/>
              <w:snapToGrid w:val="0"/>
              <w:spacing w:line="400" w:lineRule="exact"/>
              <w:jc w:val="left"/>
              <w:rPr>
                <w:color w:val="auto"/>
                <w:highlight w:val="none"/>
              </w:rPr>
            </w:pPr>
            <w:r>
              <w:rPr>
                <w:rFonts w:hint="eastAsia" w:ascii="宋体" w:hAnsi="宋体" w:eastAsia="宋体" w:cs="宋体"/>
                <w:color w:val="auto"/>
                <w:szCs w:val="21"/>
                <w:highlight w:val="none"/>
                <w:lang w:val="en-US" w:eastAsia="zh-CN"/>
              </w:rPr>
              <w:t>评标小组根据各投标文件提供的后续服务的安排及保证措施进行综合评审。</w:t>
            </w:r>
            <w:r>
              <w:rPr>
                <w:rFonts w:hint="eastAsia" w:ascii="宋体" w:hAnsi="宋体" w:eastAsia="宋体" w:cs="宋体"/>
                <w:color w:val="auto"/>
                <w:kern w:val="0"/>
                <w:sz w:val="24"/>
                <w:szCs w:val="24"/>
                <w:highlight w:val="none"/>
                <w:lang w:val="en-US" w:eastAsia="zh-CN" w:bidi="ar"/>
              </w:rPr>
              <w:t xml:space="preserve"> </w:t>
            </w:r>
          </w:p>
          <w:p w14:paraId="425A12EC">
            <w:pPr>
              <w:adjustRightInd w:val="0"/>
              <w:snapToGrid w:val="0"/>
              <w:spacing w:line="400" w:lineRule="exact"/>
              <w:jc w:val="left"/>
              <w:rPr>
                <w:rFonts w:hint="eastAsia" w:cs="Times New Roman"/>
                <w:color w:val="auto"/>
                <w:highlight w:val="none"/>
                <w:lang w:val="en-US" w:eastAsia="zh-CN"/>
              </w:rPr>
            </w:pPr>
            <w:r>
              <w:rPr>
                <w:rFonts w:hint="eastAsia" w:ascii="宋体" w:hAnsi="宋体" w:eastAsia="宋体" w:cs="宋体"/>
                <w:color w:val="auto"/>
                <w:szCs w:val="21"/>
                <w:highlight w:val="none"/>
                <w:lang w:val="en-US" w:eastAsia="zh-CN"/>
              </w:rPr>
              <w:t>后续服务的安排合理，保证措施内容详细完善，有效可行，完全满足本项目实施，得8分；后续服务的安排满足项目需求，保证措施内容完整，具有可行性，符合本项目实施，得7.2分；后续服务的安排，保证措施内容简单，合理可行的，得6.4分；后续服务的安排内容片面，保证措施内容简单，可行性存在不足，需进一步完善，得5.6分；不合格或未提供的得0分。</w:t>
            </w:r>
          </w:p>
        </w:tc>
      </w:tr>
      <w:tr w14:paraId="1AD70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63" w:type="dxa"/>
            <w:noWrap w:val="0"/>
            <w:vAlign w:val="center"/>
          </w:tcPr>
          <w:p w14:paraId="564486C4">
            <w:pPr>
              <w:adjustRightInd w:val="0"/>
              <w:snapToGrid w:val="0"/>
              <w:spacing w:line="560" w:lineRule="exact"/>
              <w:jc w:val="center"/>
              <w:rPr>
                <w:rFonts w:hint="eastAsia" w:ascii="宋体" w:hAnsi="宋体" w:eastAsia="宋体" w:cs="宋体"/>
                <w:color w:val="000000"/>
                <w:szCs w:val="21"/>
                <w:highlight w:val="none"/>
                <w:lang w:eastAsia="zh-CN"/>
              </w:rPr>
            </w:pPr>
            <w:r>
              <w:rPr>
                <w:rFonts w:hint="eastAsia" w:ascii="宋体" w:hAnsi="宋体" w:cs="宋体"/>
                <w:color w:val="000000"/>
                <w:szCs w:val="21"/>
                <w:highlight w:val="none"/>
                <w:lang w:val="en-US" w:eastAsia="zh-CN"/>
              </w:rPr>
              <w:t>2</w:t>
            </w:r>
          </w:p>
        </w:tc>
        <w:tc>
          <w:tcPr>
            <w:tcW w:w="1330" w:type="dxa"/>
            <w:gridSpan w:val="2"/>
            <w:noWrap w:val="0"/>
            <w:vAlign w:val="center"/>
          </w:tcPr>
          <w:p w14:paraId="6B8B759F">
            <w:pPr>
              <w:adjustRightInd w:val="0"/>
              <w:snapToGrid w:val="0"/>
              <w:spacing w:line="560" w:lineRule="exact"/>
              <w:jc w:val="center"/>
              <w:rPr>
                <w:rFonts w:ascii="宋体" w:hAnsi="宋体" w:cs="宋体"/>
                <w:color w:val="000000"/>
                <w:szCs w:val="21"/>
                <w:highlight w:val="none"/>
              </w:rPr>
            </w:pPr>
            <w:r>
              <w:rPr>
                <w:rFonts w:hint="eastAsia" w:ascii="宋体" w:hAnsi="宋体" w:cs="宋体"/>
                <w:color w:val="000000"/>
                <w:szCs w:val="21"/>
                <w:highlight w:val="none"/>
              </w:rPr>
              <w:t>施工组织设计</w:t>
            </w:r>
          </w:p>
        </w:tc>
        <w:tc>
          <w:tcPr>
            <w:tcW w:w="2210" w:type="dxa"/>
            <w:gridSpan w:val="3"/>
            <w:noWrap w:val="0"/>
            <w:vAlign w:val="center"/>
          </w:tcPr>
          <w:p w14:paraId="5C9A435C">
            <w:pPr>
              <w:adjustRightInd w:val="0"/>
              <w:snapToGrid w:val="0"/>
              <w:spacing w:line="560" w:lineRule="exact"/>
              <w:jc w:val="center"/>
              <w:rPr>
                <w:rFonts w:hint="eastAsia" w:ascii="宋体" w:hAnsi="宋体" w:cs="宋体"/>
                <w:color w:val="000000"/>
                <w:szCs w:val="21"/>
                <w:highlight w:val="none"/>
              </w:rPr>
            </w:pPr>
            <w:r>
              <w:rPr>
                <w:rFonts w:hint="eastAsia" w:ascii="宋体" w:hAnsi="宋体" w:cs="宋体"/>
                <w:color w:val="000000"/>
                <w:szCs w:val="21"/>
                <w:highlight w:val="none"/>
                <w:lang w:val="en-US" w:eastAsia="zh-CN"/>
              </w:rPr>
              <w:t>10</w:t>
            </w:r>
            <w:r>
              <w:rPr>
                <w:rFonts w:hint="eastAsia" w:ascii="宋体" w:hAnsi="宋体" w:cs="宋体"/>
                <w:color w:val="000000"/>
                <w:szCs w:val="21"/>
                <w:highlight w:val="none"/>
              </w:rPr>
              <w:t>分</w:t>
            </w:r>
          </w:p>
        </w:tc>
        <w:tc>
          <w:tcPr>
            <w:tcW w:w="5688" w:type="dxa"/>
            <w:gridSpan w:val="2"/>
            <w:noWrap w:val="0"/>
            <w:vAlign w:val="top"/>
          </w:tcPr>
          <w:p w14:paraId="2704F24E">
            <w:pPr>
              <w:spacing w:line="440" w:lineRule="exact"/>
              <w:jc w:val="left"/>
              <w:rPr>
                <w:rFonts w:ascii="宋体" w:hAnsi="宋体" w:cs="宋体"/>
                <w:color w:val="000000"/>
                <w:szCs w:val="21"/>
                <w:highlight w:val="none"/>
              </w:rPr>
            </w:pPr>
            <w:r>
              <w:rPr>
                <w:rFonts w:hint="eastAsia" w:cs="Times New Roman"/>
                <w:color w:val="000000"/>
                <w:highlight w:val="none"/>
                <w:lang w:val="en-US" w:eastAsia="zh-CN"/>
              </w:rPr>
              <w:t>包括①、总体筹划；②、工程进度计划与措施及施工网络图；③、主要施工方案和技术措施；④、主要物资供应计划；⑤、劳动力安排计划，主要施工机械、设备进场计划；⑥、确保工程质量的管理体系与措施；⑦、确保安全生产的管理体系与措施；⑧、确保文明施工的管理体系与措施；⑨、工程重难点及对应保证措施；⑩、危大工程安全管理与新技术、新产品、新工艺、新材料应用（如有）等。每项分值1分，其中优得1分，良得0.9分，一般得0.8分，合格得0.7分，不合格或未提供的得0分。</w:t>
            </w:r>
          </w:p>
        </w:tc>
      </w:tr>
    </w:tbl>
    <w:p w14:paraId="79C4CB88">
      <w:pPr>
        <w:pStyle w:val="17"/>
        <w:spacing w:after="0" w:line="560" w:lineRule="exact"/>
        <w:ind w:left="0" w:leftChars="0" w:firstLine="422"/>
        <w:jc w:val="left"/>
        <w:rPr>
          <w:rFonts w:hint="eastAsia" w:ascii="宋体" w:hAnsi="宋体" w:eastAsia="宋体" w:cs="宋体"/>
          <w:b/>
          <w:bCs/>
          <w:color w:val="000000"/>
          <w:highlight w:val="none"/>
        </w:rPr>
      </w:pPr>
      <w:r>
        <w:rPr>
          <w:rFonts w:hint="eastAsia" w:ascii="宋体" w:hAnsi="宋体" w:eastAsia="宋体" w:cs="宋体"/>
          <w:b/>
          <w:bCs/>
          <w:color w:val="000000"/>
          <w:highlight w:val="none"/>
        </w:rPr>
        <w:t>注：1、该项由专家评委评审打分，取所有评委评分中分别去掉一个最高和最低评分后的平均值为最终得分，保留两位小数点，第三位四舍五入。</w:t>
      </w:r>
    </w:p>
    <w:p w14:paraId="634E6271">
      <w:pPr>
        <w:pStyle w:val="17"/>
        <w:spacing w:after="0" w:line="560" w:lineRule="exact"/>
        <w:ind w:left="0" w:leftChars="0" w:firstLine="422"/>
        <w:jc w:val="left"/>
        <w:rPr>
          <w:rFonts w:hint="eastAsia" w:ascii="宋体" w:hAnsi="宋体" w:eastAsia="宋体" w:cs="宋体"/>
          <w:b/>
          <w:bCs/>
          <w:color w:val="000000"/>
          <w:highlight w:val="none"/>
        </w:rPr>
      </w:pPr>
      <w:r>
        <w:rPr>
          <w:rFonts w:hint="eastAsia" w:ascii="宋体" w:hAnsi="宋体" w:eastAsia="宋体" w:cs="宋体"/>
          <w:b/>
          <w:bCs/>
          <w:color w:val="000000"/>
          <w:highlight w:val="none"/>
        </w:rPr>
        <w:t>2、该项目技术标为暗标横向评审。暗标横向评审技术标不设目录，评审前系统自动对所有投标人的技术标及各评分点分别进行编号；投标企业制作的技术标部分不得出现可能泄露投标人单位及个人信息的文字、图片、图表（技术标部分不得签章）等有关表述，否则该评分点作零分处理。</w:t>
      </w:r>
    </w:p>
    <w:p w14:paraId="7FB06285">
      <w:pPr>
        <w:pStyle w:val="17"/>
        <w:spacing w:after="0" w:line="560" w:lineRule="exact"/>
        <w:ind w:left="0" w:leftChars="0" w:firstLine="422"/>
        <w:jc w:val="left"/>
        <w:rPr>
          <w:rFonts w:hint="eastAsia" w:ascii="宋体" w:hAnsi="宋体" w:eastAsia="宋体" w:cs="宋体"/>
          <w:b/>
          <w:bCs/>
          <w:color w:val="000000"/>
          <w:highlight w:val="none"/>
        </w:rPr>
      </w:pPr>
      <w:r>
        <w:rPr>
          <w:rFonts w:hint="eastAsia" w:ascii="宋体" w:hAnsi="宋体" w:eastAsia="宋体" w:cs="宋体"/>
          <w:b/>
          <w:bCs/>
          <w:color w:val="000000"/>
          <w:highlight w:val="none"/>
        </w:rPr>
        <w:t>2.1 技术标暗标不设空白页。技术标投标文件封面不出现投标人、法定代表人签章内容，格式以系统设置为准。正文必须按招标文件要求的顺序进行排版；</w:t>
      </w:r>
    </w:p>
    <w:p w14:paraId="5A1C8350">
      <w:pPr>
        <w:pStyle w:val="17"/>
        <w:spacing w:after="0" w:line="560" w:lineRule="exact"/>
        <w:ind w:left="0" w:leftChars="0" w:firstLine="422"/>
        <w:jc w:val="left"/>
        <w:rPr>
          <w:rFonts w:hint="eastAsia" w:ascii="宋体" w:hAnsi="宋体" w:eastAsia="宋体" w:cs="宋体"/>
          <w:b/>
          <w:bCs/>
          <w:color w:val="000000"/>
          <w:highlight w:val="none"/>
        </w:rPr>
      </w:pPr>
      <w:r>
        <w:rPr>
          <w:rFonts w:hint="eastAsia" w:ascii="宋体" w:hAnsi="宋体" w:eastAsia="宋体" w:cs="宋体"/>
          <w:b/>
          <w:bCs/>
          <w:color w:val="000000"/>
          <w:highlight w:val="none"/>
        </w:rPr>
        <w:t>2.2技术标暗标正文文字排版统一使用中文宋体字体，文字为白底黑色，图表采用黑白灰色（不得采用彩色）</w:t>
      </w:r>
      <w:r>
        <w:rPr>
          <w:rFonts w:hint="eastAsia" w:ascii="宋体" w:hAnsi="宋体" w:eastAsia="宋体" w:cs="宋体"/>
          <w:b/>
          <w:bCs/>
          <w:color w:val="000000"/>
          <w:highlight w:val="none"/>
          <w:lang w:eastAsia="zh-CN"/>
        </w:rPr>
        <w:t>，</w:t>
      </w:r>
      <w:r>
        <w:rPr>
          <w:rFonts w:hint="eastAsia" w:ascii="宋体" w:hAnsi="宋体" w:eastAsia="宋体" w:cs="宋体"/>
          <w:b/>
          <w:bCs/>
          <w:color w:val="000000"/>
          <w:highlight w:val="none"/>
        </w:rPr>
        <w:t>设计方案</w:t>
      </w:r>
      <w:r>
        <w:rPr>
          <w:rFonts w:hint="eastAsia" w:ascii="宋体" w:hAnsi="宋体" w:eastAsia="宋体" w:cs="宋体"/>
          <w:b/>
          <w:bCs/>
          <w:color w:val="000000"/>
          <w:highlight w:val="none"/>
          <w:lang w:val="en-US" w:eastAsia="zh-CN"/>
        </w:rPr>
        <w:t>可采用彩色</w:t>
      </w:r>
      <w:r>
        <w:rPr>
          <w:rFonts w:hint="eastAsia" w:ascii="宋体" w:hAnsi="宋体" w:eastAsia="宋体" w:cs="宋体"/>
          <w:b/>
          <w:bCs/>
          <w:color w:val="000000"/>
          <w:highlight w:val="none"/>
        </w:rPr>
        <w:t>。文字部分不得插入任何图表（可以用“见附图x”或“见附表x”说明），附图、附表必须依次附在各章对应评分点内容的文末，计算在页数要求内；</w:t>
      </w:r>
    </w:p>
    <w:p w14:paraId="15CF037E">
      <w:pPr>
        <w:pStyle w:val="17"/>
        <w:spacing w:after="0" w:line="560" w:lineRule="exact"/>
        <w:ind w:left="0" w:leftChars="0" w:firstLine="422"/>
        <w:jc w:val="left"/>
        <w:rPr>
          <w:rFonts w:hint="eastAsia" w:ascii="宋体" w:hAnsi="宋体" w:eastAsia="宋体" w:cs="宋体"/>
          <w:b/>
          <w:bCs/>
          <w:color w:val="000000"/>
          <w:highlight w:val="none"/>
        </w:rPr>
      </w:pPr>
      <w:r>
        <w:rPr>
          <w:rFonts w:hint="eastAsia" w:ascii="宋体" w:hAnsi="宋体" w:eastAsia="宋体" w:cs="宋体"/>
          <w:b/>
          <w:bCs/>
          <w:color w:val="000000"/>
          <w:highlight w:val="none"/>
        </w:rPr>
        <w:t>2.3 正文采用宋体四号常规字，字符间距设为标准值，行距为单倍行距，不勾选“如果定义了文档网格，则对齐到网格”；正文统一设为左对齐，章、节标题、及段落首行缩进2个汉字，段落前后不设空行；正文版面不加页眉、页脚、边框、下划线等标志，正文页码用小五号阿拉伯数字，居中。单位符号中有上下角标要求的，必须在相应位置做角标；</w:t>
      </w:r>
    </w:p>
    <w:p w14:paraId="1DA2BF3E">
      <w:pPr>
        <w:pStyle w:val="17"/>
        <w:spacing w:after="0" w:line="560" w:lineRule="exact"/>
        <w:ind w:left="0" w:leftChars="0" w:firstLine="422"/>
        <w:jc w:val="left"/>
        <w:rPr>
          <w:rFonts w:hint="eastAsia" w:ascii="宋体" w:hAnsi="宋体" w:eastAsia="宋体" w:cs="宋体"/>
          <w:b/>
          <w:bCs/>
          <w:color w:val="000000"/>
          <w:highlight w:val="none"/>
        </w:rPr>
      </w:pPr>
      <w:r>
        <w:rPr>
          <w:rFonts w:hint="eastAsia" w:ascii="宋体" w:hAnsi="宋体" w:eastAsia="宋体" w:cs="宋体"/>
          <w:b/>
          <w:bCs/>
          <w:color w:val="000000"/>
          <w:highlight w:val="none"/>
        </w:rPr>
        <w:t xml:space="preserve">    2.4技术标暗标文件的格式、制作不符合上述要求的，每一分项扣0.2分。技术标实行暗标的，对技术标（暗标）部分不予澄清、说明或者补正。</w:t>
      </w:r>
    </w:p>
    <w:p w14:paraId="089FBBF2">
      <w:pPr>
        <w:pStyle w:val="17"/>
        <w:spacing w:after="0" w:line="560" w:lineRule="exact"/>
        <w:ind w:left="0" w:leftChars="0" w:firstLine="422"/>
        <w:jc w:val="left"/>
        <w:rPr>
          <w:rFonts w:hint="eastAsia" w:ascii="宋体" w:hAnsi="宋体" w:eastAsia="宋体" w:cs="宋体"/>
          <w:b/>
          <w:bCs/>
          <w:color w:val="000000"/>
          <w:highlight w:val="none"/>
        </w:rPr>
      </w:pPr>
      <w:r>
        <w:rPr>
          <w:rFonts w:hint="eastAsia" w:ascii="宋体" w:hAnsi="宋体" w:eastAsia="宋体" w:cs="宋体"/>
          <w:b/>
          <w:bCs/>
          <w:color w:val="000000"/>
          <w:highlight w:val="none"/>
        </w:rPr>
        <w:t>3、招标人应根据招标项目实际，在招标文件中明确招标中总承包方案、设计方案或深化设计方案、施工组织设计的评审要点。</w:t>
      </w:r>
    </w:p>
    <w:p w14:paraId="52E5B4ED">
      <w:pPr>
        <w:pStyle w:val="17"/>
        <w:spacing w:after="0" w:line="560" w:lineRule="exact"/>
        <w:ind w:left="0" w:leftChars="0" w:firstLine="422"/>
        <w:jc w:val="left"/>
        <w:rPr>
          <w:rFonts w:hint="eastAsia" w:ascii="宋体" w:hAnsi="宋体" w:eastAsia="宋体" w:cs="宋体"/>
          <w:b/>
          <w:bCs/>
          <w:color w:val="000000"/>
          <w:highlight w:val="none"/>
        </w:rPr>
      </w:pPr>
      <w:r>
        <w:rPr>
          <w:rFonts w:hint="eastAsia" w:ascii="宋体" w:hAnsi="宋体" w:eastAsia="宋体" w:cs="宋体"/>
          <w:b/>
          <w:bCs/>
          <w:color w:val="000000"/>
          <w:highlight w:val="none"/>
        </w:rPr>
        <w:t>3.</w:t>
      </w:r>
      <w:r>
        <w:rPr>
          <w:rFonts w:hint="eastAsia" w:ascii="宋体" w:hAnsi="宋体" w:eastAsia="宋体" w:cs="宋体"/>
          <w:b/>
          <w:bCs/>
          <w:color w:val="000000"/>
          <w:highlight w:val="none"/>
          <w:lang w:val="en-US" w:eastAsia="zh-CN"/>
        </w:rPr>
        <w:t>1深化</w:t>
      </w:r>
      <w:r>
        <w:rPr>
          <w:rFonts w:hint="eastAsia" w:ascii="宋体" w:hAnsi="宋体" w:eastAsia="宋体" w:cs="宋体"/>
          <w:b/>
          <w:bCs/>
          <w:color w:val="000000"/>
          <w:highlight w:val="none"/>
        </w:rPr>
        <w:t>设计方案：根据评分细则设置各评分点页数不超过20页。</w:t>
      </w:r>
    </w:p>
    <w:p w14:paraId="1AD09AAF">
      <w:pPr>
        <w:pStyle w:val="17"/>
        <w:spacing w:after="0" w:line="560" w:lineRule="exact"/>
        <w:ind w:left="0" w:leftChars="0" w:firstLine="422"/>
        <w:jc w:val="left"/>
        <w:rPr>
          <w:rFonts w:hint="eastAsia" w:ascii="宋体" w:hAnsi="宋体" w:eastAsia="宋体" w:cs="宋体"/>
          <w:b/>
          <w:bCs/>
          <w:color w:val="000000"/>
          <w:highlight w:val="none"/>
        </w:rPr>
      </w:pPr>
      <w:r>
        <w:rPr>
          <w:rFonts w:hint="eastAsia" w:ascii="宋体" w:hAnsi="宋体" w:eastAsia="宋体" w:cs="宋体"/>
          <w:b/>
          <w:bCs/>
          <w:color w:val="000000"/>
          <w:highlight w:val="none"/>
        </w:rPr>
        <w:t>3.</w:t>
      </w:r>
      <w:r>
        <w:rPr>
          <w:rFonts w:hint="eastAsia" w:ascii="宋体" w:hAnsi="宋体" w:eastAsia="宋体" w:cs="宋体"/>
          <w:b/>
          <w:bCs/>
          <w:color w:val="000000"/>
          <w:highlight w:val="none"/>
          <w:lang w:val="en-US" w:eastAsia="zh-CN"/>
        </w:rPr>
        <w:t>2</w:t>
      </w:r>
      <w:r>
        <w:rPr>
          <w:rFonts w:hint="eastAsia" w:ascii="宋体" w:hAnsi="宋体" w:eastAsia="宋体" w:cs="宋体"/>
          <w:b/>
          <w:bCs/>
          <w:color w:val="000000"/>
          <w:highlight w:val="none"/>
        </w:rPr>
        <w:t xml:space="preserve">施工组织设计评审要点主要包括： </w:t>
      </w:r>
    </w:p>
    <w:p w14:paraId="7F715BEA">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①总体筹划（页数不多于4页）；</w:t>
      </w:r>
    </w:p>
    <w:p w14:paraId="6B39067D">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②工程进度计划与措施及施工网络图（页数不多于10页）；</w:t>
      </w:r>
    </w:p>
    <w:p w14:paraId="53C96A85">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③主要施工方案和技术措施（页数不多于15页）；</w:t>
      </w:r>
    </w:p>
    <w:p w14:paraId="147BB0BC">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④主要物资供应计划（页数不多于4页）；</w:t>
      </w:r>
    </w:p>
    <w:p w14:paraId="2BEFE32C">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⑤劳动力安排计划，主要施工机械、设备进场计划（页数不多于12页）；</w:t>
      </w:r>
    </w:p>
    <w:p w14:paraId="3BE13707">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⑥确保工程质量的管理体系与措施（页数不多于7页）；</w:t>
      </w:r>
    </w:p>
    <w:p w14:paraId="055CE90E">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⑦确保安全生产的管理体系与措施（页数不多于7页）；</w:t>
      </w:r>
    </w:p>
    <w:p w14:paraId="3B4DD83D">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⑧确保文明施工的管理体系与措施（页数不多于7页）；</w:t>
      </w:r>
    </w:p>
    <w:p w14:paraId="07D5648D">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⑨工程重难点及对应保证措施（页数不多于7页）；</w:t>
      </w:r>
    </w:p>
    <w:p w14:paraId="1BD5E248">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⑩危大工程安全管理与新技术、新产品、新工艺、新材料应用（如有，页数不多于15页）；</w:t>
      </w:r>
    </w:p>
    <w:p w14:paraId="04E95003">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具体篇幅(字数)要求及扣分标准（扣分值为0.2分）。未做要求的，投标人可根据实际需要进行编制投标文件，但不得出现泄漏投标人信息的任何表述。偏离规定标准的，评标委员会应酌情扣分。</w:t>
      </w:r>
    </w:p>
    <w:p w14:paraId="1060DD5D">
      <w:pPr>
        <w:pStyle w:val="17"/>
        <w:spacing w:after="0" w:line="560" w:lineRule="exact"/>
        <w:ind w:left="0" w:leftChars="0" w:firstLine="422"/>
        <w:jc w:val="left"/>
        <w:rPr>
          <w:rFonts w:hint="eastAsia" w:ascii="宋体" w:hAnsi="宋体" w:eastAsia="宋体" w:cs="宋体"/>
          <w:b w:val="0"/>
          <w:bCs w:val="0"/>
          <w:color w:val="000000"/>
          <w:highlight w:val="none"/>
        </w:rPr>
      </w:pPr>
      <w:r>
        <w:rPr>
          <w:rFonts w:hint="eastAsia" w:ascii="宋体" w:hAnsi="宋体" w:eastAsia="宋体" w:cs="宋体"/>
          <w:b w:val="0"/>
          <w:bCs w:val="0"/>
          <w:color w:val="000000"/>
          <w:highlight w:val="none"/>
        </w:rPr>
        <w:t>4、暗标评审仅限评标环节。评标结束后，如出现质疑、投诉、举报等，经认定评标错误的，由评标委员会纠正错误或重新评分，此时不再受暗标评审约束，但在纠正错误或重新评分中发现投标企业技术标出现可能泄露投标人单位及个人信息的文字、图片、图表（技术标不得签章）等有关表述的，对应技术标评分点按零分处理。</w:t>
      </w:r>
    </w:p>
    <w:p w14:paraId="1D16D7F3">
      <w:pPr>
        <w:pStyle w:val="17"/>
        <w:spacing w:after="0" w:line="560" w:lineRule="exact"/>
        <w:ind w:left="0" w:leftChars="0" w:firstLine="422"/>
        <w:jc w:val="left"/>
        <w:rPr>
          <w:rFonts w:hint="eastAsia" w:ascii="宋体" w:hAnsi="宋体" w:eastAsia="宋体" w:cs="宋体"/>
          <w:b w:val="0"/>
          <w:bCs w:val="0"/>
          <w:color w:val="000000"/>
          <w:highlight w:val="none"/>
        </w:rPr>
      </w:pPr>
      <w:r>
        <w:rPr>
          <w:rFonts w:hint="eastAsia" w:ascii="宋体" w:hAnsi="宋体" w:eastAsia="宋体" w:cs="宋体"/>
          <w:b w:val="0"/>
          <w:bCs w:val="0"/>
          <w:color w:val="000000"/>
          <w:highlight w:val="none"/>
        </w:rPr>
        <w:t>5、如所有投标企业技术标都出现能反映企业信息等相关内容的，该项目流标。</w:t>
      </w:r>
    </w:p>
    <w:p w14:paraId="4D3BEAB8">
      <w:pPr>
        <w:adjustRightInd w:val="0"/>
        <w:snapToGrid w:val="0"/>
        <w:spacing w:line="560" w:lineRule="exact"/>
        <w:jc w:val="center"/>
        <w:rPr>
          <w:rFonts w:ascii="宋体" w:hAnsi="宋体"/>
          <w:color w:val="000000"/>
          <w:sz w:val="25"/>
          <w:highlight w:val="none"/>
        </w:rPr>
      </w:pPr>
      <w:r>
        <w:rPr>
          <w:rFonts w:hint="eastAsia" w:ascii="宋体" w:hAnsi="宋体"/>
          <w:color w:val="000000"/>
          <w:sz w:val="25"/>
          <w:highlight w:val="none"/>
        </w:rPr>
        <w:t>三、商务标评审</w:t>
      </w:r>
    </w:p>
    <w:tbl>
      <w:tblPr>
        <w:tblStyle w:val="18"/>
        <w:tblW w:w="10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572"/>
        <w:gridCol w:w="1907"/>
        <w:gridCol w:w="5926"/>
      </w:tblGrid>
      <w:tr w14:paraId="3FCA3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453" w:type="dxa"/>
            <w:gridSpan w:val="2"/>
            <w:noWrap w:val="0"/>
            <w:vAlign w:val="center"/>
          </w:tcPr>
          <w:p w14:paraId="1EA896A0">
            <w:pPr>
              <w:adjustRightInd w:val="0"/>
              <w:snapToGrid w:val="0"/>
              <w:spacing w:line="560" w:lineRule="exact"/>
              <w:jc w:val="center"/>
              <w:rPr>
                <w:rFonts w:ascii="宋体" w:hAnsi="宋体"/>
                <w:color w:val="000000"/>
                <w:szCs w:val="21"/>
                <w:highlight w:val="none"/>
              </w:rPr>
            </w:pPr>
            <w:r>
              <w:rPr>
                <w:rFonts w:hint="eastAsia" w:ascii="宋体" w:hAnsi="宋体"/>
                <w:color w:val="000000"/>
                <w:szCs w:val="21"/>
                <w:highlight w:val="none"/>
              </w:rPr>
              <w:t>条款号</w:t>
            </w:r>
          </w:p>
        </w:tc>
        <w:tc>
          <w:tcPr>
            <w:tcW w:w="1907" w:type="dxa"/>
            <w:noWrap w:val="0"/>
            <w:vAlign w:val="center"/>
          </w:tcPr>
          <w:p w14:paraId="36D98AB6">
            <w:pPr>
              <w:adjustRightInd w:val="0"/>
              <w:snapToGrid w:val="0"/>
              <w:spacing w:line="560" w:lineRule="exact"/>
              <w:jc w:val="center"/>
              <w:rPr>
                <w:rFonts w:ascii="宋体" w:hAnsi="宋体"/>
                <w:color w:val="000000"/>
                <w:szCs w:val="21"/>
                <w:highlight w:val="none"/>
              </w:rPr>
            </w:pPr>
            <w:r>
              <w:rPr>
                <w:rFonts w:hint="eastAsia" w:ascii="宋体" w:hAnsi="宋体"/>
                <w:color w:val="000000"/>
                <w:szCs w:val="21"/>
                <w:highlight w:val="none"/>
              </w:rPr>
              <w:t>评审因素</w:t>
            </w:r>
          </w:p>
        </w:tc>
        <w:tc>
          <w:tcPr>
            <w:tcW w:w="5926" w:type="dxa"/>
            <w:noWrap w:val="0"/>
            <w:vAlign w:val="center"/>
          </w:tcPr>
          <w:p w14:paraId="46382D8F">
            <w:pPr>
              <w:adjustRightInd w:val="0"/>
              <w:snapToGrid w:val="0"/>
              <w:spacing w:line="560" w:lineRule="exact"/>
              <w:jc w:val="center"/>
              <w:rPr>
                <w:rFonts w:ascii="宋体" w:hAnsi="宋体"/>
                <w:color w:val="000000"/>
                <w:szCs w:val="21"/>
                <w:highlight w:val="none"/>
              </w:rPr>
            </w:pPr>
            <w:r>
              <w:rPr>
                <w:rFonts w:hint="eastAsia" w:ascii="宋体" w:hAnsi="宋体"/>
                <w:color w:val="000000"/>
                <w:szCs w:val="21"/>
                <w:highlight w:val="none"/>
              </w:rPr>
              <w:t>评审标准</w:t>
            </w:r>
          </w:p>
        </w:tc>
      </w:tr>
      <w:tr w14:paraId="52063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1" w:type="dxa"/>
            <w:vMerge w:val="restart"/>
            <w:noWrap w:val="0"/>
            <w:vAlign w:val="center"/>
          </w:tcPr>
          <w:p w14:paraId="07B75392">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4.2.1</w:t>
            </w:r>
          </w:p>
        </w:tc>
        <w:tc>
          <w:tcPr>
            <w:tcW w:w="1572" w:type="dxa"/>
            <w:vMerge w:val="restart"/>
            <w:noWrap w:val="0"/>
            <w:vAlign w:val="center"/>
          </w:tcPr>
          <w:p w14:paraId="49144B8A">
            <w:pPr>
              <w:adjustRightInd w:val="0"/>
              <w:snapToGrid w:val="0"/>
              <w:spacing w:line="560" w:lineRule="exact"/>
              <w:jc w:val="center"/>
              <w:rPr>
                <w:rFonts w:ascii="宋体" w:hAnsi="宋体"/>
                <w:color w:val="000000"/>
                <w:szCs w:val="21"/>
                <w:highlight w:val="none"/>
              </w:rPr>
            </w:pPr>
            <w:r>
              <w:rPr>
                <w:rFonts w:hint="eastAsia" w:ascii="宋体" w:hAnsi="宋体"/>
                <w:color w:val="000000"/>
                <w:szCs w:val="21"/>
                <w:highlight w:val="none"/>
              </w:rPr>
              <w:t>形式评审标准</w:t>
            </w:r>
          </w:p>
        </w:tc>
        <w:tc>
          <w:tcPr>
            <w:tcW w:w="1907" w:type="dxa"/>
            <w:noWrap w:val="0"/>
            <w:vAlign w:val="center"/>
          </w:tcPr>
          <w:p w14:paraId="58EAF88B">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投标函签字盖章</w:t>
            </w:r>
          </w:p>
        </w:tc>
        <w:tc>
          <w:tcPr>
            <w:tcW w:w="5926" w:type="dxa"/>
            <w:noWrap w:val="0"/>
            <w:vAlign w:val="center"/>
          </w:tcPr>
          <w:p w14:paraId="6F2F4898">
            <w:pPr>
              <w:adjustRightInd w:val="0"/>
              <w:snapToGrid w:val="0"/>
              <w:spacing w:line="560" w:lineRule="exact"/>
              <w:jc w:val="left"/>
              <w:rPr>
                <w:rFonts w:ascii="宋体" w:hAnsi="宋体"/>
                <w:color w:val="000000"/>
                <w:szCs w:val="21"/>
                <w:highlight w:val="none"/>
              </w:rPr>
            </w:pPr>
            <w:r>
              <w:rPr>
                <w:rFonts w:hint="eastAsia" w:ascii="宋体" w:hAnsi="宋体"/>
                <w:color w:val="000000"/>
                <w:szCs w:val="21"/>
                <w:highlight w:val="none"/>
              </w:rPr>
              <w:t>有投标人及其法定代表人签章。</w:t>
            </w:r>
          </w:p>
        </w:tc>
      </w:tr>
      <w:tr w14:paraId="00094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81" w:type="dxa"/>
            <w:vMerge w:val="continue"/>
            <w:noWrap w:val="0"/>
            <w:vAlign w:val="center"/>
          </w:tcPr>
          <w:p w14:paraId="7D01889E">
            <w:pPr>
              <w:widowControl/>
              <w:adjustRightInd w:val="0"/>
              <w:snapToGrid w:val="0"/>
              <w:spacing w:line="560" w:lineRule="exact"/>
              <w:jc w:val="left"/>
              <w:rPr>
                <w:rFonts w:ascii="宋体" w:hAnsi="宋体"/>
                <w:color w:val="000000"/>
                <w:szCs w:val="21"/>
                <w:highlight w:val="none"/>
              </w:rPr>
            </w:pPr>
          </w:p>
        </w:tc>
        <w:tc>
          <w:tcPr>
            <w:tcW w:w="1572" w:type="dxa"/>
            <w:vMerge w:val="continue"/>
            <w:noWrap w:val="0"/>
            <w:vAlign w:val="center"/>
          </w:tcPr>
          <w:p w14:paraId="4895ACF9">
            <w:pPr>
              <w:widowControl/>
              <w:adjustRightInd w:val="0"/>
              <w:snapToGrid w:val="0"/>
              <w:spacing w:line="560" w:lineRule="exact"/>
              <w:jc w:val="left"/>
              <w:rPr>
                <w:rFonts w:ascii="宋体" w:hAnsi="宋体"/>
                <w:color w:val="000000"/>
                <w:szCs w:val="21"/>
                <w:highlight w:val="none"/>
              </w:rPr>
            </w:pPr>
          </w:p>
        </w:tc>
        <w:tc>
          <w:tcPr>
            <w:tcW w:w="1907" w:type="dxa"/>
            <w:noWrap w:val="0"/>
            <w:vAlign w:val="center"/>
          </w:tcPr>
          <w:p w14:paraId="3714E954">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投标文件格式</w:t>
            </w:r>
          </w:p>
        </w:tc>
        <w:tc>
          <w:tcPr>
            <w:tcW w:w="5926" w:type="dxa"/>
            <w:noWrap w:val="0"/>
            <w:vAlign w:val="center"/>
          </w:tcPr>
          <w:p w14:paraId="1755126C">
            <w:pPr>
              <w:adjustRightInd w:val="0"/>
              <w:snapToGrid w:val="0"/>
              <w:spacing w:line="560" w:lineRule="exact"/>
              <w:jc w:val="left"/>
              <w:rPr>
                <w:rFonts w:ascii="宋体" w:hAnsi="宋体"/>
                <w:color w:val="000000"/>
                <w:szCs w:val="21"/>
                <w:highlight w:val="none"/>
              </w:rPr>
            </w:pPr>
            <w:r>
              <w:rPr>
                <w:rFonts w:hint="eastAsia" w:ascii="宋体" w:hAnsi="宋体"/>
                <w:color w:val="000000"/>
                <w:szCs w:val="21"/>
                <w:highlight w:val="none"/>
              </w:rPr>
              <w:t>符合第九章“投标文件格式”的要求。</w:t>
            </w:r>
          </w:p>
        </w:tc>
      </w:tr>
      <w:tr w14:paraId="1A5BF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81" w:type="dxa"/>
            <w:vMerge w:val="continue"/>
            <w:noWrap w:val="0"/>
            <w:vAlign w:val="center"/>
          </w:tcPr>
          <w:p w14:paraId="2C31C637">
            <w:pPr>
              <w:widowControl/>
              <w:adjustRightInd w:val="0"/>
              <w:snapToGrid w:val="0"/>
              <w:spacing w:line="560" w:lineRule="exact"/>
              <w:jc w:val="left"/>
              <w:rPr>
                <w:rFonts w:ascii="宋体" w:hAnsi="宋体"/>
                <w:color w:val="000000"/>
                <w:szCs w:val="21"/>
                <w:highlight w:val="none"/>
              </w:rPr>
            </w:pPr>
          </w:p>
        </w:tc>
        <w:tc>
          <w:tcPr>
            <w:tcW w:w="1572" w:type="dxa"/>
            <w:vMerge w:val="continue"/>
            <w:noWrap w:val="0"/>
            <w:vAlign w:val="center"/>
          </w:tcPr>
          <w:p w14:paraId="7AE0ABFB">
            <w:pPr>
              <w:widowControl/>
              <w:adjustRightInd w:val="0"/>
              <w:snapToGrid w:val="0"/>
              <w:spacing w:line="560" w:lineRule="exact"/>
              <w:jc w:val="left"/>
              <w:rPr>
                <w:rFonts w:ascii="宋体" w:hAnsi="宋体"/>
                <w:color w:val="000000"/>
                <w:szCs w:val="21"/>
                <w:highlight w:val="none"/>
              </w:rPr>
            </w:pPr>
          </w:p>
        </w:tc>
        <w:tc>
          <w:tcPr>
            <w:tcW w:w="1907" w:type="dxa"/>
            <w:noWrap w:val="0"/>
            <w:vAlign w:val="center"/>
          </w:tcPr>
          <w:p w14:paraId="68F36E90">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商务标签字盖章</w:t>
            </w:r>
          </w:p>
        </w:tc>
        <w:tc>
          <w:tcPr>
            <w:tcW w:w="5926" w:type="dxa"/>
            <w:noWrap w:val="0"/>
            <w:vAlign w:val="center"/>
          </w:tcPr>
          <w:p w14:paraId="62D41C06">
            <w:pPr>
              <w:adjustRightInd w:val="0"/>
              <w:snapToGrid w:val="0"/>
              <w:spacing w:line="560" w:lineRule="exact"/>
              <w:jc w:val="left"/>
              <w:rPr>
                <w:rFonts w:ascii="宋体" w:hAnsi="宋体"/>
                <w:color w:val="000000"/>
                <w:szCs w:val="21"/>
                <w:highlight w:val="none"/>
              </w:rPr>
            </w:pPr>
            <w:r>
              <w:rPr>
                <w:rFonts w:hint="eastAsia" w:ascii="宋体" w:hAnsi="宋体"/>
                <w:color w:val="000000"/>
                <w:szCs w:val="21"/>
                <w:highlight w:val="none"/>
              </w:rPr>
              <w:t>按投标文件格式要求签章。</w:t>
            </w:r>
          </w:p>
        </w:tc>
      </w:tr>
      <w:tr w14:paraId="5C148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81" w:type="dxa"/>
            <w:vMerge w:val="continue"/>
            <w:noWrap w:val="0"/>
            <w:vAlign w:val="center"/>
          </w:tcPr>
          <w:p w14:paraId="46A458BE">
            <w:pPr>
              <w:widowControl/>
              <w:adjustRightInd w:val="0"/>
              <w:snapToGrid w:val="0"/>
              <w:spacing w:line="560" w:lineRule="exact"/>
              <w:jc w:val="left"/>
              <w:rPr>
                <w:rFonts w:ascii="宋体" w:hAnsi="宋体"/>
                <w:color w:val="000000"/>
                <w:szCs w:val="21"/>
                <w:highlight w:val="none"/>
              </w:rPr>
            </w:pPr>
          </w:p>
        </w:tc>
        <w:tc>
          <w:tcPr>
            <w:tcW w:w="1572" w:type="dxa"/>
            <w:vMerge w:val="continue"/>
            <w:noWrap w:val="0"/>
            <w:vAlign w:val="center"/>
          </w:tcPr>
          <w:p w14:paraId="650C28AA">
            <w:pPr>
              <w:widowControl/>
              <w:adjustRightInd w:val="0"/>
              <w:snapToGrid w:val="0"/>
              <w:spacing w:line="560" w:lineRule="exact"/>
              <w:jc w:val="left"/>
              <w:rPr>
                <w:rFonts w:ascii="宋体" w:hAnsi="宋体"/>
                <w:color w:val="000000"/>
                <w:szCs w:val="21"/>
                <w:highlight w:val="none"/>
              </w:rPr>
            </w:pPr>
          </w:p>
        </w:tc>
        <w:tc>
          <w:tcPr>
            <w:tcW w:w="1907" w:type="dxa"/>
            <w:noWrap w:val="0"/>
            <w:vAlign w:val="center"/>
          </w:tcPr>
          <w:p w14:paraId="50CCBCEE">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报价唯一</w:t>
            </w:r>
          </w:p>
        </w:tc>
        <w:tc>
          <w:tcPr>
            <w:tcW w:w="5926" w:type="dxa"/>
            <w:noWrap w:val="0"/>
            <w:vAlign w:val="center"/>
          </w:tcPr>
          <w:p w14:paraId="17075F9F">
            <w:pPr>
              <w:adjustRightInd w:val="0"/>
              <w:snapToGrid w:val="0"/>
              <w:spacing w:line="560" w:lineRule="exact"/>
              <w:jc w:val="left"/>
              <w:rPr>
                <w:rFonts w:ascii="宋体" w:hAnsi="宋体"/>
                <w:color w:val="000000"/>
                <w:szCs w:val="21"/>
                <w:highlight w:val="none"/>
              </w:rPr>
            </w:pPr>
            <w:r>
              <w:rPr>
                <w:rFonts w:hint="eastAsia" w:ascii="宋体" w:hAnsi="宋体"/>
                <w:color w:val="000000"/>
                <w:szCs w:val="21"/>
                <w:highlight w:val="none"/>
              </w:rPr>
              <w:t>只能有一个报价。</w:t>
            </w:r>
          </w:p>
        </w:tc>
      </w:tr>
      <w:tr w14:paraId="74ADA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81" w:type="dxa"/>
            <w:vMerge w:val="restart"/>
            <w:noWrap w:val="0"/>
            <w:vAlign w:val="center"/>
          </w:tcPr>
          <w:p w14:paraId="7CA240CF">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4.2.2</w:t>
            </w:r>
          </w:p>
        </w:tc>
        <w:tc>
          <w:tcPr>
            <w:tcW w:w="1572" w:type="dxa"/>
            <w:vMerge w:val="restart"/>
            <w:noWrap w:val="0"/>
            <w:vAlign w:val="center"/>
          </w:tcPr>
          <w:p w14:paraId="642DD9C0">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响应性评审标准</w:t>
            </w:r>
          </w:p>
          <w:p w14:paraId="69FB1472">
            <w:pPr>
              <w:adjustRightInd w:val="0"/>
              <w:snapToGrid w:val="0"/>
              <w:spacing w:line="560" w:lineRule="exact"/>
              <w:jc w:val="center"/>
              <w:rPr>
                <w:rFonts w:ascii="宋体" w:hAnsi="宋体"/>
                <w:color w:val="000000"/>
                <w:szCs w:val="21"/>
                <w:highlight w:val="none"/>
              </w:rPr>
            </w:pPr>
          </w:p>
        </w:tc>
        <w:tc>
          <w:tcPr>
            <w:tcW w:w="1907" w:type="dxa"/>
            <w:noWrap w:val="0"/>
            <w:vAlign w:val="center"/>
          </w:tcPr>
          <w:p w14:paraId="18A7F138">
            <w:pPr>
              <w:adjustRightInd w:val="0"/>
              <w:snapToGrid w:val="0"/>
              <w:spacing w:line="560" w:lineRule="exact"/>
              <w:jc w:val="left"/>
              <w:rPr>
                <w:rFonts w:ascii="宋体" w:hAnsi="宋体"/>
                <w:color w:val="000000"/>
                <w:szCs w:val="21"/>
                <w:highlight w:val="none"/>
              </w:rPr>
            </w:pPr>
            <w:r>
              <w:rPr>
                <w:rFonts w:hint="eastAsia" w:ascii="宋体" w:hAnsi="宋体"/>
                <w:color w:val="000000"/>
                <w:szCs w:val="21"/>
                <w:highlight w:val="none"/>
              </w:rPr>
              <w:t>工期</w:t>
            </w:r>
          </w:p>
        </w:tc>
        <w:tc>
          <w:tcPr>
            <w:tcW w:w="5926" w:type="dxa"/>
            <w:noWrap w:val="0"/>
            <w:vAlign w:val="center"/>
          </w:tcPr>
          <w:p w14:paraId="5448821F">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符合投标须知前附表规定。</w:t>
            </w:r>
          </w:p>
        </w:tc>
      </w:tr>
      <w:tr w14:paraId="7C4F2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continue"/>
            <w:noWrap w:val="0"/>
            <w:vAlign w:val="center"/>
          </w:tcPr>
          <w:p w14:paraId="41A4C4C2">
            <w:pPr>
              <w:widowControl/>
              <w:adjustRightInd w:val="0"/>
              <w:snapToGrid w:val="0"/>
              <w:spacing w:line="560" w:lineRule="exact"/>
              <w:jc w:val="left"/>
              <w:rPr>
                <w:rFonts w:ascii="宋体" w:hAnsi="宋体"/>
                <w:color w:val="000000"/>
                <w:szCs w:val="21"/>
                <w:highlight w:val="none"/>
              </w:rPr>
            </w:pPr>
          </w:p>
        </w:tc>
        <w:tc>
          <w:tcPr>
            <w:tcW w:w="1572" w:type="dxa"/>
            <w:vMerge w:val="continue"/>
            <w:noWrap w:val="0"/>
            <w:vAlign w:val="center"/>
          </w:tcPr>
          <w:p w14:paraId="16592A98">
            <w:pPr>
              <w:widowControl/>
              <w:adjustRightInd w:val="0"/>
              <w:snapToGrid w:val="0"/>
              <w:spacing w:line="560" w:lineRule="exact"/>
              <w:jc w:val="left"/>
              <w:rPr>
                <w:rFonts w:ascii="宋体" w:hAnsi="宋体"/>
                <w:color w:val="000000"/>
                <w:szCs w:val="21"/>
                <w:highlight w:val="none"/>
              </w:rPr>
            </w:pPr>
          </w:p>
        </w:tc>
        <w:tc>
          <w:tcPr>
            <w:tcW w:w="1907" w:type="dxa"/>
            <w:noWrap w:val="0"/>
            <w:vAlign w:val="center"/>
          </w:tcPr>
          <w:p w14:paraId="2BB072F1">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工程质量</w:t>
            </w:r>
          </w:p>
        </w:tc>
        <w:tc>
          <w:tcPr>
            <w:tcW w:w="5926" w:type="dxa"/>
            <w:noWrap w:val="0"/>
            <w:vAlign w:val="center"/>
          </w:tcPr>
          <w:p w14:paraId="7725F210">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符合投标须知前附表规定。</w:t>
            </w:r>
          </w:p>
        </w:tc>
      </w:tr>
      <w:tr w14:paraId="2628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continue"/>
            <w:noWrap w:val="0"/>
            <w:vAlign w:val="center"/>
          </w:tcPr>
          <w:p w14:paraId="4C78E513">
            <w:pPr>
              <w:widowControl/>
              <w:adjustRightInd w:val="0"/>
              <w:snapToGrid w:val="0"/>
              <w:spacing w:line="560" w:lineRule="exact"/>
              <w:jc w:val="left"/>
              <w:rPr>
                <w:rFonts w:ascii="宋体" w:hAnsi="宋体"/>
                <w:color w:val="000000"/>
                <w:szCs w:val="21"/>
                <w:highlight w:val="none"/>
              </w:rPr>
            </w:pPr>
          </w:p>
        </w:tc>
        <w:tc>
          <w:tcPr>
            <w:tcW w:w="1572" w:type="dxa"/>
            <w:vMerge w:val="continue"/>
            <w:noWrap w:val="0"/>
            <w:vAlign w:val="center"/>
          </w:tcPr>
          <w:p w14:paraId="2BDD4D6E">
            <w:pPr>
              <w:widowControl/>
              <w:adjustRightInd w:val="0"/>
              <w:snapToGrid w:val="0"/>
              <w:spacing w:line="560" w:lineRule="exact"/>
              <w:jc w:val="left"/>
              <w:rPr>
                <w:rFonts w:ascii="宋体" w:hAnsi="宋体"/>
                <w:color w:val="000000"/>
                <w:szCs w:val="21"/>
                <w:highlight w:val="none"/>
              </w:rPr>
            </w:pPr>
          </w:p>
        </w:tc>
        <w:tc>
          <w:tcPr>
            <w:tcW w:w="1907" w:type="dxa"/>
            <w:noWrap w:val="0"/>
            <w:vAlign w:val="center"/>
          </w:tcPr>
          <w:p w14:paraId="102DD85D">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投标有效期</w:t>
            </w:r>
          </w:p>
        </w:tc>
        <w:tc>
          <w:tcPr>
            <w:tcW w:w="5926" w:type="dxa"/>
            <w:noWrap w:val="0"/>
            <w:vAlign w:val="center"/>
          </w:tcPr>
          <w:p w14:paraId="49CFF116">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符合投标须知前附表规定。</w:t>
            </w:r>
          </w:p>
        </w:tc>
      </w:tr>
      <w:tr w14:paraId="03469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81" w:type="dxa"/>
            <w:vMerge w:val="continue"/>
            <w:noWrap w:val="0"/>
            <w:vAlign w:val="center"/>
          </w:tcPr>
          <w:p w14:paraId="6A1B4944">
            <w:pPr>
              <w:widowControl/>
              <w:adjustRightInd w:val="0"/>
              <w:snapToGrid w:val="0"/>
              <w:spacing w:line="560" w:lineRule="exact"/>
              <w:jc w:val="left"/>
              <w:rPr>
                <w:rFonts w:ascii="宋体" w:hAnsi="宋体"/>
                <w:color w:val="000000"/>
                <w:szCs w:val="21"/>
                <w:highlight w:val="none"/>
              </w:rPr>
            </w:pPr>
          </w:p>
        </w:tc>
        <w:tc>
          <w:tcPr>
            <w:tcW w:w="1572" w:type="dxa"/>
            <w:vMerge w:val="continue"/>
            <w:noWrap w:val="0"/>
            <w:vAlign w:val="center"/>
          </w:tcPr>
          <w:p w14:paraId="206B6DFD">
            <w:pPr>
              <w:widowControl/>
              <w:adjustRightInd w:val="0"/>
              <w:snapToGrid w:val="0"/>
              <w:spacing w:line="560" w:lineRule="exact"/>
              <w:jc w:val="left"/>
              <w:rPr>
                <w:rFonts w:ascii="宋体" w:hAnsi="宋体"/>
                <w:color w:val="000000"/>
                <w:szCs w:val="21"/>
                <w:highlight w:val="none"/>
              </w:rPr>
            </w:pPr>
          </w:p>
        </w:tc>
        <w:tc>
          <w:tcPr>
            <w:tcW w:w="1907" w:type="dxa"/>
            <w:noWrap w:val="0"/>
            <w:vAlign w:val="center"/>
          </w:tcPr>
          <w:p w14:paraId="2D7C252C">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工程成本评审</w:t>
            </w:r>
          </w:p>
        </w:tc>
        <w:tc>
          <w:tcPr>
            <w:tcW w:w="5926" w:type="dxa"/>
            <w:noWrap w:val="0"/>
            <w:vAlign w:val="center"/>
          </w:tcPr>
          <w:p w14:paraId="19820612">
            <w:pPr>
              <w:adjustRightInd w:val="0"/>
              <w:snapToGrid w:val="0"/>
              <w:spacing w:line="560" w:lineRule="exact"/>
              <w:rPr>
                <w:rFonts w:ascii="宋体" w:hAnsi="宋体"/>
                <w:color w:val="000000"/>
                <w:szCs w:val="21"/>
                <w:highlight w:val="none"/>
              </w:rPr>
            </w:pPr>
            <w:r>
              <w:rPr>
                <w:rFonts w:hint="eastAsia" w:ascii="宋体" w:hAnsi="宋体"/>
                <w:color w:val="000000"/>
                <w:szCs w:val="21"/>
                <w:highlight w:val="none"/>
              </w:rPr>
              <w:t>投标报价（1-下浮率）低于本项目通过资信、技术评审且商务标初步评审合格有效投标报价（1-下浮率）平均值10%以上的，由评标委员会重点评审后界定其报价是否低于工程成本。</w:t>
            </w:r>
          </w:p>
        </w:tc>
      </w:tr>
      <w:tr w14:paraId="36CE0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1" w:type="dxa"/>
            <w:noWrap w:val="0"/>
            <w:vAlign w:val="center"/>
          </w:tcPr>
          <w:p w14:paraId="23A64169">
            <w:pPr>
              <w:adjustRightInd w:val="0"/>
              <w:snapToGrid w:val="0"/>
              <w:spacing w:line="560" w:lineRule="exact"/>
              <w:jc w:val="center"/>
              <w:rPr>
                <w:rFonts w:hint="eastAsia" w:ascii="宋体" w:hAnsi="宋体" w:eastAsia="宋体"/>
                <w:color w:val="000000"/>
                <w:szCs w:val="21"/>
                <w:highlight w:val="none"/>
                <w:lang w:eastAsia="zh-CN"/>
              </w:rPr>
            </w:pPr>
            <w:r>
              <w:rPr>
                <w:rFonts w:ascii="宋体" w:hAnsi="宋体"/>
                <w:color w:val="000000"/>
                <w:szCs w:val="21"/>
                <w:highlight w:val="none"/>
              </w:rPr>
              <w:t>7</w:t>
            </w:r>
            <w:r>
              <w:rPr>
                <w:rFonts w:hint="eastAsia" w:ascii="宋体" w:hAnsi="宋体"/>
                <w:color w:val="000000"/>
                <w:szCs w:val="21"/>
                <w:highlight w:val="none"/>
              </w:rPr>
              <w:t>.</w:t>
            </w:r>
            <w:r>
              <w:rPr>
                <w:rFonts w:hint="eastAsia" w:ascii="宋体" w:hAnsi="宋体"/>
                <w:color w:val="000000"/>
                <w:szCs w:val="21"/>
                <w:highlight w:val="none"/>
                <w:lang w:val="en-US" w:eastAsia="zh-CN"/>
              </w:rPr>
              <w:t>2</w:t>
            </w:r>
          </w:p>
        </w:tc>
        <w:tc>
          <w:tcPr>
            <w:tcW w:w="1572" w:type="dxa"/>
            <w:noWrap w:val="0"/>
            <w:vAlign w:val="center"/>
          </w:tcPr>
          <w:p w14:paraId="61A5817F">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商务</w:t>
            </w:r>
          </w:p>
          <w:p w14:paraId="42887597">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评分</w:t>
            </w:r>
          </w:p>
          <w:p w14:paraId="54DA9013">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w:t>
            </w:r>
            <w:r>
              <w:rPr>
                <w:rFonts w:hint="eastAsia" w:ascii="宋体" w:hAnsi="宋体"/>
                <w:color w:val="000000"/>
                <w:szCs w:val="21"/>
                <w:highlight w:val="none"/>
                <w:lang w:val="en-US" w:eastAsia="zh-CN"/>
              </w:rPr>
              <w:t>60</w:t>
            </w:r>
            <w:r>
              <w:rPr>
                <w:rFonts w:ascii="宋体" w:hAnsi="宋体"/>
                <w:color w:val="000000"/>
                <w:szCs w:val="21"/>
                <w:highlight w:val="none"/>
              </w:rPr>
              <w:t>分）</w:t>
            </w:r>
          </w:p>
        </w:tc>
        <w:tc>
          <w:tcPr>
            <w:tcW w:w="7833" w:type="dxa"/>
            <w:gridSpan w:val="2"/>
            <w:noWrap w:val="0"/>
            <w:vAlign w:val="center"/>
          </w:tcPr>
          <w:p w14:paraId="7106948E">
            <w:pPr>
              <w:adjustRightInd w:val="0"/>
              <w:snapToGrid w:val="0"/>
              <w:spacing w:line="560" w:lineRule="exact"/>
              <w:rPr>
                <w:color w:val="000000"/>
                <w:highlight w:val="none"/>
              </w:rPr>
            </w:pPr>
            <w:r>
              <w:rPr>
                <w:rFonts w:hint="eastAsia"/>
                <w:color w:val="000000"/>
                <w:highlight w:val="none"/>
              </w:rPr>
              <w:t>商务标评分按下列步骤计算：</w:t>
            </w:r>
          </w:p>
          <w:p w14:paraId="0C8D6302">
            <w:pPr>
              <w:adjustRightInd w:val="0"/>
              <w:snapToGrid w:val="0"/>
              <w:spacing w:line="560" w:lineRule="exact"/>
              <w:rPr>
                <w:color w:val="000000"/>
                <w:highlight w:val="none"/>
              </w:rPr>
            </w:pPr>
            <w:r>
              <w:rPr>
                <w:rFonts w:hint="eastAsia"/>
                <w:color w:val="000000"/>
                <w:highlight w:val="none"/>
              </w:rPr>
              <w:t>第一步：计算B值。</w:t>
            </w:r>
          </w:p>
          <w:p w14:paraId="07DA4026">
            <w:pPr>
              <w:adjustRightInd w:val="0"/>
              <w:snapToGrid w:val="0"/>
              <w:spacing w:line="560" w:lineRule="exact"/>
              <w:rPr>
                <w:color w:val="000000"/>
                <w:highlight w:val="none"/>
              </w:rPr>
            </w:pPr>
            <w:r>
              <w:rPr>
                <w:rFonts w:hint="eastAsia"/>
                <w:color w:val="000000"/>
                <w:highlight w:val="none"/>
              </w:rPr>
              <w:t>①B值为计算范围内有效投标人报价的算术平均值。</w:t>
            </w:r>
          </w:p>
          <w:p w14:paraId="198668B3">
            <w:pPr>
              <w:adjustRightInd w:val="0"/>
              <w:snapToGrid w:val="0"/>
              <w:spacing w:line="560" w:lineRule="exact"/>
              <w:rPr>
                <w:color w:val="000000"/>
                <w:highlight w:val="none"/>
              </w:rPr>
            </w:pPr>
            <w:r>
              <w:rPr>
                <w:rFonts w:hint="eastAsia"/>
                <w:color w:val="000000"/>
                <w:highlight w:val="none"/>
              </w:rPr>
              <w:t>第二步：计算评标基准价F值。</w:t>
            </w:r>
          </w:p>
          <w:p w14:paraId="1E668B7C">
            <w:pPr>
              <w:adjustRightInd w:val="0"/>
              <w:snapToGrid w:val="0"/>
              <w:spacing w:line="560" w:lineRule="exact"/>
              <w:rPr>
                <w:color w:val="000000"/>
                <w:highlight w:val="none"/>
              </w:rPr>
            </w:pPr>
            <w:r>
              <w:rPr>
                <w:rFonts w:hint="eastAsia"/>
                <w:color w:val="000000"/>
                <w:highlight w:val="none"/>
              </w:rPr>
              <w:t>①F=1-B-K，其中K为调整系数，K的取值为-0.5%（1号），0%（2号），0.5%（3号），1.0%（4号），1.5%（5号）。</w:t>
            </w:r>
          </w:p>
          <w:p w14:paraId="4CEAB3B0">
            <w:pPr>
              <w:adjustRightInd w:val="0"/>
              <w:snapToGrid w:val="0"/>
              <w:spacing w:line="560" w:lineRule="exact"/>
              <w:rPr>
                <w:color w:val="000000"/>
                <w:highlight w:val="none"/>
              </w:rPr>
            </w:pPr>
            <w:r>
              <w:rPr>
                <w:rFonts w:hint="eastAsia"/>
                <w:color w:val="000000"/>
                <w:highlight w:val="none"/>
              </w:rPr>
              <w:t>第三步：计算差额。</w:t>
            </w:r>
          </w:p>
          <w:p w14:paraId="00D86662">
            <w:pPr>
              <w:adjustRightInd w:val="0"/>
              <w:snapToGrid w:val="0"/>
              <w:spacing w:line="560" w:lineRule="exact"/>
              <w:rPr>
                <w:color w:val="000000"/>
                <w:highlight w:val="none"/>
              </w:rPr>
            </w:pPr>
            <w:r>
              <w:rPr>
                <w:rFonts w:hint="eastAsia"/>
                <w:color w:val="000000"/>
                <w:highlight w:val="none"/>
              </w:rPr>
              <w:t>①差额=∣（1-投标报价）-F∣</w:t>
            </w:r>
          </w:p>
          <w:p w14:paraId="65BCC877">
            <w:pPr>
              <w:adjustRightInd w:val="0"/>
              <w:snapToGrid w:val="0"/>
              <w:spacing w:line="560" w:lineRule="exact"/>
              <w:rPr>
                <w:color w:val="000000"/>
                <w:highlight w:val="none"/>
              </w:rPr>
            </w:pPr>
            <w:r>
              <w:rPr>
                <w:rFonts w:hint="eastAsia"/>
                <w:color w:val="000000"/>
                <w:highlight w:val="none"/>
              </w:rPr>
              <w:t>第四步：计算报价得分</w:t>
            </w:r>
          </w:p>
          <w:p w14:paraId="2BD2EB61">
            <w:pPr>
              <w:adjustRightInd w:val="0"/>
              <w:snapToGrid w:val="0"/>
              <w:spacing w:line="560" w:lineRule="exact"/>
              <w:rPr>
                <w:color w:val="000000"/>
                <w:highlight w:val="none"/>
              </w:rPr>
            </w:pPr>
            <w:r>
              <w:rPr>
                <w:rFonts w:hint="eastAsia"/>
                <w:color w:val="000000"/>
                <w:highlight w:val="none"/>
              </w:rPr>
              <w:t>①（1-投标报价）等于评标基准价的得满分。</w:t>
            </w:r>
          </w:p>
          <w:p w14:paraId="10CEAF34">
            <w:pPr>
              <w:adjustRightInd w:val="0"/>
              <w:snapToGrid w:val="0"/>
              <w:spacing w:line="560" w:lineRule="exact"/>
              <w:rPr>
                <w:color w:val="000000"/>
                <w:highlight w:val="none"/>
              </w:rPr>
            </w:pPr>
            <w:r>
              <w:rPr>
                <w:rFonts w:hint="eastAsia"/>
                <w:color w:val="000000"/>
                <w:highlight w:val="none"/>
              </w:rPr>
              <w:t>②（1-投标报价）高于评标基准价的，投标报价得分=报价满分值-差额×100×1</w:t>
            </w:r>
          </w:p>
          <w:p w14:paraId="18F454F7">
            <w:pPr>
              <w:adjustRightInd w:val="0"/>
              <w:snapToGrid w:val="0"/>
              <w:spacing w:line="560" w:lineRule="exact"/>
              <w:rPr>
                <w:color w:val="000000"/>
                <w:highlight w:val="none"/>
              </w:rPr>
            </w:pPr>
            <w:r>
              <w:rPr>
                <w:rFonts w:hint="eastAsia"/>
                <w:color w:val="000000"/>
                <w:highlight w:val="none"/>
              </w:rPr>
              <w:t>③（1-投标报价）低于评标基准价的，投标报价得分=报价满分值-差额×100×0.5</w:t>
            </w:r>
          </w:p>
          <w:p w14:paraId="0D6F3A71">
            <w:pPr>
              <w:adjustRightInd w:val="0"/>
              <w:snapToGrid w:val="0"/>
              <w:spacing w:line="560" w:lineRule="exact"/>
              <w:rPr>
                <w:color w:val="000000"/>
                <w:highlight w:val="none"/>
              </w:rPr>
            </w:pPr>
            <w:r>
              <w:rPr>
                <w:rFonts w:hint="eastAsia"/>
                <w:color w:val="000000"/>
                <w:highlight w:val="none"/>
              </w:rPr>
              <w:t>注：计算过程中，B值、评标基准价F值、差额在%前保留两位小数，小数点后第三位四舍五入。报价得分保留两位小数，小数点后第三位四舍五入。</w:t>
            </w:r>
          </w:p>
          <w:p w14:paraId="77F05D46">
            <w:pPr>
              <w:adjustRightInd w:val="0"/>
              <w:snapToGrid w:val="0"/>
              <w:spacing w:line="560" w:lineRule="exact"/>
              <w:rPr>
                <w:color w:val="000000"/>
                <w:highlight w:val="none"/>
              </w:rPr>
            </w:pPr>
            <w:r>
              <w:rPr>
                <w:rFonts w:hint="eastAsia"/>
                <w:color w:val="000000"/>
                <w:highlight w:val="none"/>
              </w:rPr>
              <w:t>商务标评分</w:t>
            </w:r>
            <w:r>
              <w:rPr>
                <w:color w:val="000000"/>
                <w:highlight w:val="none"/>
              </w:rPr>
              <w:t>计算示例如下：假设上述B值为9.20%, K值 为1. 0%,则F=l-9. 20%-l. 0%=89. 8</w:t>
            </w:r>
            <w:r>
              <w:rPr>
                <w:rFonts w:hint="eastAsia"/>
                <w:color w:val="000000"/>
                <w:highlight w:val="none"/>
              </w:rPr>
              <w:t>0</w:t>
            </w:r>
            <w:r>
              <w:rPr>
                <w:color w:val="000000"/>
                <w:highlight w:val="none"/>
              </w:rPr>
              <w:t>%;某投标人的投标报价下浮率为10. 01%,则与F的差额=1-10. 01%-89. 8</w:t>
            </w:r>
            <w:r>
              <w:rPr>
                <w:rFonts w:hint="eastAsia"/>
                <w:color w:val="000000"/>
                <w:highlight w:val="none"/>
              </w:rPr>
              <w:t>0</w:t>
            </w:r>
            <w:r>
              <w:rPr>
                <w:color w:val="000000"/>
                <w:highlight w:val="none"/>
              </w:rPr>
              <w:t>%=0. 19%,则该投标人的商务得分=（满分值-0.19x1）分。</w:t>
            </w:r>
          </w:p>
        </w:tc>
      </w:tr>
    </w:tbl>
    <w:p w14:paraId="4A15B031">
      <w:pPr>
        <w:adjustRightInd w:val="0"/>
        <w:snapToGrid w:val="0"/>
        <w:spacing w:line="560" w:lineRule="exact"/>
        <w:ind w:firstLine="316" w:firstLineChars="150"/>
        <w:rPr>
          <w:rFonts w:ascii="黑体" w:hAnsi="黑体" w:eastAsia="黑体" w:cs="黑体"/>
          <w:b/>
          <w:color w:val="000000"/>
          <w:szCs w:val="21"/>
          <w:highlight w:val="none"/>
        </w:rPr>
      </w:pPr>
      <w:r>
        <w:rPr>
          <w:rFonts w:hint="eastAsia" w:ascii="黑体" w:hAnsi="黑体" w:eastAsia="黑体" w:cs="黑体"/>
          <w:b/>
          <w:color w:val="000000"/>
          <w:szCs w:val="21"/>
          <w:highlight w:val="none"/>
        </w:rPr>
        <w:t>商务标评审表注：</w:t>
      </w:r>
    </w:p>
    <w:p w14:paraId="71B24BDB">
      <w:pPr>
        <w:adjustRightInd w:val="0"/>
        <w:snapToGrid w:val="0"/>
        <w:spacing w:line="560" w:lineRule="exact"/>
        <w:ind w:firstLine="422" w:firstLineChars="200"/>
        <w:rPr>
          <w:rFonts w:ascii="黑体" w:hAnsi="黑体" w:eastAsia="黑体" w:cs="黑体"/>
          <w:b/>
          <w:bCs/>
          <w:color w:val="000000"/>
          <w:szCs w:val="21"/>
          <w:highlight w:val="none"/>
          <w:u w:val="single"/>
        </w:rPr>
      </w:pPr>
      <w:r>
        <w:rPr>
          <w:rFonts w:hint="eastAsia" w:ascii="黑体" w:hAnsi="黑体" w:eastAsia="黑体" w:cs="黑体"/>
          <w:b/>
          <w:color w:val="000000"/>
          <w:szCs w:val="21"/>
          <w:highlight w:val="none"/>
        </w:rPr>
        <w:t>1、</w:t>
      </w:r>
      <w:r>
        <w:rPr>
          <w:rFonts w:hint="eastAsia" w:ascii="黑体" w:hAnsi="黑体" w:eastAsia="黑体" w:cs="黑体"/>
          <w:b/>
          <w:bCs/>
          <w:color w:val="000000"/>
          <w:szCs w:val="21"/>
          <w:highlight w:val="none"/>
        </w:rPr>
        <w:t>投标报价为下浮率（%），</w:t>
      </w:r>
      <w:r>
        <w:rPr>
          <w:rFonts w:hint="eastAsia" w:ascii="宋体" w:hAnsi="宋体" w:cs="宋体"/>
          <w:color w:val="000000"/>
          <w:szCs w:val="21"/>
          <w:highlight w:val="none"/>
        </w:rPr>
        <w:t>保留两位小数，小数点后第三位四舍五入。</w:t>
      </w:r>
    </w:p>
    <w:p w14:paraId="6D10F715">
      <w:pPr>
        <w:adjustRightInd w:val="0"/>
        <w:snapToGrid w:val="0"/>
        <w:spacing w:line="560" w:lineRule="exact"/>
        <w:ind w:firstLine="420" w:firstLineChars="200"/>
        <w:rPr>
          <w:rFonts w:ascii="宋体" w:hAnsi="宋体" w:cs="宋体"/>
          <w:color w:val="000000"/>
          <w:szCs w:val="21"/>
          <w:highlight w:val="none"/>
        </w:rPr>
      </w:pPr>
      <w:r>
        <w:rPr>
          <w:rFonts w:ascii="宋体" w:hAnsi="宋体" w:cs="宋体"/>
          <w:color w:val="000000"/>
          <w:szCs w:val="21"/>
          <w:highlight w:val="none"/>
        </w:rPr>
        <w:t>2</w:t>
      </w:r>
      <w:r>
        <w:rPr>
          <w:rFonts w:hint="eastAsia" w:ascii="宋体" w:hAnsi="宋体" w:cs="宋体"/>
          <w:color w:val="000000"/>
          <w:szCs w:val="21"/>
          <w:highlight w:val="none"/>
        </w:rPr>
        <w:t>、只有评审通过的投标人才能参加评分。</w:t>
      </w:r>
    </w:p>
    <w:p w14:paraId="195FF769">
      <w:pPr>
        <w:adjustRightInd w:val="0"/>
        <w:snapToGrid w:val="0"/>
        <w:spacing w:line="560" w:lineRule="exact"/>
        <w:ind w:firstLine="420" w:firstLineChars="200"/>
        <w:rPr>
          <w:rFonts w:ascii="宋体" w:hAnsi="宋体" w:cs="宋体"/>
          <w:color w:val="000000"/>
          <w:szCs w:val="21"/>
          <w:highlight w:val="none"/>
        </w:rPr>
      </w:pPr>
      <w:r>
        <w:rPr>
          <w:rFonts w:ascii="宋体" w:hAnsi="宋体" w:cs="宋体"/>
          <w:color w:val="000000"/>
          <w:szCs w:val="21"/>
          <w:highlight w:val="none"/>
        </w:rPr>
        <w:t>3</w:t>
      </w:r>
      <w:r>
        <w:rPr>
          <w:rFonts w:hint="eastAsia" w:ascii="宋体" w:hAnsi="宋体" w:cs="宋体"/>
          <w:color w:val="000000"/>
          <w:szCs w:val="21"/>
          <w:highlight w:val="none"/>
        </w:rPr>
        <w:t>、本表所称投标报价是指按招标文件规定修正后的投标总报价（多算投标报价、多报费用不扣减）。</w:t>
      </w:r>
    </w:p>
    <w:p w14:paraId="083C5CB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4、B值计算方法</w:t>
      </w:r>
    </w:p>
    <w:p w14:paraId="76B462AB">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B值为入围投标人的有效投标报价的算术平均值。</w:t>
      </w:r>
    </w:p>
    <w:p w14:paraId="3915F71C">
      <w:pPr>
        <w:adjustRightInd w:val="0"/>
        <w:snapToGrid w:val="0"/>
        <w:spacing w:line="560" w:lineRule="exact"/>
        <w:ind w:firstLine="420" w:firstLineChars="200"/>
        <w:rPr>
          <w:rFonts w:ascii="宋体" w:hAnsi="宋体" w:cs="宋体"/>
          <w:color w:val="000000"/>
          <w:szCs w:val="21"/>
          <w:highlight w:val="none"/>
        </w:rPr>
      </w:pPr>
      <w:bookmarkStart w:id="680" w:name="_Toc95223444"/>
      <w:r>
        <w:rPr>
          <w:rFonts w:hint="eastAsia" w:ascii="宋体" w:hAnsi="宋体" w:cs="宋体"/>
          <w:color w:val="000000"/>
          <w:szCs w:val="21"/>
          <w:highlight w:val="none"/>
        </w:rPr>
        <w:t>5</w:t>
      </w:r>
      <w:r>
        <w:rPr>
          <w:rFonts w:ascii="宋体" w:hAnsi="宋体" w:cs="宋体"/>
          <w:color w:val="000000"/>
          <w:szCs w:val="21"/>
          <w:highlight w:val="none"/>
        </w:rPr>
        <w:t>、K值（评标基准价系数）的抽取：资信标、技术标、商务标评审完成后，招标人在线抽取K值，并根据抽取的K值计算F值，评标办法中的评标基准价计算出来后，除数字计算错误外，其他情况均不再调整。</w:t>
      </w:r>
    </w:p>
    <w:p w14:paraId="1B316EAB">
      <w:pPr>
        <w:widowControl/>
        <w:adjustRightInd w:val="0"/>
        <w:snapToGrid w:val="0"/>
        <w:spacing w:line="560" w:lineRule="exact"/>
        <w:ind w:firstLine="420" w:firstLineChars="200"/>
        <w:jc w:val="left"/>
        <w:rPr>
          <w:rFonts w:ascii="宋体" w:hAnsi="宋体" w:cs="宋体"/>
          <w:color w:val="000000"/>
          <w:szCs w:val="21"/>
          <w:highlight w:val="none"/>
        </w:rPr>
      </w:pPr>
      <w:r>
        <w:rPr>
          <w:rFonts w:hint="eastAsia"/>
          <w:highlight w:val="none"/>
        </w:rPr>
        <w:t>4、</w:t>
      </w:r>
      <w:r>
        <w:rPr>
          <w:rFonts w:hint="eastAsia" w:ascii="宋体" w:hAnsi="宋体" w:cs="宋体"/>
          <w:color w:val="000000"/>
          <w:szCs w:val="21"/>
          <w:highlight w:val="none"/>
        </w:rPr>
        <w:t>投标人（如投标人为联合体，联合体中施工企业需提供）注册建造师必须满足相应建筑业企业资质标准要求，评标委员会在评审时，将对此进行评审。投标单位（如投标人为联合体，联合体中施工企业需提供）应在商务标文件中提供全国建筑市场监管公共服务平台(四库一平台)企业注册人员网页截图，未提供相关截图，按无效标处理。</w:t>
      </w:r>
    </w:p>
    <w:p w14:paraId="2CDCA301">
      <w:pPr>
        <w:pStyle w:val="3"/>
        <w:adjustRightInd w:val="0"/>
        <w:snapToGrid w:val="0"/>
        <w:spacing w:before="0" w:after="0" w:line="560" w:lineRule="exact"/>
        <w:ind w:firstLine="422" w:firstLineChars="200"/>
        <w:rPr>
          <w:rFonts w:ascii="黑体" w:hAnsi="黑体" w:cs="黑体"/>
          <w:color w:val="000000"/>
          <w:sz w:val="21"/>
          <w:szCs w:val="21"/>
          <w:highlight w:val="none"/>
        </w:rPr>
      </w:pPr>
      <w:r>
        <w:rPr>
          <w:rFonts w:hint="eastAsia" w:ascii="黑体" w:hAnsi="黑体" w:cs="黑体"/>
          <w:color w:val="000000"/>
          <w:sz w:val="21"/>
          <w:szCs w:val="21"/>
          <w:highlight w:val="none"/>
        </w:rPr>
        <w:t>1. 评标方法</w:t>
      </w:r>
      <w:bookmarkEnd w:id="680"/>
    </w:p>
    <w:p w14:paraId="768FCDA4">
      <w:pPr>
        <w:widowControl/>
        <w:adjustRightInd w:val="0"/>
        <w:snapToGrid w:val="0"/>
        <w:spacing w:line="560" w:lineRule="exact"/>
        <w:ind w:firstLine="420" w:firstLineChars="200"/>
        <w:jc w:val="left"/>
        <w:rPr>
          <w:rFonts w:hint="eastAsia" w:ascii="宋体" w:hAnsi="宋体" w:cs="宋体"/>
          <w:color w:val="000000"/>
          <w:szCs w:val="21"/>
          <w:highlight w:val="none"/>
        </w:rPr>
      </w:pPr>
      <w:r>
        <w:rPr>
          <w:rFonts w:hint="eastAsia" w:ascii="宋体" w:hAnsi="宋体" w:cs="宋体"/>
          <w:color w:val="000000"/>
          <w:szCs w:val="21"/>
          <w:highlight w:val="none"/>
        </w:rPr>
        <w:t>本次评标采用综合评估法。评标委员会对满足招标文件实质性要求的投标文件，按照本章规定的评分标准计算得分，并按总得分由高到低顺序推荐中标候选人</w:t>
      </w:r>
      <w:r>
        <w:rPr>
          <w:rFonts w:hint="eastAsia" w:ascii="宋体" w:hAnsi="宋体" w:cs="宋体"/>
          <w:color w:val="000000"/>
          <w:szCs w:val="21"/>
          <w:highlight w:val="none"/>
          <w:lang w:eastAsia="zh-CN"/>
        </w:rPr>
        <w:t>（</w:t>
      </w:r>
      <w:r>
        <w:rPr>
          <w:rFonts w:hint="eastAsia" w:ascii="宋体" w:hAnsi="宋体" w:cs="宋体"/>
          <w:color w:val="000000"/>
          <w:szCs w:val="21"/>
          <w:highlight w:val="none"/>
          <w:lang w:val="en-US" w:eastAsia="zh-CN"/>
        </w:rPr>
        <w:t>本项目推荐3名中标候选人</w:t>
      </w:r>
      <w:r>
        <w:rPr>
          <w:rFonts w:hint="eastAsia" w:ascii="宋体" w:hAnsi="宋体" w:cs="宋体"/>
          <w:color w:val="000000"/>
          <w:szCs w:val="21"/>
          <w:highlight w:val="none"/>
          <w:lang w:eastAsia="zh-CN"/>
        </w:rPr>
        <w:t>）</w:t>
      </w:r>
      <w:r>
        <w:rPr>
          <w:rFonts w:hint="eastAsia" w:ascii="宋体" w:hAnsi="宋体" w:cs="宋体"/>
          <w:color w:val="000000"/>
          <w:szCs w:val="21"/>
          <w:highlight w:val="none"/>
        </w:rPr>
        <w:t>，但投标报价低于其成本的除外。如总得分相等的并列，下一个排名顺延。如2个投标人总得分并列第一，则第3个排名为第三名，以投标报价低的优先，投标报价仍相等，由评标委员会主任委员或招标人随机抽取确定评标阶段的中标候选人名单。</w:t>
      </w:r>
    </w:p>
    <w:p w14:paraId="3A3F8CEF">
      <w:pPr>
        <w:widowControl/>
        <w:adjustRightInd w:val="0"/>
        <w:snapToGrid w:val="0"/>
        <w:spacing w:line="560" w:lineRule="exact"/>
        <w:ind w:firstLine="420" w:firstLineChars="200"/>
        <w:jc w:val="left"/>
        <w:rPr>
          <w:rFonts w:ascii="宋体" w:hAnsi="宋体" w:cs="宋体"/>
          <w:color w:val="000000"/>
          <w:szCs w:val="21"/>
          <w:highlight w:val="none"/>
        </w:rPr>
      </w:pPr>
      <w:r>
        <w:rPr>
          <w:rFonts w:hint="eastAsia" w:ascii="宋体" w:hAnsi="宋体" w:cs="宋体"/>
          <w:color w:val="000000"/>
          <w:szCs w:val="21"/>
          <w:highlight w:val="none"/>
        </w:rPr>
        <w:t>（1）根据评标委员会评审初步结论，项目单位（代理机构）对预中标候选人、法定代表人及其项目经理（建造师）是否存在招标文件要求查询的失信行为进行网上核查后，提交网站截图等查询记录给评标委员会复核。若核查结果不符合招标文件规定的投标人资格条件信誉要求，由评标委员会取消其预中标候选人资格，并依次替补，再次对替补单位进行核查。如评标现场未发现问题但标后质疑（异议）、投诉发现中标候选人存在信誉问题，则组织评标委员会重新启动复核程序。核查结果不改变原评标基准价。</w:t>
      </w:r>
    </w:p>
    <w:p w14:paraId="0A6C8844">
      <w:pPr>
        <w:wordWrap w:val="0"/>
        <w:adjustRightInd w:val="0"/>
        <w:snapToGrid w:val="0"/>
        <w:spacing w:line="560" w:lineRule="exact"/>
        <w:ind w:firstLine="420" w:firstLineChars="200"/>
        <w:jc w:val="left"/>
        <w:rPr>
          <w:rFonts w:ascii="宋体" w:hAnsi="宋体" w:cs="宋体"/>
          <w:color w:val="000000"/>
          <w:szCs w:val="21"/>
          <w:highlight w:val="none"/>
        </w:rPr>
      </w:pPr>
      <w:r>
        <w:rPr>
          <w:rFonts w:hint="eastAsia" w:ascii="宋体" w:hAnsi="宋体" w:cs="宋体"/>
          <w:color w:val="000000"/>
          <w:szCs w:val="21"/>
          <w:highlight w:val="none"/>
        </w:rPr>
        <w:t>（2）评标委员会登录全国建筑市场监管公共服务平台 (四库-平台)https://jzsc.mohurd.gov.cn/home 进行实时查询，并结合《住房城乡建设部关于进一步加强建设工程企业资质审批管理工作的通知》（建市规〔2023〕3 号）、《住房和城乡建设部办公厅关于建设工程企业资质有关事项的通知》（建办市函〔2022〕361 号）和安徽省住建厅《关于建设工程企业资质有关事宜的通知》（建市函〔2022〕748 号），对中标候选人的关系企业履约能力的建造师数量进行评审：</w:t>
      </w:r>
    </w:p>
    <w:p w14:paraId="3BD84427">
      <w:pPr>
        <w:widowControl/>
        <w:adjustRightInd w:val="0"/>
        <w:snapToGrid w:val="0"/>
        <w:spacing w:line="560" w:lineRule="exact"/>
        <w:ind w:firstLine="420" w:firstLineChars="200"/>
        <w:jc w:val="left"/>
        <w:rPr>
          <w:rFonts w:ascii="宋体" w:hAnsi="宋体" w:cs="宋体"/>
          <w:color w:val="000000"/>
          <w:szCs w:val="21"/>
          <w:highlight w:val="none"/>
        </w:rPr>
      </w:pPr>
      <w:r>
        <w:rPr>
          <w:rFonts w:hint="eastAsia" w:ascii="仿宋_GB2312" w:hAnsi="宋体" w:eastAsia="仿宋_GB2312" w:cs="宋体"/>
          <w:color w:val="000000"/>
          <w:szCs w:val="21"/>
          <w:highlight w:val="none"/>
        </w:rPr>
        <w:t>①</w:t>
      </w:r>
      <w:r>
        <w:rPr>
          <w:rFonts w:hint="eastAsia" w:ascii="宋体" w:hAnsi="宋体" w:cs="宋体"/>
          <w:color w:val="000000"/>
          <w:szCs w:val="21"/>
          <w:highlight w:val="none"/>
        </w:rPr>
        <w:t>建筑工程施工总承包特级资质企业：注册一级建造师 50人以上。</w:t>
      </w:r>
    </w:p>
    <w:p w14:paraId="79AAE964">
      <w:pPr>
        <w:widowControl/>
        <w:adjustRightInd w:val="0"/>
        <w:snapToGrid w:val="0"/>
        <w:spacing w:line="560" w:lineRule="exact"/>
        <w:ind w:firstLine="420" w:firstLineChars="200"/>
        <w:jc w:val="left"/>
        <w:rPr>
          <w:rFonts w:ascii="宋体" w:hAnsi="宋体" w:cs="宋体"/>
          <w:color w:val="000000"/>
          <w:szCs w:val="21"/>
          <w:highlight w:val="none"/>
        </w:rPr>
      </w:pPr>
      <w:r>
        <w:rPr>
          <w:rFonts w:hint="eastAsia" w:ascii="仿宋_GB2312" w:hAnsi="宋体" w:eastAsia="仿宋_GB2312" w:cs="宋体"/>
          <w:color w:val="000000"/>
          <w:szCs w:val="21"/>
          <w:highlight w:val="none"/>
        </w:rPr>
        <w:t>②</w:t>
      </w:r>
      <w:r>
        <w:rPr>
          <w:rFonts w:hint="eastAsia" w:ascii="宋体" w:hAnsi="宋体" w:cs="宋体"/>
          <w:color w:val="000000"/>
          <w:szCs w:val="21"/>
          <w:highlight w:val="none"/>
        </w:rPr>
        <w:t>建筑工程施工总承包壹级资质企业：建筑工程、机电工程专业一级注册建造师合计不少于 12 人，其中建筑工程专业一级注册建造师不少于 9 人。</w:t>
      </w:r>
    </w:p>
    <w:p w14:paraId="1AB3A9DD">
      <w:pPr>
        <w:widowControl/>
        <w:adjustRightInd w:val="0"/>
        <w:snapToGrid w:val="0"/>
        <w:spacing w:line="560" w:lineRule="exact"/>
        <w:ind w:firstLine="420" w:firstLineChars="200"/>
        <w:jc w:val="left"/>
        <w:rPr>
          <w:rFonts w:ascii="宋体" w:hAnsi="宋体" w:cs="宋体"/>
          <w:color w:val="000000"/>
          <w:szCs w:val="21"/>
          <w:highlight w:val="none"/>
        </w:rPr>
      </w:pPr>
      <w:r>
        <w:rPr>
          <w:rFonts w:hint="eastAsia" w:ascii="仿宋_GB2312" w:hAnsi="宋体" w:eastAsia="仿宋_GB2312" w:cs="宋体"/>
          <w:color w:val="000000"/>
          <w:szCs w:val="21"/>
          <w:highlight w:val="none"/>
        </w:rPr>
        <w:t>③</w:t>
      </w:r>
      <w:r>
        <w:rPr>
          <w:rFonts w:hint="eastAsia" w:ascii="宋体" w:hAnsi="宋体" w:cs="宋体"/>
          <w:color w:val="000000"/>
          <w:szCs w:val="21"/>
          <w:highlight w:val="none"/>
        </w:rPr>
        <w:t>建筑工程施工总承包贰级、叁级资质企业：建筑工程、机电工程专业注册建造师合计不少于 5 人，其中建筑工程专业注册建造师不少于 4 人。</w:t>
      </w:r>
    </w:p>
    <w:p w14:paraId="691ACA2E">
      <w:pPr>
        <w:widowControl/>
        <w:adjustRightInd w:val="0"/>
        <w:snapToGrid w:val="0"/>
        <w:spacing w:line="560" w:lineRule="exact"/>
        <w:ind w:firstLine="420" w:firstLineChars="200"/>
        <w:jc w:val="left"/>
        <w:rPr>
          <w:rFonts w:ascii="宋体" w:hAnsi="宋体" w:cs="宋体"/>
          <w:color w:val="000000"/>
          <w:szCs w:val="21"/>
          <w:highlight w:val="none"/>
        </w:rPr>
      </w:pPr>
      <w:r>
        <w:rPr>
          <w:rFonts w:hint="eastAsia" w:ascii="宋体" w:hAnsi="宋体" w:cs="宋体"/>
          <w:color w:val="000000"/>
          <w:szCs w:val="21"/>
          <w:highlight w:val="none"/>
        </w:rPr>
        <w:t>中标候选人的注册建造师不满足上述要求的，评标委员会对该投标不予认可，并将该情形报送相关行政主管部门。中标候选人依次替补，评标委员会再次对替补单位进行核查。</w:t>
      </w:r>
    </w:p>
    <w:p w14:paraId="49966009">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81" w:name="_Toc95223445"/>
      <w:r>
        <w:rPr>
          <w:rFonts w:hint="eastAsia" w:ascii="黑体" w:hAnsi="黑体" w:cs="黑体"/>
          <w:color w:val="000000"/>
          <w:sz w:val="21"/>
          <w:szCs w:val="21"/>
          <w:highlight w:val="none"/>
        </w:rPr>
        <w:t>2.评标委员会的职责</w:t>
      </w:r>
      <w:bookmarkEnd w:id="681"/>
    </w:p>
    <w:p w14:paraId="5E9A242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评标委员会应当根据本评标办法，应进行系统地评审和比较，向招标人推荐中标候选人或根据招标人的授权直接确定中标人。各评委必须独立评审，提出评审意见，不受任何单位或者个人的干预。各评委对其各自评审结果负责，并在评标报告上签字确认。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14:paraId="4B521FB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评标委员会应加强对报价合理性审查。</w:t>
      </w:r>
      <w:bookmarkStart w:id="682" w:name="_Toc95223446"/>
      <w:r>
        <w:rPr>
          <w:rFonts w:hint="eastAsia" w:ascii="宋体" w:hAnsi="宋体" w:cs="宋体"/>
          <w:color w:val="000000"/>
          <w:szCs w:val="21"/>
          <w:highlight w:val="none"/>
        </w:rPr>
        <w:t>评标评审委员会认为拟推荐的中标候选人的报价明显低于其他通过符合性审查投标人的报价，存在异常低价，有可能影响项目质量或者不能诚信履约的，应当要求投标人在评标现场合理的时间内提供书面说明，必要时提交相关证明材料；投标人不能证明其报价合理性的，或评标委员会认定其存在履约及质量安全风险的，评标评审委员会应当将其作为无效投标处理。</w:t>
      </w:r>
    </w:p>
    <w:p w14:paraId="11CB6BC0">
      <w:pPr>
        <w:pStyle w:val="3"/>
        <w:adjustRightInd w:val="0"/>
        <w:snapToGrid w:val="0"/>
        <w:spacing w:before="0" w:after="0" w:line="560" w:lineRule="exact"/>
        <w:ind w:firstLine="422" w:firstLineChars="200"/>
        <w:rPr>
          <w:rFonts w:ascii="黑体" w:hAnsi="黑体" w:cs="黑体"/>
          <w:color w:val="000000"/>
          <w:sz w:val="21"/>
          <w:szCs w:val="21"/>
          <w:highlight w:val="none"/>
        </w:rPr>
      </w:pPr>
      <w:r>
        <w:rPr>
          <w:rFonts w:hint="eastAsia" w:ascii="黑体" w:hAnsi="黑体" w:cs="黑体"/>
          <w:color w:val="000000"/>
          <w:sz w:val="21"/>
          <w:szCs w:val="21"/>
          <w:highlight w:val="none"/>
        </w:rPr>
        <w:t>3.评标程序</w:t>
      </w:r>
      <w:bookmarkEnd w:id="682"/>
    </w:p>
    <w:p w14:paraId="34508640">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评标先做准备工作，再进行资格、技术标评审，然后进行商务标评审。</w:t>
      </w:r>
    </w:p>
    <w:p w14:paraId="0C9A542A">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83" w:name="_Toc95223447"/>
      <w:r>
        <w:rPr>
          <w:rFonts w:hint="eastAsia" w:ascii="黑体" w:hAnsi="黑体" w:cs="黑体"/>
          <w:color w:val="000000"/>
          <w:sz w:val="21"/>
          <w:szCs w:val="21"/>
          <w:highlight w:val="none"/>
        </w:rPr>
        <w:t>3.1评标准备工作</w:t>
      </w:r>
      <w:bookmarkEnd w:id="683"/>
    </w:p>
    <w:p w14:paraId="48C3915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评标委员会熟悉评标工作情况：</w:t>
      </w:r>
    </w:p>
    <w:p w14:paraId="5D9EE3B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（1）阅读由招标人或者其委托的工程代理机构编制的招标项目情况材料。</w:t>
      </w:r>
    </w:p>
    <w:p w14:paraId="7A5549CF">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（2）阅读、研究招标文件和相关评标资料，获取评标所需要的重要信息和数据，至少应了解和熟悉以下内容：招标项目的范围和性质，招标文件规定的主要技术要求、标准和商务条款。</w:t>
      </w:r>
    </w:p>
    <w:p w14:paraId="1980165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（3）熟悉招标文件规定的评标标准和评标方法及在评标过程中需要考虑的相关因素。</w:t>
      </w:r>
    </w:p>
    <w:p w14:paraId="237AB132">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（4）核对评标工作用表。</w:t>
      </w:r>
    </w:p>
    <w:p w14:paraId="58CA2E67">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84" w:name="_Toc95223448"/>
      <w:r>
        <w:rPr>
          <w:rFonts w:hint="eastAsia" w:ascii="黑体" w:hAnsi="黑体" w:cs="黑体"/>
          <w:color w:val="000000"/>
          <w:sz w:val="21"/>
          <w:szCs w:val="21"/>
          <w:highlight w:val="none"/>
        </w:rPr>
        <w:t>3.2技术标评审</w:t>
      </w:r>
      <w:bookmarkEnd w:id="684"/>
    </w:p>
    <w:p w14:paraId="005D23B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详见技术标评审表。</w:t>
      </w:r>
    </w:p>
    <w:p w14:paraId="0BA44084">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85" w:name="_Toc95223449"/>
      <w:r>
        <w:rPr>
          <w:rFonts w:hint="eastAsia" w:ascii="黑体" w:hAnsi="黑体" w:cs="黑体"/>
          <w:color w:val="000000"/>
          <w:sz w:val="21"/>
          <w:szCs w:val="21"/>
          <w:highlight w:val="none"/>
        </w:rPr>
        <w:t>3.3商务标评审</w:t>
      </w:r>
      <w:bookmarkEnd w:id="685"/>
    </w:p>
    <w:p w14:paraId="4A7E7E6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详见商务标评审表。</w:t>
      </w:r>
    </w:p>
    <w:p w14:paraId="153C4B5D">
      <w:pPr>
        <w:pStyle w:val="3"/>
        <w:adjustRightInd w:val="0"/>
        <w:snapToGrid w:val="0"/>
        <w:spacing w:before="0" w:after="0" w:line="560" w:lineRule="exact"/>
        <w:ind w:firstLine="422" w:firstLineChars="200"/>
        <w:rPr>
          <w:rFonts w:ascii="黑体" w:hAnsi="黑体" w:cs="黑体"/>
          <w:color w:val="000000"/>
          <w:sz w:val="21"/>
          <w:szCs w:val="21"/>
          <w:highlight w:val="none"/>
        </w:rPr>
      </w:pPr>
      <w:r>
        <w:rPr>
          <w:rFonts w:hint="eastAsia" w:ascii="黑体" w:hAnsi="黑体" w:cs="黑体"/>
          <w:color w:val="000000"/>
          <w:sz w:val="21"/>
          <w:szCs w:val="21"/>
          <w:highlight w:val="none"/>
        </w:rPr>
        <w:t>3.4推荐中标候选人</w:t>
      </w:r>
    </w:p>
    <w:p w14:paraId="51C6F9D6">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资信评审、技术标评审、商务标评审后，推荐中标候选人，</w:t>
      </w:r>
      <w:r>
        <w:rPr>
          <w:rFonts w:hint="eastAsia" w:ascii="宋体" w:hAnsi="宋体" w:cs="宋体"/>
          <w:color w:val="000000"/>
          <w:szCs w:val="21"/>
          <w:highlight w:val="none"/>
          <w:lang w:val="en-US" w:eastAsia="zh-CN"/>
        </w:rPr>
        <w:t>不</w:t>
      </w:r>
      <w:r>
        <w:rPr>
          <w:rFonts w:hint="eastAsia" w:ascii="宋体" w:hAnsi="宋体" w:cs="宋体"/>
          <w:color w:val="000000"/>
          <w:szCs w:val="21"/>
          <w:highlight w:val="none"/>
        </w:rPr>
        <w:t>标明排序。</w:t>
      </w:r>
    </w:p>
    <w:p w14:paraId="76000328">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86" w:name="_Toc95223450"/>
      <w:r>
        <w:rPr>
          <w:rFonts w:hint="eastAsia" w:ascii="黑体" w:hAnsi="黑体" w:cs="黑体"/>
          <w:color w:val="000000"/>
          <w:sz w:val="21"/>
          <w:szCs w:val="21"/>
          <w:highlight w:val="none"/>
        </w:rPr>
        <w:t>4.评审内容</w:t>
      </w:r>
      <w:bookmarkEnd w:id="686"/>
    </w:p>
    <w:p w14:paraId="4EB7DC8D">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87" w:name="_Toc95223451"/>
      <w:r>
        <w:rPr>
          <w:rFonts w:hint="eastAsia" w:ascii="黑体" w:hAnsi="黑体" w:cs="黑体"/>
          <w:color w:val="000000"/>
          <w:sz w:val="21"/>
          <w:szCs w:val="21"/>
          <w:highlight w:val="none"/>
        </w:rPr>
        <w:t>4.1技术标评审</w:t>
      </w:r>
      <w:bookmarkEnd w:id="687"/>
    </w:p>
    <w:p w14:paraId="34F0144C">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4.1.1形式性评审标准：见技术标评审表。</w:t>
      </w:r>
    </w:p>
    <w:p w14:paraId="0B3CE43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4.1.2响应性评审标准：见技术标评审表。</w:t>
      </w:r>
    </w:p>
    <w:p w14:paraId="171FD9A9">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评标委员会依据上述标准对投标文件进行形式性评审和响应性评审。有一项不符合评审标准的，作无效投标处理。对否定的技术标，评标委员会要提出充足的否定理由，并填写在技术标评标记录上。</w:t>
      </w:r>
    </w:p>
    <w:p w14:paraId="40817053">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88" w:name="_Toc95223452"/>
      <w:r>
        <w:rPr>
          <w:rFonts w:hint="eastAsia" w:ascii="黑体" w:hAnsi="黑体" w:cs="黑体"/>
          <w:color w:val="000000"/>
          <w:sz w:val="21"/>
          <w:szCs w:val="21"/>
          <w:highlight w:val="none"/>
        </w:rPr>
        <w:t>4.2商务标评审</w:t>
      </w:r>
      <w:bookmarkEnd w:id="688"/>
    </w:p>
    <w:p w14:paraId="167E7BF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只有通过技术标评审的投标才能够进入本阶段评审。</w:t>
      </w:r>
    </w:p>
    <w:p w14:paraId="539D860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4.2.1形式性评审标准：见商务标评审表。</w:t>
      </w:r>
    </w:p>
    <w:p w14:paraId="5F66F43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4.2.2响应性评审标准：见商务标评审表。</w:t>
      </w:r>
    </w:p>
    <w:p w14:paraId="1028B9B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评标委员会依据上述标准对投标文件进行初步评审。有一项不符合评审标准的，作无效投标处理。</w:t>
      </w:r>
    </w:p>
    <w:p w14:paraId="1A31D2CB">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4.2.3评标委员会审查投标文件，看其是否有计算或表达上的错误，投标报价有错误的，评标委员会按以下原则对投标报价进行修正。</w:t>
      </w:r>
    </w:p>
    <w:p w14:paraId="0FB8224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（1）投标文件中的大写金额与小写金额不一致的，以大写金额为准。</w:t>
      </w:r>
    </w:p>
    <w:p w14:paraId="765F13D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按上述修正错误的原则及方法调整或修正投标文件的投标报价，调整或修正的价格经投标人书面确认后具有约束力。中标价原则上以调整或修正后的价格为准，调整或修正后的价格与投标报价相比，价格（1-下浮率）低的为中标价。投标人不接受的，其投标将被拒绝。</w:t>
      </w:r>
    </w:p>
    <w:p w14:paraId="65EFD3EE">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89" w:name="_Toc95223453"/>
      <w:r>
        <w:rPr>
          <w:rFonts w:hint="eastAsia" w:ascii="黑体" w:hAnsi="黑体" w:cs="黑体"/>
          <w:color w:val="000000"/>
          <w:sz w:val="21"/>
          <w:szCs w:val="21"/>
          <w:highlight w:val="none"/>
        </w:rPr>
        <w:t>5.无效投标条款</w:t>
      </w:r>
      <w:bookmarkEnd w:id="689"/>
    </w:p>
    <w:p w14:paraId="5537315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5.1投标人存在下列情形的招标人将拒收投标文件：</w:t>
      </w:r>
    </w:p>
    <w:p w14:paraId="11D413B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 未在投标截止时间前通过网上招标投标系统递交有效电子投标文件的，开标系统不予接收，投标将被拒绝。</w:t>
      </w:r>
    </w:p>
    <w:p w14:paraId="6D2727D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所有投标人应在规定时间里完成投标文件的解密工作【投标企业接到远程解密指令后，须在规定时间内解密（以网上开评标系统解密倒计时为准）。因投标人自身原因导致投标文件在规定时间内未能解密、解密失败或解密超时，投标文件无效；因招标人或代理公司原因或网上平台发生故障，导致无法按时完成投标文件解密的，经代理公司申请后可延迟解密时间】。</w:t>
      </w:r>
    </w:p>
    <w:p w14:paraId="7F92D5A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5.2投标人有下列情形的，经评审后其投标作无效投标处理：</w:t>
      </w:r>
    </w:p>
    <w:p w14:paraId="373FC9E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5.2.1技术标评审</w:t>
      </w:r>
    </w:p>
    <w:p w14:paraId="6FE80D0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评标委员会依据《技术标评审表》进行形式性评审和响应性评审。有一项不符合评审标准的，做无效投标处理。评标委员会要提出充足的否定理由，并填写在技术标评标记录上。</w:t>
      </w:r>
    </w:p>
    <w:p w14:paraId="2901CB9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5.2.2商务标评审</w:t>
      </w:r>
    </w:p>
    <w:p w14:paraId="0DDA6E1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(1)评标委员会依据《商务标评审表》进行形式性评审和响应性评审。有一项不符合评审标准的，做无效投标处理；</w:t>
      </w:r>
    </w:p>
    <w:p w14:paraId="6DF5A002">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（2）商务标详细评审标准中有任何一项不能通过评审的，作无效投标处理。</w:t>
      </w:r>
    </w:p>
    <w:p w14:paraId="08D50A22">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5.3其他无效投标情况：</w:t>
      </w:r>
    </w:p>
    <w:p w14:paraId="524F367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评标委员会发现投标人的投标报价明显低于其他投标报价，使得其投标报价可能低于其成本的，应当要求该投标人作出书面说明并提供相应的证明材料。投标人不能合理说明或者不能提供相应证明材料的，由评标委员会认定该投标人以低于成本报价竞标，其投标作无效投标处理。</w:t>
      </w:r>
    </w:p>
    <w:p w14:paraId="6BFA723C">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（2）按第四章“评标方法”4.2.4项修正错误的原则及方法调整或修正投标文件的投标报价，调整或修正的价格经投标人书面确认后具有约束力。投标人不接受修正价格的，其投标将被拒绝。</w:t>
      </w:r>
    </w:p>
    <w:p w14:paraId="5EBB90DB">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（3）第二章“投标人须知”第1.4.3项规定的任何一种情形的。</w:t>
      </w:r>
    </w:p>
    <w:p w14:paraId="53998E7C">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（4）投标人有串通投标、视为串通投标、弄虚作假、行贿等违法行为。</w:t>
      </w:r>
    </w:p>
    <w:p w14:paraId="423DFD49">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（5）投标文件没有对招标文件的实质性要求和条件作出响应。</w:t>
      </w:r>
    </w:p>
    <w:p w14:paraId="401F12A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（6）未按规定的格式填写，实质性内容不全或关键字迹模糊、无法辨认的，经评委会一致认定并经综合监管部门同意。</w:t>
      </w:r>
    </w:p>
    <w:p w14:paraId="6C6E6CB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（7）同一投标人提交两个以上不同的投标文件或者投标报价，但招标文件规定提交备选投标的除外。</w:t>
      </w:r>
    </w:p>
    <w:p w14:paraId="50786D72">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（8）投标文件中存在招标人不能接受的其他实质性条件。</w:t>
      </w:r>
    </w:p>
    <w:p w14:paraId="743D9B3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（9）投标文件中填报的拟任项目经理（建造师）与资格审查通过的项目经理（建造师）（或注册建造师）前后不一致的。</w:t>
      </w:r>
    </w:p>
    <w:p w14:paraId="33E68862">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（10）投标人拒不按照要求对投标文件进行澄清、说明、补正的，或评标委员会根据招标文件的规定对招标文件的计算错误进行修正后，投标人不接受修正的投标报价的。</w:t>
      </w:r>
    </w:p>
    <w:p w14:paraId="5F779BA4">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（11）投标人投标MAC地址一致。</w:t>
      </w:r>
    </w:p>
    <w:p w14:paraId="481DAAE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（12）投标人单方面出现其他投标人材料。</w:t>
      </w:r>
    </w:p>
    <w:p w14:paraId="4887973D">
      <w:pPr>
        <w:adjustRightInd w:val="0"/>
        <w:snapToGrid w:val="0"/>
        <w:spacing w:line="560" w:lineRule="exact"/>
        <w:ind w:firstLine="420" w:firstLineChars="200"/>
        <w:rPr>
          <w:rFonts w:ascii="宋体" w:hAnsi="宋体" w:cs="宋体"/>
          <w:strike/>
          <w:color w:val="000000"/>
          <w:szCs w:val="21"/>
          <w:highlight w:val="none"/>
        </w:rPr>
      </w:pPr>
      <w:r>
        <w:rPr>
          <w:rFonts w:hint="eastAsia" w:ascii="宋体" w:hAnsi="宋体" w:cs="宋体"/>
          <w:color w:val="000000"/>
          <w:szCs w:val="21"/>
          <w:highlight w:val="none"/>
        </w:rPr>
        <w:t>（13）</w:t>
      </w:r>
      <w:r>
        <w:rPr>
          <w:rFonts w:hint="eastAsia" w:ascii="宋体" w:hAnsi="宋体" w:cs="宋体"/>
          <w:bCs/>
          <w:color w:val="000000"/>
          <w:szCs w:val="21"/>
          <w:highlight w:val="none"/>
        </w:rPr>
        <w:t>评标时查询投标文件制作机器码、文件创建标识码及造价软件加密锁号。若存在投标文件制作机器码或创建标识码或造价软件加密锁号信息与其他投标人雷同的，投标无效。</w:t>
      </w:r>
    </w:p>
    <w:p w14:paraId="0F17DEC7">
      <w:pPr>
        <w:adjustRightInd w:val="0"/>
        <w:snapToGrid w:val="0"/>
        <w:spacing w:line="560" w:lineRule="exact"/>
        <w:ind w:firstLine="420" w:firstLineChars="200"/>
        <w:rPr>
          <w:rFonts w:ascii="宋体" w:hAnsi="宋体" w:cs="宋体"/>
          <w:strike/>
          <w:color w:val="000000"/>
          <w:szCs w:val="21"/>
          <w:highlight w:val="none"/>
        </w:rPr>
      </w:pPr>
      <w:r>
        <w:rPr>
          <w:rFonts w:hint="eastAsia" w:ascii="宋体" w:hAnsi="宋体" w:cs="宋体"/>
          <w:bCs/>
          <w:color w:val="000000"/>
          <w:szCs w:val="21"/>
          <w:highlight w:val="none"/>
        </w:rPr>
        <w:t>（14）</w:t>
      </w:r>
      <w:r>
        <w:rPr>
          <w:rFonts w:hint="eastAsia" w:ascii="宋体" w:hAnsi="宋体" w:cs="宋体"/>
          <w:color w:val="000000"/>
          <w:szCs w:val="21"/>
          <w:highlight w:val="none"/>
          <w:lang w:bidi="ar"/>
        </w:rPr>
        <w:t>投标人申请开具电子保函MAC地址一致。</w:t>
      </w:r>
    </w:p>
    <w:p w14:paraId="4CF91B6C">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（15）投标人联系人或联系电话相同的。</w:t>
      </w:r>
    </w:p>
    <w:p w14:paraId="78DD658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（16）法律、法规规定的其他情形。</w:t>
      </w:r>
    </w:p>
    <w:p w14:paraId="4BE37ADC">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90" w:name="_Toc95223454"/>
      <w:r>
        <w:rPr>
          <w:rFonts w:hint="eastAsia" w:ascii="黑体" w:hAnsi="黑体" w:cs="黑体"/>
          <w:color w:val="000000"/>
          <w:sz w:val="21"/>
          <w:szCs w:val="21"/>
          <w:highlight w:val="none"/>
        </w:rPr>
        <w:t>6.投标文件的澄清和补正</w:t>
      </w:r>
      <w:bookmarkEnd w:id="690"/>
    </w:p>
    <w:p w14:paraId="7CB7381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6.1在评标过程中，评标委员会可以书面形式要求投标人对所提交的投标文件中含义不明确、对同类问题表述不一致或者有明显文字和计算错误”，其他评标办法请一并修改的内容进行书面澄清或说明，或者对细微偏差进行补正。评标委员会不接受投标人主动提出的澄清、说明或补正。</w:t>
      </w:r>
    </w:p>
    <w:p w14:paraId="1BE41DD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6.2澄清、说明和补正不得改变投标文件的实质性内容（算术性错误修正的除外）。投标人的书面澄清、说明和补正属于投标文件的组成部分。</w:t>
      </w:r>
    </w:p>
    <w:p w14:paraId="04AFBB56">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6.3评标委员会对投标人提交的澄清、说明和补正有疑问的，可以要求投标人进一步澄清、说明或补正、直至满足评标委员会的要求。</w:t>
      </w:r>
    </w:p>
    <w:p w14:paraId="1161F57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按照投标文件规定进行澄清、补正后的投标报价经投标人的法定代表人或其委托代理人确认后即为该投标人的最终投标报价。投标人一旦中标，此报价即为中标价。</w:t>
      </w:r>
    </w:p>
    <w:p w14:paraId="0B6EE9B0">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91" w:name="_Toc95223455"/>
      <w:r>
        <w:rPr>
          <w:rFonts w:hint="eastAsia" w:ascii="黑体" w:hAnsi="黑体" w:cs="黑体"/>
          <w:color w:val="000000"/>
          <w:sz w:val="21"/>
          <w:szCs w:val="21"/>
          <w:highlight w:val="none"/>
        </w:rPr>
        <w:t>7.评分标准</w:t>
      </w:r>
      <w:bookmarkEnd w:id="691"/>
    </w:p>
    <w:p w14:paraId="062FBA99">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评分标准：见资信、技术及商务评分表。</w:t>
      </w:r>
    </w:p>
    <w:p w14:paraId="4EB6C96E">
      <w:pPr>
        <w:pStyle w:val="3"/>
        <w:adjustRightInd w:val="0"/>
        <w:snapToGrid w:val="0"/>
        <w:spacing w:before="0" w:after="0" w:line="560" w:lineRule="exact"/>
        <w:ind w:firstLine="422" w:firstLineChars="200"/>
        <w:rPr>
          <w:rFonts w:ascii="黑体" w:hAnsi="黑体" w:cs="黑体"/>
          <w:color w:val="000000"/>
          <w:sz w:val="21"/>
          <w:szCs w:val="21"/>
          <w:highlight w:val="none"/>
        </w:rPr>
      </w:pPr>
      <w:bookmarkStart w:id="692" w:name="_Toc95223456"/>
      <w:r>
        <w:rPr>
          <w:rFonts w:hint="eastAsia" w:ascii="黑体" w:hAnsi="黑体" w:cs="黑体"/>
          <w:color w:val="000000"/>
          <w:sz w:val="21"/>
          <w:szCs w:val="21"/>
          <w:highlight w:val="none"/>
        </w:rPr>
        <w:t>8.评审结果</w:t>
      </w:r>
      <w:bookmarkEnd w:id="692"/>
    </w:p>
    <w:p w14:paraId="4622A197">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8.1除第二章“投标人须知”及其前附表授权直接确定中标人外，评标委员会按照总得分由高到低顺序推荐中标候选人。</w:t>
      </w:r>
    </w:p>
    <w:p w14:paraId="6DB1F2FC">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8.2 评标委员会完成评标后，应当向招标人提交书面评标报告。评标报告应当如实记载以下内容：</w:t>
      </w:r>
    </w:p>
    <w:p w14:paraId="6A2BEC78">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（1）基本情况和数据表。</w:t>
      </w:r>
    </w:p>
    <w:p w14:paraId="1897D6C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（2）评标委员会成员名单。</w:t>
      </w:r>
    </w:p>
    <w:p w14:paraId="70F0A93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（3）开标记录。</w:t>
      </w:r>
    </w:p>
    <w:p w14:paraId="1F11D37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（4）符合要求的投标人一览表。</w:t>
      </w:r>
    </w:p>
    <w:p w14:paraId="55DF7FF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（5）否决投标情况说明。</w:t>
      </w:r>
    </w:p>
    <w:p w14:paraId="767A09BE">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（6）评标标准、评标方法或者评标因素。</w:t>
      </w:r>
    </w:p>
    <w:p w14:paraId="3AFE51A5">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（7）评标情况一览表。</w:t>
      </w:r>
    </w:p>
    <w:p w14:paraId="771C26ED">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（8）经评审的投标人排序。</w:t>
      </w:r>
    </w:p>
    <w:p w14:paraId="65BBF5E9">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（9）推荐的中标候选人名单与签订合同前要处理的事宜。</w:t>
      </w:r>
    </w:p>
    <w:p w14:paraId="6D1FA25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（10）澄清、说明、补正事项纪要。</w:t>
      </w:r>
    </w:p>
    <w:p w14:paraId="4463F366">
      <w:pPr>
        <w:adjustRightInd w:val="0"/>
        <w:snapToGrid w:val="0"/>
        <w:spacing w:line="5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8.3 依法必须进行招标的项目，除中标候选人或者中标人以外的其他投标人存在串通投标、弄虚作假、行贿情形且在评标过程中未被发现的，视为对中标结果没有造成实质性影响，招标人可以依法继续开展招标活动。</w:t>
      </w:r>
    </w:p>
    <w:p w14:paraId="3A7AE954">
      <w:pPr>
        <w:pStyle w:val="3"/>
        <w:adjustRightInd w:val="0"/>
        <w:snapToGrid w:val="0"/>
        <w:spacing w:before="0" w:after="0" w:line="560" w:lineRule="exact"/>
        <w:ind w:firstLine="422" w:firstLineChars="200"/>
        <w:rPr>
          <w:rFonts w:ascii="黑体" w:hAnsi="黑体" w:cs="黑体"/>
          <w:color w:val="auto"/>
          <w:sz w:val="21"/>
          <w:szCs w:val="21"/>
          <w:highlight w:val="none"/>
        </w:rPr>
      </w:pPr>
      <w:bookmarkStart w:id="693" w:name="_Toc95223457"/>
      <w:r>
        <w:rPr>
          <w:rFonts w:hint="eastAsia" w:ascii="黑体" w:hAnsi="黑体" w:cs="黑体"/>
          <w:color w:val="auto"/>
          <w:sz w:val="21"/>
          <w:szCs w:val="21"/>
          <w:highlight w:val="none"/>
        </w:rPr>
        <w:t>9.其他</w:t>
      </w:r>
      <w:bookmarkEnd w:id="693"/>
    </w:p>
    <w:p w14:paraId="03E27A3B">
      <w:pPr>
        <w:adjustRightInd w:val="0"/>
        <w:snapToGrid w:val="0"/>
        <w:spacing w:line="5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投标人提供的与投标文件有关的各类证书、证明、文件、资料等的真实性、合法性由投标人负全责。</w:t>
      </w:r>
    </w:p>
    <w:p w14:paraId="4BED158C">
      <w:pPr>
        <w:pStyle w:val="3"/>
        <w:adjustRightInd w:val="0"/>
        <w:snapToGrid w:val="0"/>
        <w:spacing w:before="0" w:after="0" w:line="560" w:lineRule="exact"/>
        <w:ind w:firstLine="422" w:firstLineChars="200"/>
        <w:rPr>
          <w:rFonts w:hint="eastAsia" w:ascii="黑体" w:hAnsi="黑体" w:eastAsia="黑体" w:cs="黑体"/>
          <w:color w:val="auto"/>
          <w:sz w:val="21"/>
          <w:szCs w:val="21"/>
          <w:highlight w:val="none"/>
          <w:lang w:eastAsia="zh-CN"/>
        </w:rPr>
      </w:pPr>
      <w:r>
        <w:rPr>
          <w:rFonts w:hint="eastAsia" w:ascii="黑体" w:hAnsi="黑体" w:cs="黑体"/>
          <w:color w:val="auto"/>
          <w:sz w:val="21"/>
          <w:szCs w:val="21"/>
          <w:highlight w:val="none"/>
          <w:lang w:val="en-US" w:eastAsia="zh-CN"/>
        </w:rPr>
        <w:t>10</w:t>
      </w:r>
      <w:r>
        <w:rPr>
          <w:rFonts w:hint="eastAsia" w:ascii="黑体" w:hAnsi="黑体" w:cs="黑体"/>
          <w:color w:val="auto"/>
          <w:sz w:val="21"/>
          <w:szCs w:val="21"/>
          <w:highlight w:val="none"/>
        </w:rPr>
        <w:t>.</w:t>
      </w:r>
      <w:r>
        <w:rPr>
          <w:rFonts w:hint="eastAsia" w:ascii="黑体" w:hAnsi="黑体" w:cs="黑体"/>
          <w:color w:val="auto"/>
          <w:sz w:val="21"/>
          <w:szCs w:val="21"/>
          <w:highlight w:val="none"/>
          <w:lang w:val="en-US" w:eastAsia="zh-CN"/>
        </w:rPr>
        <w:t>定标</w:t>
      </w:r>
    </w:p>
    <w:p w14:paraId="0A0EFB72">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10.1定标核查</w:t>
      </w:r>
    </w:p>
    <w:p w14:paraId="292203AE">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招标人在定标会议前对所有中标候选人</w:t>
      </w:r>
      <w:r>
        <w:rPr>
          <w:rFonts w:hint="eastAsia" w:ascii="宋体" w:hAnsi="宋体" w:cs="宋体"/>
          <w:color w:val="auto"/>
          <w:szCs w:val="21"/>
          <w:highlight w:val="none"/>
          <w:lang w:val="en-US" w:eastAsia="zh-CN"/>
        </w:rPr>
        <w:t>不</w:t>
      </w:r>
      <w:r>
        <w:rPr>
          <w:rFonts w:hint="eastAsia" w:ascii="宋体" w:hAnsi="宋体" w:eastAsia="宋体" w:cs="宋体"/>
          <w:color w:val="auto"/>
          <w:szCs w:val="21"/>
          <w:highlight w:val="none"/>
          <w:lang w:val="en-US" w:eastAsia="zh-CN"/>
        </w:rPr>
        <w:t>进行核查。</w:t>
      </w:r>
    </w:p>
    <w:p w14:paraId="4363C4B4">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10.2组建定标委员会</w:t>
      </w:r>
    </w:p>
    <w:p w14:paraId="69AB56ED">
      <w:pPr>
        <w:adjustRightInd w:val="0"/>
        <w:snapToGrid w:val="0"/>
        <w:spacing w:line="56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由招标人组织7人组成定标委员会，并由定标委员会成员民主推荐1名定标委员会主任。</w:t>
      </w:r>
    </w:p>
    <w:p w14:paraId="4C612935">
      <w:pPr>
        <w:adjustRightInd w:val="0"/>
        <w:snapToGrid w:val="0"/>
        <w:spacing w:line="56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定标委员会成员与中标候选人有利害关系的，应当主动回避。</w:t>
      </w:r>
    </w:p>
    <w:p w14:paraId="22504A7B">
      <w:pPr>
        <w:adjustRightInd w:val="0"/>
        <w:snapToGrid w:val="0"/>
        <w:spacing w:line="560" w:lineRule="exact"/>
        <w:ind w:firstLine="420" w:firstLineChars="200"/>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定标委员会成员应当回避的具体情形：</w:t>
      </w:r>
    </w:p>
    <w:p w14:paraId="13619F96">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（1）是中标候选人或者中标候选人主要负责人的近亲属，包括配偶、父母、子女等；或与中标候选人法定代表人、授权参与投标的代理人有近亲属关系。</w:t>
      </w:r>
    </w:p>
    <w:p w14:paraId="7B8B34F8">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（2）3年内曾在该项目的中标候选人中任职或担任顾问，配偶或直系亲属在参加该项目的中标候选人中任职或担任顾问，与参加该项目的中标候选人发生过法律纠纷等。</w:t>
      </w:r>
    </w:p>
    <w:p w14:paraId="70F1E447">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（3）曾因在招标、评标以及其他与招标投标有关活动中从事违法行为而受过行政处罚或刑事处罚的。</w:t>
      </w:r>
    </w:p>
    <w:p w14:paraId="226CED33">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（4）定标委员会成员任职单位与中标候选人单位为同一法定代表人，评标委员会成员持有某中标候选人单位股份等。</w:t>
      </w:r>
    </w:p>
    <w:p w14:paraId="3681EC05">
      <w:pPr>
        <w:adjustRightInd w:val="0"/>
        <w:snapToGrid w:val="0"/>
        <w:spacing w:line="560" w:lineRule="exact"/>
        <w:ind w:firstLine="420" w:firstLineChars="200"/>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10.3定标方法</w:t>
      </w:r>
    </w:p>
    <w:p w14:paraId="35D7AF2B">
      <w:pPr>
        <w:autoSpaceDE w:val="0"/>
        <w:autoSpaceDN w:val="0"/>
        <w:adjustRightInd w:val="0"/>
        <w:snapToGrid w:val="0"/>
        <w:spacing w:line="560" w:lineRule="exact"/>
        <w:ind w:firstLine="420" w:firstLineChars="200"/>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本项目定标方法采用综合定标法。综合定标法是指由定标委员会结合投标报价、企业实力、企业信誉、拟派团队管理能力、等量化因素对中标候选人进行综合打分，并按综合得分高低排名，最终择优确定中标人。</w:t>
      </w:r>
    </w:p>
    <w:p w14:paraId="1C208F6E">
      <w:pPr>
        <w:adjustRightInd w:val="0"/>
        <w:snapToGrid w:val="0"/>
        <w:spacing w:line="560" w:lineRule="exact"/>
        <w:ind w:firstLine="420" w:firstLineChars="200"/>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 xml:space="preserve">10.4定标会议  </w:t>
      </w:r>
    </w:p>
    <w:p w14:paraId="7BDFB6D3">
      <w:pPr>
        <w:adjustRightInd w:val="0"/>
        <w:snapToGrid w:val="0"/>
        <w:spacing w:line="560" w:lineRule="exac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招标人应当自收到评标报告之日起5个工作日内召开定标会议。定标会议应当在公共资源交易中心召开，按照以下程序进行： </w:t>
      </w:r>
    </w:p>
    <w:p w14:paraId="4AD764E7">
      <w:pPr>
        <w:adjustRightInd w:val="0"/>
        <w:snapToGrid w:val="0"/>
        <w:spacing w:line="560" w:lineRule="exac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招标人介绍定标程序及须知，定标成员签署承诺书。定标委员会成员存在法定事由需要回避的应主动提出，招标人办理补充事宜。</w:t>
      </w:r>
    </w:p>
    <w:p w14:paraId="6D26DF06">
      <w:pPr>
        <w:adjustRightInd w:val="0"/>
        <w:snapToGrid w:val="0"/>
        <w:spacing w:line="560" w:lineRule="exac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招标人介绍项目基本情况，并根据评标报告汇报各中标候选人优势、不足、风险等情况，汇报内容不得有明示或暗示倾向性内容。</w:t>
      </w:r>
    </w:p>
    <w:p w14:paraId="10837836">
      <w:pPr>
        <w:adjustRightInd w:val="0"/>
        <w:snapToGrid w:val="0"/>
        <w:spacing w:line="560" w:lineRule="exac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定标委员会根据定标方法，结合评标报告、汇报情况及定标要素等进行定标，确定中标人；</w:t>
      </w:r>
    </w:p>
    <w:p w14:paraId="1C0E50BA">
      <w:pPr>
        <w:adjustRightInd w:val="0"/>
        <w:snapToGrid w:val="0"/>
        <w:spacing w:line="560" w:lineRule="exac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cs="宋体"/>
          <w:color w:val="000000"/>
          <w:szCs w:val="21"/>
          <w:highlight w:val="none"/>
          <w:lang w:val="en-US" w:eastAsia="zh-CN"/>
        </w:rPr>
        <w:t>4</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定标委员会出具书面定标报告。定标报告内容应当包括定标委员名单、定标程序、定标因素、定标结果等内容。</w:t>
      </w:r>
    </w:p>
    <w:p w14:paraId="4B472721">
      <w:pPr>
        <w:adjustRightInd w:val="0"/>
        <w:snapToGrid w:val="0"/>
        <w:spacing w:line="560" w:lineRule="exac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定标报告由定标委员会全体成员签字。对定标结果有不同意见的定标委员会成员应当以书面形式说明其不同意见和理由。定标委员会成员拒绝在定标报告上签字又不书面说明其不同意见和理由的，视为同意定标结果。</w:t>
      </w:r>
    </w:p>
    <w:p w14:paraId="6384E455">
      <w:pPr>
        <w:adjustRightInd w:val="0"/>
        <w:snapToGrid w:val="0"/>
        <w:spacing w:line="560" w:lineRule="exac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定标会议中，定标委员会不得改变招标文件、投标文件和评标的实质性内容。定标过程应当同步录音录像，录音录像信息和定标报告、定标委员会名单等资料应当一并存档备查。</w:t>
      </w:r>
    </w:p>
    <w:p w14:paraId="72372FD7">
      <w:pPr>
        <w:adjustRightInd w:val="0"/>
        <w:snapToGrid w:val="0"/>
        <w:spacing w:line="560" w:lineRule="exact"/>
        <w:ind w:firstLine="420" w:firstLineChars="200"/>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10.5评定分离定标因素如下：</w:t>
      </w:r>
    </w:p>
    <w:tbl>
      <w:tblPr>
        <w:tblStyle w:val="18"/>
        <w:tblW w:w="8460"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11"/>
        <w:gridCol w:w="1035"/>
        <w:gridCol w:w="5115"/>
      </w:tblGrid>
      <w:tr w14:paraId="21FF1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799" w:type="dxa"/>
            <w:noWrap w:val="0"/>
            <w:vAlign w:val="top"/>
          </w:tcPr>
          <w:p w14:paraId="2ECABA02">
            <w:pPr>
              <w:adjustRightInd w:val="0"/>
              <w:snapToGrid w:val="0"/>
              <w:spacing w:line="560" w:lineRule="exact"/>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511" w:type="dxa"/>
            <w:noWrap w:val="0"/>
            <w:vAlign w:val="top"/>
          </w:tcPr>
          <w:p w14:paraId="66EFDEB8">
            <w:pPr>
              <w:adjustRightInd w:val="0"/>
              <w:snapToGrid w:val="0"/>
              <w:spacing w:line="56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定标</w:t>
            </w:r>
            <w:r>
              <w:rPr>
                <w:rFonts w:hint="eastAsia" w:ascii="宋体" w:hAnsi="宋体" w:cs="宋体"/>
                <w:color w:val="auto"/>
                <w:szCs w:val="21"/>
                <w:highlight w:val="none"/>
              </w:rPr>
              <w:t>因素</w:t>
            </w:r>
          </w:p>
        </w:tc>
        <w:tc>
          <w:tcPr>
            <w:tcW w:w="1035" w:type="dxa"/>
            <w:noWrap w:val="0"/>
            <w:vAlign w:val="top"/>
          </w:tcPr>
          <w:p w14:paraId="3809A430">
            <w:pPr>
              <w:adjustRightInd w:val="0"/>
              <w:snapToGrid w:val="0"/>
              <w:spacing w:line="560" w:lineRule="exact"/>
              <w:jc w:val="center"/>
              <w:rPr>
                <w:rFonts w:hint="eastAsia" w:ascii="宋体" w:hAnsi="宋体" w:cs="宋体"/>
                <w:color w:val="auto"/>
                <w:szCs w:val="21"/>
                <w:highlight w:val="none"/>
              </w:rPr>
            </w:pPr>
            <w:r>
              <w:rPr>
                <w:rFonts w:hint="eastAsia" w:ascii="宋体" w:hAnsi="宋体" w:cs="宋体"/>
                <w:color w:val="auto"/>
                <w:szCs w:val="21"/>
                <w:highlight w:val="none"/>
              </w:rPr>
              <w:t>分值设置</w:t>
            </w:r>
          </w:p>
        </w:tc>
        <w:tc>
          <w:tcPr>
            <w:tcW w:w="5115" w:type="dxa"/>
            <w:noWrap w:val="0"/>
            <w:vAlign w:val="top"/>
          </w:tcPr>
          <w:p w14:paraId="3D500332">
            <w:pPr>
              <w:adjustRightInd w:val="0"/>
              <w:snapToGrid w:val="0"/>
              <w:spacing w:line="560" w:lineRule="exact"/>
              <w:jc w:val="center"/>
              <w:rPr>
                <w:rFonts w:hint="eastAsia" w:ascii="宋体" w:hAnsi="宋体" w:cs="宋体"/>
                <w:color w:val="auto"/>
                <w:szCs w:val="21"/>
                <w:highlight w:val="none"/>
              </w:rPr>
            </w:pPr>
            <w:r>
              <w:rPr>
                <w:rFonts w:hint="eastAsia" w:ascii="宋体" w:hAnsi="宋体" w:cs="宋体"/>
                <w:color w:val="auto"/>
                <w:szCs w:val="21"/>
                <w:highlight w:val="none"/>
              </w:rPr>
              <w:t>评审标准</w:t>
            </w:r>
          </w:p>
        </w:tc>
      </w:tr>
      <w:tr w14:paraId="04A9F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9" w:type="dxa"/>
            <w:noWrap w:val="0"/>
            <w:vAlign w:val="center"/>
          </w:tcPr>
          <w:p w14:paraId="4F90DFED">
            <w:pPr>
              <w:adjustRightInd w:val="0"/>
              <w:snapToGrid w:val="0"/>
              <w:spacing w:line="560" w:lineRule="exact"/>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511" w:type="dxa"/>
            <w:noWrap w:val="0"/>
            <w:vAlign w:val="center"/>
          </w:tcPr>
          <w:p w14:paraId="17076D1A">
            <w:pPr>
              <w:adjustRightInd w:val="0"/>
              <w:snapToGrid w:val="0"/>
              <w:spacing w:line="56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投标报价</w:t>
            </w:r>
          </w:p>
        </w:tc>
        <w:tc>
          <w:tcPr>
            <w:tcW w:w="1035" w:type="dxa"/>
            <w:noWrap w:val="0"/>
            <w:vAlign w:val="center"/>
          </w:tcPr>
          <w:p w14:paraId="6B2DCC08">
            <w:pPr>
              <w:adjustRightInd w:val="0"/>
              <w:snapToGrid w:val="0"/>
              <w:spacing w:line="560" w:lineRule="exact"/>
              <w:jc w:val="center"/>
              <w:rPr>
                <w:rFonts w:hint="default" w:ascii="宋体" w:hAnsi="宋体" w:cs="宋体"/>
                <w:color w:val="auto"/>
                <w:szCs w:val="21"/>
                <w:highlight w:val="none"/>
                <w:lang w:val="en-US"/>
              </w:rPr>
            </w:pPr>
            <w:r>
              <w:rPr>
                <w:rFonts w:hint="eastAsia" w:ascii="宋体" w:hAnsi="宋体" w:cs="宋体"/>
                <w:color w:val="auto"/>
                <w:szCs w:val="21"/>
                <w:highlight w:val="none"/>
                <w:lang w:val="en-US" w:eastAsia="zh-CN"/>
              </w:rPr>
              <w:t>3分</w:t>
            </w:r>
          </w:p>
        </w:tc>
        <w:tc>
          <w:tcPr>
            <w:tcW w:w="5115" w:type="dxa"/>
            <w:noWrap w:val="0"/>
            <w:vAlign w:val="top"/>
          </w:tcPr>
          <w:p w14:paraId="418E95D8">
            <w:pPr>
              <w:adjustRightInd w:val="0"/>
              <w:snapToGrid w:val="0"/>
              <w:spacing w:line="520" w:lineRule="exact"/>
              <w:rPr>
                <w:rFonts w:hint="default" w:ascii="宋体" w:hAnsi="宋体" w:eastAsia="宋体" w:cs="Times New Roman"/>
                <w:color w:val="auto"/>
                <w:szCs w:val="21"/>
                <w:highlight w:val="none"/>
                <w:lang w:val="en-US" w:eastAsia="zh-CN"/>
              </w:rPr>
            </w:pPr>
            <w:r>
              <w:rPr>
                <w:rFonts w:hint="default" w:ascii="宋体" w:hAnsi="宋体" w:eastAsia="宋体" w:cs="Times New Roman"/>
                <w:color w:val="auto"/>
                <w:szCs w:val="21"/>
                <w:highlight w:val="none"/>
                <w:lang w:val="en-US" w:eastAsia="zh-CN"/>
              </w:rPr>
              <w:t>中标候选人中商务标报价最低者得</w:t>
            </w:r>
            <w:r>
              <w:rPr>
                <w:rFonts w:hint="eastAsia" w:ascii="宋体" w:hAnsi="宋体" w:eastAsia="宋体" w:cs="Times New Roman"/>
                <w:color w:val="auto"/>
                <w:szCs w:val="21"/>
                <w:highlight w:val="none"/>
                <w:lang w:val="en-US" w:eastAsia="zh-CN"/>
              </w:rPr>
              <w:t>3</w:t>
            </w:r>
            <w:r>
              <w:rPr>
                <w:rFonts w:hint="default" w:ascii="宋体" w:hAnsi="宋体" w:eastAsia="宋体" w:cs="Times New Roman"/>
                <w:color w:val="auto"/>
                <w:szCs w:val="21"/>
                <w:highlight w:val="none"/>
                <w:lang w:val="en-US" w:eastAsia="zh-CN"/>
              </w:rPr>
              <w:t>分，其次得</w:t>
            </w:r>
            <w:r>
              <w:rPr>
                <w:rFonts w:hint="eastAsia" w:ascii="宋体" w:hAnsi="宋体" w:eastAsia="宋体" w:cs="Times New Roman"/>
                <w:color w:val="auto"/>
                <w:szCs w:val="21"/>
                <w:highlight w:val="none"/>
                <w:lang w:val="en-US" w:eastAsia="zh-CN"/>
              </w:rPr>
              <w:t>2</w:t>
            </w:r>
            <w:r>
              <w:rPr>
                <w:rFonts w:hint="default" w:ascii="宋体" w:hAnsi="宋体" w:eastAsia="宋体" w:cs="Times New Roman"/>
                <w:color w:val="auto"/>
                <w:szCs w:val="21"/>
                <w:highlight w:val="none"/>
                <w:lang w:val="en-US" w:eastAsia="zh-CN"/>
              </w:rPr>
              <w:t>分，商务标报价最高者得</w:t>
            </w:r>
            <w:r>
              <w:rPr>
                <w:rFonts w:hint="eastAsia" w:ascii="宋体" w:hAnsi="宋体" w:eastAsia="宋体" w:cs="Times New Roman"/>
                <w:color w:val="auto"/>
                <w:szCs w:val="21"/>
                <w:highlight w:val="none"/>
                <w:lang w:val="en-US" w:eastAsia="zh-CN"/>
              </w:rPr>
              <w:t>1</w:t>
            </w:r>
            <w:r>
              <w:rPr>
                <w:rFonts w:hint="default" w:ascii="宋体" w:hAnsi="宋体" w:eastAsia="宋体" w:cs="Times New Roman"/>
                <w:color w:val="auto"/>
                <w:szCs w:val="21"/>
                <w:highlight w:val="none"/>
                <w:lang w:val="en-US" w:eastAsia="zh-CN"/>
              </w:rPr>
              <w:t>分</w:t>
            </w:r>
            <w:r>
              <w:rPr>
                <w:rFonts w:hint="eastAsia" w:ascii="宋体" w:hAnsi="宋体" w:eastAsia="宋体" w:cs="Times New Roman"/>
                <w:color w:val="auto"/>
                <w:szCs w:val="21"/>
                <w:highlight w:val="none"/>
                <w:lang w:val="en-US" w:eastAsia="zh-CN"/>
              </w:rPr>
              <w:t>。</w:t>
            </w:r>
          </w:p>
        </w:tc>
      </w:tr>
      <w:tr w14:paraId="50AA8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9" w:type="dxa"/>
            <w:noWrap w:val="0"/>
            <w:vAlign w:val="center"/>
          </w:tcPr>
          <w:p w14:paraId="0C04B478">
            <w:pPr>
              <w:adjustRightInd w:val="0"/>
              <w:snapToGrid w:val="0"/>
              <w:spacing w:line="56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511" w:type="dxa"/>
            <w:noWrap w:val="0"/>
            <w:vAlign w:val="center"/>
          </w:tcPr>
          <w:p w14:paraId="26185D04">
            <w:pPr>
              <w:adjustRightInd w:val="0"/>
              <w:snapToGrid w:val="0"/>
              <w:spacing w:line="56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拟派项目管理机构及人员配备情况</w:t>
            </w:r>
          </w:p>
          <w:p w14:paraId="423C422E">
            <w:pPr>
              <w:adjustRightInd w:val="0"/>
              <w:snapToGrid w:val="0"/>
              <w:spacing w:line="560" w:lineRule="exact"/>
              <w:jc w:val="center"/>
              <w:rPr>
                <w:rFonts w:hint="default" w:ascii="宋体" w:hAnsi="宋体" w:eastAsia="宋体" w:cs="宋体"/>
                <w:color w:val="auto"/>
                <w:szCs w:val="21"/>
                <w:highlight w:val="none"/>
                <w:lang w:val="en-US" w:eastAsia="zh-CN"/>
              </w:rPr>
            </w:pPr>
          </w:p>
        </w:tc>
        <w:tc>
          <w:tcPr>
            <w:tcW w:w="1035" w:type="dxa"/>
            <w:noWrap w:val="0"/>
            <w:vAlign w:val="center"/>
          </w:tcPr>
          <w:p w14:paraId="0F2FE580">
            <w:pPr>
              <w:adjustRightInd w:val="0"/>
              <w:snapToGrid w:val="0"/>
              <w:spacing w:line="56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3分</w:t>
            </w:r>
          </w:p>
        </w:tc>
        <w:tc>
          <w:tcPr>
            <w:tcW w:w="5115" w:type="dxa"/>
            <w:noWrap w:val="0"/>
            <w:vAlign w:val="top"/>
          </w:tcPr>
          <w:p w14:paraId="05B54ADB">
            <w:pPr>
              <w:adjustRightInd w:val="0"/>
              <w:snapToGrid w:val="0"/>
              <w:spacing w:line="520" w:lineRule="exact"/>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项目管理机构及人员配置齐全、合理的</w:t>
            </w:r>
            <w:r>
              <w:rPr>
                <w:rFonts w:hint="eastAsia" w:ascii="宋体" w:hAnsi="宋体" w:cs="Times New Roman"/>
                <w:color w:val="auto"/>
                <w:szCs w:val="21"/>
                <w:highlight w:val="none"/>
                <w:lang w:val="en-US" w:eastAsia="zh-CN"/>
              </w:rPr>
              <w:t>，</w:t>
            </w:r>
            <w:r>
              <w:rPr>
                <w:rFonts w:hint="eastAsia" w:ascii="宋体" w:hAnsi="宋体" w:eastAsia="宋体" w:cs="Times New Roman"/>
                <w:color w:val="auto"/>
                <w:szCs w:val="21"/>
                <w:highlight w:val="none"/>
                <w:lang w:val="en-US" w:eastAsia="zh-CN"/>
              </w:rPr>
              <w:t>优于配置一般的企业。优秀得3分，良好得2分，</w:t>
            </w:r>
            <w:r>
              <w:rPr>
                <w:rFonts w:hint="eastAsia" w:ascii="宋体" w:hAnsi="宋体" w:cs="Times New Roman"/>
                <w:color w:val="auto"/>
                <w:szCs w:val="21"/>
                <w:highlight w:val="none"/>
                <w:lang w:val="en-US" w:eastAsia="zh-CN"/>
              </w:rPr>
              <w:t>一般</w:t>
            </w:r>
            <w:r>
              <w:rPr>
                <w:rFonts w:hint="eastAsia" w:ascii="宋体" w:hAnsi="宋体" w:eastAsia="宋体" w:cs="Times New Roman"/>
                <w:color w:val="auto"/>
                <w:szCs w:val="21"/>
                <w:highlight w:val="none"/>
                <w:lang w:val="en-US" w:eastAsia="zh-CN"/>
              </w:rPr>
              <w:t>得1 分，未提供的此项不得分。</w:t>
            </w:r>
          </w:p>
          <w:p w14:paraId="589038F5">
            <w:pPr>
              <w:adjustRightInd w:val="0"/>
              <w:snapToGrid w:val="0"/>
              <w:spacing w:line="520" w:lineRule="exact"/>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上述材料须在投标文件中对应模块上传，格式自拟，未在投标文件中提供定标材料的，在项目评标结束后不额外接收。取所有定标委员会评分的平均值为最终得分，小数点后保留两位小数，第三位四舍五入。</w:t>
            </w:r>
          </w:p>
        </w:tc>
      </w:tr>
      <w:tr w14:paraId="68FBD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9" w:type="dxa"/>
            <w:noWrap w:val="0"/>
            <w:vAlign w:val="center"/>
          </w:tcPr>
          <w:p w14:paraId="318B7140">
            <w:pPr>
              <w:adjustRightInd w:val="0"/>
              <w:snapToGrid w:val="0"/>
              <w:spacing w:line="56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511" w:type="dxa"/>
            <w:noWrap w:val="0"/>
            <w:vAlign w:val="center"/>
          </w:tcPr>
          <w:p w14:paraId="146AE3AF">
            <w:pPr>
              <w:adjustRightInd w:val="0"/>
              <w:snapToGrid w:val="0"/>
              <w:spacing w:line="56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拟派项目负责人答辩</w:t>
            </w:r>
          </w:p>
        </w:tc>
        <w:tc>
          <w:tcPr>
            <w:tcW w:w="1035" w:type="dxa"/>
            <w:noWrap w:val="0"/>
            <w:vAlign w:val="center"/>
          </w:tcPr>
          <w:p w14:paraId="5980457A">
            <w:pPr>
              <w:adjustRightInd w:val="0"/>
              <w:snapToGrid w:val="0"/>
              <w:spacing w:line="56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4分</w:t>
            </w:r>
          </w:p>
        </w:tc>
        <w:tc>
          <w:tcPr>
            <w:tcW w:w="5115" w:type="dxa"/>
            <w:noWrap w:val="0"/>
            <w:vAlign w:val="top"/>
          </w:tcPr>
          <w:p w14:paraId="2C7E32E9">
            <w:pPr>
              <w:keepNext w:val="0"/>
              <w:keepLines w:val="0"/>
              <w:pageBreakBefore w:val="0"/>
              <w:widowControl w:val="0"/>
              <w:suppressLineNumbers w:val="0"/>
              <w:shd w:val="clear" w:color="auto" w:fill="auto"/>
              <w:kinsoku/>
              <w:wordWrap/>
              <w:overflowPunct/>
              <w:topLinePunct w:val="0"/>
              <w:autoSpaceDE/>
              <w:autoSpaceDN/>
              <w:bidi w:val="0"/>
              <w:adjustRightInd w:val="0"/>
              <w:snapToGrid w:val="0"/>
              <w:spacing w:before="0" w:beforeAutospacing="0" w:after="0" w:afterAutospacing="0" w:line="500" w:lineRule="exact"/>
              <w:ind w:left="0" w:right="0"/>
              <w:textAlignment w:val="auto"/>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拟派项目负责人答辩</w:t>
            </w:r>
            <w:r>
              <w:rPr>
                <w:rFonts w:hint="eastAsia" w:ascii="宋体" w:hAnsi="宋体" w:cs="Times New Roman"/>
                <w:color w:val="auto"/>
                <w:szCs w:val="21"/>
                <w:highlight w:val="none"/>
                <w:lang w:val="en-US" w:eastAsia="zh-CN"/>
              </w:rPr>
              <w:t>（A岗项目经理（建造师）参加答辩）</w:t>
            </w:r>
            <w:r>
              <w:rPr>
                <w:rFonts w:hint="eastAsia" w:ascii="宋体" w:hAnsi="宋体" w:eastAsia="宋体" w:cs="Times New Roman"/>
                <w:color w:val="auto"/>
                <w:szCs w:val="21"/>
                <w:highlight w:val="none"/>
                <w:lang w:val="en-US" w:eastAsia="zh-CN"/>
              </w:rPr>
              <w:t>合理性、针对性强的优于合理性、针对性弱的。优秀得4分，良好得</w:t>
            </w:r>
            <w:r>
              <w:rPr>
                <w:rFonts w:hint="eastAsia" w:ascii="宋体" w:hAnsi="宋体" w:eastAsia="宋体" w:cs="宋体"/>
                <w:color w:val="auto"/>
                <w:szCs w:val="21"/>
                <w:highlight w:val="none"/>
                <w:lang w:val="en-US" w:eastAsia="zh-CN"/>
              </w:rPr>
              <w:t>3.2分，合格得2.8分，未参与答辩的不得分，</w:t>
            </w:r>
            <w:r>
              <w:rPr>
                <w:rFonts w:hint="default" w:ascii="宋体" w:hAnsi="宋体" w:eastAsia="宋体" w:cs="宋体"/>
                <w:color w:val="auto"/>
                <w:szCs w:val="21"/>
                <w:highlight w:val="none"/>
                <w:lang w:val="en-US" w:eastAsia="zh-CN"/>
              </w:rPr>
              <w:t>最高得</w:t>
            </w:r>
            <w:r>
              <w:rPr>
                <w:rFonts w:hint="eastAsia" w:ascii="宋体" w:hAnsi="宋体" w:eastAsia="宋体" w:cs="宋体"/>
                <w:color w:val="auto"/>
                <w:szCs w:val="21"/>
                <w:highlight w:val="none"/>
                <w:lang w:val="en-US" w:eastAsia="zh-CN"/>
              </w:rPr>
              <w:t>4</w:t>
            </w:r>
            <w:r>
              <w:rPr>
                <w:rFonts w:hint="default" w:ascii="宋体" w:hAnsi="宋体" w:eastAsia="宋体" w:cs="宋体"/>
                <w:color w:val="auto"/>
                <w:szCs w:val="21"/>
                <w:highlight w:val="none"/>
                <w:lang w:val="en-US" w:eastAsia="zh-CN"/>
              </w:rPr>
              <w:t>分</w:t>
            </w:r>
            <w:r>
              <w:rPr>
                <w:rFonts w:hint="eastAsia" w:ascii="宋体" w:hAnsi="宋体" w:eastAsia="宋体" w:cs="宋体"/>
                <w:color w:val="auto"/>
                <w:szCs w:val="21"/>
                <w:highlight w:val="none"/>
                <w:lang w:val="en-US" w:eastAsia="zh-CN"/>
              </w:rPr>
              <w:t>。</w:t>
            </w:r>
          </w:p>
          <w:p w14:paraId="044226FE">
            <w:pPr>
              <w:keepNext w:val="0"/>
              <w:keepLines w:val="0"/>
              <w:pageBreakBefore w:val="0"/>
              <w:widowControl w:val="0"/>
              <w:suppressLineNumbers w:val="0"/>
              <w:shd w:val="clear" w:color="auto" w:fill="auto"/>
              <w:kinsoku/>
              <w:wordWrap/>
              <w:overflowPunct/>
              <w:topLinePunct w:val="0"/>
              <w:autoSpaceDE/>
              <w:autoSpaceDN/>
              <w:bidi w:val="0"/>
              <w:adjustRightInd w:val="0"/>
              <w:snapToGrid w:val="0"/>
              <w:spacing w:before="0" w:beforeAutospacing="0" w:after="0" w:afterAutospacing="0" w:line="500" w:lineRule="exact"/>
              <w:ind w:left="0" w:right="0"/>
              <w:textAlignment w:val="auto"/>
              <w:rPr>
                <w:rFonts w:hint="default" w:ascii="宋体" w:hAnsi="宋体" w:cs="宋体"/>
                <w:color w:val="auto"/>
                <w:szCs w:val="21"/>
                <w:highlight w:val="none"/>
                <w:lang w:val="en-US" w:eastAsia="zh-CN"/>
              </w:rPr>
            </w:pPr>
            <w:r>
              <w:rPr>
                <w:rFonts w:hint="eastAsia" w:ascii="宋体" w:hAnsi="宋体" w:eastAsia="宋体" w:cs="Times New Roman"/>
                <w:color w:val="auto"/>
                <w:szCs w:val="21"/>
                <w:highlight w:val="none"/>
                <w:lang w:val="en-US" w:eastAsia="zh-CN"/>
              </w:rPr>
              <w:t xml:space="preserve">取所有定标委员会评分的平均值为最终得分，小数点后保留两位小数，第三位四舍五入。 </w:t>
            </w:r>
          </w:p>
        </w:tc>
      </w:tr>
    </w:tbl>
    <w:p w14:paraId="424AE4A2">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lang w:val="en-US" w:eastAsia="zh-CN"/>
        </w:rPr>
        <w:t>综合定标法评分细则总分值为</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lang w:val="en-US" w:eastAsia="zh-CN"/>
        </w:rPr>
        <w:t>0分，定标委员会按照上述细则对中标候选人进行综合评分，每项得分按平均分列入总分，对各中标候选人按照定标得分分值由高到底进行排序，总分最高的为本项目中标人。</w:t>
      </w:r>
      <w:r>
        <w:rPr>
          <w:rFonts w:hint="eastAsia" w:ascii="宋体" w:hAnsi="宋体" w:cs="宋体"/>
          <w:color w:val="auto"/>
          <w:szCs w:val="21"/>
          <w:highlight w:val="none"/>
        </w:rPr>
        <w:t>如总得分相等，以投标报价低的优先，投标报价仍相等，由</w:t>
      </w:r>
      <w:r>
        <w:rPr>
          <w:rFonts w:hint="eastAsia" w:ascii="宋体" w:hAnsi="宋体" w:cs="宋体"/>
          <w:color w:val="auto"/>
          <w:szCs w:val="21"/>
          <w:highlight w:val="none"/>
          <w:lang w:val="en-US" w:eastAsia="zh-CN"/>
        </w:rPr>
        <w:t>定</w:t>
      </w:r>
      <w:r>
        <w:rPr>
          <w:rFonts w:hint="eastAsia" w:ascii="宋体" w:hAnsi="宋体" w:cs="宋体"/>
          <w:color w:val="auto"/>
          <w:szCs w:val="21"/>
          <w:highlight w:val="none"/>
        </w:rPr>
        <w:t>标委员会主任随机抽取确定</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lang w:val="en-US" w:eastAsia="zh-CN"/>
        </w:rPr>
        <w:t>（注：上述分值均保留两位小数，小数点后第三位四舍五入</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14:paraId="5767C6B7">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2.拟派项目负责人答辩：答辩采用书面形式（暗标），答辩的内容应结合本项目特点，对拟派项目负责人的综合素质、专业技术水平、项目管理水平等方面进行考核。答辩题目数量为</w:t>
      </w:r>
      <w:r>
        <w:rPr>
          <w:rFonts w:hint="default"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val="en-US" w:eastAsia="zh-CN"/>
        </w:rPr>
        <w:t>题，由定标委员会成员各出</w:t>
      </w:r>
      <w:r>
        <w:rPr>
          <w:rFonts w:hint="default"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val="en-US" w:eastAsia="zh-CN"/>
        </w:rPr>
        <w:t>题，并从中随机抽取</w:t>
      </w:r>
      <w:r>
        <w:rPr>
          <w:rFonts w:hint="default"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val="en-US" w:eastAsia="zh-CN"/>
        </w:rPr>
        <w:t xml:space="preserve">道题目进行答辩。 </w:t>
      </w:r>
    </w:p>
    <w:p w14:paraId="60E9F506">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答辩采用统一的</w:t>
      </w:r>
      <w:r>
        <w:rPr>
          <w:rFonts w:hint="default" w:ascii="宋体" w:hAnsi="宋体" w:eastAsia="宋体" w:cs="宋体"/>
          <w:color w:val="auto"/>
          <w:szCs w:val="21"/>
          <w:highlight w:val="none"/>
          <w:lang w:val="en-US" w:eastAsia="zh-CN"/>
        </w:rPr>
        <w:t xml:space="preserve">A4 </w:t>
      </w:r>
      <w:r>
        <w:rPr>
          <w:rFonts w:hint="eastAsia" w:ascii="宋体" w:hAnsi="宋体" w:eastAsia="宋体" w:cs="宋体"/>
          <w:color w:val="auto"/>
          <w:szCs w:val="21"/>
          <w:highlight w:val="none"/>
          <w:lang w:val="en-US" w:eastAsia="zh-CN"/>
        </w:rPr>
        <w:t xml:space="preserve">纸，由招标人及招标代理机构工作人员现场统一发放，答辩时间不 </w:t>
      </w:r>
    </w:p>
    <w:p w14:paraId="33D26A32">
      <w:pPr>
        <w:adjustRightInd w:val="0"/>
        <w:snapToGrid w:val="0"/>
        <w:spacing w:line="560" w:lineRule="exac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超过</w:t>
      </w:r>
      <w:r>
        <w:rPr>
          <w:rFonts w:hint="default" w:ascii="宋体" w:hAnsi="宋体" w:eastAsia="宋体" w:cs="宋体"/>
          <w:color w:val="auto"/>
          <w:szCs w:val="21"/>
          <w:highlight w:val="none"/>
          <w:lang w:val="en-US" w:eastAsia="zh-CN"/>
        </w:rPr>
        <w:t>30</w:t>
      </w:r>
      <w:r>
        <w:rPr>
          <w:rFonts w:hint="eastAsia" w:ascii="宋体" w:hAnsi="宋体" w:eastAsia="宋体" w:cs="宋体"/>
          <w:color w:val="auto"/>
          <w:szCs w:val="21"/>
          <w:highlight w:val="none"/>
          <w:lang w:val="en-US" w:eastAsia="zh-CN"/>
        </w:rPr>
        <w:t>分钟，具体答辩开始时间现场另行确定。请中标候选人拟派项目负责人携带本人的有效身份证原件于定标开始时间之前至滁州市公共资源交易中心（滁州市龙蟠大道109号房产商务大厦二楼）进行集合并签到，具体的答辩时间及地点待定标时间确定后招标代理机构以短信形式发送至授权委托人手机），若因项目负责人未按上述规定的时间、地点参加答辩或未递交有效身份证原件的，招标人将拒绝其参加拟派项目负责人答辩。</w:t>
      </w:r>
    </w:p>
    <w:p w14:paraId="1634E31C">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①答辩现场各项目负责人须将手机保持关机状态，一旦发现违规作弊行为，招标人有权取消其答辩资格；②答辩采用暗标形式，项目负责人须在指定位置签署本人姓名及所在单位 的单位名称全称，其他位置均不得出现能体现所在单位信息的提示性语句或符号；③参加本次项目负责人答辩的项目负责人必须与评标通过的项目负责人保持一致，若发现不一致的，取消其辩资格；④答辩现场各项目负责人须将手机保持关机状态，一旦发现违规作弊行为，招标人有权取消其答辩资格。</w:t>
      </w:r>
    </w:p>
    <w:p w14:paraId="4A9B888C">
      <w:pPr>
        <w:adjustRightInd w:val="0"/>
        <w:snapToGrid w:val="0"/>
        <w:spacing w:line="5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10.</w:t>
      </w: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lang w:val="en-US" w:eastAsia="zh-CN"/>
        </w:rPr>
        <w:t>中标结果公告</w:t>
      </w:r>
    </w:p>
    <w:p w14:paraId="5C33AFE6">
      <w:pPr>
        <w:adjustRightInd w:val="0"/>
        <w:snapToGrid w:val="0"/>
        <w:spacing w:line="5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定标结束后3日内，招标人应当在发布招标公告的媒介上公示中标结果，并发放中标通知书。中标结果公告应载明中标人的名称、投标报价、项目负责人等信息。 </w:t>
      </w:r>
    </w:p>
    <w:p w14:paraId="543C896E">
      <w:pPr>
        <w:adjustRightInd w:val="0"/>
        <w:snapToGrid w:val="0"/>
        <w:spacing w:line="5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cs="宋体"/>
          <w:color w:val="auto"/>
          <w:szCs w:val="21"/>
          <w:highlight w:val="none"/>
          <w:lang w:val="en-US" w:eastAsia="zh-CN"/>
        </w:rPr>
        <w:t>7</w:t>
      </w:r>
      <w:r>
        <w:rPr>
          <w:rFonts w:hint="eastAsia" w:ascii="宋体" w:hAnsi="宋体" w:eastAsia="宋体" w:cs="宋体"/>
          <w:color w:val="auto"/>
          <w:szCs w:val="21"/>
          <w:highlight w:val="none"/>
        </w:rPr>
        <w:t>重新定标</w:t>
      </w:r>
    </w:p>
    <w:p w14:paraId="58CCDDC1">
      <w:pPr>
        <w:adjustRightInd w:val="0"/>
        <w:snapToGrid w:val="0"/>
        <w:spacing w:line="5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定标后有下列情形之一的，建设单位或项目实施单位可以组织原定标委员会从其他中标候选人中按原定标方法确定中标人：</w:t>
      </w:r>
    </w:p>
    <w:p w14:paraId="5E081134">
      <w:pPr>
        <w:adjustRightInd w:val="0"/>
        <w:snapToGrid w:val="0"/>
        <w:spacing w:line="5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中标人放弃中标资格或者拒不签订合同的；</w:t>
      </w:r>
    </w:p>
    <w:p w14:paraId="1359781F">
      <w:pPr>
        <w:adjustRightInd w:val="0"/>
        <w:snapToGrid w:val="0"/>
        <w:spacing w:line="5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招标文件规定应当提交履约保证金而且在规定的期限内未能提交的；</w:t>
      </w:r>
    </w:p>
    <w:p w14:paraId="7CC7A973">
      <w:pPr>
        <w:adjustRightInd w:val="0"/>
        <w:snapToGrid w:val="0"/>
        <w:spacing w:line="5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中标人被查实存在违法行为影响中标结果的；</w:t>
      </w:r>
    </w:p>
    <w:p w14:paraId="028BFA30">
      <w:pPr>
        <w:adjustRightInd w:val="0"/>
        <w:snapToGrid w:val="0"/>
        <w:spacing w:line="5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招标文件规定的其他情形。</w:t>
      </w:r>
    </w:p>
    <w:p w14:paraId="70C7A8E1">
      <w:pPr>
        <w:adjustRightInd w:val="0"/>
        <w:snapToGrid w:val="0"/>
        <w:spacing w:line="5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定标后有下列情形之一的，应重新组建定标委员会进行定标：</w:t>
      </w:r>
    </w:p>
    <w:p w14:paraId="4733B7CE">
      <w:pPr>
        <w:adjustRightInd w:val="0"/>
        <w:snapToGrid w:val="0"/>
        <w:spacing w:line="5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定标委员会未按定标办法公正履职的；</w:t>
      </w:r>
    </w:p>
    <w:p w14:paraId="2CDC6A0C">
      <w:pPr>
        <w:adjustRightInd w:val="0"/>
        <w:snapToGrid w:val="0"/>
        <w:spacing w:line="5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定标委员会成员与中标候选人有利害关系且未申请回避的；</w:t>
      </w:r>
    </w:p>
    <w:p w14:paraId="25EC1126">
      <w:pPr>
        <w:adjustRightInd w:val="0"/>
        <w:snapToGrid w:val="0"/>
        <w:spacing w:line="5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招标文件规定的其他情形。</w:t>
      </w:r>
    </w:p>
    <w:p w14:paraId="1CEF1455">
      <w:pPr>
        <w:adjustRightInd w:val="0"/>
        <w:snapToGrid w:val="0"/>
        <w:spacing w:line="560" w:lineRule="exact"/>
        <w:ind w:firstLine="420" w:firstLineChars="200"/>
        <w:rPr>
          <w:color w:val="000000"/>
          <w:highlight w:val="none"/>
        </w:rPr>
      </w:pPr>
      <w:r>
        <w:rPr>
          <w:rFonts w:hint="eastAsia" w:ascii="宋体" w:hAnsi="宋体" w:eastAsia="宋体" w:cs="宋体"/>
          <w:color w:val="auto"/>
          <w:szCs w:val="21"/>
          <w:highlight w:val="none"/>
        </w:rPr>
        <w:t>其他中标候选人与招标人预期差距较</w:t>
      </w:r>
      <w:r>
        <w:rPr>
          <w:rFonts w:hint="eastAsia" w:ascii="宋体" w:hAnsi="宋体" w:eastAsia="宋体" w:cs="宋体"/>
          <w:color w:val="000000"/>
          <w:szCs w:val="21"/>
          <w:highlight w:val="none"/>
        </w:rPr>
        <w:t>大，或者对招标人明显不利的，招标人可以重新招标。</w:t>
      </w:r>
      <w:r>
        <w:rPr>
          <w:color w:val="000000"/>
          <w:highlight w:val="none"/>
        </w:rPr>
        <w:br w:type="page"/>
      </w:r>
      <w:bookmarkStart w:id="694" w:name="_Toc95223458"/>
    </w:p>
    <w:p w14:paraId="2533B3E8">
      <w:pPr>
        <w:pStyle w:val="2"/>
        <w:adjustRightInd w:val="0"/>
        <w:snapToGrid w:val="0"/>
        <w:spacing w:before="0" w:after="0" w:line="560" w:lineRule="exact"/>
        <w:jc w:val="center"/>
        <w:rPr>
          <w:color w:val="000000"/>
          <w:highlight w:val="none"/>
        </w:rPr>
        <w:sectPr>
          <w:pgSz w:w="11906" w:h="16838"/>
          <w:pgMar w:top="1440" w:right="1800" w:bottom="1440" w:left="1800" w:header="720" w:footer="998" w:gutter="0"/>
          <w:pgBorders>
            <w:top w:val="none" w:sz="0" w:space="0"/>
            <w:left w:val="none" w:sz="0" w:space="0"/>
            <w:bottom w:val="none" w:sz="0" w:space="0"/>
            <w:right w:val="none" w:sz="0" w:space="0"/>
          </w:pgBorders>
          <w:cols w:space="720" w:num="1"/>
          <w:docGrid w:linePitch="326" w:charSpace="0"/>
        </w:sectPr>
      </w:pPr>
    </w:p>
    <w:p w14:paraId="2A99AA31">
      <w:pPr>
        <w:pStyle w:val="2"/>
        <w:adjustRightInd w:val="0"/>
        <w:snapToGrid w:val="0"/>
        <w:spacing w:before="0" w:after="0" w:line="560" w:lineRule="exact"/>
        <w:jc w:val="center"/>
        <w:rPr>
          <w:color w:val="000000"/>
          <w:highlight w:val="none"/>
        </w:rPr>
      </w:pPr>
      <w:r>
        <w:rPr>
          <w:rFonts w:hint="eastAsia"/>
          <w:color w:val="000000"/>
          <w:highlight w:val="none"/>
        </w:rPr>
        <w:t>第五章 合同条款及格式</w:t>
      </w:r>
      <w:bookmarkEnd w:id="694"/>
    </w:p>
    <w:p w14:paraId="78009ADB">
      <w:pPr>
        <w:adjustRightInd w:val="0"/>
        <w:snapToGrid w:val="0"/>
        <w:spacing w:line="560" w:lineRule="exact"/>
        <w:jc w:val="center"/>
        <w:rPr>
          <w:rFonts w:eastAsia="仿宋_GB2312"/>
          <w:bCs/>
          <w:color w:val="000000"/>
          <w:sz w:val="32"/>
          <w:szCs w:val="32"/>
          <w:highlight w:val="none"/>
        </w:rPr>
      </w:pPr>
    </w:p>
    <w:p w14:paraId="6230C8D1">
      <w:pPr>
        <w:adjustRightInd w:val="0"/>
        <w:snapToGrid w:val="0"/>
        <w:spacing w:line="560" w:lineRule="exact"/>
        <w:jc w:val="center"/>
        <w:rPr>
          <w:rFonts w:eastAsia="仿宋_GB2312"/>
          <w:bCs/>
          <w:color w:val="000000"/>
          <w:sz w:val="32"/>
          <w:szCs w:val="32"/>
          <w:highlight w:val="none"/>
        </w:rPr>
      </w:pPr>
    </w:p>
    <w:p w14:paraId="2DE1A420">
      <w:pPr>
        <w:adjustRightInd w:val="0"/>
        <w:snapToGrid w:val="0"/>
        <w:spacing w:line="560" w:lineRule="exact"/>
        <w:ind w:firstLine="2240" w:firstLineChars="700"/>
        <w:rPr>
          <w:rFonts w:eastAsia="仿宋_GB2312"/>
          <w:bCs/>
          <w:color w:val="000000"/>
          <w:sz w:val="32"/>
          <w:szCs w:val="32"/>
          <w:highlight w:val="none"/>
          <w:u w:val="single"/>
        </w:rPr>
      </w:pPr>
      <w:r>
        <w:rPr>
          <w:rFonts w:hint="eastAsia" w:eastAsia="仿宋_GB2312"/>
          <w:bCs/>
          <w:color w:val="000000"/>
          <w:sz w:val="32"/>
          <w:szCs w:val="32"/>
          <w:highlight w:val="none"/>
        </w:rPr>
        <w:t xml:space="preserve">合同编号：         </w:t>
      </w:r>
    </w:p>
    <w:p w14:paraId="7284E6C1">
      <w:pPr>
        <w:adjustRightInd w:val="0"/>
        <w:snapToGrid w:val="0"/>
        <w:spacing w:line="560" w:lineRule="exact"/>
        <w:jc w:val="center"/>
        <w:rPr>
          <w:rFonts w:eastAsia="华文中宋"/>
          <w:b/>
          <w:color w:val="000000"/>
          <w:sz w:val="52"/>
          <w:szCs w:val="52"/>
          <w:highlight w:val="none"/>
        </w:rPr>
      </w:pPr>
    </w:p>
    <w:p w14:paraId="7B3F4A9A">
      <w:pPr>
        <w:adjustRightInd w:val="0"/>
        <w:snapToGrid w:val="0"/>
        <w:jc w:val="center"/>
        <w:rPr>
          <w:rFonts w:eastAsia="华文中宋"/>
          <w:b/>
          <w:color w:val="000000"/>
          <w:sz w:val="52"/>
          <w:szCs w:val="52"/>
          <w:highlight w:val="none"/>
        </w:rPr>
      </w:pPr>
      <w:r>
        <w:rPr>
          <w:rFonts w:hint="eastAsia" w:ascii="宋体" w:hAnsi="宋体" w:eastAsia="宋体" w:cs="宋体"/>
          <w:b/>
          <w:color w:val="000000"/>
          <w:sz w:val="72"/>
          <w:szCs w:val="52"/>
          <w:highlight w:val="none"/>
        </w:rPr>
        <w:t xml:space="preserve"> </w:t>
      </w:r>
      <w:r>
        <w:rPr>
          <w:rFonts w:hint="eastAsia" w:ascii="宋体" w:hAnsi="宋体" w:cs="宋体"/>
          <w:b/>
          <w:color w:val="000000"/>
          <w:sz w:val="72"/>
          <w:szCs w:val="52"/>
          <w:highlight w:val="none"/>
          <w:lang w:val="en-US" w:eastAsia="zh-CN"/>
        </w:rPr>
        <w:t>滁州市大剧院修缮</w:t>
      </w:r>
      <w:r>
        <w:rPr>
          <w:rFonts w:hint="eastAsia" w:ascii="宋体" w:hAnsi="宋体" w:cs="宋体"/>
          <w:b/>
          <w:color w:val="000000"/>
          <w:sz w:val="72"/>
          <w:szCs w:val="52"/>
          <w:highlight w:val="none"/>
        </w:rPr>
        <w:t>工程总承包合同</w:t>
      </w:r>
      <w:r>
        <w:rPr>
          <w:rFonts w:eastAsia="华文中宋"/>
          <w:b/>
          <w:color w:val="000000"/>
          <w:sz w:val="52"/>
          <w:szCs w:val="52"/>
          <w:highlight w:val="none"/>
        </w:rPr>
        <w:br w:type="textWrapping"/>
      </w:r>
      <w:bookmarkStart w:id="695" w:name="_Toc60061567"/>
      <w:bookmarkStart w:id="696" w:name="_Toc15058927"/>
      <w:bookmarkStart w:id="697" w:name="_Toc506107333"/>
    </w:p>
    <w:p w14:paraId="4E0FB62F">
      <w:pPr>
        <w:adjustRightInd w:val="0"/>
        <w:snapToGrid w:val="0"/>
        <w:spacing w:line="560" w:lineRule="exact"/>
        <w:jc w:val="center"/>
        <w:rPr>
          <w:rFonts w:eastAsia="华文中宋"/>
          <w:b/>
          <w:color w:val="000000"/>
          <w:sz w:val="52"/>
          <w:szCs w:val="52"/>
          <w:highlight w:val="none"/>
        </w:rPr>
      </w:pPr>
    </w:p>
    <w:p w14:paraId="1DEB6A62">
      <w:pPr>
        <w:adjustRightInd w:val="0"/>
        <w:snapToGrid w:val="0"/>
        <w:spacing w:line="560" w:lineRule="exact"/>
        <w:jc w:val="center"/>
        <w:rPr>
          <w:rFonts w:eastAsia="黑体"/>
          <w:b/>
          <w:color w:val="000000"/>
          <w:sz w:val="72"/>
          <w:szCs w:val="72"/>
          <w:highlight w:val="none"/>
        </w:rPr>
      </w:pPr>
    </w:p>
    <w:p w14:paraId="7168DB03">
      <w:pPr>
        <w:adjustRightInd w:val="0"/>
        <w:snapToGrid w:val="0"/>
        <w:spacing w:line="560" w:lineRule="exact"/>
        <w:jc w:val="center"/>
        <w:rPr>
          <w:rFonts w:ascii="宋体" w:hAnsi="宋体" w:cs="宋体"/>
          <w:b/>
          <w:color w:val="000000"/>
          <w:sz w:val="54"/>
          <w:szCs w:val="72"/>
          <w:highlight w:val="none"/>
        </w:rPr>
      </w:pPr>
    </w:p>
    <w:p w14:paraId="267DA507">
      <w:pPr>
        <w:pStyle w:val="17"/>
        <w:rPr>
          <w:color w:val="000000"/>
          <w:highlight w:val="none"/>
        </w:rPr>
      </w:pPr>
    </w:p>
    <w:p w14:paraId="0144B90F">
      <w:pPr>
        <w:adjustRightInd w:val="0"/>
        <w:snapToGrid w:val="0"/>
        <w:spacing w:line="560" w:lineRule="exact"/>
        <w:jc w:val="center"/>
        <w:rPr>
          <w:rFonts w:eastAsia="黑体"/>
          <w:b/>
          <w:color w:val="000000"/>
          <w:sz w:val="52"/>
          <w:szCs w:val="52"/>
          <w:highlight w:val="none"/>
        </w:rPr>
      </w:pPr>
    </w:p>
    <w:p w14:paraId="5F0873A6">
      <w:pPr>
        <w:adjustRightInd w:val="0"/>
        <w:snapToGrid w:val="0"/>
        <w:spacing w:line="560" w:lineRule="exact"/>
        <w:rPr>
          <w:b/>
          <w:color w:val="000000"/>
          <w:sz w:val="28"/>
          <w:szCs w:val="28"/>
          <w:highlight w:val="none"/>
        </w:rPr>
      </w:pPr>
    </w:p>
    <w:p w14:paraId="2DFD2FC2">
      <w:pPr>
        <w:adjustRightInd w:val="0"/>
        <w:snapToGrid w:val="0"/>
        <w:spacing w:line="560" w:lineRule="exact"/>
        <w:rPr>
          <w:b/>
          <w:color w:val="000000"/>
          <w:sz w:val="28"/>
          <w:szCs w:val="28"/>
          <w:highlight w:val="none"/>
        </w:rPr>
      </w:pPr>
    </w:p>
    <w:p w14:paraId="70C5D8FE">
      <w:pPr>
        <w:adjustRightInd w:val="0"/>
        <w:snapToGrid w:val="0"/>
        <w:spacing w:line="560" w:lineRule="exact"/>
        <w:rPr>
          <w:b/>
          <w:color w:val="000000"/>
          <w:sz w:val="28"/>
          <w:szCs w:val="28"/>
          <w:highlight w:val="none"/>
        </w:rPr>
      </w:pPr>
    </w:p>
    <w:p w14:paraId="17C1C99B">
      <w:pPr>
        <w:adjustRightInd w:val="0"/>
        <w:snapToGrid w:val="0"/>
        <w:spacing w:line="560" w:lineRule="exact"/>
        <w:rPr>
          <w:b/>
          <w:color w:val="000000"/>
          <w:sz w:val="28"/>
          <w:szCs w:val="28"/>
          <w:highlight w:val="none"/>
        </w:rPr>
      </w:pPr>
    </w:p>
    <w:p w14:paraId="3DCAA6F3">
      <w:pPr>
        <w:adjustRightInd w:val="0"/>
        <w:snapToGrid w:val="0"/>
        <w:spacing w:line="560" w:lineRule="exact"/>
        <w:jc w:val="center"/>
        <w:rPr>
          <w:b/>
          <w:color w:val="000000"/>
          <w:sz w:val="28"/>
          <w:szCs w:val="28"/>
          <w:highlight w:val="none"/>
        </w:rPr>
      </w:pPr>
    </w:p>
    <w:p w14:paraId="541CFDD5">
      <w:pPr>
        <w:adjustRightInd w:val="0"/>
        <w:snapToGrid w:val="0"/>
        <w:spacing w:line="560" w:lineRule="exact"/>
        <w:jc w:val="center"/>
        <w:rPr>
          <w:b/>
          <w:color w:val="000000"/>
          <w:sz w:val="32"/>
          <w:szCs w:val="28"/>
          <w:highlight w:val="none"/>
        </w:rPr>
      </w:pPr>
      <w:r>
        <w:rPr>
          <w:color w:val="000000"/>
          <w:highlight w:val="none"/>
        </w:rPr>
        <mc:AlternateContent>
          <mc:Choice Requires="wps">
            <w:drawing>
              <wp:anchor distT="0" distB="0" distL="114300" distR="114300" simplePos="0" relativeHeight="251659264" behindDoc="0" locked="0" layoutInCell="1" allowOverlap="1">
                <wp:simplePos x="0" y="0"/>
                <wp:positionH relativeFrom="column">
                  <wp:posOffset>4495800</wp:posOffset>
                </wp:positionH>
                <wp:positionV relativeFrom="paragraph">
                  <wp:posOffset>213360</wp:posOffset>
                </wp:positionV>
                <wp:extent cx="723900" cy="457200"/>
                <wp:effectExtent l="4445" t="4445" r="18415" b="1079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152CF47"/>
                        </w:txbxContent>
                      </wps:txbx>
                      <wps:bodyPr upright="1"/>
                    </wps:wsp>
                  </a:graphicData>
                </a:graphic>
              </wp:anchor>
            </w:drawing>
          </mc:Choice>
          <mc:Fallback>
            <w:pict>
              <v:shape id="_x0000_s1026" o:spid="_x0000_s1026" o:spt="202" type="#_x0000_t202" style="position:absolute;left:0pt;margin-left:354pt;margin-top:16.8pt;height:36pt;width:57pt;z-index:251659264;mso-width-relative:page;mso-height-relative:page;" filled="f" stroked="t" coordsize="21600,21600" o:gfxdata="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&#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tzKmrZAAAACgEAAA8AAAAAAAAAAQAgAAAAIgAAAGRy&#10;cy9kb3ducmV2LnhtbFBLAQIUABQAAAAIAIdO4kDtHmq6BAIAAAwEAAAOAAAAAAAAAAEAIAAAACgB&#10;AABkcnMvZTJvRG9jLnhtbFBLBQYAAAAABgAGAFkBAACeBQAAAAA=&#10;">
                <v:fill on="f" focussize="0,0"/>
                <v:stroke color="#FFFFFF" joinstyle="miter"/>
                <v:imagedata o:title=""/>
                <o:lock v:ext="edit" aspectratio="f"/>
                <v:textbox>
                  <w:txbxContent>
                    <w:p w14:paraId="3152CF47"/>
                  </w:txbxContent>
                </v:textbox>
              </v:shape>
            </w:pict>
          </mc:Fallback>
        </mc:AlternateContent>
      </w:r>
      <w:bookmarkEnd w:id="695"/>
      <w:bookmarkEnd w:id="696"/>
      <w:bookmarkEnd w:id="697"/>
      <w:r>
        <w:rPr>
          <w:rFonts w:hint="eastAsia"/>
          <w:b/>
          <w:bCs/>
          <w:sz w:val="32"/>
          <w:szCs w:val="32"/>
          <w:highlight w:val="none"/>
        </w:rPr>
        <w:t>中华人民共和国</w:t>
      </w:r>
      <w:r>
        <w:rPr>
          <w:b/>
          <w:bCs/>
          <w:sz w:val="32"/>
          <w:szCs w:val="32"/>
          <w:highlight w:val="none"/>
        </w:rPr>
        <w:t>住房</w:t>
      </w:r>
      <w:r>
        <w:rPr>
          <w:rFonts w:hint="eastAsia"/>
          <w:b/>
          <w:bCs/>
          <w:sz w:val="32"/>
          <w:szCs w:val="32"/>
          <w:highlight w:val="none"/>
        </w:rPr>
        <w:t>和</w:t>
      </w:r>
      <w:r>
        <w:rPr>
          <w:b/>
          <w:bCs/>
          <w:sz w:val="32"/>
          <w:szCs w:val="32"/>
          <w:highlight w:val="none"/>
        </w:rPr>
        <w:t>城乡建设</w:t>
      </w:r>
      <w:r>
        <w:rPr>
          <w:rFonts w:hint="eastAsia"/>
          <w:b/>
          <w:color w:val="000000"/>
          <w:sz w:val="32"/>
          <w:szCs w:val="28"/>
          <w:highlight w:val="none"/>
        </w:rPr>
        <w:t>部</w:t>
      </w:r>
    </w:p>
    <w:p w14:paraId="65073C21">
      <w:pPr>
        <w:adjustRightInd w:val="0"/>
        <w:snapToGrid w:val="0"/>
        <w:spacing w:line="560" w:lineRule="exact"/>
        <w:jc w:val="center"/>
        <w:rPr>
          <w:b/>
          <w:color w:val="000000"/>
          <w:sz w:val="32"/>
          <w:szCs w:val="28"/>
          <w:highlight w:val="none"/>
        </w:rPr>
      </w:pPr>
      <w:r>
        <w:rPr>
          <w:rFonts w:hint="eastAsia"/>
          <w:b/>
          <w:color w:val="000000"/>
          <w:sz w:val="32"/>
          <w:szCs w:val="28"/>
          <w:highlight w:val="none"/>
        </w:rPr>
        <w:t>国家工商行政管理总局</w:t>
      </w:r>
    </w:p>
    <w:p w14:paraId="614AD9C9">
      <w:pPr>
        <w:adjustRightInd w:val="0"/>
        <w:snapToGrid w:val="0"/>
        <w:spacing w:line="560" w:lineRule="exact"/>
        <w:rPr>
          <w:rFonts w:ascii="仿宋_GB2312" w:eastAsia="仿宋_GB2312"/>
          <w:color w:val="000000"/>
          <w:szCs w:val="21"/>
          <w:highlight w:val="none"/>
          <w:u w:val="single"/>
        </w:rPr>
      </w:pPr>
    </w:p>
    <w:p w14:paraId="4DE82220">
      <w:pPr>
        <w:adjustRightInd w:val="0"/>
        <w:snapToGrid w:val="0"/>
        <w:spacing w:line="560" w:lineRule="exact"/>
        <w:rPr>
          <w:color w:val="000000"/>
          <w:highlight w:val="none"/>
        </w:rPr>
      </w:pPr>
    </w:p>
    <w:p w14:paraId="3B26F983">
      <w:pPr>
        <w:keepNext/>
        <w:keepLines/>
        <w:spacing w:line="360" w:lineRule="auto"/>
        <w:jc w:val="center"/>
        <w:outlineLvl w:val="1"/>
        <w:rPr>
          <w:rFonts w:ascii="宋体" w:hAnsi="宋体" w:cs="宋体"/>
          <w:b/>
          <w:bCs/>
          <w:color w:val="000000"/>
          <w:sz w:val="32"/>
          <w:szCs w:val="32"/>
          <w:highlight w:val="none"/>
        </w:rPr>
        <w:sectPr>
          <w:pgSz w:w="11906" w:h="16838"/>
          <w:pgMar w:top="1440" w:right="1800" w:bottom="1440" w:left="1800" w:header="720" w:footer="998" w:gutter="0"/>
          <w:pgBorders>
            <w:top w:val="none" w:sz="0" w:space="0"/>
            <w:left w:val="none" w:sz="0" w:space="0"/>
            <w:bottom w:val="none" w:sz="0" w:space="0"/>
            <w:right w:val="none" w:sz="0" w:space="0"/>
          </w:pgBorders>
          <w:cols w:space="720" w:num="1"/>
          <w:docGrid w:linePitch="326" w:charSpace="0"/>
        </w:sectPr>
      </w:pPr>
      <w:bookmarkStart w:id="698" w:name="_Toc95223459"/>
      <w:bookmarkStart w:id="699" w:name="_Toc28799376"/>
      <w:bookmarkStart w:id="700" w:name="_Toc3977"/>
    </w:p>
    <w:p w14:paraId="280B5E2D">
      <w:pPr>
        <w:keepNext/>
        <w:keepLines/>
        <w:spacing w:line="360" w:lineRule="auto"/>
        <w:jc w:val="center"/>
        <w:outlineLvl w:val="1"/>
        <w:rPr>
          <w:rFonts w:ascii="宋体" w:hAnsi="宋体" w:cs="宋体"/>
          <w:b/>
          <w:bCs/>
          <w:color w:val="000000"/>
          <w:sz w:val="32"/>
          <w:szCs w:val="32"/>
          <w:highlight w:val="none"/>
        </w:rPr>
      </w:pPr>
      <w:r>
        <w:rPr>
          <w:rFonts w:hint="eastAsia" w:ascii="宋体" w:hAnsi="宋体" w:cs="宋体"/>
          <w:b/>
          <w:bCs/>
          <w:color w:val="000000"/>
          <w:sz w:val="32"/>
          <w:szCs w:val="32"/>
          <w:highlight w:val="none"/>
        </w:rPr>
        <w:t>第一节  合同协议书</w:t>
      </w:r>
      <w:bookmarkEnd w:id="698"/>
      <w:bookmarkEnd w:id="699"/>
      <w:bookmarkEnd w:id="700"/>
    </w:p>
    <w:p w14:paraId="39F31F15">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发包人（全称）：</w:t>
      </w:r>
      <w:r>
        <w:rPr>
          <w:rFonts w:ascii="宋体" w:hAnsi="宋体" w:cs="宋体"/>
          <w:color w:val="000000"/>
          <w:kern w:val="0"/>
          <w:highlight w:val="none"/>
          <w:u w:val="single"/>
        </w:rPr>
        <w:t xml:space="preserve">  </w:t>
      </w:r>
      <w:r>
        <w:rPr>
          <w:rFonts w:hint="eastAsia" w:ascii="宋体" w:hAnsi="宋体" w:cs="宋体"/>
          <w:color w:val="000000"/>
          <w:szCs w:val="21"/>
          <w:highlight w:val="none"/>
          <w:u w:val="single"/>
          <w:lang w:val="en-US" w:eastAsia="zh-CN"/>
        </w:rPr>
        <w:t>滁州市亭城文化旅游投资集团有限公司</w:t>
      </w:r>
      <w:r>
        <w:rPr>
          <w:rFonts w:ascii="宋体" w:hAnsi="宋体" w:cs="宋体"/>
          <w:color w:val="000000"/>
          <w:kern w:val="0"/>
          <w:highlight w:val="none"/>
          <w:u w:val="single"/>
        </w:rPr>
        <w:t xml:space="preserve">   </w:t>
      </w:r>
    </w:p>
    <w:p w14:paraId="74F75F5B">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承包人（全称）：</w:t>
      </w:r>
      <w:r>
        <w:rPr>
          <w:rFonts w:ascii="宋体" w:hAnsi="宋体" w:cs="宋体"/>
          <w:color w:val="000000"/>
          <w:kern w:val="0"/>
          <w:highlight w:val="none"/>
          <w:u w:val="single"/>
        </w:rPr>
        <w:t xml:space="preserve">                                    </w:t>
      </w:r>
    </w:p>
    <w:p w14:paraId="24DE8C17">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根据《中华人民共和国民法典》、《中华人民共和国建筑法》及有关法律规定，遵循平等、自愿、公平和诚实信用的原则，双方就</w:t>
      </w:r>
      <w:r>
        <w:rPr>
          <w:rFonts w:ascii="宋体" w:hAnsi="宋体" w:cs="宋体"/>
          <w:color w:val="000000"/>
          <w:kern w:val="0"/>
          <w:highlight w:val="none"/>
          <w:u w:val="single"/>
        </w:rPr>
        <w:t xml:space="preserve"> </w:t>
      </w:r>
      <w:r>
        <w:rPr>
          <w:rFonts w:hint="eastAsia" w:ascii="宋体" w:hAnsi="宋体" w:cs="宋体"/>
          <w:color w:val="000000"/>
          <w:szCs w:val="21"/>
          <w:highlight w:val="none"/>
          <w:u w:val="single"/>
          <w:lang w:val="en-US" w:eastAsia="zh-CN"/>
        </w:rPr>
        <w:t>滁州市大剧院修缮</w:t>
      </w:r>
      <w:r>
        <w:rPr>
          <w:rFonts w:hint="eastAsia" w:ascii="宋体" w:hAnsi="宋体" w:cs="宋体"/>
          <w:color w:val="000000"/>
          <w:kern w:val="0"/>
          <w:highlight w:val="none"/>
          <w:u w:val="single"/>
        </w:rPr>
        <w:t>的工程总承包</w:t>
      </w:r>
      <w:r>
        <w:rPr>
          <w:rFonts w:hint="eastAsia" w:ascii="宋体" w:hAnsi="宋体" w:cs="宋体"/>
          <w:color w:val="000000"/>
          <w:kern w:val="0"/>
          <w:highlight w:val="none"/>
        </w:rPr>
        <w:t>及有关事项协商一致，共同达成如下协议：</w:t>
      </w:r>
    </w:p>
    <w:p w14:paraId="7015F29E">
      <w:pPr>
        <w:widowControl/>
        <w:tabs>
          <w:tab w:val="left" w:pos="567"/>
        </w:tabs>
        <w:adjustRightInd w:val="0"/>
        <w:snapToGrid w:val="0"/>
        <w:spacing w:line="560" w:lineRule="exact"/>
        <w:ind w:firstLine="422" w:firstLineChars="200"/>
        <w:jc w:val="left"/>
        <w:outlineLvl w:val="2"/>
        <w:rPr>
          <w:rFonts w:ascii="黑体" w:hAnsi="黑体" w:eastAsia="黑体" w:cs="宋体"/>
          <w:b/>
          <w:color w:val="000000"/>
          <w:kern w:val="0"/>
          <w:highlight w:val="none"/>
        </w:rPr>
      </w:pPr>
      <w:bookmarkStart w:id="701" w:name="_Toc54862165"/>
      <w:r>
        <w:rPr>
          <w:rFonts w:hint="eastAsia" w:ascii="黑体" w:hAnsi="黑体" w:eastAsia="黑体" w:cs="宋体"/>
          <w:b/>
          <w:color w:val="000000"/>
          <w:kern w:val="0"/>
          <w:highlight w:val="none"/>
        </w:rPr>
        <w:t>一、工程概况</w:t>
      </w:r>
      <w:bookmarkEnd w:id="701"/>
    </w:p>
    <w:p w14:paraId="29929AAF">
      <w:pPr>
        <w:widowControl/>
        <w:topLinePunct/>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1. 工程名称：</w:t>
      </w:r>
      <w:r>
        <w:rPr>
          <w:rFonts w:ascii="宋体" w:hAnsi="宋体" w:cs="宋体"/>
          <w:color w:val="000000"/>
          <w:kern w:val="0"/>
          <w:highlight w:val="none"/>
          <w:u w:val="single"/>
        </w:rPr>
        <w:t xml:space="preserve">   </w:t>
      </w:r>
      <w:r>
        <w:rPr>
          <w:rFonts w:hint="eastAsia" w:ascii="宋体" w:hAnsi="宋体" w:cs="宋体"/>
          <w:color w:val="000000"/>
          <w:szCs w:val="21"/>
          <w:highlight w:val="none"/>
          <w:u w:val="single"/>
          <w:lang w:val="en-US" w:eastAsia="zh-CN"/>
        </w:rPr>
        <w:t>滁州市大剧院修缮</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p>
    <w:p w14:paraId="5424C672">
      <w:pPr>
        <w:widowControl/>
        <w:topLinePunct/>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2. 工程地点：</w:t>
      </w:r>
      <w:r>
        <w:rPr>
          <w:rFonts w:hint="eastAsia" w:ascii="宋体" w:hAnsi="宋体" w:eastAsia="宋体" w:cs="宋体"/>
          <w:color w:val="000000"/>
          <w:szCs w:val="21"/>
          <w:highlight w:val="none"/>
          <w:u w:val="single"/>
          <w:lang w:val="en-US" w:eastAsia="zh-CN"/>
        </w:rPr>
        <w:t xml:space="preserve">  滁州大剧院，招标人指定地点  </w:t>
      </w:r>
      <w:r>
        <w:rPr>
          <w:rFonts w:hint="eastAsia" w:ascii="宋体" w:hAnsi="宋体" w:cs="宋体"/>
          <w:color w:val="000000"/>
          <w:kern w:val="0"/>
          <w:highlight w:val="none"/>
        </w:rPr>
        <w:t>。</w:t>
      </w:r>
    </w:p>
    <w:p w14:paraId="11123853">
      <w:pPr>
        <w:widowControl/>
        <w:topLinePunct/>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3. 工程审批、核准或备案文号：</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lang w:val="en-US" w:eastAsia="zh-CN"/>
        </w:rPr>
        <w:t>/</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p>
    <w:p w14:paraId="1096A31E">
      <w:pPr>
        <w:widowControl/>
        <w:topLinePunct/>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4. 资金来源：</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lang w:val="en-US" w:eastAsia="zh-CN"/>
        </w:rPr>
        <w:t>自筹资金</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p>
    <w:p w14:paraId="3C311791">
      <w:pPr>
        <w:widowControl/>
        <w:topLinePunct/>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5. 工程内容及规模：</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lang w:val="en-US" w:eastAsia="zh-CN"/>
        </w:rPr>
        <w:t xml:space="preserve">        </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p>
    <w:p w14:paraId="227A716F">
      <w:pPr>
        <w:widowControl/>
        <w:topLinePunct/>
        <w:adjustRightInd w:val="0"/>
        <w:snapToGrid w:val="0"/>
        <w:spacing w:line="560" w:lineRule="exact"/>
        <w:ind w:firstLine="420" w:firstLineChars="200"/>
        <w:rPr>
          <w:rFonts w:hint="eastAsia" w:ascii="宋体" w:hAnsi="宋体" w:eastAsia="宋体" w:cs="宋体"/>
          <w:color w:val="000000"/>
          <w:szCs w:val="21"/>
          <w:highlight w:val="none"/>
          <w:u w:val="single"/>
          <w:lang w:val="en-US" w:eastAsia="zh-CN"/>
        </w:rPr>
      </w:pPr>
      <w:r>
        <w:rPr>
          <w:rFonts w:hint="eastAsia" w:ascii="宋体" w:hAnsi="宋体" w:eastAsia="宋体" w:cs="宋体"/>
          <w:color w:val="000000"/>
          <w:szCs w:val="21"/>
          <w:highlight w:val="none"/>
          <w:u w:val="single"/>
          <w:lang w:val="en-US" w:eastAsia="zh-CN"/>
        </w:rPr>
        <w:t>6. 工程承包范围：</w:t>
      </w:r>
    </w:p>
    <w:p w14:paraId="78A77C65">
      <w:pPr>
        <w:widowControl/>
        <w:topLinePunct/>
        <w:adjustRightInd w:val="0"/>
        <w:snapToGrid w:val="0"/>
        <w:spacing w:line="560" w:lineRule="exact"/>
        <w:ind w:firstLine="420" w:firstLineChars="200"/>
        <w:rPr>
          <w:rFonts w:hint="eastAsia" w:ascii="宋体" w:hAnsi="宋体" w:eastAsia="宋体" w:cs="宋体"/>
          <w:color w:val="000000"/>
          <w:szCs w:val="21"/>
          <w:highlight w:val="none"/>
          <w:u w:val="single"/>
          <w:lang w:val="en-US" w:eastAsia="zh-CN"/>
        </w:rPr>
      </w:pPr>
      <w:r>
        <w:rPr>
          <w:rFonts w:hint="eastAsia" w:ascii="宋体" w:hAnsi="宋体" w:eastAsia="宋体" w:cs="宋体"/>
          <w:color w:val="000000"/>
          <w:szCs w:val="21"/>
          <w:highlight w:val="none"/>
          <w:u w:val="single"/>
          <w:lang w:val="en-US" w:eastAsia="zh-CN"/>
        </w:rPr>
        <w:t>设计范围包括但不限于根据发包人要求或经发包人确认在已进行初步设计的基础上进行的补充、深化、优化及施工过程中增加的工作内容，专业专项工程二次设计、施工现场配套设计服务，咨询、图纸审查、专家评审等。</w:t>
      </w:r>
    </w:p>
    <w:p w14:paraId="46705085">
      <w:pPr>
        <w:widowControl/>
        <w:topLinePunct/>
        <w:adjustRightInd w:val="0"/>
        <w:snapToGrid w:val="0"/>
        <w:spacing w:line="560" w:lineRule="exact"/>
        <w:ind w:firstLine="420" w:firstLineChars="200"/>
        <w:rPr>
          <w:rFonts w:hint="eastAsia" w:ascii="宋体" w:hAnsi="宋体" w:eastAsia="宋体" w:cs="宋体"/>
          <w:color w:val="000000"/>
          <w:szCs w:val="21"/>
          <w:highlight w:val="none"/>
          <w:u w:val="single"/>
          <w:lang w:val="en-US" w:eastAsia="zh-CN"/>
        </w:rPr>
      </w:pPr>
      <w:r>
        <w:rPr>
          <w:rFonts w:hint="eastAsia" w:ascii="宋体" w:hAnsi="宋体" w:eastAsia="宋体" w:cs="宋体"/>
          <w:color w:val="000000"/>
          <w:szCs w:val="21"/>
          <w:highlight w:val="none"/>
          <w:u w:val="single"/>
          <w:lang w:val="en-US" w:eastAsia="zh-CN"/>
        </w:rPr>
        <w:t>施工范围包括但不限于施工、采购、竣工验收、工程缺陷责任期内的缺陷修复和保修工作等工程总承包范围的全部工作。</w:t>
      </w:r>
    </w:p>
    <w:p w14:paraId="771D6880">
      <w:pPr>
        <w:widowControl/>
        <w:topLinePunct/>
        <w:adjustRightInd w:val="0"/>
        <w:snapToGrid w:val="0"/>
        <w:spacing w:line="560" w:lineRule="exact"/>
        <w:ind w:firstLine="420" w:firstLineChars="200"/>
        <w:rPr>
          <w:rFonts w:hint="eastAsia" w:ascii="宋体" w:hAnsi="宋体" w:eastAsia="宋体" w:cs="宋体"/>
          <w:color w:val="000000"/>
          <w:szCs w:val="21"/>
          <w:highlight w:val="none"/>
          <w:u w:val="single"/>
          <w:lang w:val="en-US" w:eastAsia="zh-CN"/>
        </w:rPr>
      </w:pPr>
      <w:r>
        <w:rPr>
          <w:rFonts w:hint="eastAsia" w:ascii="宋体" w:hAnsi="宋体" w:eastAsia="宋体" w:cs="宋体"/>
          <w:color w:val="000000"/>
          <w:szCs w:val="21"/>
          <w:highlight w:val="none"/>
          <w:u w:val="single"/>
          <w:lang w:val="en-US" w:eastAsia="zh-CN"/>
        </w:rPr>
        <w:t>具体内容包含但不限于以下内容（1）</w:t>
      </w:r>
      <w:r>
        <w:rPr>
          <w:rFonts w:hint="default" w:ascii="宋体" w:hAnsi="宋体" w:eastAsia="宋体" w:cs="宋体"/>
          <w:color w:val="000000"/>
          <w:szCs w:val="21"/>
          <w:highlight w:val="none"/>
          <w:u w:val="single"/>
          <w:lang w:val="en-US" w:eastAsia="zh-CN"/>
        </w:rPr>
        <w:t>建筑结构修复：屋面</w:t>
      </w:r>
      <w:r>
        <w:rPr>
          <w:rFonts w:hint="eastAsia" w:ascii="宋体" w:hAnsi="宋体" w:eastAsia="宋体" w:cs="宋体"/>
          <w:color w:val="000000"/>
          <w:szCs w:val="21"/>
          <w:highlight w:val="none"/>
          <w:u w:val="single"/>
          <w:lang w:val="en-US" w:eastAsia="zh-CN"/>
        </w:rPr>
        <w:t>翻新</w:t>
      </w:r>
      <w:r>
        <w:rPr>
          <w:rFonts w:hint="default" w:ascii="宋体" w:hAnsi="宋体" w:eastAsia="宋体" w:cs="宋体"/>
          <w:color w:val="000000"/>
          <w:szCs w:val="21"/>
          <w:highlight w:val="none"/>
          <w:u w:val="single"/>
          <w:lang w:val="en-US" w:eastAsia="zh-CN"/>
        </w:rPr>
        <w:t>重建</w:t>
      </w:r>
      <w:r>
        <w:rPr>
          <w:rFonts w:hint="eastAsia" w:ascii="宋体" w:hAnsi="宋体" w:eastAsia="宋体" w:cs="宋体"/>
          <w:color w:val="000000"/>
          <w:szCs w:val="21"/>
          <w:highlight w:val="none"/>
          <w:u w:val="single"/>
          <w:lang w:val="en-US" w:eastAsia="zh-CN"/>
        </w:rPr>
        <w:t>、避雷设施重建、</w:t>
      </w:r>
      <w:r>
        <w:rPr>
          <w:rFonts w:hint="default" w:ascii="宋体" w:hAnsi="宋体" w:eastAsia="宋体" w:cs="宋体"/>
          <w:color w:val="000000"/>
          <w:szCs w:val="21"/>
          <w:highlight w:val="none"/>
          <w:u w:val="single"/>
          <w:lang w:val="en-US" w:eastAsia="zh-CN"/>
        </w:rPr>
        <w:t>外墙石材/铝板饰面修补、幕墙玻璃更换等；</w:t>
      </w:r>
      <w:r>
        <w:rPr>
          <w:rFonts w:hint="eastAsia" w:ascii="宋体" w:hAnsi="宋体" w:eastAsia="宋体" w:cs="宋体"/>
          <w:color w:val="000000"/>
          <w:szCs w:val="21"/>
          <w:highlight w:val="none"/>
          <w:u w:val="single"/>
          <w:lang w:val="en-US" w:eastAsia="zh-CN"/>
        </w:rPr>
        <w:t>（2）</w:t>
      </w:r>
      <w:r>
        <w:rPr>
          <w:rFonts w:hint="default" w:ascii="宋体" w:hAnsi="宋体" w:eastAsia="宋体" w:cs="宋体"/>
          <w:color w:val="000000"/>
          <w:szCs w:val="21"/>
          <w:highlight w:val="none"/>
          <w:u w:val="single"/>
          <w:lang w:val="en-US" w:eastAsia="zh-CN"/>
        </w:rPr>
        <w:t>设施设备更新：老旧灯具、风机设备拆除更换，避雷系统升级；</w:t>
      </w:r>
      <w:r>
        <w:rPr>
          <w:rFonts w:hint="eastAsia" w:ascii="宋体" w:hAnsi="宋体" w:eastAsia="宋体" w:cs="宋体"/>
          <w:color w:val="000000"/>
          <w:szCs w:val="21"/>
          <w:highlight w:val="none"/>
          <w:u w:val="single"/>
          <w:lang w:val="en-US" w:eastAsia="zh-CN"/>
        </w:rPr>
        <w:t>（3）</w:t>
      </w:r>
      <w:r>
        <w:rPr>
          <w:rFonts w:hint="default" w:ascii="宋体" w:hAnsi="宋体" w:eastAsia="宋体" w:cs="宋体"/>
          <w:color w:val="000000"/>
          <w:szCs w:val="21"/>
          <w:highlight w:val="none"/>
          <w:u w:val="single"/>
          <w:lang w:val="en-US" w:eastAsia="zh-CN"/>
        </w:rPr>
        <w:t>功能优化：室内楼梯渗漏维修、公共区域照明改造、室外天棚吊顶修补</w:t>
      </w:r>
      <w:r>
        <w:rPr>
          <w:rFonts w:hint="eastAsia" w:ascii="宋体" w:hAnsi="宋体" w:eastAsia="宋体" w:cs="宋体"/>
          <w:color w:val="000000"/>
          <w:szCs w:val="21"/>
          <w:highlight w:val="none"/>
          <w:u w:val="single"/>
          <w:lang w:val="en-US" w:eastAsia="zh-CN"/>
        </w:rPr>
        <w:t>；（4）</w:t>
      </w:r>
      <w:r>
        <w:rPr>
          <w:rFonts w:hint="default" w:ascii="宋体" w:hAnsi="宋体" w:eastAsia="宋体" w:cs="宋体"/>
          <w:color w:val="000000"/>
          <w:szCs w:val="21"/>
          <w:highlight w:val="none"/>
          <w:u w:val="single"/>
          <w:lang w:val="en-US" w:eastAsia="zh-CN"/>
        </w:rPr>
        <w:t>设计要求符合</w:t>
      </w:r>
      <w:r>
        <w:rPr>
          <w:rFonts w:hint="eastAsia" w:ascii="宋体" w:hAnsi="宋体" w:eastAsia="宋体" w:cs="宋体"/>
          <w:color w:val="000000"/>
          <w:szCs w:val="21"/>
          <w:highlight w:val="none"/>
          <w:u w:val="single"/>
          <w:lang w:val="en-US" w:eastAsia="zh-CN"/>
        </w:rPr>
        <w:t>现行</w:t>
      </w:r>
      <w:r>
        <w:rPr>
          <w:rFonts w:hint="default" w:ascii="宋体" w:hAnsi="宋体" w:eastAsia="宋体" w:cs="宋体"/>
          <w:color w:val="000000"/>
          <w:szCs w:val="21"/>
          <w:highlight w:val="none"/>
          <w:u w:val="single"/>
          <w:lang w:val="en-US" w:eastAsia="zh-CN"/>
        </w:rPr>
        <w:t>国家建筑规范，并兼顾文化场馆的艺术性与安全性。</w:t>
      </w:r>
      <w:r>
        <w:rPr>
          <w:rFonts w:hint="eastAsia" w:ascii="宋体" w:hAnsi="宋体" w:eastAsia="宋体" w:cs="宋体"/>
          <w:color w:val="000000"/>
          <w:szCs w:val="21"/>
          <w:highlight w:val="none"/>
          <w:u w:val="single"/>
          <w:lang w:val="en-US" w:eastAsia="zh-CN"/>
        </w:rPr>
        <w:t>详见图纸及清单。</w:t>
      </w:r>
    </w:p>
    <w:p w14:paraId="1C06AF62">
      <w:pPr>
        <w:widowControl/>
        <w:tabs>
          <w:tab w:val="left" w:pos="567"/>
        </w:tabs>
        <w:adjustRightInd w:val="0"/>
        <w:snapToGrid w:val="0"/>
        <w:spacing w:line="560" w:lineRule="exact"/>
        <w:ind w:firstLine="422" w:firstLineChars="200"/>
        <w:jc w:val="left"/>
        <w:outlineLvl w:val="2"/>
        <w:rPr>
          <w:rFonts w:ascii="黑体" w:hAnsi="黑体" w:eastAsia="黑体" w:cs="宋体"/>
          <w:b/>
          <w:color w:val="000000"/>
          <w:kern w:val="0"/>
          <w:highlight w:val="none"/>
        </w:rPr>
      </w:pPr>
      <w:bookmarkStart w:id="702" w:name="_Toc54862166"/>
      <w:r>
        <w:rPr>
          <w:rFonts w:hint="eastAsia" w:ascii="黑体" w:hAnsi="黑体" w:eastAsia="黑体" w:cs="宋体"/>
          <w:b/>
          <w:color w:val="000000"/>
          <w:kern w:val="0"/>
          <w:highlight w:val="none"/>
        </w:rPr>
        <w:t>二、合同工期</w:t>
      </w:r>
      <w:bookmarkEnd w:id="702"/>
    </w:p>
    <w:p w14:paraId="205A1225">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计划开始工作日期：</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年</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月</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日</w:t>
      </w:r>
      <w:r>
        <w:rPr>
          <w:rFonts w:hint="eastAsia" w:ascii="宋体" w:hAnsi="宋体" w:cs="宋体"/>
          <w:color w:val="000000"/>
          <w:kern w:val="0"/>
          <w:highlight w:val="none"/>
        </w:rPr>
        <w:t>。</w:t>
      </w:r>
    </w:p>
    <w:p w14:paraId="7510A2DA">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计划开始现场施工日期：</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年</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月</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日</w:t>
      </w:r>
      <w:r>
        <w:rPr>
          <w:rFonts w:hint="eastAsia" w:ascii="宋体" w:hAnsi="宋体" w:cs="宋体"/>
          <w:color w:val="000000"/>
          <w:kern w:val="0"/>
          <w:highlight w:val="none"/>
        </w:rPr>
        <w:t>。</w:t>
      </w:r>
    </w:p>
    <w:p w14:paraId="2A0801FA">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计划竣工日期：</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年</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月</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日</w:t>
      </w:r>
      <w:r>
        <w:rPr>
          <w:rFonts w:hint="eastAsia" w:ascii="宋体" w:hAnsi="宋体" w:cs="宋体"/>
          <w:color w:val="000000"/>
          <w:kern w:val="0"/>
          <w:highlight w:val="none"/>
        </w:rPr>
        <w:t>。</w:t>
      </w:r>
    </w:p>
    <w:p w14:paraId="1105ECE3">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工期总日历天数：</w:t>
      </w:r>
      <w:r>
        <w:rPr>
          <w:rFonts w:ascii="宋体" w:hAnsi="宋体" w:cs="宋体"/>
          <w:color w:val="000000"/>
          <w:kern w:val="0"/>
          <w:highlight w:val="none"/>
          <w:u w:val="single"/>
        </w:rPr>
        <w:t xml:space="preserve">        </w:t>
      </w:r>
      <w:r>
        <w:rPr>
          <w:rFonts w:hint="eastAsia" w:ascii="宋体" w:hAnsi="宋体" w:cs="宋体"/>
          <w:color w:val="000000"/>
          <w:kern w:val="0"/>
          <w:highlight w:val="none"/>
        </w:rPr>
        <w:t>天，工期总日历天数与根据前述计划日期计算的工期天数不一致的，以工期总日历天数为准。</w:t>
      </w:r>
    </w:p>
    <w:p w14:paraId="0F37E81E">
      <w:pPr>
        <w:widowControl/>
        <w:tabs>
          <w:tab w:val="left" w:pos="567"/>
        </w:tabs>
        <w:adjustRightInd w:val="0"/>
        <w:snapToGrid w:val="0"/>
        <w:spacing w:line="560" w:lineRule="exact"/>
        <w:ind w:firstLine="422" w:firstLineChars="200"/>
        <w:jc w:val="left"/>
        <w:outlineLvl w:val="2"/>
        <w:rPr>
          <w:rFonts w:ascii="黑体" w:hAnsi="黑体" w:eastAsia="黑体" w:cs="宋体"/>
          <w:b/>
          <w:color w:val="000000"/>
          <w:kern w:val="0"/>
          <w:highlight w:val="none"/>
        </w:rPr>
      </w:pPr>
      <w:bookmarkStart w:id="703" w:name="_Toc54862167"/>
      <w:r>
        <w:rPr>
          <w:rFonts w:hint="eastAsia" w:ascii="黑体" w:hAnsi="黑体" w:eastAsia="黑体" w:cs="宋体"/>
          <w:b/>
          <w:color w:val="000000"/>
          <w:kern w:val="0"/>
          <w:highlight w:val="none"/>
        </w:rPr>
        <w:t>三、质量标准</w:t>
      </w:r>
      <w:bookmarkEnd w:id="703"/>
    </w:p>
    <w:p w14:paraId="05BE581D">
      <w:pPr>
        <w:widowControl/>
        <w:topLinePunct/>
        <w:adjustRightInd w:val="0"/>
        <w:snapToGrid w:val="0"/>
        <w:spacing w:line="560" w:lineRule="exact"/>
        <w:ind w:firstLine="420" w:firstLineChars="200"/>
        <w:rPr>
          <w:rFonts w:hint="eastAsia" w:ascii="宋体" w:hAnsi="宋体" w:eastAsia="宋体" w:cs="宋体"/>
          <w:color w:val="000000"/>
          <w:kern w:val="0"/>
          <w:highlight w:val="none"/>
        </w:rPr>
      </w:pPr>
      <w:r>
        <w:rPr>
          <w:rFonts w:hint="eastAsia" w:ascii="宋体" w:hAnsi="宋体" w:eastAsia="宋体" w:cs="宋体"/>
          <w:color w:val="000000"/>
          <w:kern w:val="0"/>
          <w:highlight w:val="none"/>
          <w:lang w:val="en-US" w:eastAsia="zh-CN"/>
        </w:rPr>
        <w:t>1</w:t>
      </w:r>
      <w:r>
        <w:rPr>
          <w:rFonts w:hint="eastAsia" w:ascii="宋体" w:hAnsi="宋体" w:eastAsia="宋体" w:cs="宋体"/>
          <w:color w:val="000000"/>
          <w:kern w:val="0"/>
          <w:highlight w:val="none"/>
        </w:rPr>
        <w:t>、设计：合格。满足招标人需求，符合现行相应行业最新的设计规范，设计方案、施工图及预算通过业主和相关部门审查，施工图达到施工深度要求；专业工程设计图纸深度须满足</w:t>
      </w:r>
      <w:r>
        <w:rPr>
          <w:rFonts w:hint="eastAsia" w:ascii="宋体" w:hAnsi="宋体" w:eastAsia="宋体" w:cs="宋体"/>
          <w:color w:val="000000"/>
          <w:kern w:val="0"/>
          <w:highlight w:val="none"/>
          <w:lang w:val="en-US" w:eastAsia="zh-CN"/>
        </w:rPr>
        <w:t>招标人</w:t>
      </w:r>
      <w:r>
        <w:rPr>
          <w:rFonts w:hint="eastAsia" w:ascii="宋体" w:hAnsi="宋体" w:eastAsia="宋体" w:cs="宋体"/>
          <w:color w:val="000000"/>
          <w:kern w:val="0"/>
          <w:highlight w:val="none"/>
        </w:rPr>
        <w:t>需求和工程量清单编制要求。</w:t>
      </w:r>
    </w:p>
    <w:p w14:paraId="18274CBD">
      <w:pPr>
        <w:widowControl/>
        <w:topLinePunct/>
        <w:adjustRightInd w:val="0"/>
        <w:snapToGrid w:val="0"/>
        <w:spacing w:line="560" w:lineRule="exact"/>
        <w:ind w:firstLine="420" w:firstLineChars="200"/>
        <w:rPr>
          <w:rFonts w:hint="eastAsia" w:ascii="宋体" w:hAnsi="宋体" w:eastAsia="宋体" w:cs="宋体"/>
          <w:color w:val="000000"/>
          <w:kern w:val="0"/>
          <w:highlight w:val="none"/>
        </w:rPr>
      </w:pPr>
      <w:r>
        <w:rPr>
          <w:rFonts w:hint="eastAsia" w:ascii="宋体" w:hAnsi="宋体" w:eastAsia="宋体" w:cs="宋体"/>
          <w:color w:val="000000"/>
          <w:kern w:val="0"/>
          <w:highlight w:val="none"/>
        </w:rPr>
        <w:t>2、设备材料：合格，满足设计要求及招标人要求，符合（或相当于）约定的参数、品牌要求。特殊设备按合同约定，具体详见合同约定。</w:t>
      </w:r>
    </w:p>
    <w:p w14:paraId="47BB73E0">
      <w:pPr>
        <w:widowControl/>
        <w:topLinePunct/>
        <w:adjustRightInd w:val="0"/>
        <w:snapToGrid w:val="0"/>
        <w:spacing w:line="560" w:lineRule="exact"/>
        <w:ind w:firstLine="420" w:firstLineChars="200"/>
        <w:rPr>
          <w:rFonts w:hint="eastAsia" w:ascii="宋体" w:hAnsi="宋体" w:eastAsia="宋体" w:cs="宋体"/>
          <w:color w:val="000000"/>
          <w:kern w:val="0"/>
          <w:highlight w:val="none"/>
        </w:rPr>
      </w:pPr>
      <w:r>
        <w:rPr>
          <w:rFonts w:hint="eastAsia" w:ascii="宋体" w:hAnsi="宋体" w:eastAsia="宋体" w:cs="宋体"/>
          <w:color w:val="000000"/>
          <w:kern w:val="0"/>
          <w:highlight w:val="none"/>
        </w:rPr>
        <w:t>3、</w:t>
      </w:r>
      <w:r>
        <w:rPr>
          <w:rFonts w:hint="eastAsia" w:ascii="宋体" w:hAnsi="宋体" w:eastAsia="宋体" w:cs="宋体"/>
          <w:color w:val="000000"/>
          <w:kern w:val="0"/>
          <w:highlight w:val="none"/>
          <w:lang w:val="en-US" w:eastAsia="zh-CN"/>
        </w:rPr>
        <w:t>施工：工程质量必须达到国家工程施工质量验收合格标准。</w:t>
      </w:r>
    </w:p>
    <w:p w14:paraId="55E79F88">
      <w:pPr>
        <w:widowControl/>
        <w:topLinePunct/>
        <w:adjustRightInd w:val="0"/>
        <w:snapToGrid w:val="0"/>
        <w:spacing w:line="560" w:lineRule="exact"/>
        <w:ind w:firstLine="420" w:firstLineChars="200"/>
        <w:rPr>
          <w:rFonts w:hint="eastAsia" w:ascii="宋体" w:hAnsi="宋体" w:eastAsia="宋体" w:cs="宋体"/>
          <w:color w:val="000000"/>
          <w:kern w:val="0"/>
          <w:highlight w:val="none"/>
        </w:rPr>
      </w:pPr>
      <w:r>
        <w:rPr>
          <w:rFonts w:hint="eastAsia" w:ascii="宋体" w:hAnsi="宋体" w:eastAsia="宋体" w:cs="宋体"/>
          <w:color w:val="000000"/>
          <w:kern w:val="0"/>
          <w:highlight w:val="none"/>
          <w:lang w:val="en-US" w:eastAsia="zh-CN"/>
        </w:rPr>
        <w:t>4、本项目实行设计、采购、施工、质保期内维保服务等全过程的“交钥匙”工程。上述工作所发生的一切费用由承包人自理，发包人不再另行支付任何费用。</w:t>
      </w:r>
    </w:p>
    <w:p w14:paraId="45943300">
      <w:pPr>
        <w:widowControl/>
        <w:topLinePunct/>
        <w:adjustRightInd w:val="0"/>
        <w:snapToGrid w:val="0"/>
        <w:spacing w:line="560" w:lineRule="exact"/>
        <w:ind w:firstLine="420" w:firstLineChars="200"/>
        <w:rPr>
          <w:rFonts w:hint="eastAsia" w:ascii="宋体" w:hAnsi="宋体" w:eastAsia="宋体" w:cs="宋体"/>
          <w:color w:val="000000"/>
          <w:kern w:val="0"/>
          <w:highlight w:val="none"/>
        </w:rPr>
      </w:pPr>
      <w:r>
        <w:rPr>
          <w:rFonts w:hint="eastAsia" w:ascii="宋体" w:hAnsi="宋体" w:eastAsia="宋体" w:cs="宋体"/>
          <w:color w:val="000000"/>
          <w:kern w:val="0"/>
          <w:highlight w:val="none"/>
          <w:lang w:val="en-US" w:eastAsia="zh-CN"/>
        </w:rPr>
        <w:t>5</w:t>
      </w:r>
      <w:r>
        <w:rPr>
          <w:rFonts w:hint="eastAsia" w:ascii="宋体" w:hAnsi="宋体" w:eastAsia="宋体" w:cs="宋体"/>
          <w:color w:val="000000"/>
          <w:kern w:val="0"/>
          <w:highlight w:val="none"/>
        </w:rPr>
        <w:t>、质量保证期（缺陷责任期）：严格执行国家、省、市相关规定。</w:t>
      </w:r>
    </w:p>
    <w:p w14:paraId="7E371A92">
      <w:pPr>
        <w:widowControl/>
        <w:topLinePunct/>
        <w:adjustRightInd w:val="0"/>
        <w:snapToGrid w:val="0"/>
        <w:spacing w:line="560" w:lineRule="exact"/>
        <w:ind w:firstLine="420" w:firstLineChars="200"/>
        <w:rPr>
          <w:rFonts w:hint="eastAsia" w:ascii="宋体" w:hAnsi="宋体" w:eastAsia="宋体" w:cs="宋体"/>
          <w:color w:val="000000"/>
          <w:kern w:val="0"/>
          <w:highlight w:val="none"/>
        </w:rPr>
      </w:pPr>
      <w:r>
        <w:rPr>
          <w:rFonts w:hint="eastAsia" w:ascii="宋体" w:hAnsi="宋体" w:eastAsia="宋体" w:cs="宋体"/>
          <w:color w:val="000000"/>
          <w:kern w:val="0"/>
          <w:highlight w:val="none"/>
          <w:lang w:val="en-US" w:eastAsia="zh-CN"/>
        </w:rPr>
        <w:t>6</w:t>
      </w:r>
      <w:r>
        <w:rPr>
          <w:rFonts w:hint="eastAsia" w:ascii="宋体" w:hAnsi="宋体" w:eastAsia="宋体" w:cs="宋体"/>
          <w:color w:val="000000"/>
          <w:kern w:val="0"/>
          <w:highlight w:val="none"/>
        </w:rPr>
        <w:t>、相关规范、标准以及《建设标准强制性条文》要求的相关强制性标准。</w:t>
      </w:r>
    </w:p>
    <w:p w14:paraId="4E94283F">
      <w:pPr>
        <w:widowControl/>
        <w:tabs>
          <w:tab w:val="left" w:pos="567"/>
        </w:tabs>
        <w:adjustRightInd w:val="0"/>
        <w:snapToGrid w:val="0"/>
        <w:spacing w:line="560" w:lineRule="exact"/>
        <w:ind w:firstLine="422" w:firstLineChars="200"/>
        <w:jc w:val="left"/>
        <w:outlineLvl w:val="2"/>
        <w:rPr>
          <w:rFonts w:ascii="黑体" w:hAnsi="黑体" w:eastAsia="黑体" w:cs="宋体"/>
          <w:b/>
          <w:color w:val="000000"/>
          <w:kern w:val="0"/>
          <w:highlight w:val="none"/>
        </w:rPr>
      </w:pPr>
      <w:bookmarkStart w:id="704" w:name="_Toc54862168"/>
      <w:r>
        <w:rPr>
          <w:rFonts w:hint="eastAsia" w:ascii="黑体" w:hAnsi="黑体" w:eastAsia="黑体" w:cs="宋体"/>
          <w:b/>
          <w:color w:val="000000"/>
          <w:kern w:val="0"/>
          <w:highlight w:val="none"/>
        </w:rPr>
        <w:t>四、签约合同价与合同价格形式</w:t>
      </w:r>
      <w:bookmarkEnd w:id="704"/>
    </w:p>
    <w:p w14:paraId="52367A71">
      <w:pPr>
        <w:widowControl/>
        <w:topLinePunct/>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1. 签约合同价（含税）为：</w:t>
      </w:r>
    </w:p>
    <w:p w14:paraId="3985776A">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人民币（大写)</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r>
        <w:rPr>
          <w:rFonts w:ascii="宋体" w:hAnsi="宋体" w:cs="宋体"/>
          <w:color w:val="000000"/>
          <w:kern w:val="0"/>
          <w:highlight w:val="none"/>
          <w:u w:val="single"/>
        </w:rPr>
        <w:t xml:space="preserve">              </w:t>
      </w:r>
      <w:r>
        <w:rPr>
          <w:rFonts w:hint="eastAsia" w:ascii="宋体" w:hAnsi="宋体" w:cs="宋体"/>
          <w:color w:val="000000"/>
          <w:kern w:val="0"/>
          <w:highlight w:val="none"/>
        </w:rPr>
        <w:t>元）。</w:t>
      </w:r>
    </w:p>
    <w:p w14:paraId="18965496">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 xml:space="preserve">具体构成详见价格清单。其中： </w:t>
      </w:r>
    </w:p>
    <w:p w14:paraId="244EDDB7">
      <w:pPr>
        <w:widowControl/>
        <w:adjustRightInd w:val="0"/>
        <w:snapToGrid w:val="0"/>
        <w:spacing w:line="560" w:lineRule="exact"/>
        <w:ind w:firstLine="420" w:firstLineChars="200"/>
        <w:rPr>
          <w:rFonts w:ascii="宋体" w:hAnsi="宋体" w:cs="宋体"/>
          <w:color w:val="auto"/>
          <w:kern w:val="0"/>
          <w:highlight w:val="none"/>
        </w:rPr>
      </w:pPr>
      <w:r>
        <w:rPr>
          <w:rFonts w:hint="eastAsia" w:ascii="宋体" w:hAnsi="宋体" w:cs="宋体"/>
          <w:color w:val="000000"/>
          <w:kern w:val="0"/>
          <w:highlight w:val="none"/>
        </w:rPr>
        <w:t>（1） 设</w:t>
      </w:r>
      <w:r>
        <w:rPr>
          <w:rFonts w:hint="eastAsia" w:ascii="宋体" w:hAnsi="宋体" w:cs="宋体"/>
          <w:color w:val="auto"/>
          <w:kern w:val="0"/>
          <w:highlight w:val="none"/>
        </w:rPr>
        <w:t>计费（含税）</w:t>
      </w:r>
      <w:r>
        <w:rPr>
          <w:rFonts w:hint="eastAsia" w:ascii="宋体" w:hAnsi="宋体" w:cs="宋体"/>
          <w:color w:val="auto"/>
          <w:szCs w:val="21"/>
          <w:highlight w:val="none"/>
        </w:rPr>
        <w:t>（含在签约合同价中，不在另行计算）</w:t>
      </w:r>
      <w:r>
        <w:rPr>
          <w:rFonts w:hint="eastAsia" w:ascii="宋体" w:hAnsi="宋体" w:cs="宋体"/>
          <w:color w:val="auto"/>
          <w:kern w:val="0"/>
          <w:highlight w:val="none"/>
        </w:rPr>
        <w:t>：</w:t>
      </w:r>
    </w:p>
    <w:p w14:paraId="03E891A7">
      <w:pPr>
        <w:widowControl/>
        <w:adjustRightInd w:val="0"/>
        <w:snapToGrid w:val="0"/>
        <w:spacing w:line="560" w:lineRule="exact"/>
        <w:ind w:firstLine="420" w:firstLineChars="200"/>
        <w:rPr>
          <w:rFonts w:ascii="宋体" w:hAnsi="宋体" w:cs="宋体"/>
          <w:color w:val="000000"/>
          <w:kern w:val="0"/>
          <w:highlight w:val="none"/>
          <w:u w:val="single"/>
        </w:rPr>
      </w:pPr>
      <w:r>
        <w:rPr>
          <w:rFonts w:hint="eastAsia" w:ascii="宋体" w:hAnsi="宋体" w:cs="宋体"/>
          <w:color w:val="000000"/>
          <w:kern w:val="0"/>
          <w:highlight w:val="none"/>
        </w:rPr>
        <w:t>人民币（大写)</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r>
        <w:rPr>
          <w:rFonts w:ascii="宋体" w:hAnsi="宋体" w:cs="宋体"/>
          <w:color w:val="000000"/>
          <w:kern w:val="0"/>
          <w:highlight w:val="none"/>
          <w:u w:val="single"/>
        </w:rPr>
        <w:t xml:space="preserve">         </w:t>
      </w:r>
      <w:r>
        <w:rPr>
          <w:rFonts w:hint="eastAsia" w:ascii="宋体" w:hAnsi="宋体" w:cs="宋体"/>
          <w:color w:val="000000"/>
          <w:kern w:val="0"/>
          <w:highlight w:val="none"/>
        </w:rPr>
        <w:t>元）；适用税率：</w:t>
      </w:r>
      <w:r>
        <w:rPr>
          <w:rFonts w:ascii="宋体" w:hAnsi="宋体" w:cs="宋体"/>
          <w:color w:val="000000"/>
          <w:kern w:val="0"/>
          <w:highlight w:val="none"/>
          <w:u w:val="single"/>
        </w:rPr>
        <w:t xml:space="preserve">    </w:t>
      </w:r>
      <w:r>
        <w:rPr>
          <w:rFonts w:hint="eastAsia" w:ascii="宋体" w:hAnsi="宋体" w:cs="宋体"/>
          <w:color w:val="000000"/>
          <w:kern w:val="0"/>
          <w:highlight w:val="none"/>
        </w:rPr>
        <w:t>%，税金为人民币（大写)</w:t>
      </w:r>
    </w:p>
    <w:p w14:paraId="622C6F2E">
      <w:pPr>
        <w:widowControl/>
        <w:adjustRightInd w:val="0"/>
        <w:snapToGrid w:val="0"/>
        <w:spacing w:line="560" w:lineRule="exact"/>
        <w:rPr>
          <w:rFonts w:ascii="宋体" w:hAnsi="宋体" w:cs="宋体"/>
          <w:color w:val="000000"/>
          <w:kern w:val="0"/>
          <w:highlight w:val="none"/>
        </w:rPr>
      </w:pPr>
      <w:r>
        <w:rPr>
          <w:rFonts w:hint="eastAsia" w:ascii="宋体" w:hAnsi="宋体" w:cs="宋体"/>
          <w:color w:val="000000"/>
          <w:kern w:val="0"/>
          <w:highlight w:val="none"/>
        </w:rPr>
        <w:t xml:space="preserve"> </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r>
        <w:rPr>
          <w:rFonts w:ascii="宋体" w:hAnsi="宋体" w:cs="宋体"/>
          <w:color w:val="000000"/>
          <w:kern w:val="0"/>
          <w:highlight w:val="none"/>
          <w:u w:val="single"/>
        </w:rPr>
        <w:t xml:space="preserve">          </w:t>
      </w:r>
      <w:r>
        <w:rPr>
          <w:rFonts w:hint="eastAsia" w:ascii="宋体" w:hAnsi="宋体" w:cs="宋体"/>
          <w:color w:val="000000"/>
          <w:kern w:val="0"/>
          <w:highlight w:val="none"/>
        </w:rPr>
        <w:t xml:space="preserve">元）； </w:t>
      </w:r>
    </w:p>
    <w:p w14:paraId="36911AAB">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（2） 设备购置费（含税）：</w:t>
      </w:r>
    </w:p>
    <w:p w14:paraId="29383C56">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人民币（大写)</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r>
        <w:rPr>
          <w:rFonts w:ascii="宋体" w:hAnsi="宋体" w:cs="宋体"/>
          <w:color w:val="000000"/>
          <w:kern w:val="0"/>
          <w:highlight w:val="none"/>
          <w:u w:val="single"/>
        </w:rPr>
        <w:t xml:space="preserve">        </w:t>
      </w:r>
      <w:r>
        <w:rPr>
          <w:rFonts w:hint="eastAsia" w:ascii="宋体" w:hAnsi="宋体" w:cs="宋体"/>
          <w:color w:val="000000"/>
          <w:kern w:val="0"/>
          <w:highlight w:val="none"/>
        </w:rPr>
        <w:t>元）；适用税率：</w:t>
      </w:r>
      <w:r>
        <w:rPr>
          <w:rFonts w:ascii="宋体" w:hAnsi="宋体" w:cs="宋体"/>
          <w:color w:val="000000"/>
          <w:kern w:val="0"/>
          <w:highlight w:val="none"/>
          <w:u w:val="single"/>
        </w:rPr>
        <w:t xml:space="preserve">   </w:t>
      </w:r>
      <w:r>
        <w:rPr>
          <w:rFonts w:hint="eastAsia" w:ascii="宋体" w:hAnsi="宋体" w:cs="宋体"/>
          <w:color w:val="000000"/>
          <w:kern w:val="0"/>
          <w:highlight w:val="none"/>
        </w:rPr>
        <w:t>%，税金为人民币（大写)</w:t>
      </w:r>
    </w:p>
    <w:p w14:paraId="368CFE56">
      <w:pPr>
        <w:widowControl/>
        <w:adjustRightInd w:val="0"/>
        <w:snapToGrid w:val="0"/>
        <w:spacing w:line="560" w:lineRule="exact"/>
        <w:rPr>
          <w:rFonts w:ascii="宋体" w:hAnsi="宋体" w:cs="宋体"/>
          <w:color w:val="000000"/>
          <w:kern w:val="0"/>
          <w:highlight w:val="none"/>
        </w:rPr>
      </w:pPr>
      <w:r>
        <w:rPr>
          <w:rFonts w:ascii="宋体" w:hAnsi="宋体" w:cs="宋体"/>
          <w:color w:val="000000"/>
          <w:kern w:val="0"/>
          <w:highlight w:val="none"/>
          <w:u w:val="single"/>
        </w:rPr>
        <w:t xml:space="preserve">          </w:t>
      </w:r>
      <w:r>
        <w:rPr>
          <w:rFonts w:hint="eastAsia" w:ascii="宋体" w:hAnsi="宋体" w:cs="宋体"/>
          <w:color w:val="000000"/>
          <w:kern w:val="0"/>
          <w:highlight w:val="none"/>
        </w:rPr>
        <w:t>（¥</w:t>
      </w:r>
      <w:r>
        <w:rPr>
          <w:rFonts w:ascii="宋体" w:hAnsi="宋体" w:cs="宋体"/>
          <w:color w:val="000000"/>
          <w:kern w:val="0"/>
          <w:highlight w:val="none"/>
          <w:u w:val="single"/>
        </w:rPr>
        <w:t xml:space="preserve">        </w:t>
      </w:r>
      <w:r>
        <w:rPr>
          <w:rFonts w:hint="eastAsia" w:ascii="宋体" w:hAnsi="宋体" w:cs="宋体"/>
          <w:color w:val="000000"/>
          <w:kern w:val="0"/>
          <w:highlight w:val="none"/>
        </w:rPr>
        <w:t xml:space="preserve">元）； </w:t>
      </w:r>
    </w:p>
    <w:p w14:paraId="201A9786">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（3） 建筑安装工程费（含税）：</w:t>
      </w:r>
    </w:p>
    <w:p w14:paraId="5185ADB1">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人民币（大写)</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r>
        <w:rPr>
          <w:rFonts w:ascii="宋体" w:hAnsi="宋体" w:cs="宋体"/>
          <w:color w:val="000000"/>
          <w:kern w:val="0"/>
          <w:highlight w:val="none"/>
          <w:u w:val="single"/>
        </w:rPr>
        <w:t xml:space="preserve">        </w:t>
      </w:r>
      <w:r>
        <w:rPr>
          <w:rFonts w:hint="eastAsia" w:ascii="宋体" w:hAnsi="宋体" w:cs="宋体"/>
          <w:color w:val="000000"/>
          <w:kern w:val="0"/>
          <w:highlight w:val="none"/>
        </w:rPr>
        <w:t>元）；适用税率：</w:t>
      </w:r>
      <w:r>
        <w:rPr>
          <w:rFonts w:ascii="宋体" w:hAnsi="宋体" w:cs="宋体"/>
          <w:color w:val="000000"/>
          <w:kern w:val="0"/>
          <w:highlight w:val="none"/>
          <w:u w:val="single"/>
        </w:rPr>
        <w:t xml:space="preserve">   </w:t>
      </w:r>
      <w:r>
        <w:rPr>
          <w:rFonts w:hint="eastAsia" w:ascii="宋体" w:hAnsi="宋体" w:cs="宋体"/>
          <w:color w:val="000000"/>
          <w:kern w:val="0"/>
          <w:highlight w:val="none"/>
        </w:rPr>
        <w:t>%，税金为人民币（大写)</w:t>
      </w:r>
    </w:p>
    <w:p w14:paraId="54D332B5">
      <w:pPr>
        <w:widowControl/>
        <w:adjustRightInd w:val="0"/>
        <w:snapToGrid w:val="0"/>
        <w:spacing w:line="560" w:lineRule="exact"/>
        <w:rPr>
          <w:rFonts w:ascii="宋体" w:hAnsi="宋体" w:cs="宋体"/>
          <w:color w:val="000000"/>
          <w:kern w:val="0"/>
          <w:highlight w:val="none"/>
        </w:rPr>
      </w:pPr>
      <w:r>
        <w:rPr>
          <w:rFonts w:ascii="宋体" w:hAnsi="宋体" w:cs="宋体"/>
          <w:color w:val="000000"/>
          <w:kern w:val="0"/>
          <w:highlight w:val="none"/>
          <w:u w:val="single"/>
        </w:rPr>
        <w:t xml:space="preserve">          </w:t>
      </w:r>
      <w:r>
        <w:rPr>
          <w:rFonts w:hint="eastAsia" w:ascii="宋体" w:hAnsi="宋体" w:cs="宋体"/>
          <w:color w:val="000000"/>
          <w:kern w:val="0"/>
          <w:highlight w:val="none"/>
        </w:rPr>
        <w:t>（¥</w:t>
      </w:r>
      <w:r>
        <w:rPr>
          <w:rFonts w:ascii="宋体" w:hAnsi="宋体" w:cs="宋体"/>
          <w:color w:val="000000"/>
          <w:kern w:val="0"/>
          <w:highlight w:val="none"/>
          <w:u w:val="single"/>
        </w:rPr>
        <w:t xml:space="preserve">        </w:t>
      </w:r>
      <w:r>
        <w:rPr>
          <w:rFonts w:hint="eastAsia" w:ascii="宋体" w:hAnsi="宋体" w:cs="宋体"/>
          <w:color w:val="000000"/>
          <w:kern w:val="0"/>
          <w:highlight w:val="none"/>
        </w:rPr>
        <w:t xml:space="preserve">元）； </w:t>
      </w:r>
    </w:p>
    <w:p w14:paraId="1B037178">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w:t>
      </w:r>
      <w:r>
        <w:rPr>
          <w:rFonts w:ascii="宋体" w:hAnsi="宋体" w:cs="宋体"/>
          <w:color w:val="000000"/>
          <w:kern w:val="0"/>
          <w:highlight w:val="none"/>
        </w:rPr>
        <w:t>4</w:t>
      </w:r>
      <w:r>
        <w:rPr>
          <w:rFonts w:hint="eastAsia" w:ascii="宋体" w:hAnsi="宋体" w:cs="宋体"/>
          <w:color w:val="000000"/>
          <w:kern w:val="0"/>
          <w:highlight w:val="none"/>
        </w:rPr>
        <w:t>） 暂估价（含税）：</w:t>
      </w:r>
    </w:p>
    <w:p w14:paraId="7254DE9C">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人民币（大写)</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r>
        <w:rPr>
          <w:rFonts w:ascii="宋体" w:hAnsi="宋体" w:cs="宋体"/>
          <w:color w:val="000000"/>
          <w:kern w:val="0"/>
          <w:highlight w:val="none"/>
          <w:u w:val="single"/>
        </w:rPr>
        <w:t xml:space="preserve">            </w:t>
      </w:r>
      <w:r>
        <w:rPr>
          <w:rFonts w:hint="eastAsia" w:ascii="宋体" w:hAnsi="宋体" w:cs="宋体"/>
          <w:color w:val="000000"/>
          <w:kern w:val="0"/>
          <w:highlight w:val="none"/>
        </w:rPr>
        <w:t>元）。</w:t>
      </w:r>
    </w:p>
    <w:p w14:paraId="0AC886BC">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w:t>
      </w:r>
      <w:r>
        <w:rPr>
          <w:rFonts w:ascii="宋体" w:hAnsi="宋体" w:cs="宋体"/>
          <w:color w:val="000000"/>
          <w:kern w:val="0"/>
          <w:highlight w:val="none"/>
        </w:rPr>
        <w:t>5</w:t>
      </w:r>
      <w:r>
        <w:rPr>
          <w:rFonts w:hint="eastAsia" w:ascii="宋体" w:hAnsi="宋体" w:cs="宋体"/>
          <w:color w:val="000000"/>
          <w:kern w:val="0"/>
          <w:highlight w:val="none"/>
        </w:rPr>
        <w:t>） 暂列金额（含税）：</w:t>
      </w:r>
    </w:p>
    <w:p w14:paraId="03E17D56">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人民币（大写)</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r>
        <w:rPr>
          <w:rFonts w:ascii="宋体" w:hAnsi="宋体" w:cs="宋体"/>
          <w:color w:val="000000"/>
          <w:kern w:val="0"/>
          <w:highlight w:val="none"/>
          <w:u w:val="single"/>
        </w:rPr>
        <w:t xml:space="preserve">            </w:t>
      </w:r>
      <w:r>
        <w:rPr>
          <w:rFonts w:hint="eastAsia" w:ascii="宋体" w:hAnsi="宋体" w:cs="宋体"/>
          <w:color w:val="000000"/>
          <w:kern w:val="0"/>
          <w:highlight w:val="none"/>
        </w:rPr>
        <w:t>元）。</w:t>
      </w:r>
    </w:p>
    <w:p w14:paraId="0A669DB3">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w:t>
      </w:r>
      <w:r>
        <w:rPr>
          <w:rFonts w:ascii="宋体" w:hAnsi="宋体" w:cs="宋体"/>
          <w:color w:val="000000"/>
          <w:kern w:val="0"/>
          <w:highlight w:val="none"/>
        </w:rPr>
        <w:t>6）</w:t>
      </w:r>
      <w:r>
        <w:rPr>
          <w:rFonts w:hint="eastAsia" w:ascii="宋体" w:hAnsi="宋体" w:cs="宋体"/>
          <w:color w:val="000000"/>
          <w:kern w:val="0"/>
          <w:highlight w:val="none"/>
        </w:rPr>
        <w:t xml:space="preserve"> </w:t>
      </w:r>
      <w:r>
        <w:rPr>
          <w:rFonts w:ascii="宋体" w:hAnsi="宋体" w:cs="宋体"/>
          <w:color w:val="000000"/>
          <w:kern w:val="0"/>
          <w:highlight w:val="none"/>
        </w:rPr>
        <w:t>双方约定的其他费用</w:t>
      </w:r>
      <w:r>
        <w:rPr>
          <w:rFonts w:hint="eastAsia" w:ascii="宋体" w:hAnsi="宋体" w:cs="宋体"/>
          <w:color w:val="000000"/>
          <w:kern w:val="0"/>
          <w:highlight w:val="none"/>
        </w:rPr>
        <w:t>（含税）</w:t>
      </w:r>
      <w:r>
        <w:rPr>
          <w:rFonts w:ascii="宋体" w:hAnsi="宋体" w:cs="宋体"/>
          <w:color w:val="000000"/>
          <w:kern w:val="0"/>
          <w:highlight w:val="none"/>
        </w:rPr>
        <w:t>：</w:t>
      </w:r>
    </w:p>
    <w:p w14:paraId="6BE6D4E5">
      <w:pPr>
        <w:widowControl/>
        <w:adjustRightInd w:val="0"/>
        <w:snapToGrid w:val="0"/>
        <w:spacing w:line="560" w:lineRule="exact"/>
        <w:ind w:firstLine="420" w:firstLineChars="200"/>
        <w:jc w:val="left"/>
        <w:rPr>
          <w:rFonts w:ascii="宋体" w:hAnsi="宋体" w:cs="宋体"/>
          <w:color w:val="000000"/>
          <w:kern w:val="0"/>
          <w:highlight w:val="none"/>
        </w:rPr>
      </w:pPr>
      <w:r>
        <w:rPr>
          <w:rFonts w:hint="eastAsia" w:ascii="宋体" w:hAnsi="宋体" w:cs="宋体"/>
          <w:color w:val="000000"/>
          <w:kern w:val="0"/>
          <w:highlight w:val="none"/>
        </w:rPr>
        <w:t>人民币（大写</w:t>
      </w:r>
      <w:r>
        <w:rPr>
          <w:rFonts w:ascii="宋体" w:hAnsi="宋体" w:cs="宋体"/>
          <w:color w:val="000000"/>
          <w:kern w:val="0"/>
          <w:highlight w:val="none"/>
        </w:rPr>
        <w:t>)</w:t>
      </w:r>
      <w:r>
        <w:rPr>
          <w:rFonts w:hint="eastAsia" w:ascii="宋体" w:hAnsi="宋体" w:cs="宋体"/>
          <w:color w:val="000000"/>
          <w:kern w:val="0"/>
          <w:highlight w:val="none"/>
          <w:u w:val="single"/>
        </w:rPr>
        <w:t xml:space="preserve">                </w:t>
      </w:r>
      <w:r>
        <w:rPr>
          <w:rFonts w:ascii="宋体" w:hAnsi="宋体" w:cs="宋体"/>
          <w:color w:val="000000"/>
          <w:kern w:val="0"/>
          <w:highlight w:val="none"/>
        </w:rPr>
        <w:t>（¥</w:t>
      </w:r>
      <w:r>
        <w:rPr>
          <w:rFonts w:hint="eastAsia" w:ascii="宋体" w:hAnsi="宋体" w:cs="宋体"/>
          <w:color w:val="000000"/>
          <w:kern w:val="0"/>
          <w:highlight w:val="none"/>
          <w:u w:val="single"/>
        </w:rPr>
        <w:t xml:space="preserve">          </w:t>
      </w:r>
      <w:r>
        <w:rPr>
          <w:rFonts w:ascii="宋体" w:hAnsi="宋体" w:cs="宋体"/>
          <w:color w:val="000000"/>
          <w:kern w:val="0"/>
          <w:highlight w:val="none"/>
        </w:rPr>
        <w:t>元）；适用税率：</w:t>
      </w:r>
      <w:r>
        <w:rPr>
          <w:rFonts w:hint="eastAsia" w:ascii="宋体" w:hAnsi="宋体" w:cs="宋体"/>
          <w:color w:val="000000"/>
          <w:kern w:val="0"/>
          <w:highlight w:val="none"/>
          <w:u w:val="single"/>
        </w:rPr>
        <w:t xml:space="preserve">        </w:t>
      </w:r>
      <w:r>
        <w:rPr>
          <w:rFonts w:hint="eastAsia" w:ascii="宋体" w:hAnsi="宋体" w:cs="宋体"/>
          <w:color w:val="000000"/>
          <w:kern w:val="0"/>
          <w:highlight w:val="none"/>
        </w:rPr>
        <w:t xml:space="preserve"> </w:t>
      </w:r>
      <w:r>
        <w:rPr>
          <w:rFonts w:ascii="宋体" w:hAnsi="宋体" w:cs="宋体"/>
          <w:color w:val="000000"/>
          <w:kern w:val="0"/>
          <w:highlight w:val="none"/>
        </w:rPr>
        <w:t>%，税金为人民币（大写)</w:t>
      </w:r>
      <w:r>
        <w:rPr>
          <w:rFonts w:hint="eastAsia" w:ascii="宋体" w:hAnsi="宋体" w:cs="宋体"/>
          <w:color w:val="000000"/>
          <w:kern w:val="0"/>
          <w:highlight w:val="none"/>
          <w:u w:val="single"/>
        </w:rPr>
        <w:t xml:space="preserve">                 </w:t>
      </w:r>
      <w:r>
        <w:rPr>
          <w:rFonts w:ascii="宋体" w:hAnsi="宋体" w:cs="宋体"/>
          <w:color w:val="000000"/>
          <w:kern w:val="0"/>
          <w:highlight w:val="none"/>
        </w:rPr>
        <w:t>（¥</w:t>
      </w:r>
      <w:r>
        <w:rPr>
          <w:rFonts w:hint="eastAsia" w:ascii="宋体" w:hAnsi="宋体" w:cs="宋体"/>
          <w:color w:val="000000"/>
          <w:kern w:val="0"/>
          <w:highlight w:val="none"/>
        </w:rPr>
        <w:t xml:space="preserve"> </w:t>
      </w:r>
      <w:r>
        <w:rPr>
          <w:rFonts w:hint="eastAsia" w:ascii="宋体" w:hAnsi="宋体" w:cs="宋体"/>
          <w:color w:val="000000"/>
          <w:kern w:val="0"/>
          <w:highlight w:val="none"/>
          <w:u w:val="single"/>
        </w:rPr>
        <w:t xml:space="preserve">           </w:t>
      </w:r>
      <w:r>
        <w:rPr>
          <w:rFonts w:ascii="宋体" w:hAnsi="宋体" w:cs="宋体"/>
          <w:color w:val="000000"/>
          <w:kern w:val="0"/>
          <w:highlight w:val="none"/>
        </w:rPr>
        <w:t>元）。</w:t>
      </w:r>
    </w:p>
    <w:p w14:paraId="6DBABE24">
      <w:pPr>
        <w:widowControl/>
        <w:topLinePunct/>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2. 合同价格形式：</w:t>
      </w:r>
    </w:p>
    <w:p w14:paraId="2E89C929">
      <w:pPr>
        <w:widowControl/>
        <w:adjustRightInd w:val="0"/>
        <w:snapToGrid w:val="0"/>
        <w:spacing w:line="560" w:lineRule="exact"/>
        <w:ind w:firstLine="420" w:firstLineChars="200"/>
        <w:rPr>
          <w:rFonts w:hint="eastAsia" w:ascii="宋体" w:hAnsi="宋体" w:eastAsia="宋体" w:cs="宋体"/>
          <w:color w:val="000000"/>
          <w:kern w:val="0"/>
          <w:highlight w:val="none"/>
        </w:rPr>
      </w:pPr>
      <w:r>
        <w:rPr>
          <w:rFonts w:hint="eastAsia" w:ascii="宋体" w:hAnsi="宋体" w:eastAsia="宋体" w:cs="宋体"/>
          <w:color w:val="000000"/>
          <w:kern w:val="0"/>
          <w:highlight w:val="none"/>
        </w:rPr>
        <w:t>合同价格形式为</w:t>
      </w:r>
      <w:r>
        <w:rPr>
          <w:rFonts w:hint="eastAsia" w:ascii="宋体" w:hAnsi="宋体" w:eastAsia="宋体" w:cs="宋体"/>
          <w:color w:val="000000"/>
          <w:kern w:val="0"/>
          <w:highlight w:val="none"/>
          <w:lang w:val="en-US" w:eastAsia="zh-CN"/>
        </w:rPr>
        <w:t>固定</w:t>
      </w:r>
      <w:r>
        <w:rPr>
          <w:rFonts w:hint="eastAsia" w:ascii="宋体" w:hAnsi="宋体" w:eastAsia="宋体" w:cs="宋体"/>
          <w:color w:val="000000"/>
          <w:kern w:val="0"/>
          <w:highlight w:val="none"/>
        </w:rPr>
        <w:t>总价合同，除根据合同约定的在工程实施过程中需进行增减的款项外，合同价格不予调整，但合同当事人另有约定的除外。</w:t>
      </w:r>
    </w:p>
    <w:p w14:paraId="606922FA">
      <w:pPr>
        <w:widowControl/>
        <w:adjustRightInd w:val="0"/>
        <w:snapToGrid w:val="0"/>
        <w:spacing w:line="560" w:lineRule="exact"/>
        <w:ind w:firstLine="420" w:firstLineChars="200"/>
        <w:rPr>
          <w:rFonts w:hint="eastAsia" w:ascii="宋体" w:hAnsi="宋体" w:eastAsia="宋体" w:cs="宋体"/>
          <w:color w:val="000000"/>
          <w:kern w:val="0"/>
          <w:highlight w:val="none"/>
        </w:rPr>
      </w:pPr>
      <w:r>
        <w:rPr>
          <w:rFonts w:hint="eastAsia" w:ascii="宋体" w:hAnsi="宋体" w:eastAsia="宋体" w:cs="宋体"/>
          <w:color w:val="000000"/>
          <w:kern w:val="0"/>
          <w:highlight w:val="none"/>
        </w:rPr>
        <w:t>合同当事人对合同价格形式的其他约定：</w:t>
      </w:r>
      <w:r>
        <w:rPr>
          <w:rFonts w:hint="eastAsia" w:ascii="宋体" w:hAnsi="宋体" w:eastAsia="宋体" w:cs="宋体"/>
          <w:color w:val="000000"/>
          <w:kern w:val="0"/>
          <w:highlight w:val="none"/>
          <w:u w:val="single"/>
          <w:lang w:val="en-US" w:eastAsia="zh-CN"/>
        </w:rPr>
        <w:t>详见专用合同条件</w:t>
      </w:r>
      <w:r>
        <w:rPr>
          <w:rFonts w:hint="eastAsia" w:ascii="宋体" w:hAnsi="宋体" w:eastAsia="宋体" w:cs="宋体"/>
          <w:color w:val="000000"/>
          <w:kern w:val="0"/>
          <w:highlight w:val="none"/>
        </w:rPr>
        <w:t>。</w:t>
      </w:r>
    </w:p>
    <w:p w14:paraId="694073B0">
      <w:pPr>
        <w:widowControl/>
        <w:tabs>
          <w:tab w:val="left" w:pos="567"/>
        </w:tabs>
        <w:adjustRightInd w:val="0"/>
        <w:snapToGrid w:val="0"/>
        <w:spacing w:line="560" w:lineRule="exact"/>
        <w:ind w:firstLine="422" w:firstLineChars="200"/>
        <w:jc w:val="left"/>
        <w:outlineLvl w:val="2"/>
        <w:rPr>
          <w:rFonts w:ascii="黑体" w:hAnsi="黑体" w:eastAsia="黑体" w:cs="宋体"/>
          <w:b/>
          <w:color w:val="000000"/>
          <w:kern w:val="0"/>
          <w:highlight w:val="none"/>
        </w:rPr>
      </w:pPr>
      <w:bookmarkStart w:id="705" w:name="_Toc54862169"/>
      <w:r>
        <w:rPr>
          <w:rFonts w:hint="eastAsia" w:ascii="黑体" w:hAnsi="黑体" w:eastAsia="黑体" w:cs="宋体"/>
          <w:b/>
          <w:color w:val="000000"/>
          <w:kern w:val="0"/>
          <w:highlight w:val="none"/>
        </w:rPr>
        <w:t>五、工程总承包项目经理</w:t>
      </w:r>
      <w:bookmarkEnd w:id="705"/>
    </w:p>
    <w:p w14:paraId="24F0ADA6">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工程总承包项目经理：</w:t>
      </w:r>
      <w:r>
        <w:rPr>
          <w:rFonts w:ascii="宋体" w:hAnsi="宋体" w:cs="宋体"/>
          <w:color w:val="000000"/>
          <w:kern w:val="0"/>
          <w:highlight w:val="none"/>
          <w:u w:val="single"/>
        </w:rPr>
        <w:t xml:space="preserve">                              </w:t>
      </w:r>
      <w:r>
        <w:rPr>
          <w:rFonts w:hint="eastAsia" w:ascii="宋体" w:hAnsi="宋体" w:cs="宋体"/>
          <w:color w:val="000000"/>
          <w:kern w:val="0"/>
          <w:highlight w:val="none"/>
        </w:rPr>
        <w:t>。</w:t>
      </w:r>
    </w:p>
    <w:p w14:paraId="7FDDB97E">
      <w:pPr>
        <w:widowControl/>
        <w:tabs>
          <w:tab w:val="left" w:pos="567"/>
        </w:tabs>
        <w:adjustRightInd w:val="0"/>
        <w:snapToGrid w:val="0"/>
        <w:spacing w:line="560" w:lineRule="exact"/>
        <w:ind w:firstLine="422" w:firstLineChars="200"/>
        <w:jc w:val="left"/>
        <w:outlineLvl w:val="2"/>
        <w:rPr>
          <w:rFonts w:ascii="黑体" w:hAnsi="黑体" w:eastAsia="黑体" w:cs="宋体"/>
          <w:b/>
          <w:color w:val="000000"/>
          <w:kern w:val="0"/>
          <w:highlight w:val="none"/>
        </w:rPr>
      </w:pPr>
      <w:bookmarkStart w:id="706" w:name="_Toc54862170"/>
      <w:r>
        <w:rPr>
          <w:rFonts w:hint="eastAsia" w:ascii="黑体" w:hAnsi="黑体" w:eastAsia="黑体" w:cs="宋体"/>
          <w:b/>
          <w:color w:val="000000"/>
          <w:kern w:val="0"/>
          <w:highlight w:val="none"/>
        </w:rPr>
        <w:t>六、合同文件构成</w:t>
      </w:r>
      <w:bookmarkEnd w:id="706"/>
    </w:p>
    <w:p w14:paraId="6C7CEC7D">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 xml:space="preserve">本协议书与下列文件一起构成合同文件： </w:t>
      </w:r>
    </w:p>
    <w:p w14:paraId="70AEBA01">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（1） 中标通知书（如果有）；</w:t>
      </w:r>
    </w:p>
    <w:p w14:paraId="01597B41">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（2） 投标函及投标函附录</w:t>
      </w:r>
      <w:r>
        <w:rPr>
          <w:rFonts w:hint="eastAsia" w:ascii="宋体" w:hAnsi="宋体" w:cs="宋体"/>
          <w:color w:val="000000"/>
          <w:kern w:val="0"/>
          <w:highlight w:val="none"/>
          <w:u w:val="single"/>
        </w:rPr>
        <w:t>（如果有）</w:t>
      </w:r>
      <w:r>
        <w:rPr>
          <w:rFonts w:hint="eastAsia" w:ascii="宋体" w:hAnsi="宋体" w:cs="宋体"/>
          <w:color w:val="000000"/>
          <w:kern w:val="0"/>
          <w:highlight w:val="none"/>
        </w:rPr>
        <w:t>；</w:t>
      </w:r>
    </w:p>
    <w:p w14:paraId="28AE7A09">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（3） 专用合同条件及《发包人要求》等附件；</w:t>
      </w:r>
    </w:p>
    <w:p w14:paraId="6662C7E0">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（4） 通用合同条件；</w:t>
      </w:r>
    </w:p>
    <w:p w14:paraId="39EEB0AA">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w:t>
      </w:r>
      <w:r>
        <w:rPr>
          <w:rFonts w:ascii="宋体" w:hAnsi="宋体" w:cs="宋体"/>
          <w:color w:val="000000"/>
          <w:kern w:val="0"/>
          <w:highlight w:val="none"/>
        </w:rPr>
        <w:t>5</w:t>
      </w:r>
      <w:r>
        <w:rPr>
          <w:rFonts w:hint="eastAsia" w:ascii="宋体" w:hAnsi="宋体" w:cs="宋体"/>
          <w:color w:val="000000"/>
          <w:kern w:val="0"/>
          <w:highlight w:val="none"/>
        </w:rPr>
        <w:t xml:space="preserve">） 承包人建议书； </w:t>
      </w:r>
    </w:p>
    <w:p w14:paraId="041ADC2F">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w:t>
      </w:r>
      <w:r>
        <w:rPr>
          <w:rFonts w:ascii="宋体" w:hAnsi="宋体" w:cs="宋体"/>
          <w:color w:val="000000"/>
          <w:kern w:val="0"/>
          <w:highlight w:val="none"/>
        </w:rPr>
        <w:t>6</w:t>
      </w:r>
      <w:r>
        <w:rPr>
          <w:rFonts w:hint="eastAsia" w:ascii="宋体" w:hAnsi="宋体" w:cs="宋体"/>
          <w:color w:val="000000"/>
          <w:kern w:val="0"/>
          <w:highlight w:val="none"/>
        </w:rPr>
        <w:t>） 价格清单；</w:t>
      </w:r>
    </w:p>
    <w:p w14:paraId="13A3DCA2">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w:t>
      </w:r>
      <w:r>
        <w:rPr>
          <w:rFonts w:ascii="宋体" w:hAnsi="宋体" w:cs="宋体"/>
          <w:color w:val="000000"/>
          <w:kern w:val="0"/>
          <w:highlight w:val="none"/>
        </w:rPr>
        <w:t>7</w:t>
      </w:r>
      <w:r>
        <w:rPr>
          <w:rFonts w:hint="eastAsia" w:ascii="宋体" w:hAnsi="宋体" w:cs="宋体"/>
          <w:color w:val="000000"/>
          <w:kern w:val="0"/>
          <w:highlight w:val="none"/>
        </w:rPr>
        <w:t>） 双方约定的其他合同文件。</w:t>
      </w:r>
    </w:p>
    <w:p w14:paraId="051D46E9">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上述各项合同文件包括双方就该项合同文件所作出的补充和修改，属于同一类内容的合同文件应以最新签署的为准。专用合同条件及其附件须经合同当事人签字或盖章。</w:t>
      </w:r>
    </w:p>
    <w:p w14:paraId="5E7A3E62">
      <w:pPr>
        <w:widowControl/>
        <w:tabs>
          <w:tab w:val="left" w:pos="567"/>
        </w:tabs>
        <w:adjustRightInd w:val="0"/>
        <w:snapToGrid w:val="0"/>
        <w:spacing w:line="560" w:lineRule="exact"/>
        <w:ind w:firstLine="422" w:firstLineChars="200"/>
        <w:jc w:val="left"/>
        <w:outlineLvl w:val="2"/>
        <w:rPr>
          <w:rFonts w:ascii="黑体" w:hAnsi="黑体" w:eastAsia="黑体" w:cs="宋体"/>
          <w:b/>
          <w:color w:val="000000"/>
          <w:kern w:val="0"/>
          <w:highlight w:val="none"/>
        </w:rPr>
      </w:pPr>
      <w:bookmarkStart w:id="707" w:name="_Toc54862171"/>
      <w:r>
        <w:rPr>
          <w:rFonts w:hint="eastAsia" w:ascii="黑体" w:hAnsi="黑体" w:eastAsia="黑体" w:cs="宋体"/>
          <w:b/>
          <w:color w:val="000000"/>
          <w:kern w:val="0"/>
          <w:highlight w:val="none"/>
        </w:rPr>
        <w:t>七、承诺</w:t>
      </w:r>
      <w:bookmarkEnd w:id="707"/>
    </w:p>
    <w:p w14:paraId="7E6CA9C1">
      <w:pPr>
        <w:widowControl/>
        <w:topLinePunct/>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1. 发包人承诺按照法律规定履行项目审批手续、筹集工程建设资金并按照合同约定的期限和方式支付合同价款。</w:t>
      </w:r>
    </w:p>
    <w:p w14:paraId="3C00FDA2">
      <w:pPr>
        <w:widowControl/>
        <w:topLinePunct/>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2. 承包人承诺按照法律规定及合同约定组织完成工程的设计、采购和施工等工作，确保工程质量和安全，不进行转包及违法分包，并在缺陷责任期及保修期内承担相应的工程维修责任。</w:t>
      </w:r>
    </w:p>
    <w:p w14:paraId="785BD0F4">
      <w:pPr>
        <w:widowControl/>
        <w:tabs>
          <w:tab w:val="left" w:pos="567"/>
        </w:tabs>
        <w:adjustRightInd w:val="0"/>
        <w:snapToGrid w:val="0"/>
        <w:spacing w:line="560" w:lineRule="exact"/>
        <w:ind w:firstLine="422" w:firstLineChars="200"/>
        <w:jc w:val="left"/>
        <w:outlineLvl w:val="2"/>
        <w:rPr>
          <w:rFonts w:ascii="黑体" w:hAnsi="黑体" w:eastAsia="黑体" w:cs="宋体"/>
          <w:b/>
          <w:color w:val="000000"/>
          <w:kern w:val="0"/>
          <w:highlight w:val="none"/>
        </w:rPr>
      </w:pPr>
      <w:bookmarkStart w:id="708" w:name="_Toc54862172"/>
      <w:r>
        <w:rPr>
          <w:rFonts w:hint="eastAsia" w:ascii="黑体" w:hAnsi="黑体" w:eastAsia="黑体" w:cs="宋体"/>
          <w:b/>
          <w:color w:val="000000"/>
          <w:kern w:val="0"/>
          <w:highlight w:val="none"/>
        </w:rPr>
        <w:t>八、订立时间</w:t>
      </w:r>
      <w:bookmarkEnd w:id="708"/>
    </w:p>
    <w:p w14:paraId="42AF8A87">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本合同于</w:t>
      </w:r>
      <w:r>
        <w:rPr>
          <w:rFonts w:ascii="宋体" w:hAnsi="宋体" w:cs="宋体"/>
          <w:color w:val="000000"/>
          <w:kern w:val="0"/>
          <w:highlight w:val="none"/>
          <w:u w:val="single"/>
        </w:rPr>
        <w:t xml:space="preserve">        </w:t>
      </w:r>
      <w:r>
        <w:rPr>
          <w:rFonts w:hint="eastAsia" w:ascii="宋体" w:hAnsi="宋体" w:cs="宋体"/>
          <w:color w:val="000000"/>
          <w:kern w:val="0"/>
          <w:highlight w:val="none"/>
        </w:rPr>
        <w:t>年</w:t>
      </w:r>
      <w:r>
        <w:rPr>
          <w:rFonts w:ascii="宋体" w:hAnsi="宋体" w:cs="宋体"/>
          <w:color w:val="000000"/>
          <w:kern w:val="0"/>
          <w:highlight w:val="none"/>
          <w:u w:val="single"/>
        </w:rPr>
        <w:t xml:space="preserve">     </w:t>
      </w:r>
      <w:r>
        <w:rPr>
          <w:rFonts w:hint="eastAsia" w:ascii="宋体" w:hAnsi="宋体" w:cs="宋体"/>
          <w:color w:val="000000"/>
          <w:kern w:val="0"/>
          <w:highlight w:val="none"/>
        </w:rPr>
        <w:t>月</w:t>
      </w:r>
      <w:r>
        <w:rPr>
          <w:rFonts w:ascii="宋体" w:hAnsi="宋体" w:cs="宋体"/>
          <w:color w:val="000000"/>
          <w:kern w:val="0"/>
          <w:highlight w:val="none"/>
          <w:u w:val="single"/>
        </w:rPr>
        <w:t xml:space="preserve">     </w:t>
      </w:r>
      <w:r>
        <w:rPr>
          <w:rFonts w:hint="eastAsia" w:ascii="宋体" w:hAnsi="宋体" w:cs="宋体"/>
          <w:color w:val="000000"/>
          <w:kern w:val="0"/>
          <w:highlight w:val="none"/>
        </w:rPr>
        <w:t>日订立。</w:t>
      </w:r>
    </w:p>
    <w:p w14:paraId="1250B9BA">
      <w:pPr>
        <w:widowControl/>
        <w:tabs>
          <w:tab w:val="left" w:pos="567"/>
        </w:tabs>
        <w:adjustRightInd w:val="0"/>
        <w:snapToGrid w:val="0"/>
        <w:spacing w:line="560" w:lineRule="exact"/>
        <w:ind w:firstLine="422" w:firstLineChars="200"/>
        <w:jc w:val="left"/>
        <w:outlineLvl w:val="2"/>
        <w:rPr>
          <w:rFonts w:ascii="黑体" w:hAnsi="黑体" w:eastAsia="黑体" w:cs="宋体"/>
          <w:b/>
          <w:color w:val="000000"/>
          <w:kern w:val="0"/>
          <w:highlight w:val="none"/>
        </w:rPr>
      </w:pPr>
      <w:bookmarkStart w:id="709" w:name="_Toc54862173"/>
      <w:r>
        <w:rPr>
          <w:rFonts w:hint="eastAsia" w:ascii="黑体" w:hAnsi="黑体" w:eastAsia="黑体" w:cs="宋体"/>
          <w:b/>
          <w:color w:val="000000"/>
          <w:kern w:val="0"/>
          <w:highlight w:val="none"/>
        </w:rPr>
        <w:t>九、订立地点</w:t>
      </w:r>
      <w:bookmarkEnd w:id="709"/>
    </w:p>
    <w:p w14:paraId="7AD64488">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本合同在</w:t>
      </w:r>
      <w:r>
        <w:rPr>
          <w:rFonts w:ascii="宋体" w:hAnsi="宋体" w:cs="宋体"/>
          <w:color w:val="000000"/>
          <w:kern w:val="0"/>
          <w:highlight w:val="none"/>
          <w:u w:val="single"/>
        </w:rPr>
        <w:t xml:space="preserve">                        </w:t>
      </w:r>
      <w:r>
        <w:rPr>
          <w:rFonts w:hint="eastAsia" w:ascii="宋体" w:hAnsi="宋体" w:cs="宋体"/>
          <w:color w:val="000000"/>
          <w:kern w:val="0"/>
          <w:highlight w:val="none"/>
        </w:rPr>
        <w:t>订立。</w:t>
      </w:r>
    </w:p>
    <w:p w14:paraId="6B95F1C6">
      <w:pPr>
        <w:widowControl/>
        <w:tabs>
          <w:tab w:val="left" w:pos="567"/>
        </w:tabs>
        <w:adjustRightInd w:val="0"/>
        <w:snapToGrid w:val="0"/>
        <w:spacing w:line="560" w:lineRule="exact"/>
        <w:ind w:firstLine="422" w:firstLineChars="200"/>
        <w:jc w:val="left"/>
        <w:outlineLvl w:val="2"/>
        <w:rPr>
          <w:rFonts w:ascii="黑体" w:hAnsi="黑体" w:eastAsia="黑体" w:cs="宋体"/>
          <w:b/>
          <w:color w:val="000000"/>
          <w:kern w:val="0"/>
          <w:highlight w:val="none"/>
        </w:rPr>
      </w:pPr>
      <w:bookmarkStart w:id="710" w:name="_Toc54862174"/>
      <w:r>
        <w:rPr>
          <w:rFonts w:hint="eastAsia" w:ascii="黑体" w:hAnsi="黑体" w:eastAsia="黑体" w:cs="宋体"/>
          <w:b/>
          <w:color w:val="000000"/>
          <w:kern w:val="0"/>
          <w:highlight w:val="none"/>
        </w:rPr>
        <w:t>十、合同生效</w:t>
      </w:r>
      <w:bookmarkEnd w:id="710"/>
    </w:p>
    <w:p w14:paraId="50662822">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本合同经双方签字或盖章后成立，并</w:t>
      </w:r>
      <w:r>
        <w:rPr>
          <w:rFonts w:hint="eastAsia" w:ascii="宋体" w:hAnsi="宋体" w:cs="宋体"/>
          <w:color w:val="000000"/>
          <w:kern w:val="0"/>
          <w:highlight w:val="none"/>
          <w:u w:val="single"/>
        </w:rPr>
        <w:t>自双方签字盖章</w:t>
      </w:r>
      <w:r>
        <w:rPr>
          <w:rFonts w:hint="eastAsia" w:ascii="宋体" w:hAnsi="宋体" w:cs="宋体"/>
          <w:color w:val="000000"/>
          <w:kern w:val="0"/>
          <w:highlight w:val="none"/>
          <w:u w:val="single"/>
          <w:lang w:val="en-US" w:eastAsia="zh-CN"/>
        </w:rPr>
        <w:t>后</w:t>
      </w:r>
      <w:r>
        <w:rPr>
          <w:rFonts w:ascii="宋体" w:hAnsi="宋体" w:cs="宋体"/>
          <w:color w:val="000000"/>
          <w:kern w:val="0"/>
          <w:highlight w:val="none"/>
          <w:u w:val="single"/>
        </w:rPr>
        <w:t xml:space="preserve"> </w:t>
      </w:r>
      <w:r>
        <w:rPr>
          <w:rFonts w:hint="eastAsia" w:ascii="宋体" w:hAnsi="宋体" w:cs="宋体"/>
          <w:color w:val="000000"/>
          <w:kern w:val="0"/>
          <w:highlight w:val="none"/>
        </w:rPr>
        <w:t>生效。</w:t>
      </w:r>
    </w:p>
    <w:p w14:paraId="3356593C">
      <w:pPr>
        <w:widowControl/>
        <w:tabs>
          <w:tab w:val="left" w:pos="567"/>
        </w:tabs>
        <w:adjustRightInd w:val="0"/>
        <w:snapToGrid w:val="0"/>
        <w:spacing w:line="560" w:lineRule="exact"/>
        <w:ind w:firstLine="422" w:firstLineChars="200"/>
        <w:jc w:val="left"/>
        <w:outlineLvl w:val="2"/>
        <w:rPr>
          <w:rFonts w:ascii="黑体" w:hAnsi="黑体" w:eastAsia="黑体" w:cs="宋体"/>
          <w:b/>
          <w:color w:val="000000"/>
          <w:kern w:val="0"/>
          <w:highlight w:val="none"/>
        </w:rPr>
      </w:pPr>
      <w:bookmarkStart w:id="711" w:name="_Toc54862175"/>
      <w:r>
        <w:rPr>
          <w:rFonts w:hint="eastAsia" w:ascii="黑体" w:hAnsi="黑体" w:eastAsia="黑体" w:cs="宋体"/>
          <w:b/>
          <w:color w:val="000000"/>
          <w:kern w:val="0"/>
          <w:highlight w:val="none"/>
        </w:rPr>
        <w:t>十一、合同份数</w:t>
      </w:r>
      <w:bookmarkEnd w:id="711"/>
    </w:p>
    <w:p w14:paraId="679A4D2C">
      <w:pPr>
        <w:widowControl/>
        <w:adjustRightInd w:val="0"/>
        <w:snapToGrid w:val="0"/>
        <w:spacing w:line="560" w:lineRule="exact"/>
        <w:ind w:firstLine="420" w:firstLineChars="200"/>
        <w:rPr>
          <w:rFonts w:ascii="宋体" w:hAnsi="宋体" w:cs="宋体"/>
          <w:color w:val="000000"/>
          <w:kern w:val="0"/>
          <w:highlight w:val="none"/>
        </w:rPr>
      </w:pPr>
      <w:r>
        <w:rPr>
          <w:rFonts w:hint="eastAsia" w:ascii="宋体" w:hAnsi="宋体" w:cs="宋体"/>
          <w:color w:val="000000"/>
          <w:kern w:val="0"/>
          <w:highlight w:val="none"/>
        </w:rPr>
        <w:t>本合同一式</w:t>
      </w:r>
      <w:r>
        <w:rPr>
          <w:rFonts w:ascii="宋体" w:hAnsi="宋体" w:cs="宋体"/>
          <w:color w:val="000000"/>
          <w:kern w:val="0"/>
          <w:highlight w:val="none"/>
          <w:u w:val="single"/>
        </w:rPr>
        <w:t xml:space="preserve">    </w:t>
      </w:r>
      <w:r>
        <w:rPr>
          <w:rFonts w:hint="eastAsia" w:ascii="宋体" w:hAnsi="宋体" w:cs="宋体"/>
          <w:color w:val="000000"/>
          <w:kern w:val="0"/>
          <w:highlight w:val="none"/>
        </w:rPr>
        <w:t>份，均具有同等法律效力，发包人执</w:t>
      </w:r>
      <w:r>
        <w:rPr>
          <w:rFonts w:ascii="宋体" w:hAnsi="宋体" w:cs="宋体"/>
          <w:color w:val="000000"/>
          <w:kern w:val="0"/>
          <w:highlight w:val="none"/>
          <w:u w:val="single"/>
        </w:rPr>
        <w:t xml:space="preserve">    </w:t>
      </w:r>
      <w:r>
        <w:rPr>
          <w:rFonts w:hint="eastAsia" w:ascii="宋体" w:hAnsi="宋体" w:cs="宋体"/>
          <w:color w:val="000000"/>
          <w:kern w:val="0"/>
          <w:highlight w:val="none"/>
        </w:rPr>
        <w:t>份，承包人执</w:t>
      </w:r>
      <w:r>
        <w:rPr>
          <w:rFonts w:ascii="宋体" w:hAnsi="宋体" w:cs="宋体"/>
          <w:color w:val="000000"/>
          <w:kern w:val="0"/>
          <w:highlight w:val="none"/>
          <w:u w:val="single"/>
        </w:rPr>
        <w:t xml:space="preserve">    </w:t>
      </w:r>
      <w:r>
        <w:rPr>
          <w:rFonts w:hint="eastAsia" w:ascii="宋体" w:hAnsi="宋体" w:cs="宋体"/>
          <w:color w:val="000000"/>
          <w:kern w:val="0"/>
          <w:highlight w:val="none"/>
        </w:rPr>
        <w:t>份。</w:t>
      </w:r>
    </w:p>
    <w:tbl>
      <w:tblPr>
        <w:tblStyle w:val="18"/>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632D382F">
        <w:tblPrEx>
          <w:tblCellMar>
            <w:top w:w="0" w:type="dxa"/>
            <w:left w:w="108" w:type="dxa"/>
            <w:bottom w:w="0" w:type="dxa"/>
            <w:right w:w="108" w:type="dxa"/>
          </w:tblCellMar>
        </w:tblPrEx>
        <w:tc>
          <w:tcPr>
            <w:tcW w:w="4507" w:type="dxa"/>
            <w:noWrap w:val="0"/>
            <w:vAlign w:val="top"/>
          </w:tcPr>
          <w:p w14:paraId="283524C4">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发包人：（公章）</w:t>
            </w:r>
          </w:p>
          <w:p w14:paraId="4E6EC988">
            <w:pPr>
              <w:widowControl/>
              <w:adjustRightInd w:val="0"/>
              <w:snapToGrid w:val="0"/>
              <w:spacing w:line="560" w:lineRule="exact"/>
              <w:jc w:val="left"/>
              <w:rPr>
                <w:rFonts w:ascii="宋体" w:hAnsi="宋体" w:cs="宋体"/>
                <w:color w:val="000000"/>
                <w:kern w:val="0"/>
                <w:highlight w:val="none"/>
              </w:rPr>
            </w:pPr>
          </w:p>
          <w:p w14:paraId="703A1EB3">
            <w:pPr>
              <w:widowControl/>
              <w:adjustRightInd w:val="0"/>
              <w:snapToGrid w:val="0"/>
              <w:spacing w:line="560" w:lineRule="exact"/>
              <w:jc w:val="left"/>
              <w:rPr>
                <w:rFonts w:ascii="宋体" w:hAnsi="宋体" w:cs="宋体"/>
                <w:color w:val="000000"/>
                <w:kern w:val="0"/>
                <w:highlight w:val="none"/>
              </w:rPr>
            </w:pPr>
          </w:p>
        </w:tc>
        <w:tc>
          <w:tcPr>
            <w:tcW w:w="4565" w:type="dxa"/>
            <w:noWrap w:val="0"/>
            <w:vAlign w:val="top"/>
          </w:tcPr>
          <w:p w14:paraId="659A531A">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承包人：（公章）</w:t>
            </w:r>
          </w:p>
          <w:p w14:paraId="3C6C1E46">
            <w:pPr>
              <w:widowControl/>
              <w:adjustRightInd w:val="0"/>
              <w:snapToGrid w:val="0"/>
              <w:spacing w:line="560" w:lineRule="exact"/>
              <w:jc w:val="left"/>
              <w:rPr>
                <w:rFonts w:ascii="宋体" w:hAnsi="宋体" w:cs="宋体"/>
                <w:color w:val="000000"/>
                <w:kern w:val="0"/>
                <w:highlight w:val="none"/>
              </w:rPr>
            </w:pPr>
          </w:p>
          <w:p w14:paraId="3D4E2521">
            <w:pPr>
              <w:widowControl/>
              <w:adjustRightInd w:val="0"/>
              <w:snapToGrid w:val="0"/>
              <w:spacing w:line="560" w:lineRule="exact"/>
              <w:jc w:val="left"/>
              <w:rPr>
                <w:rFonts w:ascii="宋体" w:hAnsi="宋体" w:cs="宋体"/>
                <w:color w:val="000000"/>
                <w:kern w:val="0"/>
                <w:highlight w:val="none"/>
              </w:rPr>
            </w:pPr>
          </w:p>
        </w:tc>
      </w:tr>
      <w:tr w14:paraId="157BA1C3">
        <w:tblPrEx>
          <w:tblCellMar>
            <w:top w:w="0" w:type="dxa"/>
            <w:left w:w="108" w:type="dxa"/>
            <w:bottom w:w="0" w:type="dxa"/>
            <w:right w:w="108" w:type="dxa"/>
          </w:tblCellMar>
        </w:tblPrEx>
        <w:tc>
          <w:tcPr>
            <w:tcW w:w="4507" w:type="dxa"/>
            <w:noWrap w:val="0"/>
            <w:vAlign w:val="top"/>
          </w:tcPr>
          <w:p w14:paraId="2E612293">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法定代表人或其委托代理人：</w:t>
            </w:r>
          </w:p>
          <w:p w14:paraId="78ADD7CE">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（签字）</w:t>
            </w:r>
          </w:p>
          <w:p w14:paraId="00DA9B8E">
            <w:pPr>
              <w:widowControl/>
              <w:adjustRightInd w:val="0"/>
              <w:snapToGrid w:val="0"/>
              <w:spacing w:line="560" w:lineRule="exact"/>
              <w:jc w:val="left"/>
              <w:rPr>
                <w:rFonts w:ascii="宋体" w:hAnsi="宋体" w:cs="宋体"/>
                <w:color w:val="000000"/>
                <w:kern w:val="0"/>
                <w:highlight w:val="none"/>
              </w:rPr>
            </w:pPr>
          </w:p>
        </w:tc>
        <w:tc>
          <w:tcPr>
            <w:tcW w:w="4565" w:type="dxa"/>
            <w:noWrap w:val="0"/>
            <w:vAlign w:val="top"/>
          </w:tcPr>
          <w:p w14:paraId="245B91F1">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法定代表人或其委托代理人：</w:t>
            </w:r>
          </w:p>
          <w:p w14:paraId="1B4B9CAF">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（签字）</w:t>
            </w:r>
          </w:p>
          <w:p w14:paraId="6E1C7B69">
            <w:pPr>
              <w:widowControl/>
              <w:adjustRightInd w:val="0"/>
              <w:snapToGrid w:val="0"/>
              <w:spacing w:line="560" w:lineRule="exact"/>
              <w:jc w:val="left"/>
              <w:rPr>
                <w:rFonts w:ascii="宋体" w:hAnsi="宋体" w:cs="宋体"/>
                <w:color w:val="000000"/>
                <w:kern w:val="0"/>
                <w:highlight w:val="none"/>
              </w:rPr>
            </w:pPr>
          </w:p>
        </w:tc>
      </w:tr>
      <w:tr w14:paraId="5AC4B83B">
        <w:tblPrEx>
          <w:tblCellMar>
            <w:top w:w="0" w:type="dxa"/>
            <w:left w:w="108" w:type="dxa"/>
            <w:bottom w:w="0" w:type="dxa"/>
            <w:right w:w="108" w:type="dxa"/>
          </w:tblCellMar>
        </w:tblPrEx>
        <w:tc>
          <w:tcPr>
            <w:tcW w:w="4507" w:type="dxa"/>
            <w:noWrap w:val="0"/>
            <w:vAlign w:val="top"/>
          </w:tcPr>
          <w:p w14:paraId="125D3F7B">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统一社会信用代码：</w:t>
            </w:r>
            <w:r>
              <w:rPr>
                <w:rFonts w:ascii="宋体" w:hAnsi="宋体" w:cs="宋体"/>
                <w:color w:val="000000"/>
                <w:kern w:val="0"/>
                <w:highlight w:val="none"/>
                <w:u w:val="single"/>
              </w:rPr>
              <w:t xml:space="preserve">            </w:t>
            </w:r>
          </w:p>
          <w:p w14:paraId="13158456">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地址：</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p>
          <w:p w14:paraId="1C2EA94D">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邮政编码：</w:t>
            </w:r>
            <w:r>
              <w:rPr>
                <w:rFonts w:ascii="宋体" w:hAnsi="宋体" w:cs="宋体"/>
                <w:color w:val="000000"/>
                <w:kern w:val="0"/>
                <w:highlight w:val="none"/>
                <w:u w:val="single"/>
              </w:rPr>
              <w:t xml:space="preserve">                    </w:t>
            </w:r>
          </w:p>
          <w:p w14:paraId="39B7BEAD">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法定代表人：</w:t>
            </w:r>
            <w:r>
              <w:rPr>
                <w:rFonts w:ascii="宋体" w:hAnsi="宋体" w:cs="宋体"/>
                <w:color w:val="000000"/>
                <w:kern w:val="0"/>
                <w:highlight w:val="none"/>
              </w:rPr>
              <w:t xml:space="preserve">                </w:t>
            </w:r>
          </w:p>
          <w:p w14:paraId="0FCD4D6B">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委托代理人：</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p>
          <w:p w14:paraId="00623D37">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电话：</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p>
          <w:p w14:paraId="691D3152">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传真：</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p>
          <w:p w14:paraId="06B715B1">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电子信箱：</w:t>
            </w:r>
            <w:r>
              <w:rPr>
                <w:rFonts w:ascii="宋体" w:hAnsi="宋体" w:cs="宋体"/>
                <w:color w:val="000000"/>
                <w:kern w:val="0"/>
                <w:highlight w:val="none"/>
                <w:u w:val="single"/>
              </w:rPr>
              <w:t xml:space="preserve">                    </w:t>
            </w:r>
          </w:p>
          <w:p w14:paraId="2C05062E">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开户银行：</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p>
          <w:p w14:paraId="7CE0ECA2">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账号：</w:t>
            </w:r>
            <w:r>
              <w:rPr>
                <w:rFonts w:ascii="宋体" w:hAnsi="宋体" w:cs="宋体"/>
                <w:color w:val="000000"/>
                <w:kern w:val="0"/>
                <w:highlight w:val="none"/>
                <w:u w:val="single"/>
              </w:rPr>
              <w:t xml:space="preserve">                 </w:t>
            </w:r>
            <w:r>
              <w:rPr>
                <w:rFonts w:hint="eastAsia" w:ascii="宋体" w:hAnsi="宋体" w:cs="宋体"/>
                <w:color w:val="000000"/>
                <w:kern w:val="0"/>
                <w:highlight w:val="none"/>
                <w:u w:val="single"/>
              </w:rPr>
              <w:t xml:space="preserve"> </w:t>
            </w:r>
            <w:r>
              <w:rPr>
                <w:rFonts w:ascii="宋体" w:hAnsi="宋体" w:cs="宋体"/>
                <w:color w:val="000000"/>
                <w:kern w:val="0"/>
                <w:highlight w:val="none"/>
                <w:u w:val="single"/>
              </w:rPr>
              <w:t xml:space="preserve">      </w:t>
            </w:r>
          </w:p>
        </w:tc>
        <w:tc>
          <w:tcPr>
            <w:tcW w:w="4565" w:type="dxa"/>
            <w:noWrap w:val="0"/>
            <w:vAlign w:val="top"/>
          </w:tcPr>
          <w:p w14:paraId="18D46ED0">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统一社会信用代码：</w:t>
            </w:r>
            <w:r>
              <w:rPr>
                <w:rFonts w:ascii="宋体" w:hAnsi="宋体" w:cs="宋体"/>
                <w:color w:val="000000"/>
                <w:kern w:val="0"/>
                <w:highlight w:val="none"/>
                <w:u w:val="single"/>
              </w:rPr>
              <w:t xml:space="preserve">            </w:t>
            </w:r>
          </w:p>
          <w:p w14:paraId="127D7FD9">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地址：</w:t>
            </w:r>
            <w:r>
              <w:rPr>
                <w:rFonts w:ascii="宋体" w:hAnsi="宋体" w:cs="宋体"/>
                <w:color w:val="000000"/>
                <w:kern w:val="0"/>
                <w:highlight w:val="none"/>
                <w:u w:val="single"/>
              </w:rPr>
              <w:t xml:space="preserve">                        </w:t>
            </w:r>
          </w:p>
          <w:p w14:paraId="3614D1A3">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邮政编码：</w:t>
            </w:r>
            <w:r>
              <w:rPr>
                <w:rFonts w:ascii="宋体" w:hAnsi="宋体" w:cs="宋体"/>
                <w:color w:val="000000"/>
                <w:kern w:val="0"/>
                <w:highlight w:val="none"/>
                <w:u w:val="single"/>
              </w:rPr>
              <w:t xml:space="preserve">                    </w:t>
            </w:r>
          </w:p>
          <w:p w14:paraId="18D3C77E">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法定代表人：</w:t>
            </w:r>
            <w:r>
              <w:rPr>
                <w:rFonts w:ascii="宋体" w:hAnsi="宋体" w:cs="宋体"/>
                <w:color w:val="000000"/>
                <w:kern w:val="0"/>
                <w:highlight w:val="none"/>
                <w:u w:val="single"/>
              </w:rPr>
              <w:t xml:space="preserve">                  </w:t>
            </w:r>
          </w:p>
          <w:p w14:paraId="60262218">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委托代理人：</w:t>
            </w:r>
            <w:r>
              <w:rPr>
                <w:rFonts w:ascii="宋体" w:hAnsi="宋体" w:cs="宋体"/>
                <w:color w:val="000000"/>
                <w:kern w:val="0"/>
                <w:highlight w:val="none"/>
                <w:u w:val="single"/>
              </w:rPr>
              <w:t xml:space="preserve">                 </w:t>
            </w:r>
          </w:p>
          <w:p w14:paraId="13F2919A">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电话：</w:t>
            </w:r>
            <w:r>
              <w:rPr>
                <w:rFonts w:ascii="宋体" w:hAnsi="宋体" w:cs="宋体"/>
                <w:color w:val="000000"/>
                <w:kern w:val="0"/>
                <w:highlight w:val="none"/>
                <w:u w:val="single"/>
              </w:rPr>
              <w:t xml:space="preserve">                       </w:t>
            </w:r>
          </w:p>
          <w:p w14:paraId="45BF7396">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传真：</w:t>
            </w:r>
            <w:r>
              <w:rPr>
                <w:rFonts w:ascii="宋体" w:hAnsi="宋体" w:cs="宋体"/>
                <w:color w:val="000000"/>
                <w:kern w:val="0"/>
                <w:highlight w:val="none"/>
                <w:u w:val="single"/>
              </w:rPr>
              <w:t xml:space="preserve">                       </w:t>
            </w:r>
          </w:p>
          <w:p w14:paraId="0D226243">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电子信箱：</w:t>
            </w:r>
            <w:r>
              <w:rPr>
                <w:rFonts w:ascii="宋体" w:hAnsi="宋体" w:cs="宋体"/>
                <w:color w:val="000000"/>
                <w:kern w:val="0"/>
                <w:highlight w:val="none"/>
                <w:u w:val="single"/>
              </w:rPr>
              <w:t xml:space="preserve">                   </w:t>
            </w:r>
          </w:p>
          <w:p w14:paraId="68C376A6">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开户银行：</w:t>
            </w:r>
            <w:r>
              <w:rPr>
                <w:rFonts w:ascii="宋体" w:hAnsi="宋体" w:cs="宋体"/>
                <w:color w:val="000000"/>
                <w:kern w:val="0"/>
                <w:highlight w:val="none"/>
                <w:u w:val="single"/>
              </w:rPr>
              <w:t xml:space="preserve">                   </w:t>
            </w:r>
          </w:p>
          <w:p w14:paraId="2790FB53">
            <w:pPr>
              <w:widowControl/>
              <w:adjustRightInd w:val="0"/>
              <w:snapToGrid w:val="0"/>
              <w:spacing w:line="560" w:lineRule="exact"/>
              <w:jc w:val="left"/>
              <w:rPr>
                <w:rFonts w:ascii="宋体" w:hAnsi="宋体" w:cs="宋体"/>
                <w:color w:val="000000"/>
                <w:kern w:val="0"/>
                <w:highlight w:val="none"/>
              </w:rPr>
            </w:pPr>
            <w:r>
              <w:rPr>
                <w:rFonts w:hint="eastAsia" w:ascii="宋体" w:hAnsi="宋体" w:cs="宋体"/>
                <w:color w:val="000000"/>
                <w:kern w:val="0"/>
                <w:highlight w:val="none"/>
              </w:rPr>
              <w:t>账号：</w:t>
            </w:r>
            <w:r>
              <w:rPr>
                <w:rFonts w:ascii="宋体" w:hAnsi="宋体" w:cs="宋体"/>
                <w:color w:val="000000"/>
                <w:kern w:val="0"/>
                <w:highlight w:val="none"/>
                <w:u w:val="single"/>
              </w:rPr>
              <w:t xml:space="preserve">                       </w:t>
            </w:r>
          </w:p>
        </w:tc>
      </w:tr>
    </w:tbl>
    <w:p w14:paraId="12E56A80">
      <w:pPr>
        <w:rPr>
          <w:highlight w:val="none"/>
        </w:rPr>
      </w:pPr>
      <w:bookmarkStart w:id="712" w:name="_Toc28799377"/>
    </w:p>
    <w:p w14:paraId="7CAD6B2E">
      <w:pPr>
        <w:pStyle w:val="17"/>
        <w:rPr>
          <w:highlight w:val="none"/>
        </w:rPr>
      </w:pPr>
    </w:p>
    <w:p w14:paraId="1EC7DD23">
      <w:pPr>
        <w:rPr>
          <w:highlight w:val="none"/>
        </w:rPr>
      </w:pPr>
    </w:p>
    <w:p w14:paraId="23C999BB">
      <w:pPr>
        <w:pStyle w:val="17"/>
        <w:rPr>
          <w:highlight w:val="none"/>
        </w:rPr>
      </w:pPr>
    </w:p>
    <w:p w14:paraId="41BBEE1A">
      <w:pPr>
        <w:rPr>
          <w:highlight w:val="none"/>
        </w:rPr>
      </w:pPr>
    </w:p>
    <w:p w14:paraId="2D840ADF">
      <w:pPr>
        <w:pStyle w:val="17"/>
        <w:ind w:left="0" w:leftChars="0" w:firstLine="0" w:firstLineChars="0"/>
        <w:rPr>
          <w:highlight w:val="none"/>
        </w:rPr>
      </w:pPr>
    </w:p>
    <w:p w14:paraId="0B58DBEB">
      <w:pPr>
        <w:keepNext/>
        <w:keepLines/>
        <w:spacing w:line="360" w:lineRule="auto"/>
        <w:jc w:val="center"/>
        <w:outlineLvl w:val="1"/>
        <w:rPr>
          <w:rFonts w:ascii="宋体" w:hAnsi="宋体" w:cs="宋体"/>
          <w:b/>
          <w:bCs/>
          <w:color w:val="000000"/>
          <w:sz w:val="32"/>
          <w:szCs w:val="32"/>
          <w:highlight w:val="none"/>
        </w:rPr>
        <w:sectPr>
          <w:pgSz w:w="11906" w:h="16838"/>
          <w:pgMar w:top="1440" w:right="1800" w:bottom="1440" w:left="1800" w:header="720" w:footer="998" w:gutter="0"/>
          <w:pgBorders>
            <w:top w:val="none" w:sz="0" w:space="0"/>
            <w:left w:val="none" w:sz="0" w:space="0"/>
            <w:bottom w:val="none" w:sz="0" w:space="0"/>
            <w:right w:val="none" w:sz="0" w:space="0"/>
          </w:pgBorders>
          <w:cols w:space="720" w:num="1"/>
          <w:docGrid w:linePitch="326" w:charSpace="0"/>
        </w:sectPr>
      </w:pPr>
      <w:bookmarkStart w:id="713" w:name="_Toc95223460"/>
      <w:bookmarkStart w:id="714" w:name="_Toc15494"/>
    </w:p>
    <w:p w14:paraId="3AE1C998">
      <w:pPr>
        <w:keepNext/>
        <w:keepLines/>
        <w:spacing w:line="360" w:lineRule="auto"/>
        <w:jc w:val="center"/>
        <w:outlineLvl w:val="1"/>
        <w:rPr>
          <w:rFonts w:ascii="宋体" w:hAnsi="宋体" w:cs="宋体"/>
          <w:b/>
          <w:bCs/>
          <w:color w:val="000000"/>
          <w:sz w:val="32"/>
          <w:szCs w:val="32"/>
          <w:highlight w:val="none"/>
        </w:rPr>
      </w:pPr>
      <w:r>
        <w:rPr>
          <w:rFonts w:hint="eastAsia" w:ascii="宋体" w:hAnsi="宋体" w:cs="宋体"/>
          <w:b/>
          <w:bCs/>
          <w:color w:val="000000"/>
          <w:sz w:val="32"/>
          <w:szCs w:val="32"/>
          <w:highlight w:val="none"/>
        </w:rPr>
        <w:t>第二节  通用合同条款</w:t>
      </w:r>
      <w:bookmarkEnd w:id="712"/>
      <w:bookmarkEnd w:id="713"/>
      <w:bookmarkEnd w:id="714"/>
    </w:p>
    <w:p w14:paraId="292BDBF2">
      <w:pPr>
        <w:ind w:firstLine="560" w:firstLineChars="200"/>
        <w:rPr>
          <w:rFonts w:ascii="宋体" w:hAnsi="宋体" w:cs="宋体"/>
          <w:snapToGrid w:val="0"/>
          <w:color w:val="000000"/>
          <w:kern w:val="0"/>
          <w:sz w:val="28"/>
          <w:highlight w:val="none"/>
        </w:rPr>
      </w:pPr>
    </w:p>
    <w:p w14:paraId="1EB55A96">
      <w:pPr>
        <w:adjustRightInd w:val="0"/>
        <w:snapToGrid w:val="0"/>
        <w:spacing w:line="480" w:lineRule="auto"/>
        <w:ind w:firstLine="562" w:firstLineChars="200"/>
        <w:rPr>
          <w:rFonts w:ascii="宋体" w:hAnsi="宋体" w:cs="宋体"/>
          <w:b/>
          <w:bCs/>
          <w:snapToGrid w:val="0"/>
          <w:color w:val="000000"/>
          <w:kern w:val="0"/>
          <w:sz w:val="28"/>
          <w:highlight w:val="none"/>
        </w:rPr>
      </w:pPr>
      <w:r>
        <w:rPr>
          <w:rFonts w:hint="eastAsia" w:ascii="宋体" w:hAnsi="宋体" w:cs="宋体"/>
          <w:b/>
          <w:bCs/>
          <w:snapToGrid w:val="0"/>
          <w:color w:val="000000"/>
          <w:kern w:val="0"/>
          <w:sz w:val="28"/>
          <w:highlight w:val="none"/>
        </w:rPr>
        <w:t>采用《建设项目工程总承包合同(示范文本)》（</w:t>
      </w:r>
      <w:r>
        <w:rPr>
          <w:rFonts w:ascii="宋体" w:hAnsi="宋体" w:cs="宋体"/>
          <w:b/>
          <w:bCs/>
          <w:snapToGrid w:val="0"/>
          <w:color w:val="000000"/>
          <w:kern w:val="0"/>
          <w:sz w:val="28"/>
          <w:highlight w:val="none"/>
        </w:rPr>
        <w:t>GF-2020-0216</w:t>
      </w:r>
      <w:r>
        <w:rPr>
          <w:rFonts w:hint="eastAsia" w:ascii="宋体" w:hAnsi="宋体" w:cs="宋体"/>
          <w:b/>
          <w:bCs/>
          <w:snapToGrid w:val="0"/>
          <w:color w:val="000000"/>
          <w:kern w:val="0"/>
          <w:sz w:val="28"/>
          <w:highlight w:val="none"/>
        </w:rPr>
        <w:t>）中通用合同条款。上述资料由投标人自行准备。</w:t>
      </w:r>
    </w:p>
    <w:p w14:paraId="2183B06D">
      <w:pPr>
        <w:keepNext/>
        <w:keepLines/>
        <w:adjustRightInd w:val="0"/>
        <w:snapToGrid w:val="0"/>
        <w:spacing w:line="360" w:lineRule="auto"/>
        <w:jc w:val="center"/>
        <w:outlineLvl w:val="1"/>
        <w:rPr>
          <w:rFonts w:ascii="宋体" w:hAnsi="宋体" w:cs="宋体"/>
          <w:b/>
          <w:bCs/>
          <w:color w:val="000000"/>
          <w:sz w:val="24"/>
          <w:szCs w:val="32"/>
          <w:highlight w:val="none"/>
        </w:rPr>
        <w:sectPr>
          <w:pgSz w:w="11906" w:h="16838"/>
          <w:pgMar w:top="1440" w:right="1800" w:bottom="1440" w:left="1800" w:header="720" w:footer="998" w:gutter="0"/>
          <w:pgBorders>
            <w:top w:val="none" w:sz="0" w:space="0"/>
            <w:left w:val="none" w:sz="0" w:space="0"/>
            <w:bottom w:val="none" w:sz="0" w:space="0"/>
            <w:right w:val="none" w:sz="0" w:space="0"/>
          </w:pgBorders>
          <w:cols w:space="720" w:num="1"/>
          <w:docGrid w:linePitch="326" w:charSpace="0"/>
        </w:sectPr>
      </w:pPr>
      <w:r>
        <w:rPr>
          <w:rFonts w:hint="eastAsia" w:ascii="宋体" w:hAnsi="宋体" w:cs="宋体"/>
          <w:b/>
          <w:bCs/>
          <w:color w:val="000000"/>
          <w:sz w:val="24"/>
          <w:szCs w:val="32"/>
          <w:highlight w:val="none"/>
        </w:rPr>
        <w:br w:type="page"/>
      </w:r>
      <w:bookmarkStart w:id="715" w:name="_Toc95223461"/>
      <w:bookmarkStart w:id="716" w:name="_Toc28799378"/>
      <w:bookmarkStart w:id="717" w:name="_Toc8192"/>
    </w:p>
    <w:p w14:paraId="7EEEB85E">
      <w:pPr>
        <w:keepNext/>
        <w:keepLines/>
        <w:adjustRightInd w:val="0"/>
        <w:snapToGrid w:val="0"/>
        <w:spacing w:line="360" w:lineRule="auto"/>
        <w:jc w:val="center"/>
        <w:outlineLvl w:val="1"/>
        <w:rPr>
          <w:rFonts w:ascii="宋体" w:hAnsi="宋体" w:cs="宋体"/>
          <w:bCs/>
          <w:color w:val="000000"/>
          <w:sz w:val="32"/>
          <w:szCs w:val="32"/>
          <w:highlight w:val="none"/>
        </w:rPr>
      </w:pPr>
      <w:r>
        <w:rPr>
          <w:rFonts w:hint="eastAsia" w:ascii="宋体" w:hAnsi="宋体" w:cs="宋体"/>
          <w:b/>
          <w:bCs/>
          <w:color w:val="000000"/>
          <w:sz w:val="32"/>
          <w:szCs w:val="32"/>
          <w:highlight w:val="none"/>
        </w:rPr>
        <w:t>第三节  专用合同条款</w:t>
      </w:r>
      <w:bookmarkEnd w:id="715"/>
      <w:bookmarkEnd w:id="716"/>
      <w:bookmarkEnd w:id="717"/>
    </w:p>
    <w:p w14:paraId="026B3B2A">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18" w:name="_Toc54862332"/>
      <w:bookmarkStart w:id="719" w:name="_Toc351203633"/>
      <w:bookmarkStart w:id="720" w:name="_Toc95223462"/>
      <w:r>
        <w:rPr>
          <w:rFonts w:hint="eastAsia" w:ascii="黑体" w:hAnsi="黑体" w:eastAsia="黑体" w:cs="Times"/>
          <w:bCs/>
          <w:kern w:val="0"/>
          <w:szCs w:val="21"/>
          <w:highlight w:val="none"/>
        </w:rPr>
        <w:t>第</w:t>
      </w:r>
      <w:r>
        <w:rPr>
          <w:rFonts w:ascii="黑体" w:hAnsi="黑体" w:eastAsia="黑体" w:cs="Times"/>
          <w:bCs/>
          <w:kern w:val="0"/>
          <w:szCs w:val="21"/>
          <w:highlight w:val="none"/>
        </w:rPr>
        <w:t>1条</w:t>
      </w:r>
      <w:r>
        <w:rPr>
          <w:rFonts w:hint="eastAsia" w:ascii="黑体" w:hAnsi="黑体" w:eastAsia="黑体" w:cs="Times"/>
          <w:bCs/>
          <w:kern w:val="0"/>
          <w:szCs w:val="21"/>
          <w:highlight w:val="none"/>
        </w:rPr>
        <w:t xml:space="preserve"> 一般约定</w:t>
      </w:r>
      <w:bookmarkEnd w:id="718"/>
    </w:p>
    <w:p w14:paraId="455F36F8">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1.1 </w:t>
      </w:r>
      <w:r>
        <w:rPr>
          <w:rFonts w:hint="eastAsia" w:ascii="黑体" w:hAnsi="黑体" w:eastAsia="黑体"/>
          <w:kern w:val="0"/>
          <w:szCs w:val="21"/>
          <w:highlight w:val="none"/>
        </w:rPr>
        <w:t>词语定义和解释</w:t>
      </w:r>
    </w:p>
    <w:p w14:paraId="3BC6CA2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1.1.1 </w:t>
      </w:r>
      <w:r>
        <w:rPr>
          <w:rFonts w:hint="eastAsia" w:ascii="仿宋_GB2312" w:hAnsi="宋体" w:eastAsia="仿宋_GB2312"/>
          <w:kern w:val="0"/>
          <w:szCs w:val="21"/>
          <w:highlight w:val="none"/>
        </w:rPr>
        <w:t>合同</w:t>
      </w:r>
    </w:p>
    <w:p w14:paraId="11513FE6">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1.1.1.10 </w:t>
      </w:r>
      <w:r>
        <w:rPr>
          <w:rFonts w:hint="eastAsia" w:ascii="仿宋_GB2312" w:hAnsi="宋体" w:eastAsia="仿宋_GB2312"/>
          <w:kern w:val="0"/>
          <w:szCs w:val="21"/>
          <w:highlight w:val="none"/>
        </w:rPr>
        <w:t>其他合同文件：</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ascii="宋体" w:hAnsi="宋体" w:eastAsia="宋体" w:cs="宋体"/>
          <w:color w:val="auto"/>
          <w:szCs w:val="21"/>
          <w:highlight w:val="none"/>
          <w:u w:val="single"/>
        </w:rPr>
        <w:t>本项目招标文件、在合同订立及履行过程中形成的与合同有关的文件均构成合同文件组成部分</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5E4E747">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1.1.3 </w:t>
      </w:r>
      <w:r>
        <w:rPr>
          <w:rFonts w:hint="eastAsia" w:ascii="仿宋_GB2312" w:hAnsi="宋体" w:eastAsia="仿宋_GB2312"/>
          <w:kern w:val="0"/>
          <w:szCs w:val="21"/>
          <w:highlight w:val="none"/>
        </w:rPr>
        <w:t>工程和设备</w:t>
      </w:r>
    </w:p>
    <w:p w14:paraId="4CF5C43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1.1.3.5 </w:t>
      </w:r>
      <w:r>
        <w:rPr>
          <w:rFonts w:hint="eastAsia" w:ascii="仿宋_GB2312" w:hAnsi="宋体" w:eastAsia="仿宋_GB2312"/>
          <w:kern w:val="0"/>
          <w:szCs w:val="21"/>
          <w:highlight w:val="none"/>
        </w:rPr>
        <w:t>单位/区段工程的范围：</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执行通用合同条件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43DA330">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1.1.3.9 </w:t>
      </w:r>
      <w:r>
        <w:rPr>
          <w:rFonts w:hint="eastAsia" w:ascii="仿宋_GB2312" w:hAnsi="宋体" w:eastAsia="仿宋_GB2312"/>
          <w:kern w:val="0"/>
          <w:szCs w:val="21"/>
          <w:highlight w:val="none"/>
        </w:rPr>
        <w:t>作为施工场所组成部分的其他场所包括：</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现场确定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5A45F0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1.1.3.10 </w:t>
      </w:r>
      <w:r>
        <w:rPr>
          <w:rFonts w:hint="eastAsia" w:ascii="仿宋_GB2312" w:hAnsi="宋体" w:eastAsia="仿宋_GB2312"/>
          <w:kern w:val="0"/>
          <w:szCs w:val="21"/>
          <w:highlight w:val="none"/>
        </w:rPr>
        <w:t>永久占地包括：</w:t>
      </w:r>
      <w:r>
        <w:rPr>
          <w:rFonts w:ascii="仿宋_GB2312" w:hAnsi="宋体" w:eastAsia="仿宋_GB2312"/>
          <w:kern w:val="0"/>
          <w:szCs w:val="21"/>
          <w:highlight w:val="none"/>
          <w:u w:val="single"/>
        </w:rPr>
        <w:t xml:space="preserve">       </w:t>
      </w:r>
      <w:r>
        <w:rPr>
          <w:rFonts w:hint="eastAsia" w:cs="宋体"/>
          <w:szCs w:val="21"/>
          <w:highlight w:val="none"/>
          <w:u w:val="single"/>
        </w:rPr>
        <w:t>现场确定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1BADF49">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1.1.3.11 </w:t>
      </w:r>
      <w:r>
        <w:rPr>
          <w:rFonts w:hint="eastAsia" w:ascii="仿宋_GB2312" w:hAnsi="宋体" w:eastAsia="仿宋_GB2312"/>
          <w:kern w:val="0"/>
          <w:szCs w:val="21"/>
          <w:highlight w:val="none"/>
        </w:rPr>
        <w:t>临时占地包括：</w:t>
      </w:r>
      <w:r>
        <w:rPr>
          <w:rFonts w:ascii="仿宋_GB2312" w:hAnsi="宋体" w:eastAsia="仿宋_GB2312"/>
          <w:kern w:val="0"/>
          <w:szCs w:val="21"/>
          <w:highlight w:val="none"/>
          <w:u w:val="single"/>
        </w:rPr>
        <w:t xml:space="preserve">       </w:t>
      </w:r>
      <w:r>
        <w:rPr>
          <w:rFonts w:hint="eastAsia" w:cs="宋体"/>
          <w:szCs w:val="21"/>
          <w:highlight w:val="none"/>
          <w:u w:val="single"/>
        </w:rPr>
        <w:t>现场确定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B37A8DF">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1.2 </w:t>
      </w:r>
      <w:r>
        <w:rPr>
          <w:rFonts w:hint="eastAsia" w:ascii="黑体" w:hAnsi="黑体" w:eastAsia="黑体"/>
          <w:kern w:val="0"/>
          <w:szCs w:val="21"/>
          <w:highlight w:val="none"/>
        </w:rPr>
        <w:t>语言文字</w:t>
      </w:r>
    </w:p>
    <w:p w14:paraId="18CAE2F6">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本合同除使用汉语外，还使用</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语言。</w:t>
      </w:r>
    </w:p>
    <w:p w14:paraId="7706BA71">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1.3 </w:t>
      </w:r>
      <w:r>
        <w:rPr>
          <w:rFonts w:hint="eastAsia" w:ascii="黑体" w:hAnsi="黑体" w:eastAsia="黑体"/>
          <w:kern w:val="0"/>
          <w:szCs w:val="21"/>
          <w:highlight w:val="none"/>
        </w:rPr>
        <w:t>法律</w:t>
      </w:r>
    </w:p>
    <w:p w14:paraId="5C68641C">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适用于合同的其他规范性文件：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BE4F465">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1.4 </w:t>
      </w:r>
      <w:r>
        <w:rPr>
          <w:rFonts w:hint="eastAsia" w:ascii="黑体" w:hAnsi="黑体" w:eastAsia="黑体"/>
          <w:kern w:val="0"/>
          <w:szCs w:val="21"/>
          <w:highlight w:val="none"/>
        </w:rPr>
        <w:t>标准和规范</w:t>
      </w:r>
    </w:p>
    <w:p w14:paraId="2B1ED1C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1.4.1 </w:t>
      </w:r>
      <w:r>
        <w:rPr>
          <w:rFonts w:hint="eastAsia" w:ascii="仿宋_GB2312" w:hAnsi="宋体" w:eastAsia="仿宋_GB2312"/>
          <w:kern w:val="0"/>
          <w:szCs w:val="21"/>
          <w:highlight w:val="none"/>
        </w:rPr>
        <w:t>适用于本合同的标准、规范（名称）包括：</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中华人民共和国住房和城乡建设部等部门及省、市发布的有关文件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DDF0CA7">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1.4.2 </w:t>
      </w:r>
      <w:r>
        <w:rPr>
          <w:rFonts w:hint="eastAsia" w:ascii="仿宋_GB2312" w:hAnsi="宋体" w:eastAsia="仿宋_GB2312"/>
          <w:kern w:val="0"/>
          <w:szCs w:val="21"/>
          <w:highlight w:val="none"/>
        </w:rPr>
        <w:t>发包人提供的国外标准、规范的名称：</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承包人自备国内现行适用的标准、规范</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；发包人提供的国外标准、规范的份数：</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；发包人提供的国外标准、规范的时间：</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19D37CF">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1.4.3 </w:t>
      </w:r>
      <w:r>
        <w:rPr>
          <w:rFonts w:hint="eastAsia" w:ascii="仿宋_GB2312" w:hAnsi="宋体" w:eastAsia="仿宋_GB2312"/>
          <w:kern w:val="0"/>
          <w:szCs w:val="21"/>
          <w:highlight w:val="none"/>
        </w:rPr>
        <w:t>没有成文规范、标准规定的约定：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0D0892E">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1.4.4 </w:t>
      </w:r>
      <w:r>
        <w:rPr>
          <w:rFonts w:hint="eastAsia" w:ascii="仿宋_GB2312" w:hAnsi="宋体" w:eastAsia="仿宋_GB2312"/>
          <w:kern w:val="0"/>
          <w:szCs w:val="21"/>
          <w:highlight w:val="none"/>
        </w:rPr>
        <w:t>发包人对于工程的技术标准、功能要求：</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按现行规范执行</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A258ECB">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1.5 </w:t>
      </w:r>
      <w:r>
        <w:rPr>
          <w:rFonts w:hint="eastAsia" w:ascii="黑体" w:hAnsi="黑体" w:eastAsia="黑体"/>
          <w:kern w:val="0"/>
          <w:szCs w:val="21"/>
          <w:highlight w:val="none"/>
        </w:rPr>
        <w:t>合同文件的优先顺序</w:t>
      </w:r>
    </w:p>
    <w:p w14:paraId="7D8583B2">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合同文件组成及优先顺序为：</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（1）合同协议书；（2）中标通知书；（3）投标函及其附录；（4）招标文件；（5）专用合同条款及其附件；（6）通用合同</w:t>
      </w:r>
      <w:r>
        <w:rPr>
          <w:rFonts w:hint="eastAsia" w:cs="宋体"/>
          <w:szCs w:val="21"/>
          <w:highlight w:val="none"/>
          <w:u w:val="single"/>
        </w:rPr>
        <w:t>条件</w:t>
      </w:r>
      <w:r>
        <w:rPr>
          <w:rFonts w:hint="eastAsia" w:ascii="宋体" w:hAnsi="宋体" w:cs="宋体"/>
          <w:szCs w:val="21"/>
          <w:highlight w:val="none"/>
          <w:u w:val="single"/>
        </w:rPr>
        <w:t>；（7）技术标准和要求；（8）图纸；（9）已标价工程量清单或预算书；（10）其他合同文件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867FF17">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1.6 </w:t>
      </w:r>
      <w:r>
        <w:rPr>
          <w:rFonts w:hint="eastAsia" w:ascii="黑体" w:hAnsi="黑体" w:eastAsia="黑体"/>
          <w:kern w:val="0"/>
          <w:szCs w:val="21"/>
          <w:highlight w:val="none"/>
        </w:rPr>
        <w:t>文件的提供和照管</w:t>
      </w:r>
    </w:p>
    <w:p w14:paraId="4B174DF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1.6.1 </w:t>
      </w:r>
      <w:r>
        <w:rPr>
          <w:rFonts w:hint="eastAsia" w:ascii="仿宋_GB2312" w:hAnsi="宋体" w:eastAsia="仿宋_GB2312"/>
          <w:kern w:val="0"/>
          <w:szCs w:val="21"/>
          <w:highlight w:val="none"/>
        </w:rPr>
        <w:t>发包人文件的提供</w:t>
      </w:r>
    </w:p>
    <w:p w14:paraId="0F14AC62">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发包人文件的提供期限、名称、数量和形式：</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5D2354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1.6.2 </w:t>
      </w:r>
      <w:r>
        <w:rPr>
          <w:rFonts w:hint="eastAsia" w:ascii="仿宋_GB2312" w:hAnsi="宋体" w:eastAsia="仿宋_GB2312"/>
          <w:kern w:val="0"/>
          <w:szCs w:val="21"/>
          <w:highlight w:val="none"/>
        </w:rPr>
        <w:t>承包人文件的提供</w:t>
      </w:r>
    </w:p>
    <w:p w14:paraId="4923238E">
      <w:pPr>
        <w:widowControl/>
        <w:adjustRightInd w:val="0"/>
        <w:snapToGrid w:val="0"/>
        <w:spacing w:line="560" w:lineRule="exact"/>
        <w:ind w:firstLine="420" w:firstLineChars="200"/>
        <w:rPr>
          <w:rFonts w:hint="eastAsia" w:cs="宋体"/>
          <w:szCs w:val="21"/>
          <w:highlight w:val="none"/>
          <w:u w:val="single"/>
          <w:lang w:eastAsia="zh-CN"/>
        </w:rPr>
      </w:pPr>
      <w:r>
        <w:rPr>
          <w:rFonts w:hint="eastAsia" w:ascii="仿宋_GB2312" w:hAnsi="宋体" w:eastAsia="仿宋_GB2312"/>
          <w:kern w:val="0"/>
          <w:szCs w:val="21"/>
          <w:highlight w:val="none"/>
        </w:rPr>
        <w:t>承包人文件的内容、提供期限、名称、数量和形式：</w:t>
      </w:r>
      <w:r>
        <w:rPr>
          <w:rFonts w:ascii="仿宋_GB2312" w:hAnsi="宋体" w:eastAsia="仿宋_GB2312"/>
          <w:kern w:val="0"/>
          <w:szCs w:val="21"/>
          <w:highlight w:val="none"/>
          <w:u w:val="single"/>
        </w:rPr>
        <w:t xml:space="preserve">  </w:t>
      </w:r>
      <w:r>
        <w:rPr>
          <w:rFonts w:hint="eastAsia" w:cs="宋体"/>
          <w:szCs w:val="21"/>
          <w:highlight w:val="none"/>
          <w:u w:val="single"/>
        </w:rPr>
        <w:t>本项目由承包人负责所有技术文件（包括施工图及预算、实施技术要求、设计变更图纸（重大设计变更应提交概算及计算书））、设计代表服务和有关专项设计、各项验收服务等。承包人按合同协议或投标文件中约定的进度计划进行设计阶段设计、审查等，并按计划提供设计文件和施工图纸。承包人应对其未能按时提交设计文件和施工图纸而造成的工期延误负责</w:t>
      </w:r>
      <w:r>
        <w:rPr>
          <w:rFonts w:hint="eastAsia" w:cs="宋体"/>
          <w:szCs w:val="21"/>
          <w:highlight w:val="none"/>
          <w:u w:val="single"/>
          <w:lang w:eastAsia="zh-CN"/>
        </w:rPr>
        <w:t>。</w:t>
      </w:r>
    </w:p>
    <w:p w14:paraId="63EB8B3A">
      <w:pPr>
        <w:widowControl/>
        <w:tabs>
          <w:tab w:val="left" w:pos="5760"/>
          <w:tab w:val="left" w:pos="8880"/>
        </w:tabs>
        <w:adjustRightInd w:val="0"/>
        <w:snapToGrid w:val="0"/>
        <w:spacing w:line="440" w:lineRule="exact"/>
        <w:ind w:right="-307" w:rightChars="-146" w:firstLine="420" w:firstLineChars="200"/>
        <w:jc w:val="left"/>
        <w:rPr>
          <w:rFonts w:hint="eastAsia" w:cs="宋体"/>
          <w:szCs w:val="21"/>
          <w:highlight w:val="none"/>
          <w:u w:val="single"/>
        </w:rPr>
      </w:pPr>
      <w:r>
        <w:rPr>
          <w:rFonts w:hint="eastAsia" w:cs="宋体"/>
          <w:szCs w:val="21"/>
          <w:highlight w:val="none"/>
          <w:u w:val="single"/>
        </w:rPr>
        <w:t>承包人需根据投资指标分别设计，不得擅自调整或平衡投资标准，否则视为违约。</w:t>
      </w:r>
    </w:p>
    <w:p w14:paraId="5DC637C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cs="宋体"/>
          <w:szCs w:val="21"/>
          <w:highlight w:val="none"/>
          <w:u w:val="single"/>
        </w:rPr>
        <w:t>承包人免费向发包人提供由承包人设计的设计文件、施工图纸和其它技术资料8套，并提供装有全部设计资料的电子光盘2套。电子文件（文件为word、excel可编辑格式，图纸为CAD可编辑的dwg格式文件1套；另外1套文件为不可修改编辑的pdf格式，图纸或为dwg格式文件）包括图册、表格、文件等相关资料，仅作为存档和本工程使用，不得提供给第三方作为其它用途</w:t>
      </w:r>
      <w:r>
        <w:rPr>
          <w:rFonts w:hint="eastAsia" w:ascii="仿宋_GB2312" w:hAnsi="宋体" w:eastAsia="仿宋_GB2312"/>
          <w:kern w:val="0"/>
          <w:szCs w:val="21"/>
          <w:highlight w:val="none"/>
        </w:rPr>
        <w:t>。</w:t>
      </w:r>
    </w:p>
    <w:p w14:paraId="5C102640">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1.6.4 </w:t>
      </w:r>
      <w:r>
        <w:rPr>
          <w:rFonts w:hint="eastAsia" w:ascii="仿宋_GB2312" w:hAnsi="宋体" w:eastAsia="仿宋_GB2312"/>
          <w:kern w:val="0"/>
          <w:szCs w:val="21"/>
          <w:highlight w:val="none"/>
        </w:rPr>
        <w:t>文件的照管</w:t>
      </w:r>
    </w:p>
    <w:p w14:paraId="62ABF27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关于现场文件准备的约定：</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ascii="宋体" w:hAnsi="宋体" w:cs="宋体"/>
          <w:szCs w:val="21"/>
          <w:highlight w:val="none"/>
          <w:u w:val="single"/>
        </w:rPr>
        <w:t>除专用合同条款另有约定外，承包人应在施工现场另外保存一套完整的图纸和承包人文件，供发包人、监理人及有关人员进行工程检查时使用</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5F3428B">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1.7 </w:t>
      </w:r>
      <w:r>
        <w:rPr>
          <w:rFonts w:hint="eastAsia" w:ascii="黑体" w:hAnsi="黑体" w:eastAsia="黑体"/>
          <w:kern w:val="0"/>
          <w:szCs w:val="21"/>
          <w:highlight w:val="none"/>
        </w:rPr>
        <w:t>联络</w:t>
      </w:r>
    </w:p>
    <w:p w14:paraId="50B1BD4D">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1.7.2 </w:t>
      </w:r>
      <w:r>
        <w:rPr>
          <w:rFonts w:hint="eastAsia" w:ascii="仿宋_GB2312" w:hAnsi="宋体" w:eastAsia="仿宋_GB2312"/>
          <w:kern w:val="0"/>
          <w:szCs w:val="21"/>
          <w:highlight w:val="none"/>
        </w:rPr>
        <w:t>发包人指定的送达方式（包括电子传输方式）：</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书面函件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22CB4FA">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发包人的送达地址：</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项目部</w:t>
      </w:r>
      <w:r>
        <w:rPr>
          <w:rFonts w:hint="eastAsia" w:ascii="宋体" w:hAnsi="宋体" w:eastAsia="宋体" w:cs="宋体"/>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96893E7">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 xml:space="preserve">承包人指定的送达方式（包括电子传输方式）： </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书面函件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1A5EB59">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承包人的送达地址：</w:t>
      </w:r>
      <w:r>
        <w:rPr>
          <w:rFonts w:ascii="仿宋_GB2312" w:hAnsi="宋体" w:eastAsia="仿宋_GB2312"/>
          <w:kern w:val="0"/>
          <w:szCs w:val="21"/>
          <w:highlight w:val="none"/>
          <w:u w:val="single"/>
        </w:rPr>
        <w:t xml:space="preserve">                 </w:t>
      </w:r>
      <w:r>
        <w:rPr>
          <w:rFonts w:hint="eastAsia" w:ascii="宋体" w:hAnsi="宋体" w:eastAsia="宋体" w:cs="宋体"/>
          <w:szCs w:val="21"/>
          <w:highlight w:val="none"/>
          <w:u w:val="single"/>
          <w:lang w:val="en-US" w:eastAsia="zh-CN"/>
        </w:rPr>
        <w:t>项目部</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8DD85D3">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1.10 </w:t>
      </w:r>
      <w:r>
        <w:rPr>
          <w:rFonts w:hint="eastAsia" w:ascii="黑体" w:hAnsi="黑体" w:eastAsia="黑体"/>
          <w:kern w:val="0"/>
          <w:szCs w:val="21"/>
          <w:highlight w:val="none"/>
        </w:rPr>
        <w:t>知识产权</w:t>
      </w:r>
    </w:p>
    <w:p w14:paraId="07191F0E">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1.10.1 </w:t>
      </w:r>
      <w:r>
        <w:rPr>
          <w:rFonts w:hint="eastAsia" w:ascii="仿宋_GB2312" w:hAnsi="宋体" w:eastAsia="仿宋_GB2312"/>
          <w:kern w:val="0"/>
          <w:szCs w:val="21"/>
          <w:highlight w:val="none"/>
        </w:rPr>
        <w:t>由发包人（或以发包人名义）编制的《发包人要求》和其他文件的著作权归属：</w:t>
      </w:r>
      <w:r>
        <w:rPr>
          <w:rFonts w:ascii="仿宋_GB2312" w:hAnsi="宋体" w:eastAsia="仿宋_GB2312"/>
          <w:kern w:val="0"/>
          <w:szCs w:val="21"/>
          <w:highlight w:val="none"/>
          <w:u w:val="single"/>
        </w:rPr>
        <w:t xml:space="preserve">      </w:t>
      </w:r>
      <w:r>
        <w:rPr>
          <w:rFonts w:hint="eastAsia" w:cs="宋体"/>
          <w:szCs w:val="21"/>
          <w:highlight w:val="none"/>
          <w:u w:val="single"/>
        </w:rPr>
        <w:t>发包人</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79BBCF9">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1.10.2 </w:t>
      </w:r>
      <w:r>
        <w:rPr>
          <w:rFonts w:hint="eastAsia" w:ascii="仿宋_GB2312" w:hAnsi="宋体" w:eastAsia="仿宋_GB2312"/>
          <w:kern w:val="0"/>
          <w:szCs w:val="21"/>
          <w:highlight w:val="none"/>
        </w:rPr>
        <w:t>由承包人（或以承包人名义）为实施工程所编制的文件、承包人完成的设计工作成果和建造完成的建筑物的知识产权归属：</w:t>
      </w:r>
      <w:r>
        <w:rPr>
          <w:rFonts w:ascii="仿宋_GB2312" w:hAnsi="宋体" w:eastAsia="仿宋_GB2312"/>
          <w:kern w:val="0"/>
          <w:szCs w:val="21"/>
          <w:highlight w:val="none"/>
          <w:u w:val="single"/>
        </w:rPr>
        <w:t xml:space="preserve">                </w:t>
      </w:r>
      <w:r>
        <w:rPr>
          <w:rFonts w:hint="eastAsia" w:cs="宋体"/>
          <w:szCs w:val="21"/>
          <w:highlight w:val="none"/>
          <w:u w:val="single"/>
        </w:rPr>
        <w:t>发包人</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DFB4535">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1.10.4 </w:t>
      </w:r>
      <w:r>
        <w:rPr>
          <w:rFonts w:hint="eastAsia" w:ascii="仿宋_GB2312" w:hAnsi="宋体" w:eastAsia="仿宋_GB2312"/>
          <w:kern w:val="0"/>
          <w:szCs w:val="21"/>
          <w:highlight w:val="none"/>
        </w:rPr>
        <w:t>承包人在投标文件中采用的专利、专有技术、技术秘密的使用费的承担方式</w:t>
      </w:r>
      <w:r>
        <w:rPr>
          <w:rFonts w:ascii="仿宋_GB2312" w:hAnsi="宋体" w:eastAsia="仿宋_GB2312"/>
          <w:kern w:val="0"/>
          <w:szCs w:val="21"/>
          <w:highlight w:val="none"/>
          <w:u w:val="single"/>
        </w:rPr>
        <w:t xml:space="preserve">    </w:t>
      </w:r>
      <w:r>
        <w:rPr>
          <w:rFonts w:hint="eastAsia" w:cs="宋体"/>
          <w:szCs w:val="21"/>
          <w:highlight w:val="none"/>
          <w:u w:val="single"/>
        </w:rPr>
        <w:t>该费用已包含在签约合同价中</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1C14198">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1.11 </w:t>
      </w:r>
      <w:r>
        <w:rPr>
          <w:rFonts w:hint="eastAsia" w:ascii="黑体" w:hAnsi="黑体" w:eastAsia="黑体"/>
          <w:kern w:val="0"/>
          <w:szCs w:val="21"/>
          <w:highlight w:val="none"/>
        </w:rPr>
        <w:t>保密</w:t>
      </w:r>
    </w:p>
    <w:p w14:paraId="6D3AC7D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双方订立的商业保密协议（名称）：</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，作为本合同附件。</w:t>
      </w:r>
    </w:p>
    <w:p w14:paraId="752F8ADA">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双方订立的技术保密协议（名称）：</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，作为本合同附件。</w:t>
      </w:r>
    </w:p>
    <w:p w14:paraId="61D18BDC">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1.13 </w:t>
      </w:r>
      <w:r>
        <w:rPr>
          <w:rFonts w:hint="eastAsia" w:ascii="黑体" w:hAnsi="黑体" w:eastAsia="黑体"/>
          <w:kern w:val="0"/>
          <w:szCs w:val="21"/>
          <w:highlight w:val="none"/>
        </w:rPr>
        <w:t>责任限制</w:t>
      </w:r>
    </w:p>
    <w:p w14:paraId="5D421F20">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承包人对发包人赔偿责任的最高限额为</w:t>
      </w:r>
      <w:r>
        <w:rPr>
          <w:rFonts w:ascii="仿宋_GB2312" w:hAnsi="宋体" w:eastAsia="仿宋_GB2312"/>
          <w:kern w:val="0"/>
          <w:szCs w:val="21"/>
          <w:highlight w:val="none"/>
          <w:u w:val="single"/>
        </w:rPr>
        <w:t xml:space="preserve">    </w:t>
      </w:r>
      <w:r>
        <w:rPr>
          <w:rFonts w:hint="eastAsia" w:cs="宋体"/>
          <w:szCs w:val="21"/>
          <w:highlight w:val="none"/>
          <w:u w:val="single"/>
        </w:rPr>
        <w:t>不应超过签约合同价，但对于因欺诈、犯罪、故意、重大过失、人身伤害等不当行为造成的损失，赔偿的责任限度不受最高限额的限制</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4D1B089">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1.14 </w:t>
      </w:r>
      <w:r>
        <w:rPr>
          <w:rFonts w:hint="eastAsia" w:ascii="黑体" w:hAnsi="黑体" w:eastAsia="黑体"/>
          <w:kern w:val="0"/>
          <w:szCs w:val="21"/>
          <w:highlight w:val="none"/>
        </w:rPr>
        <w:t>建筑信息模型技术的应用</w:t>
      </w:r>
    </w:p>
    <w:p w14:paraId="5239D74E">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关于建筑信息模型技术的开发、使用、存储、传输、交付及费用约定如下：</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3A40559">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21" w:name="_Toc54862333"/>
      <w:r>
        <w:rPr>
          <w:rFonts w:hint="eastAsia" w:ascii="黑体" w:hAnsi="黑体" w:eastAsia="黑体" w:cs="Times"/>
          <w:bCs/>
          <w:kern w:val="0"/>
          <w:szCs w:val="21"/>
          <w:highlight w:val="none"/>
        </w:rPr>
        <w:t>第</w:t>
      </w:r>
      <w:r>
        <w:rPr>
          <w:rFonts w:ascii="黑体" w:hAnsi="黑体" w:eastAsia="黑体" w:cs="Times"/>
          <w:bCs/>
          <w:kern w:val="0"/>
          <w:szCs w:val="21"/>
          <w:highlight w:val="none"/>
        </w:rPr>
        <w:t>2条</w:t>
      </w:r>
      <w:r>
        <w:rPr>
          <w:rFonts w:hint="eastAsia" w:ascii="黑体" w:hAnsi="黑体" w:eastAsia="黑体" w:cs="Times"/>
          <w:bCs/>
          <w:kern w:val="0"/>
          <w:szCs w:val="21"/>
          <w:highlight w:val="none"/>
        </w:rPr>
        <w:t xml:space="preserve"> 发包人</w:t>
      </w:r>
      <w:bookmarkEnd w:id="721"/>
    </w:p>
    <w:p w14:paraId="0132E94E">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2.2 </w:t>
      </w:r>
      <w:r>
        <w:rPr>
          <w:rFonts w:hint="eastAsia" w:ascii="黑体" w:hAnsi="黑体" w:eastAsia="黑体"/>
          <w:kern w:val="0"/>
          <w:szCs w:val="21"/>
          <w:highlight w:val="none"/>
        </w:rPr>
        <w:t>提供施工现场和工作条件</w:t>
      </w:r>
    </w:p>
    <w:p w14:paraId="2C9DD0A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2.2.1 </w:t>
      </w:r>
      <w:r>
        <w:rPr>
          <w:rFonts w:hint="eastAsia" w:ascii="仿宋_GB2312" w:hAnsi="宋体" w:eastAsia="仿宋_GB2312"/>
          <w:kern w:val="0"/>
          <w:szCs w:val="21"/>
          <w:highlight w:val="none"/>
        </w:rPr>
        <w:t>提供施工现场</w:t>
      </w:r>
    </w:p>
    <w:p w14:paraId="4CB241B4">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关于发包人提供施工现场的范围和期限：</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发包人应最迟于开工日期7天前向承包人移交施工现场</w:t>
      </w:r>
      <w:r>
        <w:rPr>
          <w:rFonts w:hint="eastAsia" w:cs="宋体"/>
          <w:szCs w:val="21"/>
          <w:highlight w:val="none"/>
          <w:u w:val="single"/>
        </w:rPr>
        <w:t>，但承包人未能按照第4.2款[履约担保]提供履约担保的除外</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F4AA55C">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2.2.2 </w:t>
      </w:r>
      <w:r>
        <w:rPr>
          <w:rFonts w:hint="eastAsia" w:ascii="仿宋_GB2312" w:hAnsi="宋体" w:eastAsia="仿宋_GB2312"/>
          <w:kern w:val="0"/>
          <w:szCs w:val="21"/>
          <w:highlight w:val="none"/>
        </w:rPr>
        <w:t>提供工作条件</w:t>
      </w:r>
    </w:p>
    <w:p w14:paraId="51AEE212">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关于发包人应负责提供的工作条件包括：</w:t>
      </w:r>
      <w:r>
        <w:rPr>
          <w:rFonts w:hint="eastAsia" w:ascii="宋体" w:hAnsi="宋体" w:cs="宋体"/>
          <w:szCs w:val="21"/>
          <w:highlight w:val="none"/>
          <w:u w:val="single"/>
        </w:rPr>
        <w:t>（1）将施工用水、电力、通讯线路等施工所必需的条件接至施工现场内；（2）保证向承包人提供正常施工所需要的进入施工现场的交通条件；（3）协调处理施工现场周围地下管线和邻近建筑物、构筑物、古树名木的保护工作，并承担相关费用。若上述费用已包含在本项目发包范围，则由承包人自行解决并承担费用</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F363DA6">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2.3 </w:t>
      </w:r>
      <w:r>
        <w:rPr>
          <w:rFonts w:hint="eastAsia" w:ascii="黑体" w:hAnsi="黑体" w:eastAsia="黑体"/>
          <w:kern w:val="0"/>
          <w:szCs w:val="21"/>
          <w:highlight w:val="none"/>
        </w:rPr>
        <w:t>提供基础资料</w:t>
      </w:r>
    </w:p>
    <w:p w14:paraId="402C4E96">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关于发包人应提供的基础资料的范围和期限：</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向承包人提供施工现场及工程实施所必需的毗邻区域内的供水、排水、供电、供气、供热、通信、广播电视等地上、地下管线和设施资料，气象和水文观测资料，地质勘察资料，相邻建筑物、构筑物和地下工程等有关基础资料。上述资料在开工前14日内提供</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D69A43E">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2.5 </w:t>
      </w:r>
      <w:r>
        <w:rPr>
          <w:rFonts w:hint="eastAsia" w:ascii="黑体" w:hAnsi="黑体" w:eastAsia="黑体"/>
          <w:kern w:val="0"/>
          <w:szCs w:val="21"/>
          <w:highlight w:val="none"/>
        </w:rPr>
        <w:t>支付合同价款</w:t>
      </w:r>
    </w:p>
    <w:p w14:paraId="2694809C">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2.5.2 </w:t>
      </w:r>
      <w:r>
        <w:rPr>
          <w:rFonts w:hint="eastAsia" w:ascii="仿宋_GB2312" w:hAnsi="宋体" w:eastAsia="仿宋_GB2312"/>
          <w:kern w:val="0"/>
          <w:szCs w:val="21"/>
          <w:highlight w:val="none"/>
        </w:rPr>
        <w:t>发包人提供资金来源证明及资金安排的期限要求：</w:t>
      </w:r>
      <w:r>
        <w:rPr>
          <w:rFonts w:hint="eastAsia" w:ascii="仿宋_GB2312" w:hAnsi="宋体" w:eastAsia="仿宋_GB2312"/>
          <w:color w:val="000000"/>
          <w:kern w:val="0"/>
          <w:szCs w:val="21"/>
          <w:highlight w:val="none"/>
          <w:u w:val="single"/>
        </w:rPr>
        <w:t>在取得施工许可证的 3 个月内办结工程款支付担保。施工单位在收到工程款支付担保后 3 日内将相关资料上传至至项目所在地农民工工资支付监管平台，未按时按承诺提交工程款支付担保的工程建设项目，将视作建设资金未落实。</w:t>
      </w:r>
    </w:p>
    <w:p w14:paraId="411A286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2.5.3 </w:t>
      </w:r>
      <w:r>
        <w:rPr>
          <w:rFonts w:hint="eastAsia" w:ascii="仿宋_GB2312" w:hAnsi="宋体" w:eastAsia="仿宋_GB2312"/>
          <w:kern w:val="0"/>
          <w:szCs w:val="21"/>
          <w:highlight w:val="none"/>
        </w:rPr>
        <w:t>发包人提供支付担保的形式、期限、金额（或比例）：</w:t>
      </w:r>
      <w:r>
        <w:rPr>
          <w:rFonts w:hint="eastAsia" w:ascii="仿宋_GB2312" w:hAnsi="宋体" w:eastAsia="仿宋_GB2312"/>
          <w:b/>
          <w:kern w:val="0"/>
          <w:szCs w:val="21"/>
          <w:highlight w:val="none"/>
        </w:rPr>
        <w:t>提供支付担保</w:t>
      </w:r>
      <w:r>
        <w:rPr>
          <w:rFonts w:hint="eastAsia" w:ascii="仿宋_GB2312" w:hAnsi="宋体" w:eastAsia="仿宋_GB2312"/>
          <w:kern w:val="0"/>
          <w:szCs w:val="21"/>
          <w:highlight w:val="none"/>
        </w:rPr>
        <w:t>。</w:t>
      </w:r>
    </w:p>
    <w:p w14:paraId="3BCFB2D5">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工程款支付担保可以采用银行保函、保证保险、工程担保公司担保等方式。银行保函、保证保险和工程担保保单应当为不可撤销的保证。发包人应当向承包人提供签约合同价8%的工程款支付担保。</w:t>
      </w:r>
    </w:p>
    <w:p w14:paraId="3D3AC4A6">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对于政府投资的工程建设项目，发包人可以提供财政等政府有权部门出具的落实项目建设资金保障证明作为工程款支付担保凭证。工程款支付担保保证期限原则上应与施工合同约定的期限保持一致（采用分阶段担保的，建设单位支付相应的工程款后，当期工程款支付担保解除，进入下一阶段工程款支付担保）。施工工期延期的，建设单位应在保证期限到期前 30 天，办理保函、保单延期手续。</w:t>
      </w:r>
    </w:p>
    <w:p w14:paraId="57BCF4F2">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工程款支付担保保证有效期内，建设单位未按照规定向农民工工资专用账户拨付工资性工程款或者未按照合同约定支付施工进度款的，施工总承包企业（包括专业承包企业，下同）可以要求保证人履行保证责任，同时将拖欠信息报送工程所在地住房城乡建设主管部门和人力资源社会保障主管部门。</w:t>
      </w:r>
    </w:p>
    <w:p w14:paraId="48760314">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在我省开展工程款支付担保业务的保证人应向有关主管部门提供担保凭证网络验证途径。</w:t>
      </w:r>
    </w:p>
    <w:p w14:paraId="067843E5">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2.7 </w:t>
      </w:r>
      <w:r>
        <w:rPr>
          <w:rFonts w:hint="eastAsia" w:ascii="黑体" w:hAnsi="黑体" w:eastAsia="黑体"/>
          <w:kern w:val="0"/>
          <w:szCs w:val="21"/>
          <w:highlight w:val="none"/>
        </w:rPr>
        <w:t>其他义务</w:t>
      </w:r>
    </w:p>
    <w:p w14:paraId="51B0AAFD">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发包人应履行的其他义务：</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680139B">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22" w:name="_Toc54862334"/>
      <w:r>
        <w:rPr>
          <w:rFonts w:hint="eastAsia" w:ascii="黑体" w:hAnsi="黑体" w:eastAsia="黑体" w:cs="Times"/>
          <w:bCs/>
          <w:kern w:val="0"/>
          <w:szCs w:val="21"/>
          <w:highlight w:val="none"/>
        </w:rPr>
        <w:t>第</w:t>
      </w:r>
      <w:r>
        <w:rPr>
          <w:rFonts w:ascii="黑体" w:hAnsi="黑体" w:eastAsia="黑体" w:cs="Times"/>
          <w:bCs/>
          <w:kern w:val="0"/>
          <w:szCs w:val="21"/>
          <w:highlight w:val="none"/>
        </w:rPr>
        <w:t>3条</w:t>
      </w:r>
      <w:r>
        <w:rPr>
          <w:rFonts w:hint="eastAsia" w:ascii="黑体" w:hAnsi="黑体" w:eastAsia="黑体" w:cs="Times"/>
          <w:bCs/>
          <w:kern w:val="0"/>
          <w:szCs w:val="21"/>
          <w:highlight w:val="none"/>
        </w:rPr>
        <w:t xml:space="preserve"> 发包人的管理</w:t>
      </w:r>
      <w:bookmarkEnd w:id="722"/>
    </w:p>
    <w:p w14:paraId="7FC901D0">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3.1 </w:t>
      </w:r>
      <w:r>
        <w:rPr>
          <w:rFonts w:hint="eastAsia" w:ascii="黑体" w:hAnsi="黑体" w:eastAsia="黑体"/>
          <w:kern w:val="0"/>
          <w:szCs w:val="21"/>
          <w:highlight w:val="none"/>
        </w:rPr>
        <w:t>发包人代表</w:t>
      </w:r>
    </w:p>
    <w:p w14:paraId="375AC062">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发包人代表的姓名：</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9A8F0DD">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发包人代表的身份证号：</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6CFA2AA">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发包人代表的职务：</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DD8A931">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发包人代表的联系电话：</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41E9287">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发包人代表的电子邮箱：</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CA2A63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发包人代表的通信地址：</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E256FA4">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发包人对发包人代表的授权范围如下：</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施工组织设计和总进度计划的审批权和调整权；人员在岗、工程进度、质量、安全、环保的监督检查权和建议处罚权；工程款的初步审查权；第三方检测的委托权；主要材料的质量否决权；工程量的确认权；工程变更签证的审核权；可调价格材料的价格确认权；工程结算的审核权；合同的解释；等等</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4A11D31">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发包人代表的职责：</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执行通用合同条件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BC0D58B">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3.2 </w:t>
      </w:r>
      <w:r>
        <w:rPr>
          <w:rFonts w:hint="eastAsia" w:ascii="黑体" w:hAnsi="黑体" w:eastAsia="黑体"/>
          <w:kern w:val="0"/>
          <w:szCs w:val="21"/>
          <w:highlight w:val="none"/>
        </w:rPr>
        <w:t>发包人人员</w:t>
      </w:r>
    </w:p>
    <w:p w14:paraId="5CDBE0F2">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发包人人员姓名：</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36F5D9A3">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发包人人员职务：</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29285C63">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发包人人员职责：</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9FEA34A">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3.3 </w:t>
      </w:r>
      <w:r>
        <w:rPr>
          <w:rFonts w:hint="eastAsia" w:ascii="黑体" w:hAnsi="黑体" w:eastAsia="黑体"/>
          <w:kern w:val="0"/>
          <w:szCs w:val="21"/>
          <w:highlight w:val="none"/>
        </w:rPr>
        <w:t>工程师</w:t>
      </w:r>
    </w:p>
    <w:p w14:paraId="37649DBD">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3</w:t>
      </w:r>
      <w:r>
        <w:rPr>
          <w:rFonts w:ascii="仿宋_GB2312" w:hAnsi="宋体" w:eastAsia="仿宋_GB2312"/>
          <w:kern w:val="0"/>
          <w:szCs w:val="21"/>
          <w:highlight w:val="none"/>
        </w:rPr>
        <w:t xml:space="preserve">.3.1 </w:t>
      </w:r>
      <w:r>
        <w:rPr>
          <w:rFonts w:hint="eastAsia" w:ascii="仿宋_GB2312" w:hAnsi="宋体" w:eastAsia="仿宋_GB2312"/>
          <w:kern w:val="0"/>
          <w:szCs w:val="21"/>
          <w:highlight w:val="none"/>
        </w:rPr>
        <w:t>工程师名称</w:t>
      </w:r>
      <w:r>
        <w:rPr>
          <w:rFonts w:ascii="仿宋_GB2312" w:hAnsi="宋体" w:eastAsia="仿宋_GB2312"/>
          <w:kern w:val="0"/>
          <w:szCs w:val="21"/>
          <w:highlight w:val="none"/>
        </w:rPr>
        <w:t>：</w:t>
      </w:r>
      <w:r>
        <w:rPr>
          <w:rFonts w:ascii="仿宋_GB2312" w:hAnsi="宋体" w:eastAsia="仿宋_GB2312"/>
          <w:kern w:val="0"/>
          <w:szCs w:val="21"/>
          <w:highlight w:val="none"/>
          <w:u w:val="single"/>
        </w:rPr>
        <w:t xml:space="preserve">      </w:t>
      </w:r>
      <w:r>
        <w:rPr>
          <w:rFonts w:hint="eastAsia" w:cs="宋体"/>
          <w:szCs w:val="21"/>
          <w:highlight w:val="none"/>
          <w:u w:val="single"/>
        </w:rPr>
        <w:t>详见监理合同</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r>
        <w:rPr>
          <w:rFonts w:hint="eastAsia" w:ascii="仿宋_GB2312" w:hAnsi="宋体" w:eastAsia="仿宋_GB2312"/>
          <w:kern w:val="0"/>
          <w:szCs w:val="21"/>
          <w:highlight w:val="none"/>
        </w:rPr>
        <w:t>工程师监督管理</w:t>
      </w:r>
      <w:r>
        <w:rPr>
          <w:rFonts w:ascii="仿宋_GB2312" w:hAnsi="宋体" w:eastAsia="仿宋_GB2312"/>
          <w:kern w:val="0"/>
          <w:szCs w:val="21"/>
          <w:highlight w:val="none"/>
        </w:rPr>
        <w:t>范围</w:t>
      </w:r>
      <w:r>
        <w:rPr>
          <w:rFonts w:hint="eastAsia" w:ascii="仿宋_GB2312" w:hAnsi="宋体" w:eastAsia="仿宋_GB2312"/>
          <w:kern w:val="0"/>
          <w:szCs w:val="21"/>
          <w:highlight w:val="none"/>
        </w:rPr>
        <w:t>、内容</w:t>
      </w:r>
      <w:r>
        <w:rPr>
          <w:rFonts w:ascii="仿宋_GB2312" w:hAnsi="宋体" w:eastAsia="仿宋_GB2312"/>
          <w:kern w:val="0"/>
          <w:szCs w:val="21"/>
          <w:highlight w:val="none"/>
        </w:rPr>
        <w:t>：</w:t>
      </w:r>
      <w:r>
        <w:rPr>
          <w:rFonts w:ascii="仿宋_GB2312" w:hAnsi="宋体" w:eastAsia="仿宋_GB2312"/>
          <w:kern w:val="0"/>
          <w:szCs w:val="21"/>
          <w:highlight w:val="none"/>
          <w:u w:val="single"/>
        </w:rPr>
        <w:t xml:space="preserve">     </w:t>
      </w:r>
      <w:r>
        <w:rPr>
          <w:rFonts w:hint="eastAsia" w:cs="宋体"/>
          <w:szCs w:val="21"/>
          <w:highlight w:val="none"/>
          <w:u w:val="single"/>
        </w:rPr>
        <w:t>详见监理合同</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；工程师</w:t>
      </w:r>
      <w:r>
        <w:rPr>
          <w:rFonts w:ascii="仿宋_GB2312" w:hAnsi="宋体" w:eastAsia="仿宋_GB2312"/>
          <w:kern w:val="0"/>
          <w:szCs w:val="21"/>
          <w:highlight w:val="none"/>
        </w:rPr>
        <w:t>权限：</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发布开工令、停工令、复工令权；工程质量的监督权；工程上使用的材料和施工质量检验权、确认权；工程施工进度、安全的检查、监督权、发包人授权的处罚权；工程款支付的审核权；向承包人提出施工组织设计和技术方案的建议权；发包人和承包人间的组织协调的主持权；撤换不合格的工程建设分包单位和注册建造师及有关人员的建议权；分包单位资质及能力的审查权；</w:t>
      </w:r>
      <w:r>
        <w:rPr>
          <w:rFonts w:hint="eastAsia" w:cs="宋体"/>
          <w:szCs w:val="21"/>
          <w:highlight w:val="none"/>
          <w:u w:val="single"/>
        </w:rPr>
        <w:t>对承包人的设计、采购、施工、服务等工作过程或过程节点实施监理管理，</w:t>
      </w:r>
      <w:r>
        <w:rPr>
          <w:rFonts w:hint="eastAsia" w:ascii="宋体" w:hAnsi="宋体" w:cs="宋体"/>
          <w:szCs w:val="21"/>
          <w:highlight w:val="none"/>
          <w:u w:val="single"/>
        </w:rPr>
        <w:t>等等</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4B59ADA">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3.6 </w:t>
      </w:r>
      <w:r>
        <w:rPr>
          <w:rFonts w:hint="eastAsia" w:ascii="黑体" w:hAnsi="黑体" w:eastAsia="黑体"/>
          <w:kern w:val="0"/>
          <w:szCs w:val="21"/>
          <w:highlight w:val="none"/>
        </w:rPr>
        <w:t>商定或确定</w:t>
      </w:r>
    </w:p>
    <w:p w14:paraId="4CAE6DB0">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3</w:t>
      </w:r>
      <w:r>
        <w:rPr>
          <w:rFonts w:ascii="仿宋_GB2312" w:hAnsi="宋体" w:eastAsia="仿宋_GB2312"/>
          <w:kern w:val="0"/>
          <w:szCs w:val="21"/>
          <w:highlight w:val="none"/>
        </w:rPr>
        <w:t>.6.2 关于</w:t>
      </w:r>
      <w:r>
        <w:rPr>
          <w:rFonts w:hint="eastAsia" w:ascii="仿宋_GB2312" w:hAnsi="宋体" w:eastAsia="仿宋_GB2312"/>
          <w:kern w:val="0"/>
          <w:szCs w:val="21"/>
          <w:highlight w:val="none"/>
        </w:rPr>
        <w:t>商定</w:t>
      </w:r>
      <w:r>
        <w:rPr>
          <w:rFonts w:ascii="仿宋_GB2312" w:hAnsi="宋体" w:eastAsia="仿宋_GB2312"/>
          <w:kern w:val="0"/>
          <w:szCs w:val="21"/>
          <w:highlight w:val="none"/>
        </w:rPr>
        <w:t>时间限制的具体约定：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执行通用合同条件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9482FDF">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3.6.3 关于</w:t>
      </w:r>
      <w:r>
        <w:rPr>
          <w:rFonts w:hint="eastAsia" w:ascii="仿宋_GB2312" w:hAnsi="宋体" w:eastAsia="仿宋_GB2312"/>
          <w:kern w:val="0"/>
          <w:szCs w:val="21"/>
          <w:highlight w:val="none"/>
        </w:rPr>
        <w:t>商定或确定</w:t>
      </w:r>
      <w:r>
        <w:rPr>
          <w:rFonts w:ascii="仿宋_GB2312" w:hAnsi="宋体" w:eastAsia="仿宋_GB2312"/>
          <w:kern w:val="0"/>
          <w:szCs w:val="21"/>
          <w:highlight w:val="none"/>
        </w:rPr>
        <w:t>效力的具体约定：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执行通用合同条件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r>
        <w:rPr>
          <w:rFonts w:ascii="仿宋_GB2312" w:hAnsi="宋体" w:eastAsia="仿宋_GB2312"/>
          <w:kern w:val="0"/>
          <w:szCs w:val="21"/>
          <w:highlight w:val="none"/>
        </w:rPr>
        <w:t>关于对</w:t>
      </w:r>
      <w:r>
        <w:rPr>
          <w:rFonts w:hint="eastAsia" w:ascii="仿宋_GB2312" w:hAnsi="宋体" w:eastAsia="仿宋_GB2312"/>
          <w:kern w:val="0"/>
          <w:szCs w:val="21"/>
          <w:highlight w:val="none"/>
        </w:rPr>
        <w:t>工程师的确定提出异议</w:t>
      </w:r>
      <w:r>
        <w:rPr>
          <w:rFonts w:ascii="仿宋_GB2312" w:hAnsi="宋体" w:eastAsia="仿宋_GB2312"/>
          <w:kern w:val="0"/>
          <w:szCs w:val="21"/>
          <w:highlight w:val="none"/>
        </w:rPr>
        <w:t>的具体约定：</w:t>
      </w:r>
      <w:r>
        <w:rPr>
          <w:rFonts w:ascii="仿宋_GB2312" w:hAnsi="宋体" w:eastAsia="仿宋_GB2312"/>
          <w:kern w:val="0"/>
          <w:szCs w:val="21"/>
          <w:highlight w:val="none"/>
          <w:u w:val="single"/>
        </w:rPr>
        <w:t xml:space="preserve">  </w:t>
      </w:r>
      <w:r>
        <w:rPr>
          <w:rFonts w:hint="eastAsia" w:cs="宋体"/>
          <w:szCs w:val="21"/>
          <w:highlight w:val="none"/>
          <w:u w:val="single"/>
        </w:rPr>
        <w:t>任何一方对工程师的确定有异议的，应在收到确定的结果后28天内向另一方发出书面异议通知并抄送工程师</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4C0FA08">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3.7 </w:t>
      </w:r>
      <w:r>
        <w:rPr>
          <w:rFonts w:hint="eastAsia" w:ascii="黑体" w:hAnsi="黑体" w:eastAsia="黑体"/>
          <w:kern w:val="0"/>
          <w:szCs w:val="21"/>
          <w:highlight w:val="none"/>
        </w:rPr>
        <w:t>会议</w:t>
      </w:r>
    </w:p>
    <w:p w14:paraId="7E3D4436">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3</w:t>
      </w:r>
      <w:r>
        <w:rPr>
          <w:rFonts w:ascii="仿宋_GB2312" w:hAnsi="宋体" w:eastAsia="仿宋_GB2312"/>
          <w:kern w:val="0"/>
          <w:szCs w:val="21"/>
          <w:highlight w:val="none"/>
        </w:rPr>
        <w:t>.7.1 关于召开会议</w:t>
      </w:r>
      <w:r>
        <w:rPr>
          <w:rFonts w:hint="eastAsia" w:ascii="仿宋_GB2312" w:hAnsi="宋体" w:eastAsia="仿宋_GB2312"/>
          <w:kern w:val="0"/>
          <w:szCs w:val="21"/>
          <w:highlight w:val="none"/>
        </w:rPr>
        <w:t>的具体约定：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按</w:t>
      </w:r>
      <w:r>
        <w:rPr>
          <w:rFonts w:hint="eastAsia" w:ascii="宋体" w:hAnsi="宋体" w:cs="宋体"/>
          <w:szCs w:val="21"/>
          <w:highlight w:val="none"/>
          <w:u w:val="single"/>
          <w:lang w:val="en-US" w:eastAsia="zh-CN"/>
        </w:rPr>
        <w:t>发包人</w:t>
      </w:r>
      <w:r>
        <w:rPr>
          <w:rFonts w:hint="eastAsia" w:ascii="宋体" w:hAnsi="宋体" w:cs="宋体"/>
          <w:szCs w:val="21"/>
          <w:highlight w:val="none"/>
          <w:u w:val="single"/>
        </w:rPr>
        <w:t>相关规定执行</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868401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3</w:t>
      </w:r>
      <w:r>
        <w:rPr>
          <w:rFonts w:ascii="仿宋_GB2312" w:hAnsi="宋体" w:eastAsia="仿宋_GB2312"/>
          <w:kern w:val="0"/>
          <w:szCs w:val="21"/>
          <w:highlight w:val="none"/>
        </w:rPr>
        <w:t xml:space="preserve">.7.2 </w:t>
      </w:r>
      <w:r>
        <w:rPr>
          <w:rFonts w:hint="eastAsia" w:ascii="仿宋_GB2312" w:hAnsi="宋体" w:eastAsia="仿宋_GB2312"/>
          <w:kern w:val="0"/>
          <w:szCs w:val="21"/>
          <w:highlight w:val="none"/>
        </w:rPr>
        <w:t>关于保存和提供会议纪要</w:t>
      </w:r>
      <w:r>
        <w:rPr>
          <w:rFonts w:ascii="仿宋_GB2312" w:hAnsi="宋体" w:eastAsia="仿宋_GB2312"/>
          <w:kern w:val="0"/>
          <w:szCs w:val="21"/>
          <w:highlight w:val="none"/>
        </w:rPr>
        <w:t>的具体约定：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按</w:t>
      </w:r>
      <w:r>
        <w:rPr>
          <w:rFonts w:hint="eastAsia" w:ascii="宋体" w:hAnsi="宋体" w:cs="宋体"/>
          <w:szCs w:val="21"/>
          <w:highlight w:val="none"/>
          <w:u w:val="single"/>
          <w:lang w:val="en-US" w:eastAsia="zh-CN"/>
        </w:rPr>
        <w:t>发包人</w:t>
      </w:r>
      <w:r>
        <w:rPr>
          <w:rFonts w:hint="eastAsia" w:ascii="宋体" w:hAnsi="宋体" w:cs="宋体"/>
          <w:szCs w:val="21"/>
          <w:highlight w:val="none"/>
          <w:u w:val="single"/>
        </w:rPr>
        <w:t>相关规定执行</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E35F097">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23" w:name="_Toc54862335"/>
      <w:r>
        <w:rPr>
          <w:rFonts w:hint="eastAsia" w:ascii="黑体" w:hAnsi="黑体" w:eastAsia="黑体" w:cs="Times"/>
          <w:bCs/>
          <w:kern w:val="0"/>
          <w:szCs w:val="21"/>
          <w:highlight w:val="none"/>
        </w:rPr>
        <w:t>第</w:t>
      </w:r>
      <w:r>
        <w:rPr>
          <w:rFonts w:ascii="黑体" w:hAnsi="黑体" w:eastAsia="黑体" w:cs="Times"/>
          <w:bCs/>
          <w:kern w:val="0"/>
          <w:szCs w:val="21"/>
          <w:highlight w:val="none"/>
        </w:rPr>
        <w:t>4条</w:t>
      </w:r>
      <w:r>
        <w:rPr>
          <w:rFonts w:hint="eastAsia" w:ascii="黑体" w:hAnsi="黑体" w:eastAsia="黑体" w:cs="Times"/>
          <w:bCs/>
          <w:kern w:val="0"/>
          <w:szCs w:val="21"/>
          <w:highlight w:val="none"/>
        </w:rPr>
        <w:t xml:space="preserve"> 承包人</w:t>
      </w:r>
      <w:bookmarkEnd w:id="723"/>
    </w:p>
    <w:p w14:paraId="441D22B8">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4.1 </w:t>
      </w:r>
      <w:r>
        <w:rPr>
          <w:rFonts w:hint="eastAsia" w:ascii="黑体" w:hAnsi="黑体" w:eastAsia="黑体"/>
          <w:kern w:val="0"/>
          <w:szCs w:val="21"/>
          <w:highlight w:val="none"/>
        </w:rPr>
        <w:t>承包人的一般义务</w:t>
      </w:r>
    </w:p>
    <w:p w14:paraId="13A352B6">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承包人应履行的其他义务：</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ascii="宋体" w:hAnsi="宋体" w:eastAsia="宋体" w:cs="宋体"/>
          <w:color w:val="auto"/>
          <w:szCs w:val="21"/>
          <w:highlight w:val="none"/>
          <w:u w:val="single"/>
        </w:rPr>
        <w:t>①工程竣工半年(含)内完成竣工结算的；②无合同纠纷等原因拖欠农民工工资、材料款，出现群访及时处理；③质量无缺陷，及时整改到位，处理及时；④施工现场服从调度或工程进度不超过合同工期或按合同期限按时移交的；⑤月工程量进度及时完成；⑥按规定提供工程资料并及时归档的；⑦须执行我市市住建、公管、人社、重点处等相关单位关于项目管理、扬尘治理、大气、农民工工资支付、工程款支付等方面的通知、规定和相关要求</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764EF40">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4.2 </w:t>
      </w:r>
      <w:r>
        <w:rPr>
          <w:rFonts w:hint="eastAsia" w:ascii="黑体" w:hAnsi="黑体" w:eastAsia="黑体"/>
          <w:kern w:val="0"/>
          <w:szCs w:val="21"/>
          <w:highlight w:val="none"/>
        </w:rPr>
        <w:t>履约担保</w:t>
      </w:r>
    </w:p>
    <w:p w14:paraId="106DF02E">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承包人是否提供履约担保：</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lang w:val="en-US" w:eastAsia="zh-CN"/>
        </w:rPr>
        <w:t>是</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1EE5DA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履约担保的方式、金额及期限:</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lang w:val="en-US" w:eastAsia="zh-CN"/>
        </w:rPr>
        <w:t>按招标文件要求执行</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101FD08">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4.3 </w:t>
      </w:r>
      <w:r>
        <w:rPr>
          <w:rFonts w:hint="eastAsia" w:ascii="黑体" w:hAnsi="黑体" w:eastAsia="黑体"/>
          <w:kern w:val="0"/>
          <w:szCs w:val="21"/>
          <w:highlight w:val="none"/>
        </w:rPr>
        <w:t>工程总承包项目经理</w:t>
      </w:r>
    </w:p>
    <w:p w14:paraId="50719029">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4.3.1 </w:t>
      </w:r>
      <w:r>
        <w:rPr>
          <w:rFonts w:hint="eastAsia" w:ascii="仿宋_GB2312" w:hAnsi="宋体" w:eastAsia="仿宋_GB2312"/>
          <w:kern w:val="0"/>
          <w:szCs w:val="21"/>
          <w:highlight w:val="none"/>
        </w:rPr>
        <w:t>工程总承包项目经理姓名：</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3B32171">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执业资格或职称类型：</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CF8BA26">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执业资格证或职称证号码：</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81938A4">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联系电话：</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70D067E">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电子邮箱：</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3A6A04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通信地址：</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0D30EE6">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承包人未提交劳动合同，以及没有为工程总承包项目经理缴纳社会保险证明的违约责任：</w:t>
      </w:r>
      <w:r>
        <w:rPr>
          <w:rFonts w:ascii="仿宋_GB2312" w:hAnsi="宋体" w:eastAsia="仿宋_GB2312"/>
          <w:kern w:val="0"/>
          <w:szCs w:val="21"/>
          <w:highlight w:val="none"/>
          <w:u w:val="single"/>
        </w:rPr>
        <w:t xml:space="preserve">  </w:t>
      </w:r>
      <w:r>
        <w:rPr>
          <w:rFonts w:hint="eastAsia" w:ascii="宋体" w:hAnsi="宋体" w:cs="宋体"/>
          <w:color w:val="auto"/>
          <w:kern w:val="0"/>
          <w:szCs w:val="21"/>
          <w:highlight w:val="none"/>
          <w:u w:val="single"/>
        </w:rPr>
        <w:t>承包人未按要求递交项目经理劳动合同及提供社保证明，视同为允许他人以承包人名义承揽工程。发包人将依法上报有关部门追究承包人法律责任，发包人有权处以承包人违约金30万元。承包人需一次性向发包人现金转账支付违约金，否则发包人有权在进度款支付中扣除</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0438361">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4.3.2 </w:t>
      </w:r>
      <w:r>
        <w:rPr>
          <w:rFonts w:hint="eastAsia" w:ascii="仿宋_GB2312" w:hAnsi="宋体" w:eastAsia="仿宋_GB2312"/>
          <w:kern w:val="0"/>
          <w:szCs w:val="21"/>
          <w:highlight w:val="none"/>
        </w:rPr>
        <w:t>工程总承包项目经理每月在现场的时间要求：</w:t>
      </w:r>
      <w:r>
        <w:rPr>
          <w:rFonts w:hint="eastAsia" w:ascii="仿宋_GB2312" w:hAnsi="宋体" w:eastAsia="仿宋_GB2312"/>
          <w:kern w:val="0"/>
          <w:szCs w:val="21"/>
          <w:highlight w:val="none"/>
          <w:lang w:val="en-US" w:eastAsia="zh-CN"/>
        </w:rPr>
        <w:t xml:space="preserve">   </w:t>
      </w:r>
      <w:r>
        <w:rPr>
          <w:rFonts w:hint="eastAsia" w:ascii="宋体" w:hAnsi="宋体" w:cs="宋体"/>
          <w:color w:val="000000"/>
          <w:szCs w:val="21"/>
          <w:highlight w:val="none"/>
          <w:u w:val="single"/>
        </w:rPr>
        <w:t>驻场时间每月不少于</w:t>
      </w:r>
      <w:r>
        <w:rPr>
          <w:rFonts w:hint="eastAsia" w:ascii="宋体" w:hAnsi="宋体" w:cs="宋体"/>
          <w:color w:val="000000"/>
          <w:szCs w:val="21"/>
          <w:highlight w:val="none"/>
          <w:u w:val="single"/>
          <w:lang w:val="en-US" w:eastAsia="zh-CN"/>
        </w:rPr>
        <w:t>22</w:t>
      </w:r>
      <w:r>
        <w:rPr>
          <w:rFonts w:hint="eastAsia" w:ascii="宋体" w:hAnsi="宋体" w:cs="宋体"/>
          <w:color w:val="000000"/>
          <w:szCs w:val="21"/>
          <w:highlight w:val="none"/>
          <w:u w:val="single"/>
        </w:rPr>
        <w:t xml:space="preserve">天，每天在岗工作时间不得少于 </w:t>
      </w:r>
      <w:r>
        <w:rPr>
          <w:rFonts w:hint="eastAsia" w:ascii="宋体" w:hAnsi="宋体" w:cs="宋体"/>
          <w:color w:val="000000"/>
          <w:szCs w:val="21"/>
          <w:highlight w:val="none"/>
          <w:u w:val="single"/>
          <w:lang w:val="en-US" w:eastAsia="zh-CN"/>
        </w:rPr>
        <w:t>8</w:t>
      </w:r>
      <w:r>
        <w:rPr>
          <w:rFonts w:hint="eastAsia" w:ascii="宋体" w:hAnsi="宋体" w:cs="宋体"/>
          <w:color w:val="000000"/>
          <w:szCs w:val="21"/>
          <w:highlight w:val="none"/>
          <w:u w:val="single"/>
        </w:rPr>
        <w:t>小时</w:t>
      </w:r>
      <w:r>
        <w:rPr>
          <w:rFonts w:hint="eastAsia" w:ascii="仿宋_GB2312" w:hAnsi="宋体" w:eastAsia="仿宋_GB2312"/>
          <w:kern w:val="0"/>
          <w:szCs w:val="21"/>
          <w:highlight w:val="none"/>
        </w:rPr>
        <w:t>。</w:t>
      </w:r>
    </w:p>
    <w:p w14:paraId="06D47E1A">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工程总承包项目经理未经批准擅自离开施工现场的违约责任：</w:t>
      </w:r>
      <w:r>
        <w:rPr>
          <w:rFonts w:hint="eastAsia" w:cs="宋体"/>
          <w:color w:val="auto"/>
          <w:sz w:val="21"/>
          <w:szCs w:val="21"/>
          <w:highlight w:val="none"/>
          <w:u w:val="single"/>
        </w:rPr>
        <w:t>未按规定在岗履责的，对</w:t>
      </w:r>
      <w:r>
        <w:rPr>
          <w:rFonts w:hint="eastAsia" w:eastAsia="宋体" w:cs="宋体"/>
          <w:color w:val="auto"/>
          <w:sz w:val="21"/>
          <w:szCs w:val="21"/>
          <w:highlight w:val="none"/>
          <w:u w:val="single"/>
        </w:rPr>
        <w:t>工程总承包项目经</w:t>
      </w:r>
      <w:r>
        <w:rPr>
          <w:rFonts w:hint="eastAsia" w:cs="宋体"/>
          <w:color w:val="auto"/>
          <w:sz w:val="21"/>
          <w:szCs w:val="21"/>
          <w:highlight w:val="none"/>
          <w:u w:val="single"/>
        </w:rPr>
        <w:t>理处</w:t>
      </w:r>
      <w:r>
        <w:rPr>
          <w:rFonts w:hint="eastAsia" w:cs="宋体"/>
          <w:color w:val="auto"/>
          <w:sz w:val="21"/>
          <w:szCs w:val="21"/>
          <w:highlight w:val="none"/>
          <w:u w:val="single"/>
          <w:lang w:val="en-US" w:eastAsia="zh-CN"/>
        </w:rPr>
        <w:t>以</w:t>
      </w:r>
      <w:r>
        <w:rPr>
          <w:rFonts w:hint="eastAsia" w:cs="宋体"/>
          <w:color w:val="auto"/>
          <w:sz w:val="21"/>
          <w:szCs w:val="21"/>
          <w:highlight w:val="none"/>
          <w:u w:val="single"/>
        </w:rPr>
        <w:t>2000元/人·天的违约金，对施工现场其他管理人员处</w:t>
      </w:r>
      <w:r>
        <w:rPr>
          <w:rFonts w:hint="eastAsia" w:cs="宋体"/>
          <w:color w:val="auto"/>
          <w:sz w:val="21"/>
          <w:szCs w:val="21"/>
          <w:highlight w:val="none"/>
          <w:u w:val="single"/>
          <w:lang w:val="en-US" w:eastAsia="zh-CN"/>
        </w:rPr>
        <w:t>以</w:t>
      </w:r>
      <w:r>
        <w:rPr>
          <w:rFonts w:hint="eastAsia" w:cs="宋体"/>
          <w:color w:val="auto"/>
          <w:sz w:val="21"/>
          <w:szCs w:val="21"/>
          <w:highlight w:val="none"/>
          <w:u w:val="single"/>
        </w:rPr>
        <w:t>1000元/人·天的违约金。项目部关键岗位人员离岗必须向发包人项目组长履行请假手续，若被我处和相关部门日常检查和随机抽查中发现不在岗的，又未履行请假手续的，处</w:t>
      </w:r>
      <w:r>
        <w:rPr>
          <w:rFonts w:hint="eastAsia" w:cs="宋体"/>
          <w:color w:val="auto"/>
          <w:sz w:val="21"/>
          <w:szCs w:val="21"/>
          <w:highlight w:val="none"/>
          <w:u w:val="single"/>
          <w:lang w:val="en-US" w:eastAsia="zh-CN"/>
        </w:rPr>
        <w:t>以</w:t>
      </w:r>
      <w:r>
        <w:rPr>
          <w:rFonts w:hint="eastAsia" w:cs="宋体"/>
          <w:color w:val="auto"/>
          <w:sz w:val="21"/>
          <w:szCs w:val="21"/>
          <w:highlight w:val="none"/>
          <w:u w:val="single"/>
        </w:rPr>
        <w:t>1000元/人·次的违约金</w:t>
      </w:r>
      <w:r>
        <w:rPr>
          <w:rFonts w:hint="eastAsia" w:ascii="仿宋_GB2312" w:hAnsi="宋体" w:eastAsia="仿宋_GB2312"/>
          <w:kern w:val="0"/>
          <w:szCs w:val="21"/>
          <w:highlight w:val="none"/>
        </w:rPr>
        <w:t>。</w:t>
      </w:r>
    </w:p>
    <w:p w14:paraId="2C387E5A">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4.3.3 </w:t>
      </w:r>
      <w:r>
        <w:rPr>
          <w:rFonts w:hint="eastAsia" w:ascii="仿宋_GB2312" w:hAnsi="宋体" w:eastAsia="仿宋_GB2312"/>
          <w:kern w:val="0"/>
          <w:szCs w:val="21"/>
          <w:highlight w:val="none"/>
        </w:rPr>
        <w:t>承包人对工程总承包项目经理的授权范围:</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hint="eastAsia" w:ascii="宋体" w:hAnsi="宋体" w:cs="宋体"/>
          <w:color w:val="auto"/>
          <w:szCs w:val="21"/>
          <w:highlight w:val="none"/>
          <w:u w:val="single"/>
        </w:rPr>
        <w:t>负责施工组织；现场技术、安全、质量、进度管理；变更签证、验收和结（决）算；资料整理、收集、归档、管理、移交等</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6CC6BF8">
      <w:pPr>
        <w:widowControl/>
        <w:adjustRightInd w:val="0"/>
        <w:snapToGrid w:val="0"/>
        <w:spacing w:line="560" w:lineRule="exact"/>
        <w:ind w:firstLine="420" w:firstLineChars="200"/>
        <w:rPr>
          <w:rFonts w:hint="eastAsia" w:ascii="宋体" w:hAnsi="宋体" w:eastAsia="宋体" w:cs="宋体"/>
          <w:color w:val="auto"/>
          <w:szCs w:val="21"/>
          <w:highlight w:val="none"/>
          <w:u w:val="single"/>
          <w:lang w:val="en-US" w:eastAsia="zh-CN"/>
        </w:rPr>
      </w:pPr>
      <w:r>
        <w:rPr>
          <w:rFonts w:ascii="仿宋_GB2312" w:hAnsi="宋体" w:eastAsia="仿宋_GB2312"/>
          <w:kern w:val="0"/>
          <w:szCs w:val="21"/>
          <w:highlight w:val="none"/>
        </w:rPr>
        <w:t xml:space="preserve">4.3.4 </w:t>
      </w:r>
      <w:r>
        <w:rPr>
          <w:rFonts w:hint="eastAsia" w:ascii="仿宋_GB2312" w:hAnsi="宋体" w:eastAsia="仿宋_GB2312"/>
          <w:kern w:val="0"/>
          <w:szCs w:val="21"/>
          <w:highlight w:val="none"/>
        </w:rPr>
        <w:t>承包人</w:t>
      </w:r>
      <w:r>
        <w:rPr>
          <w:rFonts w:ascii="仿宋_GB2312" w:hAnsi="宋体" w:eastAsia="仿宋_GB2312"/>
          <w:kern w:val="0"/>
          <w:szCs w:val="21"/>
          <w:highlight w:val="none"/>
        </w:rPr>
        <w:t>擅自更换工程总承包项目经理的违约</w:t>
      </w:r>
      <w:r>
        <w:rPr>
          <w:rFonts w:hint="eastAsia" w:ascii="仿宋_GB2312" w:hAnsi="宋体" w:eastAsia="仿宋_GB2312"/>
          <w:kern w:val="0"/>
          <w:szCs w:val="21"/>
          <w:highlight w:val="none"/>
        </w:rPr>
        <w:t>责任：</w:t>
      </w:r>
      <w:r>
        <w:rPr>
          <w:rFonts w:hint="eastAsia" w:ascii="宋体" w:hAnsi="宋体" w:cs="宋体"/>
          <w:color w:val="auto"/>
          <w:szCs w:val="21"/>
          <w:highlight w:val="none"/>
          <w:u w:val="single"/>
        </w:rPr>
        <w:t>承包人不得擅自更换投标时所报项目经理,否则发包人有权解除合同，由此造成的损失由承包人自行承担，承包人还应赔偿由此造成发包人的全部损失。确需更换的须在签订合同后，报经发包人同意</w:t>
      </w:r>
      <w:r>
        <w:rPr>
          <w:rFonts w:hint="eastAsia" w:cs="宋体"/>
          <w:color w:val="auto"/>
          <w:sz w:val="21"/>
          <w:szCs w:val="21"/>
          <w:highlight w:val="none"/>
          <w:u w:val="single"/>
        </w:rPr>
        <w:t>并满足《关于进一步加强建筑施工现场项目负责人变更行为管理的通知》及滁州市其他相关规定要求。</w:t>
      </w:r>
      <w:r>
        <w:rPr>
          <w:rFonts w:hint="eastAsia" w:ascii="宋体" w:hAnsi="宋体" w:cs="宋体"/>
          <w:color w:val="auto"/>
          <w:szCs w:val="21"/>
          <w:highlight w:val="none"/>
          <w:u w:val="single"/>
        </w:rPr>
        <w:t>更换后的人员不得低于承包人投标时所报人员资质和技术水平，并支付</w:t>
      </w:r>
      <w:r>
        <w:rPr>
          <w:rFonts w:hint="eastAsia" w:ascii="宋体" w:hAnsi="宋体" w:cs="宋体"/>
          <w:color w:val="auto"/>
          <w:szCs w:val="21"/>
          <w:highlight w:val="none"/>
          <w:u w:val="single"/>
          <w:lang w:val="en-US" w:eastAsia="zh-CN"/>
        </w:rPr>
        <w:t>10万元/次</w:t>
      </w:r>
      <w:r>
        <w:rPr>
          <w:rFonts w:hint="eastAsia" w:ascii="宋体" w:hAnsi="宋体" w:cs="宋体"/>
          <w:color w:val="auto"/>
          <w:szCs w:val="21"/>
          <w:highlight w:val="none"/>
          <w:u w:val="single"/>
        </w:rPr>
        <w:t>的违约</w:t>
      </w:r>
      <w:r>
        <w:rPr>
          <w:rFonts w:hint="eastAsia" w:ascii="宋体" w:hAnsi="宋体" w:eastAsia="宋体" w:cs="宋体"/>
          <w:color w:val="auto"/>
          <w:szCs w:val="21"/>
          <w:highlight w:val="none"/>
          <w:u w:val="single"/>
          <w:lang w:val="en-US" w:eastAsia="zh-CN"/>
        </w:rPr>
        <w:t>金。</w:t>
      </w:r>
    </w:p>
    <w:p w14:paraId="1506CF93">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4.3.5 承包人无正当理由拒绝更换工程总承包项目经理的违约责任</w:t>
      </w:r>
      <w:r>
        <w:rPr>
          <w:rFonts w:hint="eastAsia" w:ascii="仿宋_GB2312" w:hAnsi="宋体" w:eastAsia="仿宋_GB2312"/>
          <w:kern w:val="0"/>
          <w:szCs w:val="21"/>
          <w:highlight w:val="none"/>
        </w:rPr>
        <w:t>:</w:t>
      </w:r>
      <w:r>
        <w:rPr>
          <w:rFonts w:ascii="仿宋_GB2312" w:hAnsi="宋体" w:eastAsia="仿宋_GB2312"/>
          <w:kern w:val="0"/>
          <w:szCs w:val="21"/>
          <w:highlight w:val="none"/>
          <w:u w:val="single"/>
        </w:rPr>
        <w:t xml:space="preserve">  </w:t>
      </w:r>
      <w:r>
        <w:rPr>
          <w:rFonts w:hint="eastAsia" w:ascii="宋体" w:hAnsi="宋体" w:cs="宋体"/>
          <w:color w:val="auto"/>
          <w:szCs w:val="21"/>
          <w:highlight w:val="none"/>
          <w:u w:val="single"/>
        </w:rPr>
        <w:t>当发包人认为项目经理不能满足工程要求时，书面告知承包人后，承包人应当在七个工作日内更换项目经理，并支付</w:t>
      </w:r>
      <w:r>
        <w:rPr>
          <w:rFonts w:hint="eastAsia" w:ascii="宋体" w:hAnsi="宋体" w:cs="宋体"/>
          <w:color w:val="auto"/>
          <w:szCs w:val="21"/>
          <w:highlight w:val="none"/>
          <w:u w:val="single"/>
          <w:lang w:val="en-US" w:eastAsia="zh-CN"/>
        </w:rPr>
        <w:t>10万</w:t>
      </w:r>
      <w:r>
        <w:rPr>
          <w:rFonts w:hint="eastAsia" w:ascii="宋体" w:hAnsi="宋体" w:cs="宋体"/>
          <w:color w:val="auto"/>
          <w:szCs w:val="21"/>
          <w:highlight w:val="none"/>
          <w:u w:val="single"/>
        </w:rPr>
        <w:t>元的违约金。若未按要求及时更换项目经理，发包人有权处以承包人违约金</w:t>
      </w:r>
      <w:r>
        <w:rPr>
          <w:rFonts w:hint="eastAsia" w:ascii="宋体" w:hAnsi="宋体" w:cs="宋体"/>
          <w:color w:val="auto"/>
          <w:szCs w:val="21"/>
          <w:highlight w:val="none"/>
          <w:u w:val="single"/>
          <w:lang w:val="en-US" w:eastAsia="zh-CN"/>
        </w:rPr>
        <w:t>1</w:t>
      </w:r>
      <w:r>
        <w:rPr>
          <w:rFonts w:hint="eastAsia" w:ascii="宋体" w:hAnsi="宋体" w:cs="宋体"/>
          <w:color w:val="auto"/>
          <w:szCs w:val="21"/>
          <w:highlight w:val="none"/>
          <w:u w:val="single"/>
        </w:rPr>
        <w:t>0万元。承包人需一次性向发包人现金转账支付违约金，否则发包人有权在进度款支付中扣除。如承包人拒不更换项目经理，发包人有权要求承包人退场并解除合同。更换后的项目经理资质、业绩经验不得低于变更前项目负责人资质、业绩经验。且由此增加的费用和（或）延误的工期由承包人承担</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7AA707C4">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4.4 </w:t>
      </w:r>
      <w:r>
        <w:rPr>
          <w:rFonts w:hint="eastAsia" w:ascii="黑体" w:hAnsi="黑体" w:eastAsia="黑体"/>
          <w:kern w:val="0"/>
          <w:szCs w:val="21"/>
          <w:highlight w:val="none"/>
        </w:rPr>
        <w:t>承包人人员</w:t>
      </w:r>
    </w:p>
    <w:p w14:paraId="2A358ECC">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4.4.1 </w:t>
      </w:r>
      <w:r>
        <w:rPr>
          <w:rFonts w:hint="eastAsia" w:ascii="仿宋_GB2312" w:hAnsi="宋体" w:eastAsia="仿宋_GB2312"/>
          <w:kern w:val="0"/>
          <w:szCs w:val="21"/>
          <w:highlight w:val="none"/>
        </w:rPr>
        <w:t>人员安排</w:t>
      </w:r>
    </w:p>
    <w:p w14:paraId="63B8C74F">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承包人</w:t>
      </w:r>
      <w:r>
        <w:rPr>
          <w:rFonts w:hint="eastAsia" w:ascii="仿宋_GB2312" w:hAnsi="宋体" w:eastAsia="仿宋_GB2312"/>
          <w:kern w:val="0"/>
          <w:szCs w:val="21"/>
          <w:highlight w:val="none"/>
        </w:rPr>
        <w:t>提交</w:t>
      </w:r>
      <w:r>
        <w:rPr>
          <w:rFonts w:ascii="仿宋_GB2312" w:hAnsi="宋体" w:eastAsia="仿宋_GB2312"/>
          <w:kern w:val="0"/>
          <w:szCs w:val="21"/>
          <w:highlight w:val="none"/>
        </w:rPr>
        <w:t>项目管理机构及施工现场人员安排的报告</w:t>
      </w:r>
      <w:r>
        <w:rPr>
          <w:rFonts w:hint="eastAsia" w:ascii="仿宋_GB2312" w:hAnsi="宋体" w:eastAsia="仿宋_GB2312"/>
          <w:kern w:val="0"/>
          <w:szCs w:val="21"/>
          <w:highlight w:val="none"/>
        </w:rPr>
        <w:t>的期限：</w:t>
      </w:r>
      <w:r>
        <w:rPr>
          <w:rFonts w:ascii="仿宋_GB2312" w:hAnsi="宋体" w:eastAsia="仿宋_GB2312"/>
          <w:kern w:val="0"/>
          <w:szCs w:val="21"/>
          <w:highlight w:val="none"/>
          <w:u w:val="single"/>
        </w:rPr>
        <w:t xml:space="preserve">   </w:t>
      </w:r>
      <w:r>
        <w:rPr>
          <w:rFonts w:hint="eastAsia" w:ascii="宋体" w:hAnsi="宋体" w:cs="宋体"/>
          <w:color w:val="auto"/>
          <w:szCs w:val="21"/>
          <w:highlight w:val="none"/>
          <w:u w:val="single"/>
        </w:rPr>
        <w:t>承包人应在合同签订后7日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760EE02">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承包人提交关键人员信息及注册执业资格等证明其具备担任关键人员能力的相关文件的期限：</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cs="宋体"/>
          <w:szCs w:val="21"/>
          <w:highlight w:val="none"/>
          <w:u w:val="single"/>
        </w:rPr>
        <w:t>承包人应在合同签订后7日内</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44EC91E">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4.4.2 </w:t>
      </w:r>
      <w:r>
        <w:rPr>
          <w:rFonts w:hint="eastAsia" w:ascii="仿宋_GB2312" w:hAnsi="宋体" w:eastAsia="仿宋_GB2312"/>
          <w:kern w:val="0"/>
          <w:szCs w:val="21"/>
          <w:highlight w:val="none"/>
        </w:rPr>
        <w:t>关键人员更换</w:t>
      </w:r>
    </w:p>
    <w:p w14:paraId="65433476">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承包人擅自更换</w:t>
      </w:r>
      <w:r>
        <w:rPr>
          <w:rFonts w:hint="eastAsia" w:ascii="仿宋_GB2312" w:hAnsi="宋体" w:eastAsia="仿宋_GB2312"/>
          <w:kern w:val="0"/>
          <w:szCs w:val="21"/>
          <w:highlight w:val="none"/>
        </w:rPr>
        <w:t>关键人员</w:t>
      </w:r>
      <w:r>
        <w:rPr>
          <w:rFonts w:ascii="仿宋_GB2312" w:hAnsi="宋体" w:eastAsia="仿宋_GB2312"/>
          <w:kern w:val="0"/>
          <w:szCs w:val="21"/>
          <w:highlight w:val="none"/>
        </w:rPr>
        <w:t>的违约责任：</w:t>
      </w:r>
      <w:r>
        <w:rPr>
          <w:rFonts w:hint="eastAsia" w:ascii="宋体" w:hAnsi="宋体" w:cs="宋体"/>
          <w:color w:val="auto"/>
          <w:szCs w:val="21"/>
          <w:highlight w:val="none"/>
          <w:u w:val="single"/>
        </w:rPr>
        <w:t>发包人可以要求承包人更换其认为不称职或不符合要求的项目主要施工管理人员，承包人应予以执行。承包人必须在收到发包人更换项目施工管理人员书面通知的7天内负责更换，更换的项目施工管理人员应得到发包人的书面确认。承包人无正当理由拒绝更换项目施工管理人员的，自承包人接到发包人更换项目施工管理人员通知之第8日起，承包人向发包人支付违约金5000元/天，直至更换符合发包人要求的项目施工管理人员为止，由此增加的费用和（或）延误的工期及其它责任</w:t>
      </w:r>
      <w:r>
        <w:rPr>
          <w:rFonts w:hint="eastAsia" w:ascii="宋体" w:hAnsi="宋体" w:eastAsia="宋体" w:cs="宋体"/>
          <w:color w:val="auto"/>
          <w:szCs w:val="21"/>
          <w:highlight w:val="none"/>
          <w:u w:val="single"/>
        </w:rPr>
        <w:t>由承包人承担。28日内未整改调整到位的，发包人有权终止合同，并提请相关行政主管部门对企业和人员处罚</w:t>
      </w:r>
      <w:r>
        <w:rPr>
          <w:rFonts w:hint="eastAsia" w:ascii="仿宋_GB2312" w:hAnsi="宋体" w:eastAsia="仿宋_GB2312"/>
          <w:kern w:val="0"/>
          <w:szCs w:val="21"/>
          <w:highlight w:val="none"/>
        </w:rPr>
        <w:t>。</w:t>
      </w:r>
    </w:p>
    <w:p w14:paraId="1B6DCB13">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承包人无正当理由拒绝撤换</w:t>
      </w:r>
      <w:r>
        <w:rPr>
          <w:rFonts w:hint="eastAsia" w:ascii="仿宋_GB2312" w:hAnsi="宋体" w:eastAsia="仿宋_GB2312"/>
          <w:kern w:val="0"/>
          <w:szCs w:val="21"/>
          <w:highlight w:val="none"/>
        </w:rPr>
        <w:t>关键人员</w:t>
      </w:r>
      <w:r>
        <w:rPr>
          <w:rFonts w:ascii="仿宋_GB2312" w:hAnsi="宋体" w:eastAsia="仿宋_GB2312"/>
          <w:kern w:val="0"/>
          <w:szCs w:val="21"/>
          <w:highlight w:val="none"/>
        </w:rPr>
        <w:t>的违约责任：</w:t>
      </w:r>
      <w:r>
        <w:rPr>
          <w:rFonts w:ascii="仿宋_GB2312" w:hAnsi="宋体" w:eastAsia="仿宋_GB2312"/>
          <w:kern w:val="0"/>
          <w:szCs w:val="21"/>
          <w:highlight w:val="none"/>
          <w:u w:val="single"/>
        </w:rPr>
        <w:t xml:space="preserve"> </w:t>
      </w:r>
      <w:r>
        <w:rPr>
          <w:rFonts w:hint="eastAsia" w:ascii="宋体" w:hAnsi="宋体" w:cs="宋体"/>
          <w:color w:val="auto"/>
          <w:szCs w:val="21"/>
          <w:highlight w:val="none"/>
          <w:u w:val="single"/>
        </w:rPr>
        <w:t>发包人可以要求承包人更换其认为不称职或不符合要求的项目主要施工管理人员，承包人应予以执行。承包人必须在收到发包人更换项目施工管理人员书面通知的7天内负责更换，更换的项目施工管理人员应得到发包人的书面确认。承包人无正当理由拒绝更换项目施工管理人员的，自承包人接到发包人更换项目施工管理人员通知之第8日起，承包人向发包人支付违约金5000元/天，直至更换符合发包人要求的项目施工管理人员为止，由此增加的费用和（或）延误的工期及其它责任</w:t>
      </w:r>
      <w:r>
        <w:rPr>
          <w:rFonts w:hint="eastAsia" w:ascii="宋体" w:hAnsi="宋体" w:eastAsia="宋体" w:cs="宋体"/>
          <w:color w:val="auto"/>
          <w:szCs w:val="21"/>
          <w:highlight w:val="none"/>
          <w:u w:val="single"/>
        </w:rPr>
        <w:t>由承包人承担。28日内未整改调整到位的，发包人有权终止合同，并提请相关行政主管部门对企业和人员处罚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2A25DCD">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4.4.3 </w:t>
      </w:r>
      <w:r>
        <w:rPr>
          <w:rFonts w:hint="eastAsia" w:ascii="仿宋_GB2312" w:hAnsi="宋体" w:eastAsia="仿宋_GB2312"/>
          <w:kern w:val="0"/>
          <w:szCs w:val="21"/>
          <w:highlight w:val="none"/>
        </w:rPr>
        <w:t>现场管理关键人员在岗要求</w:t>
      </w:r>
    </w:p>
    <w:p w14:paraId="31813F73">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承包人</w:t>
      </w:r>
      <w:r>
        <w:rPr>
          <w:rFonts w:hint="eastAsia" w:ascii="仿宋_GB2312" w:hAnsi="宋体" w:eastAsia="仿宋_GB2312"/>
          <w:kern w:val="0"/>
          <w:szCs w:val="21"/>
          <w:highlight w:val="none"/>
        </w:rPr>
        <w:t>现场管理关键</w:t>
      </w:r>
      <w:r>
        <w:rPr>
          <w:rFonts w:ascii="仿宋_GB2312" w:hAnsi="宋体" w:eastAsia="仿宋_GB2312"/>
          <w:kern w:val="0"/>
          <w:szCs w:val="21"/>
          <w:highlight w:val="none"/>
        </w:rPr>
        <w:t>人员离开施工现场的批准要求</w:t>
      </w:r>
      <w:r>
        <w:rPr>
          <w:rFonts w:hint="eastAsia" w:ascii="仿宋_GB2312" w:hAnsi="宋体" w:eastAsia="仿宋_GB2312"/>
          <w:kern w:val="0"/>
          <w:szCs w:val="21"/>
          <w:highlight w:val="none"/>
        </w:rPr>
        <w:t>：</w:t>
      </w:r>
      <w:r>
        <w:rPr>
          <w:rFonts w:ascii="仿宋_GB2312" w:hAnsi="宋体" w:eastAsia="仿宋_GB2312"/>
          <w:kern w:val="0"/>
          <w:szCs w:val="21"/>
          <w:highlight w:val="none"/>
          <w:u w:val="single"/>
        </w:rPr>
        <w:t xml:space="preserve">  </w:t>
      </w:r>
      <w:r>
        <w:rPr>
          <w:rFonts w:hint="eastAsia" w:ascii="宋体" w:hAnsi="宋体" w:cs="宋体"/>
          <w:color w:val="auto"/>
          <w:szCs w:val="21"/>
          <w:highlight w:val="none"/>
          <w:u w:val="single"/>
        </w:rPr>
        <w:t>离开时必须事先征得发包人和监理人同意后方可离开</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7829AD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承包人现场管理关键人员擅自离开施工现场的违约责任：</w:t>
      </w:r>
      <w:r>
        <w:rPr>
          <w:rFonts w:ascii="仿宋_GB2312" w:hAnsi="宋体" w:eastAsia="仿宋_GB2312"/>
          <w:kern w:val="0"/>
          <w:szCs w:val="21"/>
          <w:highlight w:val="none"/>
          <w:u w:val="single"/>
        </w:rPr>
        <w:t xml:space="preserve"> </w:t>
      </w:r>
      <w:r>
        <w:rPr>
          <w:rFonts w:hint="eastAsia" w:ascii="宋体" w:hAnsi="宋体" w:cs="宋体"/>
          <w:color w:val="auto"/>
          <w:szCs w:val="21"/>
          <w:highlight w:val="none"/>
          <w:u w:val="single"/>
        </w:rPr>
        <w:t>擅自离开施工现场的，从当期工程款中扣除，每人每次5000元违约金</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7F5A5B3">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4.5 </w:t>
      </w:r>
      <w:r>
        <w:rPr>
          <w:rFonts w:hint="eastAsia" w:ascii="黑体" w:hAnsi="黑体" w:eastAsia="黑体"/>
          <w:kern w:val="0"/>
          <w:szCs w:val="21"/>
          <w:highlight w:val="none"/>
        </w:rPr>
        <w:t>分包</w:t>
      </w:r>
    </w:p>
    <w:p w14:paraId="510DDEF1">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4.5.1 </w:t>
      </w:r>
      <w:r>
        <w:rPr>
          <w:rFonts w:hint="eastAsia" w:ascii="仿宋_GB2312" w:hAnsi="宋体" w:eastAsia="仿宋_GB2312"/>
          <w:kern w:val="0"/>
          <w:szCs w:val="21"/>
          <w:highlight w:val="none"/>
        </w:rPr>
        <w:t>一般约定</w:t>
      </w:r>
    </w:p>
    <w:p w14:paraId="79863B54">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禁止分包的工程包括：</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rPr>
        <w:t>承包人不得将其承包的全部工程转包给第三人，或将其承包的全部工程肢解后以分包的名义转包给第三人。承包人不得将工程主体结构、关键性工作及合同条款中禁止分包的专业工程分包给第三人，主体结构、关键性工作的范围由合同当事人按照法律规定在专用合同条款中予以明确</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30428A20">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4.5.2 </w:t>
      </w:r>
      <w:r>
        <w:rPr>
          <w:rFonts w:hint="eastAsia" w:ascii="仿宋_GB2312" w:hAnsi="宋体" w:eastAsia="仿宋_GB2312"/>
          <w:kern w:val="0"/>
          <w:szCs w:val="21"/>
          <w:highlight w:val="none"/>
        </w:rPr>
        <w:t>分包的确定</w:t>
      </w:r>
    </w:p>
    <w:p w14:paraId="57833E29">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允许分包的工程包括：</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lang w:val="en-US" w:eastAsia="zh-CN"/>
        </w:rPr>
        <w:t>无</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2F4E9FEB">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其他关于分包的约定：</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lang w:val="en-US" w:eastAsia="zh-CN"/>
        </w:rPr>
        <w:t>无</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71FBD477">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4.5.5 </w:t>
      </w:r>
      <w:r>
        <w:rPr>
          <w:rFonts w:hint="eastAsia" w:ascii="仿宋_GB2312" w:hAnsi="宋体" w:eastAsia="仿宋_GB2312"/>
          <w:kern w:val="0"/>
          <w:szCs w:val="21"/>
          <w:highlight w:val="none"/>
        </w:rPr>
        <w:t>分包合同价款支付</w:t>
      </w:r>
    </w:p>
    <w:p w14:paraId="30E31E69">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关于分包合同价款支付的约定：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0A1BE507">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4.6 </w:t>
      </w:r>
      <w:r>
        <w:rPr>
          <w:rFonts w:hint="eastAsia" w:ascii="黑体" w:hAnsi="黑体" w:eastAsia="黑体"/>
          <w:kern w:val="0"/>
          <w:szCs w:val="21"/>
          <w:highlight w:val="none"/>
        </w:rPr>
        <w:t>联合体</w:t>
      </w:r>
    </w:p>
    <w:p w14:paraId="58567CA0">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4</w:t>
      </w:r>
      <w:r>
        <w:rPr>
          <w:rFonts w:ascii="仿宋_GB2312" w:hAnsi="宋体" w:eastAsia="仿宋_GB2312"/>
          <w:kern w:val="0"/>
          <w:szCs w:val="21"/>
          <w:highlight w:val="none"/>
        </w:rPr>
        <w:t xml:space="preserve">.6.2 </w:t>
      </w:r>
      <w:r>
        <w:rPr>
          <w:rFonts w:hint="eastAsia" w:ascii="仿宋_GB2312" w:hAnsi="宋体" w:eastAsia="仿宋_GB2312"/>
          <w:kern w:val="0"/>
          <w:szCs w:val="21"/>
          <w:highlight w:val="none"/>
        </w:rPr>
        <w:t>联合体各成员的分工、费用收取、发票开具等事项：</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cs="宋体"/>
          <w:szCs w:val="21"/>
          <w:highlight w:val="none"/>
          <w:u w:val="single"/>
        </w:rPr>
        <w:t xml:space="preserve">由承包人明确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4D52873">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4.7 </w:t>
      </w:r>
      <w:r>
        <w:rPr>
          <w:rFonts w:hint="eastAsia" w:ascii="黑体" w:hAnsi="黑体" w:eastAsia="黑体"/>
          <w:kern w:val="0"/>
          <w:szCs w:val="21"/>
          <w:highlight w:val="none"/>
        </w:rPr>
        <w:t>承包人现场查勘</w:t>
      </w:r>
    </w:p>
    <w:p w14:paraId="6B3D16FC">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4</w:t>
      </w:r>
      <w:r>
        <w:rPr>
          <w:rFonts w:ascii="仿宋_GB2312" w:hAnsi="宋体" w:eastAsia="仿宋_GB2312"/>
          <w:kern w:val="0"/>
          <w:szCs w:val="21"/>
          <w:highlight w:val="none"/>
        </w:rPr>
        <w:t xml:space="preserve">.7.1 </w:t>
      </w:r>
      <w:r>
        <w:rPr>
          <w:rFonts w:hint="eastAsia" w:ascii="仿宋_GB2312" w:hAnsi="宋体" w:eastAsia="仿宋_GB2312"/>
          <w:kern w:val="0"/>
          <w:szCs w:val="21"/>
          <w:highlight w:val="none"/>
        </w:rPr>
        <w:t>双方当事人对现场查勘的责任承担的约定：</w:t>
      </w:r>
      <w:r>
        <w:rPr>
          <w:rFonts w:ascii="仿宋_GB2312" w:hAnsi="宋体" w:eastAsia="仿宋_GB2312"/>
          <w:kern w:val="0"/>
          <w:szCs w:val="21"/>
          <w:highlight w:val="none"/>
          <w:u w:val="single"/>
        </w:rPr>
        <w:t xml:space="preserve">        </w:t>
      </w:r>
      <w:r>
        <w:rPr>
          <w:rFonts w:hint="eastAsia" w:cs="宋体"/>
          <w:szCs w:val="21"/>
          <w:highlight w:val="none"/>
          <w:u w:val="single"/>
        </w:rPr>
        <w:t>承包人自行承担</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D06F6D3">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4.8 </w:t>
      </w:r>
      <w:r>
        <w:rPr>
          <w:rFonts w:hint="eastAsia" w:ascii="黑体" w:hAnsi="黑体" w:eastAsia="黑体"/>
          <w:kern w:val="0"/>
          <w:szCs w:val="21"/>
          <w:highlight w:val="none"/>
        </w:rPr>
        <w:t>不可预见的困难</w:t>
      </w:r>
    </w:p>
    <w:p w14:paraId="6DD4D9A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不可预见的困难包括：</w:t>
      </w:r>
      <w:r>
        <w:rPr>
          <w:rFonts w:ascii="仿宋_GB2312" w:hAnsi="宋体" w:eastAsia="仿宋_GB2312"/>
          <w:kern w:val="0"/>
          <w:szCs w:val="21"/>
          <w:highlight w:val="none"/>
          <w:u w:val="single"/>
        </w:rPr>
        <w:t xml:space="preserve">      </w:t>
      </w:r>
      <w:r>
        <w:rPr>
          <w:rFonts w:hint="eastAsia" w:cs="宋体"/>
          <w:szCs w:val="21"/>
          <w:highlight w:val="none"/>
          <w:u w:val="single"/>
        </w:rPr>
        <w:t>执行通用条合同条件约定</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6A56D1F1">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24" w:name="_Toc54862336"/>
      <w:r>
        <w:rPr>
          <w:rFonts w:hint="eastAsia" w:ascii="黑体" w:hAnsi="黑体" w:eastAsia="黑体" w:cs="Times"/>
          <w:bCs/>
          <w:kern w:val="0"/>
          <w:szCs w:val="21"/>
          <w:highlight w:val="none"/>
        </w:rPr>
        <w:t>第</w:t>
      </w:r>
      <w:r>
        <w:rPr>
          <w:rFonts w:ascii="黑体" w:hAnsi="黑体" w:eastAsia="黑体" w:cs="Times"/>
          <w:bCs/>
          <w:kern w:val="0"/>
          <w:szCs w:val="21"/>
          <w:highlight w:val="none"/>
        </w:rPr>
        <w:t>5条</w:t>
      </w:r>
      <w:r>
        <w:rPr>
          <w:rFonts w:hint="eastAsia" w:ascii="黑体" w:hAnsi="黑体" w:eastAsia="黑体" w:cs="Times"/>
          <w:bCs/>
          <w:kern w:val="0"/>
          <w:szCs w:val="21"/>
          <w:highlight w:val="none"/>
        </w:rPr>
        <w:t xml:space="preserve"> 设计</w:t>
      </w:r>
      <w:bookmarkEnd w:id="724"/>
    </w:p>
    <w:p w14:paraId="27194237">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5.2 </w:t>
      </w:r>
      <w:r>
        <w:rPr>
          <w:rFonts w:hint="eastAsia" w:ascii="黑体" w:hAnsi="黑体" w:eastAsia="黑体"/>
          <w:kern w:val="0"/>
          <w:szCs w:val="21"/>
          <w:highlight w:val="none"/>
        </w:rPr>
        <w:t>承包人文件审查</w:t>
      </w:r>
    </w:p>
    <w:p w14:paraId="0897B5CC">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5</w:t>
      </w:r>
      <w:r>
        <w:rPr>
          <w:rFonts w:ascii="仿宋_GB2312" w:hAnsi="宋体" w:eastAsia="仿宋_GB2312"/>
          <w:kern w:val="0"/>
          <w:szCs w:val="21"/>
          <w:highlight w:val="none"/>
        </w:rPr>
        <w:t xml:space="preserve">.2.1 </w:t>
      </w:r>
      <w:r>
        <w:rPr>
          <w:rFonts w:hint="eastAsia" w:ascii="仿宋_GB2312" w:hAnsi="宋体" w:eastAsia="仿宋_GB2312"/>
          <w:kern w:val="0"/>
          <w:szCs w:val="21"/>
          <w:highlight w:val="none"/>
        </w:rPr>
        <w:t>承包人文件审查的期限：</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cs="宋体"/>
          <w:szCs w:val="21"/>
          <w:highlight w:val="none"/>
          <w:u w:val="single"/>
        </w:rPr>
        <w:t>发包人对承包人文件审查不超过21天</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156097A">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cs="Times New Roman"/>
          <w:kern w:val="0"/>
          <w:szCs w:val="21"/>
          <w:highlight w:val="none"/>
        </w:rPr>
        <w:t xml:space="preserve">5.2.2 审查会议的审查形式和时间安排为： </w:t>
      </w:r>
      <w:r>
        <w:rPr>
          <w:rFonts w:hint="eastAsia" w:ascii="仿宋_GB2312" w:hAnsi="宋体" w:eastAsia="仿宋_GB2312" w:cs="Times New Roman"/>
          <w:kern w:val="0"/>
          <w:szCs w:val="21"/>
          <w:highlight w:val="none"/>
          <w:u w:val="single"/>
        </w:rPr>
        <w:t xml:space="preserve">   </w:t>
      </w:r>
      <w:r>
        <w:rPr>
          <w:rFonts w:hint="eastAsia" w:ascii="仿宋_GB2312" w:hAnsi="宋体" w:eastAsia="仿宋_GB2312" w:cs="Times New Roman"/>
          <w:kern w:val="0"/>
          <w:szCs w:val="21"/>
          <w:highlight w:val="none"/>
          <w:u w:val="single"/>
          <w:lang w:val="en-US" w:eastAsia="zh-CN"/>
        </w:rPr>
        <w:t>/</w:t>
      </w:r>
      <w:r>
        <w:rPr>
          <w:rFonts w:hint="eastAsia" w:ascii="仿宋_GB2312" w:hAnsi="宋体" w:eastAsia="仿宋_GB2312" w:cs="Times New Roman"/>
          <w:kern w:val="0"/>
          <w:szCs w:val="21"/>
          <w:highlight w:val="none"/>
          <w:u w:val="single"/>
        </w:rPr>
        <w:t xml:space="preserve">  </w:t>
      </w:r>
      <w:r>
        <w:rPr>
          <w:rFonts w:hint="eastAsia" w:ascii="仿宋_GB2312" w:hAnsi="宋体" w:eastAsia="仿宋_GB2312" w:cs="Times New Roman"/>
          <w:kern w:val="0"/>
          <w:szCs w:val="21"/>
          <w:highlight w:val="none"/>
        </w:rPr>
        <w:t xml:space="preserve">，审查会议的相关费用由                   </w:t>
      </w:r>
      <w:r>
        <w:rPr>
          <w:rFonts w:hint="eastAsia" w:ascii="仿宋_GB2312" w:hAnsi="宋体" w:eastAsia="仿宋_GB2312" w:cs="Times New Roman"/>
          <w:kern w:val="0"/>
          <w:szCs w:val="21"/>
          <w:highlight w:val="none"/>
          <w:u w:val="single"/>
          <w:lang w:val="en-US" w:eastAsia="zh-CN"/>
        </w:rPr>
        <w:t>承包人</w:t>
      </w:r>
      <w:r>
        <w:rPr>
          <w:rFonts w:hint="eastAsia" w:ascii="仿宋_GB2312" w:hAnsi="宋体" w:eastAsia="仿宋_GB2312"/>
          <w:kern w:val="0"/>
          <w:szCs w:val="21"/>
          <w:highlight w:val="none"/>
        </w:rPr>
        <w:t>承担。</w:t>
      </w:r>
    </w:p>
    <w:p w14:paraId="234887C0">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5</w:t>
      </w:r>
      <w:r>
        <w:rPr>
          <w:rFonts w:ascii="仿宋_GB2312" w:hAnsi="宋体" w:eastAsia="仿宋_GB2312"/>
          <w:kern w:val="0"/>
          <w:szCs w:val="21"/>
          <w:highlight w:val="none"/>
        </w:rPr>
        <w:t xml:space="preserve">.2.3 </w:t>
      </w:r>
      <w:r>
        <w:rPr>
          <w:rFonts w:hint="eastAsia" w:ascii="仿宋_GB2312" w:hAnsi="宋体" w:eastAsia="仿宋_GB2312"/>
          <w:kern w:val="0"/>
          <w:szCs w:val="21"/>
          <w:highlight w:val="none"/>
        </w:rPr>
        <w:t>关于第三方审查单位的约定：</w:t>
      </w:r>
      <w:r>
        <w:rPr>
          <w:rFonts w:ascii="仿宋_GB2312" w:hAnsi="宋体" w:eastAsia="仿宋_GB2312"/>
          <w:kern w:val="0"/>
          <w:szCs w:val="21"/>
          <w:highlight w:val="none"/>
          <w:u w:val="single"/>
        </w:rPr>
        <w:t xml:space="preserve">  </w:t>
      </w:r>
      <w:r>
        <w:rPr>
          <w:rFonts w:hint="eastAsia" w:cs="宋体"/>
          <w:szCs w:val="21"/>
          <w:highlight w:val="none"/>
          <w:u w:val="single"/>
        </w:rPr>
        <w:t>执行通用条合同条件约定</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61EFDFF">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5.3 </w:t>
      </w:r>
      <w:r>
        <w:rPr>
          <w:rFonts w:hint="eastAsia" w:ascii="黑体" w:hAnsi="黑体" w:eastAsia="黑体"/>
          <w:kern w:val="0"/>
          <w:szCs w:val="21"/>
          <w:highlight w:val="none"/>
        </w:rPr>
        <w:t>培训</w:t>
      </w:r>
    </w:p>
    <w:p w14:paraId="5ED4DA5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培训的时长为</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以发包人需求为准</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，承包人应为培训提供的人员、设施和其它必要条件为</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cs="宋体"/>
          <w:szCs w:val="21"/>
          <w:highlight w:val="none"/>
          <w:u w:val="single"/>
        </w:rPr>
        <w:t>另行协商确定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DEDAB86">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5.4 </w:t>
      </w:r>
      <w:r>
        <w:rPr>
          <w:rFonts w:hint="eastAsia" w:ascii="黑体" w:hAnsi="黑体" w:eastAsia="黑体"/>
          <w:kern w:val="0"/>
          <w:szCs w:val="21"/>
          <w:highlight w:val="none"/>
        </w:rPr>
        <w:t>竣工文件</w:t>
      </w:r>
    </w:p>
    <w:p w14:paraId="516B062B">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5.4.1 </w:t>
      </w:r>
      <w:r>
        <w:rPr>
          <w:rFonts w:hint="eastAsia" w:ascii="仿宋_GB2312" w:hAnsi="宋体" w:eastAsia="仿宋_GB2312"/>
          <w:kern w:val="0"/>
          <w:szCs w:val="21"/>
          <w:highlight w:val="none"/>
        </w:rPr>
        <w:t>竣工文件的形式、提供的份数、技术标准以及其它相关要求：</w:t>
      </w:r>
      <w:r>
        <w:rPr>
          <w:rFonts w:ascii="仿宋_GB2312" w:hAnsi="宋体" w:eastAsia="仿宋_GB2312"/>
          <w:kern w:val="0"/>
          <w:szCs w:val="21"/>
          <w:highlight w:val="none"/>
          <w:u w:val="single"/>
        </w:rPr>
        <w:t xml:space="preserve">      </w:t>
      </w:r>
      <w:r>
        <w:rPr>
          <w:rFonts w:hint="eastAsia" w:cs="宋体"/>
          <w:szCs w:val="21"/>
          <w:highlight w:val="none"/>
          <w:u w:val="single"/>
        </w:rPr>
        <w:t>执行发包人统一内容格式</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FEC100D">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5</w:t>
      </w:r>
      <w:r>
        <w:rPr>
          <w:rFonts w:ascii="仿宋_GB2312" w:hAnsi="宋体" w:eastAsia="仿宋_GB2312"/>
          <w:kern w:val="0"/>
          <w:szCs w:val="21"/>
          <w:highlight w:val="none"/>
        </w:rPr>
        <w:t xml:space="preserve">.4.3 </w:t>
      </w:r>
      <w:r>
        <w:rPr>
          <w:rFonts w:hint="eastAsia" w:ascii="仿宋_GB2312" w:hAnsi="宋体" w:eastAsia="仿宋_GB2312"/>
          <w:kern w:val="0"/>
          <w:szCs w:val="21"/>
          <w:highlight w:val="none"/>
        </w:rPr>
        <w:t>关于竣工文件的其他约定：</w:t>
      </w:r>
      <w:r>
        <w:rPr>
          <w:rFonts w:ascii="仿宋_GB2312" w:hAnsi="宋体" w:eastAsia="仿宋_GB2312"/>
          <w:kern w:val="0"/>
          <w:szCs w:val="21"/>
          <w:highlight w:val="none"/>
          <w:u w:val="single"/>
        </w:rPr>
        <w:t xml:space="preserve">   </w:t>
      </w:r>
      <w:r>
        <w:rPr>
          <w:rFonts w:hint="eastAsia" w:cs="宋体"/>
          <w:szCs w:val="21"/>
          <w:highlight w:val="none"/>
          <w:u w:val="single"/>
        </w:rPr>
        <w:t>执行发包人统一内容格式</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5CBA533">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5.5 </w:t>
      </w:r>
      <w:r>
        <w:rPr>
          <w:rFonts w:hint="eastAsia" w:ascii="黑体" w:hAnsi="黑体" w:eastAsia="黑体"/>
          <w:kern w:val="0"/>
          <w:szCs w:val="21"/>
          <w:highlight w:val="none"/>
        </w:rPr>
        <w:t>操作和维修手册</w:t>
      </w:r>
    </w:p>
    <w:p w14:paraId="51635B55">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5.5.3 </w:t>
      </w:r>
      <w:r>
        <w:rPr>
          <w:rFonts w:hint="eastAsia" w:ascii="仿宋_GB2312" w:hAnsi="宋体" w:eastAsia="仿宋_GB2312"/>
          <w:kern w:val="0"/>
          <w:szCs w:val="21"/>
          <w:highlight w:val="none"/>
        </w:rPr>
        <w:t>对最终操作和维修手册的约定：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DFB1169">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25" w:name="_Toc54862337"/>
      <w:r>
        <w:rPr>
          <w:rFonts w:hint="eastAsia" w:ascii="黑体" w:hAnsi="黑体" w:eastAsia="黑体" w:cs="Times"/>
          <w:bCs/>
          <w:kern w:val="0"/>
          <w:szCs w:val="21"/>
          <w:highlight w:val="none"/>
        </w:rPr>
        <w:t>第</w:t>
      </w:r>
      <w:r>
        <w:rPr>
          <w:rFonts w:ascii="黑体" w:hAnsi="黑体" w:eastAsia="黑体" w:cs="Times"/>
          <w:bCs/>
          <w:kern w:val="0"/>
          <w:szCs w:val="21"/>
          <w:highlight w:val="none"/>
        </w:rPr>
        <w:t>6条</w:t>
      </w:r>
      <w:r>
        <w:rPr>
          <w:rFonts w:hint="eastAsia" w:ascii="黑体" w:hAnsi="黑体" w:eastAsia="黑体" w:cs="Times"/>
          <w:bCs/>
          <w:kern w:val="0"/>
          <w:szCs w:val="21"/>
          <w:highlight w:val="none"/>
        </w:rPr>
        <w:t xml:space="preserve"> 材料、工程设备</w:t>
      </w:r>
      <w:bookmarkEnd w:id="725"/>
    </w:p>
    <w:p w14:paraId="39FBF444">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6.1 </w:t>
      </w:r>
      <w:r>
        <w:rPr>
          <w:rFonts w:hint="eastAsia" w:ascii="黑体" w:hAnsi="黑体" w:eastAsia="黑体"/>
          <w:kern w:val="0"/>
          <w:szCs w:val="21"/>
          <w:highlight w:val="none"/>
        </w:rPr>
        <w:t>实施方法</w:t>
      </w:r>
    </w:p>
    <w:p w14:paraId="4A75685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双方当事人约定的实施方法、设备、设施和材料：</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cs="宋体"/>
          <w:szCs w:val="21"/>
          <w:highlight w:val="none"/>
          <w:u w:val="single"/>
        </w:rPr>
        <w:t>执行通用条合同条件约定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5AAFFEA">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6.2 </w:t>
      </w:r>
      <w:r>
        <w:rPr>
          <w:rFonts w:hint="eastAsia" w:ascii="黑体" w:hAnsi="黑体" w:eastAsia="黑体"/>
          <w:kern w:val="0"/>
          <w:szCs w:val="21"/>
          <w:highlight w:val="none"/>
        </w:rPr>
        <w:t>材料和工程设备</w:t>
      </w:r>
    </w:p>
    <w:p w14:paraId="4401E33F">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6.2.1 </w:t>
      </w:r>
      <w:r>
        <w:rPr>
          <w:rFonts w:hint="eastAsia" w:ascii="仿宋_GB2312" w:hAnsi="宋体" w:eastAsia="仿宋_GB2312"/>
          <w:kern w:val="0"/>
          <w:szCs w:val="21"/>
          <w:highlight w:val="none"/>
        </w:rPr>
        <w:t>发包人提供的材料和工程设备</w:t>
      </w:r>
    </w:p>
    <w:p w14:paraId="2E4200E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发包人提供的材料和工程设备验收后，由</w:t>
      </w:r>
      <w:r>
        <w:rPr>
          <w:rFonts w:ascii="仿宋_GB2312" w:hAnsi="宋体" w:eastAsia="仿宋_GB2312"/>
          <w:kern w:val="0"/>
          <w:szCs w:val="21"/>
          <w:highlight w:val="none"/>
          <w:u w:val="single"/>
        </w:rPr>
        <w:t xml:space="preserve">   </w:t>
      </w:r>
      <w:r>
        <w:rPr>
          <w:rFonts w:hint="eastAsia" w:ascii="仿宋_GB2312" w:hAnsi="宋体" w:eastAsia="仿宋_GB2312" w:cs="Times New Roman"/>
          <w:kern w:val="0"/>
          <w:szCs w:val="21"/>
          <w:highlight w:val="none"/>
          <w:u w:val="single"/>
          <w:lang w:val="en-US" w:eastAsia="zh-CN"/>
        </w:rPr>
        <w:t>承包人</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负责接收、运输和保管。</w:t>
      </w:r>
    </w:p>
    <w:p w14:paraId="468B952A">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6.2.2 </w:t>
      </w:r>
      <w:r>
        <w:rPr>
          <w:rFonts w:hint="eastAsia" w:ascii="仿宋_GB2312" w:hAnsi="宋体" w:eastAsia="仿宋_GB2312"/>
          <w:kern w:val="0"/>
          <w:szCs w:val="21"/>
          <w:highlight w:val="none"/>
        </w:rPr>
        <w:t>承包人提供的材料和工程设备</w:t>
      </w:r>
    </w:p>
    <w:p w14:paraId="4194BA91">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材料和工程设备的类别、估算数量：</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ascii="宋体" w:hAnsi="宋体" w:cs="宋体"/>
          <w:szCs w:val="21"/>
          <w:highlight w:val="none"/>
          <w:u w:val="single"/>
        </w:rPr>
        <w:t>根据项目实际情况另行约定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E8098B0">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竣工后试验的生产性材料的类别或（和）清单：</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ascii="宋体" w:hAnsi="宋体" w:cs="宋体"/>
          <w:szCs w:val="21"/>
          <w:highlight w:val="none"/>
          <w:u w:val="single"/>
        </w:rPr>
        <w:t>根据项目实际情况另行约定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053BE31">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6.2.3 </w:t>
      </w:r>
      <w:r>
        <w:rPr>
          <w:rFonts w:hint="eastAsia" w:ascii="仿宋_GB2312" w:hAnsi="宋体" w:eastAsia="仿宋_GB2312"/>
          <w:kern w:val="0"/>
          <w:szCs w:val="21"/>
          <w:highlight w:val="none"/>
        </w:rPr>
        <w:t>材料和工程设备的保管</w:t>
      </w:r>
    </w:p>
    <w:p w14:paraId="0A1B4D3C">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发包人供应的材料和工程设备的保管费用由</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承担。</w:t>
      </w:r>
    </w:p>
    <w:p w14:paraId="09273EDA">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承包人提交保管、维护方案的时间：</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B0FFDF7">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发包人提供的库房、堆场、设施和设备：</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5DA8502">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6.3 </w:t>
      </w:r>
      <w:r>
        <w:rPr>
          <w:rFonts w:hint="eastAsia" w:ascii="黑体" w:hAnsi="黑体" w:eastAsia="黑体"/>
          <w:kern w:val="0"/>
          <w:szCs w:val="21"/>
          <w:highlight w:val="none"/>
        </w:rPr>
        <w:t>样品</w:t>
      </w:r>
    </w:p>
    <w:p w14:paraId="2A05A707">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6</w:t>
      </w:r>
      <w:r>
        <w:rPr>
          <w:rFonts w:ascii="仿宋_GB2312" w:hAnsi="宋体" w:eastAsia="仿宋_GB2312"/>
          <w:kern w:val="0"/>
          <w:szCs w:val="21"/>
          <w:highlight w:val="none"/>
        </w:rPr>
        <w:t xml:space="preserve">.3.1 </w:t>
      </w:r>
      <w:r>
        <w:rPr>
          <w:rFonts w:hint="eastAsia" w:ascii="仿宋_GB2312" w:hAnsi="宋体" w:eastAsia="仿宋_GB2312"/>
          <w:kern w:val="0"/>
          <w:szCs w:val="21"/>
          <w:highlight w:val="none"/>
        </w:rPr>
        <w:t>样品的报送与封存</w:t>
      </w:r>
    </w:p>
    <w:p w14:paraId="00D318DB">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需要承包人报送样品的材料或工程设备</w:t>
      </w:r>
      <w:r>
        <w:rPr>
          <w:rFonts w:hint="eastAsia" w:ascii="仿宋_GB2312" w:hAnsi="宋体" w:eastAsia="仿宋_GB2312"/>
          <w:kern w:val="0"/>
          <w:szCs w:val="21"/>
          <w:highlight w:val="none"/>
        </w:rPr>
        <w:t>，样品种类、名称、规格、数量：</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根据项目实际情况另行约定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A3E0880">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6.4 </w:t>
      </w:r>
      <w:r>
        <w:rPr>
          <w:rFonts w:hint="eastAsia" w:ascii="黑体" w:hAnsi="黑体" w:eastAsia="黑体"/>
          <w:kern w:val="0"/>
          <w:szCs w:val="21"/>
          <w:highlight w:val="none"/>
        </w:rPr>
        <w:t>质量检查</w:t>
      </w:r>
    </w:p>
    <w:p w14:paraId="26D742C7">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6.4.1 </w:t>
      </w:r>
      <w:r>
        <w:rPr>
          <w:rFonts w:hint="eastAsia" w:ascii="仿宋_GB2312" w:hAnsi="宋体" w:eastAsia="仿宋_GB2312"/>
          <w:kern w:val="0"/>
          <w:szCs w:val="21"/>
          <w:highlight w:val="none"/>
        </w:rPr>
        <w:t>工程质量要求</w:t>
      </w:r>
    </w:p>
    <w:p w14:paraId="1C0C4F3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工程质量的特殊标准或要求：</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4930C6A">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6.4.2 </w:t>
      </w:r>
      <w:r>
        <w:rPr>
          <w:rFonts w:hint="eastAsia" w:ascii="仿宋_GB2312" w:hAnsi="宋体" w:eastAsia="仿宋_GB2312"/>
          <w:kern w:val="0"/>
          <w:szCs w:val="21"/>
          <w:highlight w:val="none"/>
        </w:rPr>
        <w:t>质量检查</w:t>
      </w:r>
    </w:p>
    <w:p w14:paraId="5B79814A">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除通用合同条件已列明的质量检查的地点外，发包人有权进行质量检查的其他地点：</w:t>
      </w:r>
      <w:r>
        <w:rPr>
          <w:rFonts w:ascii="仿宋_GB2312" w:hAnsi="宋体" w:eastAsia="仿宋_GB2312"/>
          <w:kern w:val="0"/>
          <w:szCs w:val="21"/>
          <w:highlight w:val="none"/>
          <w:u w:val="single"/>
        </w:rPr>
        <w:t xml:space="preserve">      </w:t>
      </w:r>
      <w:r>
        <w:rPr>
          <w:rFonts w:hint="eastAsia" w:cs="宋体"/>
          <w:szCs w:val="21"/>
          <w:highlight w:val="none"/>
          <w:u w:val="single"/>
        </w:rPr>
        <w:t>执行通用合同条件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FDB60A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6.4.3 </w:t>
      </w:r>
      <w:r>
        <w:rPr>
          <w:rFonts w:hint="eastAsia" w:ascii="仿宋_GB2312" w:hAnsi="宋体" w:eastAsia="仿宋_GB2312"/>
          <w:kern w:val="0"/>
          <w:szCs w:val="21"/>
          <w:highlight w:val="none"/>
        </w:rPr>
        <w:t>隐蔽工程检查</w:t>
      </w:r>
    </w:p>
    <w:p w14:paraId="18B80307">
      <w:pPr>
        <w:widowControl/>
        <w:adjustRightInd w:val="0"/>
        <w:snapToGrid w:val="0"/>
        <w:spacing w:line="560" w:lineRule="exact"/>
        <w:ind w:firstLine="420" w:firstLineChars="200"/>
        <w:rPr>
          <w:rFonts w:hint="eastAsia" w:ascii="宋体" w:hAnsi="宋体" w:eastAsia="宋体" w:cs="宋体"/>
          <w:szCs w:val="21"/>
          <w:highlight w:val="none"/>
          <w:u w:val="single"/>
          <w:lang w:eastAsia="zh-CN"/>
        </w:rPr>
      </w:pPr>
      <w:r>
        <w:rPr>
          <w:rFonts w:hint="eastAsia" w:ascii="仿宋_GB2312" w:hAnsi="宋体" w:eastAsia="仿宋_GB2312"/>
          <w:kern w:val="0"/>
          <w:szCs w:val="21"/>
          <w:highlight w:val="none"/>
        </w:rPr>
        <w:t>关于隐蔽工程和中间验收的特别约定：</w:t>
      </w:r>
      <w:r>
        <w:rPr>
          <w:rFonts w:ascii="仿宋_GB2312" w:hAnsi="宋体" w:eastAsia="仿宋_GB2312"/>
          <w:kern w:val="0"/>
          <w:szCs w:val="21"/>
          <w:highlight w:val="none"/>
          <w:u w:val="single"/>
        </w:rPr>
        <w:t xml:space="preserve">   </w:t>
      </w:r>
      <w:r>
        <w:rPr>
          <w:rFonts w:hint="eastAsia" w:cs="宋体"/>
          <w:szCs w:val="21"/>
          <w:highlight w:val="none"/>
          <w:u w:val="single"/>
        </w:rPr>
        <w:t>①</w:t>
      </w:r>
      <w:r>
        <w:rPr>
          <w:rFonts w:hint="eastAsia" w:ascii="宋体" w:hAnsi="宋体" w:cs="宋体"/>
          <w:szCs w:val="21"/>
          <w:highlight w:val="none"/>
          <w:u w:val="single"/>
        </w:rPr>
        <w:t>隐蔽工程隐蔽前，承包人应当对工程隐蔽部位进行自检，并经自检确认是否具备覆盖条件。</w:t>
      </w:r>
      <w:r>
        <w:rPr>
          <w:rFonts w:hint="eastAsia" w:cs="宋体"/>
          <w:szCs w:val="21"/>
          <w:highlight w:val="none"/>
          <w:u w:val="single"/>
        </w:rPr>
        <w:t>②</w:t>
      </w:r>
      <w:r>
        <w:rPr>
          <w:rFonts w:hint="eastAsia" w:ascii="宋体" w:hAnsi="宋体" w:cs="宋体"/>
          <w:szCs w:val="21"/>
          <w:highlight w:val="none"/>
          <w:u w:val="single"/>
        </w:rPr>
        <w:t>承包人提前通知监理人隐蔽工程检查的期限的约定：工程隐蔽部位经承包人自检确认具备覆盖条件的，承包人应在共同检查前6小时书面通知监理人检查，通知中应载明隐蔽检查的内容、时间和地点，并应附有自检记录和必要的检查资料。</w:t>
      </w:r>
      <w:r>
        <w:rPr>
          <w:rFonts w:hint="eastAsia" w:cs="宋体"/>
          <w:szCs w:val="21"/>
          <w:highlight w:val="none"/>
          <w:u w:val="single"/>
        </w:rPr>
        <w:t>③</w:t>
      </w:r>
      <w:r>
        <w:rPr>
          <w:rFonts w:hint="eastAsia" w:ascii="宋体" w:hAnsi="宋体" w:cs="宋体"/>
          <w:szCs w:val="21"/>
          <w:highlight w:val="none"/>
          <w:u w:val="singl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r>
        <w:rPr>
          <w:rFonts w:hint="eastAsia" w:cs="宋体"/>
          <w:szCs w:val="21"/>
          <w:highlight w:val="none"/>
          <w:u w:val="single"/>
        </w:rPr>
        <w:t>④</w:t>
      </w:r>
      <w:r>
        <w:rPr>
          <w:rFonts w:hint="eastAsia" w:ascii="宋体" w:hAnsi="宋体" w:cs="宋体"/>
          <w:szCs w:val="21"/>
          <w:highlight w:val="none"/>
          <w:u w:val="single"/>
        </w:rPr>
        <w:t>监理人不能按时进行检查的，应在检查前3小时向承包人提交书面延期要求，但延期不能超过6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重新检查的约定重新检查</w:t>
      </w:r>
      <w:r>
        <w:rPr>
          <w:rFonts w:hint="eastAsia" w:ascii="宋体" w:hAnsi="宋体" w:cs="宋体"/>
          <w:szCs w:val="21"/>
          <w:highlight w:val="none"/>
          <w:u w:val="single"/>
          <w:lang w:eastAsia="zh-CN"/>
        </w:rPr>
        <w:t>。</w:t>
      </w:r>
    </w:p>
    <w:p w14:paraId="5C8CD122">
      <w:pPr>
        <w:snapToGrid w:val="0"/>
        <w:spacing w:line="440" w:lineRule="exact"/>
        <w:ind w:firstLine="420" w:firstLineChars="200"/>
        <w:jc w:val="left"/>
        <w:rPr>
          <w:rFonts w:hint="eastAsia" w:ascii="宋体" w:cs="宋体"/>
          <w:szCs w:val="21"/>
          <w:highlight w:val="none"/>
        </w:rPr>
      </w:pPr>
      <w:r>
        <w:rPr>
          <w:rFonts w:hint="eastAsia" w:ascii="宋体" w:cs="宋体"/>
          <w:szCs w:val="21"/>
          <w:highlight w:val="none"/>
        </w:rPr>
        <w:t>监理人不能按时进行检查时，应提前</w:t>
      </w:r>
      <w:r>
        <w:rPr>
          <w:rFonts w:hint="eastAsia" w:ascii="宋体" w:cs="宋体"/>
          <w:szCs w:val="21"/>
          <w:highlight w:val="none"/>
          <w:u w:val="single"/>
        </w:rPr>
        <w:t xml:space="preserve">  3  </w:t>
      </w:r>
      <w:r>
        <w:rPr>
          <w:rFonts w:hint="eastAsia" w:ascii="宋体" w:cs="宋体"/>
          <w:szCs w:val="21"/>
          <w:highlight w:val="none"/>
        </w:rPr>
        <w:t>小时提交书面延期要求。</w:t>
      </w:r>
    </w:p>
    <w:p w14:paraId="00EFB1E1">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宋体" w:cs="宋体"/>
          <w:szCs w:val="21"/>
          <w:highlight w:val="none"/>
        </w:rPr>
        <w:t>关于延期最长不得超过：</w:t>
      </w:r>
      <w:r>
        <w:rPr>
          <w:rFonts w:hint="eastAsia" w:ascii="宋体" w:cs="宋体"/>
          <w:szCs w:val="21"/>
          <w:highlight w:val="none"/>
          <w:u w:val="single"/>
        </w:rPr>
        <w:t xml:space="preserve">  6  小时</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B47C2CE">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6.5 </w:t>
      </w:r>
      <w:r>
        <w:rPr>
          <w:rFonts w:hint="eastAsia" w:ascii="黑体" w:hAnsi="黑体" w:eastAsia="黑体"/>
          <w:kern w:val="0"/>
          <w:szCs w:val="21"/>
          <w:highlight w:val="none"/>
        </w:rPr>
        <w:t>由承包人试验和检验</w:t>
      </w:r>
    </w:p>
    <w:p w14:paraId="1F5DE001">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6</w:t>
      </w:r>
      <w:r>
        <w:rPr>
          <w:rFonts w:ascii="仿宋_GB2312" w:hAnsi="宋体" w:eastAsia="仿宋_GB2312"/>
          <w:kern w:val="0"/>
          <w:szCs w:val="21"/>
          <w:highlight w:val="none"/>
        </w:rPr>
        <w:t xml:space="preserve">.5.1 </w:t>
      </w:r>
      <w:r>
        <w:rPr>
          <w:rFonts w:hint="eastAsia" w:ascii="仿宋_GB2312" w:hAnsi="宋体" w:eastAsia="仿宋_GB2312"/>
          <w:kern w:val="0"/>
          <w:szCs w:val="21"/>
          <w:highlight w:val="none"/>
        </w:rPr>
        <w:t>试验设备与试验人员</w:t>
      </w:r>
    </w:p>
    <w:p w14:paraId="65A46FE3">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试验的内容、时间和地点：</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根据质量检测及验收相关规定和现场实际情况确定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BC9E8A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试验所需要的试验设备、取样装置、试验场所和试验条件：</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ascii="宋体" w:hAnsi="宋体" w:cs="宋体"/>
          <w:szCs w:val="21"/>
          <w:highlight w:val="none"/>
          <w:u w:val="single"/>
        </w:rPr>
        <w:t>根据质量检测及验收相关规定和现场实际情况确定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5FE1528">
      <w:pPr>
        <w:widowControl/>
        <w:adjustRightInd w:val="0"/>
        <w:snapToGrid w:val="0"/>
        <w:spacing w:line="560" w:lineRule="exact"/>
        <w:ind w:firstLine="420" w:firstLineChars="200"/>
        <w:rPr>
          <w:rFonts w:ascii="仿宋_GB2312" w:hAnsi="宋体" w:eastAsia="仿宋_GB2312"/>
          <w:kern w:val="0"/>
          <w:szCs w:val="21"/>
          <w:highlight w:val="none"/>
          <w:u w:val="single"/>
        </w:rPr>
      </w:pPr>
      <w:r>
        <w:rPr>
          <w:rFonts w:hint="eastAsia" w:ascii="仿宋_GB2312" w:hAnsi="宋体" w:eastAsia="仿宋_GB2312"/>
          <w:kern w:val="0"/>
          <w:szCs w:val="21"/>
          <w:highlight w:val="none"/>
        </w:rPr>
        <w:t>试验和检验费用的计价原则：</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cs="宋体"/>
          <w:szCs w:val="21"/>
          <w:highlight w:val="none"/>
          <w:u w:val="single"/>
        </w:rPr>
        <w:t>由承包人自理，在投标价中自行考虑</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B9CFEFF">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26" w:name="_Toc54862338"/>
      <w:r>
        <w:rPr>
          <w:rFonts w:hint="eastAsia" w:ascii="黑体" w:hAnsi="黑体" w:eastAsia="黑体" w:cs="Times"/>
          <w:bCs/>
          <w:kern w:val="0"/>
          <w:szCs w:val="21"/>
          <w:highlight w:val="none"/>
        </w:rPr>
        <w:t>第</w:t>
      </w:r>
      <w:r>
        <w:rPr>
          <w:rFonts w:ascii="黑体" w:hAnsi="黑体" w:eastAsia="黑体" w:cs="Times"/>
          <w:bCs/>
          <w:kern w:val="0"/>
          <w:szCs w:val="21"/>
          <w:highlight w:val="none"/>
        </w:rPr>
        <w:t>7条 施工</w:t>
      </w:r>
      <w:bookmarkEnd w:id="726"/>
    </w:p>
    <w:p w14:paraId="131C8966">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7.1 </w:t>
      </w:r>
      <w:r>
        <w:rPr>
          <w:rFonts w:hint="eastAsia" w:ascii="黑体" w:hAnsi="黑体" w:eastAsia="黑体"/>
          <w:kern w:val="0"/>
          <w:szCs w:val="21"/>
          <w:highlight w:val="none"/>
        </w:rPr>
        <w:t>交通运输</w:t>
      </w:r>
    </w:p>
    <w:p w14:paraId="5FB5EB47">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7.1.1 </w:t>
      </w:r>
      <w:r>
        <w:rPr>
          <w:rFonts w:hint="eastAsia" w:ascii="仿宋_GB2312" w:hAnsi="宋体" w:eastAsia="仿宋_GB2312"/>
          <w:kern w:val="0"/>
          <w:szCs w:val="21"/>
          <w:highlight w:val="none"/>
        </w:rPr>
        <w:t>出入现场的权利</w:t>
      </w:r>
    </w:p>
    <w:p w14:paraId="103476BF">
      <w:pPr>
        <w:widowControl/>
        <w:adjustRightInd w:val="0"/>
        <w:snapToGrid w:val="0"/>
        <w:spacing w:line="560" w:lineRule="exact"/>
        <w:ind w:firstLine="420" w:firstLineChars="200"/>
        <w:rPr>
          <w:rFonts w:hint="eastAsia" w:ascii="宋体" w:hAnsi="宋体" w:eastAsia="宋体" w:cs="宋体"/>
          <w:szCs w:val="21"/>
          <w:highlight w:val="none"/>
          <w:u w:val="single"/>
        </w:rPr>
      </w:pPr>
      <w:r>
        <w:rPr>
          <w:rFonts w:hint="eastAsia" w:ascii="仿宋_GB2312" w:hAnsi="宋体" w:eastAsia="仿宋_GB2312"/>
          <w:kern w:val="0"/>
          <w:szCs w:val="21"/>
          <w:highlight w:val="none"/>
        </w:rPr>
        <w:t>关于出入现场的权利的约定：</w:t>
      </w:r>
      <w:r>
        <w:rPr>
          <w:rFonts w:hint="eastAsia" w:ascii="宋体" w:hAnsi="宋体" w:eastAsia="宋体" w:cs="宋体"/>
          <w:szCs w:val="21"/>
          <w:highlight w:val="none"/>
          <w:u w:val="single"/>
        </w:rPr>
        <w:t>发包人应根据施工需要，负责取得出入施工现场所需的批准手续和全部权利，以及取得因施工所需修建道路、桥梁以及其他基础设施的权利，并承担相关手续费用和建设费用，若该费用已包含在本项目发包范围，则由承包人自行解决并承担费用。承包人应协助发包人办理修建场内外道路、桥梁以及其他基础设施的手续。</w:t>
      </w:r>
    </w:p>
    <w:p w14:paraId="66116059">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宋体" w:hAnsi="宋体" w:eastAsia="宋体" w:cs="宋体"/>
          <w:szCs w:val="21"/>
          <w:highlight w:val="none"/>
          <w:u w:val="single"/>
        </w:rPr>
        <w:t>承包人应在订立合同前查勘施工现场，并根据工程规模及技术参数合理预见工程施工所需的进出施工现场的方式、手段、路径等。因承包人未合理预见所增加的费用和（或）延误的工期由承包人</w:t>
      </w:r>
      <w:r>
        <w:rPr>
          <w:rFonts w:hint="eastAsia" w:ascii="宋体" w:hAnsi="宋体" w:eastAsia="宋体" w:cs="宋体"/>
          <w:szCs w:val="21"/>
          <w:highlight w:val="none"/>
          <w:u w:val="single"/>
          <w:lang w:val="en-US" w:eastAsia="zh-CN"/>
        </w:rPr>
        <w:t>承担</w:t>
      </w:r>
      <w:r>
        <w:rPr>
          <w:rFonts w:ascii="仿宋_GB2312" w:hAnsi="宋体" w:eastAsia="仿宋_GB2312"/>
          <w:kern w:val="0"/>
          <w:szCs w:val="21"/>
          <w:highlight w:val="none"/>
        </w:rPr>
        <w:t>。</w:t>
      </w:r>
    </w:p>
    <w:p w14:paraId="2B4DACC6">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7.1.2 </w:t>
      </w:r>
      <w:r>
        <w:rPr>
          <w:rFonts w:hint="eastAsia" w:ascii="仿宋_GB2312" w:hAnsi="宋体" w:eastAsia="仿宋_GB2312"/>
          <w:kern w:val="0"/>
          <w:szCs w:val="21"/>
          <w:highlight w:val="none"/>
        </w:rPr>
        <w:t>场外交通</w:t>
      </w:r>
    </w:p>
    <w:p w14:paraId="081FD0FE">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关于场外交通的特别约定：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自行踏勘，自行解决</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6F6F917">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7.1.3 </w:t>
      </w:r>
      <w:r>
        <w:rPr>
          <w:rFonts w:hint="eastAsia" w:ascii="仿宋_GB2312" w:hAnsi="宋体" w:eastAsia="仿宋_GB2312"/>
          <w:kern w:val="0"/>
          <w:szCs w:val="21"/>
          <w:highlight w:val="none"/>
        </w:rPr>
        <w:t>场内交通</w:t>
      </w:r>
    </w:p>
    <w:p w14:paraId="5CB3C20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关于场内交通的特别约定：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自行踏勘，自行解决</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522926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关于场内交通与场外交通边界的约定：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场内交通设施和道路由承包人负责建设，发包人不另支付费用，场内交通边界现场确定</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71E0FAC5">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7.1.4 </w:t>
      </w:r>
      <w:r>
        <w:rPr>
          <w:rFonts w:hint="eastAsia" w:ascii="仿宋_GB2312" w:hAnsi="宋体" w:eastAsia="仿宋_GB2312"/>
          <w:kern w:val="0"/>
          <w:szCs w:val="21"/>
          <w:highlight w:val="none"/>
        </w:rPr>
        <w:t>超大件和超重件的运输</w:t>
      </w:r>
    </w:p>
    <w:p w14:paraId="5555C100">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 xml:space="preserve">运输超大件或超重件所需的道路和桥梁临时加固改造费用和其他有关费用由  </w:t>
      </w:r>
      <w:r>
        <w:rPr>
          <w:rFonts w:hint="eastAsia" w:ascii="仿宋_GB2312" w:hAnsi="宋体" w:eastAsia="仿宋_GB2312" w:cs="Times New Roman"/>
          <w:kern w:val="0"/>
          <w:szCs w:val="21"/>
          <w:highlight w:val="none"/>
          <w:lang w:val="en-US" w:eastAsia="zh-CN"/>
        </w:rPr>
        <w:t>承包人</w:t>
      </w:r>
      <w:r>
        <w:rPr>
          <w:rFonts w:hint="eastAsia" w:ascii="仿宋_GB2312" w:hAnsi="宋体" w:eastAsia="仿宋_GB2312"/>
          <w:kern w:val="0"/>
          <w:szCs w:val="21"/>
          <w:highlight w:val="none"/>
        </w:rPr>
        <w:t xml:space="preserve"> </w:t>
      </w:r>
    </w:p>
    <w:p w14:paraId="3326364D">
      <w:pPr>
        <w:widowControl/>
        <w:adjustRightInd w:val="0"/>
        <w:snapToGrid w:val="0"/>
        <w:spacing w:line="560" w:lineRule="exact"/>
        <w:rPr>
          <w:rFonts w:ascii="仿宋_GB2312" w:hAnsi="宋体" w:eastAsia="仿宋_GB2312"/>
          <w:kern w:val="0"/>
          <w:szCs w:val="21"/>
          <w:highlight w:val="none"/>
        </w:rPr>
      </w:pPr>
      <w:r>
        <w:rPr>
          <w:rFonts w:ascii="仿宋_GB2312" w:hAnsi="宋体" w:eastAsia="仿宋_GB2312"/>
          <w:kern w:val="0"/>
          <w:szCs w:val="21"/>
          <w:highlight w:val="none"/>
        </w:rPr>
        <w:t>承担。</w:t>
      </w:r>
    </w:p>
    <w:p w14:paraId="3C44543F">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7.2 </w:t>
      </w:r>
      <w:r>
        <w:rPr>
          <w:rFonts w:hint="eastAsia" w:ascii="黑体" w:hAnsi="黑体" w:eastAsia="黑体"/>
          <w:kern w:val="0"/>
          <w:szCs w:val="21"/>
          <w:highlight w:val="none"/>
        </w:rPr>
        <w:t>施工设备和临时设施</w:t>
      </w:r>
    </w:p>
    <w:p w14:paraId="641777EB">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7.2.1 </w:t>
      </w:r>
      <w:r>
        <w:rPr>
          <w:rFonts w:hint="eastAsia" w:ascii="仿宋_GB2312" w:hAnsi="宋体" w:eastAsia="仿宋_GB2312"/>
          <w:kern w:val="0"/>
          <w:szCs w:val="21"/>
          <w:highlight w:val="none"/>
        </w:rPr>
        <w:t>承包人提供的施工设备和临时设施</w:t>
      </w:r>
    </w:p>
    <w:p w14:paraId="77C58439">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rPr>
        <w:t>临时设施的费用和临时占地手续和费用承担的特别约定：</w:t>
      </w:r>
      <w:r>
        <w:rPr>
          <w:rFonts w:hint="eastAsia" w:ascii="仿宋_GB2312" w:hAnsi="宋体" w:eastAsia="仿宋_GB2312" w:cs="Times New Roman"/>
          <w:kern w:val="0"/>
          <w:szCs w:val="21"/>
          <w:highlight w:val="none"/>
          <w:u w:val="single"/>
        </w:rPr>
        <w:t xml:space="preserve"> </w:t>
      </w:r>
      <w:r>
        <w:rPr>
          <w:rFonts w:hint="eastAsia" w:ascii="仿宋_GB2312" w:hAnsi="宋体" w:eastAsia="仿宋_GB2312" w:cs="Times New Roman"/>
          <w:kern w:val="0"/>
          <w:szCs w:val="21"/>
          <w:highlight w:val="none"/>
          <w:u w:val="single"/>
          <w:lang w:val="en-US" w:eastAsia="zh-CN"/>
        </w:rPr>
        <w:t>由承包人自行承担费用</w:t>
      </w:r>
      <w:r>
        <w:rPr>
          <w:rFonts w:hint="eastAsia" w:ascii="仿宋_GB2312" w:hAnsi="宋体" w:eastAsia="仿宋_GB2312" w:cs="Times New Roman"/>
          <w:kern w:val="0"/>
          <w:szCs w:val="21"/>
          <w:highlight w:val="none"/>
          <w:u w:val="single"/>
        </w:rPr>
        <w:t xml:space="preserve"> </w:t>
      </w:r>
      <w:r>
        <w:rPr>
          <w:rFonts w:hint="eastAsia" w:ascii="仿宋_GB2312" w:hAnsi="宋体" w:eastAsia="仿宋_GB2312" w:cs="Times New Roman"/>
          <w:kern w:val="0"/>
          <w:szCs w:val="21"/>
          <w:highlight w:val="none"/>
        </w:rPr>
        <w:t>。</w:t>
      </w:r>
    </w:p>
    <w:p w14:paraId="5962D373">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rPr>
        <w:t>7.2.2 发包人提供的施工设备和临时设施</w:t>
      </w:r>
    </w:p>
    <w:p w14:paraId="7A7EF4AE">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发包人提供的施工设备或临时设施范围：</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10029E1">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7.3 </w:t>
      </w:r>
      <w:r>
        <w:rPr>
          <w:rFonts w:hint="eastAsia" w:ascii="黑体" w:hAnsi="黑体" w:eastAsia="黑体"/>
          <w:kern w:val="0"/>
          <w:szCs w:val="21"/>
          <w:highlight w:val="none"/>
        </w:rPr>
        <w:t>现场合作</w:t>
      </w:r>
    </w:p>
    <w:p w14:paraId="4BD08551">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关于现场合作费用的特别约定：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由承包人自行承担费用</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5A86BF1">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7.4 </w:t>
      </w:r>
      <w:r>
        <w:rPr>
          <w:rFonts w:hint="eastAsia" w:ascii="黑体" w:hAnsi="黑体" w:eastAsia="黑体"/>
          <w:kern w:val="0"/>
          <w:szCs w:val="21"/>
          <w:highlight w:val="none"/>
        </w:rPr>
        <w:t>测量放线</w:t>
      </w:r>
    </w:p>
    <w:p w14:paraId="0FCE65B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7</w:t>
      </w:r>
      <w:r>
        <w:rPr>
          <w:rFonts w:ascii="仿宋_GB2312" w:hAnsi="宋体" w:eastAsia="仿宋_GB2312"/>
          <w:kern w:val="0"/>
          <w:szCs w:val="21"/>
          <w:highlight w:val="none"/>
        </w:rPr>
        <w:t xml:space="preserve">.4.1 </w:t>
      </w:r>
      <w:r>
        <w:rPr>
          <w:rFonts w:hint="eastAsia" w:ascii="仿宋_GB2312" w:hAnsi="宋体" w:eastAsia="仿宋_GB2312"/>
          <w:kern w:val="0"/>
          <w:szCs w:val="21"/>
          <w:highlight w:val="none"/>
        </w:rPr>
        <w:t>关于测量放线的特别约定的技术规范：</w:t>
      </w:r>
      <w:r>
        <w:rPr>
          <w:rFonts w:ascii="仿宋_GB2312" w:hAnsi="宋体" w:eastAsia="仿宋_GB2312"/>
          <w:kern w:val="0"/>
          <w:szCs w:val="21"/>
          <w:highlight w:val="none"/>
          <w:u w:val="single"/>
        </w:rPr>
        <w:t xml:space="preserve">   </w:t>
      </w:r>
      <w:r>
        <w:rPr>
          <w:rFonts w:hint="eastAsia" w:cs="宋体"/>
          <w:szCs w:val="21"/>
          <w:highlight w:val="none"/>
          <w:u w:val="single"/>
        </w:rPr>
        <w:t>根据国家测绘基准、测绘系统和工程测量技术规范，按基准点（线）以及合同工程精度要求，测设施工控制网</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。施工控制网资料的告知期限：</w:t>
      </w:r>
      <w:r>
        <w:rPr>
          <w:rFonts w:ascii="仿宋_GB2312" w:hAnsi="宋体" w:eastAsia="仿宋_GB2312"/>
          <w:kern w:val="0"/>
          <w:szCs w:val="21"/>
          <w:highlight w:val="none"/>
          <w:u w:val="single"/>
        </w:rPr>
        <w:t xml:space="preserve"> </w:t>
      </w:r>
      <w:r>
        <w:rPr>
          <w:rFonts w:hint="eastAsia" w:cs="宋体"/>
          <w:szCs w:val="21"/>
          <w:highlight w:val="none"/>
          <w:u w:val="single"/>
        </w:rPr>
        <w:t>在满足发包人实际要求的期限内将施工控制网资料报送</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45F1FD6">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7.5 </w:t>
      </w:r>
      <w:r>
        <w:rPr>
          <w:rFonts w:hint="eastAsia" w:ascii="黑体" w:hAnsi="黑体" w:eastAsia="黑体"/>
          <w:kern w:val="0"/>
          <w:szCs w:val="21"/>
          <w:highlight w:val="none"/>
        </w:rPr>
        <w:t>现场劳动用工</w:t>
      </w:r>
    </w:p>
    <w:p w14:paraId="79CEE703">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7</w:t>
      </w:r>
      <w:r>
        <w:rPr>
          <w:rFonts w:ascii="仿宋_GB2312" w:hAnsi="宋体" w:eastAsia="仿宋_GB2312"/>
          <w:kern w:val="0"/>
          <w:szCs w:val="21"/>
          <w:highlight w:val="none"/>
        </w:rPr>
        <w:t xml:space="preserve">.5.2 </w:t>
      </w:r>
      <w:r>
        <w:rPr>
          <w:rFonts w:hint="eastAsia" w:ascii="仿宋_GB2312" w:hAnsi="宋体" w:eastAsia="仿宋_GB2312"/>
          <w:kern w:val="0"/>
          <w:szCs w:val="21"/>
          <w:highlight w:val="none"/>
        </w:rPr>
        <w:t>合同当事人对建筑工人工资清偿事宜和违约责任的约定：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FF74A94">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7.6 </w:t>
      </w:r>
      <w:r>
        <w:rPr>
          <w:rFonts w:hint="eastAsia" w:ascii="黑体" w:hAnsi="黑体" w:eastAsia="黑体"/>
          <w:kern w:val="0"/>
          <w:szCs w:val="21"/>
          <w:highlight w:val="none"/>
        </w:rPr>
        <w:t>安全文明施工</w:t>
      </w:r>
    </w:p>
    <w:p w14:paraId="78DE64B4">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7.6.1 </w:t>
      </w:r>
      <w:r>
        <w:rPr>
          <w:rFonts w:hint="eastAsia" w:ascii="仿宋_GB2312" w:hAnsi="宋体" w:eastAsia="仿宋_GB2312"/>
          <w:kern w:val="0"/>
          <w:szCs w:val="21"/>
          <w:highlight w:val="none"/>
        </w:rPr>
        <w:t>安全生产要求</w:t>
      </w:r>
    </w:p>
    <w:p w14:paraId="21883BE4">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合同当事人对安全施工的要求：</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执行国家、省、市的相关规定和招标文件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F970CB4">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7.6.3 </w:t>
      </w:r>
      <w:r>
        <w:rPr>
          <w:rFonts w:hint="eastAsia" w:ascii="仿宋_GB2312" w:hAnsi="宋体" w:eastAsia="仿宋_GB2312"/>
          <w:kern w:val="0"/>
          <w:szCs w:val="21"/>
          <w:highlight w:val="none"/>
        </w:rPr>
        <w:t>文明施工</w:t>
      </w:r>
    </w:p>
    <w:p w14:paraId="45DCB74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合同当事人对文明施工的要求：</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执行国家、省、市的相关规定和招标文件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8C9E86D">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7.9 </w:t>
      </w:r>
      <w:r>
        <w:rPr>
          <w:rFonts w:hint="eastAsia" w:ascii="黑体" w:hAnsi="黑体" w:eastAsia="黑体"/>
          <w:kern w:val="0"/>
          <w:szCs w:val="21"/>
          <w:highlight w:val="none"/>
        </w:rPr>
        <w:t>临时性公用设施</w:t>
      </w:r>
    </w:p>
    <w:p w14:paraId="0372FB9A">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rPr>
        <w:t xml:space="preserve">关于临时性公用设施的特别约定： </w:t>
      </w:r>
      <w:r>
        <w:rPr>
          <w:rFonts w:hint="eastAsia" w:ascii="仿宋_GB2312" w:hAnsi="宋体" w:eastAsia="仿宋_GB2312" w:cs="Times New Roman"/>
          <w:kern w:val="0"/>
          <w:szCs w:val="21"/>
          <w:highlight w:val="none"/>
          <w:u w:val="single"/>
          <w:lang w:val="en-US" w:eastAsia="zh-CN"/>
        </w:rPr>
        <w:t>现场已完成三通一平</w:t>
      </w:r>
      <w:r>
        <w:rPr>
          <w:rFonts w:hint="eastAsia" w:ascii="仿宋_GB2312" w:hAnsi="宋体" w:eastAsia="仿宋_GB2312" w:cs="Times New Roman"/>
          <w:kern w:val="0"/>
          <w:szCs w:val="21"/>
          <w:highlight w:val="none"/>
          <w:u w:val="single"/>
        </w:rPr>
        <w:t xml:space="preserve"> </w:t>
      </w:r>
      <w:r>
        <w:rPr>
          <w:rFonts w:hint="eastAsia" w:ascii="仿宋_GB2312" w:hAnsi="宋体" w:eastAsia="仿宋_GB2312" w:cs="Times New Roman"/>
          <w:kern w:val="0"/>
          <w:szCs w:val="21"/>
          <w:highlight w:val="none"/>
        </w:rPr>
        <w:t>。</w:t>
      </w:r>
    </w:p>
    <w:p w14:paraId="3DA717A2">
      <w:pPr>
        <w:widowControl/>
        <w:adjustRightInd w:val="0"/>
        <w:snapToGrid w:val="0"/>
        <w:spacing w:line="560" w:lineRule="exact"/>
        <w:ind w:firstLine="420" w:firstLineChars="200"/>
        <w:rPr>
          <w:rFonts w:hint="eastAsia" w:ascii="黑体" w:hAnsi="黑体" w:eastAsia="黑体" w:cs="Times New Roman"/>
          <w:kern w:val="0"/>
          <w:szCs w:val="21"/>
          <w:highlight w:val="none"/>
        </w:rPr>
      </w:pPr>
      <w:r>
        <w:rPr>
          <w:rFonts w:hint="eastAsia" w:ascii="黑体" w:hAnsi="黑体" w:eastAsia="黑体" w:cs="Times New Roman"/>
          <w:kern w:val="0"/>
          <w:szCs w:val="21"/>
          <w:highlight w:val="none"/>
        </w:rPr>
        <w:t>7.10 现场安保</w:t>
      </w:r>
    </w:p>
    <w:p w14:paraId="58018027">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承包人现场安保义务的特别约定：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发包人应与当地公安部门协商，在现场建立治安管理机构或联防组织，统一管理施工场地的治安保卫事项，履行合同工程的治安保卫职责。发包人和承包人除应协助现场治安管理机构或联防组织维护施工场地的社会治安外，还应做好包括生活区在内的各自管辖区的治安保卫工作。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44AEFF3C">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27" w:name="_Toc54862339"/>
      <w:r>
        <w:rPr>
          <w:rFonts w:hint="eastAsia" w:ascii="黑体" w:hAnsi="黑体" w:eastAsia="黑体" w:cs="Times"/>
          <w:bCs/>
          <w:kern w:val="0"/>
          <w:szCs w:val="21"/>
          <w:highlight w:val="none"/>
        </w:rPr>
        <w:t>第</w:t>
      </w:r>
      <w:r>
        <w:rPr>
          <w:rFonts w:ascii="黑体" w:hAnsi="黑体" w:eastAsia="黑体" w:cs="Times"/>
          <w:bCs/>
          <w:kern w:val="0"/>
          <w:szCs w:val="21"/>
          <w:highlight w:val="none"/>
        </w:rPr>
        <w:t>8条</w:t>
      </w:r>
      <w:r>
        <w:rPr>
          <w:rFonts w:hint="eastAsia" w:ascii="黑体" w:hAnsi="黑体" w:eastAsia="黑体" w:cs="Times"/>
          <w:bCs/>
          <w:kern w:val="0"/>
          <w:szCs w:val="21"/>
          <w:highlight w:val="none"/>
        </w:rPr>
        <w:t xml:space="preserve"> 工期和进度</w:t>
      </w:r>
      <w:bookmarkEnd w:id="727"/>
    </w:p>
    <w:p w14:paraId="6C11CE55">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8.1 </w:t>
      </w:r>
      <w:r>
        <w:rPr>
          <w:rFonts w:hint="eastAsia" w:ascii="黑体" w:hAnsi="黑体" w:eastAsia="黑体"/>
          <w:kern w:val="0"/>
          <w:szCs w:val="21"/>
          <w:highlight w:val="none"/>
        </w:rPr>
        <w:t>开始工作</w:t>
      </w:r>
    </w:p>
    <w:p w14:paraId="3A3DBC14">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8.1.1 </w:t>
      </w:r>
      <w:r>
        <w:rPr>
          <w:rFonts w:hint="eastAsia" w:ascii="仿宋_GB2312" w:hAnsi="宋体" w:eastAsia="仿宋_GB2312"/>
          <w:kern w:val="0"/>
          <w:szCs w:val="21"/>
          <w:highlight w:val="none"/>
        </w:rPr>
        <w:t>开始准备工作：</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中标公示期满后立即开展施工准备工作</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8AF6C56">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8.1.2 </w:t>
      </w:r>
      <w:r>
        <w:rPr>
          <w:rFonts w:hint="eastAsia" w:ascii="仿宋_GB2312" w:hAnsi="宋体" w:eastAsia="仿宋_GB2312"/>
          <w:kern w:val="0"/>
          <w:szCs w:val="21"/>
          <w:highlight w:val="none"/>
        </w:rPr>
        <w:t>发包人可在计划开始工作之日起</w:t>
      </w:r>
      <w:r>
        <w:rPr>
          <w:rFonts w:ascii="仿宋_GB2312" w:hAnsi="宋体" w:eastAsia="仿宋_GB2312"/>
          <w:kern w:val="0"/>
          <w:szCs w:val="21"/>
          <w:highlight w:val="none"/>
        </w:rPr>
        <w:t>84</w:t>
      </w:r>
      <w:r>
        <w:rPr>
          <w:rFonts w:hint="eastAsia" w:ascii="仿宋_GB2312" w:hAnsi="宋体" w:eastAsia="仿宋_GB2312"/>
          <w:kern w:val="0"/>
          <w:szCs w:val="21"/>
          <w:highlight w:val="none"/>
        </w:rPr>
        <w:t>日后发出开始工作通知的特殊情形：</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根据项目实际情况另行约定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94E5CAA">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8.2 </w:t>
      </w:r>
      <w:r>
        <w:rPr>
          <w:rFonts w:hint="eastAsia" w:ascii="黑体" w:hAnsi="黑体" w:eastAsia="黑体"/>
          <w:kern w:val="0"/>
          <w:szCs w:val="21"/>
          <w:highlight w:val="none"/>
        </w:rPr>
        <w:t>竣工日期</w:t>
      </w:r>
    </w:p>
    <w:p w14:paraId="05C2B61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竣工日期的约定：</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cs="宋体"/>
          <w:szCs w:val="21"/>
          <w:highlight w:val="none"/>
          <w:u w:val="single"/>
        </w:rPr>
        <w:t>整体工程完工后组织竣工验收，验收合格之日作为竣工日期</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2B59AB0">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8.3 </w:t>
      </w:r>
      <w:r>
        <w:rPr>
          <w:rFonts w:hint="eastAsia" w:ascii="黑体" w:hAnsi="黑体" w:eastAsia="黑体"/>
          <w:kern w:val="0"/>
          <w:szCs w:val="21"/>
          <w:highlight w:val="none"/>
        </w:rPr>
        <w:t>项目实施计划</w:t>
      </w:r>
    </w:p>
    <w:p w14:paraId="177EA6C1">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8.3.1 </w:t>
      </w:r>
      <w:r>
        <w:rPr>
          <w:rFonts w:hint="eastAsia" w:ascii="仿宋_GB2312" w:hAnsi="宋体" w:eastAsia="仿宋_GB2312"/>
          <w:kern w:val="0"/>
          <w:szCs w:val="21"/>
          <w:highlight w:val="none"/>
        </w:rPr>
        <w:t>项目实施计划的内容</w:t>
      </w:r>
    </w:p>
    <w:p w14:paraId="13444E37">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项目实施计划的内容：</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cs="宋体"/>
          <w:szCs w:val="21"/>
          <w:highlight w:val="none"/>
          <w:u w:val="single"/>
        </w:rPr>
        <w:t xml:space="preserve"> 本工程需按照总进度计划编制每月施工进度计划，经监理、发包人审批后作为进度考核和进度款支付的依据</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90BE53E">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8.3.2 </w:t>
      </w:r>
      <w:r>
        <w:rPr>
          <w:rFonts w:hint="eastAsia" w:ascii="仿宋_GB2312" w:hAnsi="宋体" w:eastAsia="仿宋_GB2312"/>
          <w:kern w:val="0"/>
          <w:szCs w:val="21"/>
          <w:highlight w:val="none"/>
        </w:rPr>
        <w:t>项目实施计划的提交和修改</w:t>
      </w:r>
    </w:p>
    <w:p w14:paraId="4699884D">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项目实施计划的提交及修改期限：</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cs="宋体"/>
          <w:szCs w:val="21"/>
          <w:highlight w:val="none"/>
          <w:u w:val="single"/>
        </w:rPr>
        <w:t>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81216C1">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8.4 </w:t>
      </w:r>
      <w:r>
        <w:rPr>
          <w:rFonts w:hint="eastAsia" w:ascii="黑体" w:hAnsi="黑体" w:eastAsia="黑体"/>
          <w:kern w:val="0"/>
          <w:szCs w:val="21"/>
          <w:highlight w:val="none"/>
        </w:rPr>
        <w:t>项目进度计划</w:t>
      </w:r>
    </w:p>
    <w:p w14:paraId="1AFD82F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8.4.1 </w:t>
      </w:r>
      <w:r>
        <w:rPr>
          <w:rFonts w:hint="eastAsia" w:ascii="仿宋_GB2312" w:hAnsi="宋体" w:eastAsia="仿宋_GB2312"/>
          <w:kern w:val="0"/>
          <w:szCs w:val="21"/>
          <w:highlight w:val="none"/>
        </w:rPr>
        <w:t>工程师在收到进度计划后确认或提出修改意见的期限：</w:t>
      </w:r>
      <w:r>
        <w:rPr>
          <w:rFonts w:ascii="仿宋_GB2312" w:hAnsi="宋体" w:eastAsia="仿宋_GB2312"/>
          <w:kern w:val="0"/>
          <w:szCs w:val="21"/>
          <w:highlight w:val="none"/>
          <w:u w:val="single"/>
        </w:rPr>
        <w:t xml:space="preserve">   </w:t>
      </w:r>
      <w:r>
        <w:rPr>
          <w:rFonts w:hint="eastAsia" w:cs="宋体"/>
          <w:szCs w:val="21"/>
          <w:highlight w:val="none"/>
          <w:u w:val="single"/>
        </w:rPr>
        <w:t>发包人和监理人应在收到修订的施工进度计划后7天内完成审核和批准或提出修改意见。发包人和监理人对承包人提交的施工进度计划的确认，不能减轻或免除承包人根据法律规定和合同约定应承担的任何责任或义务。承包人必须按照批准的进度计划组织施工，接受发包人对进度的检查、监督，工程实际进展与进度计划不符时，应提供修改，调整后的进度计划及相应的措施报发包人批准后执行</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245F6D5">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8.4.2 </w:t>
      </w:r>
      <w:r>
        <w:rPr>
          <w:rFonts w:hint="eastAsia" w:ascii="仿宋_GB2312" w:hAnsi="宋体" w:eastAsia="仿宋_GB2312"/>
          <w:kern w:val="0"/>
          <w:szCs w:val="21"/>
          <w:highlight w:val="none"/>
        </w:rPr>
        <w:t>进度计划的具体要求：</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另行协商</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F31B0C9">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关键路径及关键路径变化的确定原则：</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另行协商</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D1292C4">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承包人提交项目进度计划的份数和时间：</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另行协商</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A74C4C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8.4.3 </w:t>
      </w:r>
      <w:r>
        <w:rPr>
          <w:rFonts w:hint="eastAsia" w:ascii="仿宋_GB2312" w:hAnsi="宋体" w:eastAsia="仿宋_GB2312"/>
          <w:kern w:val="0"/>
          <w:szCs w:val="21"/>
          <w:highlight w:val="none"/>
        </w:rPr>
        <w:t>进度计划的修订</w:t>
      </w:r>
    </w:p>
    <w:p w14:paraId="474FAA55">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承包人提交修订</w:t>
      </w:r>
      <w:r>
        <w:rPr>
          <w:rFonts w:ascii="仿宋_GB2312" w:hAnsi="宋体" w:eastAsia="仿宋_GB2312"/>
          <w:kern w:val="0"/>
          <w:szCs w:val="21"/>
          <w:highlight w:val="none"/>
        </w:rPr>
        <w:t>项目进度计划</w:t>
      </w:r>
      <w:r>
        <w:rPr>
          <w:rFonts w:hint="eastAsia" w:ascii="仿宋_GB2312" w:hAnsi="宋体" w:eastAsia="仿宋_GB2312"/>
          <w:kern w:val="0"/>
          <w:szCs w:val="21"/>
          <w:highlight w:val="none"/>
        </w:rPr>
        <w:t>申请报告的期限：</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另行协商</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A81C95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发包人批复修订</w:t>
      </w:r>
      <w:r>
        <w:rPr>
          <w:rFonts w:ascii="仿宋_GB2312" w:hAnsi="宋体" w:eastAsia="仿宋_GB2312"/>
          <w:kern w:val="0"/>
          <w:szCs w:val="21"/>
          <w:highlight w:val="none"/>
        </w:rPr>
        <w:t>项目进度计划</w:t>
      </w:r>
      <w:r>
        <w:rPr>
          <w:rFonts w:hint="eastAsia" w:ascii="仿宋_GB2312" w:hAnsi="宋体" w:eastAsia="仿宋_GB2312"/>
          <w:kern w:val="0"/>
          <w:szCs w:val="21"/>
          <w:highlight w:val="none"/>
        </w:rPr>
        <w:t>申请报告的期限：</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另行协商</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CE6A92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承包人答复发包人提出修订合同计划的期限：</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另行协商</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F452E4C">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8.5 </w:t>
      </w:r>
      <w:r>
        <w:rPr>
          <w:rFonts w:hint="eastAsia" w:ascii="黑体" w:hAnsi="黑体" w:eastAsia="黑体"/>
          <w:kern w:val="0"/>
          <w:szCs w:val="21"/>
          <w:highlight w:val="none"/>
        </w:rPr>
        <w:t>进度报告</w:t>
      </w:r>
    </w:p>
    <w:p w14:paraId="7A816352">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进度报告的具体要求：</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另行协商</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E2EFF15">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8.7 </w:t>
      </w:r>
      <w:r>
        <w:rPr>
          <w:rFonts w:hint="eastAsia" w:ascii="黑体" w:hAnsi="黑体" w:eastAsia="黑体"/>
          <w:kern w:val="0"/>
          <w:szCs w:val="21"/>
          <w:highlight w:val="none"/>
        </w:rPr>
        <w:t>工期延误</w:t>
      </w:r>
    </w:p>
    <w:p w14:paraId="59129F75">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8.7.2 </w:t>
      </w:r>
      <w:r>
        <w:rPr>
          <w:rFonts w:hint="eastAsia" w:ascii="仿宋_GB2312" w:hAnsi="宋体" w:eastAsia="仿宋_GB2312"/>
          <w:kern w:val="0"/>
          <w:szCs w:val="21"/>
          <w:highlight w:val="none"/>
        </w:rPr>
        <w:t>因承包人原因导致工期延误</w:t>
      </w:r>
    </w:p>
    <w:p w14:paraId="6DF78E0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因承包人原因使竣工日期延误，每延误1日的误期赔偿金额为合同协议书的合同价格的</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%或人民币金额为：</w:t>
      </w:r>
      <w:r>
        <w:rPr>
          <w:rFonts w:ascii="仿宋_GB2312" w:hAnsi="宋体" w:eastAsia="仿宋_GB2312"/>
          <w:kern w:val="0"/>
          <w:szCs w:val="21"/>
          <w:highlight w:val="none"/>
          <w:u w:val="single"/>
        </w:rPr>
        <w:t xml:space="preserve">   </w:t>
      </w:r>
      <w:r>
        <w:rPr>
          <w:rFonts w:hint="eastAsia" w:ascii="仿宋_GB2312" w:hAnsi="宋体" w:eastAsia="仿宋_GB2312" w:cs="Times New Roman"/>
          <w:kern w:val="0"/>
          <w:szCs w:val="21"/>
          <w:highlight w:val="none"/>
          <w:u w:val="single"/>
          <w:lang w:val="en-US" w:eastAsia="zh-CN"/>
        </w:rPr>
        <w:t>万分之二/天的违约金</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、累计最高赔偿金额为合同协议书的合同价格的：</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2</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%或人民币金额为：</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9B718C5">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8.7.3 </w:t>
      </w:r>
      <w:r>
        <w:rPr>
          <w:rFonts w:hint="eastAsia" w:ascii="仿宋_GB2312" w:hAnsi="宋体" w:eastAsia="仿宋_GB2312"/>
          <w:kern w:val="0"/>
          <w:szCs w:val="21"/>
          <w:highlight w:val="none"/>
        </w:rPr>
        <w:t>行政审批迟延</w:t>
      </w:r>
    </w:p>
    <w:p w14:paraId="790120C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行政审批报送的职责分工：</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根据发包人要求，承包人配合</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D98F50A">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8.7.4 </w:t>
      </w:r>
      <w:r>
        <w:rPr>
          <w:rFonts w:hint="eastAsia" w:ascii="仿宋_GB2312" w:hAnsi="宋体" w:eastAsia="仿宋_GB2312"/>
          <w:kern w:val="0"/>
          <w:szCs w:val="21"/>
          <w:highlight w:val="none"/>
        </w:rPr>
        <w:t>异常恶劣的气候条件</w:t>
      </w:r>
    </w:p>
    <w:p w14:paraId="4ECBDA43">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双方约定视为异常恶劣的气候条件的情形：</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013A0B5">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8.8 </w:t>
      </w:r>
      <w:r>
        <w:rPr>
          <w:rFonts w:hint="eastAsia" w:ascii="黑体" w:hAnsi="黑体" w:eastAsia="黑体"/>
          <w:kern w:val="0"/>
          <w:szCs w:val="21"/>
          <w:highlight w:val="none"/>
        </w:rPr>
        <w:t>工期提前</w:t>
      </w:r>
    </w:p>
    <w:p w14:paraId="0D5083D1">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8.8.2 </w:t>
      </w:r>
      <w:r>
        <w:rPr>
          <w:rFonts w:hint="eastAsia" w:ascii="仿宋_GB2312" w:hAnsi="宋体" w:eastAsia="仿宋_GB2312"/>
          <w:kern w:val="0"/>
          <w:szCs w:val="21"/>
          <w:highlight w:val="none"/>
        </w:rPr>
        <w:t>承包人提前竣工的奖励：</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204900F">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28" w:name="_Toc54862340"/>
      <w:r>
        <w:rPr>
          <w:rFonts w:hint="eastAsia" w:ascii="黑体" w:hAnsi="黑体" w:eastAsia="黑体" w:cs="Times"/>
          <w:bCs/>
          <w:kern w:val="0"/>
          <w:szCs w:val="21"/>
          <w:highlight w:val="none"/>
        </w:rPr>
        <w:t>第</w:t>
      </w:r>
      <w:r>
        <w:rPr>
          <w:rFonts w:ascii="黑体" w:hAnsi="黑体" w:eastAsia="黑体" w:cs="Times"/>
          <w:bCs/>
          <w:kern w:val="0"/>
          <w:szCs w:val="21"/>
          <w:highlight w:val="none"/>
        </w:rPr>
        <w:t>9条</w:t>
      </w:r>
      <w:r>
        <w:rPr>
          <w:rFonts w:hint="eastAsia" w:ascii="黑体" w:hAnsi="黑体" w:eastAsia="黑体" w:cs="Times"/>
          <w:bCs/>
          <w:kern w:val="0"/>
          <w:szCs w:val="21"/>
          <w:highlight w:val="none"/>
        </w:rPr>
        <w:t xml:space="preserve"> 竣工试验</w:t>
      </w:r>
      <w:bookmarkEnd w:id="728"/>
    </w:p>
    <w:p w14:paraId="6E8734A5">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9.1 </w:t>
      </w:r>
      <w:r>
        <w:rPr>
          <w:rFonts w:hint="eastAsia" w:ascii="黑体" w:hAnsi="黑体" w:eastAsia="黑体"/>
          <w:kern w:val="0"/>
          <w:szCs w:val="21"/>
          <w:highlight w:val="none"/>
        </w:rPr>
        <w:t>竣工试验的义务</w:t>
      </w:r>
    </w:p>
    <w:p w14:paraId="3F91384C">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9.1.3 </w:t>
      </w:r>
      <w:r>
        <w:rPr>
          <w:rFonts w:hint="eastAsia" w:ascii="仿宋_GB2312" w:hAnsi="宋体" w:eastAsia="仿宋_GB2312"/>
          <w:kern w:val="0"/>
          <w:szCs w:val="21"/>
          <w:highlight w:val="none"/>
        </w:rPr>
        <w:t>竣工试验的阶段、内容和顺序：</w:t>
      </w:r>
      <w:r>
        <w:rPr>
          <w:rFonts w:ascii="仿宋_GB2312" w:hAnsi="宋体" w:eastAsia="仿宋_GB2312"/>
          <w:kern w:val="0"/>
          <w:szCs w:val="21"/>
          <w:highlight w:val="none"/>
          <w:u w:val="single"/>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按照发包人相关要求执行</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4C59A8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竣工试验的操作要求：</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按照发包人相关要求执行</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23CEABE">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29" w:name="_Toc54862341"/>
      <w:r>
        <w:rPr>
          <w:rFonts w:hint="eastAsia" w:ascii="黑体" w:hAnsi="黑体" w:eastAsia="黑体" w:cs="Times"/>
          <w:bCs/>
          <w:kern w:val="0"/>
          <w:szCs w:val="21"/>
          <w:highlight w:val="none"/>
        </w:rPr>
        <w:t>第</w:t>
      </w:r>
      <w:r>
        <w:rPr>
          <w:rFonts w:ascii="黑体" w:hAnsi="黑体" w:eastAsia="黑体" w:cs="Times"/>
          <w:bCs/>
          <w:kern w:val="0"/>
          <w:szCs w:val="21"/>
          <w:highlight w:val="none"/>
        </w:rPr>
        <w:t>10条</w:t>
      </w:r>
      <w:r>
        <w:rPr>
          <w:rFonts w:hint="eastAsia" w:ascii="黑体" w:hAnsi="黑体" w:eastAsia="黑体" w:cs="Times"/>
          <w:bCs/>
          <w:kern w:val="0"/>
          <w:szCs w:val="21"/>
          <w:highlight w:val="none"/>
        </w:rPr>
        <w:t xml:space="preserve"> 验收和工程接收</w:t>
      </w:r>
      <w:bookmarkEnd w:id="729"/>
    </w:p>
    <w:p w14:paraId="65DB1A03">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10.1 </w:t>
      </w:r>
      <w:r>
        <w:rPr>
          <w:rFonts w:hint="eastAsia" w:ascii="黑体" w:hAnsi="黑体" w:eastAsia="黑体"/>
          <w:kern w:val="0"/>
          <w:szCs w:val="21"/>
          <w:highlight w:val="none"/>
        </w:rPr>
        <w:t>竣工验收</w:t>
      </w:r>
    </w:p>
    <w:p w14:paraId="7EC9F36E">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10.1.2 </w:t>
      </w:r>
      <w:r>
        <w:rPr>
          <w:rFonts w:hint="eastAsia" w:ascii="仿宋_GB2312" w:hAnsi="宋体" w:eastAsia="仿宋_GB2312"/>
          <w:kern w:val="0"/>
          <w:szCs w:val="21"/>
          <w:highlight w:val="none"/>
        </w:rPr>
        <w:t>关于竣工验收程序的约定：</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rPr>
        <w:t>承包人取得工程完工证明之日起即为工程实际竣工日期（该时间仅用于计算工期，不用于质量保修期、缺陷责任期等</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58D4671">
      <w:pPr>
        <w:widowControl/>
        <w:adjustRightInd w:val="0"/>
        <w:snapToGrid w:val="0"/>
        <w:spacing w:line="560" w:lineRule="exact"/>
        <w:ind w:firstLine="420" w:firstLineChars="200"/>
        <w:rPr>
          <w:rFonts w:ascii="仿宋_GB2312" w:hAnsi="宋体" w:eastAsia="仿宋_GB2312"/>
          <w:kern w:val="0"/>
          <w:szCs w:val="21"/>
          <w:highlight w:val="none"/>
        </w:rPr>
      </w:pPr>
      <w:bookmarkStart w:id="730" w:name="_Hlk46406260"/>
      <w:r>
        <w:rPr>
          <w:rFonts w:hint="eastAsia" w:ascii="仿宋_GB2312" w:hAnsi="宋体" w:eastAsia="仿宋_GB2312"/>
          <w:kern w:val="0"/>
          <w:szCs w:val="21"/>
          <w:highlight w:val="none"/>
        </w:rPr>
        <w:t>发包人不按照合同约定组织竣工验收、颁发工程接受证书的违约金的计算方式：</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不考虑</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bookmarkEnd w:id="730"/>
    <w:p w14:paraId="5ECD50D5">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10.3</w:t>
      </w:r>
      <w:r>
        <w:rPr>
          <w:rFonts w:ascii="黑体" w:hAnsi="黑体" w:eastAsia="黑体"/>
          <w:kern w:val="0"/>
          <w:szCs w:val="21"/>
          <w:highlight w:val="none"/>
        </w:rPr>
        <w:tab/>
      </w:r>
      <w:r>
        <w:rPr>
          <w:rFonts w:ascii="黑体" w:hAnsi="黑体" w:eastAsia="黑体"/>
          <w:kern w:val="0"/>
          <w:szCs w:val="21"/>
          <w:highlight w:val="none"/>
        </w:rPr>
        <w:t xml:space="preserve"> 工程的接收</w:t>
      </w:r>
    </w:p>
    <w:p w14:paraId="28F1136D">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10.3.1</w:t>
      </w:r>
      <w:r>
        <w:rPr>
          <w:rFonts w:hint="eastAsia" w:ascii="仿宋_GB2312" w:hAnsi="宋体" w:eastAsia="仿宋_GB2312"/>
          <w:kern w:val="0"/>
          <w:szCs w:val="21"/>
          <w:highlight w:val="none"/>
        </w:rPr>
        <w:t>工程接收的先后顺序、时间安排和其他要求：</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rPr>
        <w:t>承包人应当无条件配合发包人在30日内将工程移交给管养单位</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7382A0B">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10.3.2 </w:t>
      </w:r>
      <w:r>
        <w:rPr>
          <w:rFonts w:hint="eastAsia" w:ascii="仿宋_GB2312" w:hAnsi="宋体" w:eastAsia="仿宋_GB2312"/>
          <w:kern w:val="0"/>
          <w:szCs w:val="21"/>
          <w:highlight w:val="none"/>
        </w:rPr>
        <w:t>接受工程时承包人需提交竣工验收资料的类别、内容、份数和提交时间：</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hint="eastAsia" w:cs="宋体"/>
          <w:szCs w:val="21"/>
          <w:highlight w:val="none"/>
          <w:u w:val="single"/>
        </w:rPr>
        <w:t>执行发包人同意内容格式</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9D49693">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10.3.3 </w:t>
      </w:r>
      <w:r>
        <w:rPr>
          <w:rFonts w:hint="eastAsia" w:ascii="仿宋_GB2312" w:hAnsi="宋体" w:eastAsia="仿宋_GB2312"/>
          <w:kern w:val="0"/>
          <w:szCs w:val="21"/>
          <w:highlight w:val="none"/>
        </w:rPr>
        <w:t>发包人逾期接收工程的违约责任：</w:t>
      </w:r>
      <w:r>
        <w:rPr>
          <w:rFonts w:ascii="仿宋_GB2312" w:hAnsi="宋体" w:eastAsia="仿宋_GB2312"/>
          <w:kern w:val="0"/>
          <w:szCs w:val="21"/>
          <w:highlight w:val="none"/>
          <w:u w:val="single"/>
        </w:rPr>
        <w:t xml:space="preserve">           </w:t>
      </w:r>
      <w:r>
        <w:rPr>
          <w:rFonts w:hint="eastAsia" w:ascii="仿宋_GB2312" w:hAnsi="宋体" w:eastAsia="仿宋_GB2312" w:cs="Times New Roman"/>
          <w:kern w:val="0"/>
          <w:szCs w:val="21"/>
          <w:highlight w:val="none"/>
          <w:u w:val="single"/>
          <w:lang w:val="en-US" w:eastAsia="zh-CN"/>
        </w:rPr>
        <w:t>不考虑</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666CA3F">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10.3.4 </w:t>
      </w:r>
      <w:r>
        <w:rPr>
          <w:rFonts w:hint="eastAsia" w:ascii="仿宋_GB2312" w:hAnsi="宋体" w:eastAsia="仿宋_GB2312"/>
          <w:kern w:val="0"/>
          <w:szCs w:val="21"/>
          <w:highlight w:val="none"/>
        </w:rPr>
        <w:t>承包人无正当理由不移交工程的违约责任：</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rPr>
        <w:t>因承包人原因，未按合同期限按时移交的，暂停工程款支付，发包人可动用质保金，用于工程质量整改</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D970B28">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10.4 </w:t>
      </w:r>
      <w:r>
        <w:rPr>
          <w:rFonts w:hint="eastAsia" w:ascii="黑体" w:hAnsi="黑体" w:eastAsia="黑体"/>
          <w:kern w:val="0"/>
          <w:szCs w:val="21"/>
          <w:highlight w:val="none"/>
        </w:rPr>
        <w:t>接收证书</w:t>
      </w:r>
    </w:p>
    <w:p w14:paraId="1CEFE5CF">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10.4.1 </w:t>
      </w:r>
      <w:r>
        <w:rPr>
          <w:rFonts w:hint="eastAsia" w:ascii="仿宋_GB2312" w:hAnsi="宋体" w:eastAsia="仿宋_GB2312"/>
          <w:kern w:val="0"/>
          <w:szCs w:val="21"/>
          <w:highlight w:val="none"/>
        </w:rPr>
        <w:t>工程接收证书颁发时间：</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cs="宋体"/>
          <w:szCs w:val="21"/>
          <w:highlight w:val="none"/>
          <w:u w:val="single"/>
        </w:rPr>
        <w:t>执行通用合同</w:t>
      </w:r>
      <w:r>
        <w:rPr>
          <w:rFonts w:hint="eastAsia" w:cs="宋体"/>
          <w:szCs w:val="21"/>
          <w:highlight w:val="none"/>
          <w:u w:val="single"/>
          <w:lang w:val="en-US" w:eastAsia="zh-CN"/>
        </w:rPr>
        <w:t>条款</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1FCFFE1">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10.5 </w:t>
      </w:r>
      <w:r>
        <w:rPr>
          <w:rFonts w:hint="eastAsia" w:ascii="黑体" w:hAnsi="黑体" w:eastAsia="黑体"/>
          <w:kern w:val="0"/>
          <w:szCs w:val="21"/>
          <w:highlight w:val="none"/>
        </w:rPr>
        <w:t>竣工退场</w:t>
      </w:r>
    </w:p>
    <w:p w14:paraId="29213E1F">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10.5.1 </w:t>
      </w:r>
      <w:r>
        <w:rPr>
          <w:rFonts w:hint="eastAsia" w:ascii="仿宋_GB2312" w:hAnsi="宋体" w:eastAsia="仿宋_GB2312"/>
          <w:kern w:val="0"/>
          <w:szCs w:val="21"/>
          <w:highlight w:val="none"/>
        </w:rPr>
        <w:t>竣工退场的相关约定：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工程竣工合格后，7天内退场</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540C1AD">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10.5.3</w:t>
      </w:r>
      <w:r>
        <w:rPr>
          <w:rFonts w:hint="eastAsia" w:ascii="仿宋_GB2312" w:hAnsi="宋体" w:eastAsia="仿宋_GB2312"/>
          <w:kern w:val="0"/>
          <w:szCs w:val="21"/>
          <w:highlight w:val="none"/>
        </w:rPr>
        <w:t>人员撤离</w:t>
      </w:r>
    </w:p>
    <w:p w14:paraId="3B5673C4">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工程师同意需在缺陷责任期内继续工作和使用的人员、施工设备和临时工程的内容：</w:t>
      </w:r>
      <w:r>
        <w:rPr>
          <w:rFonts w:ascii="仿宋_GB2312" w:hAnsi="宋体" w:eastAsia="仿宋_GB2312"/>
          <w:kern w:val="0"/>
          <w:szCs w:val="21"/>
          <w:highlight w:val="none"/>
          <w:u w:val="single"/>
        </w:rPr>
        <w:t xml:space="preserve">    </w:t>
      </w:r>
      <w:r>
        <w:rPr>
          <w:rFonts w:hint="eastAsia" w:cs="宋体"/>
          <w:szCs w:val="21"/>
          <w:highlight w:val="none"/>
          <w:u w:val="single"/>
        </w:rPr>
        <w:t>满足缺陷责任期内继续工作的使用要求</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04C8AD5">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31" w:name="_Toc54862342"/>
      <w:r>
        <w:rPr>
          <w:rFonts w:hint="eastAsia" w:ascii="黑体" w:hAnsi="黑体" w:eastAsia="黑体" w:cs="Times"/>
          <w:bCs/>
          <w:kern w:val="0"/>
          <w:szCs w:val="21"/>
          <w:highlight w:val="none"/>
        </w:rPr>
        <w:t>第</w:t>
      </w:r>
      <w:r>
        <w:rPr>
          <w:rFonts w:ascii="黑体" w:hAnsi="黑体" w:eastAsia="黑体" w:cs="Times"/>
          <w:bCs/>
          <w:kern w:val="0"/>
          <w:szCs w:val="21"/>
          <w:highlight w:val="none"/>
        </w:rPr>
        <w:t>11条</w:t>
      </w:r>
      <w:r>
        <w:rPr>
          <w:rFonts w:hint="eastAsia" w:ascii="黑体" w:hAnsi="黑体" w:eastAsia="黑体" w:cs="Times"/>
          <w:bCs/>
          <w:kern w:val="0"/>
          <w:szCs w:val="21"/>
          <w:highlight w:val="none"/>
        </w:rPr>
        <w:t xml:space="preserve"> 缺陷责任与保修</w:t>
      </w:r>
      <w:bookmarkEnd w:id="731"/>
    </w:p>
    <w:p w14:paraId="705A67FC">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11.2 </w:t>
      </w:r>
      <w:r>
        <w:rPr>
          <w:rFonts w:hint="eastAsia" w:ascii="黑体" w:hAnsi="黑体" w:eastAsia="黑体"/>
          <w:kern w:val="0"/>
          <w:szCs w:val="21"/>
          <w:highlight w:val="none"/>
        </w:rPr>
        <w:t>缺陷责任期</w:t>
      </w:r>
    </w:p>
    <w:p w14:paraId="0D732BE5">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缺陷责任期的</w:t>
      </w:r>
      <w:r>
        <w:rPr>
          <w:rFonts w:hint="eastAsia" w:ascii="仿宋_GB2312" w:hAnsi="宋体" w:eastAsia="仿宋_GB2312"/>
          <w:kern w:val="0"/>
          <w:szCs w:val="21"/>
          <w:highlight w:val="none"/>
        </w:rPr>
        <w:t>期限：</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缺陷责任期两年（缺陷责任期从整体竣工验收合格之日起计算</w:t>
      </w:r>
      <w:r>
        <w:rPr>
          <w:rFonts w:hint="eastAsia" w:ascii="宋体" w:hAnsi="宋体" w:cs="宋体"/>
          <w:szCs w:val="21"/>
          <w:highlight w:val="none"/>
          <w:u w:val="single"/>
          <w:lang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29D8AC7">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11.3 </w:t>
      </w:r>
      <w:r>
        <w:rPr>
          <w:rFonts w:hint="eastAsia" w:ascii="黑体" w:hAnsi="黑体" w:eastAsia="黑体"/>
          <w:kern w:val="0"/>
          <w:szCs w:val="21"/>
          <w:highlight w:val="none"/>
        </w:rPr>
        <w:t>缺陷调查</w:t>
      </w:r>
    </w:p>
    <w:p w14:paraId="033EE83A">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11.3.4 </w:t>
      </w:r>
      <w:r>
        <w:rPr>
          <w:rFonts w:hint="eastAsia" w:ascii="仿宋_GB2312" w:hAnsi="宋体" w:eastAsia="仿宋_GB2312"/>
          <w:kern w:val="0"/>
          <w:szCs w:val="21"/>
          <w:highlight w:val="none"/>
        </w:rPr>
        <w:t>修复通知</w:t>
      </w:r>
    </w:p>
    <w:p w14:paraId="68DB6573">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承包人收到保修通知并到达工程现场的合理时间：</w:t>
      </w:r>
      <w:r>
        <w:rPr>
          <w:rFonts w:ascii="仿宋_GB2312" w:hAnsi="宋体" w:eastAsia="仿宋_GB2312"/>
          <w:kern w:val="0"/>
          <w:szCs w:val="21"/>
          <w:highlight w:val="none"/>
          <w:u w:val="single"/>
        </w:rPr>
        <w:t xml:space="preserve">  </w:t>
      </w:r>
      <w:r>
        <w:rPr>
          <w:rFonts w:hint="eastAsia" w:ascii="宋体" w:cs="宋体"/>
          <w:kern w:val="0"/>
          <w:szCs w:val="21"/>
          <w:highlight w:val="none"/>
          <w:u w:val="single"/>
        </w:rPr>
        <w:t>自承包人收到保修通知起6小时内到达工程现场</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7F61210">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11.6 </w:t>
      </w:r>
      <w:r>
        <w:rPr>
          <w:rFonts w:hint="eastAsia" w:ascii="黑体" w:hAnsi="黑体" w:eastAsia="黑体"/>
          <w:kern w:val="0"/>
          <w:szCs w:val="21"/>
          <w:highlight w:val="none"/>
        </w:rPr>
        <w:t>缺陷责任期终止证书</w:t>
      </w:r>
    </w:p>
    <w:p w14:paraId="5F08495F">
      <w:pPr>
        <w:widowControl/>
        <w:adjustRightInd w:val="0"/>
        <w:snapToGrid w:val="0"/>
        <w:spacing w:line="560" w:lineRule="exact"/>
        <w:ind w:firstLine="420" w:firstLineChars="200"/>
        <w:rPr>
          <w:rFonts w:ascii="仿宋_GB2312" w:hAnsi="宋体" w:eastAsia="仿宋_GB2312"/>
          <w:kern w:val="0"/>
          <w:szCs w:val="21"/>
          <w:highlight w:val="none"/>
          <w:u w:val="single"/>
        </w:rPr>
      </w:pPr>
      <w:r>
        <w:rPr>
          <w:rFonts w:hint="eastAsia" w:ascii="仿宋_GB2312" w:hAnsi="宋体" w:eastAsia="仿宋_GB2312"/>
          <w:kern w:val="0"/>
          <w:szCs w:val="21"/>
          <w:highlight w:val="none"/>
        </w:rPr>
        <w:t>承包人应于缺陷责任期届满后</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7</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天内向发包人发出缺陷责任期届满通知，发包人应在收到缺陷责任期满通知后</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7</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 xml:space="preserve">天内核实承包人是否履行缺陷修复义务，承包人未能履行缺陷修复义务的，发包人有权扣除相应金额的维修费用。发包人应在收到缺陷责任期届满通知后  </w:t>
      </w:r>
      <w:r>
        <w:rPr>
          <w:rFonts w:hint="eastAsia" w:ascii="仿宋_GB2312" w:hAnsi="宋体" w:eastAsia="仿宋_GB2312"/>
          <w:kern w:val="0"/>
          <w:szCs w:val="21"/>
          <w:highlight w:val="none"/>
          <w:lang w:val="en-US" w:eastAsia="zh-CN"/>
        </w:rPr>
        <w:t>28</w:t>
      </w:r>
      <w:r>
        <w:rPr>
          <w:rFonts w:hint="eastAsia" w:ascii="仿宋_GB2312" w:hAnsi="宋体" w:eastAsia="仿宋_GB2312"/>
          <w:kern w:val="0"/>
          <w:szCs w:val="21"/>
          <w:highlight w:val="none"/>
        </w:rPr>
        <w:t xml:space="preserve">  天内，向承包人颁发缺陷责任期终止证书。</w:t>
      </w:r>
    </w:p>
    <w:p w14:paraId="08818637">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11.7 </w:t>
      </w:r>
      <w:r>
        <w:rPr>
          <w:rFonts w:hint="eastAsia" w:ascii="黑体" w:hAnsi="黑体" w:eastAsia="黑体"/>
          <w:kern w:val="0"/>
          <w:szCs w:val="21"/>
          <w:highlight w:val="none"/>
        </w:rPr>
        <w:t>保修责任</w:t>
      </w:r>
    </w:p>
    <w:p w14:paraId="1A7B1D3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工程质量保修范围、期限和责任</w:t>
      </w:r>
      <w:r>
        <w:rPr>
          <w:rFonts w:ascii="仿宋_GB2312" w:hAnsi="宋体" w:eastAsia="仿宋_GB2312"/>
          <w:kern w:val="0"/>
          <w:szCs w:val="21"/>
          <w:highlight w:val="none"/>
        </w:rPr>
        <w:t>为：</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执行《建设工程质量管理条例》</w:t>
      </w:r>
      <w:r>
        <w:rPr>
          <w:rFonts w:hint="eastAsia" w:cs="宋体"/>
          <w:szCs w:val="21"/>
          <w:highlight w:val="none"/>
          <w:u w:val="single"/>
        </w:rPr>
        <w:t>、《</w:t>
      </w:r>
      <w:r>
        <w:rPr>
          <w:rFonts w:hint="eastAsia" w:ascii="宋体" w:hAnsi="宋体" w:cs="宋体"/>
          <w:szCs w:val="21"/>
          <w:highlight w:val="none"/>
          <w:u w:val="single"/>
        </w:rPr>
        <w:t xml:space="preserve">工程质量保修书 </w:t>
      </w:r>
      <w:r>
        <w:rPr>
          <w:rFonts w:hint="eastAsia" w:cs="宋体"/>
          <w:szCs w:val="21"/>
          <w:highlight w:val="none"/>
          <w:u w:val="single"/>
        </w:rPr>
        <w:t>》</w:t>
      </w:r>
      <w:r>
        <w:rPr>
          <w:rFonts w:hint="eastAsia" w:ascii="宋体" w:hAnsi="宋体" w:cs="宋体"/>
          <w:szCs w:val="21"/>
          <w:highlight w:val="none"/>
          <w:u w:val="single"/>
        </w:rPr>
        <w:t>及有关规定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F9BDEDC">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32" w:name="_Toc54862343"/>
      <w:r>
        <w:rPr>
          <w:rFonts w:hint="eastAsia" w:ascii="黑体" w:hAnsi="黑体" w:eastAsia="黑体" w:cs="Times"/>
          <w:bCs/>
          <w:kern w:val="0"/>
          <w:szCs w:val="21"/>
          <w:highlight w:val="none"/>
        </w:rPr>
        <w:t>第</w:t>
      </w:r>
      <w:r>
        <w:rPr>
          <w:rFonts w:ascii="黑体" w:hAnsi="黑体" w:eastAsia="黑体" w:cs="Times"/>
          <w:bCs/>
          <w:kern w:val="0"/>
          <w:szCs w:val="21"/>
          <w:highlight w:val="none"/>
        </w:rPr>
        <w:t>12条</w:t>
      </w:r>
      <w:r>
        <w:rPr>
          <w:rFonts w:hint="eastAsia" w:ascii="黑体" w:hAnsi="黑体" w:eastAsia="黑体" w:cs="Times"/>
          <w:bCs/>
          <w:kern w:val="0"/>
          <w:szCs w:val="21"/>
          <w:highlight w:val="none"/>
        </w:rPr>
        <w:t xml:space="preserve"> 竣工后试验</w:t>
      </w:r>
      <w:bookmarkEnd w:id="732"/>
    </w:p>
    <w:p w14:paraId="320E84E1">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本合同工程是否包含竣工后试验：</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是</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3E3A4B5">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12.1 </w:t>
      </w:r>
      <w:r>
        <w:rPr>
          <w:rFonts w:hint="eastAsia" w:ascii="黑体" w:hAnsi="黑体" w:eastAsia="黑体"/>
          <w:kern w:val="0"/>
          <w:szCs w:val="21"/>
          <w:highlight w:val="none"/>
        </w:rPr>
        <w:t>竣工后试验的程序</w:t>
      </w:r>
    </w:p>
    <w:p w14:paraId="65255ABC">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12.1.2 </w:t>
      </w:r>
      <w:r>
        <w:rPr>
          <w:rFonts w:hint="eastAsia" w:ascii="仿宋_GB2312" w:hAnsi="宋体" w:eastAsia="仿宋_GB2312"/>
          <w:kern w:val="0"/>
          <w:szCs w:val="21"/>
          <w:highlight w:val="none"/>
        </w:rPr>
        <w:t>竣工后试验全部电力、水、污水处理、燃料、消耗品和材料，以及全部其他仪器、协助、文件或其他信息、设备、工具、劳力，启动工程设备，并组织安排有适当资质、经验和能力的工作人员等必要条件的提供方：</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承包人</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FB3A5D3">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33" w:name="_Toc54862344"/>
      <w:r>
        <w:rPr>
          <w:rFonts w:hint="eastAsia" w:ascii="黑体" w:hAnsi="黑体" w:eastAsia="黑体" w:cs="Times"/>
          <w:bCs/>
          <w:kern w:val="0"/>
          <w:szCs w:val="21"/>
          <w:highlight w:val="none"/>
        </w:rPr>
        <w:t>第</w:t>
      </w:r>
      <w:r>
        <w:rPr>
          <w:rFonts w:ascii="黑体" w:hAnsi="黑体" w:eastAsia="黑体" w:cs="Times"/>
          <w:bCs/>
          <w:kern w:val="0"/>
          <w:szCs w:val="21"/>
          <w:highlight w:val="none"/>
        </w:rPr>
        <w:t>13条</w:t>
      </w:r>
      <w:r>
        <w:rPr>
          <w:rFonts w:hint="eastAsia" w:ascii="黑体" w:hAnsi="黑体" w:eastAsia="黑体" w:cs="Times"/>
          <w:bCs/>
          <w:kern w:val="0"/>
          <w:szCs w:val="21"/>
          <w:highlight w:val="none"/>
        </w:rPr>
        <w:t xml:space="preserve"> 变更与调整</w:t>
      </w:r>
      <w:bookmarkEnd w:id="733"/>
    </w:p>
    <w:p w14:paraId="36321A0B">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13.2 </w:t>
      </w:r>
      <w:r>
        <w:rPr>
          <w:rFonts w:hint="eastAsia" w:ascii="黑体" w:hAnsi="黑体" w:eastAsia="黑体"/>
          <w:kern w:val="0"/>
          <w:szCs w:val="21"/>
          <w:highlight w:val="none"/>
        </w:rPr>
        <w:t>承包人的合理化建议</w:t>
      </w:r>
    </w:p>
    <w:p w14:paraId="740AA197">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13.2.2 </w:t>
      </w:r>
      <w:r>
        <w:rPr>
          <w:rFonts w:hint="eastAsia" w:ascii="仿宋_GB2312" w:hAnsi="宋体" w:eastAsia="仿宋_GB2312"/>
          <w:kern w:val="0"/>
          <w:szCs w:val="21"/>
          <w:highlight w:val="none"/>
        </w:rPr>
        <w:t>工程师应在收到承包人提交的合理化建议后</w:t>
      </w:r>
      <w:r>
        <w:rPr>
          <w:rFonts w:hint="eastAsia"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7</w:t>
      </w:r>
      <w:r>
        <w:rPr>
          <w:rFonts w:hint="eastAsia"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日内审查完毕并报送发包人，发现其中存在技术上的缺陷，应通知承包人修改。发包人应在收到工程师报送的合理化建议后</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7</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日内审批完毕。合理化建议经发包人批准的，工程师应及时发出变更指示，由此引起的合同价格调整按照</w:t>
      </w:r>
      <w:r>
        <w:rPr>
          <w:rFonts w:hint="eastAsia"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hint="eastAsia"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执行。发包人不同意变更的，工程师应书面通知承包人</w:t>
      </w:r>
    </w:p>
    <w:p w14:paraId="6407195D">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13.2.3 承包人提出的</w:t>
      </w:r>
      <w:r>
        <w:rPr>
          <w:rFonts w:hint="eastAsia" w:ascii="仿宋_GB2312" w:hAnsi="宋体" w:eastAsia="仿宋_GB2312"/>
          <w:kern w:val="0"/>
          <w:szCs w:val="21"/>
          <w:highlight w:val="none"/>
        </w:rPr>
        <w:t>合理化变更</w:t>
      </w:r>
      <w:r>
        <w:rPr>
          <w:rFonts w:ascii="仿宋_GB2312" w:hAnsi="宋体" w:eastAsia="仿宋_GB2312"/>
          <w:kern w:val="0"/>
          <w:szCs w:val="21"/>
          <w:highlight w:val="none"/>
        </w:rPr>
        <w:t>建议的</w:t>
      </w:r>
      <w:r>
        <w:rPr>
          <w:rFonts w:hint="eastAsia" w:ascii="仿宋_GB2312" w:hAnsi="宋体" w:eastAsia="仿宋_GB2312"/>
          <w:kern w:val="0"/>
          <w:szCs w:val="21"/>
          <w:highlight w:val="none"/>
        </w:rPr>
        <w:t>利益分享约定</w:t>
      </w:r>
      <w:r>
        <w:rPr>
          <w:rFonts w:ascii="仿宋_GB2312" w:hAnsi="宋体" w:eastAsia="仿宋_GB2312"/>
          <w:kern w:val="0"/>
          <w:szCs w:val="21"/>
          <w:highlight w:val="none"/>
        </w:rPr>
        <w:t>：</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由发包人根据合同价格降低额或工程经济效益提高</w:t>
      </w:r>
      <w:r>
        <w:rPr>
          <w:rFonts w:hint="eastAsia" w:cs="宋体"/>
          <w:szCs w:val="21"/>
          <w:highlight w:val="none"/>
          <w:u w:val="single"/>
        </w:rPr>
        <w:t>程度</w:t>
      </w:r>
      <w:r>
        <w:rPr>
          <w:rFonts w:hint="eastAsia" w:ascii="宋体" w:hAnsi="宋体" w:cs="宋体"/>
          <w:szCs w:val="21"/>
          <w:highlight w:val="none"/>
          <w:u w:val="single"/>
        </w:rPr>
        <w:t>，结合项目考勤、质量、安全、进度等实际情况综合考虑</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06E9452">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13.3 </w:t>
      </w:r>
      <w:r>
        <w:rPr>
          <w:rFonts w:hint="eastAsia" w:ascii="黑体" w:hAnsi="黑体" w:eastAsia="黑体"/>
          <w:kern w:val="0"/>
          <w:szCs w:val="21"/>
          <w:highlight w:val="none"/>
        </w:rPr>
        <w:t>变更程序</w:t>
      </w:r>
    </w:p>
    <w:p w14:paraId="5724E4F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13.3.3 变更估价</w:t>
      </w:r>
    </w:p>
    <w:p w14:paraId="57CAD683">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13.3.3.1 变更估价原则</w:t>
      </w:r>
    </w:p>
    <w:p w14:paraId="7A8EAED1">
      <w:pPr>
        <w:widowControl/>
        <w:adjustRightInd w:val="0"/>
        <w:snapToGrid w:val="0"/>
        <w:spacing w:line="560" w:lineRule="exact"/>
        <w:ind w:firstLine="420" w:firstLineChars="200"/>
        <w:rPr>
          <w:rFonts w:hint="eastAsia" w:ascii="仿宋_GB2312" w:hAnsi="宋体" w:eastAsia="仿宋_GB2312" w:cs="Times New Roman"/>
          <w:kern w:val="0"/>
          <w:szCs w:val="21"/>
          <w:highlight w:val="none"/>
          <w:lang w:val="en-US" w:eastAsia="zh-CN"/>
        </w:rPr>
      </w:pPr>
      <w:r>
        <w:rPr>
          <w:rFonts w:hint="eastAsia" w:ascii="仿宋_GB2312" w:hAnsi="宋体" w:eastAsia="仿宋_GB2312" w:cs="Times New Roman"/>
          <w:kern w:val="0"/>
          <w:szCs w:val="21"/>
          <w:highlight w:val="none"/>
        </w:rPr>
        <w:t>关于变更估价原则的约定：因招标人指令引起工程量的增减或变更，按实结算。其变更原则按</w:t>
      </w:r>
      <w:r>
        <w:rPr>
          <w:rFonts w:hint="eastAsia" w:ascii="仿宋_GB2312" w:hAnsi="宋体" w:eastAsia="仿宋_GB2312" w:cs="Times New Roman"/>
          <w:kern w:val="0"/>
          <w:szCs w:val="21"/>
          <w:highlight w:val="none"/>
          <w:lang w:val="en-US" w:eastAsia="zh-CN"/>
        </w:rPr>
        <w:t>发包人</w:t>
      </w:r>
      <w:r>
        <w:rPr>
          <w:rFonts w:hint="eastAsia" w:ascii="仿宋_GB2312" w:hAnsi="宋体" w:eastAsia="仿宋_GB2312" w:cs="Times New Roman"/>
          <w:kern w:val="0"/>
          <w:szCs w:val="21"/>
          <w:highlight w:val="none"/>
        </w:rPr>
        <w:t>相关文件要求执行。</w:t>
      </w:r>
      <w:r>
        <w:rPr>
          <w:rFonts w:hint="eastAsia" w:ascii="仿宋_GB2312" w:hAnsi="宋体" w:eastAsia="仿宋_GB2312" w:cs="Times New Roman"/>
          <w:kern w:val="0"/>
          <w:szCs w:val="21"/>
          <w:highlight w:val="none"/>
          <w:lang w:val="en-US" w:eastAsia="zh-CN"/>
        </w:rPr>
        <w:t>投标报价书中清单列项和工程量数量由承包人负责，实行固定总价包干，承包人必须完成发包人提供的初步设计范围内的所有工程内容，报价书错漏项、工程量错误不予调整，因发包人指令调整建设范围、内容和设计变更除外。</w:t>
      </w:r>
    </w:p>
    <w:p w14:paraId="116A3B68">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13.4 </w:t>
      </w:r>
      <w:r>
        <w:rPr>
          <w:rFonts w:hint="eastAsia" w:ascii="黑体" w:hAnsi="黑体" w:eastAsia="黑体"/>
          <w:kern w:val="0"/>
          <w:szCs w:val="21"/>
          <w:highlight w:val="none"/>
        </w:rPr>
        <w:t>暂估价</w:t>
      </w:r>
    </w:p>
    <w:p w14:paraId="70E3A0C1">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13.4.1 </w:t>
      </w:r>
      <w:r>
        <w:rPr>
          <w:rFonts w:hint="eastAsia" w:ascii="仿宋_GB2312" w:hAnsi="宋体" w:eastAsia="仿宋_GB2312"/>
          <w:kern w:val="0"/>
          <w:szCs w:val="21"/>
          <w:highlight w:val="none"/>
        </w:rPr>
        <w:t>依法必须招标的暂估价项目</w:t>
      </w:r>
    </w:p>
    <w:p w14:paraId="0359795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承包人可以参与投标的暂估价项目范围：</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F0849A7">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承包人不得参与投标的暂估价项目范围：</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D9BE7DC">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招投标程序及其他约定：</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ascii="仿宋_GB2312" w:hAnsi="宋体" w:eastAsia="仿宋_GB2312" w:cs="Times New Roman"/>
          <w:kern w:val="0"/>
          <w:szCs w:val="21"/>
          <w:highlight w:val="none"/>
          <w:u w:val="single"/>
          <w:lang w:val="en-US" w:eastAsia="zh-CN"/>
        </w:rPr>
        <w:t>按法律法规规定及省、市相关文件执行</w:t>
      </w:r>
      <w:r>
        <w:rPr>
          <w:rFonts w:ascii="仿宋_GB2312" w:hAnsi="宋体" w:eastAsia="仿宋_GB2312" w:cs="Times New Roman"/>
          <w:kern w:val="0"/>
          <w:szCs w:val="21"/>
          <w:highlight w:val="none"/>
          <w:u w:val="single"/>
        </w:rPr>
        <w:t xml:space="preserve">  </w:t>
      </w:r>
      <w:r>
        <w:rPr>
          <w:rFonts w:hint="eastAsia" w:ascii="仿宋_GB2312" w:hAnsi="宋体" w:eastAsia="仿宋_GB2312"/>
          <w:kern w:val="0"/>
          <w:szCs w:val="21"/>
          <w:highlight w:val="none"/>
        </w:rPr>
        <w:t>。</w:t>
      </w:r>
    </w:p>
    <w:p w14:paraId="175F03C1">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13.4.2 </w:t>
      </w:r>
      <w:r>
        <w:rPr>
          <w:rFonts w:hint="eastAsia" w:ascii="仿宋_GB2312" w:hAnsi="宋体" w:eastAsia="仿宋_GB2312"/>
          <w:kern w:val="0"/>
          <w:szCs w:val="21"/>
          <w:highlight w:val="none"/>
        </w:rPr>
        <w:t>不属于依法必须招标的暂估价项目</w:t>
      </w:r>
    </w:p>
    <w:p w14:paraId="58AB683C">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不属于依法必须招标的暂估价项目的协商及估价的约定：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79D12A1">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13.5 </w:t>
      </w:r>
      <w:r>
        <w:rPr>
          <w:rFonts w:hint="eastAsia" w:ascii="黑体" w:hAnsi="黑体" w:eastAsia="黑体"/>
          <w:kern w:val="0"/>
          <w:szCs w:val="21"/>
          <w:highlight w:val="none"/>
        </w:rPr>
        <w:t>暂列金额</w:t>
      </w:r>
    </w:p>
    <w:p w14:paraId="4767D445">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其他关于暂列金额使用的约定：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暂列金额应按照发包人的要求使用</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90F19F4">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13.8 </w:t>
      </w:r>
      <w:r>
        <w:rPr>
          <w:rFonts w:hint="eastAsia" w:ascii="黑体" w:hAnsi="黑体" w:eastAsia="黑体"/>
          <w:kern w:val="0"/>
          <w:szCs w:val="21"/>
          <w:highlight w:val="none"/>
        </w:rPr>
        <w:t>市场价格波动引起的调整</w:t>
      </w:r>
    </w:p>
    <w:p w14:paraId="62299CCD">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1</w:t>
      </w:r>
      <w:r>
        <w:rPr>
          <w:rFonts w:ascii="仿宋_GB2312" w:hAnsi="宋体" w:eastAsia="仿宋_GB2312"/>
          <w:kern w:val="0"/>
          <w:szCs w:val="21"/>
          <w:highlight w:val="none"/>
        </w:rPr>
        <w:t xml:space="preserve">3.8.2 </w:t>
      </w:r>
      <w:r>
        <w:rPr>
          <w:rFonts w:hint="eastAsia" w:ascii="仿宋_GB2312" w:hAnsi="宋体" w:eastAsia="仿宋_GB2312"/>
          <w:kern w:val="0"/>
          <w:szCs w:val="21"/>
          <w:highlight w:val="none"/>
        </w:rPr>
        <w:t>关于是否采用《价格指数权重表》的约定：</w:t>
      </w:r>
      <w:r>
        <w:rPr>
          <w:rFonts w:ascii="仿宋_GB2312" w:hAnsi="宋体" w:eastAsia="仿宋_GB2312"/>
          <w:kern w:val="0"/>
          <w:szCs w:val="21"/>
          <w:highlight w:val="none"/>
          <w:u w:val="single"/>
        </w:rPr>
        <w:t xml:space="preserve">      </w:t>
      </w:r>
      <w:r>
        <w:rPr>
          <w:rFonts w:hint="eastAsia" w:ascii="仿宋_GB2312" w:hAnsi="宋体" w:eastAsia="仿宋_GB2312" w:cs="Times New Roman"/>
          <w:kern w:val="0"/>
          <w:szCs w:val="21"/>
          <w:highlight w:val="none"/>
          <w:u w:val="single"/>
          <w:lang w:val="en-US" w:eastAsia="zh-CN"/>
        </w:rPr>
        <w:t>不采用</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DF52FEB">
      <w:pPr>
        <w:widowControl/>
        <w:adjustRightInd w:val="0"/>
        <w:snapToGrid w:val="0"/>
        <w:spacing w:line="560" w:lineRule="exact"/>
        <w:ind w:firstLine="420" w:firstLineChars="200"/>
        <w:rPr>
          <w:rFonts w:hint="eastAsia" w:ascii="仿宋_GB2312" w:hAnsi="宋体" w:eastAsia="仿宋_GB2312"/>
          <w:kern w:val="0"/>
          <w:szCs w:val="21"/>
          <w:highlight w:val="none"/>
        </w:rPr>
      </w:pPr>
      <w:r>
        <w:rPr>
          <w:rFonts w:hint="eastAsia" w:ascii="仿宋_GB2312" w:hAnsi="宋体" w:eastAsia="仿宋_GB2312"/>
          <w:kern w:val="0"/>
          <w:szCs w:val="21"/>
          <w:highlight w:val="none"/>
        </w:rPr>
        <w:t>1</w:t>
      </w:r>
      <w:r>
        <w:rPr>
          <w:rFonts w:ascii="仿宋_GB2312" w:hAnsi="宋体" w:eastAsia="仿宋_GB2312"/>
          <w:kern w:val="0"/>
          <w:szCs w:val="21"/>
          <w:highlight w:val="none"/>
        </w:rPr>
        <w:t xml:space="preserve">3.8.3 </w:t>
      </w:r>
      <w:r>
        <w:rPr>
          <w:rFonts w:hint="eastAsia" w:ascii="仿宋_GB2312" w:hAnsi="宋体" w:eastAsia="仿宋_GB2312"/>
          <w:kern w:val="0"/>
          <w:szCs w:val="21"/>
          <w:highlight w:val="none"/>
        </w:rPr>
        <w:t>关于采用其他方式调整合同价款的约定：</w:t>
      </w:r>
      <w:r>
        <w:rPr>
          <w:rFonts w:ascii="仿宋_GB2312" w:hAnsi="宋体" w:eastAsia="仿宋_GB2312"/>
          <w:kern w:val="0"/>
          <w:szCs w:val="21"/>
          <w:highlight w:val="none"/>
          <w:u w:val="single"/>
        </w:rPr>
        <w:t xml:space="preserve">       </w:t>
      </w:r>
      <w:r>
        <w:rPr>
          <w:rFonts w:hint="eastAsia" w:ascii="仿宋_GB2312" w:hAnsi="宋体" w:eastAsia="仿宋_GB2312" w:cs="Times New Roman"/>
          <w:kern w:val="0"/>
          <w:szCs w:val="21"/>
          <w:highlight w:val="none"/>
          <w:u w:val="single"/>
          <w:lang w:val="en-US" w:eastAsia="zh-CN"/>
        </w:rPr>
        <w:t>不调整</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8D79D84">
      <w:pPr>
        <w:widowControl/>
        <w:adjustRightInd w:val="0"/>
        <w:snapToGrid w:val="0"/>
        <w:spacing w:line="560" w:lineRule="exact"/>
        <w:ind w:firstLine="420" w:firstLineChars="200"/>
        <w:rPr>
          <w:rFonts w:hint="eastAsia" w:ascii="仿宋_GB2312" w:hAnsi="宋体" w:eastAsia="仿宋_GB2312"/>
          <w:kern w:val="0"/>
          <w:szCs w:val="21"/>
          <w:highlight w:val="none"/>
        </w:rPr>
      </w:pPr>
      <w:r>
        <w:rPr>
          <w:rFonts w:hint="eastAsia" w:ascii="仿宋_GB2312" w:hAnsi="宋体" w:eastAsia="仿宋_GB2312"/>
          <w:kern w:val="0"/>
          <w:szCs w:val="21"/>
          <w:highlight w:val="none"/>
        </w:rPr>
        <w:t>13.8.4本次材料价格执行滁州市 2025年第5期信息价不含税价,人工费按照 2025 年第一季 157 元/工日计入。</w:t>
      </w:r>
    </w:p>
    <w:p w14:paraId="7EDDB0D2">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34" w:name="_Toc54862345"/>
      <w:r>
        <w:rPr>
          <w:rFonts w:hint="eastAsia" w:ascii="黑体" w:hAnsi="黑体" w:eastAsia="黑体" w:cs="Times"/>
          <w:bCs/>
          <w:kern w:val="0"/>
          <w:szCs w:val="21"/>
          <w:highlight w:val="none"/>
        </w:rPr>
        <w:t>第</w:t>
      </w:r>
      <w:r>
        <w:rPr>
          <w:rFonts w:ascii="黑体" w:hAnsi="黑体" w:eastAsia="黑体" w:cs="Times"/>
          <w:bCs/>
          <w:kern w:val="0"/>
          <w:szCs w:val="21"/>
          <w:highlight w:val="none"/>
        </w:rPr>
        <w:t>14条</w:t>
      </w:r>
      <w:r>
        <w:rPr>
          <w:rFonts w:hint="eastAsia" w:ascii="黑体" w:hAnsi="黑体" w:eastAsia="黑体" w:cs="Times"/>
          <w:bCs/>
          <w:kern w:val="0"/>
          <w:szCs w:val="21"/>
          <w:highlight w:val="none"/>
        </w:rPr>
        <w:t xml:space="preserve"> 合同价格与支付</w:t>
      </w:r>
      <w:bookmarkEnd w:id="734"/>
    </w:p>
    <w:p w14:paraId="109CD52D">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14.1 </w:t>
      </w:r>
      <w:r>
        <w:rPr>
          <w:rFonts w:hint="eastAsia" w:ascii="黑体" w:hAnsi="黑体" w:eastAsia="黑体"/>
          <w:kern w:val="0"/>
          <w:szCs w:val="21"/>
          <w:highlight w:val="none"/>
        </w:rPr>
        <w:t>合同价格形式</w:t>
      </w:r>
    </w:p>
    <w:p w14:paraId="64930530">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1</w:t>
      </w:r>
      <w:r>
        <w:rPr>
          <w:rFonts w:ascii="仿宋_GB2312" w:hAnsi="宋体" w:eastAsia="仿宋_GB2312"/>
          <w:kern w:val="0"/>
          <w:szCs w:val="21"/>
          <w:highlight w:val="none"/>
        </w:rPr>
        <w:t xml:space="preserve">4.1.1 </w:t>
      </w:r>
      <w:r>
        <w:rPr>
          <w:rFonts w:hint="eastAsia" w:ascii="仿宋_GB2312" w:hAnsi="宋体" w:eastAsia="仿宋_GB2312"/>
          <w:kern w:val="0"/>
          <w:szCs w:val="21"/>
          <w:highlight w:val="none"/>
        </w:rPr>
        <w:t>关于合同价格形式的约定：</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ascii="宋体" w:hAnsi="宋体" w:cs="宋体"/>
          <w:szCs w:val="21"/>
          <w:highlight w:val="none"/>
          <w:u w:val="single"/>
        </w:rPr>
        <w:t>固定</w:t>
      </w:r>
      <w:r>
        <w:rPr>
          <w:rFonts w:hint="eastAsia" w:ascii="宋体" w:hAnsi="宋体" w:cs="宋体"/>
          <w:szCs w:val="21"/>
          <w:highlight w:val="none"/>
          <w:u w:val="single"/>
          <w:lang w:val="en-US" w:eastAsia="zh-CN"/>
        </w:rPr>
        <w:t>总</w:t>
      </w:r>
      <w:r>
        <w:rPr>
          <w:rFonts w:hint="eastAsia" w:ascii="宋体" w:hAnsi="宋体" w:cs="宋体"/>
          <w:szCs w:val="21"/>
          <w:highlight w:val="none"/>
          <w:u w:val="single"/>
        </w:rPr>
        <w:t>价合同</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8D0B007">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rPr>
        <w:t>14.1.2 关于合同价格调整的约定：</w:t>
      </w:r>
    </w:p>
    <w:p w14:paraId="2360CD09">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lang w:val="en-US" w:eastAsia="zh-CN"/>
        </w:rPr>
        <w:t xml:space="preserve">1.工程量清单错误的修正 </w:t>
      </w:r>
    </w:p>
    <w:p w14:paraId="4A20B81D">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lang w:val="en-US" w:eastAsia="zh-CN"/>
        </w:rPr>
        <w:t>出现工程量清单错误时，是否调整合同价格：</w:t>
      </w:r>
      <w:r>
        <w:rPr>
          <w:rFonts w:hint="eastAsia" w:ascii="仿宋_GB2312" w:hAnsi="宋体" w:eastAsia="仿宋_GB2312" w:cs="Times New Roman"/>
          <w:kern w:val="0"/>
          <w:szCs w:val="21"/>
          <w:highlight w:val="none"/>
          <w:u w:val="single"/>
          <w:lang w:val="en-US" w:eastAsia="zh-CN"/>
        </w:rPr>
        <w:t xml:space="preserve"> 是，具体调整方式见下款 </w:t>
      </w:r>
      <w:r>
        <w:rPr>
          <w:rFonts w:hint="eastAsia" w:ascii="仿宋_GB2312" w:hAnsi="宋体" w:eastAsia="仿宋_GB2312" w:cs="Times New Roman"/>
          <w:kern w:val="0"/>
          <w:szCs w:val="21"/>
          <w:highlight w:val="none"/>
          <w:lang w:val="en-US" w:eastAsia="zh-CN"/>
        </w:rPr>
        <w:t xml:space="preserve">。 </w:t>
      </w:r>
    </w:p>
    <w:p w14:paraId="35FB3623">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lang w:val="en-US" w:eastAsia="zh-CN"/>
        </w:rPr>
        <w:t>允许调整合同价格的工程量偏差范围：①因承包人施工图深化设计缺陷或不能满足发包人提供的图纸、清单效果或未达到相关规范文件指标标准或承包方考虑不周造成的漏项、施工工艺变更或实际工程量超出对应的报价量范围、未通过相关竣工验收等一系列由承包人自身原因造成的工程变更均不予调整合同价格，由承包人自行承担，其产生的相关费用均含在合同价中。 ②因发包人指令引起调整建设范围、内容、工程量的增减或设计变更，按实结算</w:t>
      </w:r>
      <w:r>
        <w:rPr>
          <w:rFonts w:hint="eastAsia" w:ascii="仿宋_GB2312" w:hAnsi="宋体" w:eastAsia="仿宋_GB2312" w:cs="Times New Roman"/>
          <w:kern w:val="0"/>
          <w:szCs w:val="21"/>
          <w:highlight w:val="none"/>
        </w:rPr>
        <w:t>。</w:t>
      </w:r>
    </w:p>
    <w:p w14:paraId="0257F670">
      <w:pPr>
        <w:widowControl/>
        <w:adjustRightInd w:val="0"/>
        <w:snapToGrid w:val="0"/>
        <w:spacing w:line="560" w:lineRule="exact"/>
        <w:ind w:firstLine="420" w:firstLineChars="200"/>
        <w:rPr>
          <w:rFonts w:hint="eastAsia" w:ascii="仿宋_GB2312" w:hAnsi="宋体" w:eastAsia="仿宋_GB2312" w:cs="Times New Roman"/>
          <w:kern w:val="0"/>
          <w:szCs w:val="21"/>
          <w:highlight w:val="none"/>
          <w:lang w:val="en-US" w:eastAsia="zh-CN"/>
        </w:rPr>
      </w:pPr>
      <w:r>
        <w:rPr>
          <w:rFonts w:hint="eastAsia" w:ascii="仿宋_GB2312" w:hAnsi="宋体" w:eastAsia="仿宋_GB2312" w:cs="Times New Roman"/>
          <w:kern w:val="0"/>
          <w:szCs w:val="21"/>
          <w:highlight w:val="none"/>
          <w:lang w:val="en-US" w:eastAsia="zh-CN"/>
        </w:rPr>
        <w:t>2.风险费用的计算方法：</w:t>
      </w:r>
      <w:r>
        <w:rPr>
          <w:rFonts w:hint="eastAsia" w:ascii="仿宋_GB2312" w:hAnsi="宋体" w:eastAsia="仿宋_GB2312" w:cs="Times New Roman"/>
          <w:kern w:val="0"/>
          <w:szCs w:val="21"/>
          <w:highlight w:val="none"/>
          <w:u w:val="single"/>
          <w:lang w:val="en-US" w:eastAsia="zh-CN"/>
        </w:rPr>
        <w:t xml:space="preserve"> 不考虑 </w:t>
      </w:r>
      <w:r>
        <w:rPr>
          <w:rFonts w:hint="eastAsia" w:ascii="仿宋_GB2312" w:hAnsi="宋体" w:eastAsia="仿宋_GB2312" w:cs="Times New Roman"/>
          <w:kern w:val="0"/>
          <w:szCs w:val="21"/>
          <w:highlight w:val="none"/>
          <w:lang w:val="en-US" w:eastAsia="zh-CN"/>
        </w:rPr>
        <w:t xml:space="preserve">。 </w:t>
      </w:r>
    </w:p>
    <w:p w14:paraId="2385CDDC">
      <w:pPr>
        <w:widowControl/>
        <w:adjustRightInd w:val="0"/>
        <w:snapToGrid w:val="0"/>
        <w:spacing w:line="560" w:lineRule="exact"/>
        <w:ind w:firstLine="420" w:firstLineChars="200"/>
        <w:rPr>
          <w:rFonts w:hint="eastAsia" w:ascii="仿宋_GB2312" w:hAnsi="宋体" w:eastAsia="仿宋_GB2312" w:cs="Times New Roman"/>
          <w:kern w:val="0"/>
          <w:szCs w:val="21"/>
          <w:highlight w:val="none"/>
          <w:lang w:val="en-US" w:eastAsia="zh-CN"/>
        </w:rPr>
      </w:pPr>
      <w:r>
        <w:rPr>
          <w:rFonts w:hint="eastAsia" w:ascii="仿宋_GB2312" w:hAnsi="宋体" w:eastAsia="仿宋_GB2312" w:cs="Times New Roman"/>
          <w:kern w:val="0"/>
          <w:szCs w:val="21"/>
          <w:highlight w:val="none"/>
          <w:lang w:val="en-US" w:eastAsia="zh-CN"/>
        </w:rPr>
        <w:t>3、风险范围以外合同价格的调整方法：</w:t>
      </w:r>
      <w:r>
        <w:rPr>
          <w:rFonts w:hint="eastAsia" w:ascii="仿宋_GB2312" w:hAnsi="宋体" w:eastAsia="仿宋_GB2312" w:cs="Times New Roman"/>
          <w:kern w:val="0"/>
          <w:szCs w:val="21"/>
          <w:highlight w:val="none"/>
          <w:u w:val="single"/>
          <w:lang w:val="en-US" w:eastAsia="zh-CN"/>
        </w:rPr>
        <w:t>结算价=合同价±工程变更造价±分部分项工程量清单工程量误差造价±政策性调整造价±措施项目调整造价－暂列金额×1.09± 合理工程索赔</w:t>
      </w:r>
      <w:r>
        <w:rPr>
          <w:rFonts w:hint="eastAsia" w:ascii="仿宋_GB2312" w:hAnsi="宋体" w:eastAsia="仿宋_GB2312" w:cs="Times New Roman"/>
          <w:kern w:val="0"/>
          <w:szCs w:val="21"/>
          <w:highlight w:val="none"/>
          <w:lang w:val="en-US" w:eastAsia="zh-CN"/>
        </w:rPr>
        <w:t xml:space="preserve">。 </w:t>
      </w:r>
    </w:p>
    <w:p w14:paraId="395D89F2">
      <w:pPr>
        <w:widowControl/>
        <w:adjustRightInd w:val="0"/>
        <w:snapToGrid w:val="0"/>
        <w:spacing w:line="560" w:lineRule="exact"/>
        <w:ind w:firstLine="420" w:firstLineChars="200"/>
        <w:rPr>
          <w:rFonts w:hint="eastAsia" w:ascii="仿宋_GB2312" w:hAnsi="宋体" w:eastAsia="仿宋_GB2312" w:cs="Times New Roman"/>
          <w:kern w:val="0"/>
          <w:szCs w:val="21"/>
          <w:highlight w:val="none"/>
          <w:lang w:val="en-US" w:eastAsia="zh-CN"/>
        </w:rPr>
      </w:pPr>
      <w:r>
        <w:rPr>
          <w:rFonts w:hint="eastAsia" w:ascii="仿宋_GB2312" w:hAnsi="宋体" w:eastAsia="仿宋_GB2312" w:cs="Times New Roman"/>
          <w:kern w:val="0"/>
          <w:szCs w:val="21"/>
          <w:highlight w:val="none"/>
          <w:lang w:val="en-US" w:eastAsia="zh-CN"/>
        </w:rPr>
        <w:t>4、核减额超过5%的部分的审核费用，由承包人支付。</w:t>
      </w:r>
    </w:p>
    <w:p w14:paraId="51D31704">
      <w:pPr>
        <w:widowControl/>
        <w:adjustRightInd w:val="0"/>
        <w:snapToGrid w:val="0"/>
        <w:spacing w:line="560" w:lineRule="exact"/>
        <w:ind w:firstLine="420" w:firstLineChars="200"/>
        <w:rPr>
          <w:rFonts w:hint="eastAsia" w:ascii="仿宋_GB2312" w:hAnsi="宋体" w:eastAsia="仿宋_GB2312" w:cs="Times New Roman"/>
          <w:kern w:val="0"/>
          <w:szCs w:val="21"/>
          <w:highlight w:val="none"/>
          <w:lang w:val="en-US" w:eastAsia="zh-CN"/>
        </w:rPr>
      </w:pPr>
      <w:r>
        <w:rPr>
          <w:rFonts w:hint="eastAsia" w:ascii="仿宋_GB2312" w:hAnsi="宋体" w:eastAsia="仿宋_GB2312" w:cs="Times New Roman"/>
          <w:kern w:val="0"/>
          <w:szCs w:val="21"/>
          <w:highlight w:val="none"/>
          <w:lang w:val="en-US" w:eastAsia="zh-CN"/>
        </w:rPr>
        <w:t>14.1.3 按实际完成的工程量支付工程价款的计量方法、估价方法：因发包人指令引起调整建设范围、内容、工程量的增减或设计变更，按实结算。</w:t>
      </w:r>
    </w:p>
    <w:p w14:paraId="75196688">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14.2 </w:t>
      </w:r>
      <w:r>
        <w:rPr>
          <w:rFonts w:hint="eastAsia" w:ascii="黑体" w:hAnsi="黑体" w:eastAsia="黑体"/>
          <w:kern w:val="0"/>
          <w:szCs w:val="21"/>
          <w:highlight w:val="none"/>
        </w:rPr>
        <w:t>预付款</w:t>
      </w:r>
    </w:p>
    <w:p w14:paraId="096A2388">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14.2.1 </w:t>
      </w:r>
      <w:r>
        <w:rPr>
          <w:rFonts w:hint="eastAsia" w:ascii="仿宋_GB2312" w:hAnsi="宋体" w:eastAsia="仿宋_GB2312"/>
          <w:kern w:val="0"/>
          <w:szCs w:val="21"/>
          <w:highlight w:val="none"/>
        </w:rPr>
        <w:t>预付款支付</w:t>
      </w:r>
    </w:p>
    <w:p w14:paraId="5B0B2B55">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预付款的金额或比例为：</w:t>
      </w:r>
      <w:r>
        <w:rPr>
          <w:rFonts w:hint="eastAsia" w:ascii="仿宋_GB2312" w:hAnsi="宋体" w:eastAsia="仿宋_GB2312"/>
          <w:kern w:val="0"/>
          <w:szCs w:val="21"/>
          <w:highlight w:val="none"/>
          <w:u w:val="single"/>
        </w:rPr>
        <w:t>合同总价（扣除暂列金额）的10%</w:t>
      </w:r>
      <w:r>
        <w:rPr>
          <w:rFonts w:hint="eastAsia" w:ascii="仿宋_GB2312" w:hAnsi="宋体" w:eastAsia="仿宋_GB2312"/>
          <w:kern w:val="0"/>
          <w:szCs w:val="21"/>
          <w:highlight w:val="none"/>
        </w:rPr>
        <w:t>。</w:t>
      </w:r>
    </w:p>
    <w:p w14:paraId="68B9015E">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预付款支付期限：</w:t>
      </w:r>
      <w:r>
        <w:rPr>
          <w:rFonts w:hint="eastAsia" w:ascii="仿宋_GB2312" w:hAnsi="宋体" w:eastAsia="仿宋_GB2312"/>
          <w:kern w:val="0"/>
          <w:szCs w:val="21"/>
          <w:highlight w:val="none"/>
          <w:u w:val="single"/>
        </w:rPr>
        <w:t>在具备施工条件的前提下，发包人在合同签订后一个月内或不迟于约定的开工日期前 7 天内预付工程款</w:t>
      </w:r>
      <w:r>
        <w:rPr>
          <w:rFonts w:hint="eastAsia" w:ascii="仿宋_GB2312" w:hAnsi="宋体" w:eastAsia="仿宋_GB2312"/>
          <w:kern w:val="0"/>
          <w:szCs w:val="21"/>
          <w:highlight w:val="none"/>
        </w:rPr>
        <w:t>。</w:t>
      </w:r>
    </w:p>
    <w:p w14:paraId="25B324CD">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预付款扣回的方式：</w:t>
      </w:r>
      <w:r>
        <w:rPr>
          <w:rFonts w:hint="eastAsia" w:ascii="仿宋_GB2312" w:hAnsi="宋体" w:eastAsia="仿宋_GB2312"/>
          <w:kern w:val="0"/>
          <w:szCs w:val="21"/>
          <w:highlight w:val="none"/>
          <w:u w:val="single"/>
        </w:rPr>
        <w:t>在支付工程进度款中按比例扣除，扣完为止</w:t>
      </w:r>
      <w:r>
        <w:rPr>
          <w:rFonts w:hint="eastAsia" w:ascii="仿宋_GB2312" w:hAnsi="宋体" w:eastAsia="仿宋_GB2312"/>
          <w:kern w:val="0"/>
          <w:szCs w:val="21"/>
          <w:highlight w:val="none"/>
        </w:rPr>
        <w:t>。</w:t>
      </w:r>
    </w:p>
    <w:p w14:paraId="1C5AE6AA">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1</w:t>
      </w:r>
      <w:r>
        <w:rPr>
          <w:rFonts w:ascii="仿宋_GB2312" w:hAnsi="宋体" w:eastAsia="仿宋_GB2312"/>
          <w:kern w:val="0"/>
          <w:szCs w:val="21"/>
          <w:highlight w:val="none"/>
        </w:rPr>
        <w:t>4.2.2预付款担保</w:t>
      </w:r>
    </w:p>
    <w:p w14:paraId="3F127D2A">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提供预付款担保期限：</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A38D87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预付款担保形式：</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7175708">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14.3 </w:t>
      </w:r>
      <w:r>
        <w:rPr>
          <w:rFonts w:hint="eastAsia" w:ascii="黑体" w:hAnsi="黑体" w:eastAsia="黑体"/>
          <w:kern w:val="0"/>
          <w:szCs w:val="21"/>
          <w:highlight w:val="none"/>
        </w:rPr>
        <w:t>工程进度款</w:t>
      </w:r>
    </w:p>
    <w:p w14:paraId="46CBC321">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14.3.1 </w:t>
      </w:r>
      <w:r>
        <w:rPr>
          <w:rFonts w:hint="eastAsia" w:ascii="仿宋_GB2312" w:hAnsi="宋体" w:eastAsia="仿宋_GB2312"/>
          <w:kern w:val="0"/>
          <w:szCs w:val="21"/>
          <w:highlight w:val="none"/>
        </w:rPr>
        <w:t>工程进度付款申请</w:t>
      </w:r>
    </w:p>
    <w:p w14:paraId="08E81816">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关于付款周期的约定：在具备施工条件的前提下，发包人在合同签订后一个月内或不迟于约定的开工日期前 7 天内预付工程款为合同总价（扣除暂列金额）的10%，施工过程结算款支付比例不低于85%，结算审核完成后付至结算价款的98%，剩余2%作为质量保证金，工程缺陷责任期（自竣工验收合格之日起满</w:t>
      </w:r>
      <w:r>
        <w:rPr>
          <w:rFonts w:hint="eastAsia" w:ascii="仿宋_GB2312" w:hAnsi="宋体" w:eastAsia="仿宋_GB2312"/>
          <w:kern w:val="0"/>
          <w:szCs w:val="21"/>
          <w:highlight w:val="none"/>
          <w:lang w:val="en-US" w:eastAsia="zh-CN"/>
        </w:rPr>
        <w:t>2</w:t>
      </w:r>
      <w:r>
        <w:rPr>
          <w:rFonts w:hint="eastAsia" w:ascii="仿宋_GB2312" w:hAnsi="宋体" w:eastAsia="仿宋_GB2312"/>
          <w:kern w:val="0"/>
          <w:szCs w:val="21"/>
          <w:highlight w:val="none"/>
        </w:rPr>
        <w:t>年）满后付清余款。质量保证金支持保函（银行保函、担保机构担保、保证保险）使用。采用保函的不再从工程进度款中扣留质量保证金，保函有效期须与工程缺陷责任期截止时间保持一致。</w:t>
      </w:r>
    </w:p>
    <w:p w14:paraId="31401FE0">
      <w:pPr>
        <w:pStyle w:val="17"/>
        <w:adjustRightInd w:val="0"/>
        <w:snapToGrid w:val="0"/>
        <w:spacing w:after="0" w:line="560" w:lineRule="exact"/>
        <w:ind w:left="0" w:leftChars="0"/>
        <w:rPr>
          <w:rFonts w:ascii="仿宋_GB2312" w:hAnsi="宋体" w:eastAsia="仿宋_GB2312"/>
          <w:kern w:val="0"/>
          <w:szCs w:val="21"/>
          <w:highlight w:val="none"/>
        </w:rPr>
      </w:pPr>
      <w:r>
        <w:rPr>
          <w:rFonts w:hint="eastAsia" w:ascii="仿宋_GB2312" w:hAnsi="宋体" w:eastAsia="仿宋_GB2312"/>
          <w:kern w:val="0"/>
          <w:szCs w:val="21"/>
          <w:highlight w:val="none"/>
        </w:rPr>
        <w:t xml:space="preserve">关于付款周期的其他约定：  </w:t>
      </w:r>
      <w:r>
        <w:rPr>
          <w:rFonts w:hint="eastAsia" w:ascii="仿宋_GB2312" w:hAnsi="宋体" w:eastAsia="仿宋_GB2312" w:cs="Times New Roman"/>
          <w:kern w:val="0"/>
          <w:szCs w:val="21"/>
          <w:highlight w:val="none"/>
          <w:u w:val="single"/>
          <w:lang w:val="en-US" w:eastAsia="zh-CN"/>
        </w:rPr>
        <w:t>中标单位在申请工程款支付前必须提供有效的增值税专用发票</w:t>
      </w:r>
      <w:r>
        <w:rPr>
          <w:rFonts w:hint="eastAsia" w:ascii="仿宋_GB2312" w:hAnsi="宋体" w:eastAsia="仿宋_GB2312"/>
          <w:kern w:val="0"/>
          <w:szCs w:val="21"/>
          <w:highlight w:val="none"/>
        </w:rPr>
        <w:t xml:space="preserve">  。</w:t>
      </w:r>
    </w:p>
    <w:p w14:paraId="52A7388A">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工程进度付款申请方式：</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cs="宋体"/>
          <w:szCs w:val="21"/>
          <w:highlight w:val="none"/>
          <w:u w:val="single"/>
        </w:rPr>
        <w:t>详见支付方式</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1B21DB2">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承包人提交进度付款申请单的格式、内容、份数和时间：</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rPr>
        <w:t>执行发包人统一内容格式</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9100AAE">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进度付款申请单应包括的内容：</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rPr>
        <w:t>执行发包人统一内容格式</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41255FE">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14.3.2 </w:t>
      </w:r>
      <w:r>
        <w:rPr>
          <w:rFonts w:hint="eastAsia" w:ascii="仿宋_GB2312" w:hAnsi="宋体" w:eastAsia="仿宋_GB2312"/>
          <w:kern w:val="0"/>
          <w:szCs w:val="21"/>
          <w:highlight w:val="none"/>
        </w:rPr>
        <w:t>进度付款审核和支付</w:t>
      </w:r>
    </w:p>
    <w:p w14:paraId="006E8B42">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进度付款的审核方式和支付的约定：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D41CA3C">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发包人应在进度款支付证书或临时进度款支付证书签发后的</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天内完成支付，发包人逾期支付进度款的，应按照</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支付违约金。</w:t>
      </w:r>
    </w:p>
    <w:p w14:paraId="7766428F">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14.4 </w:t>
      </w:r>
      <w:r>
        <w:rPr>
          <w:rFonts w:hint="eastAsia" w:ascii="黑体" w:hAnsi="黑体" w:eastAsia="黑体"/>
          <w:kern w:val="0"/>
          <w:szCs w:val="21"/>
          <w:highlight w:val="none"/>
        </w:rPr>
        <w:t>付款计划表</w:t>
      </w:r>
    </w:p>
    <w:p w14:paraId="70640454">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14.4.1 付款计划表的编制要求</w:t>
      </w:r>
      <w:r>
        <w:rPr>
          <w:rFonts w:hint="eastAsia" w:ascii="仿宋_GB2312" w:hAnsi="宋体" w:eastAsia="仿宋_GB2312"/>
          <w:kern w:val="0"/>
          <w:szCs w:val="21"/>
          <w:highlight w:val="none"/>
        </w:rPr>
        <w:t>：</w:t>
      </w:r>
      <w:r>
        <w:rPr>
          <w:rFonts w:ascii="仿宋_GB2312" w:hAnsi="宋体" w:eastAsia="仿宋_GB2312"/>
          <w:kern w:val="0"/>
          <w:szCs w:val="21"/>
          <w:highlight w:val="none"/>
          <w:u w:val="single"/>
        </w:rPr>
        <w:t xml:space="preserve">   </w:t>
      </w:r>
      <w:r>
        <w:rPr>
          <w:rFonts w:hint="eastAsia" w:cs="宋体"/>
          <w:szCs w:val="21"/>
          <w:highlight w:val="none"/>
          <w:u w:val="single"/>
        </w:rPr>
        <w:t>执行发包人统一内容格式</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F4C4ECE">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14.4.2 </w:t>
      </w:r>
      <w:r>
        <w:rPr>
          <w:rFonts w:hint="eastAsia" w:ascii="仿宋_GB2312" w:hAnsi="宋体" w:eastAsia="仿宋_GB2312"/>
          <w:kern w:val="0"/>
          <w:szCs w:val="21"/>
          <w:highlight w:val="none"/>
        </w:rPr>
        <w:t>付款计划表的编制与审批</w:t>
      </w:r>
    </w:p>
    <w:p w14:paraId="5C5301C9">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付款计划表的编制：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不采用</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B4E5EDC">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14.5 </w:t>
      </w:r>
      <w:r>
        <w:rPr>
          <w:rFonts w:hint="eastAsia" w:ascii="黑体" w:hAnsi="黑体" w:eastAsia="黑体"/>
          <w:kern w:val="0"/>
          <w:szCs w:val="21"/>
          <w:highlight w:val="none"/>
        </w:rPr>
        <w:t>竣工结算</w:t>
      </w:r>
    </w:p>
    <w:p w14:paraId="5263DC65">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14.5.1 </w:t>
      </w:r>
      <w:r>
        <w:rPr>
          <w:rFonts w:hint="eastAsia" w:ascii="仿宋_GB2312" w:hAnsi="宋体" w:eastAsia="仿宋_GB2312"/>
          <w:kern w:val="0"/>
          <w:szCs w:val="21"/>
          <w:highlight w:val="none"/>
        </w:rPr>
        <w:t>竣工结算申请</w:t>
      </w:r>
    </w:p>
    <w:p w14:paraId="2A84274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承包人提交竣工结算申请的时间：</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rPr>
        <w:t>承包人须于竣工验收合格后60日内完成竣工结算报告和完整结算资料上报，特殊情况，经分管领导批准的可以延长。凡因承包人原因，未能在规定时间内上报竣工结算的，处</w:t>
      </w:r>
      <w:r>
        <w:rPr>
          <w:rFonts w:hint="eastAsia" w:ascii="宋体" w:hAnsi="宋体" w:eastAsia="宋体" w:cs="宋体"/>
          <w:color w:val="auto"/>
          <w:szCs w:val="21"/>
          <w:highlight w:val="none"/>
          <w:u w:val="single"/>
          <w:lang w:val="en-US" w:eastAsia="zh-CN"/>
        </w:rPr>
        <w:t>以</w:t>
      </w:r>
      <w:r>
        <w:rPr>
          <w:rFonts w:hint="eastAsia" w:ascii="宋体" w:hAnsi="宋体" w:eastAsia="宋体" w:cs="宋体"/>
          <w:color w:val="auto"/>
          <w:szCs w:val="21"/>
          <w:highlight w:val="none"/>
          <w:u w:val="single"/>
        </w:rPr>
        <w:t>10000元/月的违约金。情节严重的，</w:t>
      </w:r>
      <w:r>
        <w:rPr>
          <w:rFonts w:hint="eastAsia" w:ascii="宋体" w:hAnsi="宋体" w:eastAsia="宋体" w:cs="宋体"/>
          <w:color w:val="auto"/>
          <w:szCs w:val="21"/>
          <w:highlight w:val="none"/>
          <w:u w:val="single"/>
          <w:lang w:val="en-US" w:eastAsia="zh-CN"/>
        </w:rPr>
        <w:t>发包人</w:t>
      </w:r>
      <w:r>
        <w:rPr>
          <w:rFonts w:hint="eastAsia" w:ascii="宋体" w:hAnsi="宋体" w:eastAsia="宋体" w:cs="宋体"/>
          <w:color w:val="auto"/>
          <w:szCs w:val="21"/>
          <w:highlight w:val="none"/>
          <w:u w:val="single"/>
        </w:rPr>
        <w:t>有权按已有资料或按已付款报审计部门办理结算</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58733A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竣工结算申请的资料清单和份数：</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rPr>
        <w:t>执行发包人统一内容格式</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175E8CD">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竣工结算申请单的内容应包括：</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rPr>
        <w:t>执行发包人统一内容格式</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C50B46E">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14.5.2 </w:t>
      </w:r>
      <w:r>
        <w:rPr>
          <w:rFonts w:hint="eastAsia" w:ascii="仿宋_GB2312" w:hAnsi="宋体" w:eastAsia="仿宋_GB2312"/>
          <w:kern w:val="0"/>
          <w:szCs w:val="21"/>
          <w:highlight w:val="none"/>
        </w:rPr>
        <w:t>竣工结算审核</w:t>
      </w:r>
    </w:p>
    <w:p w14:paraId="57302054">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发包人审批竣工付款申请单的期限：</w:t>
      </w:r>
      <w:r>
        <w:rPr>
          <w:rFonts w:ascii="仿宋_GB2312" w:hAnsi="宋体" w:eastAsia="仿宋_GB2312"/>
          <w:kern w:val="0"/>
          <w:szCs w:val="21"/>
          <w:highlight w:val="none"/>
          <w:u w:val="single"/>
        </w:rPr>
        <w:t xml:space="preserve">   </w:t>
      </w:r>
      <w:r>
        <w:rPr>
          <w:rFonts w:hint="eastAsia" w:ascii="宋体" w:hAnsi="宋体" w:cs="宋体"/>
          <w:color w:val="000000"/>
          <w:kern w:val="0"/>
          <w:szCs w:val="21"/>
          <w:highlight w:val="none"/>
          <w:u w:val="single"/>
        </w:rPr>
        <w:t>发包人应在收到监理人提交的经审核的竣工结算申请单后</w:t>
      </w:r>
      <w:r>
        <w:rPr>
          <w:rFonts w:hint="eastAsia" w:ascii="宋体" w:hAnsi="宋体" w:cs="宋体"/>
          <w:color w:val="000000"/>
          <w:kern w:val="0"/>
          <w:szCs w:val="21"/>
          <w:highlight w:val="none"/>
          <w:u w:val="single"/>
          <w:lang w:val="en-US" w:eastAsia="zh-CN"/>
        </w:rPr>
        <w:t>7</w:t>
      </w:r>
      <w:r>
        <w:rPr>
          <w:rFonts w:hint="eastAsia" w:ascii="宋体" w:hAnsi="宋体" w:cs="宋体"/>
          <w:color w:val="000000"/>
          <w:kern w:val="0"/>
          <w:szCs w:val="21"/>
          <w:highlight w:val="none"/>
          <w:u w:val="single"/>
        </w:rPr>
        <w:t>天内完成审批</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A7038BA">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发包人完成竣工付款的期限：</w:t>
      </w:r>
      <w:r>
        <w:rPr>
          <w:rFonts w:ascii="仿宋_GB2312" w:hAnsi="宋体" w:eastAsia="仿宋_GB2312"/>
          <w:kern w:val="0"/>
          <w:szCs w:val="21"/>
          <w:highlight w:val="none"/>
          <w:u w:val="single"/>
        </w:rPr>
        <w:t xml:space="preserve">   </w:t>
      </w:r>
      <w:r>
        <w:rPr>
          <w:rFonts w:hint="eastAsia" w:ascii="宋体" w:hAnsi="宋体" w:cs="宋体"/>
          <w:color w:val="000000"/>
          <w:szCs w:val="21"/>
          <w:highlight w:val="none"/>
          <w:u w:val="single"/>
        </w:rPr>
        <w:t>发包人应在签发竣工付款证书后的</w:t>
      </w:r>
      <w:r>
        <w:rPr>
          <w:rFonts w:hint="eastAsia" w:ascii="宋体" w:hAnsi="宋体" w:cs="宋体"/>
          <w:color w:val="000000"/>
          <w:szCs w:val="21"/>
          <w:highlight w:val="none"/>
          <w:u w:val="single"/>
          <w:lang w:val="en-US" w:eastAsia="zh-CN"/>
        </w:rPr>
        <w:t>7</w:t>
      </w:r>
      <w:r>
        <w:rPr>
          <w:rFonts w:hint="eastAsia" w:ascii="宋体" w:hAnsi="宋体" w:cs="宋体"/>
          <w:color w:val="000000"/>
          <w:szCs w:val="21"/>
          <w:highlight w:val="none"/>
          <w:u w:val="single"/>
        </w:rPr>
        <w:t>天内，完成对承包人的竣工付款</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A19409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关于竣工付款证书异议部分复核的方式和程序：</w:t>
      </w:r>
      <w:r>
        <w:rPr>
          <w:rFonts w:ascii="仿宋_GB2312" w:hAnsi="宋体" w:eastAsia="仿宋_GB2312"/>
          <w:kern w:val="0"/>
          <w:szCs w:val="21"/>
          <w:highlight w:val="none"/>
          <w:u w:val="single"/>
        </w:rPr>
        <w:t xml:space="preserve">   </w:t>
      </w:r>
      <w:r>
        <w:rPr>
          <w:rFonts w:hint="eastAsia" w:ascii="宋体" w:hAnsi="宋体" w:eastAsia="宋体" w:cs="宋体"/>
          <w:color w:val="auto"/>
          <w:szCs w:val="21"/>
          <w:highlight w:val="none"/>
          <w:u w:val="single"/>
        </w:rPr>
        <w:t>按照第〔争议解决〕约定处理</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DDA44B3">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14.6 </w:t>
      </w:r>
      <w:r>
        <w:rPr>
          <w:rFonts w:hint="eastAsia" w:ascii="黑体" w:hAnsi="黑体" w:eastAsia="黑体"/>
          <w:kern w:val="0"/>
          <w:szCs w:val="21"/>
          <w:highlight w:val="none"/>
        </w:rPr>
        <w:t>质量保证金（质量保证金支持保函使用）</w:t>
      </w:r>
    </w:p>
    <w:p w14:paraId="531AAFC7">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14.6.1 </w:t>
      </w:r>
      <w:r>
        <w:rPr>
          <w:rFonts w:hint="eastAsia" w:ascii="仿宋_GB2312" w:hAnsi="宋体" w:eastAsia="仿宋_GB2312"/>
          <w:kern w:val="0"/>
          <w:szCs w:val="21"/>
          <w:highlight w:val="none"/>
        </w:rPr>
        <w:t>承包人提供质量保证金的方式</w:t>
      </w:r>
    </w:p>
    <w:p w14:paraId="2C7E894B">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质量</w:t>
      </w:r>
      <w:r>
        <w:rPr>
          <w:rFonts w:hint="eastAsia" w:ascii="仿宋_GB2312" w:hAnsi="宋体" w:eastAsia="仿宋_GB2312"/>
          <w:kern w:val="0"/>
          <w:szCs w:val="21"/>
          <w:highlight w:val="none"/>
        </w:rPr>
        <w:t>保证金</w:t>
      </w:r>
      <w:r>
        <w:rPr>
          <w:rFonts w:ascii="仿宋_GB2312" w:hAnsi="宋体" w:eastAsia="仿宋_GB2312"/>
          <w:kern w:val="0"/>
          <w:szCs w:val="21"/>
          <w:highlight w:val="none"/>
        </w:rPr>
        <w:t>采用以下</w:t>
      </w:r>
      <w:r>
        <w:rPr>
          <w:rFonts w:hint="eastAsia" w:ascii="仿宋_GB2312" w:hAnsi="宋体" w:eastAsia="仿宋_GB2312"/>
          <w:kern w:val="0"/>
          <w:szCs w:val="21"/>
          <w:highlight w:val="none"/>
        </w:rPr>
        <w:t>第</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种</w:t>
      </w:r>
      <w:r>
        <w:rPr>
          <w:rFonts w:ascii="仿宋_GB2312" w:hAnsi="宋体" w:eastAsia="仿宋_GB2312"/>
          <w:kern w:val="0"/>
          <w:szCs w:val="21"/>
          <w:highlight w:val="none"/>
        </w:rPr>
        <w:t>方式：</w:t>
      </w:r>
    </w:p>
    <w:p w14:paraId="46C43A2F">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 </w:t>
      </w:r>
      <w:r>
        <w:rPr>
          <w:rFonts w:hint="eastAsia" w:ascii="仿宋_GB2312" w:hAnsi="宋体" w:eastAsia="仿宋_GB2312"/>
          <w:kern w:val="0"/>
          <w:szCs w:val="21"/>
          <w:highlight w:val="none"/>
        </w:rPr>
        <w:t>工程质量保证担保</w:t>
      </w:r>
      <w:r>
        <w:rPr>
          <w:rFonts w:ascii="仿宋_GB2312" w:hAnsi="宋体" w:eastAsia="仿宋_GB2312"/>
          <w:kern w:val="0"/>
          <w:szCs w:val="21"/>
          <w:highlight w:val="none"/>
        </w:rPr>
        <w:t>，保证金额为：</w:t>
      </w:r>
      <w:r>
        <w:rPr>
          <w:rFonts w:hint="eastAsia" w:ascii="宋体" w:hAnsi="宋体" w:cs="宋体"/>
          <w:color w:val="000000"/>
          <w:kern w:val="0"/>
          <w:highlight w:val="none"/>
          <w:u w:val="single"/>
        </w:rPr>
        <w:t>2%的工程款</w:t>
      </w:r>
      <w:r>
        <w:rPr>
          <w:rFonts w:hint="eastAsia" w:ascii="仿宋_GB2312" w:hAnsi="宋体" w:eastAsia="仿宋_GB2312"/>
          <w:kern w:val="0"/>
          <w:szCs w:val="21"/>
          <w:highlight w:val="none"/>
        </w:rPr>
        <w:t>；</w:t>
      </w:r>
    </w:p>
    <w:p w14:paraId="1FCC2865">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(2)</w:t>
      </w:r>
      <w:r>
        <w:rPr>
          <w:rFonts w:hint="eastAsia" w:ascii="宋体" w:hAnsi="宋体" w:cs="宋体"/>
          <w:color w:val="000000"/>
          <w:kern w:val="0"/>
          <w:highlight w:val="none"/>
          <w:u w:val="single"/>
        </w:rPr>
        <w:t>2</w:t>
      </w:r>
      <w:r>
        <w:rPr>
          <w:rFonts w:hint="eastAsia" w:ascii="宋体" w:hAnsi="宋体" w:cs="宋体"/>
          <w:color w:val="000000"/>
          <w:kern w:val="0"/>
          <w:highlight w:val="none"/>
        </w:rPr>
        <w:t>%</w:t>
      </w:r>
      <w:r>
        <w:rPr>
          <w:rFonts w:ascii="仿宋_GB2312" w:hAnsi="宋体" w:eastAsia="仿宋_GB2312"/>
          <w:kern w:val="0"/>
          <w:szCs w:val="21"/>
          <w:highlight w:val="none"/>
        </w:rPr>
        <w:t>%的工程款；</w:t>
      </w:r>
    </w:p>
    <w:p w14:paraId="2A9D2B21">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(3) </w:t>
      </w:r>
      <w:r>
        <w:rPr>
          <w:rFonts w:hint="eastAsia" w:ascii="仿宋_GB2312" w:hAnsi="宋体" w:eastAsia="仿宋_GB2312"/>
          <w:kern w:val="0"/>
          <w:szCs w:val="21"/>
          <w:highlight w:val="none"/>
        </w:rPr>
        <w:t>其他方式：</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6C0EFD1">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14.6.2 </w:t>
      </w:r>
      <w:r>
        <w:rPr>
          <w:rFonts w:hint="eastAsia" w:ascii="仿宋_GB2312" w:hAnsi="宋体" w:eastAsia="仿宋_GB2312"/>
          <w:kern w:val="0"/>
          <w:szCs w:val="21"/>
          <w:highlight w:val="none"/>
        </w:rPr>
        <w:t>质量保证金的预留</w:t>
      </w:r>
    </w:p>
    <w:p w14:paraId="39F8949C">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质量</w:t>
      </w:r>
      <w:r>
        <w:rPr>
          <w:rFonts w:hint="eastAsia" w:ascii="仿宋_GB2312" w:hAnsi="宋体" w:eastAsia="仿宋_GB2312"/>
          <w:kern w:val="0"/>
          <w:szCs w:val="21"/>
          <w:highlight w:val="none"/>
        </w:rPr>
        <w:t>保证金</w:t>
      </w:r>
      <w:r>
        <w:rPr>
          <w:rFonts w:ascii="仿宋_GB2312" w:hAnsi="宋体" w:eastAsia="仿宋_GB2312"/>
          <w:kern w:val="0"/>
          <w:szCs w:val="21"/>
          <w:highlight w:val="none"/>
        </w:rPr>
        <w:t>的预留采取以下第</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种</w:t>
      </w:r>
      <w:r>
        <w:rPr>
          <w:rFonts w:ascii="仿宋_GB2312" w:hAnsi="宋体" w:eastAsia="仿宋_GB2312"/>
          <w:kern w:val="0"/>
          <w:szCs w:val="21"/>
          <w:highlight w:val="none"/>
        </w:rPr>
        <w:t>方式：</w:t>
      </w:r>
    </w:p>
    <w:p w14:paraId="3C3B63F4">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(1) 在支付工程进度款时逐次预留</w:t>
      </w:r>
      <w:r>
        <w:rPr>
          <w:rFonts w:hint="eastAsia" w:ascii="仿宋_GB2312" w:hAnsi="宋体" w:eastAsia="仿宋_GB2312"/>
          <w:kern w:val="0"/>
          <w:szCs w:val="21"/>
          <w:highlight w:val="none"/>
        </w:rPr>
        <w:t>的质量保证金的比例：</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，在此情形下，质量</w:t>
      </w:r>
      <w:r>
        <w:rPr>
          <w:rFonts w:hint="eastAsia" w:ascii="仿宋_GB2312" w:hAnsi="宋体" w:eastAsia="仿宋_GB2312"/>
          <w:kern w:val="0"/>
          <w:szCs w:val="21"/>
          <w:highlight w:val="none"/>
        </w:rPr>
        <w:t>保证金</w:t>
      </w:r>
      <w:r>
        <w:rPr>
          <w:rFonts w:ascii="仿宋_GB2312" w:hAnsi="宋体" w:eastAsia="仿宋_GB2312"/>
          <w:kern w:val="0"/>
          <w:szCs w:val="21"/>
          <w:highlight w:val="none"/>
        </w:rPr>
        <w:t>的计算基数不包括预付款的支付、扣回以及价格调整的金额；</w:t>
      </w:r>
    </w:p>
    <w:p w14:paraId="669284ED">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(2) 工程竣工结算时一次性预留</w:t>
      </w:r>
      <w:r>
        <w:rPr>
          <w:rFonts w:hint="eastAsia" w:ascii="仿宋_GB2312" w:hAnsi="宋体" w:eastAsia="仿宋_GB2312"/>
          <w:kern w:val="0"/>
          <w:szCs w:val="21"/>
          <w:highlight w:val="none"/>
        </w:rPr>
        <w:t>专用合同条件第</w:t>
      </w:r>
      <w:r>
        <w:rPr>
          <w:rFonts w:ascii="仿宋_GB2312" w:hAnsi="宋体" w:eastAsia="仿宋_GB2312"/>
          <w:kern w:val="0"/>
          <w:szCs w:val="21"/>
          <w:highlight w:val="none"/>
        </w:rPr>
        <w:t>14.6.1</w:t>
      </w:r>
      <w:r>
        <w:rPr>
          <w:rFonts w:hint="eastAsia" w:ascii="仿宋_GB2312" w:hAnsi="宋体" w:eastAsia="仿宋_GB2312"/>
          <w:kern w:val="0"/>
          <w:szCs w:val="21"/>
          <w:highlight w:val="none"/>
        </w:rPr>
        <w:t>项第</w:t>
      </w:r>
      <w:r>
        <w:rPr>
          <w:rFonts w:ascii="仿宋_GB2312" w:hAnsi="宋体" w:eastAsia="仿宋_GB2312"/>
          <w:kern w:val="0"/>
          <w:szCs w:val="21"/>
          <w:highlight w:val="none"/>
        </w:rPr>
        <w:t>(2)</w:t>
      </w:r>
      <w:r>
        <w:rPr>
          <w:rFonts w:hint="eastAsia" w:ascii="仿宋_GB2312" w:hAnsi="宋体" w:eastAsia="仿宋_GB2312"/>
          <w:kern w:val="0"/>
          <w:szCs w:val="21"/>
          <w:highlight w:val="none"/>
        </w:rPr>
        <w:t>目约定的工程款预留比例的</w:t>
      </w:r>
      <w:r>
        <w:rPr>
          <w:rFonts w:ascii="仿宋_GB2312" w:hAnsi="宋体" w:eastAsia="仿宋_GB2312"/>
          <w:kern w:val="0"/>
          <w:szCs w:val="21"/>
          <w:highlight w:val="none"/>
        </w:rPr>
        <w:t>质量</w:t>
      </w:r>
      <w:r>
        <w:rPr>
          <w:rFonts w:hint="eastAsia" w:ascii="仿宋_GB2312" w:hAnsi="宋体" w:eastAsia="仿宋_GB2312"/>
          <w:kern w:val="0"/>
          <w:szCs w:val="21"/>
          <w:highlight w:val="none"/>
        </w:rPr>
        <w:t>保证金</w:t>
      </w:r>
      <w:r>
        <w:rPr>
          <w:rFonts w:ascii="仿宋_GB2312" w:hAnsi="宋体" w:eastAsia="仿宋_GB2312"/>
          <w:kern w:val="0"/>
          <w:szCs w:val="21"/>
          <w:highlight w:val="none"/>
        </w:rPr>
        <w:t>；</w:t>
      </w:r>
    </w:p>
    <w:p w14:paraId="3136E78C">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(3) 其他预留方式:</w:t>
      </w:r>
      <w:r>
        <w:rPr>
          <w:rFonts w:hint="eastAsia" w:ascii="仿宋_GB2312" w:hAnsi="宋体" w:eastAsia="仿宋_GB2312"/>
          <w:kern w:val="0"/>
          <w:szCs w:val="21"/>
          <w:highlight w:val="non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2749ADB">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关于质量保证金的补充约定：</w:t>
      </w:r>
      <w:r>
        <w:rPr>
          <w:rFonts w:hint="eastAsia" w:ascii="仿宋_GB2312" w:hAnsi="宋体" w:eastAsia="仿宋_GB2312"/>
          <w:kern w:val="0"/>
          <w:szCs w:val="21"/>
          <w:highlight w:val="none"/>
          <w:u w:val="single"/>
        </w:rPr>
        <w:t>质量保证金支持保函（银行保函、担保机构担保、保证保险）使用。采用保函的，保函有效期须与缺陷责任期截止时间保持一致</w:t>
      </w:r>
      <w:r>
        <w:rPr>
          <w:rFonts w:hint="eastAsia" w:ascii="仿宋_GB2312" w:hAnsi="宋体" w:eastAsia="仿宋_GB2312"/>
          <w:kern w:val="0"/>
          <w:szCs w:val="21"/>
          <w:highlight w:val="none"/>
        </w:rPr>
        <w:t>。</w:t>
      </w:r>
    </w:p>
    <w:p w14:paraId="5D0AE923">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14.7 </w:t>
      </w:r>
      <w:r>
        <w:rPr>
          <w:rFonts w:hint="eastAsia" w:ascii="黑体" w:hAnsi="黑体" w:eastAsia="黑体"/>
          <w:kern w:val="0"/>
          <w:szCs w:val="21"/>
          <w:highlight w:val="none"/>
        </w:rPr>
        <w:t>最终结清</w:t>
      </w:r>
    </w:p>
    <w:p w14:paraId="29C9FEB0">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14.7.1 </w:t>
      </w:r>
      <w:r>
        <w:rPr>
          <w:rFonts w:hint="eastAsia" w:ascii="仿宋_GB2312" w:hAnsi="宋体" w:eastAsia="仿宋_GB2312"/>
          <w:kern w:val="0"/>
          <w:szCs w:val="21"/>
          <w:highlight w:val="none"/>
        </w:rPr>
        <w:t>最终结清申请单</w:t>
      </w:r>
    </w:p>
    <w:p w14:paraId="3A592E61">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当事人双方关于最终结清申请的其他约定：</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ascii="宋体" w:hAnsi="宋体" w:cs="宋体"/>
          <w:szCs w:val="21"/>
          <w:highlight w:val="none"/>
          <w:u w:val="single"/>
        </w:rPr>
        <w:t>缺陷责任期满经回访合格后7天内承包人提交最终结算申请单</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620E677">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14.7.2 </w:t>
      </w:r>
      <w:r>
        <w:rPr>
          <w:rFonts w:hint="eastAsia" w:ascii="仿宋_GB2312" w:hAnsi="宋体" w:eastAsia="仿宋_GB2312"/>
          <w:kern w:val="0"/>
          <w:szCs w:val="21"/>
          <w:highlight w:val="none"/>
        </w:rPr>
        <w:t>最终结清证书和支付</w:t>
      </w:r>
    </w:p>
    <w:p w14:paraId="68842807">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当事人双方关于最终结清支付的其他约定：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缺陷责任期满经回访合格后14天内发包人完成最终结清申请单的审批并颁发最终结清证书。发包人在政府资金调度会批准且发票送达一周内完成支付</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2801483">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35" w:name="_Toc54862346"/>
      <w:r>
        <w:rPr>
          <w:rFonts w:hint="eastAsia" w:ascii="黑体" w:hAnsi="黑体" w:eastAsia="黑体" w:cs="Times"/>
          <w:bCs/>
          <w:kern w:val="0"/>
          <w:szCs w:val="21"/>
          <w:highlight w:val="none"/>
        </w:rPr>
        <w:t>第</w:t>
      </w:r>
      <w:r>
        <w:rPr>
          <w:rFonts w:ascii="黑体" w:hAnsi="黑体" w:eastAsia="黑体" w:cs="Times"/>
          <w:bCs/>
          <w:kern w:val="0"/>
          <w:szCs w:val="21"/>
          <w:highlight w:val="none"/>
        </w:rPr>
        <w:t>15条</w:t>
      </w:r>
      <w:r>
        <w:rPr>
          <w:rFonts w:hint="eastAsia" w:ascii="黑体" w:hAnsi="黑体" w:eastAsia="黑体" w:cs="Times"/>
          <w:bCs/>
          <w:kern w:val="0"/>
          <w:szCs w:val="21"/>
          <w:highlight w:val="none"/>
        </w:rPr>
        <w:t xml:space="preserve"> 违约</w:t>
      </w:r>
      <w:bookmarkEnd w:id="735"/>
    </w:p>
    <w:p w14:paraId="5B8A9156">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15.1 </w:t>
      </w:r>
      <w:r>
        <w:rPr>
          <w:rFonts w:hint="eastAsia" w:ascii="黑体" w:hAnsi="黑体" w:eastAsia="黑体"/>
          <w:kern w:val="0"/>
          <w:szCs w:val="21"/>
          <w:highlight w:val="none"/>
        </w:rPr>
        <w:t>发包人违约</w:t>
      </w:r>
    </w:p>
    <w:p w14:paraId="074F5F4A">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15.1.1 </w:t>
      </w:r>
      <w:r>
        <w:rPr>
          <w:rFonts w:hint="eastAsia" w:ascii="仿宋_GB2312" w:hAnsi="宋体" w:eastAsia="仿宋_GB2312"/>
          <w:kern w:val="0"/>
          <w:szCs w:val="21"/>
          <w:highlight w:val="none"/>
        </w:rPr>
        <w:t>发包人违约的情形</w:t>
      </w:r>
    </w:p>
    <w:p w14:paraId="5F80531E">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发包人违约的其他情形</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DC8F9C2">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15.1.3 </w:t>
      </w:r>
      <w:r>
        <w:rPr>
          <w:rFonts w:hint="eastAsia" w:ascii="仿宋_GB2312" w:hAnsi="宋体" w:eastAsia="仿宋_GB2312"/>
          <w:kern w:val="0"/>
          <w:szCs w:val="21"/>
          <w:highlight w:val="none"/>
        </w:rPr>
        <w:t>发包人违约的责任</w:t>
      </w:r>
    </w:p>
    <w:p w14:paraId="2BC2A9BB">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rPr>
        <w:t xml:space="preserve">发包人违约责任的承担方式和计算方法：   </w:t>
      </w:r>
    </w:p>
    <w:p w14:paraId="5BD9D8DF">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rPr>
        <w:t>（1）因发包人原因未能在计划开工日期前7天内下达开工通知的违约责任：对工期造成影响的可顺延工期。</w:t>
      </w:r>
    </w:p>
    <w:p w14:paraId="019D923F">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rPr>
        <w:t>（2）因发包人原因未能按合同约定支付合同价款的违约责任：可按照中国人民银行发布的同期同类贷款基准利率支付违约金。</w:t>
      </w:r>
    </w:p>
    <w:p w14:paraId="4A66C4F2">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rPr>
        <w:t>（3）发包人违反第</w:t>
      </w:r>
      <w:r>
        <w:rPr>
          <w:rFonts w:hint="eastAsia" w:ascii="仿宋_GB2312" w:hAnsi="宋体" w:eastAsia="仿宋_GB2312" w:cs="Times New Roman"/>
          <w:kern w:val="0"/>
          <w:szCs w:val="21"/>
          <w:highlight w:val="none"/>
          <w:lang w:val="en-US" w:eastAsia="zh-CN"/>
        </w:rPr>
        <w:t>13.3</w:t>
      </w:r>
      <w:r>
        <w:rPr>
          <w:rFonts w:hint="eastAsia" w:ascii="仿宋_GB2312" w:hAnsi="宋体" w:eastAsia="仿宋_GB2312" w:cs="Times New Roman"/>
          <w:kern w:val="0"/>
          <w:szCs w:val="21"/>
          <w:highlight w:val="none"/>
        </w:rPr>
        <w:t>款约定，自行实施被取消的工作或转由他人实施的违约责任：发包人可追加与被取消的工作造价相当的额外工作做为补偿。</w:t>
      </w:r>
    </w:p>
    <w:p w14:paraId="1B5264E2">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rPr>
        <w:t>（4）发包人提供的材料、工程设备的规格、数量或质量不符合合同约定，或因发包人原因导致交货日期延误或交货地点变更等情况的违约责任：发包人可补足或更换材料、工程设备；对工期造成延误的可以顺延；增加承包人成本的可予以补偿。</w:t>
      </w:r>
    </w:p>
    <w:p w14:paraId="56CFCF15">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rPr>
        <w:t>（5）因发包人违反合同约定造成暂停施工的违约责任：可顺延工期。</w:t>
      </w:r>
    </w:p>
    <w:p w14:paraId="34AEE563">
      <w:pPr>
        <w:widowControl/>
        <w:adjustRightInd w:val="0"/>
        <w:snapToGrid w:val="0"/>
        <w:spacing w:line="560" w:lineRule="exact"/>
        <w:ind w:firstLine="420" w:firstLineChars="200"/>
        <w:rPr>
          <w:rFonts w:hint="eastAsia" w:ascii="仿宋_GB2312" w:hAnsi="宋体" w:eastAsia="仿宋_GB2312" w:cs="Times New Roman"/>
          <w:kern w:val="0"/>
          <w:szCs w:val="21"/>
          <w:highlight w:val="none"/>
        </w:rPr>
      </w:pPr>
      <w:r>
        <w:rPr>
          <w:rFonts w:hint="eastAsia" w:ascii="仿宋_GB2312" w:hAnsi="宋体" w:eastAsia="仿宋_GB2312" w:cs="Times New Roman"/>
          <w:kern w:val="0"/>
          <w:szCs w:val="21"/>
          <w:highlight w:val="none"/>
        </w:rPr>
        <w:t>（6）发包人无正当理由没有在约定期限内发出复工指示，导致承包人无法复工的违约责任：对工期造成影响的可顺延工期  。</w:t>
      </w:r>
    </w:p>
    <w:p w14:paraId="6505753E">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15.2 </w:t>
      </w:r>
      <w:r>
        <w:rPr>
          <w:rFonts w:hint="eastAsia" w:ascii="黑体" w:hAnsi="黑体" w:eastAsia="黑体"/>
          <w:kern w:val="0"/>
          <w:szCs w:val="21"/>
          <w:highlight w:val="none"/>
        </w:rPr>
        <w:t>承包人违约</w:t>
      </w:r>
    </w:p>
    <w:p w14:paraId="29A5CE05">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15.2.1 </w:t>
      </w:r>
      <w:r>
        <w:rPr>
          <w:rFonts w:hint="eastAsia" w:ascii="仿宋_GB2312" w:hAnsi="宋体" w:eastAsia="仿宋_GB2312"/>
          <w:kern w:val="0"/>
          <w:szCs w:val="21"/>
          <w:highlight w:val="none"/>
        </w:rPr>
        <w:t>承包人违约的情形</w:t>
      </w:r>
    </w:p>
    <w:p w14:paraId="501B5FC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承包人违约的其他情形：</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执行补充条款</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23248A7">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15.2.2 </w:t>
      </w:r>
      <w:r>
        <w:rPr>
          <w:rFonts w:hint="eastAsia" w:ascii="仿宋_GB2312" w:hAnsi="宋体" w:eastAsia="仿宋_GB2312"/>
          <w:kern w:val="0"/>
          <w:szCs w:val="21"/>
          <w:highlight w:val="none"/>
        </w:rPr>
        <w:t>通知改正</w:t>
      </w:r>
    </w:p>
    <w:p w14:paraId="23B73A25">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工程师通知承包人改正的合理期限是：</w:t>
      </w:r>
      <w:r>
        <w:rPr>
          <w:rFonts w:ascii="仿宋_GB2312" w:hAnsi="宋体" w:eastAsia="仿宋_GB2312"/>
          <w:kern w:val="0"/>
          <w:szCs w:val="21"/>
          <w:highlight w:val="none"/>
          <w:u w:val="single"/>
        </w:rPr>
        <w:t xml:space="preserve">   </w:t>
      </w:r>
      <w:r>
        <w:rPr>
          <w:rFonts w:ascii="仿宋_GB2312" w:hAnsi="宋体" w:eastAsia="仿宋_GB2312" w:cs="Times New Roman"/>
          <w:kern w:val="0"/>
          <w:szCs w:val="21"/>
          <w:highlight w:val="none"/>
          <w:u w:val="single"/>
        </w:rPr>
        <w:t xml:space="preserve"> </w:t>
      </w:r>
      <w:r>
        <w:rPr>
          <w:rFonts w:hint="eastAsia" w:ascii="宋体" w:hAnsi="宋体" w:cs="宋体"/>
          <w:szCs w:val="21"/>
          <w:highlight w:val="none"/>
          <w:u w:val="single"/>
        </w:rPr>
        <w:t>执行国家、省、市有关规定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C7CD1F9">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15.2.3 </w:t>
      </w:r>
      <w:r>
        <w:rPr>
          <w:rFonts w:hint="eastAsia" w:ascii="仿宋_GB2312" w:hAnsi="宋体" w:eastAsia="仿宋_GB2312"/>
          <w:kern w:val="0"/>
          <w:szCs w:val="21"/>
          <w:highlight w:val="none"/>
        </w:rPr>
        <w:t>承包人违约的责任</w:t>
      </w:r>
    </w:p>
    <w:p w14:paraId="2FBE44C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承包人违约</w:t>
      </w:r>
      <w:r>
        <w:rPr>
          <w:rFonts w:ascii="仿宋_GB2312" w:hAnsi="宋体" w:eastAsia="仿宋_GB2312"/>
          <w:kern w:val="0"/>
          <w:szCs w:val="21"/>
          <w:highlight w:val="none"/>
        </w:rPr>
        <w:t>责任</w:t>
      </w:r>
      <w:r>
        <w:rPr>
          <w:rFonts w:hint="eastAsia" w:ascii="仿宋_GB2312" w:hAnsi="宋体" w:eastAsia="仿宋_GB2312"/>
          <w:kern w:val="0"/>
          <w:szCs w:val="21"/>
          <w:highlight w:val="none"/>
        </w:rPr>
        <w:t>的</w:t>
      </w:r>
      <w:r>
        <w:rPr>
          <w:rFonts w:ascii="仿宋_GB2312" w:hAnsi="宋体" w:eastAsia="仿宋_GB2312"/>
          <w:kern w:val="0"/>
          <w:szCs w:val="21"/>
          <w:highlight w:val="none"/>
        </w:rPr>
        <w:t>承担方式</w:t>
      </w:r>
      <w:r>
        <w:rPr>
          <w:rFonts w:hint="eastAsia" w:ascii="仿宋_GB2312" w:hAnsi="宋体" w:eastAsia="仿宋_GB2312"/>
          <w:kern w:val="0"/>
          <w:szCs w:val="21"/>
          <w:highlight w:val="none"/>
        </w:rPr>
        <w:t>和</w:t>
      </w:r>
      <w:r>
        <w:rPr>
          <w:rFonts w:ascii="仿宋_GB2312" w:hAnsi="宋体" w:eastAsia="仿宋_GB2312"/>
          <w:kern w:val="0"/>
          <w:szCs w:val="21"/>
          <w:highlight w:val="none"/>
        </w:rPr>
        <w:t>计算方法</w:t>
      </w:r>
      <w:r>
        <w:rPr>
          <w:rFonts w:hint="eastAsia" w:ascii="仿宋_GB2312" w:hAnsi="宋体" w:eastAsia="仿宋_GB2312"/>
          <w:kern w:val="0"/>
          <w:szCs w:val="21"/>
          <w:highlight w:val="none"/>
        </w:rPr>
        <w:t>：</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执行补充条款</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69F809F0">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36" w:name="_Toc54862347"/>
      <w:r>
        <w:rPr>
          <w:rFonts w:hint="eastAsia" w:ascii="黑体" w:hAnsi="黑体" w:eastAsia="黑体" w:cs="Times"/>
          <w:bCs/>
          <w:kern w:val="0"/>
          <w:szCs w:val="21"/>
          <w:highlight w:val="none"/>
        </w:rPr>
        <w:t>第</w:t>
      </w:r>
      <w:r>
        <w:rPr>
          <w:rFonts w:ascii="黑体" w:hAnsi="黑体" w:eastAsia="黑体" w:cs="Times"/>
          <w:bCs/>
          <w:kern w:val="0"/>
          <w:szCs w:val="21"/>
          <w:highlight w:val="none"/>
        </w:rPr>
        <w:t>16条</w:t>
      </w:r>
      <w:r>
        <w:rPr>
          <w:rFonts w:hint="eastAsia" w:ascii="黑体" w:hAnsi="黑体" w:eastAsia="黑体" w:cs="Times"/>
          <w:bCs/>
          <w:kern w:val="0"/>
          <w:szCs w:val="21"/>
          <w:highlight w:val="none"/>
        </w:rPr>
        <w:t xml:space="preserve"> 合同解除</w:t>
      </w:r>
      <w:bookmarkEnd w:id="736"/>
    </w:p>
    <w:p w14:paraId="3CAD4BC5">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16.1 </w:t>
      </w:r>
      <w:r>
        <w:rPr>
          <w:rFonts w:hint="eastAsia" w:ascii="黑体" w:hAnsi="黑体" w:eastAsia="黑体"/>
          <w:kern w:val="0"/>
          <w:szCs w:val="21"/>
          <w:highlight w:val="none"/>
        </w:rPr>
        <w:t>由发包人解除合同</w:t>
      </w:r>
    </w:p>
    <w:p w14:paraId="2D99BE5E">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16.1.1 </w:t>
      </w:r>
      <w:r>
        <w:rPr>
          <w:rFonts w:hint="eastAsia" w:ascii="仿宋_GB2312" w:hAnsi="宋体" w:eastAsia="仿宋_GB2312"/>
          <w:kern w:val="0"/>
          <w:szCs w:val="21"/>
          <w:highlight w:val="none"/>
        </w:rPr>
        <w:t>因承包人违约解除合同</w:t>
      </w:r>
    </w:p>
    <w:p w14:paraId="2B924AFE">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双方约定可由发包人解除合同的其他事由：</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0520FDC">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16.2 </w:t>
      </w:r>
      <w:r>
        <w:rPr>
          <w:rFonts w:hint="eastAsia" w:ascii="黑体" w:hAnsi="黑体" w:eastAsia="黑体"/>
          <w:kern w:val="0"/>
          <w:szCs w:val="21"/>
          <w:highlight w:val="none"/>
        </w:rPr>
        <w:t>由承包人解除合同</w:t>
      </w:r>
    </w:p>
    <w:p w14:paraId="1349C132">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 xml:space="preserve">16.2.1 </w:t>
      </w:r>
      <w:r>
        <w:rPr>
          <w:rFonts w:hint="eastAsia" w:ascii="仿宋_GB2312" w:hAnsi="宋体" w:eastAsia="仿宋_GB2312"/>
          <w:kern w:val="0"/>
          <w:szCs w:val="21"/>
          <w:highlight w:val="none"/>
        </w:rPr>
        <w:t>因发包人违约解除合同</w:t>
      </w:r>
    </w:p>
    <w:p w14:paraId="45FCD72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双方约定可由承包人解除合同的其他事由：</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2B52D405">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37" w:name="_Toc54862348"/>
      <w:r>
        <w:rPr>
          <w:rFonts w:hint="eastAsia" w:ascii="黑体" w:hAnsi="黑体" w:eastAsia="黑体" w:cs="Times"/>
          <w:bCs/>
          <w:kern w:val="0"/>
          <w:szCs w:val="21"/>
          <w:highlight w:val="none"/>
        </w:rPr>
        <w:t>第</w:t>
      </w:r>
      <w:r>
        <w:rPr>
          <w:rFonts w:ascii="黑体" w:hAnsi="黑体" w:eastAsia="黑体" w:cs="Times"/>
          <w:bCs/>
          <w:kern w:val="0"/>
          <w:szCs w:val="21"/>
          <w:highlight w:val="none"/>
        </w:rPr>
        <w:t>17条</w:t>
      </w:r>
      <w:r>
        <w:rPr>
          <w:rFonts w:hint="eastAsia" w:ascii="黑体" w:hAnsi="黑体" w:eastAsia="黑体" w:cs="Times"/>
          <w:bCs/>
          <w:kern w:val="0"/>
          <w:szCs w:val="21"/>
          <w:highlight w:val="none"/>
        </w:rPr>
        <w:t xml:space="preserve"> 不可抗力</w:t>
      </w:r>
      <w:bookmarkEnd w:id="737"/>
    </w:p>
    <w:p w14:paraId="2791B382">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17.1 </w:t>
      </w:r>
      <w:r>
        <w:rPr>
          <w:rFonts w:hint="eastAsia" w:ascii="黑体" w:hAnsi="黑体" w:eastAsia="黑体"/>
          <w:kern w:val="0"/>
          <w:szCs w:val="21"/>
          <w:highlight w:val="none"/>
        </w:rPr>
        <w:t>不可抗力的定义</w:t>
      </w:r>
    </w:p>
    <w:p w14:paraId="15A70782">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除通用合同条件约定的不可抗力事件之外，视为不可抗力的其他情形：</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57E314F">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17.6 </w:t>
      </w:r>
      <w:r>
        <w:rPr>
          <w:rFonts w:hint="eastAsia" w:ascii="黑体" w:hAnsi="黑体" w:eastAsia="黑体"/>
          <w:kern w:val="0"/>
          <w:szCs w:val="21"/>
          <w:highlight w:val="none"/>
        </w:rPr>
        <w:t>因不可抗力解除合同</w:t>
      </w:r>
    </w:p>
    <w:p w14:paraId="527BF2C3">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合同解除后，发包人应</w:t>
      </w:r>
      <w:r>
        <w:rPr>
          <w:rFonts w:hint="eastAsia" w:ascii="仿宋_GB2312" w:hAnsi="宋体" w:eastAsia="仿宋_GB2312"/>
          <w:kern w:val="0"/>
          <w:szCs w:val="21"/>
          <w:highlight w:val="none"/>
        </w:rPr>
        <w:t>当</w:t>
      </w:r>
      <w:r>
        <w:rPr>
          <w:rFonts w:ascii="仿宋_GB2312" w:hAnsi="宋体" w:eastAsia="仿宋_GB2312"/>
          <w:kern w:val="0"/>
          <w:szCs w:val="21"/>
          <w:highlight w:val="none"/>
        </w:rPr>
        <w:t>在商定或确定发包人应支付款项后</w:t>
      </w:r>
      <w:r>
        <w:rPr>
          <w:rFonts w:hint="eastAsia" w:ascii="仿宋_GB2312" w:hAnsi="宋体" w:eastAsia="仿宋_GB2312"/>
          <w:kern w:val="0"/>
          <w:szCs w:val="21"/>
          <w:highlight w:val="none"/>
        </w:rPr>
        <w:t>的</w:t>
      </w:r>
      <w:r>
        <w:rPr>
          <w:rFonts w:hint="eastAsia" w:ascii="仿宋_GB2312" w:hAnsi="宋体" w:eastAsia="仿宋_GB2312"/>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 xml:space="preserve">7 </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天内完成款项的支付。</w:t>
      </w:r>
    </w:p>
    <w:p w14:paraId="54AAA05B">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38" w:name="_Toc54862349"/>
      <w:r>
        <w:rPr>
          <w:rFonts w:hint="eastAsia" w:ascii="黑体" w:hAnsi="黑体" w:eastAsia="黑体" w:cs="Times"/>
          <w:bCs/>
          <w:kern w:val="0"/>
          <w:szCs w:val="21"/>
          <w:highlight w:val="none"/>
        </w:rPr>
        <w:t>第1</w:t>
      </w:r>
      <w:r>
        <w:rPr>
          <w:rFonts w:ascii="黑体" w:hAnsi="黑体" w:eastAsia="黑体" w:cs="Times"/>
          <w:bCs/>
          <w:kern w:val="0"/>
          <w:szCs w:val="21"/>
          <w:highlight w:val="none"/>
        </w:rPr>
        <w:t>8</w:t>
      </w:r>
      <w:r>
        <w:rPr>
          <w:rFonts w:hint="eastAsia" w:ascii="黑体" w:hAnsi="黑体" w:eastAsia="黑体" w:cs="Times"/>
          <w:bCs/>
          <w:kern w:val="0"/>
          <w:szCs w:val="21"/>
          <w:highlight w:val="none"/>
        </w:rPr>
        <w:t>条</w:t>
      </w:r>
      <w:r>
        <w:rPr>
          <w:rFonts w:ascii="黑体" w:hAnsi="黑体" w:eastAsia="黑体" w:cs="Times"/>
          <w:bCs/>
          <w:kern w:val="0"/>
          <w:szCs w:val="21"/>
          <w:highlight w:val="none"/>
        </w:rPr>
        <w:t xml:space="preserve"> </w:t>
      </w:r>
      <w:r>
        <w:rPr>
          <w:rFonts w:hint="eastAsia" w:ascii="黑体" w:hAnsi="黑体" w:eastAsia="黑体" w:cs="Times"/>
          <w:bCs/>
          <w:kern w:val="0"/>
          <w:szCs w:val="21"/>
          <w:highlight w:val="none"/>
        </w:rPr>
        <w:t>保险</w:t>
      </w:r>
      <w:bookmarkEnd w:id="738"/>
    </w:p>
    <w:p w14:paraId="1D4A7838">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18.1 </w:t>
      </w:r>
      <w:r>
        <w:rPr>
          <w:rFonts w:hint="eastAsia" w:ascii="黑体" w:hAnsi="黑体" w:eastAsia="黑体"/>
          <w:kern w:val="0"/>
          <w:szCs w:val="21"/>
          <w:highlight w:val="none"/>
        </w:rPr>
        <w:t>设计和工程保险</w:t>
      </w:r>
    </w:p>
    <w:p w14:paraId="27F8BFA5">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1</w:t>
      </w:r>
      <w:r>
        <w:rPr>
          <w:rFonts w:ascii="仿宋_GB2312" w:hAnsi="宋体" w:eastAsia="仿宋_GB2312"/>
          <w:kern w:val="0"/>
          <w:szCs w:val="21"/>
          <w:highlight w:val="none"/>
        </w:rPr>
        <w:t xml:space="preserve">8.1.1 </w:t>
      </w:r>
      <w:r>
        <w:rPr>
          <w:rFonts w:hint="eastAsia" w:ascii="仿宋_GB2312" w:hAnsi="宋体" w:eastAsia="仿宋_GB2312"/>
          <w:kern w:val="0"/>
          <w:szCs w:val="21"/>
          <w:highlight w:val="none"/>
        </w:rPr>
        <w:t>双方当事人</w:t>
      </w:r>
      <w:r>
        <w:rPr>
          <w:rFonts w:ascii="仿宋_GB2312" w:hAnsi="宋体" w:eastAsia="仿宋_GB2312"/>
          <w:kern w:val="0"/>
          <w:szCs w:val="21"/>
          <w:highlight w:val="none"/>
        </w:rPr>
        <w:t>关于</w:t>
      </w:r>
      <w:r>
        <w:rPr>
          <w:rFonts w:hint="eastAsia" w:ascii="仿宋_GB2312" w:hAnsi="宋体" w:eastAsia="仿宋_GB2312"/>
          <w:kern w:val="0"/>
          <w:szCs w:val="21"/>
          <w:highlight w:val="none"/>
        </w:rPr>
        <w:t>设计和工程保险</w:t>
      </w:r>
      <w:r>
        <w:rPr>
          <w:rFonts w:ascii="仿宋_GB2312" w:hAnsi="宋体" w:eastAsia="仿宋_GB2312"/>
          <w:kern w:val="0"/>
          <w:szCs w:val="21"/>
          <w:highlight w:val="none"/>
        </w:rPr>
        <w:t>的特别</w:t>
      </w:r>
      <w:r>
        <w:rPr>
          <w:rFonts w:hint="eastAsia" w:ascii="仿宋_GB2312" w:hAnsi="宋体" w:eastAsia="仿宋_GB2312"/>
          <w:kern w:val="0"/>
          <w:szCs w:val="21"/>
          <w:highlight w:val="none"/>
        </w:rPr>
        <w:t>约</w:t>
      </w:r>
      <w:r>
        <w:rPr>
          <w:rFonts w:ascii="仿宋_GB2312" w:hAnsi="宋体" w:eastAsia="仿宋_GB2312"/>
          <w:kern w:val="0"/>
          <w:szCs w:val="21"/>
          <w:highlight w:val="none"/>
        </w:rPr>
        <w:t>定</w:t>
      </w:r>
      <w:r>
        <w:rPr>
          <w:rFonts w:hint="eastAsia" w:ascii="仿宋_GB2312" w:hAnsi="宋体" w:eastAsia="仿宋_GB2312"/>
          <w:kern w:val="0"/>
          <w:szCs w:val="21"/>
          <w:highlight w:val="none"/>
        </w:rPr>
        <w:t>：</w:t>
      </w:r>
      <w:r>
        <w:rPr>
          <w:rFonts w:ascii="仿宋_GB2312" w:hAnsi="宋体" w:eastAsia="仿宋_GB2312"/>
          <w:kern w:val="0"/>
          <w:szCs w:val="21"/>
          <w:highlight w:val="none"/>
          <w:u w:val="single"/>
        </w:rPr>
        <w:t xml:space="preserve">  </w:t>
      </w:r>
      <w:r>
        <w:rPr>
          <w:rFonts w:hint="eastAsia" w:cs="宋体"/>
          <w:szCs w:val="21"/>
          <w:highlight w:val="none"/>
          <w:u w:val="single"/>
        </w:rPr>
        <w:t>执行国家、省、市有关规定</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A711847">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1</w:t>
      </w:r>
      <w:r>
        <w:rPr>
          <w:rFonts w:ascii="仿宋_GB2312" w:hAnsi="宋体" w:eastAsia="仿宋_GB2312"/>
          <w:kern w:val="0"/>
          <w:szCs w:val="21"/>
          <w:highlight w:val="none"/>
        </w:rPr>
        <w:t xml:space="preserve">8.1.2 </w:t>
      </w:r>
      <w:r>
        <w:rPr>
          <w:rFonts w:hint="eastAsia" w:ascii="仿宋_GB2312" w:hAnsi="宋体" w:eastAsia="仿宋_GB2312"/>
          <w:kern w:val="0"/>
          <w:szCs w:val="21"/>
          <w:highlight w:val="none"/>
        </w:rPr>
        <w:t>双方当事人</w:t>
      </w:r>
      <w:r>
        <w:rPr>
          <w:rFonts w:ascii="仿宋_GB2312" w:hAnsi="宋体" w:eastAsia="仿宋_GB2312"/>
          <w:kern w:val="0"/>
          <w:szCs w:val="21"/>
          <w:highlight w:val="none"/>
        </w:rPr>
        <w:t>关于</w:t>
      </w:r>
      <w:r>
        <w:rPr>
          <w:rFonts w:hint="eastAsia" w:ascii="仿宋_GB2312" w:hAnsi="宋体" w:eastAsia="仿宋_GB2312"/>
          <w:kern w:val="0"/>
          <w:szCs w:val="21"/>
          <w:highlight w:val="none"/>
        </w:rPr>
        <w:t>第三方责任险</w:t>
      </w:r>
      <w:r>
        <w:rPr>
          <w:rFonts w:ascii="仿宋_GB2312" w:hAnsi="宋体" w:eastAsia="仿宋_GB2312"/>
          <w:kern w:val="0"/>
          <w:szCs w:val="21"/>
          <w:highlight w:val="none"/>
        </w:rPr>
        <w:t>的特别</w:t>
      </w:r>
      <w:r>
        <w:rPr>
          <w:rFonts w:hint="eastAsia" w:ascii="仿宋_GB2312" w:hAnsi="宋体" w:eastAsia="仿宋_GB2312"/>
          <w:kern w:val="0"/>
          <w:szCs w:val="21"/>
          <w:highlight w:val="none"/>
        </w:rPr>
        <w:t>约</w:t>
      </w:r>
      <w:r>
        <w:rPr>
          <w:rFonts w:ascii="仿宋_GB2312" w:hAnsi="宋体" w:eastAsia="仿宋_GB2312"/>
          <w:kern w:val="0"/>
          <w:szCs w:val="21"/>
          <w:highlight w:val="none"/>
        </w:rPr>
        <w:t>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另行协商</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403DE271">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18.2 </w:t>
      </w:r>
      <w:r>
        <w:rPr>
          <w:rFonts w:hint="eastAsia" w:ascii="黑体" w:hAnsi="黑体" w:eastAsia="黑体"/>
          <w:kern w:val="0"/>
          <w:szCs w:val="21"/>
          <w:highlight w:val="none"/>
        </w:rPr>
        <w:t>工伤和意外伤害保险</w:t>
      </w:r>
    </w:p>
    <w:p w14:paraId="4C0A923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1</w:t>
      </w:r>
      <w:r>
        <w:rPr>
          <w:rFonts w:ascii="仿宋_GB2312" w:hAnsi="宋体" w:eastAsia="仿宋_GB2312"/>
          <w:kern w:val="0"/>
          <w:szCs w:val="21"/>
          <w:highlight w:val="none"/>
        </w:rPr>
        <w:t>8.2.3 关于</w:t>
      </w:r>
      <w:r>
        <w:rPr>
          <w:rFonts w:hint="eastAsia" w:ascii="仿宋_GB2312" w:hAnsi="宋体" w:eastAsia="仿宋_GB2312"/>
          <w:kern w:val="0"/>
          <w:szCs w:val="21"/>
          <w:highlight w:val="none"/>
        </w:rPr>
        <w:t>工伤保险和意外伤害保险</w:t>
      </w:r>
      <w:r>
        <w:rPr>
          <w:rFonts w:ascii="仿宋_GB2312" w:hAnsi="宋体" w:eastAsia="仿宋_GB2312"/>
          <w:kern w:val="0"/>
          <w:szCs w:val="21"/>
          <w:highlight w:val="none"/>
        </w:rPr>
        <w:t>的特别</w:t>
      </w:r>
      <w:r>
        <w:rPr>
          <w:rFonts w:hint="eastAsia" w:ascii="仿宋_GB2312" w:hAnsi="宋体" w:eastAsia="仿宋_GB2312"/>
          <w:kern w:val="0"/>
          <w:szCs w:val="21"/>
          <w:highlight w:val="none"/>
        </w:rPr>
        <w:t>约</w:t>
      </w:r>
      <w:r>
        <w:rPr>
          <w:rFonts w:ascii="仿宋_GB2312" w:hAnsi="宋体" w:eastAsia="仿宋_GB2312"/>
          <w:kern w:val="0"/>
          <w:szCs w:val="21"/>
          <w:highlight w:val="none"/>
        </w:rPr>
        <w:t>定：</w:t>
      </w:r>
      <w:r>
        <w:rPr>
          <w:rFonts w:ascii="仿宋_GB2312" w:hAnsi="宋体" w:eastAsia="仿宋_GB2312"/>
          <w:kern w:val="0"/>
          <w:szCs w:val="21"/>
          <w:highlight w:val="none"/>
          <w:u w:val="single"/>
        </w:rPr>
        <w:t xml:space="preserve">   </w:t>
      </w:r>
      <w:r>
        <w:rPr>
          <w:rFonts w:hint="eastAsia" w:cs="宋体"/>
          <w:szCs w:val="21"/>
          <w:highlight w:val="none"/>
          <w:u w:val="single"/>
        </w:rPr>
        <w:t>执行国家、省、市有关规定</w:t>
      </w:r>
      <w:r>
        <w:rPr>
          <w:rFonts w:ascii="仿宋_GB2312" w:hAnsi="宋体" w:eastAsia="仿宋_GB2312" w:cs="Times New Roman"/>
          <w:kern w:val="0"/>
          <w:szCs w:val="21"/>
          <w:highlight w:val="none"/>
          <w:u w:val="single"/>
        </w:rPr>
        <w:t xml:space="preserve"> </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015248C0">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18.3 </w:t>
      </w:r>
      <w:r>
        <w:rPr>
          <w:rFonts w:hint="eastAsia" w:ascii="黑体" w:hAnsi="黑体" w:eastAsia="黑体"/>
          <w:kern w:val="0"/>
          <w:szCs w:val="21"/>
          <w:highlight w:val="none"/>
        </w:rPr>
        <w:t>货物保险</w:t>
      </w:r>
    </w:p>
    <w:p w14:paraId="00745A20">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关于承包人应为其施工设备、材料、工程设备和临时工程等办理财产</w:t>
      </w:r>
      <w:r>
        <w:rPr>
          <w:rFonts w:ascii="仿宋_GB2312" w:hAnsi="宋体" w:eastAsia="仿宋_GB2312"/>
          <w:kern w:val="0"/>
          <w:szCs w:val="21"/>
          <w:highlight w:val="none"/>
        </w:rPr>
        <w:t>保险的特别</w:t>
      </w:r>
      <w:r>
        <w:rPr>
          <w:rFonts w:hint="eastAsia" w:ascii="仿宋_GB2312" w:hAnsi="宋体" w:eastAsia="仿宋_GB2312"/>
          <w:kern w:val="0"/>
          <w:szCs w:val="21"/>
          <w:highlight w:val="none"/>
        </w:rPr>
        <w:t>约</w:t>
      </w:r>
      <w:r>
        <w:rPr>
          <w:rFonts w:ascii="仿宋_GB2312" w:hAnsi="宋体" w:eastAsia="仿宋_GB2312"/>
          <w:kern w:val="0"/>
          <w:szCs w:val="21"/>
          <w:highlight w:val="none"/>
        </w:rPr>
        <w:t>定：</w:t>
      </w:r>
      <w:r>
        <w:rPr>
          <w:rFonts w:ascii="仿宋_GB2312" w:hAnsi="宋体" w:eastAsia="仿宋_GB2312"/>
          <w:kern w:val="0"/>
          <w:szCs w:val="21"/>
          <w:highlight w:val="none"/>
          <w:u w:val="single"/>
        </w:rPr>
        <w:t xml:space="preserve"> </w:t>
      </w:r>
      <w:r>
        <w:rPr>
          <w:rFonts w:hint="eastAsia" w:cs="宋体"/>
          <w:szCs w:val="21"/>
          <w:highlight w:val="none"/>
          <w:u w:val="single"/>
        </w:rPr>
        <w:t>执行国家、省、市有关规定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B9B8DC8">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18.4 </w:t>
      </w:r>
      <w:r>
        <w:rPr>
          <w:rFonts w:hint="eastAsia" w:ascii="黑体" w:hAnsi="黑体" w:eastAsia="黑体"/>
          <w:kern w:val="0"/>
          <w:szCs w:val="21"/>
          <w:highlight w:val="none"/>
        </w:rPr>
        <w:t>其他保险</w:t>
      </w:r>
    </w:p>
    <w:p w14:paraId="39855492">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关于其他保险的约定：</w:t>
      </w:r>
      <w:r>
        <w:rPr>
          <w:rFonts w:ascii="仿宋_GB2312" w:hAnsi="宋体" w:eastAsia="仿宋_GB2312"/>
          <w:kern w:val="0"/>
          <w:szCs w:val="21"/>
          <w:highlight w:val="none"/>
          <w:u w:val="single"/>
        </w:rPr>
        <w:t xml:space="preserve">   </w:t>
      </w:r>
      <w:r>
        <w:rPr>
          <w:rFonts w:hint="eastAsia" w:cs="宋体"/>
          <w:szCs w:val="21"/>
          <w:highlight w:val="none"/>
          <w:u w:val="single"/>
        </w:rPr>
        <w:t>执行国家、省、市有关规定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B5833C3">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18.5 </w:t>
      </w:r>
      <w:r>
        <w:rPr>
          <w:rFonts w:hint="eastAsia" w:ascii="黑体" w:hAnsi="黑体" w:eastAsia="黑体"/>
          <w:kern w:val="0"/>
          <w:szCs w:val="21"/>
          <w:highlight w:val="none"/>
        </w:rPr>
        <w:t>对各项保险的一般要求</w:t>
      </w:r>
    </w:p>
    <w:p w14:paraId="3111032A">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18.5.2 保险凭证</w:t>
      </w:r>
    </w:p>
    <w:p w14:paraId="2D4EEE56">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保险单的条件：</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172400F3">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18.5.4 通知义务</w:t>
      </w:r>
    </w:p>
    <w:p w14:paraId="70372F71">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关于变更保险合同时的通知义务的约定：</w:t>
      </w:r>
      <w:r>
        <w:rPr>
          <w:rFonts w:ascii="仿宋_GB2312" w:hAnsi="宋体" w:eastAsia="仿宋_GB2312"/>
          <w:kern w:val="0"/>
          <w:szCs w:val="21"/>
          <w:highlight w:val="none"/>
          <w:u w:val="single"/>
        </w:rPr>
        <w:t xml:space="preserve">   </w:t>
      </w:r>
      <w:r>
        <w:rPr>
          <w:rFonts w:hint="eastAsia" w:ascii="宋体" w:hAnsi="宋体" w:cs="宋体"/>
          <w:szCs w:val="21"/>
          <w:highlight w:val="none"/>
          <w:u w:val="single"/>
        </w:rPr>
        <w:t>发包人变更除工伤保险之外的保险合同时，应事先征得承包人同意，并通知监理人；承包人变更除工伤保险之外的保险合同时，应事先征得发包人同意，并通知监理人</w:t>
      </w:r>
      <w:r>
        <w:rPr>
          <w:rFonts w:hint="eastAsia" w:ascii="宋体" w:hAnsi="宋体" w:cs="宋体"/>
          <w:szCs w:val="21"/>
          <w:highlight w:val="none"/>
          <w:u w:val="single"/>
          <w:lang w:eastAsia="zh-CN"/>
        </w:rPr>
        <w:t>。</w:t>
      </w:r>
      <w:r>
        <w:rPr>
          <w:rFonts w:hint="eastAsia" w:ascii="宋体" w:hAnsi="宋体" w:cs="宋体"/>
          <w:szCs w:val="21"/>
          <w:highlight w:val="none"/>
          <w:u w:val="single"/>
        </w:rPr>
        <w:t>保险事故发生时，投保人应按照保险合同规定的条件和期限及时向保险人报告。发包人和承包人应当在知道保险事故发生后及时通知对方</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5DFAA48D">
      <w:pPr>
        <w:widowControl/>
        <w:tabs>
          <w:tab w:val="left" w:pos="993"/>
        </w:tabs>
        <w:adjustRightInd w:val="0"/>
        <w:snapToGrid w:val="0"/>
        <w:spacing w:line="560" w:lineRule="exact"/>
        <w:ind w:firstLine="420" w:firstLineChars="200"/>
        <w:outlineLvl w:val="2"/>
        <w:rPr>
          <w:rFonts w:ascii="黑体" w:hAnsi="黑体" w:eastAsia="黑体" w:cs="Times"/>
          <w:bCs/>
          <w:kern w:val="0"/>
          <w:szCs w:val="21"/>
          <w:highlight w:val="none"/>
        </w:rPr>
      </w:pPr>
      <w:bookmarkStart w:id="739" w:name="_Toc54862350"/>
      <w:r>
        <w:rPr>
          <w:rFonts w:hint="eastAsia" w:ascii="黑体" w:hAnsi="黑体" w:eastAsia="黑体" w:cs="Times"/>
          <w:bCs/>
          <w:kern w:val="0"/>
          <w:szCs w:val="21"/>
          <w:highlight w:val="none"/>
        </w:rPr>
        <w:t>第</w:t>
      </w:r>
      <w:r>
        <w:rPr>
          <w:rFonts w:ascii="黑体" w:hAnsi="黑体" w:eastAsia="黑体" w:cs="Times"/>
          <w:bCs/>
          <w:kern w:val="0"/>
          <w:szCs w:val="21"/>
          <w:highlight w:val="none"/>
        </w:rPr>
        <w:t>20条</w:t>
      </w:r>
      <w:r>
        <w:rPr>
          <w:rFonts w:hint="eastAsia" w:ascii="黑体" w:hAnsi="黑体" w:eastAsia="黑体" w:cs="Times"/>
          <w:bCs/>
          <w:kern w:val="0"/>
          <w:szCs w:val="21"/>
          <w:highlight w:val="none"/>
        </w:rPr>
        <w:t xml:space="preserve"> 争议解决</w:t>
      </w:r>
      <w:bookmarkEnd w:id="739"/>
    </w:p>
    <w:p w14:paraId="64B0C306">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20.3 </w:t>
      </w:r>
      <w:r>
        <w:rPr>
          <w:rFonts w:hint="eastAsia" w:ascii="黑体" w:hAnsi="黑体" w:eastAsia="黑体"/>
          <w:kern w:val="0"/>
          <w:szCs w:val="21"/>
          <w:highlight w:val="none"/>
        </w:rPr>
        <w:t>争议评审</w:t>
      </w:r>
    </w:p>
    <w:p w14:paraId="5897E29F">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 xml:space="preserve">合同当事人是否同意将工程争议提交争议评审小组决定： </w:t>
      </w:r>
      <w:r>
        <w:rPr>
          <w:rFonts w:ascii="仿宋_GB2312" w:hAnsi="宋体" w:eastAsia="仿宋_GB2312"/>
          <w:kern w:val="0"/>
          <w:szCs w:val="21"/>
          <w:highlight w:val="none"/>
          <w:u w:val="single"/>
        </w:rPr>
        <w:t xml:space="preserve">        </w:t>
      </w:r>
      <w:r>
        <w:rPr>
          <w:rFonts w:hint="eastAsia" w:ascii="仿宋_GB2312" w:hAnsi="宋体" w:eastAsia="仿宋_GB2312" w:cs="Times New Roman"/>
          <w:kern w:val="0"/>
          <w:szCs w:val="21"/>
          <w:highlight w:val="none"/>
          <w:u w:val="single"/>
          <w:lang w:eastAsia="zh-CN"/>
        </w:rPr>
        <w:t>否</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7B2D548F">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20.3.1</w:t>
      </w:r>
      <w:r>
        <w:rPr>
          <w:rFonts w:hint="eastAsia" w:ascii="仿宋_GB2312" w:hAnsi="宋体" w:eastAsia="仿宋_GB2312"/>
          <w:kern w:val="0"/>
          <w:szCs w:val="21"/>
          <w:highlight w:val="none"/>
        </w:rPr>
        <w:t xml:space="preserve"> 争议评审小组</w:t>
      </w:r>
      <w:r>
        <w:rPr>
          <w:rFonts w:ascii="仿宋_GB2312" w:hAnsi="宋体" w:eastAsia="仿宋_GB2312"/>
          <w:kern w:val="0"/>
          <w:szCs w:val="21"/>
          <w:highlight w:val="none"/>
        </w:rPr>
        <w:t>的确定</w:t>
      </w:r>
    </w:p>
    <w:p w14:paraId="2AD50AD7">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争议评审小组成员的人数：</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71230BE9">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争议评审小组成员的确定：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3C4124E8">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选定争议避免/评审组的期限：</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6BA2AADE">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评审机构：</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762E37E6">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其他事项的约定：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1B3F9513">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争议评审员报酬</w:t>
      </w:r>
      <w:r>
        <w:rPr>
          <w:rFonts w:hint="eastAsia" w:ascii="仿宋_GB2312" w:hAnsi="宋体" w:eastAsia="仿宋_GB2312"/>
          <w:kern w:val="0"/>
          <w:szCs w:val="21"/>
          <w:highlight w:val="none"/>
        </w:rPr>
        <w:t>的承担人：</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rPr>
        <w:t>。</w:t>
      </w:r>
    </w:p>
    <w:p w14:paraId="33E9804C">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20.3.2 争议的避免</w:t>
      </w:r>
    </w:p>
    <w:p w14:paraId="34BB24D2">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发包人和承包人是否均出席争议避免的非正式讨论：</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032E042E">
      <w:pPr>
        <w:widowControl/>
        <w:adjustRightInd w:val="0"/>
        <w:snapToGrid w:val="0"/>
        <w:spacing w:line="560" w:lineRule="exact"/>
        <w:ind w:firstLine="420" w:firstLineChars="200"/>
        <w:rPr>
          <w:rFonts w:ascii="仿宋_GB2312" w:hAnsi="宋体" w:eastAsia="仿宋_GB2312"/>
          <w:kern w:val="0"/>
          <w:szCs w:val="21"/>
          <w:highlight w:val="none"/>
        </w:rPr>
      </w:pPr>
      <w:r>
        <w:rPr>
          <w:rFonts w:ascii="仿宋_GB2312" w:hAnsi="宋体" w:eastAsia="仿宋_GB2312"/>
          <w:kern w:val="0"/>
          <w:szCs w:val="21"/>
          <w:highlight w:val="none"/>
        </w:rPr>
        <w:t>20.3.3</w:t>
      </w:r>
      <w:r>
        <w:rPr>
          <w:rFonts w:hint="eastAsia" w:ascii="仿宋_GB2312" w:hAnsi="宋体" w:eastAsia="仿宋_GB2312"/>
          <w:kern w:val="0"/>
          <w:szCs w:val="21"/>
          <w:highlight w:val="none"/>
        </w:rPr>
        <w:t xml:space="preserve"> 争议评审小组的决定</w:t>
      </w:r>
    </w:p>
    <w:p w14:paraId="705D371C">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关于争议评审小组的决定的特别约定：</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w:t>
      </w:r>
    </w:p>
    <w:p w14:paraId="1C08CEA7">
      <w:pPr>
        <w:widowControl/>
        <w:adjustRightInd w:val="0"/>
        <w:snapToGrid w:val="0"/>
        <w:spacing w:line="560" w:lineRule="exact"/>
        <w:ind w:firstLine="420" w:firstLineChars="200"/>
        <w:rPr>
          <w:rFonts w:ascii="黑体" w:hAnsi="黑体" w:eastAsia="黑体"/>
          <w:kern w:val="0"/>
          <w:szCs w:val="21"/>
          <w:highlight w:val="none"/>
        </w:rPr>
      </w:pPr>
      <w:r>
        <w:rPr>
          <w:rFonts w:ascii="黑体" w:hAnsi="黑体" w:eastAsia="黑体"/>
          <w:kern w:val="0"/>
          <w:szCs w:val="21"/>
          <w:highlight w:val="none"/>
        </w:rPr>
        <w:t xml:space="preserve">20.4 </w:t>
      </w:r>
      <w:r>
        <w:rPr>
          <w:rFonts w:hint="eastAsia" w:ascii="黑体" w:hAnsi="黑体" w:eastAsia="黑体"/>
          <w:kern w:val="0"/>
          <w:szCs w:val="21"/>
          <w:highlight w:val="none"/>
        </w:rPr>
        <w:t>仲裁或诉讼</w:t>
      </w:r>
    </w:p>
    <w:p w14:paraId="1F049AB1">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因合同及合同有关事项发生的争议，按下列第</w:t>
      </w:r>
      <w:r>
        <w:rPr>
          <w:rFonts w:ascii="仿宋_GB2312" w:hAnsi="宋体" w:eastAsia="仿宋_GB2312"/>
          <w:kern w:val="0"/>
          <w:szCs w:val="21"/>
          <w:highlight w:val="none"/>
          <w:u w:val="single"/>
        </w:rPr>
        <w:t xml:space="preserve"> </w:t>
      </w:r>
      <w:r>
        <w:rPr>
          <w:rFonts w:hint="eastAsia" w:ascii="仿宋_GB2312" w:hAnsi="宋体" w:eastAsia="仿宋_GB2312"/>
          <w:kern w:val="0"/>
          <w:szCs w:val="21"/>
          <w:highlight w:val="none"/>
          <w:u w:val="single"/>
          <w:lang w:val="en-US" w:eastAsia="zh-CN"/>
        </w:rPr>
        <w:t>（1）</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种方式解决：</w:t>
      </w:r>
    </w:p>
    <w:p w14:paraId="65A73487">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w:t>
      </w:r>
      <w:r>
        <w:rPr>
          <w:rFonts w:ascii="仿宋_GB2312" w:hAnsi="宋体" w:eastAsia="仿宋_GB2312"/>
          <w:kern w:val="0"/>
          <w:szCs w:val="21"/>
          <w:highlight w:val="none"/>
        </w:rPr>
        <w:t>1）向</w:t>
      </w:r>
      <w:r>
        <w:rPr>
          <w:rFonts w:ascii="仿宋_GB2312" w:hAnsi="宋体" w:eastAsia="仿宋_GB2312"/>
          <w:kern w:val="0"/>
          <w:szCs w:val="21"/>
          <w:highlight w:val="none"/>
          <w:u w:val="single"/>
        </w:rPr>
        <w:t xml:space="preserve">   </w:t>
      </w:r>
      <w:r>
        <w:rPr>
          <w:rFonts w:hint="eastAsia" w:ascii="仿宋_GB2312" w:hAnsi="宋体" w:eastAsia="仿宋_GB2312" w:cs="Times New Roman"/>
          <w:kern w:val="0"/>
          <w:szCs w:val="21"/>
          <w:highlight w:val="none"/>
          <w:u w:val="single"/>
          <w:lang w:val="en-US" w:eastAsia="zh-CN"/>
        </w:rPr>
        <w:t>滁州</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仲裁委员会申请仲裁；</w:t>
      </w:r>
    </w:p>
    <w:p w14:paraId="01F0EF8E">
      <w:pPr>
        <w:widowControl/>
        <w:adjustRightInd w:val="0"/>
        <w:snapToGrid w:val="0"/>
        <w:spacing w:line="560" w:lineRule="exact"/>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w:t>
      </w:r>
      <w:r>
        <w:rPr>
          <w:rFonts w:ascii="仿宋_GB2312" w:hAnsi="宋体" w:eastAsia="仿宋_GB2312"/>
          <w:kern w:val="0"/>
          <w:szCs w:val="21"/>
          <w:highlight w:val="none"/>
        </w:rPr>
        <w:t>2）向</w:t>
      </w:r>
      <w:r>
        <w:rPr>
          <w:rFonts w:ascii="仿宋_GB2312" w:hAnsi="宋体" w:eastAsia="仿宋_GB2312"/>
          <w:kern w:val="0"/>
          <w:szCs w:val="21"/>
          <w:highlight w:val="none"/>
          <w:u w:val="single"/>
        </w:rPr>
        <w:t xml:space="preserve">  </w:t>
      </w:r>
      <w:r>
        <w:rPr>
          <w:rFonts w:hint="eastAsia" w:ascii="仿宋_GB2312" w:hAnsi="宋体" w:eastAsia="仿宋_GB2312" w:cs="Times New Roman"/>
          <w:kern w:val="0"/>
          <w:szCs w:val="21"/>
          <w:highlight w:val="none"/>
          <w:u w:val="single"/>
          <w:lang w:val="en-US" w:eastAsia="zh-CN"/>
        </w:rPr>
        <w:t>工程所在地</w:t>
      </w:r>
      <w:r>
        <w:rPr>
          <w:rFonts w:ascii="仿宋_GB2312" w:hAnsi="宋体" w:eastAsia="仿宋_GB2312"/>
          <w:kern w:val="0"/>
          <w:szCs w:val="21"/>
          <w:highlight w:val="none"/>
          <w:u w:val="single"/>
        </w:rPr>
        <w:t xml:space="preserve">  </w:t>
      </w:r>
      <w:r>
        <w:rPr>
          <w:rFonts w:ascii="仿宋_GB2312" w:hAnsi="宋体" w:eastAsia="仿宋_GB2312"/>
          <w:kern w:val="0"/>
          <w:szCs w:val="21"/>
          <w:highlight w:val="none"/>
        </w:rPr>
        <w:t>人民法院起诉。</w:t>
      </w:r>
    </w:p>
    <w:bookmarkEnd w:id="719"/>
    <w:bookmarkEnd w:id="720"/>
    <w:p w14:paraId="110350C4">
      <w:pPr>
        <w:adjustRightInd w:val="0"/>
        <w:snapToGrid w:val="0"/>
        <w:spacing w:line="360" w:lineRule="auto"/>
        <w:rPr>
          <w:rFonts w:ascii="宋体" w:hAnsi="宋体" w:cs="宋体"/>
          <w:b/>
          <w:color w:val="000000"/>
          <w:highlight w:val="none"/>
        </w:rPr>
      </w:pPr>
    </w:p>
    <w:p w14:paraId="1E492F5C">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发包人：  (公章)                           承包人：  (公章)</w:t>
      </w:r>
    </w:p>
    <w:p w14:paraId="3556CDB7">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法定代表人或其委托代理人：                 法定代表人或其委托代理人：</w:t>
      </w:r>
    </w:p>
    <w:p w14:paraId="45A35801">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（签字）                                  （签字）</w:t>
      </w:r>
    </w:p>
    <w:p w14:paraId="6B70DBD4">
      <w:pPr>
        <w:adjustRightInd w:val="0"/>
        <w:snapToGrid w:val="0"/>
        <w:spacing w:line="360" w:lineRule="auto"/>
        <w:rPr>
          <w:rFonts w:ascii="宋体" w:hAnsi="宋体" w:cs="宋体"/>
          <w:color w:val="000000"/>
          <w:highlight w:val="none"/>
          <w:u w:val="single"/>
        </w:rPr>
      </w:pPr>
      <w:r>
        <w:rPr>
          <w:rFonts w:hint="eastAsia" w:ascii="宋体" w:hAnsi="宋体" w:cs="宋体"/>
          <w:color w:val="000000"/>
          <w:highlight w:val="none"/>
        </w:rPr>
        <w:t>组织机构代码：</w:t>
      </w:r>
      <w:r>
        <w:rPr>
          <w:rFonts w:hint="eastAsia" w:ascii="宋体" w:hAnsi="宋体" w:cs="宋体"/>
          <w:color w:val="000000"/>
          <w:highlight w:val="none"/>
          <w:u w:val="single"/>
        </w:rPr>
        <w:t xml:space="preserve">            </w:t>
      </w:r>
      <w:r>
        <w:rPr>
          <w:rFonts w:hint="eastAsia" w:ascii="宋体" w:hAnsi="宋体" w:cs="宋体"/>
          <w:color w:val="000000"/>
          <w:highlight w:val="none"/>
        </w:rPr>
        <w:t xml:space="preserve">                组织机构代码：</w:t>
      </w:r>
      <w:r>
        <w:rPr>
          <w:rFonts w:hint="eastAsia" w:ascii="宋体" w:hAnsi="宋体" w:cs="宋体"/>
          <w:color w:val="000000"/>
          <w:highlight w:val="none"/>
          <w:u w:val="single"/>
        </w:rPr>
        <w:t xml:space="preserve">          </w:t>
      </w:r>
    </w:p>
    <w:p w14:paraId="42C494AF">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地  址：</w:t>
      </w:r>
      <w:r>
        <w:rPr>
          <w:rFonts w:hint="eastAsia" w:ascii="宋体" w:hAnsi="宋体" w:cs="宋体"/>
          <w:color w:val="000000"/>
          <w:highlight w:val="none"/>
          <w:u w:val="single"/>
        </w:rPr>
        <w:t xml:space="preserve">                    </w:t>
      </w:r>
      <w:r>
        <w:rPr>
          <w:rFonts w:hint="eastAsia" w:ascii="宋体" w:hAnsi="宋体" w:cs="宋体"/>
          <w:color w:val="000000"/>
          <w:highlight w:val="none"/>
        </w:rPr>
        <w:t xml:space="preserve">                地  址：</w:t>
      </w:r>
      <w:r>
        <w:rPr>
          <w:rFonts w:hint="eastAsia" w:ascii="宋体" w:hAnsi="宋体" w:cs="宋体"/>
          <w:color w:val="000000"/>
          <w:highlight w:val="none"/>
          <w:u w:val="single"/>
        </w:rPr>
        <w:t xml:space="preserve">                  </w:t>
      </w:r>
    </w:p>
    <w:p w14:paraId="76A2D5E4">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邮政编码：</w:t>
      </w:r>
      <w:r>
        <w:rPr>
          <w:rFonts w:hint="eastAsia" w:ascii="宋体" w:hAnsi="宋体" w:cs="宋体"/>
          <w:color w:val="000000"/>
          <w:highlight w:val="none"/>
          <w:u w:val="single"/>
        </w:rPr>
        <w:t xml:space="preserve">                </w:t>
      </w:r>
      <w:r>
        <w:rPr>
          <w:rFonts w:hint="eastAsia" w:ascii="宋体" w:hAnsi="宋体" w:cs="宋体"/>
          <w:color w:val="000000"/>
          <w:highlight w:val="none"/>
        </w:rPr>
        <w:t xml:space="preserve">               邮政编码：</w:t>
      </w:r>
      <w:r>
        <w:rPr>
          <w:rFonts w:hint="eastAsia" w:ascii="宋体" w:hAnsi="宋体" w:cs="宋体"/>
          <w:color w:val="000000"/>
          <w:highlight w:val="none"/>
          <w:u w:val="single"/>
        </w:rPr>
        <w:t xml:space="preserve">                   </w:t>
      </w:r>
    </w:p>
    <w:p w14:paraId="1B7836F8">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法定代表人：</w:t>
      </w:r>
      <w:r>
        <w:rPr>
          <w:rFonts w:hint="eastAsia" w:ascii="宋体" w:hAnsi="宋体" w:cs="宋体"/>
          <w:color w:val="000000"/>
          <w:highlight w:val="none"/>
          <w:u w:val="single"/>
        </w:rPr>
        <w:t xml:space="preserve">            </w:t>
      </w:r>
      <w:r>
        <w:rPr>
          <w:rFonts w:hint="eastAsia" w:ascii="宋体" w:hAnsi="宋体" w:cs="宋体"/>
          <w:color w:val="000000"/>
          <w:highlight w:val="none"/>
        </w:rPr>
        <w:t xml:space="preserve">                法定代表人：</w:t>
      </w:r>
      <w:r>
        <w:rPr>
          <w:rFonts w:hint="eastAsia" w:ascii="宋体" w:hAnsi="宋体" w:cs="宋体"/>
          <w:color w:val="000000"/>
          <w:highlight w:val="none"/>
          <w:u w:val="single"/>
        </w:rPr>
        <w:t xml:space="preserve">            </w:t>
      </w:r>
    </w:p>
    <w:p w14:paraId="026B6EEF">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委托代理人：</w:t>
      </w:r>
      <w:r>
        <w:rPr>
          <w:rFonts w:hint="eastAsia" w:ascii="宋体" w:hAnsi="宋体" w:cs="宋体"/>
          <w:color w:val="000000"/>
          <w:highlight w:val="none"/>
          <w:u w:val="single"/>
        </w:rPr>
        <w:t xml:space="preserve">                </w:t>
      </w:r>
      <w:r>
        <w:rPr>
          <w:rFonts w:hint="eastAsia" w:ascii="宋体" w:hAnsi="宋体" w:cs="宋体"/>
          <w:color w:val="000000"/>
          <w:highlight w:val="none"/>
        </w:rPr>
        <w:t xml:space="preserve">                委托代理人：</w:t>
      </w:r>
      <w:r>
        <w:rPr>
          <w:rFonts w:hint="eastAsia" w:ascii="宋体" w:hAnsi="宋体" w:cs="宋体"/>
          <w:color w:val="000000"/>
          <w:highlight w:val="none"/>
          <w:u w:val="single"/>
        </w:rPr>
        <w:t xml:space="preserve">                </w:t>
      </w:r>
    </w:p>
    <w:p w14:paraId="6D4F2B3F">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电  话：</w:t>
      </w:r>
      <w:r>
        <w:rPr>
          <w:rFonts w:hint="eastAsia" w:ascii="宋体" w:hAnsi="宋体" w:cs="宋体"/>
          <w:color w:val="000000"/>
          <w:highlight w:val="none"/>
          <w:u w:val="single"/>
        </w:rPr>
        <w:t xml:space="preserve">                   </w:t>
      </w:r>
      <w:r>
        <w:rPr>
          <w:rFonts w:hint="eastAsia" w:ascii="宋体" w:hAnsi="宋体" w:cs="宋体"/>
          <w:color w:val="000000"/>
          <w:highlight w:val="none"/>
        </w:rPr>
        <w:t xml:space="preserve">                电  话：</w:t>
      </w:r>
      <w:r>
        <w:rPr>
          <w:rFonts w:hint="eastAsia" w:ascii="宋体" w:hAnsi="宋体" w:cs="宋体"/>
          <w:color w:val="000000"/>
          <w:highlight w:val="none"/>
          <w:u w:val="single"/>
        </w:rPr>
        <w:t xml:space="preserve">                     </w:t>
      </w:r>
    </w:p>
    <w:p w14:paraId="37790542">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传  真：</w:t>
      </w:r>
      <w:r>
        <w:rPr>
          <w:rFonts w:hint="eastAsia" w:ascii="宋体" w:hAnsi="宋体" w:cs="宋体"/>
          <w:color w:val="000000"/>
          <w:highlight w:val="none"/>
          <w:u w:val="single"/>
        </w:rPr>
        <w:t xml:space="preserve">                   </w:t>
      </w:r>
      <w:r>
        <w:rPr>
          <w:rFonts w:hint="eastAsia" w:ascii="宋体" w:hAnsi="宋体" w:cs="宋体"/>
          <w:color w:val="000000"/>
          <w:highlight w:val="none"/>
        </w:rPr>
        <w:t xml:space="preserve">                传  真：</w:t>
      </w:r>
      <w:r>
        <w:rPr>
          <w:rFonts w:hint="eastAsia" w:ascii="宋体" w:hAnsi="宋体" w:cs="宋体"/>
          <w:color w:val="000000"/>
          <w:highlight w:val="none"/>
          <w:u w:val="single"/>
        </w:rPr>
        <w:t xml:space="preserve">                   </w:t>
      </w:r>
    </w:p>
    <w:p w14:paraId="425643D7">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电子信箱：</w:t>
      </w:r>
      <w:r>
        <w:rPr>
          <w:rFonts w:hint="eastAsia" w:ascii="宋体" w:hAnsi="宋体" w:cs="宋体"/>
          <w:color w:val="000000"/>
          <w:highlight w:val="none"/>
          <w:u w:val="single"/>
        </w:rPr>
        <w:t xml:space="preserve">                 </w:t>
      </w:r>
      <w:r>
        <w:rPr>
          <w:rFonts w:hint="eastAsia" w:ascii="宋体" w:hAnsi="宋体" w:cs="宋体"/>
          <w:color w:val="000000"/>
          <w:highlight w:val="none"/>
        </w:rPr>
        <w:t xml:space="preserve">                电子信箱：</w:t>
      </w:r>
      <w:r>
        <w:rPr>
          <w:rFonts w:hint="eastAsia" w:ascii="宋体" w:hAnsi="宋体" w:cs="宋体"/>
          <w:color w:val="000000"/>
          <w:highlight w:val="none"/>
          <w:u w:val="single"/>
        </w:rPr>
        <w:t xml:space="preserve">                   </w:t>
      </w:r>
    </w:p>
    <w:p w14:paraId="454FC496">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开户银行：</w:t>
      </w:r>
      <w:r>
        <w:rPr>
          <w:rFonts w:hint="eastAsia" w:ascii="宋体" w:hAnsi="宋体" w:cs="宋体"/>
          <w:color w:val="000000"/>
          <w:highlight w:val="none"/>
          <w:u w:val="single"/>
        </w:rPr>
        <w:t xml:space="preserve">                 </w:t>
      </w:r>
      <w:r>
        <w:rPr>
          <w:rFonts w:hint="eastAsia" w:ascii="宋体" w:hAnsi="宋体" w:cs="宋体"/>
          <w:color w:val="000000"/>
          <w:highlight w:val="none"/>
        </w:rPr>
        <w:t xml:space="preserve">                开户银行：</w:t>
      </w:r>
      <w:r>
        <w:rPr>
          <w:rFonts w:hint="eastAsia" w:ascii="宋体" w:hAnsi="宋体" w:cs="宋体"/>
          <w:color w:val="000000"/>
          <w:highlight w:val="none"/>
          <w:u w:val="single"/>
        </w:rPr>
        <w:t xml:space="preserve">                   </w:t>
      </w:r>
    </w:p>
    <w:p w14:paraId="3BF59A37">
      <w:pPr>
        <w:adjustRightInd w:val="0"/>
        <w:snapToGrid w:val="0"/>
        <w:spacing w:line="360" w:lineRule="auto"/>
        <w:rPr>
          <w:rFonts w:ascii="宋体" w:hAnsi="宋体" w:cs="宋体"/>
          <w:color w:val="000000"/>
          <w:highlight w:val="none"/>
        </w:rPr>
      </w:pPr>
      <w:r>
        <w:rPr>
          <w:rFonts w:hint="eastAsia" w:ascii="宋体" w:hAnsi="宋体" w:cs="宋体"/>
          <w:color w:val="000000"/>
          <w:highlight w:val="none"/>
        </w:rPr>
        <w:t>账  号：</w:t>
      </w:r>
      <w:r>
        <w:rPr>
          <w:rFonts w:hint="eastAsia" w:ascii="宋体" w:hAnsi="宋体" w:cs="宋体"/>
          <w:color w:val="000000"/>
          <w:highlight w:val="none"/>
          <w:u w:val="single"/>
        </w:rPr>
        <w:t xml:space="preserve">                 </w:t>
      </w:r>
      <w:r>
        <w:rPr>
          <w:rFonts w:hint="eastAsia" w:ascii="宋体" w:hAnsi="宋体" w:cs="宋体"/>
          <w:color w:val="000000"/>
          <w:highlight w:val="none"/>
        </w:rPr>
        <w:t xml:space="preserve">                账  号：</w:t>
      </w:r>
      <w:r>
        <w:rPr>
          <w:rFonts w:hint="eastAsia" w:ascii="宋体" w:hAnsi="宋体" w:cs="宋体"/>
          <w:color w:val="000000"/>
          <w:highlight w:val="none"/>
          <w:u w:val="single"/>
        </w:rPr>
        <w:t xml:space="preserve">                     </w:t>
      </w:r>
    </w:p>
    <w:p w14:paraId="74FDB3AB">
      <w:pPr>
        <w:spacing w:line="360" w:lineRule="auto"/>
        <w:rPr>
          <w:rFonts w:ascii="宋体" w:hAnsi="宋体" w:cs="宋体"/>
          <w:b/>
          <w:color w:val="000000"/>
          <w:sz w:val="24"/>
          <w:highlight w:val="none"/>
        </w:rPr>
      </w:pPr>
    </w:p>
    <w:p w14:paraId="30D4797F">
      <w:pPr>
        <w:spacing w:line="360" w:lineRule="auto"/>
        <w:rPr>
          <w:rFonts w:ascii="宋体" w:hAnsi="宋体" w:cs="宋体"/>
          <w:b/>
          <w:color w:val="000000"/>
          <w:highlight w:val="none"/>
        </w:rPr>
      </w:pPr>
    </w:p>
    <w:p w14:paraId="402191AF">
      <w:pPr>
        <w:spacing w:line="360" w:lineRule="auto"/>
        <w:rPr>
          <w:rFonts w:ascii="宋体" w:hAnsi="宋体" w:cs="宋体"/>
          <w:b/>
          <w:color w:val="000000"/>
          <w:highlight w:val="none"/>
        </w:rPr>
      </w:pPr>
    </w:p>
    <w:p w14:paraId="651A21DA">
      <w:pPr>
        <w:spacing w:line="360" w:lineRule="auto"/>
        <w:rPr>
          <w:rFonts w:ascii="宋体" w:hAnsi="宋体" w:cs="宋体"/>
          <w:b/>
          <w:color w:val="000000"/>
          <w:highlight w:val="none"/>
        </w:rPr>
      </w:pPr>
    </w:p>
    <w:p w14:paraId="73DE8A88">
      <w:pPr>
        <w:spacing w:line="360" w:lineRule="auto"/>
        <w:rPr>
          <w:rFonts w:ascii="宋体" w:hAnsi="宋体" w:cs="宋体"/>
          <w:b/>
          <w:color w:val="000000"/>
          <w:highlight w:val="none"/>
        </w:rPr>
      </w:pPr>
    </w:p>
    <w:p w14:paraId="19E1C83E">
      <w:pPr>
        <w:spacing w:line="360" w:lineRule="auto"/>
        <w:rPr>
          <w:rFonts w:ascii="宋体" w:hAnsi="宋体" w:cs="宋体"/>
          <w:b/>
          <w:color w:val="000000"/>
          <w:highlight w:val="none"/>
        </w:rPr>
      </w:pPr>
    </w:p>
    <w:p w14:paraId="20F1EB21">
      <w:pPr>
        <w:spacing w:line="360" w:lineRule="auto"/>
        <w:rPr>
          <w:rFonts w:ascii="宋体" w:hAnsi="宋体" w:cs="宋体"/>
          <w:b/>
          <w:color w:val="000000"/>
          <w:highlight w:val="none"/>
        </w:rPr>
      </w:pPr>
    </w:p>
    <w:p w14:paraId="77BDDA80">
      <w:pPr>
        <w:spacing w:line="360" w:lineRule="auto"/>
        <w:rPr>
          <w:rFonts w:ascii="宋体" w:hAnsi="宋体" w:cs="宋体"/>
          <w:b/>
          <w:color w:val="000000"/>
          <w:highlight w:val="none"/>
        </w:rPr>
      </w:pPr>
    </w:p>
    <w:p w14:paraId="13F54F98">
      <w:pPr>
        <w:spacing w:line="360" w:lineRule="auto"/>
        <w:rPr>
          <w:rFonts w:ascii="宋体" w:hAnsi="宋体" w:cs="宋体"/>
          <w:b/>
          <w:color w:val="000000"/>
          <w:highlight w:val="none"/>
        </w:rPr>
      </w:pPr>
    </w:p>
    <w:p w14:paraId="5C25BCF9">
      <w:pPr>
        <w:spacing w:line="360" w:lineRule="auto"/>
        <w:rPr>
          <w:rFonts w:ascii="宋体" w:hAnsi="宋体" w:cs="宋体"/>
          <w:b/>
          <w:color w:val="000000"/>
          <w:highlight w:val="none"/>
        </w:rPr>
        <w:sectPr>
          <w:pgSz w:w="11906" w:h="16838"/>
          <w:pgMar w:top="1440" w:right="1800" w:bottom="1440" w:left="1800" w:header="720" w:footer="998" w:gutter="0"/>
          <w:pgBorders>
            <w:top w:val="none" w:sz="0" w:space="0"/>
            <w:left w:val="none" w:sz="0" w:space="0"/>
            <w:bottom w:val="none" w:sz="0" w:space="0"/>
            <w:right w:val="none" w:sz="0" w:space="0"/>
          </w:pgBorders>
          <w:cols w:space="720" w:num="1"/>
          <w:docGrid w:linePitch="326" w:charSpace="0"/>
        </w:sectPr>
      </w:pPr>
    </w:p>
    <w:p w14:paraId="2C361FC0">
      <w:pPr>
        <w:spacing w:line="360" w:lineRule="auto"/>
        <w:rPr>
          <w:rFonts w:ascii="宋体" w:hAnsi="宋体" w:cs="宋体"/>
          <w:b/>
          <w:color w:val="000000"/>
          <w:highlight w:val="none"/>
        </w:rPr>
      </w:pPr>
      <w:r>
        <w:rPr>
          <w:rFonts w:hint="eastAsia" w:ascii="宋体" w:hAnsi="宋体" w:cs="宋体"/>
          <w:b/>
          <w:color w:val="000000"/>
          <w:highlight w:val="none"/>
        </w:rPr>
        <w:t>附件</w:t>
      </w:r>
    </w:p>
    <w:p w14:paraId="51EDBF14">
      <w:pPr>
        <w:spacing w:line="360" w:lineRule="auto"/>
        <w:rPr>
          <w:rFonts w:ascii="宋体" w:hAnsi="宋体" w:cs="宋体"/>
          <w:color w:val="000000"/>
          <w:highlight w:val="none"/>
        </w:rPr>
      </w:pPr>
      <w:r>
        <w:rPr>
          <w:rFonts w:hint="eastAsia" w:ascii="宋体" w:hAnsi="宋体" w:cs="宋体"/>
          <w:color w:val="000000"/>
          <w:highlight w:val="none"/>
        </w:rPr>
        <w:t>协议书附件：</w:t>
      </w:r>
    </w:p>
    <w:p w14:paraId="7CCEFF8B">
      <w:pPr>
        <w:spacing w:line="360" w:lineRule="auto"/>
        <w:rPr>
          <w:rFonts w:ascii="宋体" w:hAnsi="宋体" w:cs="宋体"/>
          <w:color w:val="000000"/>
          <w:highlight w:val="none"/>
        </w:rPr>
      </w:pPr>
      <w:r>
        <w:rPr>
          <w:rFonts w:hint="eastAsia" w:ascii="宋体" w:hAnsi="宋体" w:cs="宋体"/>
          <w:color w:val="000000"/>
          <w:highlight w:val="none"/>
        </w:rPr>
        <w:t>附件1：发包人要求</w:t>
      </w:r>
    </w:p>
    <w:p w14:paraId="44B371A0">
      <w:pPr>
        <w:spacing w:line="360" w:lineRule="auto"/>
        <w:rPr>
          <w:rFonts w:ascii="宋体" w:hAnsi="宋体" w:cs="宋体"/>
          <w:color w:val="000000"/>
          <w:highlight w:val="none"/>
        </w:rPr>
      </w:pPr>
      <w:r>
        <w:rPr>
          <w:rFonts w:hint="eastAsia" w:ascii="宋体" w:hAnsi="宋体" w:cs="宋体"/>
          <w:color w:val="000000"/>
          <w:highlight w:val="none"/>
        </w:rPr>
        <w:t>附件2：发包人供应材料设备一览表</w:t>
      </w:r>
    </w:p>
    <w:p w14:paraId="1A1637E6">
      <w:pPr>
        <w:spacing w:line="360" w:lineRule="auto"/>
        <w:rPr>
          <w:rFonts w:ascii="宋体" w:hAnsi="宋体" w:cs="宋体"/>
          <w:color w:val="000000"/>
          <w:highlight w:val="none"/>
        </w:rPr>
      </w:pPr>
      <w:r>
        <w:rPr>
          <w:rFonts w:hint="eastAsia" w:ascii="宋体" w:hAnsi="宋体" w:cs="宋体"/>
          <w:color w:val="000000"/>
          <w:highlight w:val="none"/>
        </w:rPr>
        <w:t>附件3：工程质量保修书</w:t>
      </w:r>
    </w:p>
    <w:p w14:paraId="5606E342">
      <w:pPr>
        <w:spacing w:line="360" w:lineRule="auto"/>
        <w:rPr>
          <w:rFonts w:ascii="宋体" w:hAnsi="宋体" w:cs="宋体"/>
          <w:color w:val="000000"/>
          <w:highlight w:val="none"/>
        </w:rPr>
      </w:pPr>
      <w:r>
        <w:rPr>
          <w:rFonts w:hint="eastAsia" w:ascii="宋体" w:hAnsi="宋体" w:cs="宋体"/>
          <w:color w:val="000000"/>
          <w:highlight w:val="none"/>
        </w:rPr>
        <w:t>附件4：主要建设工程文件目录</w:t>
      </w:r>
    </w:p>
    <w:p w14:paraId="2DB0DF2D">
      <w:pPr>
        <w:spacing w:line="360" w:lineRule="auto"/>
        <w:rPr>
          <w:rFonts w:ascii="宋体" w:hAnsi="宋体" w:cs="宋体"/>
          <w:color w:val="000000"/>
          <w:highlight w:val="none"/>
        </w:rPr>
      </w:pPr>
      <w:r>
        <w:rPr>
          <w:rFonts w:hint="eastAsia" w:ascii="宋体" w:hAnsi="宋体" w:cs="宋体"/>
          <w:color w:val="000000"/>
          <w:highlight w:val="none"/>
        </w:rPr>
        <w:t>附件5：承包人主要管理人员表</w:t>
      </w:r>
    </w:p>
    <w:p w14:paraId="682BF548">
      <w:pPr>
        <w:spacing w:line="360" w:lineRule="auto"/>
        <w:rPr>
          <w:rFonts w:ascii="宋体" w:hAnsi="宋体" w:cs="宋体"/>
          <w:color w:val="000000"/>
          <w:highlight w:val="none"/>
        </w:rPr>
      </w:pPr>
      <w:r>
        <w:rPr>
          <w:rFonts w:hint="eastAsia" w:ascii="宋体" w:hAnsi="宋体" w:cs="宋体"/>
          <w:color w:val="000000"/>
          <w:highlight w:val="none"/>
        </w:rPr>
        <w:t>附件6：价格指数权重表</w:t>
      </w:r>
    </w:p>
    <w:p w14:paraId="7600E00B">
      <w:pPr>
        <w:spacing w:line="360" w:lineRule="auto"/>
        <w:rPr>
          <w:rFonts w:ascii="宋体" w:hAnsi="宋体" w:cs="宋体"/>
          <w:color w:val="000000"/>
          <w:highlight w:val="none"/>
        </w:rPr>
      </w:pPr>
      <w:r>
        <w:rPr>
          <w:rFonts w:hint="eastAsia" w:ascii="宋体" w:hAnsi="宋体" w:cs="宋体"/>
          <w:color w:val="000000"/>
          <w:highlight w:val="none"/>
        </w:rPr>
        <w:t>附件7：廉政协议</w:t>
      </w:r>
    </w:p>
    <w:p w14:paraId="6801A125">
      <w:pPr>
        <w:spacing w:line="360" w:lineRule="auto"/>
        <w:rPr>
          <w:rFonts w:ascii="宋体" w:hAnsi="宋体" w:cs="宋体"/>
          <w:color w:val="000000"/>
          <w:highlight w:val="none"/>
        </w:rPr>
      </w:pPr>
      <w:r>
        <w:rPr>
          <w:rFonts w:hint="eastAsia" w:ascii="宋体" w:hAnsi="宋体" w:cs="宋体"/>
          <w:color w:val="000000"/>
          <w:highlight w:val="none"/>
        </w:rPr>
        <w:t>附件8：履约担保示范文本</w:t>
      </w:r>
    </w:p>
    <w:p w14:paraId="3A7306A7">
      <w:pPr>
        <w:spacing w:line="360" w:lineRule="auto"/>
        <w:rPr>
          <w:rFonts w:ascii="宋体" w:hAnsi="宋体" w:cs="宋体"/>
          <w:color w:val="000000"/>
          <w:highlight w:val="none"/>
        </w:rPr>
      </w:pPr>
      <w:r>
        <w:rPr>
          <w:rFonts w:hint="eastAsia" w:ascii="宋体" w:hAnsi="宋体" w:cs="宋体"/>
          <w:color w:val="000000"/>
          <w:highlight w:val="none"/>
        </w:rPr>
        <w:t>附件9：支付担保示范文本</w:t>
      </w:r>
    </w:p>
    <w:p w14:paraId="48A65FA0">
      <w:pPr>
        <w:spacing w:line="360" w:lineRule="auto"/>
        <w:rPr>
          <w:rFonts w:ascii="宋体" w:hAnsi="宋体" w:cs="宋体"/>
          <w:color w:val="000000"/>
          <w:highlight w:val="none"/>
        </w:rPr>
      </w:pPr>
      <w:r>
        <w:rPr>
          <w:rFonts w:hint="eastAsia" w:ascii="宋体" w:hAnsi="宋体" w:cs="宋体"/>
          <w:color w:val="000000"/>
          <w:highlight w:val="none"/>
        </w:rPr>
        <w:t>附件10：暂估价一览表</w:t>
      </w:r>
    </w:p>
    <w:p w14:paraId="4B92FD01">
      <w:pPr>
        <w:spacing w:line="360" w:lineRule="auto"/>
        <w:rPr>
          <w:rFonts w:ascii="宋体" w:hAnsi="宋体" w:cs="宋体"/>
          <w:color w:val="000000"/>
          <w:highlight w:val="none"/>
        </w:rPr>
      </w:pPr>
      <w:r>
        <w:rPr>
          <w:rFonts w:hint="eastAsia" w:ascii="宋体" w:hAnsi="宋体" w:cs="宋体"/>
          <w:color w:val="000000"/>
          <w:highlight w:val="none"/>
        </w:rPr>
        <w:t>附件11：安全生产合同</w:t>
      </w:r>
    </w:p>
    <w:p w14:paraId="77D730A9">
      <w:pPr>
        <w:spacing w:line="360" w:lineRule="auto"/>
        <w:rPr>
          <w:rFonts w:ascii="宋体" w:hAnsi="宋体" w:cs="宋体"/>
          <w:color w:val="000000"/>
          <w:highlight w:val="none"/>
        </w:rPr>
      </w:pPr>
      <w:r>
        <w:rPr>
          <w:rFonts w:hint="eastAsia" w:ascii="宋体" w:hAnsi="宋体" w:cs="宋体"/>
          <w:color w:val="000000"/>
          <w:highlight w:val="none"/>
        </w:rPr>
        <w:t>附件12：项目经理质量终身责任制承诺</w:t>
      </w:r>
    </w:p>
    <w:p w14:paraId="04ACDCDC">
      <w:pPr>
        <w:spacing w:line="360" w:lineRule="auto"/>
        <w:rPr>
          <w:rFonts w:ascii="宋体" w:hAnsi="宋体" w:cs="宋体"/>
          <w:color w:val="000000"/>
          <w:highlight w:val="none"/>
        </w:rPr>
      </w:pPr>
    </w:p>
    <w:p w14:paraId="759CE0B4">
      <w:pPr>
        <w:rPr>
          <w:color w:val="000000"/>
          <w:highlight w:val="none"/>
        </w:rPr>
      </w:pPr>
    </w:p>
    <w:p w14:paraId="6346FC50">
      <w:pPr>
        <w:pStyle w:val="17"/>
        <w:rPr>
          <w:color w:val="000000"/>
          <w:highlight w:val="none"/>
        </w:rPr>
      </w:pPr>
    </w:p>
    <w:p w14:paraId="68E0FE33">
      <w:pPr>
        <w:rPr>
          <w:color w:val="000000"/>
          <w:highlight w:val="none"/>
        </w:rPr>
      </w:pPr>
    </w:p>
    <w:p w14:paraId="48A1F9B9">
      <w:pPr>
        <w:pStyle w:val="17"/>
        <w:rPr>
          <w:color w:val="000000"/>
          <w:highlight w:val="none"/>
        </w:rPr>
      </w:pPr>
    </w:p>
    <w:p w14:paraId="26EBE410">
      <w:pPr>
        <w:rPr>
          <w:color w:val="000000"/>
          <w:highlight w:val="none"/>
        </w:rPr>
      </w:pPr>
    </w:p>
    <w:p w14:paraId="0D3EEF92">
      <w:pPr>
        <w:pStyle w:val="17"/>
        <w:rPr>
          <w:color w:val="000000"/>
          <w:highlight w:val="none"/>
        </w:rPr>
      </w:pPr>
    </w:p>
    <w:p w14:paraId="6C8D62EB">
      <w:pPr>
        <w:rPr>
          <w:color w:val="000000"/>
          <w:highlight w:val="none"/>
        </w:rPr>
      </w:pPr>
    </w:p>
    <w:p w14:paraId="20DA2434">
      <w:pPr>
        <w:pStyle w:val="17"/>
        <w:rPr>
          <w:color w:val="000000"/>
          <w:highlight w:val="none"/>
        </w:rPr>
      </w:pPr>
    </w:p>
    <w:p w14:paraId="39331EC9">
      <w:pPr>
        <w:rPr>
          <w:color w:val="000000"/>
          <w:highlight w:val="none"/>
        </w:rPr>
      </w:pPr>
    </w:p>
    <w:p w14:paraId="328F7698">
      <w:pPr>
        <w:pStyle w:val="17"/>
        <w:rPr>
          <w:color w:val="000000"/>
          <w:highlight w:val="none"/>
        </w:rPr>
      </w:pPr>
    </w:p>
    <w:p w14:paraId="163AFB30">
      <w:pPr>
        <w:rPr>
          <w:color w:val="000000"/>
          <w:highlight w:val="none"/>
        </w:rPr>
      </w:pPr>
    </w:p>
    <w:p w14:paraId="04DBCD8D">
      <w:pPr>
        <w:pStyle w:val="17"/>
        <w:rPr>
          <w:color w:val="000000"/>
          <w:highlight w:val="none"/>
        </w:rPr>
      </w:pPr>
    </w:p>
    <w:p w14:paraId="1B0B5713">
      <w:pPr>
        <w:rPr>
          <w:color w:val="000000"/>
          <w:highlight w:val="none"/>
        </w:rPr>
      </w:pPr>
    </w:p>
    <w:p w14:paraId="4F47B167">
      <w:pPr>
        <w:rPr>
          <w:color w:val="000000"/>
          <w:highlight w:val="none"/>
        </w:rPr>
      </w:pPr>
    </w:p>
    <w:p w14:paraId="1347226B">
      <w:pPr>
        <w:rPr>
          <w:color w:val="000000"/>
          <w:highlight w:val="none"/>
        </w:rPr>
      </w:pPr>
    </w:p>
    <w:p w14:paraId="4FD8B690">
      <w:pPr>
        <w:rPr>
          <w:color w:val="000000"/>
          <w:highlight w:val="none"/>
        </w:rPr>
      </w:pPr>
    </w:p>
    <w:p w14:paraId="3E1268EB">
      <w:pPr>
        <w:rPr>
          <w:color w:val="000000"/>
          <w:highlight w:val="none"/>
        </w:rPr>
      </w:pPr>
    </w:p>
    <w:p w14:paraId="0A90C2AD">
      <w:pPr>
        <w:rPr>
          <w:color w:val="000000"/>
          <w:highlight w:val="none"/>
        </w:rPr>
      </w:pPr>
    </w:p>
    <w:p w14:paraId="74435A41">
      <w:pPr>
        <w:rPr>
          <w:color w:val="000000"/>
          <w:highlight w:val="none"/>
        </w:rPr>
      </w:pPr>
    </w:p>
    <w:p w14:paraId="1C928E11">
      <w:pPr>
        <w:rPr>
          <w:color w:val="000000"/>
          <w:highlight w:val="none"/>
        </w:rPr>
      </w:pPr>
    </w:p>
    <w:p w14:paraId="3F8F6757">
      <w:pPr>
        <w:rPr>
          <w:color w:val="000000"/>
          <w:highlight w:val="none"/>
        </w:rPr>
      </w:pPr>
    </w:p>
    <w:p w14:paraId="6A026979">
      <w:pPr>
        <w:pStyle w:val="17"/>
        <w:rPr>
          <w:color w:val="000000"/>
          <w:highlight w:val="none"/>
        </w:rPr>
      </w:pPr>
    </w:p>
    <w:p w14:paraId="4B0138E1">
      <w:pPr>
        <w:keepNext/>
        <w:keepLines/>
        <w:widowControl/>
        <w:tabs>
          <w:tab w:val="left" w:pos="1134"/>
        </w:tabs>
        <w:topLinePunct/>
        <w:adjustRightInd w:val="0"/>
        <w:snapToGrid w:val="0"/>
        <w:spacing w:after="120" w:afterLines="50" w:line="360" w:lineRule="auto"/>
        <w:jc w:val="left"/>
        <w:outlineLvl w:val="1"/>
        <w:rPr>
          <w:rFonts w:ascii="黑体" w:hAnsi="黑体" w:eastAsia="黑体"/>
          <w:b/>
          <w:kern w:val="0"/>
          <w:sz w:val="30"/>
          <w:szCs w:val="30"/>
          <w:highlight w:val="none"/>
        </w:rPr>
        <w:sectPr>
          <w:pgSz w:w="11906" w:h="16838"/>
          <w:pgMar w:top="1440" w:right="1800" w:bottom="1440" w:left="1800" w:header="720" w:footer="998" w:gutter="0"/>
          <w:pgBorders>
            <w:top w:val="none" w:sz="0" w:space="0"/>
            <w:left w:val="none" w:sz="0" w:space="0"/>
            <w:bottom w:val="none" w:sz="0" w:space="0"/>
            <w:right w:val="none" w:sz="0" w:space="0"/>
          </w:pgBorders>
          <w:cols w:space="720" w:num="1"/>
          <w:docGrid w:linePitch="326" w:charSpace="0"/>
        </w:sectPr>
      </w:pPr>
      <w:bookmarkStart w:id="740" w:name="_Toc54862352"/>
      <w:bookmarkStart w:id="741" w:name="_Hlk38571789"/>
      <w:bookmarkStart w:id="742" w:name="_Toc95223486"/>
    </w:p>
    <w:p w14:paraId="68678357">
      <w:pPr>
        <w:keepNext/>
        <w:keepLines/>
        <w:widowControl/>
        <w:tabs>
          <w:tab w:val="left" w:pos="1134"/>
        </w:tabs>
        <w:topLinePunct/>
        <w:adjustRightInd w:val="0"/>
        <w:snapToGrid w:val="0"/>
        <w:spacing w:after="120" w:afterLines="50" w:line="360" w:lineRule="auto"/>
        <w:jc w:val="left"/>
        <w:outlineLvl w:val="1"/>
        <w:rPr>
          <w:rFonts w:ascii="黑体" w:hAnsi="黑体" w:eastAsia="黑体"/>
          <w:b/>
          <w:kern w:val="0"/>
          <w:sz w:val="30"/>
          <w:szCs w:val="30"/>
          <w:highlight w:val="none"/>
        </w:rPr>
      </w:pPr>
      <w:r>
        <w:rPr>
          <w:rFonts w:hint="eastAsia" w:ascii="黑体" w:hAnsi="黑体" w:eastAsia="黑体"/>
          <w:b/>
          <w:kern w:val="0"/>
          <w:sz w:val="30"/>
          <w:szCs w:val="30"/>
          <w:highlight w:val="none"/>
        </w:rPr>
        <w:t>附件1：发包人要求</w:t>
      </w:r>
      <w:bookmarkEnd w:id="740"/>
    </w:p>
    <w:p w14:paraId="37826D46">
      <w:pPr>
        <w:keepNext/>
        <w:keepLines/>
        <w:widowControl/>
        <w:tabs>
          <w:tab w:val="left" w:pos="1134"/>
        </w:tabs>
        <w:topLinePunct/>
        <w:adjustRightInd w:val="0"/>
        <w:snapToGrid w:val="0"/>
        <w:spacing w:after="120" w:afterLines="50" w:line="360" w:lineRule="auto"/>
        <w:jc w:val="center"/>
        <w:rPr>
          <w:rFonts w:ascii="方正小标宋简体" w:hAnsi="黑体" w:eastAsia="方正小标宋简体"/>
          <w:b/>
          <w:kern w:val="0"/>
          <w:sz w:val="32"/>
          <w:szCs w:val="32"/>
          <w:highlight w:val="none"/>
        </w:rPr>
      </w:pPr>
      <w:r>
        <w:rPr>
          <w:rFonts w:hint="eastAsia" w:ascii="方正小标宋简体" w:hAnsi="黑体" w:eastAsia="方正小标宋简体"/>
          <w:b/>
          <w:kern w:val="0"/>
          <w:sz w:val="32"/>
          <w:szCs w:val="32"/>
          <w:highlight w:val="none"/>
        </w:rPr>
        <w:t>发包人要求</w:t>
      </w:r>
    </w:p>
    <w:bookmarkEnd w:id="741"/>
    <w:p w14:paraId="40D58B79">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14:paraId="620FCC67">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《发包人要求》通常包括但不限于以下内容：</w:t>
      </w:r>
    </w:p>
    <w:p w14:paraId="3FA42D5B">
      <w:pPr>
        <w:widowControl/>
        <w:wordWrap w:val="0"/>
        <w:topLinePunct/>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一、功能要求</w:t>
      </w:r>
    </w:p>
    <w:p w14:paraId="21F3440A">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（一）工程目的              。</w:t>
      </w:r>
    </w:p>
    <w:p w14:paraId="1D5F97EF">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（二）工程规模              。</w:t>
      </w:r>
    </w:p>
    <w:p w14:paraId="26785882">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（三）性能保证指标（性能保证表）                  。</w:t>
      </w:r>
    </w:p>
    <w:p w14:paraId="0E4A6BDF">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（四）产能保证指标                       。</w:t>
      </w:r>
    </w:p>
    <w:p w14:paraId="09CE152E">
      <w:pPr>
        <w:widowControl/>
        <w:wordWrap w:val="0"/>
        <w:topLinePunct/>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二、工程范围</w:t>
      </w:r>
    </w:p>
    <w:p w14:paraId="62C60703">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 xml:space="preserve">（一）概述               </w:t>
      </w:r>
    </w:p>
    <w:p w14:paraId="34CC5B21">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（二）包括的工作</w:t>
      </w:r>
    </w:p>
    <w:p w14:paraId="0E9D4DA1">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1. 永久工程的设计、采购、施工范围                。</w:t>
      </w:r>
    </w:p>
    <w:p w14:paraId="438E7E11">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2. 临时工程的设计与施工范围                      。</w:t>
      </w:r>
    </w:p>
    <w:p w14:paraId="360D1F12">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3. 竣工验收工作范围                              。</w:t>
      </w:r>
    </w:p>
    <w:p w14:paraId="50E83255">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4. 技术服务工作范围                              。</w:t>
      </w:r>
    </w:p>
    <w:p w14:paraId="53E13B99">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5. 培训工作范围                                  。</w:t>
      </w:r>
    </w:p>
    <w:p w14:paraId="4ABD200C">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6. 保修工作范围                                  。</w:t>
      </w:r>
    </w:p>
    <w:p w14:paraId="6B9F9772">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 xml:space="preserve">（三）工作界区                                    </w:t>
      </w:r>
    </w:p>
    <w:p w14:paraId="1527BE37">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（四）发包人提供的现场条件</w:t>
      </w:r>
    </w:p>
    <w:p w14:paraId="177693DE">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1. 施工用电                                      。</w:t>
      </w:r>
    </w:p>
    <w:p w14:paraId="793C42E8">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2. 施工用水                                      。</w:t>
      </w:r>
    </w:p>
    <w:p w14:paraId="5AE1700E">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3. 施工排水                                      。</w:t>
      </w:r>
    </w:p>
    <w:p w14:paraId="23C34E09">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ascii="仿宋_GB2312" w:hAnsi="宋体" w:eastAsia="仿宋_GB2312"/>
          <w:kern w:val="0"/>
          <w:sz w:val="24"/>
          <w:szCs w:val="24"/>
          <w:highlight w:val="none"/>
        </w:rPr>
        <w:t>4.</w:t>
      </w:r>
      <w:r>
        <w:rPr>
          <w:rFonts w:hint="eastAsia" w:ascii="宋体" w:hAnsi="宋体"/>
          <w:kern w:val="0"/>
          <w:sz w:val="24"/>
          <w:szCs w:val="24"/>
          <w:highlight w:val="none"/>
        </w:rPr>
        <w:t xml:space="preserve"> </w:t>
      </w:r>
      <w:r>
        <w:rPr>
          <w:rFonts w:hint="eastAsia" w:ascii="仿宋_GB2312" w:hAnsi="宋体" w:eastAsia="仿宋_GB2312"/>
          <w:kern w:val="0"/>
          <w:sz w:val="24"/>
          <w:szCs w:val="24"/>
          <w:highlight w:val="none"/>
        </w:rPr>
        <w:t>施工道路                                      。</w:t>
      </w:r>
    </w:p>
    <w:p w14:paraId="22201C6D">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（五）发包人提供的技术文件</w:t>
      </w:r>
    </w:p>
    <w:p w14:paraId="0086368A">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除另有批准外，承包人的工作需要遵照发包人的下列技术文件:</w:t>
      </w:r>
    </w:p>
    <w:p w14:paraId="5F3CF883">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1. 发包人需求任务书                              。</w:t>
      </w:r>
    </w:p>
    <w:p w14:paraId="29AE0E94">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2. 发包人已完成的设计文件                        。</w:t>
      </w:r>
    </w:p>
    <w:p w14:paraId="29B73DCD">
      <w:pPr>
        <w:widowControl/>
        <w:wordWrap w:val="0"/>
        <w:topLinePunct/>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三、工艺安排或要求（如有）</w:t>
      </w:r>
    </w:p>
    <w:p w14:paraId="6521FD11">
      <w:pPr>
        <w:widowControl/>
        <w:wordWrap w:val="0"/>
        <w:topLinePunct/>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四、时间要求</w:t>
      </w:r>
    </w:p>
    <w:p w14:paraId="70E77123">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（一）开始工作时间                                。</w:t>
      </w:r>
    </w:p>
    <w:p w14:paraId="32FF0C9B">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（二）设计完成时间                                。</w:t>
      </w:r>
    </w:p>
    <w:p w14:paraId="4EF66A0E">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（三）进度计划                                    。</w:t>
      </w:r>
    </w:p>
    <w:p w14:paraId="2761B736">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（四）竣工时间                                    。</w:t>
      </w:r>
    </w:p>
    <w:p w14:paraId="392F20F2">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（五）缺陷责任期                                  。</w:t>
      </w:r>
    </w:p>
    <w:p w14:paraId="5EF7168E">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（六）其他时间要求                                。</w:t>
      </w:r>
    </w:p>
    <w:p w14:paraId="42C3124A">
      <w:pPr>
        <w:widowControl/>
        <w:wordWrap w:val="0"/>
        <w:topLinePunct/>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五、技术要求</w:t>
      </w:r>
    </w:p>
    <w:p w14:paraId="1E10C60D">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（一）设计阶段和设计任务                           。</w:t>
      </w:r>
    </w:p>
    <w:p w14:paraId="31290794">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（二）设计标准和规范                                。</w:t>
      </w:r>
    </w:p>
    <w:p w14:paraId="6AB1DD98">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（三）技术标准和要求                               。</w:t>
      </w:r>
    </w:p>
    <w:p w14:paraId="135A6B47">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（四）质量标准                                     。</w:t>
      </w:r>
    </w:p>
    <w:p w14:paraId="6F803517">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（五）设计、施工和设备监造、试验（如有）           。</w:t>
      </w:r>
    </w:p>
    <w:p w14:paraId="50F143E4">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（六）样品                                         。</w:t>
      </w:r>
    </w:p>
    <w:p w14:paraId="4F1C2FB7">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 xml:space="preserve">（七）发包人提供的其他条件(如发包人或其委托的第三人提供的设计、工艺包、用于试验检验的工器具等，以及据此对承包人提出的予以配套的要求。)                           </w:t>
      </w:r>
    </w:p>
    <w:p w14:paraId="37723E66">
      <w:pPr>
        <w:widowControl/>
        <w:wordWrap w:val="0"/>
        <w:topLinePunct/>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六、竣工试验</w:t>
      </w:r>
    </w:p>
    <w:p w14:paraId="18458B85">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（一）第一阶段，如对单车试验等的要求，包括试验前准备。</w:t>
      </w:r>
    </w:p>
    <w:p w14:paraId="0E719A67">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（二）第二阶段，如对联动试车、投料试车等的要求，包括人员、设备、材料、燃料、电力、消耗品、工具等必要条件。</w:t>
      </w:r>
    </w:p>
    <w:p w14:paraId="6ACC2363">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（三）第三阶段，如对性能测试及其他竣工试验的要求，包括产能指标、产品质量标准、运营指标、环保指标等。</w:t>
      </w:r>
    </w:p>
    <w:p w14:paraId="2BEA8B76">
      <w:pPr>
        <w:widowControl/>
        <w:wordWrap w:val="0"/>
        <w:topLinePunct/>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 xml:space="preserve">七、竣工验收                                    </w:t>
      </w:r>
    </w:p>
    <w:p w14:paraId="5A439FA6">
      <w:pPr>
        <w:widowControl/>
        <w:wordWrap w:val="0"/>
        <w:topLinePunct/>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 xml:space="preserve">八、竣工后试验（如有）                        </w:t>
      </w:r>
    </w:p>
    <w:p w14:paraId="55F63F5E">
      <w:pPr>
        <w:widowControl/>
        <w:wordWrap w:val="0"/>
        <w:topLinePunct/>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九、文件要求</w:t>
      </w:r>
    </w:p>
    <w:p w14:paraId="4C7E3963">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（一）设计文件，及其相关审批、核准、备案要求       。</w:t>
      </w:r>
    </w:p>
    <w:p w14:paraId="13C0D399">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（二）沟通计划                                     。</w:t>
      </w:r>
    </w:p>
    <w:p w14:paraId="05C9C038">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（三）风险管理计划                                 。</w:t>
      </w:r>
    </w:p>
    <w:p w14:paraId="0E5E1348">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（四）竣工文件和工程的其他记录                     。</w:t>
      </w:r>
    </w:p>
    <w:p w14:paraId="7F22A7E2">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（五）操作和维修手册                               。</w:t>
      </w:r>
    </w:p>
    <w:p w14:paraId="0289B7E1">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（六）其他承包人文件                                。</w:t>
      </w:r>
    </w:p>
    <w:p w14:paraId="0EAFF430">
      <w:pPr>
        <w:widowControl/>
        <w:wordWrap w:val="0"/>
        <w:topLinePunct/>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十、工程项目管理规定</w:t>
      </w:r>
    </w:p>
    <w:p w14:paraId="0EA81BA8">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（一）质量                                         。</w:t>
      </w:r>
    </w:p>
    <w:p w14:paraId="2E9EB00D">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（二）进度，包括里程碑进度计划（如果有）             。</w:t>
      </w:r>
    </w:p>
    <w:p w14:paraId="60108F43">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（三）支付                                         。</w:t>
      </w:r>
    </w:p>
    <w:p w14:paraId="47A7921E">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（四）HSE（健康、安全与环境管理体系）              。</w:t>
      </w:r>
    </w:p>
    <w:p w14:paraId="5BA16EDC">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（五）沟通                                         。</w:t>
      </w:r>
    </w:p>
    <w:p w14:paraId="0607D6ED">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（六）变更                                         。</w:t>
      </w:r>
    </w:p>
    <w:p w14:paraId="7F603D3D">
      <w:pPr>
        <w:widowControl/>
        <w:wordWrap w:val="0"/>
        <w:topLinePunct/>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十一、其他要求</w:t>
      </w:r>
    </w:p>
    <w:p w14:paraId="1156C996">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（一）对承包人的主要人员资格要求                   。</w:t>
      </w:r>
    </w:p>
    <w:p w14:paraId="57D34EDB">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（二）相关审批、核准和备案手续的办理               。</w:t>
      </w:r>
    </w:p>
    <w:p w14:paraId="0AAF55FF">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（三）对项目业主人员的操作培训                     。</w:t>
      </w:r>
    </w:p>
    <w:p w14:paraId="258C1D71">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（四）分包                                         。</w:t>
      </w:r>
    </w:p>
    <w:p w14:paraId="61991F39">
      <w:pPr>
        <w:widowControl/>
        <w:wordWrap w:val="0"/>
        <w:topLinePunct/>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（五）设备供应商                                   。</w:t>
      </w:r>
    </w:p>
    <w:p w14:paraId="3146B758">
      <w:pPr>
        <w:widowControl/>
        <w:wordWrap w:val="0"/>
        <w:topLinePunct/>
        <w:adjustRightInd w:val="0"/>
        <w:snapToGrid w:val="0"/>
        <w:spacing w:after="120" w:afterLines="50" w:line="360" w:lineRule="auto"/>
        <w:ind w:left="6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（六）缺陷责任期的服务要求                         。</w:t>
      </w:r>
    </w:p>
    <w:p w14:paraId="406638F5">
      <w:pPr>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十二</w:t>
      </w:r>
      <w:r>
        <w:rPr>
          <w:rFonts w:hint="eastAsia" w:ascii="宋体" w:hAnsi="宋体" w:cs="宋体"/>
          <w:color w:val="auto"/>
          <w:szCs w:val="21"/>
          <w:highlight w:val="none"/>
        </w:rPr>
        <w:t>、成果文件</w:t>
      </w:r>
    </w:p>
    <w:p w14:paraId="099C54BB">
      <w:pPr>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承包人</w:t>
      </w:r>
      <w:r>
        <w:rPr>
          <w:rFonts w:hint="eastAsia" w:ascii="宋体" w:hAnsi="宋体" w:cs="宋体"/>
          <w:color w:val="auto"/>
          <w:szCs w:val="21"/>
          <w:highlight w:val="none"/>
        </w:rPr>
        <w:t>中标后需向</w:t>
      </w:r>
      <w:r>
        <w:rPr>
          <w:rFonts w:hint="eastAsia" w:ascii="宋体" w:hAnsi="宋体" w:cs="宋体"/>
          <w:color w:val="auto"/>
          <w:szCs w:val="21"/>
          <w:highlight w:val="none"/>
          <w:lang w:val="en-US" w:eastAsia="zh-CN"/>
        </w:rPr>
        <w:t>发包</w:t>
      </w:r>
      <w:r>
        <w:rPr>
          <w:rFonts w:hint="eastAsia" w:ascii="宋体" w:hAnsi="宋体" w:cs="宋体"/>
          <w:color w:val="auto"/>
          <w:szCs w:val="21"/>
          <w:highlight w:val="none"/>
        </w:rPr>
        <w:t>人提供并不限于方案文本、方案电子文件、施工图文本、施工图电子文件（CAD版本和PDF版本）等全套施工图8套（含招标内容中各专业）、设计概算书等</w:t>
      </w:r>
      <w:r>
        <w:rPr>
          <w:rFonts w:hint="eastAsia" w:ascii="宋体" w:hAnsi="宋体" w:cs="宋体"/>
          <w:color w:val="auto"/>
          <w:szCs w:val="21"/>
          <w:highlight w:val="none"/>
          <w:lang w:val="en-US" w:eastAsia="zh-CN"/>
        </w:rPr>
        <w:t>发包</w:t>
      </w:r>
      <w:r>
        <w:rPr>
          <w:rFonts w:hint="eastAsia" w:ascii="宋体" w:hAnsi="宋体" w:cs="宋体"/>
          <w:color w:val="auto"/>
          <w:szCs w:val="21"/>
          <w:highlight w:val="none"/>
        </w:rPr>
        <w:t>人要求提供的其他成果资料。具体份数要求必须满足</w:t>
      </w:r>
      <w:r>
        <w:rPr>
          <w:rFonts w:hint="eastAsia" w:ascii="宋体" w:hAnsi="宋体" w:cs="宋体"/>
          <w:color w:val="auto"/>
          <w:szCs w:val="21"/>
          <w:highlight w:val="none"/>
          <w:lang w:val="en-US" w:eastAsia="zh-CN"/>
        </w:rPr>
        <w:t>发包</w:t>
      </w:r>
      <w:r>
        <w:rPr>
          <w:rFonts w:hint="eastAsia" w:ascii="宋体" w:hAnsi="宋体" w:cs="宋体"/>
          <w:color w:val="auto"/>
          <w:szCs w:val="21"/>
          <w:highlight w:val="none"/>
        </w:rPr>
        <w:t>人需求。</w:t>
      </w:r>
    </w:p>
    <w:p w14:paraId="0E1632FA">
      <w:pPr>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十三</w:t>
      </w:r>
      <w:r>
        <w:rPr>
          <w:rFonts w:hint="eastAsia" w:ascii="宋体" w:hAnsi="宋体" w:cs="宋体"/>
          <w:color w:val="auto"/>
          <w:szCs w:val="21"/>
          <w:highlight w:val="none"/>
        </w:rPr>
        <w:t>、其他要求</w:t>
      </w:r>
    </w:p>
    <w:p w14:paraId="74A7007F">
      <w:pPr>
        <w:spacing w:line="360" w:lineRule="auto"/>
        <w:ind w:left="420" w:leftChars="200" w:firstLine="0" w:firstLineChars="0"/>
        <w:jc w:val="left"/>
        <w:rPr>
          <w:rFonts w:hint="eastAsia" w:ascii="宋体" w:hAnsi="宋体" w:cs="宋体"/>
          <w:color w:val="auto"/>
          <w:szCs w:val="21"/>
          <w:highlight w:val="none"/>
        </w:rPr>
      </w:pPr>
      <w:r>
        <w:rPr>
          <w:rFonts w:hint="eastAsia" w:ascii="宋体" w:hAnsi="宋体" w:cs="宋体"/>
          <w:color w:val="auto"/>
          <w:szCs w:val="21"/>
          <w:highlight w:val="none"/>
        </w:rPr>
        <w:t>1、本工程采用的主要技术规范：按照国家相关标准、规范要求执行。</w:t>
      </w:r>
    </w:p>
    <w:p w14:paraId="2F6AA48A">
      <w:pPr>
        <w:widowControl/>
        <w:ind w:left="420" w:leftChars="200" w:firstLine="0" w:firstLineChars="0"/>
        <w:jc w:val="left"/>
        <w:rPr>
          <w:rFonts w:ascii="仿宋_GB2312" w:hAnsi="宋体" w:eastAsia="仿宋_GB2312"/>
          <w:kern w:val="0"/>
          <w:sz w:val="30"/>
          <w:szCs w:val="30"/>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承包人</w:t>
      </w:r>
      <w:r>
        <w:rPr>
          <w:rFonts w:hint="eastAsia" w:ascii="宋体" w:hAnsi="宋体" w:cs="宋体"/>
          <w:color w:val="auto"/>
          <w:szCs w:val="21"/>
          <w:highlight w:val="none"/>
        </w:rPr>
        <w:t>须按</w:t>
      </w:r>
      <w:r>
        <w:rPr>
          <w:rFonts w:hint="eastAsia" w:ascii="宋体" w:hAnsi="宋体" w:cs="宋体"/>
          <w:color w:val="auto"/>
          <w:szCs w:val="21"/>
          <w:highlight w:val="none"/>
          <w:lang w:val="en-US" w:eastAsia="zh-CN"/>
        </w:rPr>
        <w:t>发包</w:t>
      </w:r>
      <w:r>
        <w:rPr>
          <w:rFonts w:hint="eastAsia" w:ascii="宋体" w:hAnsi="宋体" w:cs="宋体"/>
          <w:color w:val="auto"/>
          <w:szCs w:val="21"/>
          <w:highlight w:val="none"/>
        </w:rPr>
        <w:t>人要求进行设计。</w:t>
      </w:r>
    </w:p>
    <w:p w14:paraId="623C4818">
      <w:pPr>
        <w:widowControl/>
        <w:jc w:val="left"/>
        <w:rPr>
          <w:rFonts w:ascii="仿宋_GB2312" w:hAnsi="宋体" w:eastAsia="仿宋_GB2312"/>
          <w:kern w:val="0"/>
          <w:sz w:val="30"/>
          <w:szCs w:val="30"/>
          <w:highlight w:val="none"/>
        </w:rPr>
      </w:pPr>
    </w:p>
    <w:p w14:paraId="4A97988B">
      <w:pPr>
        <w:widowControl/>
        <w:jc w:val="left"/>
        <w:rPr>
          <w:rFonts w:ascii="仿宋_GB2312" w:hAnsi="宋体" w:eastAsia="仿宋_GB2312"/>
          <w:kern w:val="0"/>
          <w:sz w:val="30"/>
          <w:szCs w:val="30"/>
          <w:highlight w:val="none"/>
        </w:rPr>
      </w:pPr>
    </w:p>
    <w:p w14:paraId="154A02AD">
      <w:pPr>
        <w:widowControl/>
        <w:jc w:val="left"/>
        <w:rPr>
          <w:rFonts w:ascii="仿宋_GB2312" w:hAnsi="宋体" w:eastAsia="仿宋_GB2312"/>
          <w:kern w:val="0"/>
          <w:sz w:val="30"/>
          <w:szCs w:val="30"/>
          <w:highlight w:val="none"/>
        </w:rPr>
      </w:pPr>
    </w:p>
    <w:p w14:paraId="60934484">
      <w:pPr>
        <w:widowControl/>
        <w:jc w:val="left"/>
        <w:rPr>
          <w:rFonts w:ascii="仿宋_GB2312" w:hAnsi="宋体" w:eastAsia="仿宋_GB2312"/>
          <w:kern w:val="0"/>
          <w:sz w:val="30"/>
          <w:szCs w:val="30"/>
          <w:highlight w:val="none"/>
        </w:rPr>
      </w:pPr>
    </w:p>
    <w:p w14:paraId="5EC659AD">
      <w:pPr>
        <w:widowControl/>
        <w:jc w:val="left"/>
        <w:rPr>
          <w:rFonts w:ascii="仿宋_GB2312" w:hAnsi="宋体" w:eastAsia="仿宋_GB2312"/>
          <w:kern w:val="0"/>
          <w:sz w:val="30"/>
          <w:szCs w:val="30"/>
          <w:highlight w:val="none"/>
        </w:rPr>
      </w:pPr>
    </w:p>
    <w:p w14:paraId="36321311">
      <w:pPr>
        <w:widowControl/>
        <w:jc w:val="left"/>
        <w:rPr>
          <w:rFonts w:ascii="仿宋_GB2312" w:hAnsi="宋体" w:eastAsia="仿宋_GB2312"/>
          <w:kern w:val="0"/>
          <w:sz w:val="30"/>
          <w:szCs w:val="30"/>
          <w:highlight w:val="none"/>
        </w:rPr>
      </w:pPr>
    </w:p>
    <w:p w14:paraId="23DB9068">
      <w:pPr>
        <w:widowControl/>
        <w:jc w:val="left"/>
        <w:rPr>
          <w:rFonts w:ascii="仿宋_GB2312" w:hAnsi="宋体" w:eastAsia="仿宋_GB2312"/>
          <w:kern w:val="0"/>
          <w:sz w:val="30"/>
          <w:szCs w:val="30"/>
          <w:highlight w:val="none"/>
        </w:rPr>
      </w:pPr>
    </w:p>
    <w:p w14:paraId="1700C781">
      <w:pPr>
        <w:widowControl/>
        <w:jc w:val="left"/>
        <w:rPr>
          <w:rFonts w:ascii="仿宋_GB2312" w:hAnsi="宋体" w:eastAsia="仿宋_GB2312"/>
          <w:kern w:val="0"/>
          <w:sz w:val="30"/>
          <w:szCs w:val="30"/>
          <w:highlight w:val="none"/>
        </w:rPr>
      </w:pPr>
    </w:p>
    <w:p w14:paraId="3F171189">
      <w:pPr>
        <w:widowControl/>
        <w:jc w:val="left"/>
        <w:rPr>
          <w:rFonts w:ascii="仿宋_GB2312" w:hAnsi="宋体" w:eastAsia="仿宋_GB2312"/>
          <w:kern w:val="0"/>
          <w:sz w:val="30"/>
          <w:szCs w:val="30"/>
          <w:highlight w:val="none"/>
        </w:rPr>
      </w:pPr>
    </w:p>
    <w:p w14:paraId="4EE2BA85">
      <w:pPr>
        <w:widowControl/>
        <w:jc w:val="left"/>
        <w:rPr>
          <w:rFonts w:ascii="仿宋_GB2312" w:hAnsi="宋体" w:eastAsia="仿宋_GB2312"/>
          <w:kern w:val="0"/>
          <w:sz w:val="30"/>
          <w:szCs w:val="30"/>
          <w:highlight w:val="none"/>
        </w:rPr>
      </w:pPr>
    </w:p>
    <w:p w14:paraId="3B7E14F4">
      <w:pPr>
        <w:widowControl/>
        <w:jc w:val="left"/>
        <w:rPr>
          <w:rFonts w:ascii="仿宋_GB2312" w:hAnsi="宋体" w:eastAsia="仿宋_GB2312"/>
          <w:kern w:val="0"/>
          <w:sz w:val="30"/>
          <w:szCs w:val="30"/>
          <w:highlight w:val="none"/>
        </w:rPr>
      </w:pPr>
    </w:p>
    <w:p w14:paraId="6E369A9F">
      <w:pPr>
        <w:widowControl/>
        <w:jc w:val="left"/>
        <w:rPr>
          <w:rFonts w:ascii="仿宋_GB2312" w:hAnsi="宋体" w:eastAsia="仿宋_GB2312"/>
          <w:kern w:val="0"/>
          <w:sz w:val="30"/>
          <w:szCs w:val="30"/>
          <w:highlight w:val="none"/>
        </w:rPr>
      </w:pPr>
    </w:p>
    <w:p w14:paraId="252DBE6F">
      <w:pPr>
        <w:widowControl/>
        <w:jc w:val="left"/>
        <w:rPr>
          <w:rFonts w:ascii="仿宋_GB2312" w:hAnsi="宋体" w:eastAsia="仿宋_GB2312"/>
          <w:kern w:val="0"/>
          <w:sz w:val="30"/>
          <w:szCs w:val="30"/>
          <w:highlight w:val="none"/>
        </w:rPr>
      </w:pPr>
    </w:p>
    <w:p w14:paraId="39616237">
      <w:pPr>
        <w:widowControl/>
        <w:jc w:val="left"/>
        <w:rPr>
          <w:rFonts w:ascii="仿宋_GB2312" w:hAnsi="宋体" w:eastAsia="仿宋_GB2312"/>
          <w:kern w:val="0"/>
          <w:sz w:val="30"/>
          <w:szCs w:val="30"/>
          <w:highlight w:val="none"/>
        </w:rPr>
      </w:pPr>
    </w:p>
    <w:p w14:paraId="498C3497">
      <w:pPr>
        <w:widowControl/>
        <w:jc w:val="left"/>
        <w:rPr>
          <w:rFonts w:ascii="仿宋_GB2312" w:hAnsi="宋体" w:eastAsia="仿宋_GB2312"/>
          <w:kern w:val="0"/>
          <w:sz w:val="30"/>
          <w:szCs w:val="30"/>
          <w:highlight w:val="none"/>
        </w:rPr>
      </w:pPr>
    </w:p>
    <w:p w14:paraId="29FB2E08">
      <w:pPr>
        <w:widowControl/>
        <w:jc w:val="left"/>
        <w:rPr>
          <w:rFonts w:ascii="仿宋_GB2312" w:hAnsi="宋体" w:eastAsia="仿宋_GB2312"/>
          <w:kern w:val="0"/>
          <w:sz w:val="30"/>
          <w:szCs w:val="30"/>
          <w:highlight w:val="none"/>
        </w:rPr>
      </w:pPr>
    </w:p>
    <w:p w14:paraId="09B7F884">
      <w:pPr>
        <w:widowControl/>
        <w:jc w:val="left"/>
        <w:rPr>
          <w:rFonts w:ascii="仿宋_GB2312" w:hAnsi="宋体" w:eastAsia="仿宋_GB2312"/>
          <w:kern w:val="0"/>
          <w:sz w:val="30"/>
          <w:szCs w:val="30"/>
          <w:highlight w:val="none"/>
        </w:rPr>
      </w:pPr>
    </w:p>
    <w:p w14:paraId="5A13619A">
      <w:pPr>
        <w:widowControl/>
        <w:jc w:val="left"/>
        <w:rPr>
          <w:rFonts w:ascii="仿宋_GB2312" w:hAnsi="宋体" w:eastAsia="仿宋_GB2312"/>
          <w:kern w:val="0"/>
          <w:sz w:val="30"/>
          <w:szCs w:val="30"/>
          <w:highlight w:val="none"/>
        </w:rPr>
      </w:pPr>
    </w:p>
    <w:p w14:paraId="1563BAF8">
      <w:pPr>
        <w:keepNext/>
        <w:keepLines/>
        <w:widowControl/>
        <w:tabs>
          <w:tab w:val="left" w:pos="1134"/>
        </w:tabs>
        <w:wordWrap w:val="0"/>
        <w:topLinePunct/>
        <w:adjustRightInd w:val="0"/>
        <w:snapToGrid w:val="0"/>
        <w:spacing w:after="120" w:afterLines="50" w:line="360" w:lineRule="auto"/>
        <w:jc w:val="left"/>
        <w:outlineLvl w:val="1"/>
        <w:rPr>
          <w:rFonts w:ascii="黑体" w:hAnsi="黑体" w:eastAsia="黑体"/>
          <w:b/>
          <w:kern w:val="0"/>
          <w:sz w:val="30"/>
          <w:szCs w:val="30"/>
          <w:highlight w:val="none"/>
        </w:rPr>
      </w:pPr>
      <w:bookmarkStart w:id="743" w:name="_Toc20171894"/>
      <w:bookmarkStart w:id="744" w:name="_Toc54862353"/>
      <w:r>
        <w:rPr>
          <w:rFonts w:hint="eastAsia" w:ascii="黑体" w:hAnsi="黑体" w:eastAsia="黑体"/>
          <w:b/>
          <w:kern w:val="0"/>
          <w:sz w:val="30"/>
          <w:szCs w:val="30"/>
          <w:highlight w:val="none"/>
        </w:rPr>
        <w:t>附件2：</w:t>
      </w:r>
      <w:r>
        <w:rPr>
          <w:rFonts w:ascii="黑体" w:hAnsi="黑体" w:eastAsia="黑体"/>
          <w:b/>
          <w:kern w:val="0"/>
          <w:sz w:val="30"/>
          <w:szCs w:val="30"/>
          <w:highlight w:val="none"/>
        </w:rPr>
        <w:t>发包人供应材料设备一览表</w:t>
      </w:r>
      <w:bookmarkEnd w:id="743"/>
      <w:bookmarkEnd w:id="744"/>
    </w:p>
    <w:p w14:paraId="37FDF2D8">
      <w:pPr>
        <w:keepNext/>
        <w:keepLines/>
        <w:widowControl/>
        <w:tabs>
          <w:tab w:val="left" w:pos="1134"/>
        </w:tabs>
        <w:topLinePunct/>
        <w:adjustRightInd w:val="0"/>
        <w:snapToGrid w:val="0"/>
        <w:spacing w:after="120" w:afterLines="50" w:line="360" w:lineRule="auto"/>
        <w:jc w:val="center"/>
        <w:rPr>
          <w:rFonts w:ascii="方正小标宋简体" w:hAnsi="黑体" w:eastAsia="方正小标宋简体"/>
          <w:b/>
          <w:kern w:val="0"/>
          <w:sz w:val="32"/>
          <w:szCs w:val="32"/>
          <w:highlight w:val="none"/>
        </w:rPr>
      </w:pPr>
      <w:r>
        <w:rPr>
          <w:rFonts w:hint="eastAsia" w:ascii="方正小标宋简体" w:hAnsi="黑体" w:eastAsia="方正小标宋简体"/>
          <w:b/>
          <w:kern w:val="0"/>
          <w:sz w:val="32"/>
          <w:szCs w:val="32"/>
          <w:highlight w:val="none"/>
        </w:rPr>
        <w:t>发包人供应材料设备一览表</w:t>
      </w:r>
    </w:p>
    <w:tbl>
      <w:tblPr>
        <w:tblStyle w:val="18"/>
        <w:tblW w:w="919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4"/>
        <w:gridCol w:w="1134"/>
        <w:gridCol w:w="1134"/>
        <w:gridCol w:w="709"/>
      </w:tblGrid>
      <w:tr w14:paraId="30486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52" w:type="dxa"/>
            <w:tcBorders>
              <w:top w:val="single" w:color="auto" w:sz="12" w:space="0"/>
              <w:bottom w:val="double" w:color="auto" w:sz="6" w:space="0"/>
            </w:tcBorders>
            <w:noWrap w:val="0"/>
            <w:vAlign w:val="center"/>
          </w:tcPr>
          <w:p w14:paraId="7BA304E1">
            <w:pPr>
              <w:widowControl/>
              <w:adjustRightInd w:val="0"/>
              <w:snapToGrid w:val="0"/>
              <w:jc w:val="center"/>
              <w:rPr>
                <w:rFonts w:ascii="仿宋_GB2312" w:hAnsi="宋体" w:eastAsia="仿宋_GB2312"/>
                <w:kern w:val="0"/>
                <w:szCs w:val="20"/>
                <w:highlight w:val="none"/>
              </w:rPr>
            </w:pPr>
            <w:r>
              <w:rPr>
                <w:rFonts w:hint="eastAsia" w:ascii="仿宋_GB2312" w:hAnsi="宋体" w:eastAsia="仿宋_GB2312"/>
                <w:kern w:val="0"/>
                <w:szCs w:val="20"/>
                <w:highlight w:val="none"/>
              </w:rPr>
              <w:t>序号</w:t>
            </w:r>
          </w:p>
        </w:tc>
        <w:tc>
          <w:tcPr>
            <w:tcW w:w="1165" w:type="dxa"/>
            <w:tcBorders>
              <w:top w:val="single" w:color="auto" w:sz="12" w:space="0"/>
              <w:bottom w:val="double" w:color="auto" w:sz="6" w:space="0"/>
            </w:tcBorders>
            <w:noWrap w:val="0"/>
            <w:vAlign w:val="center"/>
          </w:tcPr>
          <w:p w14:paraId="3670D1EE">
            <w:pPr>
              <w:widowControl/>
              <w:adjustRightInd w:val="0"/>
              <w:snapToGrid w:val="0"/>
              <w:jc w:val="center"/>
              <w:rPr>
                <w:rFonts w:ascii="仿宋_GB2312" w:hAnsi="宋体" w:eastAsia="仿宋_GB2312"/>
                <w:kern w:val="0"/>
                <w:szCs w:val="20"/>
                <w:highlight w:val="none"/>
              </w:rPr>
            </w:pPr>
            <w:r>
              <w:rPr>
                <w:rFonts w:hint="eastAsia" w:ascii="仿宋_GB2312" w:hAnsi="宋体" w:eastAsia="仿宋_GB2312"/>
                <w:kern w:val="0"/>
                <w:szCs w:val="20"/>
                <w:highlight w:val="none"/>
              </w:rPr>
              <w:t>材料、设备品种</w:t>
            </w:r>
          </w:p>
        </w:tc>
        <w:tc>
          <w:tcPr>
            <w:tcW w:w="1126" w:type="dxa"/>
            <w:tcBorders>
              <w:top w:val="single" w:color="auto" w:sz="12" w:space="0"/>
              <w:bottom w:val="double" w:color="auto" w:sz="6" w:space="0"/>
            </w:tcBorders>
            <w:noWrap w:val="0"/>
            <w:vAlign w:val="center"/>
          </w:tcPr>
          <w:p w14:paraId="1306CDA1">
            <w:pPr>
              <w:widowControl/>
              <w:adjustRightInd w:val="0"/>
              <w:snapToGrid w:val="0"/>
              <w:jc w:val="center"/>
              <w:rPr>
                <w:rFonts w:ascii="仿宋_GB2312" w:hAnsi="宋体" w:eastAsia="仿宋_GB2312"/>
                <w:kern w:val="0"/>
                <w:szCs w:val="20"/>
                <w:highlight w:val="none"/>
              </w:rPr>
            </w:pPr>
            <w:r>
              <w:rPr>
                <w:rFonts w:hint="eastAsia" w:ascii="仿宋_GB2312" w:hAnsi="宋体" w:eastAsia="仿宋_GB2312"/>
                <w:kern w:val="0"/>
                <w:szCs w:val="20"/>
                <w:highlight w:val="none"/>
              </w:rPr>
              <w:t>规格型号</w:t>
            </w:r>
          </w:p>
        </w:tc>
        <w:tc>
          <w:tcPr>
            <w:tcW w:w="567" w:type="dxa"/>
            <w:tcBorders>
              <w:top w:val="single" w:color="auto" w:sz="12" w:space="0"/>
              <w:bottom w:val="double" w:color="auto" w:sz="6" w:space="0"/>
            </w:tcBorders>
            <w:noWrap w:val="0"/>
            <w:vAlign w:val="center"/>
          </w:tcPr>
          <w:p w14:paraId="2348314F">
            <w:pPr>
              <w:widowControl/>
              <w:adjustRightInd w:val="0"/>
              <w:snapToGrid w:val="0"/>
              <w:jc w:val="center"/>
              <w:rPr>
                <w:rFonts w:ascii="仿宋_GB2312" w:hAnsi="宋体" w:eastAsia="仿宋_GB2312"/>
                <w:kern w:val="0"/>
                <w:szCs w:val="20"/>
                <w:highlight w:val="none"/>
              </w:rPr>
            </w:pPr>
            <w:r>
              <w:rPr>
                <w:rFonts w:hint="eastAsia" w:ascii="仿宋_GB2312" w:hAnsi="宋体" w:eastAsia="仿宋_GB2312"/>
                <w:kern w:val="0"/>
                <w:szCs w:val="20"/>
                <w:highlight w:val="none"/>
              </w:rPr>
              <w:t>单位</w:t>
            </w:r>
          </w:p>
        </w:tc>
        <w:tc>
          <w:tcPr>
            <w:tcW w:w="686" w:type="dxa"/>
            <w:tcBorders>
              <w:top w:val="single" w:color="auto" w:sz="12" w:space="0"/>
              <w:bottom w:val="double" w:color="auto" w:sz="6" w:space="0"/>
            </w:tcBorders>
            <w:noWrap w:val="0"/>
            <w:vAlign w:val="center"/>
          </w:tcPr>
          <w:p w14:paraId="2C4650DA">
            <w:pPr>
              <w:widowControl/>
              <w:adjustRightInd w:val="0"/>
              <w:snapToGrid w:val="0"/>
              <w:jc w:val="center"/>
              <w:rPr>
                <w:rFonts w:ascii="仿宋_GB2312" w:hAnsi="宋体" w:eastAsia="仿宋_GB2312"/>
                <w:kern w:val="0"/>
                <w:szCs w:val="20"/>
                <w:highlight w:val="none"/>
              </w:rPr>
            </w:pPr>
            <w:r>
              <w:rPr>
                <w:rFonts w:hint="eastAsia" w:ascii="仿宋_GB2312" w:hAnsi="宋体" w:eastAsia="仿宋_GB2312"/>
                <w:kern w:val="0"/>
                <w:szCs w:val="20"/>
                <w:highlight w:val="none"/>
              </w:rPr>
              <w:t>数量</w:t>
            </w:r>
          </w:p>
        </w:tc>
        <w:tc>
          <w:tcPr>
            <w:tcW w:w="992" w:type="dxa"/>
            <w:tcBorders>
              <w:top w:val="single" w:color="auto" w:sz="12" w:space="0"/>
              <w:bottom w:val="double" w:color="auto" w:sz="6" w:space="0"/>
            </w:tcBorders>
            <w:noWrap w:val="0"/>
            <w:vAlign w:val="center"/>
          </w:tcPr>
          <w:p w14:paraId="5317A2E7">
            <w:pPr>
              <w:widowControl/>
              <w:adjustRightInd w:val="0"/>
              <w:snapToGrid w:val="0"/>
              <w:jc w:val="center"/>
              <w:rPr>
                <w:rFonts w:ascii="仿宋_GB2312" w:hAnsi="宋体" w:eastAsia="仿宋_GB2312"/>
                <w:kern w:val="0"/>
                <w:szCs w:val="20"/>
                <w:highlight w:val="none"/>
              </w:rPr>
            </w:pPr>
            <w:r>
              <w:rPr>
                <w:rFonts w:hint="eastAsia" w:ascii="仿宋_GB2312" w:hAnsi="宋体" w:eastAsia="仿宋_GB2312"/>
                <w:kern w:val="0"/>
                <w:szCs w:val="20"/>
                <w:highlight w:val="none"/>
              </w:rPr>
              <w:t>单价（元）</w:t>
            </w:r>
          </w:p>
        </w:tc>
        <w:tc>
          <w:tcPr>
            <w:tcW w:w="1134" w:type="dxa"/>
            <w:tcBorders>
              <w:top w:val="single" w:color="auto" w:sz="12" w:space="0"/>
              <w:bottom w:val="double" w:color="auto" w:sz="6" w:space="0"/>
            </w:tcBorders>
            <w:noWrap w:val="0"/>
            <w:vAlign w:val="center"/>
          </w:tcPr>
          <w:p w14:paraId="2B482E7B">
            <w:pPr>
              <w:widowControl/>
              <w:adjustRightInd w:val="0"/>
              <w:snapToGrid w:val="0"/>
              <w:jc w:val="center"/>
              <w:rPr>
                <w:rFonts w:ascii="仿宋_GB2312" w:hAnsi="宋体" w:eastAsia="仿宋_GB2312"/>
                <w:kern w:val="0"/>
                <w:szCs w:val="20"/>
                <w:highlight w:val="none"/>
              </w:rPr>
            </w:pPr>
            <w:r>
              <w:rPr>
                <w:rFonts w:hint="eastAsia" w:ascii="仿宋_GB2312" w:hAnsi="宋体" w:eastAsia="仿宋_GB2312"/>
                <w:kern w:val="0"/>
                <w:szCs w:val="20"/>
                <w:highlight w:val="none"/>
              </w:rPr>
              <w:t>质量等级</w:t>
            </w:r>
          </w:p>
        </w:tc>
        <w:tc>
          <w:tcPr>
            <w:tcW w:w="1134" w:type="dxa"/>
            <w:tcBorders>
              <w:top w:val="single" w:color="auto" w:sz="12" w:space="0"/>
              <w:bottom w:val="double" w:color="auto" w:sz="6" w:space="0"/>
            </w:tcBorders>
            <w:noWrap w:val="0"/>
            <w:vAlign w:val="center"/>
          </w:tcPr>
          <w:p w14:paraId="470110D4">
            <w:pPr>
              <w:widowControl/>
              <w:adjustRightInd w:val="0"/>
              <w:snapToGrid w:val="0"/>
              <w:jc w:val="center"/>
              <w:rPr>
                <w:rFonts w:ascii="仿宋_GB2312" w:hAnsi="宋体" w:eastAsia="仿宋_GB2312"/>
                <w:kern w:val="0"/>
                <w:szCs w:val="20"/>
                <w:highlight w:val="none"/>
              </w:rPr>
            </w:pPr>
            <w:r>
              <w:rPr>
                <w:rFonts w:hint="eastAsia" w:ascii="仿宋_GB2312" w:hAnsi="宋体" w:eastAsia="仿宋_GB2312"/>
                <w:kern w:val="0"/>
                <w:szCs w:val="20"/>
                <w:highlight w:val="none"/>
              </w:rPr>
              <w:t>供应时间</w:t>
            </w:r>
          </w:p>
        </w:tc>
        <w:tc>
          <w:tcPr>
            <w:tcW w:w="1134" w:type="dxa"/>
            <w:tcBorders>
              <w:top w:val="single" w:color="auto" w:sz="12" w:space="0"/>
              <w:bottom w:val="double" w:color="auto" w:sz="6" w:space="0"/>
            </w:tcBorders>
            <w:noWrap w:val="0"/>
            <w:vAlign w:val="center"/>
          </w:tcPr>
          <w:p w14:paraId="36F3BDC5">
            <w:pPr>
              <w:widowControl/>
              <w:adjustRightInd w:val="0"/>
              <w:snapToGrid w:val="0"/>
              <w:jc w:val="center"/>
              <w:rPr>
                <w:rFonts w:ascii="仿宋_GB2312" w:hAnsi="宋体" w:eastAsia="仿宋_GB2312"/>
                <w:kern w:val="0"/>
                <w:szCs w:val="20"/>
                <w:highlight w:val="none"/>
              </w:rPr>
            </w:pPr>
            <w:r>
              <w:rPr>
                <w:rFonts w:hint="eastAsia" w:ascii="仿宋_GB2312" w:hAnsi="宋体" w:eastAsia="仿宋_GB2312"/>
                <w:kern w:val="0"/>
                <w:szCs w:val="20"/>
                <w:highlight w:val="none"/>
              </w:rPr>
              <w:t>送达地点</w:t>
            </w:r>
          </w:p>
        </w:tc>
        <w:tc>
          <w:tcPr>
            <w:tcW w:w="709" w:type="dxa"/>
            <w:tcBorders>
              <w:top w:val="single" w:color="auto" w:sz="12" w:space="0"/>
              <w:bottom w:val="double" w:color="auto" w:sz="6" w:space="0"/>
            </w:tcBorders>
            <w:noWrap w:val="0"/>
            <w:vAlign w:val="center"/>
          </w:tcPr>
          <w:p w14:paraId="6007CD5F">
            <w:pPr>
              <w:widowControl/>
              <w:adjustRightInd w:val="0"/>
              <w:snapToGrid w:val="0"/>
              <w:jc w:val="center"/>
              <w:rPr>
                <w:rFonts w:ascii="仿宋_GB2312" w:hAnsi="宋体" w:eastAsia="仿宋_GB2312"/>
                <w:kern w:val="0"/>
                <w:szCs w:val="20"/>
                <w:highlight w:val="none"/>
              </w:rPr>
            </w:pPr>
            <w:r>
              <w:rPr>
                <w:rFonts w:hint="eastAsia" w:ascii="仿宋_GB2312" w:hAnsi="宋体" w:eastAsia="仿宋_GB2312"/>
                <w:kern w:val="0"/>
                <w:szCs w:val="20"/>
                <w:highlight w:val="none"/>
              </w:rPr>
              <w:t>备注</w:t>
            </w:r>
          </w:p>
        </w:tc>
      </w:tr>
      <w:tr w14:paraId="75A4AA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double" w:color="auto" w:sz="6" w:space="0"/>
              <w:bottom w:val="single" w:color="auto" w:sz="6" w:space="0"/>
            </w:tcBorders>
            <w:noWrap w:val="0"/>
            <w:vAlign w:val="center"/>
          </w:tcPr>
          <w:p w14:paraId="3A3D73AA">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tcBorders>
              <w:top w:val="double" w:color="auto" w:sz="6" w:space="0"/>
              <w:bottom w:val="single" w:color="auto" w:sz="6" w:space="0"/>
            </w:tcBorders>
            <w:noWrap w:val="0"/>
            <w:vAlign w:val="center"/>
          </w:tcPr>
          <w:p w14:paraId="7D724A7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tcBorders>
              <w:top w:val="double" w:color="auto" w:sz="6" w:space="0"/>
              <w:bottom w:val="single" w:color="auto" w:sz="6" w:space="0"/>
            </w:tcBorders>
            <w:noWrap w:val="0"/>
            <w:vAlign w:val="center"/>
          </w:tcPr>
          <w:p w14:paraId="0B4084C0">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tcBorders>
              <w:top w:val="double" w:color="auto" w:sz="6" w:space="0"/>
              <w:bottom w:val="single" w:color="auto" w:sz="6" w:space="0"/>
            </w:tcBorders>
            <w:noWrap w:val="0"/>
            <w:vAlign w:val="center"/>
          </w:tcPr>
          <w:p w14:paraId="4A89DF47">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tcBorders>
              <w:top w:val="double" w:color="auto" w:sz="6" w:space="0"/>
              <w:bottom w:val="single" w:color="auto" w:sz="6" w:space="0"/>
            </w:tcBorders>
            <w:noWrap w:val="0"/>
            <w:vAlign w:val="center"/>
          </w:tcPr>
          <w:p w14:paraId="2C8C8D9C">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tcBorders>
              <w:top w:val="double" w:color="auto" w:sz="6" w:space="0"/>
              <w:bottom w:val="single" w:color="auto" w:sz="6" w:space="0"/>
            </w:tcBorders>
            <w:noWrap w:val="0"/>
            <w:vAlign w:val="top"/>
          </w:tcPr>
          <w:p w14:paraId="1B3696D7">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tcBorders>
              <w:top w:val="double" w:color="auto" w:sz="6" w:space="0"/>
              <w:bottom w:val="single" w:color="auto" w:sz="6" w:space="0"/>
            </w:tcBorders>
            <w:noWrap w:val="0"/>
            <w:vAlign w:val="center"/>
          </w:tcPr>
          <w:p w14:paraId="00707A6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tcBorders>
              <w:top w:val="double" w:color="auto" w:sz="6" w:space="0"/>
              <w:bottom w:val="single" w:color="auto" w:sz="6" w:space="0"/>
            </w:tcBorders>
            <w:noWrap w:val="0"/>
            <w:vAlign w:val="center"/>
          </w:tcPr>
          <w:p w14:paraId="388CC230">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tcBorders>
              <w:top w:val="double" w:color="auto" w:sz="6" w:space="0"/>
              <w:bottom w:val="single" w:color="auto" w:sz="6" w:space="0"/>
            </w:tcBorders>
            <w:noWrap w:val="0"/>
            <w:vAlign w:val="center"/>
          </w:tcPr>
          <w:p w14:paraId="2767133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tcBorders>
              <w:top w:val="double" w:color="auto" w:sz="6" w:space="0"/>
              <w:bottom w:val="single" w:color="auto" w:sz="6" w:space="0"/>
            </w:tcBorders>
            <w:noWrap w:val="0"/>
            <w:vAlign w:val="center"/>
          </w:tcPr>
          <w:p w14:paraId="4F2C71C6">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50E0F8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nil"/>
            </w:tcBorders>
            <w:noWrap w:val="0"/>
            <w:vAlign w:val="center"/>
          </w:tcPr>
          <w:p w14:paraId="35F6848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tcBorders>
              <w:top w:val="nil"/>
            </w:tcBorders>
            <w:noWrap w:val="0"/>
            <w:vAlign w:val="center"/>
          </w:tcPr>
          <w:p w14:paraId="02E54176">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tcBorders>
              <w:top w:val="nil"/>
            </w:tcBorders>
            <w:noWrap w:val="0"/>
            <w:vAlign w:val="center"/>
          </w:tcPr>
          <w:p w14:paraId="0D3884B6">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tcBorders>
              <w:top w:val="nil"/>
            </w:tcBorders>
            <w:noWrap w:val="0"/>
            <w:vAlign w:val="center"/>
          </w:tcPr>
          <w:p w14:paraId="55A9D45B">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tcBorders>
              <w:top w:val="nil"/>
            </w:tcBorders>
            <w:noWrap w:val="0"/>
            <w:vAlign w:val="center"/>
          </w:tcPr>
          <w:p w14:paraId="7ADC58F2">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tcBorders>
              <w:top w:val="nil"/>
            </w:tcBorders>
            <w:noWrap w:val="0"/>
            <w:vAlign w:val="top"/>
          </w:tcPr>
          <w:p w14:paraId="5CB6E1E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tcBorders>
              <w:top w:val="nil"/>
            </w:tcBorders>
            <w:noWrap w:val="0"/>
            <w:vAlign w:val="center"/>
          </w:tcPr>
          <w:p w14:paraId="7E6BD0E9">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tcBorders>
              <w:top w:val="nil"/>
            </w:tcBorders>
            <w:noWrap w:val="0"/>
            <w:vAlign w:val="center"/>
          </w:tcPr>
          <w:p w14:paraId="65B36E0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tcBorders>
              <w:top w:val="nil"/>
            </w:tcBorders>
            <w:noWrap w:val="0"/>
            <w:vAlign w:val="center"/>
          </w:tcPr>
          <w:p w14:paraId="52453148">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tcBorders>
              <w:top w:val="nil"/>
            </w:tcBorders>
            <w:noWrap w:val="0"/>
            <w:vAlign w:val="center"/>
          </w:tcPr>
          <w:p w14:paraId="580C3C08">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128E05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55260EB">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64599CE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7C67112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0BC91BFA">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69A080CC">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5284D5E2">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1D713C02">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2A05236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4BE0B35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40C727E8">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1EB25C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2F7B6BD3">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2F0815E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2B277215">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02C9858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136AF29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766B10F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594685D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276F3F3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7CD81BA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79CD9A5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495DEF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775675B">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1B133FF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0FD03879">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5052185A">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600FCFE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535DFCE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7EF1304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7754E5B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00BBAEE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2321E07B">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52A3DF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7D553A2">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3035670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4748A86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5E549FFA">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6DFC76B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4C2D1216">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50894D40">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77FCBEF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7660ED8C">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4059064A">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6F3313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FEC1F36">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488D367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57CE112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54B97EBA">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2D89B62A">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005FA23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51D55A32">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6FFD4250">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3647F1E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69BAE156">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79886C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DC5BC5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6B1B78B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15C54FE3">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2F4A424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4C50E992">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4E72F678">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20A95202">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7CA142DB">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110A25B9">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511418B5">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7BC7ED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E61230C">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019C8660">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636770A0">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45955D58">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67F3E61D">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58F6DE2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130717B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4D20DD6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0AAB494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2230FE05">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3E9EA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1010B70">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76060FFA">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2C3605B0">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3444FC2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3500CFC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7FA73328">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65506DB7">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5B8CCE8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4A9523D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6F167F5A">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0890D4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3552DBE3">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10D321D9">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17A1CF6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42A6D063">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33DEE42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39037276">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7E7940C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01A9CE06">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728BC90D">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65BEF72D">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1CB1F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399795A3">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605BC3C3">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66353595">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19F64C72">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64D921B6">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6C91303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78041128">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2380FE1A">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55CD2FD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72EF2FCB">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4C261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043E249">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1AF05E2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5CA7890C">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3B7B8F99">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54EF3F03">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0267BE6C">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0112E6F1">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6297AED2">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14DCA08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0E1FDA96">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14E38F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2C0B7E08">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0C861C8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6EA72BA0">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0EF2C4FB">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25DD4E54">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25C9C210">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78910D1C">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13BE9BEC">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5A828D53">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0C81EE49">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r w14:paraId="77F31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8EACA06">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p w14:paraId="5AE20D6A">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65" w:type="dxa"/>
            <w:noWrap w:val="0"/>
            <w:vAlign w:val="center"/>
          </w:tcPr>
          <w:p w14:paraId="24A7272F">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26" w:type="dxa"/>
            <w:noWrap w:val="0"/>
            <w:vAlign w:val="center"/>
          </w:tcPr>
          <w:p w14:paraId="74D6E53C">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567" w:type="dxa"/>
            <w:noWrap w:val="0"/>
            <w:vAlign w:val="center"/>
          </w:tcPr>
          <w:p w14:paraId="3EB8908E">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686" w:type="dxa"/>
            <w:noWrap w:val="0"/>
            <w:vAlign w:val="center"/>
          </w:tcPr>
          <w:p w14:paraId="2B7E9588">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992" w:type="dxa"/>
            <w:noWrap w:val="0"/>
            <w:vAlign w:val="top"/>
          </w:tcPr>
          <w:p w14:paraId="08682AB0">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06D4C489">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78F57ED3">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1134" w:type="dxa"/>
            <w:noWrap w:val="0"/>
            <w:vAlign w:val="center"/>
          </w:tcPr>
          <w:p w14:paraId="258D7613">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c>
          <w:tcPr>
            <w:tcW w:w="709" w:type="dxa"/>
            <w:noWrap w:val="0"/>
            <w:vAlign w:val="center"/>
          </w:tcPr>
          <w:p w14:paraId="7E7849BB">
            <w:pPr>
              <w:widowControl/>
              <w:adjustRightInd w:val="0"/>
              <w:snapToGrid w:val="0"/>
              <w:spacing w:after="120" w:afterLines="50" w:line="360" w:lineRule="auto"/>
              <w:ind w:firstLine="480" w:firstLineChars="200"/>
              <w:jc w:val="center"/>
              <w:rPr>
                <w:rFonts w:ascii="仿宋_GB2312" w:hAnsi="宋体" w:eastAsia="仿宋_GB2312"/>
                <w:kern w:val="0"/>
                <w:sz w:val="24"/>
                <w:szCs w:val="20"/>
                <w:highlight w:val="none"/>
              </w:rPr>
            </w:pPr>
          </w:p>
        </w:tc>
      </w:tr>
    </w:tbl>
    <w:p w14:paraId="15595C97">
      <w:pPr>
        <w:widowControl/>
        <w:adjustRightInd w:val="0"/>
        <w:snapToGrid w:val="0"/>
        <w:spacing w:after="120" w:afterLines="50" w:line="360" w:lineRule="auto"/>
        <w:ind w:firstLine="480" w:firstLineChars="200"/>
        <w:rPr>
          <w:rFonts w:ascii="宋体" w:hAnsi="宋体"/>
          <w:kern w:val="0"/>
          <w:sz w:val="24"/>
          <w:szCs w:val="20"/>
          <w:highlight w:val="none"/>
        </w:rPr>
      </w:pPr>
    </w:p>
    <w:p w14:paraId="5F8FAC86">
      <w:pPr>
        <w:widowControl/>
        <w:adjustRightInd w:val="0"/>
        <w:snapToGrid w:val="0"/>
        <w:spacing w:after="120" w:afterLines="50" w:line="360" w:lineRule="auto"/>
        <w:ind w:firstLine="480" w:firstLineChars="200"/>
        <w:rPr>
          <w:rFonts w:ascii="宋体" w:hAnsi="宋体"/>
          <w:kern w:val="0"/>
          <w:sz w:val="24"/>
          <w:szCs w:val="20"/>
          <w:highlight w:val="none"/>
        </w:rPr>
      </w:pPr>
    </w:p>
    <w:p w14:paraId="1A747167">
      <w:pPr>
        <w:keepNext/>
        <w:keepLines/>
        <w:widowControl/>
        <w:tabs>
          <w:tab w:val="left" w:pos="1134"/>
        </w:tabs>
        <w:wordWrap w:val="0"/>
        <w:topLinePunct/>
        <w:adjustRightInd w:val="0"/>
        <w:snapToGrid w:val="0"/>
        <w:spacing w:after="120" w:afterLines="50" w:line="360" w:lineRule="auto"/>
        <w:jc w:val="left"/>
        <w:outlineLvl w:val="1"/>
        <w:rPr>
          <w:rFonts w:ascii="黑体" w:hAnsi="黑体" w:eastAsia="黑体"/>
          <w:b/>
          <w:kern w:val="0"/>
          <w:sz w:val="30"/>
          <w:szCs w:val="30"/>
          <w:highlight w:val="none"/>
        </w:rPr>
        <w:sectPr>
          <w:pgSz w:w="11906" w:h="16838"/>
          <w:pgMar w:top="1440" w:right="1800" w:bottom="1440" w:left="1800" w:header="720" w:footer="998" w:gutter="0"/>
          <w:pgBorders>
            <w:top w:val="none" w:sz="0" w:space="0"/>
            <w:left w:val="none" w:sz="0" w:space="0"/>
            <w:bottom w:val="none" w:sz="0" w:space="0"/>
            <w:right w:val="none" w:sz="0" w:space="0"/>
          </w:pgBorders>
          <w:cols w:space="720" w:num="1"/>
          <w:docGrid w:linePitch="326" w:charSpace="0"/>
        </w:sectPr>
      </w:pPr>
      <w:bookmarkStart w:id="745" w:name="_Toc20171895"/>
      <w:bookmarkStart w:id="746" w:name="_Toc54862354"/>
    </w:p>
    <w:p w14:paraId="44363DD0">
      <w:pPr>
        <w:keepNext/>
        <w:keepLines/>
        <w:widowControl/>
        <w:tabs>
          <w:tab w:val="left" w:pos="1134"/>
        </w:tabs>
        <w:wordWrap w:val="0"/>
        <w:topLinePunct/>
        <w:adjustRightInd w:val="0"/>
        <w:snapToGrid w:val="0"/>
        <w:spacing w:after="120" w:afterLines="50" w:line="360" w:lineRule="auto"/>
        <w:jc w:val="left"/>
        <w:outlineLvl w:val="1"/>
        <w:rPr>
          <w:rFonts w:ascii="黑体" w:hAnsi="黑体" w:eastAsia="黑体"/>
          <w:b/>
          <w:kern w:val="0"/>
          <w:sz w:val="30"/>
          <w:szCs w:val="30"/>
          <w:highlight w:val="none"/>
        </w:rPr>
      </w:pPr>
      <w:r>
        <w:rPr>
          <w:rFonts w:hint="eastAsia" w:ascii="黑体" w:hAnsi="黑体" w:eastAsia="黑体"/>
          <w:b/>
          <w:kern w:val="0"/>
          <w:sz w:val="30"/>
          <w:szCs w:val="30"/>
          <w:highlight w:val="none"/>
        </w:rPr>
        <w:t>附件</w:t>
      </w:r>
      <w:r>
        <w:rPr>
          <w:rFonts w:ascii="黑体" w:hAnsi="黑体" w:eastAsia="黑体"/>
          <w:b/>
          <w:kern w:val="0"/>
          <w:sz w:val="30"/>
          <w:szCs w:val="30"/>
          <w:highlight w:val="none"/>
        </w:rPr>
        <w:t>3</w:t>
      </w:r>
      <w:r>
        <w:rPr>
          <w:rFonts w:hint="eastAsia" w:ascii="黑体" w:hAnsi="黑体" w:eastAsia="黑体"/>
          <w:b/>
          <w:kern w:val="0"/>
          <w:sz w:val="30"/>
          <w:szCs w:val="30"/>
          <w:highlight w:val="none"/>
        </w:rPr>
        <w:t>：</w:t>
      </w:r>
      <w:r>
        <w:rPr>
          <w:rFonts w:ascii="黑体" w:hAnsi="黑体" w:eastAsia="黑体"/>
          <w:b/>
          <w:kern w:val="0"/>
          <w:sz w:val="30"/>
          <w:szCs w:val="30"/>
          <w:highlight w:val="none"/>
        </w:rPr>
        <w:t>工程质量保修书</w:t>
      </w:r>
      <w:bookmarkEnd w:id="745"/>
      <w:bookmarkEnd w:id="746"/>
    </w:p>
    <w:p w14:paraId="1D80CB79">
      <w:pPr>
        <w:keepNext/>
        <w:keepLines/>
        <w:widowControl/>
        <w:tabs>
          <w:tab w:val="left" w:pos="1134"/>
        </w:tabs>
        <w:topLinePunct/>
        <w:adjustRightInd w:val="0"/>
        <w:snapToGrid w:val="0"/>
        <w:spacing w:after="120" w:afterLines="50" w:line="360" w:lineRule="auto"/>
        <w:jc w:val="center"/>
        <w:rPr>
          <w:rFonts w:ascii="方正小标宋简体" w:hAnsi="黑体" w:eastAsia="方正小标宋简体"/>
          <w:b/>
          <w:kern w:val="0"/>
          <w:sz w:val="32"/>
          <w:szCs w:val="32"/>
          <w:highlight w:val="none"/>
        </w:rPr>
      </w:pPr>
      <w:r>
        <w:rPr>
          <w:rFonts w:hint="eastAsia" w:ascii="方正小标宋简体" w:hAnsi="黑体" w:eastAsia="方正小标宋简体"/>
          <w:b/>
          <w:kern w:val="0"/>
          <w:sz w:val="32"/>
          <w:szCs w:val="32"/>
          <w:highlight w:val="none"/>
        </w:rPr>
        <w:t>工程质量保修书</w:t>
      </w:r>
    </w:p>
    <w:p w14:paraId="483D5018">
      <w:pPr>
        <w:widowControl/>
        <w:adjustRightInd w:val="0"/>
        <w:snapToGrid w:val="0"/>
        <w:spacing w:after="120" w:afterLines="50" w:line="360" w:lineRule="auto"/>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发包人（全称）：</w:t>
      </w:r>
      <w:r>
        <w:rPr>
          <w:rFonts w:ascii="仿宋_GB2312" w:hAnsi="宋体" w:eastAsia="仿宋_GB2312"/>
          <w:kern w:val="0"/>
          <w:sz w:val="24"/>
          <w:szCs w:val="24"/>
          <w:highlight w:val="none"/>
          <w:u w:val="single"/>
        </w:rPr>
        <w:t xml:space="preserve">                                  </w:t>
      </w:r>
    </w:p>
    <w:p w14:paraId="45460DA8">
      <w:pPr>
        <w:widowControl/>
        <w:adjustRightInd w:val="0"/>
        <w:snapToGrid w:val="0"/>
        <w:spacing w:after="120" w:afterLines="50" w:line="360" w:lineRule="auto"/>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承包人（全称）：</w:t>
      </w:r>
      <w:r>
        <w:rPr>
          <w:rFonts w:ascii="仿宋_GB2312" w:hAnsi="宋体" w:eastAsia="仿宋_GB2312"/>
          <w:kern w:val="0"/>
          <w:sz w:val="24"/>
          <w:szCs w:val="24"/>
          <w:highlight w:val="none"/>
          <w:u w:val="single"/>
        </w:rPr>
        <w:t xml:space="preserve">                                  </w:t>
      </w:r>
    </w:p>
    <w:p w14:paraId="49F1576D">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发包人和承包人根据《中华人民共和国建筑法》和《建设工程质量管理条例》，经协商一致就</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rPr>
        <w:t>（工程全称）订立工程质量保修书。</w:t>
      </w:r>
    </w:p>
    <w:p w14:paraId="1F7DB5C5">
      <w:pPr>
        <w:widowControl/>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一、工程质量保修范围和内容</w:t>
      </w:r>
    </w:p>
    <w:p w14:paraId="47F64F93">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承包人在质量保修期内，按照有关法律规定和合同约定，承担工程质量保修责任。</w:t>
      </w:r>
    </w:p>
    <w:p w14:paraId="757ECEA4">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rPr>
        <w:t>。</w:t>
      </w:r>
    </w:p>
    <w:p w14:paraId="4B79E717">
      <w:pPr>
        <w:widowControl/>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二、质量保修期</w:t>
      </w:r>
    </w:p>
    <w:p w14:paraId="097D0CDE">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根据《建设工程质量管理条例》及有关规定，工程的质量保修期如下：</w:t>
      </w:r>
    </w:p>
    <w:p w14:paraId="01B94532">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1</w:t>
      </w:r>
      <w:r>
        <w:rPr>
          <w:rFonts w:hint="eastAsia" w:ascii="仿宋_GB2312" w:hAnsi="宋体" w:eastAsia="仿宋_GB2312"/>
          <w:color w:val="000000"/>
          <w:kern w:val="0"/>
          <w:sz w:val="24"/>
          <w:szCs w:val="24"/>
          <w:highlight w:val="none"/>
        </w:rPr>
        <w:t>．</w:t>
      </w:r>
      <w:r>
        <w:rPr>
          <w:rFonts w:hint="eastAsia" w:ascii="仿宋_GB2312" w:hAnsi="宋体" w:eastAsia="仿宋_GB2312"/>
          <w:kern w:val="0"/>
          <w:sz w:val="24"/>
          <w:szCs w:val="24"/>
          <w:highlight w:val="none"/>
        </w:rPr>
        <w:t>地基</w:t>
      </w:r>
      <w:r>
        <w:rPr>
          <w:rFonts w:hint="eastAsia" w:ascii="仿宋_GB2312" w:hAnsi="宋体" w:eastAsia="仿宋_GB2312"/>
          <w:color w:val="000000"/>
          <w:kern w:val="0"/>
          <w:sz w:val="24"/>
          <w:szCs w:val="24"/>
          <w:highlight w:val="none"/>
        </w:rPr>
        <w:t>基础</w:t>
      </w:r>
      <w:r>
        <w:rPr>
          <w:rFonts w:hint="eastAsia" w:ascii="仿宋_GB2312" w:hAnsi="宋体" w:eastAsia="仿宋_GB2312"/>
          <w:kern w:val="0"/>
          <w:sz w:val="24"/>
          <w:szCs w:val="24"/>
          <w:highlight w:val="none"/>
        </w:rPr>
        <w:t>工程和主体结构工程为设计文件规定的工程合理使用年限；</w:t>
      </w:r>
    </w:p>
    <w:p w14:paraId="47D7B560">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2．屋面防水工程、有防水要求的卫生间、房间和外墙面的防渗为</w:t>
      </w:r>
      <w:r>
        <w:rPr>
          <w:rFonts w:hint="eastAsia" w:ascii="仿宋_GB2312" w:hAnsi="宋体" w:eastAsia="仿宋_GB2312"/>
          <w:kern w:val="0"/>
          <w:sz w:val="24"/>
          <w:szCs w:val="24"/>
          <w:highlight w:val="none"/>
          <w:u w:val="single"/>
          <w:lang w:val="en-US" w:eastAsia="zh-CN"/>
        </w:rPr>
        <w:t>5</w:t>
      </w:r>
      <w:r>
        <w:rPr>
          <w:rFonts w:hint="eastAsia" w:ascii="仿宋_GB2312" w:hAnsi="宋体" w:eastAsia="仿宋_GB2312"/>
          <w:kern w:val="0"/>
          <w:sz w:val="24"/>
          <w:szCs w:val="24"/>
          <w:highlight w:val="none"/>
        </w:rPr>
        <w:t>年；</w:t>
      </w:r>
    </w:p>
    <w:p w14:paraId="0158039E">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3．装修工程为</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u w:val="single"/>
          <w:lang w:val="en-US" w:eastAsia="zh-CN"/>
        </w:rPr>
        <w:t>2</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rPr>
        <w:t>年；</w:t>
      </w:r>
    </w:p>
    <w:p w14:paraId="1D11D2DD">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4．电气管线、给排水管道、设备安装工程为</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u w:val="single"/>
          <w:lang w:val="en-US" w:eastAsia="zh-CN"/>
        </w:rPr>
        <w:t>2</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rPr>
        <w:t>年；</w:t>
      </w:r>
    </w:p>
    <w:p w14:paraId="223EF416">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5．供热与供冷系统为</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u w:val="single"/>
          <w:lang w:val="en-US" w:eastAsia="zh-CN"/>
        </w:rPr>
        <w:t>2</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rPr>
        <w:t>个采暖期、供冷期；</w:t>
      </w:r>
    </w:p>
    <w:p w14:paraId="553B0CA9">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6．住宅小区内的给排水设施、道路等配套工程为</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rPr>
        <w:t>年；</w:t>
      </w:r>
    </w:p>
    <w:p w14:paraId="44C44995">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7．其他项目保修期限约定如下：</w:t>
      </w:r>
      <w:r>
        <w:rPr>
          <w:rFonts w:ascii="仿宋_GB2312" w:hAnsi="宋体" w:eastAsia="仿宋_GB2312"/>
          <w:kern w:val="0"/>
          <w:sz w:val="24"/>
          <w:szCs w:val="24"/>
          <w:highlight w:val="none"/>
          <w:u w:val="single"/>
        </w:rPr>
        <w:t xml:space="preserve">   </w:t>
      </w:r>
      <w:r>
        <w:rPr>
          <w:rFonts w:hint="eastAsia" w:ascii="宋体" w:hAnsi="宋体" w:cs="宋体"/>
          <w:color w:val="000000"/>
          <w:szCs w:val="21"/>
          <w:highlight w:val="none"/>
          <w:u w:val="single"/>
        </w:rPr>
        <w:t>保温工程5年</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rPr>
        <w:t>。</w:t>
      </w:r>
    </w:p>
    <w:p w14:paraId="0389DE3E">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质量保修期自工程竣工验收合格之日起计算。</w:t>
      </w:r>
    </w:p>
    <w:p w14:paraId="1E1CFE3E">
      <w:pPr>
        <w:widowControl/>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三、缺陷责任期</w:t>
      </w:r>
    </w:p>
    <w:p w14:paraId="589C9723">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工程缺陷责任期为</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u w:val="single"/>
          <w:lang w:val="en-US" w:eastAsia="zh-CN"/>
        </w:rPr>
        <w:t>24</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rPr>
        <w:t>个月，缺陷责任期自工程通过竣工验收之日起计算。单位/区段工程先于全部工程进行验收，单位/区段工程缺陷责任期自单位/区段工程验收合格之日起算。</w:t>
      </w:r>
    </w:p>
    <w:p w14:paraId="0A7273FB">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缺陷责任期终止后，发包人应返还剩余的质量保证金。</w:t>
      </w:r>
    </w:p>
    <w:p w14:paraId="3A4A57C2">
      <w:pPr>
        <w:widowControl/>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四、质量保修责任</w:t>
      </w:r>
    </w:p>
    <w:p w14:paraId="1DA0ED0D">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1．属于保修范围、内容的项目，承包人应当在接到保修通知之日起7天内派人保修。承包人不在约定期限内派人保修的，发包人可以委托他人修理。</w:t>
      </w:r>
    </w:p>
    <w:p w14:paraId="145FC67E">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2．发生紧急事故需抢修的，承包人在接到事故通知后，应当立即到达事故现场抢修。</w:t>
      </w:r>
    </w:p>
    <w:p w14:paraId="3E7C3B38">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22345DEE">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4．质量保修完成后，由发包人组织验收。</w:t>
      </w:r>
    </w:p>
    <w:p w14:paraId="7FFCF2E8">
      <w:pPr>
        <w:widowControl/>
        <w:adjustRightInd w:val="0"/>
        <w:snapToGrid w:val="0"/>
        <w:spacing w:after="120" w:afterLines="50" w:line="360" w:lineRule="auto"/>
        <w:ind w:firstLine="480" w:firstLineChars="200"/>
        <w:rPr>
          <w:rFonts w:ascii="黑体" w:hAnsi="黑体" w:eastAsia="黑体"/>
          <w:kern w:val="0"/>
          <w:sz w:val="24"/>
          <w:szCs w:val="24"/>
          <w:highlight w:val="none"/>
        </w:rPr>
      </w:pPr>
      <w:r>
        <w:rPr>
          <w:rFonts w:hint="eastAsia" w:ascii="黑体" w:hAnsi="黑体" w:eastAsia="黑体"/>
          <w:kern w:val="0"/>
          <w:sz w:val="24"/>
          <w:szCs w:val="24"/>
          <w:highlight w:val="none"/>
        </w:rPr>
        <w:t>五、保修费用</w:t>
      </w:r>
    </w:p>
    <w:p w14:paraId="18893653">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保修费用由造成质量缺陷的责任方承担。</w:t>
      </w:r>
    </w:p>
    <w:p w14:paraId="1C940F82">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u w:val="single"/>
        </w:rPr>
      </w:pPr>
      <w:r>
        <w:rPr>
          <w:rFonts w:hint="eastAsia" w:ascii="黑体" w:hAnsi="黑体" w:eastAsia="黑体"/>
          <w:kern w:val="0"/>
          <w:sz w:val="24"/>
          <w:szCs w:val="24"/>
          <w:highlight w:val="none"/>
        </w:rPr>
        <w:t>六、双方约定的其他工程质量保修事项</w:t>
      </w:r>
      <w:r>
        <w:rPr>
          <w:rFonts w:hint="eastAsia" w:ascii="仿宋_GB2312" w:hAnsi="宋体" w:eastAsia="仿宋_GB2312"/>
          <w:kern w:val="0"/>
          <w:sz w:val="24"/>
          <w:szCs w:val="24"/>
          <w:highlight w:val="none"/>
        </w:rPr>
        <w:t>：</w:t>
      </w:r>
      <w:r>
        <w:rPr>
          <w:rFonts w:ascii="仿宋_GB2312" w:hAnsi="宋体" w:eastAsia="仿宋_GB2312"/>
          <w:kern w:val="0"/>
          <w:sz w:val="24"/>
          <w:szCs w:val="24"/>
          <w:highlight w:val="none"/>
          <w:u w:val="single"/>
        </w:rPr>
        <w:t xml:space="preserve">                </w:t>
      </w:r>
      <w:r>
        <w:rPr>
          <w:rFonts w:hint="eastAsia" w:ascii="仿宋_GB2312" w:hAnsi="宋体" w:eastAsia="仿宋_GB2312"/>
          <w:kern w:val="0"/>
          <w:sz w:val="24"/>
          <w:szCs w:val="24"/>
          <w:highlight w:val="none"/>
        </w:rPr>
        <w:t>。</w:t>
      </w:r>
    </w:p>
    <w:p w14:paraId="53D32E56">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工程质量保修书由发包人、承包人在工程竣工验收前共同签署，作为工程总承包合同附件，其有效期限至保修期满。</w:t>
      </w:r>
    </w:p>
    <w:p w14:paraId="2833ECAE">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43B53860">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 xml:space="preserve">发包人(公章)：               承包人(公章)：          </w:t>
      </w:r>
    </w:p>
    <w:p w14:paraId="60509545">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 xml:space="preserve">地  址：                     地  址：       </w:t>
      </w:r>
    </w:p>
    <w:p w14:paraId="21D4335A">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 xml:space="preserve">法定代表人(签字)：           法定代表人(签字)：       </w:t>
      </w:r>
    </w:p>
    <w:p w14:paraId="23D9566C">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 xml:space="preserve">委托代理人(签字)：           委托代理人(签字)：       </w:t>
      </w:r>
    </w:p>
    <w:p w14:paraId="0693037B">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电  话：                     电  话：</w:t>
      </w:r>
    </w:p>
    <w:p w14:paraId="42FEE49C">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 xml:space="preserve">传  真：                     传  真：  </w:t>
      </w:r>
    </w:p>
    <w:p w14:paraId="79F8AF70">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开户银行：                   开户银行：</w:t>
      </w:r>
    </w:p>
    <w:p w14:paraId="377CBAD0">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 xml:space="preserve">账  号：                     账  号： </w:t>
      </w:r>
    </w:p>
    <w:p w14:paraId="74D0AD7E">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 xml:space="preserve">邮政编码：                   邮政编码：   </w:t>
      </w:r>
    </w:p>
    <w:p w14:paraId="02734357">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080ADDA5">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7CDF3E47">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4B1079A4">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50479292">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02A5BAA9">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3995741D">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02F00A86">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76031648">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16CAFA5D">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38566C81">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25F86401">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57DCD741">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7544244B">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724D6317">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77E2DDE6">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466B1A99">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408F6843">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6DF432BB">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7ACB230D">
      <w:pPr>
        <w:widowControl/>
        <w:adjustRightInd w:val="0"/>
        <w:snapToGrid w:val="0"/>
        <w:spacing w:after="120" w:afterLines="50" w:line="360" w:lineRule="auto"/>
        <w:ind w:firstLine="480" w:firstLineChars="200"/>
        <w:rPr>
          <w:rFonts w:ascii="仿宋_GB2312" w:hAnsi="宋体" w:eastAsia="仿宋_GB2312"/>
          <w:kern w:val="0"/>
          <w:sz w:val="24"/>
          <w:szCs w:val="24"/>
          <w:highlight w:val="none"/>
        </w:rPr>
      </w:pPr>
    </w:p>
    <w:p w14:paraId="421EDA14">
      <w:pPr>
        <w:keepNext/>
        <w:keepLines/>
        <w:widowControl/>
        <w:tabs>
          <w:tab w:val="left" w:pos="1134"/>
        </w:tabs>
        <w:topLinePunct/>
        <w:adjustRightInd w:val="0"/>
        <w:snapToGrid w:val="0"/>
        <w:spacing w:after="120" w:afterLines="50" w:line="360" w:lineRule="auto"/>
        <w:jc w:val="left"/>
        <w:outlineLvl w:val="1"/>
        <w:rPr>
          <w:rFonts w:ascii="黑体" w:hAnsi="黑体" w:eastAsia="黑体"/>
          <w:b/>
          <w:kern w:val="0"/>
          <w:sz w:val="30"/>
          <w:szCs w:val="30"/>
          <w:highlight w:val="none"/>
        </w:rPr>
        <w:sectPr>
          <w:pgSz w:w="11906" w:h="16838"/>
          <w:pgMar w:top="1440" w:right="1800" w:bottom="1440" w:left="1800" w:header="720" w:footer="998" w:gutter="0"/>
          <w:pgBorders>
            <w:top w:val="none" w:sz="0" w:space="0"/>
            <w:left w:val="none" w:sz="0" w:space="0"/>
            <w:bottom w:val="none" w:sz="0" w:space="0"/>
            <w:right w:val="none" w:sz="0" w:space="0"/>
          </w:pgBorders>
          <w:cols w:space="720" w:num="1"/>
          <w:docGrid w:linePitch="326" w:charSpace="0"/>
        </w:sectPr>
      </w:pPr>
      <w:bookmarkStart w:id="747" w:name="_Toc20171896"/>
      <w:bookmarkStart w:id="748" w:name="_Toc54862355"/>
    </w:p>
    <w:p w14:paraId="10A8F554">
      <w:pPr>
        <w:keepNext/>
        <w:keepLines/>
        <w:widowControl/>
        <w:tabs>
          <w:tab w:val="left" w:pos="1134"/>
        </w:tabs>
        <w:topLinePunct/>
        <w:adjustRightInd w:val="0"/>
        <w:snapToGrid w:val="0"/>
        <w:spacing w:after="120" w:afterLines="50" w:line="360" w:lineRule="auto"/>
        <w:jc w:val="left"/>
        <w:outlineLvl w:val="1"/>
        <w:rPr>
          <w:rFonts w:ascii="黑体" w:hAnsi="黑体" w:eastAsia="黑体"/>
          <w:b/>
          <w:kern w:val="0"/>
          <w:sz w:val="30"/>
          <w:szCs w:val="30"/>
          <w:highlight w:val="none"/>
        </w:rPr>
      </w:pPr>
      <w:r>
        <w:rPr>
          <w:rFonts w:hint="eastAsia" w:ascii="黑体" w:hAnsi="黑体" w:eastAsia="黑体"/>
          <w:b/>
          <w:kern w:val="0"/>
          <w:sz w:val="30"/>
          <w:szCs w:val="30"/>
          <w:highlight w:val="none"/>
        </w:rPr>
        <w:t>附件4：</w:t>
      </w:r>
      <w:bookmarkEnd w:id="747"/>
      <w:bookmarkEnd w:id="748"/>
      <w:r>
        <w:rPr>
          <w:rFonts w:ascii="黑体" w:hAnsi="黑体" w:eastAsia="黑体"/>
          <w:b/>
          <w:kern w:val="0"/>
          <w:sz w:val="30"/>
          <w:szCs w:val="30"/>
          <w:highlight w:val="none"/>
        </w:rPr>
        <w:t>主要建设工程文件目录</w:t>
      </w:r>
    </w:p>
    <w:p w14:paraId="0CAA8DE5">
      <w:pPr>
        <w:keepNext/>
        <w:keepLines/>
        <w:widowControl/>
        <w:tabs>
          <w:tab w:val="left" w:pos="1134"/>
        </w:tabs>
        <w:topLinePunct/>
        <w:adjustRightInd w:val="0"/>
        <w:snapToGrid w:val="0"/>
        <w:spacing w:after="120" w:afterLines="50" w:line="360" w:lineRule="auto"/>
        <w:jc w:val="center"/>
        <w:rPr>
          <w:rFonts w:ascii="方正小标宋简体" w:hAnsi="黑体" w:eastAsia="方正小标宋简体"/>
          <w:b/>
          <w:kern w:val="0"/>
          <w:sz w:val="32"/>
          <w:szCs w:val="32"/>
          <w:highlight w:val="none"/>
        </w:rPr>
      </w:pPr>
      <w:r>
        <w:rPr>
          <w:rFonts w:hint="eastAsia" w:ascii="方正小标宋简体" w:hAnsi="黑体" w:eastAsia="方正小标宋简体"/>
          <w:b/>
          <w:kern w:val="0"/>
          <w:sz w:val="32"/>
          <w:szCs w:val="32"/>
          <w:highlight w:val="none"/>
        </w:rPr>
        <w:t>主要建设工程文件目录</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635658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14:paraId="1FF194F2">
            <w:pPr>
              <w:widowControl/>
              <w:adjustRightInd w:val="0"/>
              <w:snapToGrid w:val="0"/>
              <w:spacing w:line="360" w:lineRule="auto"/>
              <w:jc w:val="center"/>
              <w:rPr>
                <w:rFonts w:ascii="仿宋_GB2312" w:hAnsi="宋体" w:eastAsia="仿宋_GB2312"/>
                <w:kern w:val="0"/>
                <w:szCs w:val="20"/>
                <w:highlight w:val="none"/>
              </w:rPr>
            </w:pPr>
            <w:r>
              <w:rPr>
                <w:rFonts w:hint="eastAsia" w:ascii="仿宋_GB2312" w:hAnsi="宋体" w:eastAsia="仿宋_GB2312"/>
                <w:kern w:val="0"/>
                <w:szCs w:val="20"/>
                <w:highlight w:val="none"/>
              </w:rPr>
              <w:t>文件名称</w:t>
            </w:r>
          </w:p>
        </w:tc>
        <w:tc>
          <w:tcPr>
            <w:tcW w:w="1276" w:type="dxa"/>
            <w:tcBorders>
              <w:top w:val="single" w:color="auto" w:sz="12" w:space="0"/>
              <w:bottom w:val="double" w:color="auto" w:sz="6" w:space="0"/>
            </w:tcBorders>
            <w:noWrap w:val="0"/>
            <w:vAlign w:val="center"/>
          </w:tcPr>
          <w:p w14:paraId="1F286727">
            <w:pPr>
              <w:widowControl/>
              <w:adjustRightInd w:val="0"/>
              <w:snapToGrid w:val="0"/>
              <w:spacing w:line="360" w:lineRule="auto"/>
              <w:jc w:val="center"/>
              <w:rPr>
                <w:rFonts w:ascii="仿宋_GB2312" w:hAnsi="宋体" w:eastAsia="仿宋_GB2312"/>
                <w:kern w:val="0"/>
                <w:szCs w:val="20"/>
                <w:highlight w:val="none"/>
              </w:rPr>
            </w:pPr>
            <w:r>
              <w:rPr>
                <w:rFonts w:hint="eastAsia" w:ascii="仿宋_GB2312" w:hAnsi="宋体" w:eastAsia="仿宋_GB2312"/>
                <w:kern w:val="0"/>
                <w:szCs w:val="20"/>
                <w:highlight w:val="none"/>
              </w:rPr>
              <w:t>套数</w:t>
            </w:r>
          </w:p>
        </w:tc>
        <w:tc>
          <w:tcPr>
            <w:tcW w:w="1450" w:type="dxa"/>
            <w:tcBorders>
              <w:top w:val="single" w:color="auto" w:sz="12" w:space="0"/>
              <w:bottom w:val="double" w:color="auto" w:sz="6" w:space="0"/>
            </w:tcBorders>
            <w:noWrap w:val="0"/>
            <w:vAlign w:val="center"/>
          </w:tcPr>
          <w:p w14:paraId="7581E69E">
            <w:pPr>
              <w:widowControl/>
              <w:adjustRightInd w:val="0"/>
              <w:snapToGrid w:val="0"/>
              <w:spacing w:line="360" w:lineRule="auto"/>
              <w:jc w:val="center"/>
              <w:rPr>
                <w:rFonts w:ascii="仿宋_GB2312" w:hAnsi="宋体" w:eastAsia="仿宋_GB2312"/>
                <w:kern w:val="0"/>
                <w:szCs w:val="20"/>
                <w:highlight w:val="none"/>
              </w:rPr>
            </w:pPr>
            <w:r>
              <w:rPr>
                <w:rFonts w:hint="eastAsia" w:ascii="仿宋_GB2312" w:hAnsi="宋体" w:eastAsia="仿宋_GB2312"/>
                <w:kern w:val="0"/>
                <w:szCs w:val="20"/>
                <w:highlight w:val="none"/>
              </w:rPr>
              <w:t>费用（元）</w:t>
            </w:r>
          </w:p>
        </w:tc>
        <w:tc>
          <w:tcPr>
            <w:tcW w:w="1243" w:type="dxa"/>
            <w:tcBorders>
              <w:top w:val="single" w:color="auto" w:sz="12" w:space="0"/>
              <w:bottom w:val="double" w:color="auto" w:sz="6" w:space="0"/>
            </w:tcBorders>
            <w:noWrap w:val="0"/>
            <w:vAlign w:val="center"/>
          </w:tcPr>
          <w:p w14:paraId="1FD420D1">
            <w:pPr>
              <w:widowControl/>
              <w:adjustRightInd w:val="0"/>
              <w:snapToGrid w:val="0"/>
              <w:spacing w:line="360" w:lineRule="auto"/>
              <w:jc w:val="center"/>
              <w:rPr>
                <w:rFonts w:ascii="仿宋_GB2312" w:hAnsi="宋体" w:eastAsia="仿宋_GB2312"/>
                <w:kern w:val="0"/>
                <w:szCs w:val="20"/>
                <w:highlight w:val="none"/>
              </w:rPr>
            </w:pPr>
            <w:r>
              <w:rPr>
                <w:rFonts w:hint="eastAsia" w:ascii="仿宋_GB2312" w:hAnsi="宋体" w:eastAsia="仿宋_GB2312"/>
                <w:kern w:val="0"/>
                <w:szCs w:val="20"/>
                <w:highlight w:val="none"/>
              </w:rPr>
              <w:t>质量</w:t>
            </w:r>
          </w:p>
        </w:tc>
        <w:tc>
          <w:tcPr>
            <w:tcW w:w="1450" w:type="dxa"/>
            <w:tcBorders>
              <w:top w:val="single" w:color="auto" w:sz="12" w:space="0"/>
              <w:bottom w:val="double" w:color="auto" w:sz="6" w:space="0"/>
            </w:tcBorders>
            <w:noWrap w:val="0"/>
            <w:vAlign w:val="top"/>
          </w:tcPr>
          <w:p w14:paraId="65BD26A4">
            <w:pPr>
              <w:widowControl/>
              <w:adjustRightInd w:val="0"/>
              <w:snapToGrid w:val="0"/>
              <w:spacing w:line="360" w:lineRule="auto"/>
              <w:jc w:val="center"/>
              <w:rPr>
                <w:rFonts w:ascii="仿宋_GB2312" w:hAnsi="宋体" w:eastAsia="仿宋_GB2312"/>
                <w:kern w:val="0"/>
                <w:szCs w:val="20"/>
                <w:highlight w:val="none"/>
              </w:rPr>
            </w:pPr>
            <w:r>
              <w:rPr>
                <w:rFonts w:hint="eastAsia" w:ascii="仿宋_GB2312" w:hAnsi="宋体" w:eastAsia="仿宋_GB2312"/>
                <w:kern w:val="0"/>
                <w:szCs w:val="20"/>
                <w:highlight w:val="none"/>
              </w:rPr>
              <w:t>移交时间</w:t>
            </w:r>
          </w:p>
        </w:tc>
        <w:tc>
          <w:tcPr>
            <w:tcW w:w="1670" w:type="dxa"/>
            <w:tcBorders>
              <w:top w:val="single" w:color="auto" w:sz="12" w:space="0"/>
              <w:bottom w:val="double" w:color="auto" w:sz="6" w:space="0"/>
            </w:tcBorders>
            <w:noWrap w:val="0"/>
            <w:vAlign w:val="top"/>
          </w:tcPr>
          <w:p w14:paraId="6145D87B">
            <w:pPr>
              <w:widowControl/>
              <w:adjustRightInd w:val="0"/>
              <w:snapToGrid w:val="0"/>
              <w:spacing w:line="360" w:lineRule="auto"/>
              <w:jc w:val="center"/>
              <w:rPr>
                <w:rFonts w:ascii="仿宋_GB2312" w:hAnsi="宋体" w:eastAsia="仿宋_GB2312"/>
                <w:kern w:val="0"/>
                <w:szCs w:val="20"/>
                <w:highlight w:val="none"/>
              </w:rPr>
            </w:pPr>
            <w:r>
              <w:rPr>
                <w:rFonts w:hint="eastAsia" w:ascii="仿宋_GB2312" w:hAnsi="宋体" w:eastAsia="仿宋_GB2312"/>
                <w:kern w:val="0"/>
                <w:szCs w:val="20"/>
                <w:highlight w:val="none"/>
              </w:rPr>
              <w:t>责任人</w:t>
            </w:r>
          </w:p>
        </w:tc>
      </w:tr>
      <w:tr w14:paraId="11B7DD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14:paraId="798401F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tcBorders>
              <w:top w:val="double" w:color="auto" w:sz="6" w:space="0"/>
              <w:bottom w:val="single" w:color="auto" w:sz="6" w:space="0"/>
            </w:tcBorders>
            <w:noWrap w:val="0"/>
            <w:vAlign w:val="center"/>
          </w:tcPr>
          <w:p w14:paraId="78A9A527">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tcBorders>
              <w:top w:val="double" w:color="auto" w:sz="6" w:space="0"/>
              <w:bottom w:val="single" w:color="auto" w:sz="6" w:space="0"/>
            </w:tcBorders>
            <w:noWrap w:val="0"/>
            <w:vAlign w:val="center"/>
          </w:tcPr>
          <w:p w14:paraId="4CFCCCC3">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tcBorders>
              <w:top w:val="double" w:color="auto" w:sz="6" w:space="0"/>
              <w:bottom w:val="single" w:color="auto" w:sz="6" w:space="0"/>
            </w:tcBorders>
            <w:noWrap w:val="0"/>
            <w:vAlign w:val="center"/>
          </w:tcPr>
          <w:p w14:paraId="6FA65BCA">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tcBorders>
              <w:top w:val="double" w:color="auto" w:sz="6" w:space="0"/>
              <w:bottom w:val="single" w:color="auto" w:sz="6" w:space="0"/>
            </w:tcBorders>
            <w:noWrap w:val="0"/>
            <w:vAlign w:val="center"/>
          </w:tcPr>
          <w:p w14:paraId="6A6A00ED">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tcBorders>
              <w:top w:val="double" w:color="auto" w:sz="6" w:space="0"/>
              <w:bottom w:val="single" w:color="auto" w:sz="6" w:space="0"/>
            </w:tcBorders>
            <w:noWrap w:val="0"/>
            <w:vAlign w:val="center"/>
          </w:tcPr>
          <w:p w14:paraId="38F7745F">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3D1694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14:paraId="6CA1D63E">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tcBorders>
              <w:top w:val="nil"/>
            </w:tcBorders>
            <w:noWrap w:val="0"/>
            <w:vAlign w:val="center"/>
          </w:tcPr>
          <w:p w14:paraId="1B2310E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tcBorders>
              <w:top w:val="nil"/>
            </w:tcBorders>
            <w:noWrap w:val="0"/>
            <w:vAlign w:val="center"/>
          </w:tcPr>
          <w:p w14:paraId="41DD0402">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tcBorders>
              <w:top w:val="nil"/>
            </w:tcBorders>
            <w:noWrap w:val="0"/>
            <w:vAlign w:val="center"/>
          </w:tcPr>
          <w:p w14:paraId="5206E803">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tcBorders>
              <w:top w:val="nil"/>
            </w:tcBorders>
            <w:noWrap w:val="0"/>
            <w:vAlign w:val="center"/>
          </w:tcPr>
          <w:p w14:paraId="57C827A3">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tcBorders>
              <w:top w:val="nil"/>
            </w:tcBorders>
            <w:noWrap w:val="0"/>
            <w:vAlign w:val="center"/>
          </w:tcPr>
          <w:p w14:paraId="44995BD0">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6BB7A4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17EBE22">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center"/>
          </w:tcPr>
          <w:p w14:paraId="6FF66880">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7FCA1F02">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center"/>
          </w:tcPr>
          <w:p w14:paraId="65AA3DCB">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714E869A">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center"/>
          </w:tcPr>
          <w:p w14:paraId="12CDF2B4">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0E4D62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33DE82E">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center"/>
          </w:tcPr>
          <w:p w14:paraId="3493B313">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4D021F6C">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center"/>
          </w:tcPr>
          <w:p w14:paraId="750B973E">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070A8CB7">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center"/>
          </w:tcPr>
          <w:p w14:paraId="70DD911E">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74E2A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1864D23E">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center"/>
          </w:tcPr>
          <w:p w14:paraId="2DF8C5E2">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65BD72B4">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center"/>
          </w:tcPr>
          <w:p w14:paraId="5B2D4F02">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0FEAC61F">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center"/>
          </w:tcPr>
          <w:p w14:paraId="4A1466A2">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4E2949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37E6118">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center"/>
          </w:tcPr>
          <w:p w14:paraId="7FBCD890">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7F3D4256">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center"/>
          </w:tcPr>
          <w:p w14:paraId="7DF41676">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7B80C61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center"/>
          </w:tcPr>
          <w:p w14:paraId="6495B6F1">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09A04C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408F8428">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center"/>
          </w:tcPr>
          <w:p w14:paraId="438F1B8E">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14AE5543">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center"/>
          </w:tcPr>
          <w:p w14:paraId="3BAA77AC">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742E4831">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center"/>
          </w:tcPr>
          <w:p w14:paraId="3D84761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4D2FD4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1AD0B334">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center"/>
          </w:tcPr>
          <w:p w14:paraId="71686C39">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35EA87D3">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center"/>
          </w:tcPr>
          <w:p w14:paraId="2D35D7C3">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563FA91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center"/>
          </w:tcPr>
          <w:p w14:paraId="4E26B177">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5373B9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98C796E">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top"/>
          </w:tcPr>
          <w:p w14:paraId="1CCA7800">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636749CC">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top"/>
          </w:tcPr>
          <w:p w14:paraId="4D7AF59B">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33850BC9">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top"/>
          </w:tcPr>
          <w:p w14:paraId="13AE1158">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2CA9C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4B2C197">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center"/>
          </w:tcPr>
          <w:p w14:paraId="4FF2A45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6A143723">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center"/>
          </w:tcPr>
          <w:p w14:paraId="59054DD4">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center"/>
          </w:tcPr>
          <w:p w14:paraId="0217FCA4">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center"/>
          </w:tcPr>
          <w:p w14:paraId="1669E8CC">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0A7E4A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058D770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top"/>
          </w:tcPr>
          <w:p w14:paraId="6D6CD50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0E825259">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top"/>
          </w:tcPr>
          <w:p w14:paraId="0F7C5920">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704F972E">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top"/>
          </w:tcPr>
          <w:p w14:paraId="46BA80F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606A6F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FF6C74F">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top"/>
          </w:tcPr>
          <w:p w14:paraId="4601BA91">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6F57E2F3">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top"/>
          </w:tcPr>
          <w:p w14:paraId="67CA9229">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1A57251F">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top"/>
          </w:tcPr>
          <w:p w14:paraId="4171D351">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4596AC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D677938">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top"/>
          </w:tcPr>
          <w:p w14:paraId="7F13E67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4E7C796C">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top"/>
          </w:tcPr>
          <w:p w14:paraId="62427B6F">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489E2BAF">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top"/>
          </w:tcPr>
          <w:p w14:paraId="4C35288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23A983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4A3D853">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top"/>
          </w:tcPr>
          <w:p w14:paraId="4F8A564D">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33BAA9C7">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top"/>
          </w:tcPr>
          <w:p w14:paraId="0F0B56BE">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531A95D0">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top"/>
          </w:tcPr>
          <w:p w14:paraId="26390F4C">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3177E7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97718E2">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top"/>
          </w:tcPr>
          <w:p w14:paraId="7210A1A8">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526AD3E1">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top"/>
          </w:tcPr>
          <w:p w14:paraId="4D06346A">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756291FC">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top"/>
          </w:tcPr>
          <w:p w14:paraId="739C6977">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1A3188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7C87CD0">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top"/>
          </w:tcPr>
          <w:p w14:paraId="3BBB619F">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42656012">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top"/>
          </w:tcPr>
          <w:p w14:paraId="624376CE">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18C22DFF">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top"/>
          </w:tcPr>
          <w:p w14:paraId="2E11FF6C">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6C0AF4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22809DA">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top"/>
          </w:tcPr>
          <w:p w14:paraId="3FE0528B">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33D31B41">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top"/>
          </w:tcPr>
          <w:p w14:paraId="0AC85C74">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0D4FB49A">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top"/>
          </w:tcPr>
          <w:p w14:paraId="3B217017">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65A84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71A207A">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top"/>
          </w:tcPr>
          <w:p w14:paraId="4CF1C7B7">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543A2EFC">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top"/>
          </w:tcPr>
          <w:p w14:paraId="34D2E6EC">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7657333C">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top"/>
          </w:tcPr>
          <w:p w14:paraId="76E44EF1">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r w14:paraId="394A93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A791EB5">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76" w:type="dxa"/>
            <w:noWrap w:val="0"/>
            <w:vAlign w:val="top"/>
          </w:tcPr>
          <w:p w14:paraId="2530F566">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5B0FB2C3">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243" w:type="dxa"/>
            <w:noWrap w:val="0"/>
            <w:vAlign w:val="top"/>
          </w:tcPr>
          <w:p w14:paraId="6D1C1C3F">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50" w:type="dxa"/>
            <w:noWrap w:val="0"/>
            <w:vAlign w:val="top"/>
          </w:tcPr>
          <w:p w14:paraId="1A3BB554">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670" w:type="dxa"/>
            <w:noWrap w:val="0"/>
            <w:vAlign w:val="top"/>
          </w:tcPr>
          <w:p w14:paraId="472CD8DF">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bl>
    <w:p w14:paraId="0BA52EAD">
      <w:pPr>
        <w:widowControl/>
        <w:adjustRightInd w:val="0"/>
        <w:snapToGrid w:val="0"/>
        <w:spacing w:after="120" w:afterLines="50" w:line="360" w:lineRule="auto"/>
        <w:rPr>
          <w:rFonts w:ascii="宋体" w:hAnsi="宋体"/>
          <w:kern w:val="0"/>
          <w:sz w:val="24"/>
          <w:szCs w:val="20"/>
          <w:highlight w:val="none"/>
        </w:rPr>
        <w:sectPr>
          <w:pgSz w:w="11906" w:h="16838"/>
          <w:pgMar w:top="1440" w:right="1800" w:bottom="1440" w:left="1800" w:header="720" w:footer="998" w:gutter="0"/>
          <w:pgBorders>
            <w:top w:val="none" w:sz="0" w:space="0"/>
            <w:left w:val="none" w:sz="0" w:space="0"/>
            <w:bottom w:val="none" w:sz="0" w:space="0"/>
            <w:right w:val="none" w:sz="0" w:space="0"/>
          </w:pgBorders>
          <w:cols w:space="720" w:num="1"/>
          <w:docGrid w:linePitch="326" w:charSpace="0"/>
        </w:sectPr>
      </w:pPr>
    </w:p>
    <w:p w14:paraId="3A685FF5">
      <w:pPr>
        <w:keepNext/>
        <w:keepLines/>
        <w:widowControl/>
        <w:tabs>
          <w:tab w:val="left" w:pos="1134"/>
        </w:tabs>
        <w:topLinePunct/>
        <w:adjustRightInd w:val="0"/>
        <w:snapToGrid w:val="0"/>
        <w:spacing w:after="120" w:afterLines="50" w:line="360" w:lineRule="auto"/>
        <w:jc w:val="left"/>
        <w:outlineLvl w:val="1"/>
        <w:rPr>
          <w:rFonts w:ascii="黑体" w:hAnsi="黑体" w:eastAsia="黑体"/>
          <w:b/>
          <w:kern w:val="0"/>
          <w:sz w:val="30"/>
          <w:szCs w:val="30"/>
          <w:highlight w:val="none"/>
        </w:rPr>
      </w:pPr>
      <w:bookmarkStart w:id="749" w:name="_Toc20171897"/>
      <w:bookmarkStart w:id="750" w:name="_Toc54862356"/>
      <w:r>
        <w:rPr>
          <w:rFonts w:hint="eastAsia" w:ascii="黑体" w:hAnsi="黑体" w:eastAsia="黑体"/>
          <w:b/>
          <w:kern w:val="0"/>
          <w:sz w:val="30"/>
          <w:szCs w:val="30"/>
          <w:highlight w:val="none"/>
        </w:rPr>
        <w:t>附件</w:t>
      </w:r>
      <w:r>
        <w:rPr>
          <w:rFonts w:ascii="黑体" w:hAnsi="黑体" w:eastAsia="黑体"/>
          <w:b/>
          <w:kern w:val="0"/>
          <w:sz w:val="30"/>
          <w:szCs w:val="30"/>
          <w:highlight w:val="none"/>
        </w:rPr>
        <w:t>5</w:t>
      </w:r>
      <w:r>
        <w:rPr>
          <w:rFonts w:hint="eastAsia" w:ascii="黑体" w:hAnsi="黑体" w:eastAsia="黑体"/>
          <w:b/>
          <w:kern w:val="0"/>
          <w:sz w:val="30"/>
          <w:szCs w:val="30"/>
          <w:highlight w:val="none"/>
        </w:rPr>
        <w:t>：</w:t>
      </w:r>
      <w:r>
        <w:rPr>
          <w:rFonts w:ascii="黑体" w:hAnsi="黑体" w:eastAsia="黑体"/>
          <w:b/>
          <w:kern w:val="0"/>
          <w:sz w:val="30"/>
          <w:szCs w:val="30"/>
          <w:highlight w:val="none"/>
        </w:rPr>
        <w:t>承包人主要管理人员表</w:t>
      </w:r>
      <w:bookmarkEnd w:id="749"/>
      <w:bookmarkEnd w:id="750"/>
    </w:p>
    <w:p w14:paraId="0EBDF2D3">
      <w:pPr>
        <w:keepNext/>
        <w:keepLines/>
        <w:widowControl/>
        <w:tabs>
          <w:tab w:val="left" w:pos="1134"/>
        </w:tabs>
        <w:topLinePunct/>
        <w:adjustRightInd w:val="0"/>
        <w:snapToGrid w:val="0"/>
        <w:spacing w:after="120" w:afterLines="50" w:line="360" w:lineRule="auto"/>
        <w:jc w:val="center"/>
        <w:rPr>
          <w:rFonts w:ascii="方正小标宋简体" w:hAnsi="黑体" w:eastAsia="方正小标宋简体"/>
          <w:b/>
          <w:kern w:val="0"/>
          <w:sz w:val="32"/>
          <w:szCs w:val="32"/>
          <w:highlight w:val="none"/>
        </w:rPr>
      </w:pPr>
      <w:r>
        <w:rPr>
          <w:rFonts w:hint="eastAsia" w:ascii="方正小标宋简体" w:hAnsi="黑体" w:eastAsia="方正小标宋简体"/>
          <w:b/>
          <w:kern w:val="0"/>
          <w:sz w:val="32"/>
          <w:szCs w:val="32"/>
          <w:highlight w:val="none"/>
        </w:rPr>
        <w:t>承包人主要管理人员表</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6B27A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4A12047A">
            <w:pPr>
              <w:widowControl/>
              <w:adjustRightInd w:val="0"/>
              <w:snapToGrid w:val="0"/>
              <w:spacing w:line="360" w:lineRule="auto"/>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名    称</w:t>
            </w:r>
          </w:p>
        </w:tc>
        <w:tc>
          <w:tcPr>
            <w:tcW w:w="1418" w:type="dxa"/>
            <w:tcBorders>
              <w:top w:val="single" w:color="auto" w:sz="12" w:space="0"/>
              <w:bottom w:val="double" w:color="auto" w:sz="6" w:space="0"/>
            </w:tcBorders>
            <w:noWrap w:val="0"/>
            <w:vAlign w:val="center"/>
          </w:tcPr>
          <w:p w14:paraId="182DCEF9">
            <w:pPr>
              <w:widowControl/>
              <w:adjustRightInd w:val="0"/>
              <w:snapToGrid w:val="0"/>
              <w:spacing w:line="360" w:lineRule="auto"/>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姓名</w:t>
            </w:r>
          </w:p>
        </w:tc>
        <w:tc>
          <w:tcPr>
            <w:tcW w:w="1134" w:type="dxa"/>
            <w:tcBorders>
              <w:top w:val="single" w:color="auto" w:sz="12" w:space="0"/>
              <w:bottom w:val="double" w:color="auto" w:sz="6" w:space="0"/>
            </w:tcBorders>
            <w:noWrap w:val="0"/>
            <w:vAlign w:val="center"/>
          </w:tcPr>
          <w:p w14:paraId="1AF229BF">
            <w:pPr>
              <w:widowControl/>
              <w:adjustRightInd w:val="0"/>
              <w:snapToGrid w:val="0"/>
              <w:spacing w:line="360" w:lineRule="auto"/>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职务</w:t>
            </w:r>
          </w:p>
        </w:tc>
        <w:tc>
          <w:tcPr>
            <w:tcW w:w="1134" w:type="dxa"/>
            <w:tcBorders>
              <w:top w:val="single" w:color="auto" w:sz="12" w:space="0"/>
              <w:bottom w:val="double" w:color="auto" w:sz="6" w:space="0"/>
            </w:tcBorders>
            <w:noWrap w:val="0"/>
            <w:vAlign w:val="center"/>
          </w:tcPr>
          <w:p w14:paraId="12938D8B">
            <w:pPr>
              <w:widowControl/>
              <w:adjustRightInd w:val="0"/>
              <w:snapToGrid w:val="0"/>
              <w:spacing w:line="360" w:lineRule="auto"/>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职称</w:t>
            </w:r>
          </w:p>
        </w:tc>
        <w:tc>
          <w:tcPr>
            <w:tcW w:w="3896" w:type="dxa"/>
            <w:tcBorders>
              <w:top w:val="single" w:color="auto" w:sz="12" w:space="0"/>
              <w:bottom w:val="double" w:color="auto" w:sz="6" w:space="0"/>
            </w:tcBorders>
            <w:noWrap w:val="0"/>
            <w:vAlign w:val="center"/>
          </w:tcPr>
          <w:p w14:paraId="16AF0C83">
            <w:pPr>
              <w:widowControl/>
              <w:adjustRightInd w:val="0"/>
              <w:snapToGrid w:val="0"/>
              <w:spacing w:line="360" w:lineRule="auto"/>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主要资历、经验及承担过的项目</w:t>
            </w:r>
          </w:p>
        </w:tc>
      </w:tr>
      <w:tr w14:paraId="1DE59B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5CA5D1E5">
            <w:pPr>
              <w:widowControl/>
              <w:adjustRightInd w:val="0"/>
              <w:snapToGrid w:val="0"/>
              <w:spacing w:line="360" w:lineRule="auto"/>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一、总部人员</w:t>
            </w:r>
          </w:p>
        </w:tc>
      </w:tr>
      <w:tr w14:paraId="48B223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4BF7F472">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项目主管</w:t>
            </w:r>
          </w:p>
        </w:tc>
        <w:tc>
          <w:tcPr>
            <w:tcW w:w="1418" w:type="dxa"/>
            <w:tcBorders>
              <w:top w:val="nil"/>
            </w:tcBorders>
            <w:noWrap w:val="0"/>
            <w:vAlign w:val="center"/>
          </w:tcPr>
          <w:p w14:paraId="17824E99">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tcBorders>
              <w:top w:val="nil"/>
            </w:tcBorders>
            <w:noWrap w:val="0"/>
            <w:vAlign w:val="center"/>
          </w:tcPr>
          <w:p w14:paraId="7F611962">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tcBorders>
              <w:top w:val="nil"/>
            </w:tcBorders>
            <w:noWrap w:val="0"/>
            <w:vAlign w:val="center"/>
          </w:tcPr>
          <w:p w14:paraId="0C555584">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tcBorders>
              <w:top w:val="nil"/>
            </w:tcBorders>
            <w:noWrap w:val="0"/>
            <w:vAlign w:val="center"/>
          </w:tcPr>
          <w:p w14:paraId="06CE5DE4">
            <w:pPr>
              <w:widowControl/>
              <w:adjustRightInd w:val="0"/>
              <w:snapToGrid w:val="0"/>
              <w:spacing w:line="360" w:lineRule="auto"/>
              <w:ind w:firstLine="420" w:firstLineChars="200"/>
              <w:rPr>
                <w:rFonts w:ascii="仿宋_GB2312" w:hAnsi="宋体" w:eastAsia="仿宋_GB2312"/>
                <w:kern w:val="0"/>
                <w:szCs w:val="21"/>
                <w:highlight w:val="none"/>
              </w:rPr>
            </w:pPr>
          </w:p>
        </w:tc>
      </w:tr>
      <w:tr w14:paraId="4F27B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1B9FD24E">
            <w:pPr>
              <w:widowControl/>
              <w:adjustRightInd w:val="0"/>
              <w:snapToGrid w:val="0"/>
              <w:spacing w:line="360" w:lineRule="auto"/>
              <w:ind w:firstLine="420" w:firstLineChars="200"/>
              <w:rPr>
                <w:rFonts w:ascii="仿宋_GB2312" w:hAnsi="宋体" w:eastAsia="仿宋_GB2312"/>
                <w:kern w:val="0"/>
                <w:szCs w:val="21"/>
                <w:highlight w:val="none"/>
              </w:rPr>
            </w:pPr>
          </w:p>
        </w:tc>
        <w:tc>
          <w:tcPr>
            <w:tcW w:w="1418" w:type="dxa"/>
            <w:noWrap w:val="0"/>
            <w:vAlign w:val="center"/>
          </w:tcPr>
          <w:p w14:paraId="7384325F">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417DB87A">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2E277FA3">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3113C876">
            <w:pPr>
              <w:widowControl/>
              <w:adjustRightInd w:val="0"/>
              <w:snapToGrid w:val="0"/>
              <w:spacing w:line="360" w:lineRule="auto"/>
              <w:ind w:firstLine="420" w:firstLineChars="200"/>
              <w:rPr>
                <w:rFonts w:ascii="仿宋_GB2312" w:hAnsi="宋体" w:eastAsia="仿宋_GB2312"/>
                <w:kern w:val="0"/>
                <w:szCs w:val="21"/>
                <w:highlight w:val="none"/>
              </w:rPr>
            </w:pPr>
          </w:p>
        </w:tc>
      </w:tr>
      <w:tr w14:paraId="3DB9F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16B9B50D">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其他人员</w:t>
            </w:r>
          </w:p>
        </w:tc>
        <w:tc>
          <w:tcPr>
            <w:tcW w:w="1418" w:type="dxa"/>
            <w:noWrap w:val="0"/>
            <w:vAlign w:val="center"/>
          </w:tcPr>
          <w:p w14:paraId="15D851A8">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5C9BAD9C">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44B8CAC3">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6F32F70D">
            <w:pPr>
              <w:widowControl/>
              <w:adjustRightInd w:val="0"/>
              <w:snapToGrid w:val="0"/>
              <w:spacing w:line="360" w:lineRule="auto"/>
              <w:ind w:firstLine="420" w:firstLineChars="200"/>
              <w:rPr>
                <w:rFonts w:ascii="仿宋_GB2312" w:hAnsi="宋体" w:eastAsia="仿宋_GB2312"/>
                <w:kern w:val="0"/>
                <w:szCs w:val="21"/>
                <w:highlight w:val="none"/>
              </w:rPr>
            </w:pPr>
          </w:p>
        </w:tc>
      </w:tr>
      <w:tr w14:paraId="65EE2C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3008634D">
            <w:pPr>
              <w:widowControl/>
              <w:adjustRightInd w:val="0"/>
              <w:snapToGrid w:val="0"/>
              <w:spacing w:line="360" w:lineRule="auto"/>
              <w:ind w:firstLine="420" w:firstLineChars="200"/>
              <w:rPr>
                <w:rFonts w:ascii="仿宋_GB2312" w:hAnsi="宋体" w:eastAsia="仿宋_GB2312"/>
                <w:kern w:val="0"/>
                <w:szCs w:val="21"/>
                <w:highlight w:val="none"/>
              </w:rPr>
            </w:pPr>
          </w:p>
        </w:tc>
        <w:tc>
          <w:tcPr>
            <w:tcW w:w="1418" w:type="dxa"/>
            <w:noWrap w:val="0"/>
            <w:vAlign w:val="center"/>
          </w:tcPr>
          <w:p w14:paraId="78E268BA">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260A8B6E">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29484B6F">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0C7C345E">
            <w:pPr>
              <w:widowControl/>
              <w:adjustRightInd w:val="0"/>
              <w:snapToGrid w:val="0"/>
              <w:spacing w:line="360" w:lineRule="auto"/>
              <w:ind w:firstLine="420" w:firstLineChars="200"/>
              <w:rPr>
                <w:rFonts w:ascii="仿宋_GB2312" w:hAnsi="宋体" w:eastAsia="仿宋_GB2312"/>
                <w:kern w:val="0"/>
                <w:szCs w:val="21"/>
                <w:highlight w:val="none"/>
              </w:rPr>
            </w:pPr>
          </w:p>
        </w:tc>
      </w:tr>
      <w:tr w14:paraId="46516B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33B7583E">
            <w:pPr>
              <w:widowControl/>
              <w:adjustRightInd w:val="0"/>
              <w:snapToGrid w:val="0"/>
              <w:spacing w:line="360" w:lineRule="auto"/>
              <w:ind w:firstLine="420" w:firstLineChars="200"/>
              <w:rPr>
                <w:rFonts w:ascii="仿宋_GB2312" w:hAnsi="宋体" w:eastAsia="仿宋_GB2312"/>
                <w:kern w:val="0"/>
                <w:szCs w:val="21"/>
                <w:highlight w:val="none"/>
              </w:rPr>
            </w:pPr>
            <w:r>
              <w:rPr>
                <w:rFonts w:hint="eastAsia" w:ascii="仿宋_GB2312" w:hAnsi="宋体" w:eastAsia="仿宋_GB2312"/>
                <w:kern w:val="0"/>
                <w:szCs w:val="21"/>
                <w:highlight w:val="none"/>
              </w:rPr>
              <w:t>二、现场人员</w:t>
            </w:r>
          </w:p>
        </w:tc>
      </w:tr>
      <w:tr w14:paraId="4C05B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7A0C7B0">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工程总承包</w:t>
            </w:r>
          </w:p>
          <w:p w14:paraId="3B9E30F9">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项目经理</w:t>
            </w:r>
          </w:p>
        </w:tc>
        <w:tc>
          <w:tcPr>
            <w:tcW w:w="1418" w:type="dxa"/>
            <w:noWrap w:val="0"/>
            <w:vAlign w:val="center"/>
          </w:tcPr>
          <w:p w14:paraId="0E5C931A">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6A56E26C">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3C9B254C">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05B68F46">
            <w:pPr>
              <w:widowControl/>
              <w:adjustRightInd w:val="0"/>
              <w:snapToGrid w:val="0"/>
              <w:spacing w:line="360" w:lineRule="auto"/>
              <w:ind w:firstLine="420" w:firstLineChars="200"/>
              <w:rPr>
                <w:rFonts w:ascii="仿宋_GB2312" w:hAnsi="宋体" w:eastAsia="仿宋_GB2312"/>
                <w:kern w:val="0"/>
                <w:szCs w:val="21"/>
                <w:highlight w:val="none"/>
              </w:rPr>
            </w:pPr>
          </w:p>
          <w:p w14:paraId="5F310A2E">
            <w:pPr>
              <w:widowControl/>
              <w:adjustRightInd w:val="0"/>
              <w:snapToGrid w:val="0"/>
              <w:spacing w:line="360" w:lineRule="auto"/>
              <w:ind w:firstLine="420" w:firstLineChars="200"/>
              <w:rPr>
                <w:rFonts w:ascii="仿宋_GB2312" w:hAnsi="宋体" w:eastAsia="仿宋_GB2312"/>
                <w:kern w:val="0"/>
                <w:szCs w:val="21"/>
                <w:highlight w:val="none"/>
              </w:rPr>
            </w:pPr>
          </w:p>
        </w:tc>
      </w:tr>
      <w:tr w14:paraId="290F08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D15ED4F">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项目副经理</w:t>
            </w:r>
          </w:p>
        </w:tc>
        <w:tc>
          <w:tcPr>
            <w:tcW w:w="1418" w:type="dxa"/>
            <w:noWrap w:val="0"/>
            <w:vAlign w:val="center"/>
          </w:tcPr>
          <w:p w14:paraId="4284E2C0">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770DB657">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3EC40DC7">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30ADEA67">
            <w:pPr>
              <w:widowControl/>
              <w:adjustRightInd w:val="0"/>
              <w:snapToGrid w:val="0"/>
              <w:spacing w:line="360" w:lineRule="auto"/>
              <w:ind w:firstLine="420" w:firstLineChars="200"/>
              <w:rPr>
                <w:rFonts w:ascii="仿宋_GB2312" w:hAnsi="宋体" w:eastAsia="仿宋_GB2312"/>
                <w:kern w:val="0"/>
                <w:szCs w:val="21"/>
                <w:highlight w:val="none"/>
              </w:rPr>
            </w:pPr>
          </w:p>
        </w:tc>
      </w:tr>
      <w:tr w14:paraId="4B9D12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7A76124">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设计负责人</w:t>
            </w:r>
          </w:p>
        </w:tc>
        <w:tc>
          <w:tcPr>
            <w:tcW w:w="1418" w:type="dxa"/>
            <w:noWrap w:val="0"/>
            <w:vAlign w:val="center"/>
          </w:tcPr>
          <w:p w14:paraId="0E8E1888">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161EEED7">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2A5153BF">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4DA9BC8F">
            <w:pPr>
              <w:widowControl/>
              <w:adjustRightInd w:val="0"/>
              <w:snapToGrid w:val="0"/>
              <w:spacing w:line="360" w:lineRule="auto"/>
              <w:ind w:firstLine="420" w:firstLineChars="200"/>
              <w:rPr>
                <w:rFonts w:ascii="仿宋_GB2312" w:hAnsi="宋体" w:eastAsia="仿宋_GB2312"/>
                <w:kern w:val="0"/>
                <w:szCs w:val="21"/>
                <w:highlight w:val="none"/>
              </w:rPr>
            </w:pPr>
          </w:p>
        </w:tc>
      </w:tr>
      <w:tr w14:paraId="2F410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0030175">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采购负责人</w:t>
            </w:r>
          </w:p>
        </w:tc>
        <w:tc>
          <w:tcPr>
            <w:tcW w:w="1418" w:type="dxa"/>
            <w:noWrap w:val="0"/>
            <w:vAlign w:val="center"/>
          </w:tcPr>
          <w:p w14:paraId="6F1405D4">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07BA34CD">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50A46156">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260A3151">
            <w:pPr>
              <w:widowControl/>
              <w:adjustRightInd w:val="0"/>
              <w:snapToGrid w:val="0"/>
              <w:spacing w:line="360" w:lineRule="auto"/>
              <w:ind w:firstLine="420" w:firstLineChars="200"/>
              <w:rPr>
                <w:rFonts w:ascii="仿宋_GB2312" w:hAnsi="宋体" w:eastAsia="仿宋_GB2312"/>
                <w:kern w:val="0"/>
                <w:szCs w:val="21"/>
                <w:highlight w:val="none"/>
              </w:rPr>
            </w:pPr>
          </w:p>
        </w:tc>
      </w:tr>
      <w:tr w14:paraId="04F1F3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B5D78DC">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施工负责人</w:t>
            </w:r>
          </w:p>
        </w:tc>
        <w:tc>
          <w:tcPr>
            <w:tcW w:w="1418" w:type="dxa"/>
            <w:noWrap w:val="0"/>
            <w:vAlign w:val="center"/>
          </w:tcPr>
          <w:p w14:paraId="6D1147BD">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702E1F8A">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147F0210">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243EA5F4">
            <w:pPr>
              <w:widowControl/>
              <w:adjustRightInd w:val="0"/>
              <w:snapToGrid w:val="0"/>
              <w:spacing w:line="360" w:lineRule="auto"/>
              <w:ind w:firstLine="420" w:firstLineChars="200"/>
              <w:rPr>
                <w:rFonts w:ascii="仿宋_GB2312" w:hAnsi="宋体" w:eastAsia="仿宋_GB2312"/>
                <w:kern w:val="0"/>
                <w:szCs w:val="21"/>
                <w:highlight w:val="none"/>
              </w:rPr>
            </w:pPr>
          </w:p>
        </w:tc>
      </w:tr>
      <w:tr w14:paraId="4ABED1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91EA747">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技术负责人</w:t>
            </w:r>
          </w:p>
        </w:tc>
        <w:tc>
          <w:tcPr>
            <w:tcW w:w="1418" w:type="dxa"/>
            <w:noWrap w:val="0"/>
            <w:vAlign w:val="center"/>
          </w:tcPr>
          <w:p w14:paraId="6D554D90">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4E22EFE1">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63713CF7">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06FCB12B">
            <w:pPr>
              <w:widowControl/>
              <w:adjustRightInd w:val="0"/>
              <w:snapToGrid w:val="0"/>
              <w:spacing w:line="360" w:lineRule="auto"/>
              <w:ind w:firstLine="420" w:firstLineChars="200"/>
              <w:rPr>
                <w:rFonts w:ascii="仿宋_GB2312" w:hAnsi="宋体" w:eastAsia="仿宋_GB2312"/>
                <w:kern w:val="0"/>
                <w:szCs w:val="21"/>
                <w:highlight w:val="none"/>
              </w:rPr>
            </w:pPr>
          </w:p>
        </w:tc>
      </w:tr>
      <w:tr w14:paraId="73D939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1F345B6">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造价管理</w:t>
            </w:r>
          </w:p>
        </w:tc>
        <w:tc>
          <w:tcPr>
            <w:tcW w:w="1418" w:type="dxa"/>
            <w:noWrap w:val="0"/>
            <w:vAlign w:val="center"/>
          </w:tcPr>
          <w:p w14:paraId="58F9FB2C">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1632A152">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3BC7D6F7">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513116E4">
            <w:pPr>
              <w:widowControl/>
              <w:adjustRightInd w:val="0"/>
              <w:snapToGrid w:val="0"/>
              <w:spacing w:line="360" w:lineRule="auto"/>
              <w:ind w:firstLine="420" w:firstLineChars="200"/>
              <w:rPr>
                <w:rFonts w:ascii="仿宋_GB2312" w:hAnsi="宋体" w:eastAsia="仿宋_GB2312"/>
                <w:kern w:val="0"/>
                <w:szCs w:val="21"/>
                <w:highlight w:val="none"/>
              </w:rPr>
            </w:pPr>
          </w:p>
        </w:tc>
      </w:tr>
      <w:tr w14:paraId="3ADBB6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452F716">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质量管理</w:t>
            </w:r>
          </w:p>
        </w:tc>
        <w:tc>
          <w:tcPr>
            <w:tcW w:w="1418" w:type="dxa"/>
            <w:noWrap w:val="0"/>
            <w:vAlign w:val="center"/>
          </w:tcPr>
          <w:p w14:paraId="705990B0">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0E2ED971">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0066B378">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40DE2220">
            <w:pPr>
              <w:widowControl/>
              <w:adjustRightInd w:val="0"/>
              <w:snapToGrid w:val="0"/>
              <w:spacing w:line="360" w:lineRule="auto"/>
              <w:ind w:firstLine="420" w:firstLineChars="200"/>
              <w:rPr>
                <w:rFonts w:ascii="仿宋_GB2312" w:hAnsi="宋体" w:eastAsia="仿宋_GB2312"/>
                <w:kern w:val="0"/>
                <w:szCs w:val="21"/>
                <w:highlight w:val="none"/>
              </w:rPr>
            </w:pPr>
          </w:p>
        </w:tc>
      </w:tr>
      <w:tr w14:paraId="63ED5D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9C2573E">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计划管理</w:t>
            </w:r>
          </w:p>
        </w:tc>
        <w:tc>
          <w:tcPr>
            <w:tcW w:w="1418" w:type="dxa"/>
            <w:noWrap w:val="0"/>
            <w:vAlign w:val="center"/>
          </w:tcPr>
          <w:p w14:paraId="1573FF2A">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42AA9229">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7901FC57">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5DE7E140">
            <w:pPr>
              <w:widowControl/>
              <w:adjustRightInd w:val="0"/>
              <w:snapToGrid w:val="0"/>
              <w:spacing w:line="360" w:lineRule="auto"/>
              <w:ind w:firstLine="420" w:firstLineChars="200"/>
              <w:rPr>
                <w:rFonts w:ascii="仿宋_GB2312" w:hAnsi="宋体" w:eastAsia="仿宋_GB2312"/>
                <w:kern w:val="0"/>
                <w:szCs w:val="21"/>
                <w:highlight w:val="none"/>
              </w:rPr>
            </w:pPr>
          </w:p>
        </w:tc>
      </w:tr>
      <w:tr w14:paraId="2204AF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F443FDF">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安全管理</w:t>
            </w:r>
          </w:p>
        </w:tc>
        <w:tc>
          <w:tcPr>
            <w:tcW w:w="1418" w:type="dxa"/>
            <w:noWrap w:val="0"/>
            <w:vAlign w:val="center"/>
          </w:tcPr>
          <w:p w14:paraId="3780CAFD">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48133B5F">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3815CD5F">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679848F1">
            <w:pPr>
              <w:widowControl/>
              <w:adjustRightInd w:val="0"/>
              <w:snapToGrid w:val="0"/>
              <w:spacing w:line="360" w:lineRule="auto"/>
              <w:ind w:firstLine="420" w:firstLineChars="200"/>
              <w:rPr>
                <w:rFonts w:ascii="仿宋_GB2312" w:hAnsi="宋体" w:eastAsia="仿宋_GB2312"/>
                <w:kern w:val="0"/>
                <w:szCs w:val="21"/>
                <w:highlight w:val="none"/>
              </w:rPr>
            </w:pPr>
          </w:p>
        </w:tc>
      </w:tr>
      <w:tr w14:paraId="20C446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BDE5DB5">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环境管理</w:t>
            </w:r>
          </w:p>
        </w:tc>
        <w:tc>
          <w:tcPr>
            <w:tcW w:w="1418" w:type="dxa"/>
            <w:noWrap w:val="0"/>
            <w:vAlign w:val="center"/>
          </w:tcPr>
          <w:p w14:paraId="6B1ADE0D">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43EA64BD">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0C5A14CE">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47EB3FAE">
            <w:pPr>
              <w:widowControl/>
              <w:adjustRightInd w:val="0"/>
              <w:snapToGrid w:val="0"/>
              <w:spacing w:line="360" w:lineRule="auto"/>
              <w:ind w:firstLine="420" w:firstLineChars="200"/>
              <w:rPr>
                <w:rFonts w:ascii="仿宋_GB2312" w:hAnsi="宋体" w:eastAsia="仿宋_GB2312"/>
                <w:kern w:val="0"/>
                <w:szCs w:val="21"/>
                <w:highlight w:val="none"/>
              </w:rPr>
            </w:pPr>
          </w:p>
        </w:tc>
      </w:tr>
      <w:tr w14:paraId="4C6D11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5165C792">
            <w:pPr>
              <w:widowControl/>
              <w:adjustRightInd w:val="0"/>
              <w:snapToGrid w:val="0"/>
              <w:spacing w:line="360" w:lineRule="auto"/>
              <w:jc w:val="center"/>
              <w:rPr>
                <w:rFonts w:ascii="仿宋_GB2312" w:hAnsi="宋体" w:eastAsia="仿宋_GB2312"/>
                <w:kern w:val="0"/>
                <w:szCs w:val="21"/>
                <w:highlight w:val="none"/>
              </w:rPr>
            </w:pPr>
            <w:r>
              <w:rPr>
                <w:rFonts w:hint="eastAsia" w:ascii="仿宋_GB2312" w:hAnsi="宋体" w:eastAsia="仿宋_GB2312"/>
                <w:kern w:val="0"/>
                <w:szCs w:val="21"/>
                <w:highlight w:val="none"/>
              </w:rPr>
              <w:t>其他人员</w:t>
            </w:r>
          </w:p>
        </w:tc>
        <w:tc>
          <w:tcPr>
            <w:tcW w:w="1418" w:type="dxa"/>
            <w:noWrap w:val="0"/>
            <w:vAlign w:val="center"/>
          </w:tcPr>
          <w:p w14:paraId="6FE7F5AB">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08281941">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1CC4FCF1">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5903995F">
            <w:pPr>
              <w:widowControl/>
              <w:adjustRightInd w:val="0"/>
              <w:snapToGrid w:val="0"/>
              <w:spacing w:line="360" w:lineRule="auto"/>
              <w:ind w:firstLine="420" w:firstLineChars="200"/>
              <w:rPr>
                <w:rFonts w:ascii="仿宋_GB2312" w:hAnsi="宋体" w:eastAsia="仿宋_GB2312"/>
                <w:kern w:val="0"/>
                <w:szCs w:val="21"/>
                <w:highlight w:val="none"/>
              </w:rPr>
            </w:pPr>
          </w:p>
        </w:tc>
      </w:tr>
      <w:tr w14:paraId="1020E6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1A88037C">
            <w:pPr>
              <w:widowControl/>
              <w:adjustRightInd w:val="0"/>
              <w:snapToGrid w:val="0"/>
              <w:spacing w:line="360" w:lineRule="auto"/>
              <w:ind w:firstLine="420" w:firstLineChars="200"/>
              <w:rPr>
                <w:rFonts w:ascii="仿宋_GB2312" w:hAnsi="宋体" w:eastAsia="仿宋_GB2312"/>
                <w:kern w:val="0"/>
                <w:szCs w:val="21"/>
                <w:highlight w:val="none"/>
              </w:rPr>
            </w:pPr>
          </w:p>
        </w:tc>
        <w:tc>
          <w:tcPr>
            <w:tcW w:w="1418" w:type="dxa"/>
            <w:tcBorders>
              <w:bottom w:val="nil"/>
            </w:tcBorders>
            <w:noWrap w:val="0"/>
            <w:vAlign w:val="center"/>
          </w:tcPr>
          <w:p w14:paraId="0D1FCD13">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tcBorders>
              <w:bottom w:val="nil"/>
            </w:tcBorders>
            <w:noWrap w:val="0"/>
            <w:vAlign w:val="center"/>
          </w:tcPr>
          <w:p w14:paraId="1C7DC83B">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tcBorders>
              <w:bottom w:val="nil"/>
            </w:tcBorders>
            <w:noWrap w:val="0"/>
            <w:vAlign w:val="center"/>
          </w:tcPr>
          <w:p w14:paraId="34F69D73">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tcBorders>
              <w:bottom w:val="nil"/>
            </w:tcBorders>
            <w:noWrap w:val="0"/>
            <w:vAlign w:val="center"/>
          </w:tcPr>
          <w:p w14:paraId="14EECBD6">
            <w:pPr>
              <w:widowControl/>
              <w:adjustRightInd w:val="0"/>
              <w:snapToGrid w:val="0"/>
              <w:spacing w:line="360" w:lineRule="auto"/>
              <w:ind w:firstLine="420" w:firstLineChars="200"/>
              <w:rPr>
                <w:rFonts w:ascii="仿宋_GB2312" w:hAnsi="宋体" w:eastAsia="仿宋_GB2312"/>
                <w:kern w:val="0"/>
                <w:szCs w:val="21"/>
                <w:highlight w:val="none"/>
              </w:rPr>
            </w:pPr>
          </w:p>
        </w:tc>
      </w:tr>
      <w:tr w14:paraId="7991A4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53669C4E">
            <w:pPr>
              <w:widowControl/>
              <w:adjustRightInd w:val="0"/>
              <w:snapToGrid w:val="0"/>
              <w:spacing w:line="360" w:lineRule="auto"/>
              <w:ind w:firstLine="420" w:firstLineChars="200"/>
              <w:rPr>
                <w:rFonts w:ascii="仿宋_GB2312" w:hAnsi="宋体" w:eastAsia="仿宋_GB2312"/>
                <w:kern w:val="0"/>
                <w:szCs w:val="21"/>
                <w:highlight w:val="none"/>
              </w:rPr>
            </w:pPr>
          </w:p>
        </w:tc>
        <w:tc>
          <w:tcPr>
            <w:tcW w:w="1418" w:type="dxa"/>
            <w:noWrap w:val="0"/>
            <w:vAlign w:val="center"/>
          </w:tcPr>
          <w:p w14:paraId="702E4A2A">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12B867FF">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33FC433E">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720DE3A9">
            <w:pPr>
              <w:widowControl/>
              <w:adjustRightInd w:val="0"/>
              <w:snapToGrid w:val="0"/>
              <w:spacing w:line="360" w:lineRule="auto"/>
              <w:ind w:firstLine="420" w:firstLineChars="200"/>
              <w:rPr>
                <w:rFonts w:ascii="仿宋_GB2312" w:hAnsi="宋体" w:eastAsia="仿宋_GB2312"/>
                <w:kern w:val="0"/>
                <w:szCs w:val="21"/>
                <w:highlight w:val="none"/>
              </w:rPr>
            </w:pPr>
          </w:p>
        </w:tc>
      </w:tr>
      <w:tr w14:paraId="7A939B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2EC2341E">
            <w:pPr>
              <w:widowControl/>
              <w:adjustRightInd w:val="0"/>
              <w:snapToGrid w:val="0"/>
              <w:spacing w:line="360" w:lineRule="auto"/>
              <w:ind w:firstLine="420" w:firstLineChars="200"/>
              <w:rPr>
                <w:rFonts w:ascii="仿宋_GB2312" w:hAnsi="宋体" w:eastAsia="仿宋_GB2312"/>
                <w:kern w:val="0"/>
                <w:szCs w:val="21"/>
                <w:highlight w:val="none"/>
              </w:rPr>
            </w:pPr>
          </w:p>
        </w:tc>
        <w:tc>
          <w:tcPr>
            <w:tcW w:w="1418" w:type="dxa"/>
            <w:noWrap w:val="0"/>
            <w:vAlign w:val="center"/>
          </w:tcPr>
          <w:p w14:paraId="7ED0A70C">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26718F3B">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5604114A">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18E3145F">
            <w:pPr>
              <w:widowControl/>
              <w:adjustRightInd w:val="0"/>
              <w:snapToGrid w:val="0"/>
              <w:spacing w:line="360" w:lineRule="auto"/>
              <w:ind w:firstLine="420" w:firstLineChars="200"/>
              <w:rPr>
                <w:rFonts w:ascii="仿宋_GB2312" w:hAnsi="宋体" w:eastAsia="仿宋_GB2312"/>
                <w:kern w:val="0"/>
                <w:szCs w:val="21"/>
                <w:highlight w:val="none"/>
              </w:rPr>
            </w:pPr>
          </w:p>
        </w:tc>
      </w:tr>
      <w:tr w14:paraId="429B4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2436DE1B">
            <w:pPr>
              <w:widowControl/>
              <w:adjustRightInd w:val="0"/>
              <w:snapToGrid w:val="0"/>
              <w:spacing w:line="360" w:lineRule="auto"/>
              <w:ind w:firstLine="420" w:firstLineChars="200"/>
              <w:rPr>
                <w:rFonts w:ascii="仿宋_GB2312" w:hAnsi="宋体" w:eastAsia="仿宋_GB2312"/>
                <w:kern w:val="0"/>
                <w:szCs w:val="21"/>
                <w:highlight w:val="none"/>
              </w:rPr>
            </w:pPr>
          </w:p>
        </w:tc>
        <w:tc>
          <w:tcPr>
            <w:tcW w:w="1418" w:type="dxa"/>
            <w:noWrap w:val="0"/>
            <w:vAlign w:val="center"/>
          </w:tcPr>
          <w:p w14:paraId="1DA55ECD">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0598039B">
            <w:pPr>
              <w:widowControl/>
              <w:adjustRightInd w:val="0"/>
              <w:snapToGrid w:val="0"/>
              <w:spacing w:line="360" w:lineRule="auto"/>
              <w:ind w:firstLine="420" w:firstLineChars="200"/>
              <w:rPr>
                <w:rFonts w:ascii="仿宋_GB2312" w:hAnsi="宋体" w:eastAsia="仿宋_GB2312"/>
                <w:kern w:val="0"/>
                <w:szCs w:val="21"/>
                <w:highlight w:val="none"/>
              </w:rPr>
            </w:pPr>
          </w:p>
        </w:tc>
        <w:tc>
          <w:tcPr>
            <w:tcW w:w="1134" w:type="dxa"/>
            <w:noWrap w:val="0"/>
            <w:vAlign w:val="center"/>
          </w:tcPr>
          <w:p w14:paraId="68352AB7">
            <w:pPr>
              <w:widowControl/>
              <w:adjustRightInd w:val="0"/>
              <w:snapToGrid w:val="0"/>
              <w:spacing w:line="360" w:lineRule="auto"/>
              <w:ind w:firstLine="420" w:firstLineChars="200"/>
              <w:rPr>
                <w:rFonts w:ascii="仿宋_GB2312" w:hAnsi="宋体" w:eastAsia="仿宋_GB2312"/>
                <w:kern w:val="0"/>
                <w:szCs w:val="21"/>
                <w:highlight w:val="none"/>
              </w:rPr>
            </w:pPr>
          </w:p>
        </w:tc>
        <w:tc>
          <w:tcPr>
            <w:tcW w:w="3896" w:type="dxa"/>
            <w:noWrap w:val="0"/>
            <w:vAlign w:val="center"/>
          </w:tcPr>
          <w:p w14:paraId="44928F0D">
            <w:pPr>
              <w:widowControl/>
              <w:adjustRightInd w:val="0"/>
              <w:snapToGrid w:val="0"/>
              <w:spacing w:line="360" w:lineRule="auto"/>
              <w:ind w:firstLine="420" w:firstLineChars="200"/>
              <w:rPr>
                <w:rFonts w:ascii="仿宋_GB2312" w:hAnsi="宋体" w:eastAsia="仿宋_GB2312"/>
                <w:kern w:val="0"/>
                <w:szCs w:val="21"/>
                <w:highlight w:val="none"/>
              </w:rPr>
            </w:pPr>
          </w:p>
        </w:tc>
      </w:tr>
      <w:tr w14:paraId="38405B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14:paraId="747749EF">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418" w:type="dxa"/>
            <w:tcBorders>
              <w:bottom w:val="single" w:color="auto" w:sz="12" w:space="0"/>
            </w:tcBorders>
            <w:noWrap w:val="0"/>
            <w:vAlign w:val="center"/>
          </w:tcPr>
          <w:p w14:paraId="23F0D49D">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134" w:type="dxa"/>
            <w:tcBorders>
              <w:bottom w:val="single" w:color="auto" w:sz="12" w:space="0"/>
            </w:tcBorders>
            <w:noWrap w:val="0"/>
            <w:vAlign w:val="center"/>
          </w:tcPr>
          <w:p w14:paraId="10FFE747">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1134" w:type="dxa"/>
            <w:tcBorders>
              <w:bottom w:val="single" w:color="auto" w:sz="12" w:space="0"/>
            </w:tcBorders>
            <w:noWrap w:val="0"/>
            <w:vAlign w:val="center"/>
          </w:tcPr>
          <w:p w14:paraId="29B86A44">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c>
          <w:tcPr>
            <w:tcW w:w="3896" w:type="dxa"/>
            <w:tcBorders>
              <w:bottom w:val="single" w:color="auto" w:sz="12" w:space="0"/>
            </w:tcBorders>
            <w:noWrap w:val="0"/>
            <w:vAlign w:val="center"/>
          </w:tcPr>
          <w:p w14:paraId="5469A65D">
            <w:pPr>
              <w:widowControl/>
              <w:adjustRightInd w:val="0"/>
              <w:snapToGrid w:val="0"/>
              <w:spacing w:after="120" w:afterLines="50" w:line="360" w:lineRule="auto"/>
              <w:ind w:firstLine="480" w:firstLineChars="200"/>
              <w:rPr>
                <w:rFonts w:ascii="仿宋_GB2312" w:hAnsi="宋体" w:eastAsia="仿宋_GB2312"/>
                <w:kern w:val="0"/>
                <w:sz w:val="24"/>
                <w:szCs w:val="20"/>
                <w:highlight w:val="none"/>
              </w:rPr>
            </w:pPr>
          </w:p>
        </w:tc>
      </w:tr>
    </w:tbl>
    <w:p w14:paraId="75B75C92">
      <w:pPr>
        <w:widowControl/>
        <w:adjustRightInd w:val="0"/>
        <w:snapToGrid w:val="0"/>
        <w:spacing w:after="120" w:afterLines="50" w:line="360" w:lineRule="auto"/>
        <w:ind w:firstLine="480" w:firstLineChars="200"/>
        <w:rPr>
          <w:rFonts w:ascii="宋体" w:hAnsi="宋体"/>
          <w:kern w:val="0"/>
          <w:sz w:val="24"/>
          <w:szCs w:val="20"/>
          <w:highlight w:val="none"/>
        </w:rPr>
      </w:pPr>
      <w:r>
        <w:rPr>
          <w:rFonts w:ascii="宋体" w:hAnsi="宋体"/>
          <w:kern w:val="0"/>
          <w:sz w:val="24"/>
          <w:szCs w:val="20"/>
          <w:highlight w:val="none"/>
        </w:rPr>
        <w:br w:type="page"/>
      </w:r>
    </w:p>
    <w:p w14:paraId="4363FC9A">
      <w:pPr>
        <w:keepNext/>
        <w:keepLines/>
        <w:widowControl/>
        <w:tabs>
          <w:tab w:val="left" w:pos="1134"/>
        </w:tabs>
        <w:topLinePunct/>
        <w:adjustRightInd w:val="0"/>
        <w:snapToGrid w:val="0"/>
        <w:spacing w:after="120" w:afterLines="50" w:line="360" w:lineRule="auto"/>
        <w:jc w:val="left"/>
        <w:outlineLvl w:val="1"/>
        <w:rPr>
          <w:rFonts w:ascii="黑体" w:hAnsi="黑体" w:eastAsia="黑体"/>
          <w:b/>
          <w:kern w:val="0"/>
          <w:sz w:val="30"/>
          <w:szCs w:val="30"/>
          <w:highlight w:val="none"/>
        </w:rPr>
        <w:sectPr>
          <w:footnotePr>
            <w:numFmt w:val="decimalEnclosedCircleChinese"/>
            <w:numRestart w:val="eachPage"/>
          </w:footnotePr>
          <w:pgSz w:w="11907" w:h="16840"/>
          <w:pgMar w:top="1474" w:right="1474" w:bottom="1474" w:left="1474" w:header="799" w:footer="907" w:gutter="0"/>
          <w:pgBorders>
            <w:top w:val="none" w:sz="0" w:space="0"/>
            <w:left w:val="none" w:sz="0" w:space="0"/>
            <w:bottom w:val="none" w:sz="0" w:space="0"/>
            <w:right w:val="none" w:sz="0" w:space="0"/>
          </w:pgBorders>
          <w:cols w:space="720" w:num="1"/>
          <w:docGrid w:linePitch="271" w:charSpace="0"/>
        </w:sectPr>
      </w:pPr>
      <w:bookmarkStart w:id="751" w:name="_Toc54862357"/>
    </w:p>
    <w:p w14:paraId="16EF94FB">
      <w:pPr>
        <w:keepNext/>
        <w:keepLines/>
        <w:widowControl/>
        <w:tabs>
          <w:tab w:val="left" w:pos="1134"/>
        </w:tabs>
        <w:topLinePunct/>
        <w:adjustRightInd w:val="0"/>
        <w:snapToGrid w:val="0"/>
        <w:spacing w:after="120" w:afterLines="50" w:line="360" w:lineRule="auto"/>
        <w:jc w:val="left"/>
        <w:outlineLvl w:val="1"/>
        <w:rPr>
          <w:rFonts w:ascii="黑体" w:hAnsi="黑体" w:eastAsia="黑体"/>
          <w:b/>
          <w:kern w:val="0"/>
          <w:sz w:val="30"/>
          <w:szCs w:val="30"/>
          <w:highlight w:val="none"/>
        </w:rPr>
      </w:pPr>
      <w:r>
        <w:rPr>
          <w:rFonts w:hint="eastAsia" w:ascii="黑体" w:hAnsi="黑体" w:eastAsia="黑体"/>
          <w:b/>
          <w:kern w:val="0"/>
          <w:sz w:val="30"/>
          <w:szCs w:val="30"/>
          <w:highlight w:val="none"/>
        </w:rPr>
        <w:t>附件6：价格指数权重表</w:t>
      </w:r>
      <w:bookmarkEnd w:id="751"/>
    </w:p>
    <w:p w14:paraId="534BA005">
      <w:pPr>
        <w:widowControl/>
        <w:spacing w:line="360" w:lineRule="auto"/>
        <w:ind w:firstLine="641"/>
        <w:jc w:val="center"/>
        <w:rPr>
          <w:rFonts w:ascii="宋体" w:hAnsi="宋体" w:cs="宋体"/>
          <w:b/>
          <w:bCs/>
          <w:color w:val="000000"/>
          <w:kern w:val="0"/>
          <w:sz w:val="32"/>
          <w:szCs w:val="32"/>
          <w:highlight w:val="none"/>
        </w:rPr>
      </w:pPr>
      <w:r>
        <w:rPr>
          <w:rFonts w:hint="eastAsia" w:ascii="宋体" w:hAnsi="宋体" w:cs="宋体"/>
          <w:b/>
          <w:bCs/>
          <w:color w:val="000000"/>
          <w:kern w:val="0"/>
          <w:sz w:val="32"/>
          <w:szCs w:val="32"/>
          <w:highlight w:val="none"/>
        </w:rPr>
        <w:t>价格指数权重表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617"/>
        <w:gridCol w:w="925"/>
        <w:gridCol w:w="1284"/>
        <w:gridCol w:w="1141"/>
        <w:gridCol w:w="1284"/>
        <w:gridCol w:w="1299"/>
        <w:gridCol w:w="1458"/>
      </w:tblGrid>
      <w:tr w14:paraId="4E8E6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876" w:type="dxa"/>
            <w:vMerge w:val="restart"/>
            <w:noWrap w:val="0"/>
            <w:vAlign w:val="top"/>
          </w:tcPr>
          <w:p w14:paraId="0EC06485">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序号</w:t>
            </w:r>
          </w:p>
        </w:tc>
        <w:tc>
          <w:tcPr>
            <w:tcW w:w="1542" w:type="dxa"/>
            <w:gridSpan w:val="2"/>
            <w:vMerge w:val="restart"/>
            <w:noWrap w:val="0"/>
            <w:vAlign w:val="top"/>
          </w:tcPr>
          <w:p w14:paraId="1E237D8A">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名称</w:t>
            </w:r>
          </w:p>
        </w:tc>
        <w:tc>
          <w:tcPr>
            <w:tcW w:w="2424" w:type="dxa"/>
            <w:gridSpan w:val="2"/>
            <w:noWrap w:val="0"/>
            <w:vAlign w:val="top"/>
          </w:tcPr>
          <w:p w14:paraId="2C1A472A">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变更权重B</w:t>
            </w:r>
          </w:p>
        </w:tc>
        <w:tc>
          <w:tcPr>
            <w:tcW w:w="2583" w:type="dxa"/>
            <w:gridSpan w:val="2"/>
            <w:noWrap w:val="0"/>
            <w:vAlign w:val="top"/>
          </w:tcPr>
          <w:p w14:paraId="3BF1BDB0">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基本价格指数F0</w:t>
            </w:r>
          </w:p>
        </w:tc>
        <w:tc>
          <w:tcPr>
            <w:tcW w:w="1458" w:type="dxa"/>
            <w:noWrap w:val="0"/>
            <w:vAlign w:val="top"/>
          </w:tcPr>
          <w:p w14:paraId="56CC120A">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备注</w:t>
            </w:r>
          </w:p>
        </w:tc>
      </w:tr>
      <w:tr w14:paraId="69E13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76" w:type="dxa"/>
            <w:vMerge w:val="continue"/>
            <w:noWrap w:val="0"/>
            <w:vAlign w:val="top"/>
          </w:tcPr>
          <w:p w14:paraId="65D6FBAA">
            <w:pPr>
              <w:widowControl/>
              <w:adjustRightInd w:val="0"/>
              <w:snapToGrid w:val="0"/>
              <w:spacing w:after="120" w:afterLines="50" w:line="360" w:lineRule="auto"/>
              <w:rPr>
                <w:rFonts w:ascii="仿宋_GB2312" w:hAnsi="宋体" w:eastAsia="仿宋_GB2312"/>
                <w:kern w:val="0"/>
                <w:sz w:val="24"/>
                <w:szCs w:val="20"/>
                <w:highlight w:val="none"/>
              </w:rPr>
            </w:pPr>
          </w:p>
        </w:tc>
        <w:tc>
          <w:tcPr>
            <w:tcW w:w="1542" w:type="dxa"/>
            <w:gridSpan w:val="2"/>
            <w:vMerge w:val="continue"/>
            <w:noWrap w:val="0"/>
            <w:vAlign w:val="top"/>
          </w:tcPr>
          <w:p w14:paraId="2ED46DE2">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13BEB8D3">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代号</w:t>
            </w:r>
          </w:p>
        </w:tc>
        <w:tc>
          <w:tcPr>
            <w:tcW w:w="1141" w:type="dxa"/>
            <w:noWrap w:val="0"/>
            <w:vAlign w:val="top"/>
          </w:tcPr>
          <w:p w14:paraId="2C758966">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权重</w:t>
            </w:r>
          </w:p>
        </w:tc>
        <w:tc>
          <w:tcPr>
            <w:tcW w:w="1284" w:type="dxa"/>
            <w:noWrap w:val="0"/>
            <w:vAlign w:val="top"/>
          </w:tcPr>
          <w:p w14:paraId="0A3976A3">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代号</w:t>
            </w:r>
          </w:p>
        </w:tc>
        <w:tc>
          <w:tcPr>
            <w:tcW w:w="1299" w:type="dxa"/>
            <w:noWrap w:val="0"/>
            <w:vAlign w:val="top"/>
          </w:tcPr>
          <w:p w14:paraId="2F04531A">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指数</w:t>
            </w:r>
          </w:p>
        </w:tc>
        <w:tc>
          <w:tcPr>
            <w:tcW w:w="1458" w:type="dxa"/>
            <w:noWrap w:val="0"/>
            <w:vAlign w:val="top"/>
          </w:tcPr>
          <w:p w14:paraId="15A7E295">
            <w:pPr>
              <w:widowControl/>
              <w:adjustRightInd w:val="0"/>
              <w:snapToGrid w:val="0"/>
              <w:spacing w:after="120" w:afterLines="50" w:line="360" w:lineRule="auto"/>
              <w:rPr>
                <w:rFonts w:ascii="仿宋_GB2312" w:hAnsi="宋体" w:eastAsia="仿宋_GB2312"/>
                <w:kern w:val="0"/>
                <w:sz w:val="24"/>
                <w:szCs w:val="20"/>
                <w:highlight w:val="none"/>
              </w:rPr>
            </w:pPr>
          </w:p>
        </w:tc>
      </w:tr>
      <w:tr w14:paraId="1B7FE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76" w:type="dxa"/>
            <w:noWrap w:val="0"/>
            <w:vAlign w:val="top"/>
          </w:tcPr>
          <w:p w14:paraId="03547B4E">
            <w:pPr>
              <w:widowControl/>
              <w:adjustRightInd w:val="0"/>
              <w:snapToGrid w:val="0"/>
              <w:spacing w:after="120" w:afterLines="50" w:line="360" w:lineRule="auto"/>
              <w:rPr>
                <w:rFonts w:ascii="仿宋_GB2312" w:hAnsi="宋体" w:eastAsia="仿宋_GB2312"/>
                <w:kern w:val="0"/>
                <w:sz w:val="24"/>
                <w:szCs w:val="20"/>
                <w:highlight w:val="none"/>
              </w:rPr>
            </w:pPr>
          </w:p>
        </w:tc>
        <w:tc>
          <w:tcPr>
            <w:tcW w:w="617" w:type="dxa"/>
            <w:vMerge w:val="restart"/>
            <w:noWrap w:val="0"/>
            <w:vAlign w:val="top"/>
          </w:tcPr>
          <w:p w14:paraId="28C65EAB">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变</w:t>
            </w:r>
          </w:p>
          <w:p w14:paraId="4FD9B42D">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值</w:t>
            </w:r>
          </w:p>
          <w:p w14:paraId="4A45D3B0">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部</w:t>
            </w:r>
          </w:p>
          <w:p w14:paraId="491B83FA">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分</w:t>
            </w:r>
          </w:p>
        </w:tc>
        <w:tc>
          <w:tcPr>
            <w:tcW w:w="925" w:type="dxa"/>
            <w:noWrap w:val="0"/>
            <w:vAlign w:val="top"/>
          </w:tcPr>
          <w:p w14:paraId="40CD12AE">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7B93A634">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B1</w:t>
            </w:r>
          </w:p>
        </w:tc>
        <w:tc>
          <w:tcPr>
            <w:tcW w:w="1141" w:type="dxa"/>
            <w:noWrap w:val="0"/>
            <w:vAlign w:val="top"/>
          </w:tcPr>
          <w:p w14:paraId="402CD4C5">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57D19185">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F01</w:t>
            </w:r>
          </w:p>
        </w:tc>
        <w:tc>
          <w:tcPr>
            <w:tcW w:w="1299" w:type="dxa"/>
            <w:noWrap w:val="0"/>
            <w:vAlign w:val="top"/>
          </w:tcPr>
          <w:p w14:paraId="407C0E84">
            <w:pPr>
              <w:widowControl/>
              <w:adjustRightInd w:val="0"/>
              <w:snapToGrid w:val="0"/>
              <w:spacing w:after="120" w:afterLines="50" w:line="360" w:lineRule="auto"/>
              <w:rPr>
                <w:rFonts w:ascii="仿宋_GB2312" w:hAnsi="宋体" w:eastAsia="仿宋_GB2312"/>
                <w:kern w:val="0"/>
                <w:sz w:val="24"/>
                <w:szCs w:val="20"/>
                <w:highlight w:val="none"/>
              </w:rPr>
            </w:pPr>
          </w:p>
        </w:tc>
        <w:tc>
          <w:tcPr>
            <w:tcW w:w="1458" w:type="dxa"/>
            <w:noWrap w:val="0"/>
            <w:vAlign w:val="top"/>
          </w:tcPr>
          <w:p w14:paraId="52B462A2">
            <w:pPr>
              <w:widowControl/>
              <w:adjustRightInd w:val="0"/>
              <w:snapToGrid w:val="0"/>
              <w:spacing w:after="120" w:afterLines="50" w:line="360" w:lineRule="auto"/>
              <w:rPr>
                <w:rFonts w:ascii="仿宋_GB2312" w:hAnsi="宋体" w:eastAsia="仿宋_GB2312"/>
                <w:kern w:val="0"/>
                <w:sz w:val="24"/>
                <w:szCs w:val="20"/>
                <w:highlight w:val="none"/>
              </w:rPr>
            </w:pPr>
          </w:p>
        </w:tc>
      </w:tr>
      <w:tr w14:paraId="798D0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76" w:type="dxa"/>
            <w:noWrap w:val="0"/>
            <w:vAlign w:val="top"/>
          </w:tcPr>
          <w:p w14:paraId="3EAD0031">
            <w:pPr>
              <w:widowControl/>
              <w:adjustRightInd w:val="0"/>
              <w:snapToGrid w:val="0"/>
              <w:spacing w:after="120" w:afterLines="50" w:line="360" w:lineRule="auto"/>
              <w:rPr>
                <w:rFonts w:ascii="仿宋_GB2312" w:hAnsi="宋体" w:eastAsia="仿宋_GB2312"/>
                <w:kern w:val="0"/>
                <w:sz w:val="24"/>
                <w:szCs w:val="20"/>
                <w:highlight w:val="none"/>
              </w:rPr>
            </w:pPr>
          </w:p>
        </w:tc>
        <w:tc>
          <w:tcPr>
            <w:tcW w:w="617" w:type="dxa"/>
            <w:vMerge w:val="continue"/>
            <w:noWrap w:val="0"/>
            <w:vAlign w:val="top"/>
          </w:tcPr>
          <w:p w14:paraId="10A686C7">
            <w:pPr>
              <w:widowControl/>
              <w:adjustRightInd w:val="0"/>
              <w:snapToGrid w:val="0"/>
              <w:spacing w:after="120" w:afterLines="50" w:line="360" w:lineRule="auto"/>
              <w:rPr>
                <w:rFonts w:ascii="仿宋_GB2312" w:hAnsi="宋体" w:eastAsia="仿宋_GB2312"/>
                <w:kern w:val="0"/>
                <w:sz w:val="24"/>
                <w:szCs w:val="20"/>
                <w:highlight w:val="none"/>
              </w:rPr>
            </w:pPr>
          </w:p>
        </w:tc>
        <w:tc>
          <w:tcPr>
            <w:tcW w:w="925" w:type="dxa"/>
            <w:noWrap w:val="0"/>
            <w:vAlign w:val="top"/>
          </w:tcPr>
          <w:p w14:paraId="07C0BDCF">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50188C86">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B2</w:t>
            </w:r>
          </w:p>
        </w:tc>
        <w:tc>
          <w:tcPr>
            <w:tcW w:w="1141" w:type="dxa"/>
            <w:noWrap w:val="0"/>
            <w:vAlign w:val="top"/>
          </w:tcPr>
          <w:p w14:paraId="46D6E06A">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1588F3F5">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F02</w:t>
            </w:r>
          </w:p>
        </w:tc>
        <w:tc>
          <w:tcPr>
            <w:tcW w:w="1299" w:type="dxa"/>
            <w:noWrap w:val="0"/>
            <w:vAlign w:val="top"/>
          </w:tcPr>
          <w:p w14:paraId="4F9E3C1E">
            <w:pPr>
              <w:widowControl/>
              <w:adjustRightInd w:val="0"/>
              <w:snapToGrid w:val="0"/>
              <w:spacing w:after="120" w:afterLines="50" w:line="360" w:lineRule="auto"/>
              <w:rPr>
                <w:rFonts w:ascii="仿宋_GB2312" w:hAnsi="宋体" w:eastAsia="仿宋_GB2312"/>
                <w:kern w:val="0"/>
                <w:sz w:val="24"/>
                <w:szCs w:val="20"/>
                <w:highlight w:val="none"/>
              </w:rPr>
            </w:pPr>
          </w:p>
        </w:tc>
        <w:tc>
          <w:tcPr>
            <w:tcW w:w="1458" w:type="dxa"/>
            <w:noWrap w:val="0"/>
            <w:vAlign w:val="top"/>
          </w:tcPr>
          <w:p w14:paraId="299223F7">
            <w:pPr>
              <w:widowControl/>
              <w:adjustRightInd w:val="0"/>
              <w:snapToGrid w:val="0"/>
              <w:spacing w:after="120" w:afterLines="50" w:line="360" w:lineRule="auto"/>
              <w:rPr>
                <w:rFonts w:ascii="仿宋_GB2312" w:hAnsi="宋体" w:eastAsia="仿宋_GB2312"/>
                <w:kern w:val="0"/>
                <w:sz w:val="24"/>
                <w:szCs w:val="20"/>
                <w:highlight w:val="none"/>
              </w:rPr>
            </w:pPr>
          </w:p>
        </w:tc>
      </w:tr>
      <w:tr w14:paraId="1C84B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76" w:type="dxa"/>
            <w:noWrap w:val="0"/>
            <w:vAlign w:val="top"/>
          </w:tcPr>
          <w:p w14:paraId="559E4369">
            <w:pPr>
              <w:widowControl/>
              <w:adjustRightInd w:val="0"/>
              <w:snapToGrid w:val="0"/>
              <w:spacing w:after="120" w:afterLines="50" w:line="360" w:lineRule="auto"/>
              <w:rPr>
                <w:rFonts w:ascii="仿宋_GB2312" w:hAnsi="宋体" w:eastAsia="仿宋_GB2312"/>
                <w:kern w:val="0"/>
                <w:sz w:val="24"/>
                <w:szCs w:val="20"/>
                <w:highlight w:val="none"/>
              </w:rPr>
            </w:pPr>
          </w:p>
        </w:tc>
        <w:tc>
          <w:tcPr>
            <w:tcW w:w="617" w:type="dxa"/>
            <w:vMerge w:val="continue"/>
            <w:noWrap w:val="0"/>
            <w:vAlign w:val="top"/>
          </w:tcPr>
          <w:p w14:paraId="1B22B647">
            <w:pPr>
              <w:widowControl/>
              <w:adjustRightInd w:val="0"/>
              <w:snapToGrid w:val="0"/>
              <w:spacing w:after="120" w:afterLines="50" w:line="360" w:lineRule="auto"/>
              <w:rPr>
                <w:rFonts w:ascii="仿宋_GB2312" w:hAnsi="宋体" w:eastAsia="仿宋_GB2312"/>
                <w:kern w:val="0"/>
                <w:sz w:val="24"/>
                <w:szCs w:val="20"/>
                <w:highlight w:val="none"/>
              </w:rPr>
            </w:pPr>
          </w:p>
        </w:tc>
        <w:tc>
          <w:tcPr>
            <w:tcW w:w="925" w:type="dxa"/>
            <w:noWrap w:val="0"/>
            <w:vAlign w:val="top"/>
          </w:tcPr>
          <w:p w14:paraId="41A0603F">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7B44A313">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B3</w:t>
            </w:r>
          </w:p>
        </w:tc>
        <w:tc>
          <w:tcPr>
            <w:tcW w:w="1141" w:type="dxa"/>
            <w:noWrap w:val="0"/>
            <w:vAlign w:val="top"/>
          </w:tcPr>
          <w:p w14:paraId="5346677A">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5A4FE2BB">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F03</w:t>
            </w:r>
          </w:p>
        </w:tc>
        <w:tc>
          <w:tcPr>
            <w:tcW w:w="1299" w:type="dxa"/>
            <w:noWrap w:val="0"/>
            <w:vAlign w:val="top"/>
          </w:tcPr>
          <w:p w14:paraId="6F7C1FC7">
            <w:pPr>
              <w:widowControl/>
              <w:adjustRightInd w:val="0"/>
              <w:snapToGrid w:val="0"/>
              <w:spacing w:after="120" w:afterLines="50" w:line="360" w:lineRule="auto"/>
              <w:rPr>
                <w:rFonts w:ascii="仿宋_GB2312" w:hAnsi="宋体" w:eastAsia="仿宋_GB2312"/>
                <w:kern w:val="0"/>
                <w:sz w:val="24"/>
                <w:szCs w:val="20"/>
                <w:highlight w:val="none"/>
              </w:rPr>
            </w:pPr>
          </w:p>
        </w:tc>
        <w:tc>
          <w:tcPr>
            <w:tcW w:w="1458" w:type="dxa"/>
            <w:noWrap w:val="0"/>
            <w:vAlign w:val="top"/>
          </w:tcPr>
          <w:p w14:paraId="083CE91D">
            <w:pPr>
              <w:widowControl/>
              <w:adjustRightInd w:val="0"/>
              <w:snapToGrid w:val="0"/>
              <w:spacing w:after="120" w:afterLines="50" w:line="360" w:lineRule="auto"/>
              <w:rPr>
                <w:rFonts w:ascii="仿宋_GB2312" w:hAnsi="宋体" w:eastAsia="仿宋_GB2312"/>
                <w:kern w:val="0"/>
                <w:sz w:val="24"/>
                <w:szCs w:val="20"/>
                <w:highlight w:val="none"/>
              </w:rPr>
            </w:pPr>
          </w:p>
        </w:tc>
      </w:tr>
      <w:tr w14:paraId="39EED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76" w:type="dxa"/>
            <w:noWrap w:val="0"/>
            <w:vAlign w:val="top"/>
          </w:tcPr>
          <w:p w14:paraId="264C17C3">
            <w:pPr>
              <w:widowControl/>
              <w:adjustRightInd w:val="0"/>
              <w:snapToGrid w:val="0"/>
              <w:spacing w:after="120" w:afterLines="50" w:line="360" w:lineRule="auto"/>
              <w:rPr>
                <w:rFonts w:ascii="仿宋_GB2312" w:hAnsi="宋体" w:eastAsia="仿宋_GB2312"/>
                <w:kern w:val="0"/>
                <w:sz w:val="24"/>
                <w:szCs w:val="20"/>
                <w:highlight w:val="none"/>
              </w:rPr>
            </w:pPr>
          </w:p>
        </w:tc>
        <w:tc>
          <w:tcPr>
            <w:tcW w:w="617" w:type="dxa"/>
            <w:vMerge w:val="continue"/>
            <w:noWrap w:val="0"/>
            <w:vAlign w:val="top"/>
          </w:tcPr>
          <w:p w14:paraId="3A8D1A7A">
            <w:pPr>
              <w:widowControl/>
              <w:adjustRightInd w:val="0"/>
              <w:snapToGrid w:val="0"/>
              <w:spacing w:after="120" w:afterLines="50" w:line="360" w:lineRule="auto"/>
              <w:rPr>
                <w:rFonts w:ascii="仿宋_GB2312" w:hAnsi="宋体" w:eastAsia="仿宋_GB2312"/>
                <w:kern w:val="0"/>
                <w:sz w:val="24"/>
                <w:szCs w:val="20"/>
                <w:highlight w:val="none"/>
              </w:rPr>
            </w:pPr>
          </w:p>
        </w:tc>
        <w:tc>
          <w:tcPr>
            <w:tcW w:w="925" w:type="dxa"/>
            <w:noWrap w:val="0"/>
            <w:vAlign w:val="top"/>
          </w:tcPr>
          <w:p w14:paraId="7301DB81">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53E505D6">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B4</w:t>
            </w:r>
          </w:p>
        </w:tc>
        <w:tc>
          <w:tcPr>
            <w:tcW w:w="1141" w:type="dxa"/>
            <w:noWrap w:val="0"/>
            <w:vAlign w:val="top"/>
          </w:tcPr>
          <w:p w14:paraId="3F86C7E5">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2E5533E2">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F04</w:t>
            </w:r>
          </w:p>
        </w:tc>
        <w:tc>
          <w:tcPr>
            <w:tcW w:w="1299" w:type="dxa"/>
            <w:noWrap w:val="0"/>
            <w:vAlign w:val="top"/>
          </w:tcPr>
          <w:p w14:paraId="4A75C543">
            <w:pPr>
              <w:widowControl/>
              <w:adjustRightInd w:val="0"/>
              <w:snapToGrid w:val="0"/>
              <w:spacing w:after="120" w:afterLines="50" w:line="360" w:lineRule="auto"/>
              <w:rPr>
                <w:rFonts w:ascii="仿宋_GB2312" w:hAnsi="宋体" w:eastAsia="仿宋_GB2312"/>
                <w:kern w:val="0"/>
                <w:sz w:val="24"/>
                <w:szCs w:val="20"/>
                <w:highlight w:val="none"/>
              </w:rPr>
            </w:pPr>
          </w:p>
        </w:tc>
        <w:tc>
          <w:tcPr>
            <w:tcW w:w="1458" w:type="dxa"/>
            <w:noWrap w:val="0"/>
            <w:vAlign w:val="top"/>
          </w:tcPr>
          <w:p w14:paraId="672B3A61">
            <w:pPr>
              <w:widowControl/>
              <w:adjustRightInd w:val="0"/>
              <w:snapToGrid w:val="0"/>
              <w:spacing w:after="120" w:afterLines="50" w:line="360" w:lineRule="auto"/>
              <w:rPr>
                <w:rFonts w:ascii="仿宋_GB2312" w:hAnsi="宋体" w:eastAsia="仿宋_GB2312"/>
                <w:kern w:val="0"/>
                <w:sz w:val="24"/>
                <w:szCs w:val="20"/>
                <w:highlight w:val="none"/>
              </w:rPr>
            </w:pPr>
          </w:p>
        </w:tc>
      </w:tr>
      <w:tr w14:paraId="35810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76" w:type="dxa"/>
            <w:noWrap w:val="0"/>
            <w:vAlign w:val="top"/>
          </w:tcPr>
          <w:p w14:paraId="39881607">
            <w:pPr>
              <w:widowControl/>
              <w:adjustRightInd w:val="0"/>
              <w:snapToGrid w:val="0"/>
              <w:spacing w:after="120" w:afterLines="50" w:line="360" w:lineRule="auto"/>
              <w:rPr>
                <w:rFonts w:ascii="仿宋_GB2312" w:hAnsi="宋体" w:eastAsia="仿宋_GB2312"/>
                <w:kern w:val="0"/>
                <w:sz w:val="24"/>
                <w:szCs w:val="20"/>
                <w:highlight w:val="none"/>
              </w:rPr>
            </w:pPr>
          </w:p>
        </w:tc>
        <w:tc>
          <w:tcPr>
            <w:tcW w:w="617" w:type="dxa"/>
            <w:vMerge w:val="continue"/>
            <w:noWrap w:val="0"/>
            <w:vAlign w:val="top"/>
          </w:tcPr>
          <w:p w14:paraId="2CC94D3E">
            <w:pPr>
              <w:widowControl/>
              <w:adjustRightInd w:val="0"/>
              <w:snapToGrid w:val="0"/>
              <w:spacing w:after="120" w:afterLines="50" w:line="360" w:lineRule="auto"/>
              <w:rPr>
                <w:rFonts w:ascii="仿宋_GB2312" w:hAnsi="宋体" w:eastAsia="仿宋_GB2312"/>
                <w:kern w:val="0"/>
                <w:sz w:val="24"/>
                <w:szCs w:val="20"/>
                <w:highlight w:val="none"/>
              </w:rPr>
            </w:pPr>
          </w:p>
        </w:tc>
        <w:tc>
          <w:tcPr>
            <w:tcW w:w="925" w:type="dxa"/>
            <w:noWrap w:val="0"/>
            <w:vAlign w:val="top"/>
          </w:tcPr>
          <w:p w14:paraId="6F9743D6">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459D08D4">
            <w:pPr>
              <w:widowControl/>
              <w:adjustRightInd w:val="0"/>
              <w:snapToGrid w:val="0"/>
              <w:spacing w:after="120" w:afterLines="50" w:line="360" w:lineRule="auto"/>
              <w:rPr>
                <w:rFonts w:ascii="仿宋_GB2312" w:hAnsi="宋体" w:eastAsia="仿宋_GB2312"/>
                <w:kern w:val="0"/>
                <w:sz w:val="24"/>
                <w:szCs w:val="20"/>
                <w:highlight w:val="none"/>
              </w:rPr>
            </w:pPr>
          </w:p>
        </w:tc>
        <w:tc>
          <w:tcPr>
            <w:tcW w:w="1141" w:type="dxa"/>
            <w:noWrap w:val="0"/>
            <w:vAlign w:val="top"/>
          </w:tcPr>
          <w:p w14:paraId="2E58A7E5">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464EC9EF">
            <w:pPr>
              <w:widowControl/>
              <w:adjustRightInd w:val="0"/>
              <w:snapToGrid w:val="0"/>
              <w:spacing w:after="120" w:afterLines="50" w:line="360" w:lineRule="auto"/>
              <w:rPr>
                <w:rFonts w:ascii="仿宋_GB2312" w:hAnsi="宋体" w:eastAsia="仿宋_GB2312"/>
                <w:kern w:val="0"/>
                <w:sz w:val="24"/>
                <w:szCs w:val="20"/>
                <w:highlight w:val="none"/>
              </w:rPr>
            </w:pPr>
          </w:p>
        </w:tc>
        <w:tc>
          <w:tcPr>
            <w:tcW w:w="1299" w:type="dxa"/>
            <w:noWrap w:val="0"/>
            <w:vAlign w:val="top"/>
          </w:tcPr>
          <w:p w14:paraId="445B1E62">
            <w:pPr>
              <w:widowControl/>
              <w:adjustRightInd w:val="0"/>
              <w:snapToGrid w:val="0"/>
              <w:spacing w:after="120" w:afterLines="50" w:line="360" w:lineRule="auto"/>
              <w:rPr>
                <w:rFonts w:ascii="仿宋_GB2312" w:hAnsi="宋体" w:eastAsia="仿宋_GB2312"/>
                <w:kern w:val="0"/>
                <w:sz w:val="24"/>
                <w:szCs w:val="20"/>
                <w:highlight w:val="none"/>
              </w:rPr>
            </w:pPr>
          </w:p>
        </w:tc>
        <w:tc>
          <w:tcPr>
            <w:tcW w:w="1458" w:type="dxa"/>
            <w:noWrap w:val="0"/>
            <w:vAlign w:val="top"/>
          </w:tcPr>
          <w:p w14:paraId="3BA22092">
            <w:pPr>
              <w:widowControl/>
              <w:adjustRightInd w:val="0"/>
              <w:snapToGrid w:val="0"/>
              <w:spacing w:after="120" w:afterLines="50" w:line="360" w:lineRule="auto"/>
              <w:rPr>
                <w:rFonts w:ascii="仿宋_GB2312" w:hAnsi="宋体" w:eastAsia="仿宋_GB2312"/>
                <w:kern w:val="0"/>
                <w:sz w:val="24"/>
                <w:szCs w:val="20"/>
                <w:highlight w:val="none"/>
              </w:rPr>
            </w:pPr>
          </w:p>
        </w:tc>
      </w:tr>
      <w:tr w14:paraId="17EDD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76" w:type="dxa"/>
            <w:noWrap w:val="0"/>
            <w:vAlign w:val="top"/>
          </w:tcPr>
          <w:p w14:paraId="39996A29">
            <w:pPr>
              <w:widowControl/>
              <w:adjustRightInd w:val="0"/>
              <w:snapToGrid w:val="0"/>
              <w:spacing w:after="120" w:afterLines="50" w:line="360" w:lineRule="auto"/>
              <w:rPr>
                <w:rFonts w:ascii="仿宋_GB2312" w:hAnsi="宋体" w:eastAsia="仿宋_GB2312"/>
                <w:kern w:val="0"/>
                <w:sz w:val="24"/>
                <w:szCs w:val="20"/>
                <w:highlight w:val="none"/>
              </w:rPr>
            </w:pPr>
          </w:p>
        </w:tc>
        <w:tc>
          <w:tcPr>
            <w:tcW w:w="617" w:type="dxa"/>
            <w:vMerge w:val="continue"/>
            <w:noWrap w:val="0"/>
            <w:vAlign w:val="top"/>
          </w:tcPr>
          <w:p w14:paraId="307FF6BB">
            <w:pPr>
              <w:widowControl/>
              <w:adjustRightInd w:val="0"/>
              <w:snapToGrid w:val="0"/>
              <w:spacing w:after="120" w:afterLines="50" w:line="360" w:lineRule="auto"/>
              <w:rPr>
                <w:rFonts w:ascii="仿宋_GB2312" w:hAnsi="宋体" w:eastAsia="仿宋_GB2312"/>
                <w:kern w:val="0"/>
                <w:sz w:val="24"/>
                <w:szCs w:val="20"/>
                <w:highlight w:val="none"/>
              </w:rPr>
            </w:pPr>
          </w:p>
        </w:tc>
        <w:tc>
          <w:tcPr>
            <w:tcW w:w="925" w:type="dxa"/>
            <w:noWrap w:val="0"/>
            <w:vAlign w:val="top"/>
          </w:tcPr>
          <w:p w14:paraId="4E14A434">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70C01E1D">
            <w:pPr>
              <w:widowControl/>
              <w:adjustRightInd w:val="0"/>
              <w:snapToGrid w:val="0"/>
              <w:spacing w:after="120" w:afterLines="50" w:line="360" w:lineRule="auto"/>
              <w:rPr>
                <w:rFonts w:ascii="仿宋_GB2312" w:hAnsi="宋体" w:eastAsia="仿宋_GB2312"/>
                <w:kern w:val="0"/>
                <w:sz w:val="24"/>
                <w:szCs w:val="20"/>
                <w:highlight w:val="none"/>
              </w:rPr>
            </w:pPr>
          </w:p>
        </w:tc>
        <w:tc>
          <w:tcPr>
            <w:tcW w:w="1141" w:type="dxa"/>
            <w:noWrap w:val="0"/>
            <w:vAlign w:val="top"/>
          </w:tcPr>
          <w:p w14:paraId="3D5CD453">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231B271B">
            <w:pPr>
              <w:widowControl/>
              <w:adjustRightInd w:val="0"/>
              <w:snapToGrid w:val="0"/>
              <w:spacing w:after="120" w:afterLines="50" w:line="360" w:lineRule="auto"/>
              <w:rPr>
                <w:rFonts w:ascii="仿宋_GB2312" w:hAnsi="宋体" w:eastAsia="仿宋_GB2312"/>
                <w:kern w:val="0"/>
                <w:sz w:val="24"/>
                <w:szCs w:val="20"/>
                <w:highlight w:val="none"/>
              </w:rPr>
            </w:pPr>
          </w:p>
        </w:tc>
        <w:tc>
          <w:tcPr>
            <w:tcW w:w="1299" w:type="dxa"/>
            <w:noWrap w:val="0"/>
            <w:vAlign w:val="top"/>
          </w:tcPr>
          <w:p w14:paraId="41C32824">
            <w:pPr>
              <w:widowControl/>
              <w:adjustRightInd w:val="0"/>
              <w:snapToGrid w:val="0"/>
              <w:spacing w:after="120" w:afterLines="50" w:line="360" w:lineRule="auto"/>
              <w:rPr>
                <w:rFonts w:ascii="仿宋_GB2312" w:hAnsi="宋体" w:eastAsia="仿宋_GB2312"/>
                <w:kern w:val="0"/>
                <w:sz w:val="24"/>
                <w:szCs w:val="20"/>
                <w:highlight w:val="none"/>
              </w:rPr>
            </w:pPr>
          </w:p>
        </w:tc>
        <w:tc>
          <w:tcPr>
            <w:tcW w:w="1458" w:type="dxa"/>
            <w:noWrap w:val="0"/>
            <w:vAlign w:val="top"/>
          </w:tcPr>
          <w:p w14:paraId="6D4C7D55">
            <w:pPr>
              <w:widowControl/>
              <w:adjustRightInd w:val="0"/>
              <w:snapToGrid w:val="0"/>
              <w:spacing w:after="120" w:afterLines="50" w:line="360" w:lineRule="auto"/>
              <w:rPr>
                <w:rFonts w:ascii="仿宋_GB2312" w:hAnsi="宋体" w:eastAsia="仿宋_GB2312"/>
                <w:kern w:val="0"/>
                <w:sz w:val="24"/>
                <w:szCs w:val="20"/>
                <w:highlight w:val="none"/>
              </w:rPr>
            </w:pPr>
          </w:p>
        </w:tc>
      </w:tr>
      <w:tr w14:paraId="1190A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2418" w:type="dxa"/>
            <w:gridSpan w:val="3"/>
            <w:noWrap w:val="0"/>
            <w:vAlign w:val="top"/>
          </w:tcPr>
          <w:p w14:paraId="5DD6D7AA">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定值部分权重A</w:t>
            </w:r>
          </w:p>
        </w:tc>
        <w:tc>
          <w:tcPr>
            <w:tcW w:w="1284" w:type="dxa"/>
            <w:noWrap w:val="0"/>
            <w:vAlign w:val="top"/>
          </w:tcPr>
          <w:p w14:paraId="5685BA37">
            <w:pPr>
              <w:widowControl/>
              <w:adjustRightInd w:val="0"/>
              <w:snapToGrid w:val="0"/>
              <w:spacing w:after="120" w:afterLines="50" w:line="360" w:lineRule="auto"/>
              <w:rPr>
                <w:rFonts w:ascii="仿宋_GB2312" w:hAnsi="宋体" w:eastAsia="仿宋_GB2312"/>
                <w:kern w:val="0"/>
                <w:sz w:val="24"/>
                <w:szCs w:val="20"/>
                <w:highlight w:val="none"/>
              </w:rPr>
            </w:pPr>
          </w:p>
        </w:tc>
        <w:tc>
          <w:tcPr>
            <w:tcW w:w="1141" w:type="dxa"/>
            <w:noWrap w:val="0"/>
            <w:vAlign w:val="top"/>
          </w:tcPr>
          <w:p w14:paraId="7534884A">
            <w:pPr>
              <w:widowControl/>
              <w:adjustRightInd w:val="0"/>
              <w:snapToGrid w:val="0"/>
              <w:spacing w:after="120" w:afterLines="50" w:line="360" w:lineRule="auto"/>
              <w:rPr>
                <w:rFonts w:ascii="仿宋_GB2312" w:hAnsi="宋体" w:eastAsia="仿宋_GB2312"/>
                <w:kern w:val="0"/>
                <w:sz w:val="24"/>
                <w:szCs w:val="20"/>
                <w:highlight w:val="none"/>
              </w:rPr>
            </w:pPr>
          </w:p>
        </w:tc>
        <w:tc>
          <w:tcPr>
            <w:tcW w:w="1284" w:type="dxa"/>
            <w:noWrap w:val="0"/>
            <w:vAlign w:val="top"/>
          </w:tcPr>
          <w:p w14:paraId="77C467CA">
            <w:pPr>
              <w:widowControl/>
              <w:adjustRightInd w:val="0"/>
              <w:snapToGrid w:val="0"/>
              <w:spacing w:after="120" w:afterLines="50" w:line="360" w:lineRule="auto"/>
              <w:rPr>
                <w:rFonts w:ascii="仿宋_GB2312" w:hAnsi="宋体" w:eastAsia="仿宋_GB2312"/>
                <w:kern w:val="0"/>
                <w:sz w:val="24"/>
                <w:szCs w:val="20"/>
                <w:highlight w:val="none"/>
              </w:rPr>
            </w:pPr>
          </w:p>
        </w:tc>
        <w:tc>
          <w:tcPr>
            <w:tcW w:w="1299" w:type="dxa"/>
            <w:noWrap w:val="0"/>
            <w:vAlign w:val="top"/>
          </w:tcPr>
          <w:p w14:paraId="6CA26620">
            <w:pPr>
              <w:widowControl/>
              <w:adjustRightInd w:val="0"/>
              <w:snapToGrid w:val="0"/>
              <w:spacing w:after="120" w:afterLines="50" w:line="360" w:lineRule="auto"/>
              <w:rPr>
                <w:rFonts w:ascii="仿宋_GB2312" w:hAnsi="宋体" w:eastAsia="仿宋_GB2312"/>
                <w:kern w:val="0"/>
                <w:sz w:val="24"/>
                <w:szCs w:val="20"/>
                <w:highlight w:val="none"/>
              </w:rPr>
            </w:pPr>
          </w:p>
        </w:tc>
        <w:tc>
          <w:tcPr>
            <w:tcW w:w="1458" w:type="dxa"/>
            <w:noWrap w:val="0"/>
            <w:vAlign w:val="top"/>
          </w:tcPr>
          <w:p w14:paraId="2C3E2ADE">
            <w:pPr>
              <w:widowControl/>
              <w:adjustRightInd w:val="0"/>
              <w:snapToGrid w:val="0"/>
              <w:spacing w:after="120" w:afterLines="50" w:line="360" w:lineRule="auto"/>
              <w:rPr>
                <w:rFonts w:ascii="仿宋_GB2312" w:hAnsi="宋体" w:eastAsia="仿宋_GB2312"/>
                <w:kern w:val="0"/>
                <w:sz w:val="24"/>
                <w:szCs w:val="20"/>
                <w:highlight w:val="none"/>
              </w:rPr>
            </w:pPr>
          </w:p>
        </w:tc>
      </w:tr>
      <w:tr w14:paraId="22234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2418" w:type="dxa"/>
            <w:gridSpan w:val="3"/>
            <w:noWrap w:val="0"/>
            <w:vAlign w:val="top"/>
          </w:tcPr>
          <w:p w14:paraId="079AEB26">
            <w:pPr>
              <w:widowControl/>
              <w:adjustRightInd w:val="0"/>
              <w:snapToGrid w:val="0"/>
              <w:spacing w:after="120" w:afterLines="50" w:line="360" w:lineRule="auto"/>
              <w:rPr>
                <w:rFonts w:ascii="仿宋_GB2312" w:hAnsi="宋体" w:eastAsia="仿宋_GB2312"/>
                <w:kern w:val="0"/>
                <w:sz w:val="24"/>
                <w:szCs w:val="20"/>
                <w:highlight w:val="none"/>
              </w:rPr>
            </w:pPr>
            <w:r>
              <w:rPr>
                <w:rFonts w:hint="eastAsia" w:ascii="仿宋_GB2312" w:hAnsi="宋体" w:eastAsia="仿宋_GB2312"/>
                <w:kern w:val="0"/>
                <w:sz w:val="24"/>
                <w:szCs w:val="20"/>
                <w:highlight w:val="none"/>
              </w:rPr>
              <w:t>合计</w:t>
            </w:r>
          </w:p>
        </w:tc>
        <w:tc>
          <w:tcPr>
            <w:tcW w:w="2424" w:type="dxa"/>
            <w:gridSpan w:val="2"/>
            <w:noWrap w:val="0"/>
            <w:vAlign w:val="top"/>
          </w:tcPr>
          <w:p w14:paraId="46295A8F">
            <w:pPr>
              <w:widowControl/>
              <w:adjustRightInd w:val="0"/>
              <w:snapToGrid w:val="0"/>
              <w:spacing w:after="120" w:afterLines="50" w:line="360" w:lineRule="auto"/>
              <w:rPr>
                <w:rFonts w:ascii="仿宋_GB2312" w:hAnsi="宋体" w:eastAsia="仿宋_GB2312"/>
                <w:kern w:val="0"/>
                <w:sz w:val="24"/>
                <w:szCs w:val="20"/>
                <w:highlight w:val="none"/>
              </w:rPr>
            </w:pPr>
          </w:p>
        </w:tc>
        <w:tc>
          <w:tcPr>
            <w:tcW w:w="2583" w:type="dxa"/>
            <w:gridSpan w:val="2"/>
            <w:noWrap w:val="0"/>
            <w:vAlign w:val="top"/>
          </w:tcPr>
          <w:p w14:paraId="5A7180AD">
            <w:pPr>
              <w:widowControl/>
              <w:adjustRightInd w:val="0"/>
              <w:snapToGrid w:val="0"/>
              <w:spacing w:after="120" w:afterLines="50" w:line="360" w:lineRule="auto"/>
              <w:rPr>
                <w:rFonts w:ascii="仿宋_GB2312" w:hAnsi="宋体" w:eastAsia="仿宋_GB2312"/>
                <w:kern w:val="0"/>
                <w:sz w:val="24"/>
                <w:szCs w:val="20"/>
                <w:highlight w:val="none"/>
              </w:rPr>
            </w:pPr>
          </w:p>
        </w:tc>
        <w:tc>
          <w:tcPr>
            <w:tcW w:w="1458" w:type="dxa"/>
            <w:noWrap w:val="0"/>
            <w:vAlign w:val="top"/>
          </w:tcPr>
          <w:p w14:paraId="30F55610">
            <w:pPr>
              <w:widowControl/>
              <w:adjustRightInd w:val="0"/>
              <w:snapToGrid w:val="0"/>
              <w:spacing w:after="120" w:afterLines="50" w:line="360" w:lineRule="auto"/>
              <w:rPr>
                <w:rFonts w:ascii="仿宋_GB2312" w:hAnsi="宋体" w:eastAsia="仿宋_GB2312"/>
                <w:kern w:val="0"/>
                <w:sz w:val="24"/>
                <w:szCs w:val="20"/>
                <w:highlight w:val="none"/>
              </w:rPr>
            </w:pPr>
          </w:p>
        </w:tc>
      </w:tr>
    </w:tbl>
    <w:p w14:paraId="63B50423">
      <w:pPr>
        <w:widowControl/>
        <w:adjustRightInd w:val="0"/>
        <w:snapToGrid w:val="0"/>
        <w:spacing w:after="120" w:afterLines="50" w:line="360" w:lineRule="auto"/>
        <w:ind w:firstLine="480" w:firstLineChars="200"/>
        <w:rPr>
          <w:rFonts w:ascii="宋体" w:hAnsi="宋体"/>
          <w:kern w:val="0"/>
          <w:sz w:val="24"/>
          <w:szCs w:val="20"/>
          <w:highlight w:val="none"/>
        </w:rPr>
      </w:pPr>
    </w:p>
    <w:p w14:paraId="3406834D">
      <w:pPr>
        <w:widowControl/>
        <w:adjustRightInd w:val="0"/>
        <w:snapToGrid w:val="0"/>
        <w:spacing w:after="120" w:afterLines="50" w:line="360" w:lineRule="auto"/>
        <w:ind w:firstLine="480" w:firstLineChars="200"/>
        <w:rPr>
          <w:rFonts w:ascii="宋体" w:hAnsi="宋体"/>
          <w:kern w:val="0"/>
          <w:sz w:val="24"/>
          <w:szCs w:val="20"/>
          <w:highlight w:val="none"/>
        </w:rPr>
      </w:pPr>
    </w:p>
    <w:p w14:paraId="668F508E">
      <w:pPr>
        <w:widowControl/>
        <w:adjustRightInd w:val="0"/>
        <w:snapToGrid w:val="0"/>
        <w:spacing w:after="120" w:afterLines="50" w:line="360" w:lineRule="auto"/>
        <w:ind w:firstLine="480" w:firstLineChars="200"/>
        <w:rPr>
          <w:rFonts w:ascii="宋体" w:hAnsi="宋体"/>
          <w:kern w:val="0"/>
          <w:sz w:val="24"/>
          <w:szCs w:val="20"/>
          <w:highlight w:val="none"/>
        </w:rPr>
      </w:pPr>
    </w:p>
    <w:p w14:paraId="578725F6">
      <w:pPr>
        <w:widowControl/>
        <w:adjustRightInd w:val="0"/>
        <w:snapToGrid w:val="0"/>
        <w:spacing w:after="120" w:afterLines="50" w:line="360" w:lineRule="auto"/>
        <w:ind w:firstLine="480" w:firstLineChars="200"/>
        <w:rPr>
          <w:rFonts w:ascii="宋体" w:hAnsi="宋体"/>
          <w:kern w:val="0"/>
          <w:sz w:val="24"/>
          <w:szCs w:val="20"/>
          <w:highlight w:val="none"/>
        </w:rPr>
      </w:pPr>
    </w:p>
    <w:p w14:paraId="2CFE3771">
      <w:pPr>
        <w:widowControl/>
        <w:adjustRightInd w:val="0"/>
        <w:snapToGrid w:val="0"/>
        <w:spacing w:after="120" w:afterLines="50" w:line="360" w:lineRule="auto"/>
        <w:ind w:firstLine="480" w:firstLineChars="200"/>
        <w:rPr>
          <w:rFonts w:ascii="宋体" w:hAnsi="宋体"/>
          <w:kern w:val="0"/>
          <w:sz w:val="24"/>
          <w:szCs w:val="20"/>
          <w:highlight w:val="none"/>
        </w:rPr>
      </w:pPr>
    </w:p>
    <w:p w14:paraId="0A8BFFB0">
      <w:pPr>
        <w:widowControl/>
        <w:adjustRightInd w:val="0"/>
        <w:snapToGrid w:val="0"/>
        <w:spacing w:after="120" w:afterLines="50" w:line="360" w:lineRule="auto"/>
        <w:ind w:firstLine="480" w:firstLineChars="200"/>
        <w:rPr>
          <w:rFonts w:ascii="宋体" w:hAnsi="宋体"/>
          <w:kern w:val="0"/>
          <w:sz w:val="24"/>
          <w:szCs w:val="20"/>
          <w:highlight w:val="none"/>
        </w:rPr>
      </w:pPr>
    </w:p>
    <w:p w14:paraId="1E8EC964">
      <w:pPr>
        <w:widowControl/>
        <w:adjustRightInd w:val="0"/>
        <w:snapToGrid w:val="0"/>
        <w:spacing w:after="120" w:afterLines="50" w:line="360" w:lineRule="auto"/>
        <w:ind w:firstLine="480" w:firstLineChars="200"/>
        <w:rPr>
          <w:rFonts w:ascii="宋体" w:hAnsi="宋体"/>
          <w:kern w:val="0"/>
          <w:sz w:val="24"/>
          <w:szCs w:val="20"/>
          <w:highlight w:val="none"/>
        </w:rPr>
      </w:pPr>
    </w:p>
    <w:p w14:paraId="3776D2E4">
      <w:pPr>
        <w:widowControl/>
        <w:adjustRightInd w:val="0"/>
        <w:snapToGrid w:val="0"/>
        <w:spacing w:after="120" w:afterLines="50" w:line="360" w:lineRule="auto"/>
        <w:ind w:firstLine="480" w:firstLineChars="200"/>
        <w:rPr>
          <w:rFonts w:ascii="宋体" w:hAnsi="宋体"/>
          <w:kern w:val="0"/>
          <w:sz w:val="24"/>
          <w:szCs w:val="20"/>
          <w:highlight w:val="none"/>
        </w:rPr>
      </w:pPr>
    </w:p>
    <w:p w14:paraId="21CA612A">
      <w:pPr>
        <w:widowControl/>
        <w:adjustRightInd w:val="0"/>
        <w:snapToGrid w:val="0"/>
        <w:spacing w:after="120" w:afterLines="50" w:line="360" w:lineRule="auto"/>
        <w:ind w:firstLine="480" w:firstLineChars="200"/>
        <w:rPr>
          <w:rFonts w:ascii="宋体" w:hAnsi="宋体"/>
          <w:kern w:val="0"/>
          <w:sz w:val="24"/>
          <w:szCs w:val="20"/>
          <w:highlight w:val="none"/>
        </w:rPr>
      </w:pPr>
    </w:p>
    <w:p w14:paraId="7470140D">
      <w:pPr>
        <w:widowControl/>
        <w:adjustRightInd w:val="0"/>
        <w:snapToGrid w:val="0"/>
        <w:spacing w:after="120" w:afterLines="50" w:line="360" w:lineRule="auto"/>
        <w:ind w:firstLine="480" w:firstLineChars="200"/>
        <w:rPr>
          <w:rFonts w:ascii="宋体" w:hAnsi="宋体"/>
          <w:kern w:val="0"/>
          <w:sz w:val="24"/>
          <w:szCs w:val="20"/>
          <w:highlight w:val="none"/>
        </w:rPr>
      </w:pPr>
    </w:p>
    <w:bookmarkEnd w:id="742"/>
    <w:p w14:paraId="5952A51E">
      <w:pPr>
        <w:keepNext/>
        <w:keepLines/>
        <w:widowControl/>
        <w:tabs>
          <w:tab w:val="left" w:pos="1134"/>
        </w:tabs>
        <w:topLinePunct/>
        <w:adjustRightInd w:val="0"/>
        <w:snapToGrid w:val="0"/>
        <w:spacing w:after="120" w:afterLines="50" w:line="360" w:lineRule="auto"/>
        <w:jc w:val="left"/>
        <w:outlineLvl w:val="1"/>
        <w:rPr>
          <w:rFonts w:ascii="黑体" w:hAnsi="黑体" w:eastAsia="黑体"/>
          <w:b/>
          <w:kern w:val="0"/>
          <w:sz w:val="30"/>
          <w:szCs w:val="30"/>
          <w:highlight w:val="none"/>
        </w:rPr>
        <w:sectPr>
          <w:footnotePr>
            <w:numFmt w:val="decimalEnclosedCircleChinese"/>
            <w:numRestart w:val="eachPage"/>
          </w:footnotePr>
          <w:pgSz w:w="11907" w:h="16840"/>
          <w:pgMar w:top="1474" w:right="1474" w:bottom="1474" w:left="1474" w:header="799" w:footer="907" w:gutter="0"/>
          <w:pgBorders>
            <w:top w:val="none" w:sz="0" w:space="0"/>
            <w:left w:val="none" w:sz="0" w:space="0"/>
            <w:bottom w:val="none" w:sz="0" w:space="0"/>
            <w:right w:val="none" w:sz="0" w:space="0"/>
          </w:pgBorders>
          <w:cols w:space="720" w:num="1"/>
          <w:docGrid w:linePitch="271" w:charSpace="0"/>
        </w:sectPr>
      </w:pPr>
      <w:bookmarkStart w:id="752" w:name="_Toc7655"/>
      <w:bookmarkStart w:id="753" w:name="_Toc25726"/>
      <w:bookmarkStart w:id="754" w:name="_Toc95223495"/>
    </w:p>
    <w:p w14:paraId="6794724A">
      <w:pPr>
        <w:keepNext/>
        <w:keepLines/>
        <w:widowControl/>
        <w:tabs>
          <w:tab w:val="left" w:pos="1134"/>
        </w:tabs>
        <w:topLinePunct/>
        <w:adjustRightInd w:val="0"/>
        <w:snapToGrid w:val="0"/>
        <w:spacing w:after="120" w:afterLines="50" w:line="360" w:lineRule="auto"/>
        <w:jc w:val="left"/>
        <w:outlineLvl w:val="1"/>
        <w:rPr>
          <w:rFonts w:ascii="黑体" w:hAnsi="黑体" w:eastAsia="黑体"/>
          <w:b/>
          <w:kern w:val="0"/>
          <w:sz w:val="30"/>
          <w:szCs w:val="30"/>
          <w:highlight w:val="none"/>
        </w:rPr>
      </w:pPr>
      <w:r>
        <w:rPr>
          <w:rFonts w:hint="eastAsia" w:ascii="黑体" w:hAnsi="黑体" w:eastAsia="黑体"/>
          <w:b/>
          <w:kern w:val="0"/>
          <w:sz w:val="30"/>
          <w:szCs w:val="30"/>
          <w:highlight w:val="none"/>
        </w:rPr>
        <w:t>附</w:t>
      </w:r>
      <w:bookmarkStart w:id="755" w:name="_Toc296891271"/>
      <w:bookmarkStart w:id="756" w:name="_Toc296347230"/>
      <w:bookmarkStart w:id="757" w:name="_Toc296503231"/>
      <w:bookmarkStart w:id="758" w:name="_Toc296346732"/>
      <w:bookmarkStart w:id="759" w:name="_Toc296891059"/>
      <w:bookmarkStart w:id="760" w:name="_Toc296944570"/>
      <w:r>
        <w:rPr>
          <w:rFonts w:hint="eastAsia" w:ascii="黑体" w:hAnsi="黑体" w:eastAsia="黑体"/>
          <w:b/>
          <w:kern w:val="0"/>
          <w:sz w:val="30"/>
          <w:szCs w:val="30"/>
          <w:highlight w:val="none"/>
        </w:rPr>
        <w:t>件7：廉政协议</w:t>
      </w:r>
      <w:bookmarkEnd w:id="752"/>
      <w:bookmarkEnd w:id="753"/>
      <w:bookmarkEnd w:id="754"/>
    </w:p>
    <w:bookmarkEnd w:id="755"/>
    <w:bookmarkEnd w:id="756"/>
    <w:bookmarkEnd w:id="757"/>
    <w:bookmarkEnd w:id="758"/>
    <w:bookmarkEnd w:id="759"/>
    <w:bookmarkEnd w:id="760"/>
    <w:p w14:paraId="3A0F1ABE">
      <w:pPr>
        <w:widowControl/>
        <w:spacing w:line="360" w:lineRule="auto"/>
        <w:ind w:firstLine="641"/>
        <w:jc w:val="center"/>
        <w:rPr>
          <w:rFonts w:ascii="宋体" w:hAnsi="宋体" w:cs="宋体"/>
          <w:b/>
          <w:bCs/>
          <w:color w:val="000000"/>
          <w:kern w:val="0"/>
          <w:sz w:val="32"/>
          <w:szCs w:val="32"/>
          <w:highlight w:val="none"/>
        </w:rPr>
      </w:pPr>
      <w:bookmarkStart w:id="761" w:name="_Toc9808"/>
      <w:bookmarkStart w:id="762" w:name="_Toc7607"/>
      <w:bookmarkStart w:id="763" w:name="_Toc95223496"/>
      <w:r>
        <w:rPr>
          <w:rFonts w:hint="eastAsia" w:ascii="宋体" w:hAnsi="宋体" w:cs="宋体"/>
          <w:b/>
          <w:bCs/>
          <w:color w:val="000000"/>
          <w:kern w:val="0"/>
          <w:sz w:val="32"/>
          <w:szCs w:val="32"/>
          <w:highlight w:val="none"/>
        </w:rPr>
        <w:t>廉 政 协 议</w:t>
      </w:r>
      <w:bookmarkEnd w:id="761"/>
      <w:bookmarkEnd w:id="762"/>
      <w:bookmarkEnd w:id="763"/>
    </w:p>
    <w:p w14:paraId="455A1F9C">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为促进双方诚信经营、廉洁从业，防范商业贿赂，保护国家、集体和当事人的合法权益，根据国家有关法律法规和安徽省、项目所在地廉政建设的规定，</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(以下称甲方)与</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(以下称乙方)，特此订立本协议共同遵照执行。</w:t>
      </w:r>
    </w:p>
    <w:p w14:paraId="126ED452">
      <w:pPr>
        <w:widowControl/>
        <w:spacing w:line="360" w:lineRule="auto"/>
        <w:ind w:firstLine="420" w:firstLineChars="200"/>
        <w:jc w:val="left"/>
        <w:rPr>
          <w:rFonts w:ascii="宋体" w:hAnsi="宋体" w:cs="宋体"/>
          <w:color w:val="000000"/>
          <w:kern w:val="0"/>
          <w:szCs w:val="21"/>
          <w:highlight w:val="none"/>
        </w:rPr>
      </w:pPr>
      <w:bookmarkStart w:id="764" w:name="_Toc21306"/>
      <w:bookmarkStart w:id="765" w:name="_Toc9888"/>
      <w:bookmarkStart w:id="766" w:name="_Toc95223497"/>
      <w:r>
        <w:rPr>
          <w:rFonts w:hint="eastAsia" w:ascii="宋体" w:hAnsi="宋体" w:cs="宋体"/>
          <w:color w:val="000000"/>
          <w:kern w:val="0"/>
          <w:szCs w:val="21"/>
          <w:highlight w:val="none"/>
        </w:rPr>
        <w:t>第一条 甲乙双方的权利和义务</w:t>
      </w:r>
      <w:bookmarkEnd w:id="764"/>
      <w:bookmarkEnd w:id="765"/>
      <w:bookmarkEnd w:id="766"/>
    </w:p>
    <w:p w14:paraId="5D36EF5B">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14:paraId="2E5FCAD5">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（二）严格执行</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的合同要求，自觉履行合同约定的相关义务。</w:t>
      </w:r>
    </w:p>
    <w:p w14:paraId="0870CA57">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（三）在业务活动中坚持公开、公正、诚信、透明的原则，不得损害国家、集体利益。</w:t>
      </w:r>
    </w:p>
    <w:p w14:paraId="47362FE4">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（四）建立健全廉政制度，开展廉政教育，公布举报电话，监督并认真查处违法违纪行为。</w:t>
      </w:r>
    </w:p>
    <w:p w14:paraId="0D6A7A69">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（五）发现对方在业务活动中有违反廉政规定的行为，应及时提醒对方纠正。情节严重的，应向其上级有关部门举报、建议给予处理，并有权要求告知处理结果。</w:t>
      </w:r>
    </w:p>
    <w:p w14:paraId="0E0501A5">
      <w:pPr>
        <w:widowControl/>
        <w:spacing w:line="360" w:lineRule="auto"/>
        <w:ind w:firstLine="420" w:firstLineChars="200"/>
        <w:jc w:val="left"/>
        <w:rPr>
          <w:rFonts w:ascii="宋体" w:hAnsi="宋体" w:cs="宋体"/>
          <w:color w:val="000000"/>
          <w:kern w:val="0"/>
          <w:szCs w:val="21"/>
          <w:highlight w:val="none"/>
        </w:rPr>
      </w:pPr>
      <w:bookmarkStart w:id="767" w:name="_Toc95223498"/>
      <w:bookmarkStart w:id="768" w:name="_Toc3866"/>
      <w:bookmarkStart w:id="769" w:name="_Toc1917"/>
      <w:r>
        <w:rPr>
          <w:rFonts w:hint="eastAsia" w:ascii="宋体" w:hAnsi="宋体" w:cs="宋体"/>
          <w:color w:val="000000"/>
          <w:kern w:val="0"/>
          <w:szCs w:val="21"/>
          <w:highlight w:val="none"/>
        </w:rPr>
        <w:t>第二条 甲方的义务</w:t>
      </w:r>
      <w:bookmarkEnd w:id="767"/>
      <w:bookmarkEnd w:id="768"/>
      <w:bookmarkEnd w:id="769"/>
    </w:p>
    <w:p w14:paraId="3DE6ED48">
      <w:pPr>
        <w:widowControl/>
        <w:spacing w:line="360" w:lineRule="auto"/>
        <w:ind w:firstLine="525" w:firstLineChars="250"/>
        <w:jc w:val="left"/>
        <w:rPr>
          <w:rFonts w:ascii="宋体" w:hAnsi="宋体" w:cs="宋体"/>
          <w:color w:val="000000"/>
          <w:kern w:val="0"/>
          <w:szCs w:val="21"/>
          <w:highlight w:val="none"/>
        </w:rPr>
      </w:pPr>
      <w:r>
        <w:rPr>
          <w:rFonts w:hint="eastAsia" w:ascii="宋体" w:hAnsi="宋体" w:cs="宋体"/>
          <w:color w:val="000000"/>
          <w:kern w:val="0"/>
          <w:szCs w:val="21"/>
          <w:highlight w:val="none"/>
        </w:rPr>
        <w:t>(一)甲方及其工作人员不得索要或接受乙方的礼金、有价证券和贵重物品，不得在乙方报销任何应由甲方单位或个人支付的费用等。</w:t>
      </w:r>
    </w:p>
    <w:p w14:paraId="51964055">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二）甲方工作人员不得参加乙方安排的可能影响相关业务公开、公正、公平性的宴请和娱乐活动；不得参与任何形式的赌博，严禁通过赌博方式取得乙方及其工作人员的财物；不得接受乙方提供的通讯工具和高档办公用品等。</w:t>
      </w:r>
    </w:p>
    <w:p w14:paraId="22E63F12">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（三） 甲方及其工作人员不得要求或者接受乙方为其住房装修、婚丧嫁娶活动、配偶子女工作安排以及出国出境、旅游等提供方便等。</w:t>
      </w:r>
    </w:p>
    <w:p w14:paraId="67240CA0">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（四） 甲方工作人员不得在乙方有股权关联的企业兼职，不得向乙方介绍家属或者亲友从事与甲方业务有关的经济活动。</w:t>
      </w:r>
    </w:p>
    <w:p w14:paraId="599273EE">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（五）甲方工作人员不得以明显低于市场的价格向乙方购买房屋、汽车等物品；不得以明显高于市场的价格向乙方出售房屋、汽车等物品；不得以其他交易形式非法收受请托人财物。</w:t>
      </w:r>
    </w:p>
    <w:p w14:paraId="6C6C5ACA">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（六）甲方工作人员不得利用职务之便收受乙方以回扣、手续费、加班费、咨询费、劳务费、协调费、辛苦费等各种名义给予或赠送的钱物。</w:t>
      </w:r>
    </w:p>
    <w:p w14:paraId="12D876D6">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（七）甲方工作人员不得接受乙方给予或赠送的干股或红利。</w:t>
      </w:r>
    </w:p>
    <w:p w14:paraId="6FA01DC4">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（八）甲方任何人不得以个人的名义向乙方推荐设备、部件等供货商以及其他合作单位。</w:t>
      </w:r>
    </w:p>
    <w:p w14:paraId="4B0AA9AB">
      <w:pPr>
        <w:widowControl/>
        <w:spacing w:line="360" w:lineRule="auto"/>
        <w:ind w:firstLine="420" w:firstLineChars="200"/>
        <w:jc w:val="left"/>
        <w:rPr>
          <w:rFonts w:ascii="宋体" w:hAnsi="宋体" w:cs="宋体"/>
          <w:color w:val="000000"/>
          <w:kern w:val="0"/>
          <w:szCs w:val="21"/>
          <w:highlight w:val="none"/>
        </w:rPr>
      </w:pPr>
      <w:bookmarkStart w:id="770" w:name="_Toc10556"/>
      <w:bookmarkStart w:id="771" w:name="_Toc95223499"/>
      <w:bookmarkStart w:id="772" w:name="_Toc20831"/>
      <w:r>
        <w:rPr>
          <w:rFonts w:hint="eastAsia" w:ascii="宋体" w:hAnsi="宋体" w:cs="宋体"/>
          <w:color w:val="000000"/>
          <w:kern w:val="0"/>
          <w:szCs w:val="21"/>
          <w:highlight w:val="none"/>
        </w:rPr>
        <w:t>第三条 乙方的义务</w:t>
      </w:r>
      <w:bookmarkEnd w:id="770"/>
      <w:bookmarkEnd w:id="771"/>
      <w:bookmarkEnd w:id="772"/>
    </w:p>
    <w:p w14:paraId="02B8DC83">
      <w:pPr>
        <w:widowControl/>
        <w:spacing w:line="360" w:lineRule="auto"/>
        <w:ind w:firstLine="525" w:firstLineChars="250"/>
        <w:jc w:val="left"/>
        <w:rPr>
          <w:rFonts w:ascii="宋体" w:hAnsi="宋体" w:cs="宋体"/>
          <w:color w:val="000000"/>
          <w:kern w:val="0"/>
          <w:szCs w:val="21"/>
          <w:highlight w:val="none"/>
        </w:rPr>
      </w:pPr>
      <w:r>
        <w:rPr>
          <w:rFonts w:hint="eastAsia" w:ascii="宋体" w:hAnsi="宋体" w:cs="宋体"/>
          <w:color w:val="000000"/>
          <w:kern w:val="0"/>
          <w:szCs w:val="21"/>
          <w:highlight w:val="none"/>
        </w:rPr>
        <w:t>(一)乙方不得以任何理由向甲方及其工作人员行贿或馈赠礼金、有价证券、贵重礼品。</w:t>
      </w:r>
    </w:p>
    <w:p w14:paraId="6E5E18E7">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（二)乙方不得以任何名义为甲方及其工作人员报销应由甲方单位或个人支付的任何费用。</w:t>
      </w:r>
    </w:p>
    <w:p w14:paraId="0BE48741">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(三)乙方不得以任何理由安排甲方工作人员参加可能影响相关业务公开、公正、公平性的宴请及娱乐活动。</w:t>
      </w:r>
    </w:p>
    <w:p w14:paraId="34332705">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（四）乙方不得为甲方单位和个人购置或提供通讯工具和高档办公用品等物品，也不得为甲方提供与工作无关的房屋、汽车等。</w:t>
      </w:r>
    </w:p>
    <w:p w14:paraId="72F4843E">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（五）乙方不得与甲方工作人员就合同中的质量、数量、价格、工程量、验收等条款进行私下商谈或者达成默契。</w:t>
      </w:r>
    </w:p>
    <w:p w14:paraId="232F190E">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（六）乙方不得以回扣、手续费、加班费、咨询费、劳务费、协调费、辛苦费等各种名义向甲方工作人员给予或赠送钱物。</w:t>
      </w:r>
    </w:p>
    <w:p w14:paraId="05309EF3">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（七）乙方不得向甲方工作人员提供干股或红利。</w:t>
      </w:r>
    </w:p>
    <w:p w14:paraId="75BE53BA">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（八）乙方须按</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专项纪检监察工作组(如有)要求开展相关工作。</w:t>
      </w:r>
    </w:p>
    <w:p w14:paraId="674A1E56">
      <w:pPr>
        <w:widowControl/>
        <w:spacing w:line="360" w:lineRule="auto"/>
        <w:ind w:firstLine="420" w:firstLineChars="200"/>
        <w:jc w:val="left"/>
        <w:rPr>
          <w:rFonts w:ascii="宋体" w:hAnsi="宋体" w:cs="宋体"/>
          <w:color w:val="000000"/>
          <w:kern w:val="0"/>
          <w:szCs w:val="21"/>
          <w:highlight w:val="none"/>
        </w:rPr>
      </w:pPr>
      <w:bookmarkStart w:id="773" w:name="_Toc2198"/>
      <w:bookmarkStart w:id="774" w:name="_Toc95223500"/>
      <w:bookmarkStart w:id="775" w:name="_Toc14507"/>
      <w:r>
        <w:rPr>
          <w:rFonts w:hint="eastAsia" w:ascii="宋体" w:hAnsi="宋体" w:cs="宋体"/>
          <w:color w:val="000000"/>
          <w:kern w:val="0"/>
          <w:szCs w:val="21"/>
          <w:highlight w:val="none"/>
        </w:rPr>
        <w:t>第四条 违约责任</w:t>
      </w:r>
      <w:bookmarkEnd w:id="773"/>
      <w:bookmarkEnd w:id="774"/>
      <w:bookmarkEnd w:id="775"/>
    </w:p>
    <w:p w14:paraId="63DC55BE">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一）甲方及其工作人员违反本协议第一、二条规定。甲方按管理权限，对相关责任人依据有关规定给予党纪、政纪处分或组织处理；涉嫌犯罪的，移交司法机关追究刑事责任；给乙方单位造成经济损失的，应予以赔偿。</w:t>
      </w:r>
    </w:p>
    <w:p w14:paraId="09FBA03F">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甲方投诉联系部门：</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，联系电话：</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w:t>
      </w:r>
    </w:p>
    <w:p w14:paraId="4CB72305">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（二）乙方及其工作人员违反本协议第一、三条规定。根据具体情节和造成的后果，甲方有权对乙方采取以下一种或多种处理办法：</w:t>
      </w:r>
    </w:p>
    <w:p w14:paraId="691CA3BB">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1. 全额收取乙方合同履约保证金不予退还； </w:t>
      </w:r>
    </w:p>
    <w:p w14:paraId="0A1F9B84">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2. 追究乙方其他违约责任；</w:t>
      </w:r>
    </w:p>
    <w:p w14:paraId="58F1FFF1">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3. 终止或解除双方已签订的包括本合同在内的所有合同；</w:t>
      </w:r>
    </w:p>
    <w:p w14:paraId="26BEFDA0">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4. 乙方一定期限内（6个月至3年，具体由甲方根据情况而定）不得参与甲方作为发包人（业主）的工程项目投标。</w:t>
      </w:r>
    </w:p>
    <w:p w14:paraId="579D0BA6">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甲方作出的处理意见，乙方应无条件接受并承担给甲方造成的损失，全额返还通过不正当手段从甲方获取的非法所得，并承担相应的法律责任。</w:t>
      </w:r>
    </w:p>
    <w:p w14:paraId="227A1D5B">
      <w:pPr>
        <w:widowControl/>
        <w:spacing w:line="360" w:lineRule="auto"/>
        <w:ind w:firstLine="420" w:firstLineChars="200"/>
        <w:jc w:val="left"/>
        <w:rPr>
          <w:rFonts w:ascii="宋体" w:hAnsi="宋体" w:cs="宋体"/>
          <w:color w:val="000000"/>
          <w:kern w:val="0"/>
          <w:szCs w:val="21"/>
          <w:highlight w:val="none"/>
        </w:rPr>
      </w:pPr>
      <w:bookmarkStart w:id="776" w:name="_Toc10228"/>
      <w:bookmarkStart w:id="777" w:name="_Toc95223501"/>
      <w:bookmarkStart w:id="778" w:name="_Toc2334"/>
      <w:r>
        <w:rPr>
          <w:rFonts w:hint="eastAsia" w:ascii="宋体" w:hAnsi="宋体" w:cs="宋体"/>
          <w:color w:val="000000"/>
          <w:kern w:val="0"/>
          <w:szCs w:val="21"/>
          <w:highlight w:val="none"/>
        </w:rPr>
        <w:t>第五条 双方约定</w:t>
      </w:r>
      <w:bookmarkEnd w:id="776"/>
      <w:bookmarkEnd w:id="777"/>
      <w:bookmarkEnd w:id="778"/>
    </w:p>
    <w:p w14:paraId="26F6235F">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本协议由双方或双方上级单位负责监督。可由甲方或甲方上级单位的纪检监察部门约请乙方或乙方上级单位的纪检监察部门对本协议履行情况进行检查，提出在本协议规定范围内的裁定意见。</w:t>
      </w:r>
    </w:p>
    <w:p w14:paraId="03BA3616">
      <w:pPr>
        <w:widowControl/>
        <w:spacing w:line="360" w:lineRule="auto"/>
        <w:ind w:firstLine="420" w:firstLineChars="200"/>
        <w:jc w:val="left"/>
        <w:rPr>
          <w:rFonts w:ascii="宋体" w:hAnsi="宋体" w:cs="宋体"/>
          <w:color w:val="000000"/>
          <w:kern w:val="0"/>
          <w:szCs w:val="21"/>
          <w:highlight w:val="none"/>
        </w:rPr>
      </w:pPr>
      <w:bookmarkStart w:id="779" w:name="_Toc17717"/>
      <w:bookmarkStart w:id="780" w:name="_Toc32140"/>
      <w:bookmarkStart w:id="781" w:name="_Toc95223502"/>
      <w:r>
        <w:rPr>
          <w:rFonts w:hint="eastAsia" w:ascii="宋体" w:hAnsi="宋体" w:cs="宋体"/>
          <w:color w:val="000000"/>
          <w:kern w:val="0"/>
          <w:szCs w:val="21"/>
          <w:highlight w:val="none"/>
        </w:rPr>
        <w:t>第六条  本协议有效期为甲乙双方签署之日起至合同终止。</w:t>
      </w:r>
      <w:bookmarkEnd w:id="779"/>
      <w:bookmarkEnd w:id="780"/>
      <w:bookmarkEnd w:id="781"/>
      <w:r>
        <w:rPr>
          <w:rFonts w:hint="eastAsia" w:ascii="宋体" w:hAnsi="宋体" w:cs="宋体"/>
          <w:color w:val="000000"/>
          <w:kern w:val="0"/>
          <w:szCs w:val="21"/>
          <w:highlight w:val="none"/>
        </w:rPr>
        <w:t xml:space="preserve">  </w:t>
      </w:r>
    </w:p>
    <w:p w14:paraId="16A33660">
      <w:pPr>
        <w:widowControl/>
        <w:spacing w:line="360" w:lineRule="auto"/>
        <w:ind w:firstLine="420" w:firstLineChars="200"/>
        <w:jc w:val="left"/>
        <w:rPr>
          <w:rFonts w:ascii="宋体" w:hAnsi="宋体" w:cs="宋体"/>
          <w:color w:val="000000"/>
          <w:kern w:val="0"/>
          <w:szCs w:val="21"/>
          <w:highlight w:val="none"/>
        </w:rPr>
      </w:pPr>
      <w:bookmarkStart w:id="782" w:name="_Toc24032"/>
      <w:bookmarkStart w:id="783" w:name="_Toc95223503"/>
      <w:bookmarkStart w:id="784" w:name="_Toc1871"/>
      <w:r>
        <w:rPr>
          <w:rFonts w:hint="eastAsia" w:ascii="宋体" w:hAnsi="宋体" w:cs="宋体"/>
          <w:color w:val="000000"/>
          <w:kern w:val="0"/>
          <w:szCs w:val="21"/>
          <w:highlight w:val="none"/>
        </w:rPr>
        <w:t>第七条  本协议作为合同的附件，与本合同具有同等法律效力。</w:t>
      </w:r>
      <w:bookmarkEnd w:id="782"/>
      <w:bookmarkEnd w:id="783"/>
      <w:bookmarkEnd w:id="784"/>
    </w:p>
    <w:p w14:paraId="627089A5">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 </w:t>
      </w:r>
    </w:p>
    <w:p w14:paraId="2224CF79">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 xml:space="preserve">甲方（盖章）：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乙方（盖章）：</w:t>
      </w:r>
      <w:r>
        <w:rPr>
          <w:rFonts w:hint="eastAsia" w:ascii="宋体" w:hAnsi="宋体" w:cs="宋体"/>
          <w:color w:val="000000"/>
          <w:kern w:val="0"/>
          <w:szCs w:val="21"/>
          <w:highlight w:val="none"/>
          <w:u w:val="single"/>
        </w:rPr>
        <w:t xml:space="preserve">                      </w:t>
      </w:r>
    </w:p>
    <w:p w14:paraId="28EE408A">
      <w:pPr>
        <w:widowControl/>
        <w:spacing w:line="360" w:lineRule="auto"/>
        <w:ind w:firstLine="420" w:firstLineChars="200"/>
        <w:jc w:val="left"/>
        <w:rPr>
          <w:rFonts w:ascii="宋体" w:hAnsi="宋体" w:cs="宋体"/>
          <w:color w:val="000000"/>
          <w:kern w:val="0"/>
          <w:szCs w:val="21"/>
          <w:highlight w:val="none"/>
        </w:rPr>
      </w:pPr>
    </w:p>
    <w:p w14:paraId="6B7EBB92">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法定代表人或                                法定代表人或</w:t>
      </w:r>
    </w:p>
    <w:p w14:paraId="64DD0513">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授权代表：</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(职务)              授权代表：</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(职务)</w:t>
      </w:r>
    </w:p>
    <w:p w14:paraId="470D84FB">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姓名：</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姓名：</w:t>
      </w:r>
      <w:r>
        <w:rPr>
          <w:rFonts w:hint="eastAsia" w:ascii="宋体" w:hAnsi="宋体" w:cs="宋体"/>
          <w:color w:val="000000"/>
          <w:kern w:val="0"/>
          <w:szCs w:val="21"/>
          <w:highlight w:val="none"/>
          <w:u w:val="single"/>
        </w:rPr>
        <w:t xml:space="preserve">             </w:t>
      </w:r>
    </w:p>
    <w:p w14:paraId="776C71D6">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签字：</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签字：</w:t>
      </w:r>
      <w:r>
        <w:rPr>
          <w:rFonts w:hint="eastAsia" w:ascii="宋体" w:hAnsi="宋体" w:cs="宋体"/>
          <w:color w:val="000000"/>
          <w:kern w:val="0"/>
          <w:szCs w:val="21"/>
          <w:highlight w:val="none"/>
          <w:u w:val="single"/>
        </w:rPr>
        <w:t xml:space="preserve">             </w:t>
      </w:r>
    </w:p>
    <w:p w14:paraId="5B8C4AB7">
      <w:pPr>
        <w:widowControl/>
        <w:spacing w:line="360" w:lineRule="auto"/>
        <w:ind w:firstLine="420" w:firstLineChars="200"/>
        <w:jc w:val="left"/>
        <w:rPr>
          <w:rFonts w:ascii="宋体" w:hAnsi="宋体" w:cs="宋体"/>
          <w:color w:val="000000"/>
          <w:kern w:val="0"/>
          <w:szCs w:val="21"/>
          <w:highlight w:val="none"/>
        </w:rPr>
      </w:pPr>
    </w:p>
    <w:p w14:paraId="461D7855">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廉政监督联系人                              廉政监督联系人</w:t>
      </w:r>
    </w:p>
    <w:p w14:paraId="39925A58">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姓名：</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姓名：</w:t>
      </w:r>
      <w:r>
        <w:rPr>
          <w:rFonts w:hint="eastAsia" w:ascii="宋体" w:hAnsi="宋体" w:cs="宋体"/>
          <w:color w:val="000000"/>
          <w:kern w:val="0"/>
          <w:szCs w:val="21"/>
          <w:highlight w:val="none"/>
          <w:u w:val="single"/>
        </w:rPr>
        <w:t xml:space="preserve">                       </w:t>
      </w:r>
    </w:p>
    <w:p w14:paraId="4E726906">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签字：</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签字：</w:t>
      </w:r>
      <w:r>
        <w:rPr>
          <w:rFonts w:hint="eastAsia" w:ascii="宋体" w:hAnsi="宋体" w:cs="宋体"/>
          <w:color w:val="000000"/>
          <w:kern w:val="0"/>
          <w:szCs w:val="21"/>
          <w:highlight w:val="none"/>
          <w:u w:val="single"/>
        </w:rPr>
        <w:t xml:space="preserve">                       </w:t>
      </w:r>
    </w:p>
    <w:p w14:paraId="65B0324D">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电话：</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电话：</w:t>
      </w:r>
      <w:r>
        <w:rPr>
          <w:rFonts w:hint="eastAsia" w:ascii="宋体" w:hAnsi="宋体" w:cs="宋体"/>
          <w:color w:val="000000"/>
          <w:kern w:val="0"/>
          <w:szCs w:val="21"/>
          <w:highlight w:val="none"/>
          <w:u w:val="single"/>
        </w:rPr>
        <w:t xml:space="preserve">                       </w:t>
      </w:r>
    </w:p>
    <w:p w14:paraId="0C1672E1">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地址：</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地址：</w:t>
      </w:r>
      <w:r>
        <w:rPr>
          <w:rFonts w:hint="eastAsia" w:ascii="宋体" w:hAnsi="宋体" w:cs="宋体"/>
          <w:color w:val="000000"/>
          <w:kern w:val="0"/>
          <w:szCs w:val="21"/>
          <w:highlight w:val="none"/>
          <w:u w:val="single"/>
        </w:rPr>
        <w:t xml:space="preserve">                       </w:t>
      </w:r>
    </w:p>
    <w:p w14:paraId="098AA9D9">
      <w:pPr>
        <w:widowControl/>
        <w:spacing w:line="360" w:lineRule="auto"/>
        <w:ind w:firstLine="420" w:firstLineChars="200"/>
        <w:jc w:val="left"/>
        <w:rPr>
          <w:rFonts w:ascii="宋体" w:hAnsi="宋体" w:cs="宋体"/>
          <w:color w:val="000000"/>
          <w:kern w:val="0"/>
          <w:szCs w:val="21"/>
          <w:highlight w:val="none"/>
        </w:rPr>
      </w:pPr>
      <w:r>
        <w:rPr>
          <w:rFonts w:hint="eastAsia" w:ascii="宋体" w:hAnsi="宋体" w:cs="宋体"/>
          <w:color w:val="000000"/>
          <w:kern w:val="0"/>
          <w:szCs w:val="21"/>
          <w:highlight w:val="none"/>
        </w:rPr>
        <w:t>日期：</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日期：</w:t>
      </w:r>
      <w:r>
        <w:rPr>
          <w:rFonts w:hint="eastAsia" w:ascii="宋体" w:hAnsi="宋体" w:cs="宋体"/>
          <w:color w:val="000000"/>
          <w:kern w:val="0"/>
          <w:szCs w:val="21"/>
          <w:highlight w:val="none"/>
          <w:u w:val="single"/>
        </w:rPr>
        <w:t xml:space="preserve">                       </w:t>
      </w:r>
    </w:p>
    <w:p w14:paraId="74B869B1">
      <w:pPr>
        <w:keepNext/>
        <w:keepLines/>
        <w:spacing w:before="120" w:after="120" w:line="360" w:lineRule="auto"/>
        <w:jc w:val="left"/>
        <w:outlineLvl w:val="1"/>
        <w:rPr>
          <w:rFonts w:ascii="宋体" w:hAnsi="宋体" w:cs="宋体"/>
          <w:color w:val="000000"/>
          <w:szCs w:val="21"/>
          <w:highlight w:val="none"/>
        </w:rPr>
      </w:pPr>
      <w:r>
        <w:rPr>
          <w:rFonts w:hint="eastAsia" w:ascii="宋体" w:hAnsi="宋体" w:cs="宋体"/>
          <w:bCs/>
          <w:color w:val="000000"/>
          <w:kern w:val="0"/>
          <w:sz w:val="24"/>
          <w:szCs w:val="21"/>
          <w:highlight w:val="none"/>
        </w:rPr>
        <w:br w:type="page"/>
      </w:r>
      <w:bookmarkStart w:id="785" w:name="_Toc95223504"/>
      <w:r>
        <w:rPr>
          <w:rFonts w:hint="eastAsia" w:ascii="宋体" w:hAnsi="宋体" w:cs="宋体"/>
          <w:bCs/>
          <w:color w:val="000000"/>
          <w:sz w:val="24"/>
          <w:highlight w:val="none"/>
        </w:rPr>
        <w:t>附件8：履约保证金</w:t>
      </w:r>
      <w:bookmarkEnd w:id="785"/>
    </w:p>
    <w:p w14:paraId="6ADD6DAE">
      <w:pPr>
        <w:adjustRightInd w:val="0"/>
        <w:snapToGrid w:val="0"/>
        <w:spacing w:line="360" w:lineRule="auto"/>
        <w:jc w:val="center"/>
        <w:rPr>
          <w:rFonts w:ascii="宋体" w:hAnsi="宋体" w:cs="宋体"/>
          <w:b/>
          <w:bCs/>
          <w:color w:val="000000"/>
          <w:sz w:val="32"/>
          <w:szCs w:val="32"/>
          <w:highlight w:val="none"/>
        </w:rPr>
      </w:pPr>
      <w:bookmarkStart w:id="786" w:name="_Toc8655"/>
      <w:bookmarkStart w:id="787" w:name="_Toc95223505"/>
      <w:bookmarkStart w:id="788" w:name="_Toc25855"/>
      <w:r>
        <w:rPr>
          <w:rFonts w:hint="eastAsia" w:ascii="宋体" w:hAnsi="宋体" w:cs="宋体"/>
          <w:b/>
          <w:bCs/>
          <w:color w:val="000000"/>
          <w:sz w:val="32"/>
          <w:szCs w:val="32"/>
          <w:highlight w:val="none"/>
        </w:rPr>
        <w:t>履约保函示范文本</w:t>
      </w:r>
      <w:bookmarkEnd w:id="786"/>
      <w:bookmarkEnd w:id="787"/>
      <w:bookmarkEnd w:id="788"/>
    </w:p>
    <w:p w14:paraId="0F59B8DC">
      <w:pPr>
        <w:wordWrap w:val="0"/>
        <w:adjustRightInd w:val="0"/>
        <w:snapToGrid w:val="0"/>
        <w:spacing w:line="360" w:lineRule="auto"/>
        <w:jc w:val="right"/>
        <w:rPr>
          <w:rFonts w:ascii="宋体" w:hAnsi="宋体" w:cs="宋体"/>
          <w:color w:val="000000"/>
          <w:szCs w:val="21"/>
          <w:highlight w:val="none"/>
        </w:rPr>
      </w:pPr>
      <w:r>
        <w:rPr>
          <w:rFonts w:hint="eastAsia" w:ascii="宋体" w:hAnsi="宋体" w:cs="宋体"/>
          <w:color w:val="000000"/>
          <w:szCs w:val="21"/>
          <w:highlight w:val="none"/>
        </w:rPr>
        <w:t xml:space="preserve">编号：           </w:t>
      </w:r>
    </w:p>
    <w:p w14:paraId="66C85189">
      <w:pPr>
        <w:adjustRightInd w:val="0"/>
        <w:snapToGrid w:val="0"/>
        <w:spacing w:line="360" w:lineRule="auto"/>
        <w:rPr>
          <w:rFonts w:ascii="宋体" w:hAnsi="宋体" w:cs="宋体"/>
          <w:color w:val="000000"/>
          <w:szCs w:val="21"/>
          <w:highlight w:val="none"/>
        </w:rPr>
      </w:pPr>
    </w:p>
    <w:p w14:paraId="76EDFA83">
      <w:pPr>
        <w:adjustRightInd w:val="0"/>
        <w:snapToGrid w:val="0"/>
        <w:spacing w:line="360" w:lineRule="auto"/>
        <w:rPr>
          <w:rFonts w:ascii="宋体" w:hAnsi="宋体" w:cs="宋体"/>
          <w:color w:val="000000"/>
          <w:szCs w:val="21"/>
          <w:highlight w:val="none"/>
        </w:rPr>
      </w:pP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（受益人名称）： </w:t>
      </w:r>
    </w:p>
    <w:p w14:paraId="645705AD">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鉴于</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（以下简称“受益人”）与</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（以下简称“申请人”）于</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日就</w:t>
      </w:r>
      <w:r>
        <w:rPr>
          <w:rFonts w:hint="eastAsia" w:ascii="宋体" w:hAnsi="宋体" w:cs="宋体"/>
          <w:snapToGrid w:val="0"/>
          <w:color w:val="000000"/>
          <w:kern w:val="0"/>
          <w:szCs w:val="21"/>
          <w:highlight w:val="none"/>
          <w:u w:val="single"/>
        </w:rPr>
        <w:t xml:space="preserve">        </w:t>
      </w:r>
      <w:r>
        <w:rPr>
          <w:rFonts w:hint="eastAsia" w:ascii="宋体" w:hAnsi="宋体" w:cs="宋体"/>
          <w:snapToGrid w:val="0"/>
          <w:color w:val="000000"/>
          <w:kern w:val="0"/>
          <w:szCs w:val="21"/>
          <w:highlight w:val="none"/>
        </w:rPr>
        <w:t>（标段编号）的</w:t>
      </w:r>
      <w:r>
        <w:rPr>
          <w:rFonts w:hint="eastAsia" w:ascii="宋体" w:hAnsi="宋体" w:cs="宋体"/>
          <w:snapToGrid w:val="0"/>
          <w:color w:val="000000"/>
          <w:kern w:val="0"/>
          <w:szCs w:val="21"/>
          <w:highlight w:val="none"/>
          <w:u w:val="single"/>
        </w:rPr>
        <w:t xml:space="preserve">         </w:t>
      </w:r>
      <w:r>
        <w:rPr>
          <w:rFonts w:hint="eastAsia" w:ascii="宋体" w:hAnsi="宋体" w:cs="宋体"/>
          <w:snapToGrid w:val="0"/>
          <w:color w:val="000000"/>
          <w:kern w:val="0"/>
          <w:szCs w:val="21"/>
          <w:highlight w:val="none"/>
        </w:rPr>
        <w:t>（标段名称）</w:t>
      </w:r>
      <w:r>
        <w:rPr>
          <w:rFonts w:hint="eastAsia" w:ascii="宋体" w:hAnsi="宋体" w:cs="宋体"/>
          <w:color w:val="000000"/>
          <w:szCs w:val="21"/>
          <w:highlight w:val="none"/>
        </w:rPr>
        <w:t>有关事项协商一致共同签订</w:t>
      </w:r>
      <w:r>
        <w:rPr>
          <w:rFonts w:hint="eastAsia" w:ascii="宋体" w:hAnsi="宋体" w:cs="宋体"/>
          <w:color w:val="000000"/>
          <w:szCs w:val="21"/>
          <w:highlight w:val="none"/>
          <w:u w:val="single"/>
        </w:rPr>
        <w:t>《        》</w:t>
      </w:r>
      <w:r>
        <w:rPr>
          <w:rFonts w:hint="eastAsia" w:ascii="宋体" w:hAnsi="宋体" w:cs="宋体"/>
          <w:color w:val="000000"/>
          <w:szCs w:val="21"/>
          <w:highlight w:val="none"/>
        </w:rPr>
        <w:t xml:space="preserve">（以下简称“基础合同”），开立人根据基础合同了解到申请人为基础合同项下之承包人，受益人为基础合同项下之发包人，基于申请人的请求，开立人同意就申请人履行与受益人签订的基础合同项下的义务，向受益人提供不可撤销、不可转让的见索即付独立保函（以下简称“本保函”）。 </w:t>
      </w:r>
    </w:p>
    <w:p w14:paraId="27969849">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一、本保函担保范围：承包人未按照基础合同的约定履行义务，应当向受益人承担的违约责任和赔偿因此造成的损失、利息、律师费、诉讼费用等实现债权的费用。</w:t>
      </w:r>
    </w:p>
    <w:p w14:paraId="4E2748CD">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二、本保函担保金额最高不超过人民币（大写）</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元（¥</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w:t>
      </w:r>
    </w:p>
    <w:p w14:paraId="478CD19C">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三、本保函有效期自开立之日起至基础合同约定的缺陷责任期满之日止。 </w:t>
      </w:r>
    </w:p>
    <w:p w14:paraId="46955CF4">
      <w:pPr>
        <w:adjustRightInd w:val="0"/>
        <w:snapToGrid w:val="0"/>
        <w:spacing w:line="360" w:lineRule="auto"/>
        <w:ind w:firstLine="480"/>
        <w:rPr>
          <w:rFonts w:ascii="宋体" w:hAnsi="宋体" w:cs="宋体"/>
          <w:color w:val="000000"/>
          <w:szCs w:val="21"/>
          <w:highlight w:val="none"/>
        </w:rPr>
      </w:pPr>
      <w:bookmarkStart w:id="789" w:name="_Hlk40302764"/>
      <w:r>
        <w:rPr>
          <w:rFonts w:hint="eastAsia" w:ascii="宋体" w:hAnsi="宋体" w:cs="宋体"/>
          <w:color w:val="000000"/>
          <w:szCs w:val="21"/>
          <w:highlight w:val="none"/>
        </w:rPr>
        <w:t>四、开立人承诺，在收到受益人发来的书面付款通知后的七日内无条件支付，前述书面付款通知即为付款要求之单据，且应满足以下要求：</w:t>
      </w:r>
    </w:p>
    <w:bookmarkEnd w:id="789"/>
    <w:p w14:paraId="1BF60581">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（1）付款通知到达的日期在本保函的有效期内；</w:t>
      </w:r>
    </w:p>
    <w:p w14:paraId="5650DD5E">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（2）载明要求支付的金额；</w:t>
      </w:r>
    </w:p>
    <w:p w14:paraId="24F80CC0">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（3）载明申请人违反合同义务的条款和内容；</w:t>
      </w:r>
    </w:p>
    <w:p w14:paraId="2CE70C4E">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（4）声明不存在合同文件约定或我国法律规定免除申请人或开立人支付责任的情形；</w:t>
      </w:r>
    </w:p>
    <w:p w14:paraId="09E0451F">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（5）付款通知应在本保函有效期内到达的地址是：</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w:t>
      </w:r>
    </w:p>
    <w:p w14:paraId="60F06D3B">
      <w:pPr>
        <w:adjustRightInd w:val="0"/>
        <w:snapToGrid w:val="0"/>
        <w:spacing w:line="360" w:lineRule="auto"/>
        <w:rPr>
          <w:rFonts w:ascii="宋体" w:hAnsi="宋体" w:cs="宋体"/>
          <w:color w:val="000000"/>
          <w:szCs w:val="21"/>
          <w:highlight w:val="none"/>
        </w:rPr>
      </w:pPr>
      <w:r>
        <w:rPr>
          <w:rFonts w:hint="eastAsia" w:ascii="宋体" w:hAnsi="宋体" w:cs="宋体"/>
          <w:color w:val="000000"/>
          <w:szCs w:val="21"/>
          <w:highlight w:val="none"/>
        </w:rPr>
        <w:t xml:space="preserve">    </w:t>
      </w:r>
      <w:bookmarkStart w:id="790" w:name="_Hlk40303486"/>
      <w:r>
        <w:rPr>
          <w:rFonts w:hint="eastAsia" w:ascii="宋体" w:hAnsi="宋体" w:cs="宋体"/>
          <w:color w:val="000000"/>
          <w:szCs w:val="21"/>
          <w:highlight w:val="none"/>
        </w:rPr>
        <w:t>受益人发出的书面付款通知应由其法定代表人（负责人）或授权代理人签字并加盖公章。</w:t>
      </w:r>
      <w:bookmarkEnd w:id="790"/>
    </w:p>
    <w:p w14:paraId="1CD4F59C">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五、本保函项下的权利不得转让，不得设定担保。受益人未经我方书面同意转 让本保函或其项下任何权利，对我方不发生法律效力。 </w:t>
      </w:r>
    </w:p>
    <w:p w14:paraId="75FC4635">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六、与本保函有关的基础合同不成立、不生效、无效、被撤销、被解除，不影响本保函的独立有效。 </w:t>
      </w:r>
    </w:p>
    <w:p w14:paraId="1D13D431">
      <w:pPr>
        <w:adjustRightInd w:val="0"/>
        <w:snapToGrid w:val="0"/>
        <w:spacing w:line="360" w:lineRule="auto"/>
        <w:ind w:firstLine="420" w:firstLineChars="200"/>
        <w:rPr>
          <w:rFonts w:ascii="宋体" w:hAnsi="宋体" w:cs="宋体"/>
          <w:color w:val="000000"/>
          <w:szCs w:val="21"/>
          <w:highlight w:val="none"/>
        </w:rPr>
      </w:pPr>
      <w:bookmarkStart w:id="791" w:name="_Hlk40303383"/>
      <w:bookmarkStart w:id="792" w:name="_Hlk40354981"/>
      <w:r>
        <w:rPr>
          <w:rFonts w:hint="eastAsia" w:ascii="宋体" w:hAnsi="宋体" w:cs="宋体"/>
          <w:color w:val="000000"/>
          <w:szCs w:val="21"/>
          <w:highlight w:val="none"/>
        </w:rPr>
        <w:t xml:space="preserve">七、本保函项下的义务和责任均在保函有效期到期后自动消灭。 </w:t>
      </w:r>
    </w:p>
    <w:p w14:paraId="128669DB">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八、本保函适用的法律为中华人民共和国法律，因本保函产生的纠纷案件，</w:t>
      </w:r>
      <w:bookmarkEnd w:id="791"/>
      <w:r>
        <w:rPr>
          <w:rFonts w:hint="eastAsia" w:ascii="宋体" w:hAnsi="宋体" w:cs="宋体"/>
          <w:color w:val="000000"/>
          <w:szCs w:val="21"/>
          <w:highlight w:val="none"/>
        </w:rPr>
        <w:t xml:space="preserve">由受益人所在地人民法院管辖。 </w:t>
      </w:r>
    </w:p>
    <w:bookmarkEnd w:id="792"/>
    <w:p w14:paraId="6BD2041E">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九、本保函自我方法定代表人或授权代表签字并加盖公章之日起生效。 </w:t>
      </w:r>
    </w:p>
    <w:p w14:paraId="2A8360FC">
      <w:pPr>
        <w:adjustRightInd w:val="0"/>
        <w:snapToGrid w:val="0"/>
        <w:spacing w:line="360" w:lineRule="auto"/>
        <w:ind w:firstLine="420" w:firstLineChars="200"/>
        <w:rPr>
          <w:rFonts w:ascii="宋体" w:hAnsi="宋体" w:cs="宋体"/>
          <w:color w:val="000000"/>
          <w:szCs w:val="21"/>
          <w:highlight w:val="none"/>
        </w:rPr>
      </w:pPr>
    </w:p>
    <w:p w14:paraId="08C0A4B0">
      <w:pPr>
        <w:adjustRightInd w:val="0"/>
        <w:snapToGrid w:val="0"/>
        <w:spacing w:line="360" w:lineRule="auto"/>
        <w:ind w:firstLine="420" w:firstLineChars="200"/>
        <w:rPr>
          <w:rFonts w:ascii="宋体" w:hAnsi="宋体" w:cs="宋体"/>
          <w:color w:val="000000"/>
          <w:szCs w:val="21"/>
          <w:highlight w:val="none"/>
        </w:rPr>
      </w:pPr>
    </w:p>
    <w:p w14:paraId="7CA91B0A">
      <w:pPr>
        <w:adjustRightInd w:val="0"/>
        <w:snapToGrid w:val="0"/>
        <w:spacing w:line="360" w:lineRule="auto"/>
        <w:ind w:firstLine="420" w:firstLineChars="200"/>
        <w:rPr>
          <w:rFonts w:ascii="宋体" w:hAnsi="宋体" w:cs="宋体"/>
          <w:color w:val="000000"/>
          <w:szCs w:val="21"/>
          <w:highlight w:val="none"/>
        </w:rPr>
      </w:pPr>
    </w:p>
    <w:p w14:paraId="60B27D56">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开 立 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（公章） </w:t>
      </w:r>
    </w:p>
    <w:p w14:paraId="0A87B952">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法定代表人（或授权代表）：</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（签字） </w:t>
      </w:r>
    </w:p>
    <w:p w14:paraId="1FF244A2">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地    址：</w:t>
      </w:r>
      <w:r>
        <w:rPr>
          <w:rFonts w:hint="eastAsia" w:ascii="宋体" w:hAnsi="宋体" w:cs="宋体"/>
          <w:color w:val="000000"/>
          <w:szCs w:val="21"/>
          <w:highlight w:val="none"/>
          <w:u w:val="single"/>
        </w:rPr>
        <w:t xml:space="preserve">                                       </w:t>
      </w:r>
    </w:p>
    <w:p w14:paraId="6A931878">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邮政编码：</w:t>
      </w:r>
      <w:r>
        <w:rPr>
          <w:rFonts w:hint="eastAsia" w:ascii="宋体" w:hAnsi="宋体" w:cs="宋体"/>
          <w:color w:val="000000"/>
          <w:szCs w:val="21"/>
          <w:highlight w:val="none"/>
          <w:u w:val="single"/>
        </w:rPr>
        <w:t xml:space="preserve">                 </w:t>
      </w:r>
    </w:p>
    <w:p w14:paraId="4203F8F6">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电    话：</w:t>
      </w:r>
      <w:r>
        <w:rPr>
          <w:rFonts w:hint="eastAsia" w:ascii="宋体" w:hAnsi="宋体" w:cs="宋体"/>
          <w:color w:val="000000"/>
          <w:szCs w:val="21"/>
          <w:highlight w:val="none"/>
          <w:u w:val="single"/>
        </w:rPr>
        <w:t xml:space="preserve">                 </w:t>
      </w:r>
    </w:p>
    <w:p w14:paraId="670A51A0">
      <w:pPr>
        <w:adjustRightInd w:val="0"/>
        <w:snapToGrid w:val="0"/>
        <w:spacing w:line="360" w:lineRule="auto"/>
        <w:ind w:firstLine="420" w:firstLineChars="200"/>
        <w:rPr>
          <w:rFonts w:ascii="宋体" w:hAnsi="宋体" w:cs="宋体"/>
          <w:color w:val="000000"/>
          <w:szCs w:val="21"/>
          <w:highlight w:val="none"/>
          <w:u w:val="single"/>
        </w:rPr>
      </w:pPr>
      <w:r>
        <w:rPr>
          <w:rFonts w:hint="eastAsia" w:ascii="宋体" w:hAnsi="宋体" w:cs="宋体"/>
          <w:color w:val="000000"/>
          <w:szCs w:val="21"/>
          <w:highlight w:val="none"/>
        </w:rPr>
        <w:t>传    真：</w:t>
      </w:r>
      <w:r>
        <w:rPr>
          <w:rFonts w:hint="eastAsia" w:ascii="宋体" w:hAnsi="宋体" w:cs="宋体"/>
          <w:color w:val="000000"/>
          <w:szCs w:val="21"/>
          <w:highlight w:val="none"/>
          <w:u w:val="single"/>
        </w:rPr>
        <w:t xml:space="preserve">                 </w:t>
      </w:r>
    </w:p>
    <w:p w14:paraId="0D31D588">
      <w:pPr>
        <w:adjustRightInd w:val="0"/>
        <w:snapToGrid w:val="0"/>
        <w:spacing w:line="360" w:lineRule="auto"/>
        <w:ind w:left="1323" w:leftChars="200" w:hanging="903" w:hangingChars="430"/>
        <w:rPr>
          <w:rFonts w:ascii="宋体" w:hAnsi="宋体" w:cs="宋体"/>
          <w:color w:val="000000"/>
          <w:szCs w:val="21"/>
          <w:highlight w:val="none"/>
        </w:rPr>
      </w:pPr>
      <w:r>
        <w:rPr>
          <w:rFonts w:hint="eastAsia" w:ascii="宋体" w:hAnsi="宋体" w:cs="宋体"/>
          <w:color w:val="000000"/>
          <w:szCs w:val="21"/>
          <w:highlight w:val="none"/>
        </w:rPr>
        <w:t>开立时间：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14:paraId="5F04E0C6">
      <w:pPr>
        <w:spacing w:line="360" w:lineRule="auto"/>
        <w:ind w:left="1329" w:hanging="1329" w:hangingChars="633"/>
        <w:rPr>
          <w:rFonts w:ascii="宋体" w:hAnsi="宋体" w:cs="宋体"/>
          <w:color w:val="000000"/>
          <w:szCs w:val="21"/>
          <w:highlight w:val="none"/>
        </w:rPr>
      </w:pPr>
    </w:p>
    <w:p w14:paraId="7E7BD572">
      <w:pPr>
        <w:spacing w:line="360" w:lineRule="auto"/>
        <w:ind w:left="1329" w:hanging="1329" w:hangingChars="633"/>
        <w:rPr>
          <w:rFonts w:ascii="宋体" w:hAnsi="宋体" w:cs="宋体"/>
          <w:color w:val="000000"/>
          <w:szCs w:val="21"/>
          <w:highlight w:val="none"/>
        </w:rPr>
      </w:pPr>
    </w:p>
    <w:p w14:paraId="1E588E7F">
      <w:pPr>
        <w:keepNext/>
        <w:keepLines/>
        <w:spacing w:before="120" w:after="120" w:line="360" w:lineRule="auto"/>
        <w:jc w:val="left"/>
        <w:outlineLvl w:val="2"/>
        <w:rPr>
          <w:rFonts w:ascii="宋体" w:hAnsi="宋体" w:cs="宋体"/>
          <w:bCs/>
          <w:color w:val="000000"/>
          <w:sz w:val="24"/>
          <w:highlight w:val="none"/>
        </w:rPr>
      </w:pPr>
      <w:r>
        <w:rPr>
          <w:rFonts w:hint="eastAsia" w:ascii="宋体" w:hAnsi="宋体" w:cs="宋体"/>
          <w:bCs/>
          <w:color w:val="000000"/>
          <w:sz w:val="24"/>
          <w:highlight w:val="none"/>
        </w:rPr>
        <w:br w:type="page"/>
      </w:r>
      <w:bookmarkStart w:id="793" w:name="_Toc95223506"/>
      <w:bookmarkStart w:id="794" w:name="_Toc13566"/>
      <w:bookmarkStart w:id="795" w:name="_Toc9234"/>
    </w:p>
    <w:bookmarkEnd w:id="793"/>
    <w:bookmarkEnd w:id="794"/>
    <w:bookmarkEnd w:id="795"/>
    <w:p w14:paraId="4A4520BE">
      <w:pPr>
        <w:keepNext/>
        <w:keepLines/>
        <w:spacing w:before="120" w:after="120" w:line="360" w:lineRule="auto"/>
        <w:jc w:val="left"/>
        <w:outlineLvl w:val="1"/>
        <w:rPr>
          <w:rFonts w:ascii="宋体" w:hAnsi="宋体" w:cs="宋体"/>
          <w:bCs/>
          <w:color w:val="000000"/>
          <w:sz w:val="24"/>
          <w:highlight w:val="none"/>
        </w:rPr>
      </w:pPr>
      <w:bookmarkStart w:id="796" w:name="_Toc95223508"/>
      <w:r>
        <w:rPr>
          <w:rFonts w:hint="eastAsia" w:ascii="宋体" w:hAnsi="宋体" w:cs="宋体"/>
          <w:bCs/>
          <w:color w:val="000000"/>
          <w:sz w:val="24"/>
          <w:highlight w:val="none"/>
        </w:rPr>
        <w:t>附</w:t>
      </w:r>
      <w:bookmarkStart w:id="797" w:name="_Toc296944572"/>
      <w:bookmarkStart w:id="798" w:name="_Toc296347232"/>
      <w:bookmarkStart w:id="799" w:name="_Toc296891273"/>
      <w:bookmarkStart w:id="800" w:name="_Toc296891061"/>
      <w:bookmarkStart w:id="801" w:name="_Toc296503233"/>
      <w:bookmarkStart w:id="802" w:name="_Toc296346734"/>
      <w:r>
        <w:rPr>
          <w:rFonts w:hint="eastAsia" w:ascii="宋体" w:hAnsi="宋体" w:cs="宋体"/>
          <w:bCs/>
          <w:color w:val="000000"/>
          <w:sz w:val="24"/>
          <w:highlight w:val="none"/>
        </w:rPr>
        <w:t>件9：支付担保</w:t>
      </w:r>
      <w:bookmarkEnd w:id="796"/>
      <w:bookmarkEnd w:id="797"/>
      <w:bookmarkEnd w:id="798"/>
      <w:bookmarkEnd w:id="799"/>
      <w:bookmarkEnd w:id="800"/>
      <w:bookmarkEnd w:id="801"/>
      <w:bookmarkEnd w:id="802"/>
    </w:p>
    <w:p w14:paraId="343B577E">
      <w:pPr>
        <w:adjustRightInd w:val="0"/>
        <w:snapToGrid w:val="0"/>
        <w:spacing w:line="360" w:lineRule="auto"/>
        <w:jc w:val="center"/>
        <w:rPr>
          <w:rFonts w:ascii="宋体" w:hAnsi="宋体" w:cs="宋体"/>
          <w:b/>
          <w:bCs/>
          <w:color w:val="000000"/>
          <w:sz w:val="32"/>
          <w:szCs w:val="32"/>
          <w:highlight w:val="none"/>
        </w:rPr>
      </w:pPr>
      <w:bookmarkStart w:id="803" w:name="_Toc3562"/>
      <w:bookmarkStart w:id="804" w:name="_Toc8319"/>
      <w:bookmarkStart w:id="805" w:name="_Toc95223509"/>
      <w:r>
        <w:rPr>
          <w:rFonts w:hint="eastAsia" w:ascii="宋体" w:hAnsi="宋体" w:cs="宋体"/>
          <w:b/>
          <w:bCs/>
          <w:color w:val="000000"/>
          <w:sz w:val="32"/>
          <w:szCs w:val="32"/>
          <w:highlight w:val="none"/>
        </w:rPr>
        <w:t>支付保函示范文本</w:t>
      </w:r>
      <w:bookmarkEnd w:id="803"/>
      <w:bookmarkEnd w:id="804"/>
      <w:bookmarkEnd w:id="805"/>
    </w:p>
    <w:p w14:paraId="366A25CF">
      <w:pPr>
        <w:wordWrap w:val="0"/>
        <w:adjustRightInd w:val="0"/>
        <w:snapToGrid w:val="0"/>
        <w:spacing w:line="360" w:lineRule="auto"/>
        <w:jc w:val="right"/>
        <w:rPr>
          <w:rFonts w:ascii="宋体" w:hAnsi="宋体" w:cs="宋体"/>
          <w:color w:val="000000"/>
          <w:szCs w:val="21"/>
          <w:highlight w:val="none"/>
        </w:rPr>
      </w:pPr>
      <w:r>
        <w:rPr>
          <w:rFonts w:hint="eastAsia" w:ascii="宋体" w:hAnsi="宋体" w:cs="宋体"/>
          <w:color w:val="000000"/>
          <w:szCs w:val="21"/>
          <w:highlight w:val="none"/>
        </w:rPr>
        <w:t xml:space="preserve">编号：           </w:t>
      </w:r>
    </w:p>
    <w:p w14:paraId="514A0CF5">
      <w:pPr>
        <w:adjustRightInd w:val="0"/>
        <w:snapToGrid w:val="0"/>
        <w:spacing w:line="360" w:lineRule="auto"/>
        <w:rPr>
          <w:rFonts w:ascii="宋体" w:hAnsi="宋体" w:cs="宋体"/>
          <w:color w:val="000000"/>
          <w:szCs w:val="21"/>
          <w:highlight w:val="none"/>
        </w:rPr>
      </w:pPr>
    </w:p>
    <w:p w14:paraId="19C6B053">
      <w:pPr>
        <w:adjustRightInd w:val="0"/>
        <w:snapToGrid w:val="0"/>
        <w:spacing w:line="360" w:lineRule="auto"/>
        <w:rPr>
          <w:rFonts w:ascii="宋体" w:hAnsi="宋体" w:cs="宋体"/>
          <w:color w:val="000000"/>
          <w:szCs w:val="21"/>
          <w:highlight w:val="none"/>
        </w:rPr>
      </w:pPr>
      <w:bookmarkStart w:id="806" w:name="_Hlk40355074"/>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（受益人名称）： </w:t>
      </w:r>
    </w:p>
    <w:bookmarkEnd w:id="806"/>
    <w:p w14:paraId="4E33883C">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鉴于</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（以下简称“受益人”）与</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（以下简称“申请人”）于</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日就</w:t>
      </w:r>
      <w:r>
        <w:rPr>
          <w:rFonts w:hint="eastAsia" w:ascii="宋体" w:hAnsi="宋体" w:cs="宋体"/>
          <w:snapToGrid w:val="0"/>
          <w:color w:val="000000"/>
          <w:kern w:val="0"/>
          <w:szCs w:val="21"/>
          <w:highlight w:val="none"/>
          <w:u w:val="single"/>
        </w:rPr>
        <w:t xml:space="preserve">        </w:t>
      </w:r>
      <w:r>
        <w:rPr>
          <w:rFonts w:hint="eastAsia" w:ascii="宋体" w:hAnsi="宋体" w:cs="宋体"/>
          <w:snapToGrid w:val="0"/>
          <w:color w:val="000000"/>
          <w:kern w:val="0"/>
          <w:szCs w:val="21"/>
          <w:highlight w:val="none"/>
        </w:rPr>
        <w:t>（标段编号）的</w:t>
      </w:r>
      <w:r>
        <w:rPr>
          <w:rFonts w:hint="eastAsia" w:ascii="宋体" w:hAnsi="宋体" w:cs="宋体"/>
          <w:snapToGrid w:val="0"/>
          <w:color w:val="000000"/>
          <w:kern w:val="0"/>
          <w:szCs w:val="21"/>
          <w:highlight w:val="none"/>
          <w:u w:val="single"/>
        </w:rPr>
        <w:t xml:space="preserve">         </w:t>
      </w:r>
      <w:r>
        <w:rPr>
          <w:rFonts w:hint="eastAsia" w:ascii="宋体" w:hAnsi="宋体" w:cs="宋体"/>
          <w:snapToGrid w:val="0"/>
          <w:color w:val="000000"/>
          <w:kern w:val="0"/>
          <w:szCs w:val="21"/>
          <w:highlight w:val="none"/>
        </w:rPr>
        <w:t>（标段名称）</w:t>
      </w:r>
      <w:r>
        <w:rPr>
          <w:rFonts w:hint="eastAsia" w:ascii="宋体" w:hAnsi="宋体" w:cs="宋体"/>
          <w:color w:val="000000"/>
          <w:szCs w:val="21"/>
          <w:highlight w:val="none"/>
        </w:rPr>
        <w:t>有关事项协商一致共同签订</w:t>
      </w:r>
      <w:r>
        <w:rPr>
          <w:rFonts w:hint="eastAsia" w:ascii="宋体" w:hAnsi="宋体" w:cs="宋体"/>
          <w:color w:val="000000"/>
          <w:szCs w:val="21"/>
          <w:highlight w:val="none"/>
          <w:u w:val="single"/>
        </w:rPr>
        <w:t>《        》</w:t>
      </w:r>
      <w:r>
        <w:rPr>
          <w:rFonts w:hint="eastAsia" w:ascii="宋体" w:hAnsi="宋体" w:cs="宋体"/>
          <w:color w:val="000000"/>
          <w:szCs w:val="21"/>
          <w:highlight w:val="none"/>
        </w:rPr>
        <w:t xml:space="preserve">（以下简称基础合同”），开立人根据基础合同了解到申请人为基础合同项下之发包人，受益人为基础合同项下之承包人，基于申请人的请求，开立人同意就申请人履行与受益人签订的基础合同项下的工程款（指基础合同约定的除工程质量保修金以外的工程款）付款义务，向受益人提供不可撤销、不可转让的见索即付独立保函（以下简称“本保函”）。 </w:t>
      </w:r>
    </w:p>
    <w:p w14:paraId="4E027045">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一、本保函担保范围：申请人未履行基础合同约定的工程款支付义务，应当向受益人承担的违约责任和赔偿因此造成的损失、利息、律师费、诉讼费用等实现债权的费用。</w:t>
      </w:r>
    </w:p>
    <w:p w14:paraId="1DB5DB60">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二、本保函担保金额最高不超过人民币（大写）</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元（¥</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w:t>
      </w:r>
    </w:p>
    <w:p w14:paraId="07831EF6">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三、本保函有效期自开立之日起至基础合同约定的除工程质量保修金以外的全部工程结算款项支付之日后</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日止。 </w:t>
      </w:r>
    </w:p>
    <w:p w14:paraId="03C1F488">
      <w:pPr>
        <w:adjustRightInd w:val="0"/>
        <w:snapToGrid w:val="0"/>
        <w:spacing w:line="360" w:lineRule="auto"/>
        <w:ind w:firstLine="480"/>
        <w:rPr>
          <w:rFonts w:ascii="宋体" w:hAnsi="宋体" w:cs="宋体"/>
          <w:color w:val="000000"/>
          <w:szCs w:val="21"/>
          <w:highlight w:val="none"/>
        </w:rPr>
      </w:pPr>
      <w:r>
        <w:rPr>
          <w:rFonts w:hint="eastAsia" w:ascii="宋体" w:hAnsi="宋体" w:cs="宋体"/>
          <w:color w:val="000000"/>
          <w:szCs w:val="21"/>
          <w:highlight w:val="none"/>
        </w:rPr>
        <w:t>四、开立人承诺，在收到受益人发来的书面付款通知后的七日内无条件支付，前述书面付款通知即为付款要求之单据，且应满足以下要求：</w:t>
      </w:r>
    </w:p>
    <w:p w14:paraId="2A489140">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（1）付款通知到达的日期在本保函的有效期内；</w:t>
      </w:r>
    </w:p>
    <w:p w14:paraId="497AC405">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（2）载明要求支付的金额；</w:t>
      </w:r>
    </w:p>
    <w:p w14:paraId="1B3CF209">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（3）载明申请人违反合同义务的条款和内容；</w:t>
      </w:r>
    </w:p>
    <w:p w14:paraId="512FD161">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（4）声明不存在合同文件约定或我国法律规定免除申请人或开立人支付责任的情形；</w:t>
      </w:r>
    </w:p>
    <w:p w14:paraId="7AC58673">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（5）付款通知应在本保函有效期内到达的地址是：</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w:t>
      </w:r>
    </w:p>
    <w:p w14:paraId="3C5ECCC2">
      <w:pPr>
        <w:adjustRightInd w:val="0"/>
        <w:snapToGrid w:val="0"/>
        <w:spacing w:line="360" w:lineRule="auto"/>
        <w:rPr>
          <w:rFonts w:ascii="宋体" w:hAnsi="宋体" w:cs="宋体"/>
          <w:color w:val="000000"/>
          <w:szCs w:val="21"/>
          <w:highlight w:val="none"/>
        </w:rPr>
      </w:pPr>
      <w:r>
        <w:rPr>
          <w:rFonts w:hint="eastAsia" w:ascii="宋体" w:hAnsi="宋体" w:cs="宋体"/>
          <w:color w:val="000000"/>
          <w:szCs w:val="21"/>
          <w:highlight w:val="none"/>
        </w:rPr>
        <w:t xml:space="preserve">    受益人发出的书面付款通知应由其法定代表人（负责人）或授权代理人签字并加盖公章。</w:t>
      </w:r>
    </w:p>
    <w:p w14:paraId="1B943348">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五、本保函项下的权利不得转让，不得设定担保。受益人未经开立人书面同意转让本保函或其项下任何权利，对开立人不发生法律效力。 </w:t>
      </w:r>
    </w:p>
    <w:p w14:paraId="75696889">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六、本保函项下的基础交易不成立、不生效、无效、被撤销、被解除，不影响本保函的独立有效。</w:t>
      </w:r>
    </w:p>
    <w:p w14:paraId="3F2A6FDD">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七、本保函项下的义务和责任均在保函有效期到期后自动消灭。 </w:t>
      </w:r>
    </w:p>
    <w:p w14:paraId="0D529EF1">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八、本保函适用的法律为中华人民共和国法律，因本保函产生的纠纷案件，由申请人所在地人民法院管辖。 </w:t>
      </w:r>
    </w:p>
    <w:p w14:paraId="1E557464">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九、本保函自我方法定代表人或授权代表签字并加盖公章之日起生效。 </w:t>
      </w:r>
    </w:p>
    <w:p w14:paraId="5E040FDD">
      <w:pPr>
        <w:adjustRightInd w:val="0"/>
        <w:snapToGrid w:val="0"/>
        <w:spacing w:line="360" w:lineRule="auto"/>
        <w:ind w:firstLine="420" w:firstLineChars="200"/>
        <w:rPr>
          <w:rFonts w:ascii="宋体" w:hAnsi="宋体" w:cs="宋体"/>
          <w:color w:val="000000"/>
          <w:szCs w:val="21"/>
          <w:highlight w:val="none"/>
        </w:rPr>
      </w:pPr>
    </w:p>
    <w:p w14:paraId="5F46B21A">
      <w:pPr>
        <w:adjustRightInd w:val="0"/>
        <w:snapToGrid w:val="0"/>
        <w:spacing w:line="360" w:lineRule="auto"/>
        <w:ind w:firstLine="420" w:firstLineChars="200"/>
        <w:rPr>
          <w:rFonts w:ascii="宋体" w:hAnsi="宋体" w:cs="宋体"/>
          <w:color w:val="000000"/>
          <w:szCs w:val="21"/>
          <w:highlight w:val="none"/>
        </w:rPr>
      </w:pPr>
    </w:p>
    <w:p w14:paraId="5244C85C">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开 立 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（公章） </w:t>
      </w:r>
    </w:p>
    <w:p w14:paraId="1C938ADD">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法定代表人（或授权代表）：</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（签字） </w:t>
      </w:r>
    </w:p>
    <w:p w14:paraId="55621B73">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地    址：</w:t>
      </w:r>
      <w:r>
        <w:rPr>
          <w:rFonts w:hint="eastAsia" w:ascii="宋体" w:hAnsi="宋体" w:cs="宋体"/>
          <w:color w:val="000000"/>
          <w:szCs w:val="21"/>
          <w:highlight w:val="none"/>
          <w:u w:val="single"/>
        </w:rPr>
        <w:t xml:space="preserve">                                       </w:t>
      </w:r>
    </w:p>
    <w:p w14:paraId="4BAB283A">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邮政编码：</w:t>
      </w:r>
      <w:r>
        <w:rPr>
          <w:rFonts w:hint="eastAsia" w:ascii="宋体" w:hAnsi="宋体" w:cs="宋体"/>
          <w:color w:val="000000"/>
          <w:szCs w:val="21"/>
          <w:highlight w:val="none"/>
          <w:u w:val="single"/>
        </w:rPr>
        <w:t xml:space="preserve">                 </w:t>
      </w:r>
    </w:p>
    <w:p w14:paraId="23BF1AE2">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电    话：</w:t>
      </w:r>
      <w:r>
        <w:rPr>
          <w:rFonts w:hint="eastAsia" w:ascii="宋体" w:hAnsi="宋体" w:cs="宋体"/>
          <w:color w:val="000000"/>
          <w:szCs w:val="21"/>
          <w:highlight w:val="none"/>
          <w:u w:val="single"/>
        </w:rPr>
        <w:t xml:space="preserve">                 </w:t>
      </w:r>
    </w:p>
    <w:p w14:paraId="09932CBE">
      <w:pPr>
        <w:adjustRightInd w:val="0"/>
        <w:snapToGrid w:val="0"/>
        <w:spacing w:line="360" w:lineRule="auto"/>
        <w:ind w:firstLine="420" w:firstLineChars="200"/>
        <w:rPr>
          <w:rFonts w:ascii="宋体" w:hAnsi="宋体" w:cs="宋体"/>
          <w:color w:val="000000"/>
          <w:szCs w:val="21"/>
          <w:highlight w:val="none"/>
          <w:u w:val="single"/>
        </w:rPr>
      </w:pPr>
      <w:r>
        <w:rPr>
          <w:rFonts w:hint="eastAsia" w:ascii="宋体" w:hAnsi="宋体" w:cs="宋体"/>
          <w:color w:val="000000"/>
          <w:szCs w:val="21"/>
          <w:highlight w:val="none"/>
        </w:rPr>
        <w:t>传    真：</w:t>
      </w:r>
      <w:r>
        <w:rPr>
          <w:rFonts w:hint="eastAsia" w:ascii="宋体" w:hAnsi="宋体" w:cs="宋体"/>
          <w:color w:val="000000"/>
          <w:szCs w:val="21"/>
          <w:highlight w:val="none"/>
          <w:u w:val="single"/>
        </w:rPr>
        <w:t xml:space="preserve">                 </w:t>
      </w:r>
    </w:p>
    <w:p w14:paraId="7D9258DF">
      <w:pPr>
        <w:adjustRightInd w:val="0"/>
        <w:snapToGrid w:val="0"/>
        <w:spacing w:line="360" w:lineRule="auto"/>
        <w:ind w:left="1323" w:leftChars="200" w:hanging="903" w:hangingChars="430"/>
        <w:rPr>
          <w:rFonts w:ascii="宋体" w:hAnsi="宋体" w:cs="宋体"/>
          <w:color w:val="000000"/>
          <w:szCs w:val="21"/>
          <w:highlight w:val="none"/>
        </w:rPr>
      </w:pPr>
      <w:r>
        <w:rPr>
          <w:rFonts w:hint="eastAsia" w:ascii="宋体" w:hAnsi="宋体" w:cs="宋体"/>
          <w:color w:val="000000"/>
          <w:szCs w:val="21"/>
          <w:highlight w:val="none"/>
        </w:rPr>
        <w:t>开立时间：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14:paraId="0518F4BD">
      <w:pPr>
        <w:adjustRightInd w:val="0"/>
        <w:snapToGrid w:val="0"/>
        <w:spacing w:line="360" w:lineRule="auto"/>
        <w:rPr>
          <w:rFonts w:ascii="宋体" w:hAnsi="宋体" w:cs="宋体"/>
          <w:color w:val="000000"/>
          <w:szCs w:val="21"/>
          <w:highlight w:val="none"/>
        </w:rPr>
      </w:pPr>
    </w:p>
    <w:p w14:paraId="3A95A1AA">
      <w:pPr>
        <w:adjustRightInd w:val="0"/>
        <w:snapToGrid w:val="0"/>
        <w:spacing w:line="360" w:lineRule="auto"/>
        <w:rPr>
          <w:rFonts w:ascii="宋体" w:hAnsi="宋体" w:cs="宋体"/>
          <w:color w:val="000000"/>
          <w:szCs w:val="21"/>
          <w:highlight w:val="none"/>
        </w:rPr>
      </w:pPr>
    </w:p>
    <w:p w14:paraId="229929F4">
      <w:pPr>
        <w:adjustRightInd w:val="0"/>
        <w:snapToGrid w:val="0"/>
        <w:spacing w:line="360" w:lineRule="auto"/>
        <w:rPr>
          <w:rFonts w:ascii="宋体" w:hAnsi="宋体" w:cs="宋体"/>
          <w:color w:val="000000"/>
          <w:szCs w:val="21"/>
          <w:highlight w:val="none"/>
        </w:rPr>
      </w:pPr>
    </w:p>
    <w:p w14:paraId="601B9F37">
      <w:pPr>
        <w:keepNext/>
        <w:keepLines/>
        <w:adjustRightInd w:val="0"/>
        <w:snapToGrid w:val="0"/>
        <w:spacing w:line="360" w:lineRule="auto"/>
        <w:jc w:val="left"/>
        <w:outlineLvl w:val="1"/>
        <w:rPr>
          <w:rFonts w:ascii="宋体" w:hAnsi="宋体" w:cs="宋体"/>
          <w:bCs/>
          <w:color w:val="000000"/>
          <w:sz w:val="24"/>
          <w:highlight w:val="none"/>
        </w:rPr>
      </w:pPr>
      <w:r>
        <w:rPr>
          <w:rFonts w:hint="eastAsia" w:ascii="宋体" w:hAnsi="宋体" w:cs="宋体"/>
          <w:bCs/>
          <w:color w:val="000000"/>
          <w:sz w:val="24"/>
          <w:highlight w:val="none"/>
        </w:rPr>
        <w:br w:type="page"/>
      </w:r>
      <w:bookmarkStart w:id="807" w:name="_Toc95223510"/>
      <w:r>
        <w:rPr>
          <w:rFonts w:hint="eastAsia" w:ascii="宋体" w:hAnsi="宋体" w:cs="宋体"/>
          <w:bCs/>
          <w:color w:val="000000"/>
          <w:sz w:val="24"/>
          <w:highlight w:val="none"/>
        </w:rPr>
        <w:t>附件10：暂估价一览表</w:t>
      </w:r>
      <w:bookmarkEnd w:id="807"/>
    </w:p>
    <w:p w14:paraId="097A7444">
      <w:pPr>
        <w:spacing w:before="120" w:beforeLines="50" w:after="12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12-1：材料暂估价表</w:t>
      </w:r>
    </w:p>
    <w:tbl>
      <w:tblPr>
        <w:tblStyle w:val="1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42744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569FB11">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序号</w:t>
            </w:r>
          </w:p>
        </w:tc>
        <w:tc>
          <w:tcPr>
            <w:tcW w:w="1984" w:type="dxa"/>
            <w:tcBorders>
              <w:top w:val="single" w:color="auto" w:sz="12" w:space="0"/>
              <w:bottom w:val="double" w:color="auto" w:sz="6" w:space="0"/>
            </w:tcBorders>
            <w:noWrap w:val="0"/>
            <w:vAlign w:val="top"/>
          </w:tcPr>
          <w:p w14:paraId="69098602">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名称</w:t>
            </w:r>
          </w:p>
        </w:tc>
        <w:tc>
          <w:tcPr>
            <w:tcW w:w="851" w:type="dxa"/>
            <w:tcBorders>
              <w:top w:val="single" w:color="auto" w:sz="12" w:space="0"/>
              <w:bottom w:val="double" w:color="auto" w:sz="6" w:space="0"/>
            </w:tcBorders>
            <w:noWrap w:val="0"/>
            <w:vAlign w:val="top"/>
          </w:tcPr>
          <w:p w14:paraId="5B36CFAE">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单位</w:t>
            </w:r>
          </w:p>
        </w:tc>
        <w:tc>
          <w:tcPr>
            <w:tcW w:w="774" w:type="dxa"/>
            <w:tcBorders>
              <w:top w:val="single" w:color="auto" w:sz="12" w:space="0"/>
              <w:bottom w:val="double" w:color="auto" w:sz="6" w:space="0"/>
            </w:tcBorders>
            <w:noWrap w:val="0"/>
            <w:vAlign w:val="top"/>
          </w:tcPr>
          <w:p w14:paraId="06F17FA7">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数量</w:t>
            </w:r>
          </w:p>
        </w:tc>
        <w:tc>
          <w:tcPr>
            <w:tcW w:w="1352" w:type="dxa"/>
            <w:tcBorders>
              <w:top w:val="single" w:color="auto" w:sz="12" w:space="0"/>
              <w:bottom w:val="double" w:color="auto" w:sz="6" w:space="0"/>
            </w:tcBorders>
            <w:noWrap w:val="0"/>
            <w:vAlign w:val="top"/>
          </w:tcPr>
          <w:p w14:paraId="1E9C66A9">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单价（元）</w:t>
            </w:r>
          </w:p>
        </w:tc>
        <w:tc>
          <w:tcPr>
            <w:tcW w:w="1418" w:type="dxa"/>
            <w:tcBorders>
              <w:top w:val="single" w:color="auto" w:sz="12" w:space="0"/>
              <w:bottom w:val="double" w:color="auto" w:sz="6" w:space="0"/>
            </w:tcBorders>
            <w:noWrap w:val="0"/>
            <w:vAlign w:val="top"/>
          </w:tcPr>
          <w:p w14:paraId="038F2813">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合价（元）</w:t>
            </w:r>
          </w:p>
        </w:tc>
        <w:tc>
          <w:tcPr>
            <w:tcW w:w="1701" w:type="dxa"/>
            <w:tcBorders>
              <w:top w:val="single" w:color="auto" w:sz="12" w:space="0"/>
              <w:bottom w:val="double" w:color="auto" w:sz="6" w:space="0"/>
            </w:tcBorders>
            <w:noWrap w:val="0"/>
            <w:vAlign w:val="top"/>
          </w:tcPr>
          <w:p w14:paraId="4A221E7E">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备注</w:t>
            </w:r>
          </w:p>
        </w:tc>
      </w:tr>
      <w:tr w14:paraId="0A584C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noWrap w:val="0"/>
            <w:vAlign w:val="top"/>
          </w:tcPr>
          <w:p w14:paraId="30E468F3">
            <w:pPr>
              <w:keepNext/>
              <w:spacing w:line="440" w:lineRule="exact"/>
              <w:rPr>
                <w:rFonts w:ascii="宋体" w:hAnsi="宋体" w:cs="宋体"/>
                <w:color w:val="000000"/>
                <w:szCs w:val="21"/>
                <w:highlight w:val="none"/>
              </w:rPr>
            </w:pPr>
          </w:p>
        </w:tc>
        <w:tc>
          <w:tcPr>
            <w:tcW w:w="1984" w:type="dxa"/>
            <w:tcBorders>
              <w:top w:val="double" w:color="auto" w:sz="6" w:space="0"/>
            </w:tcBorders>
            <w:noWrap w:val="0"/>
            <w:vAlign w:val="top"/>
          </w:tcPr>
          <w:p w14:paraId="26D168EA">
            <w:pPr>
              <w:keepNext/>
              <w:spacing w:line="440" w:lineRule="exact"/>
              <w:rPr>
                <w:rFonts w:ascii="宋体" w:hAnsi="宋体" w:cs="宋体"/>
                <w:color w:val="000000"/>
                <w:szCs w:val="21"/>
                <w:highlight w:val="none"/>
              </w:rPr>
            </w:pPr>
          </w:p>
        </w:tc>
        <w:tc>
          <w:tcPr>
            <w:tcW w:w="851" w:type="dxa"/>
            <w:tcBorders>
              <w:top w:val="double" w:color="auto" w:sz="6" w:space="0"/>
            </w:tcBorders>
            <w:noWrap w:val="0"/>
            <w:vAlign w:val="top"/>
          </w:tcPr>
          <w:p w14:paraId="10730254">
            <w:pPr>
              <w:keepNext/>
              <w:spacing w:line="440" w:lineRule="exact"/>
              <w:rPr>
                <w:rFonts w:ascii="宋体" w:hAnsi="宋体" w:cs="宋体"/>
                <w:color w:val="000000"/>
                <w:szCs w:val="21"/>
                <w:highlight w:val="none"/>
              </w:rPr>
            </w:pPr>
          </w:p>
        </w:tc>
        <w:tc>
          <w:tcPr>
            <w:tcW w:w="774" w:type="dxa"/>
            <w:tcBorders>
              <w:top w:val="double" w:color="auto" w:sz="6" w:space="0"/>
            </w:tcBorders>
            <w:noWrap w:val="0"/>
            <w:vAlign w:val="top"/>
          </w:tcPr>
          <w:p w14:paraId="69CA938B">
            <w:pPr>
              <w:keepNext/>
              <w:spacing w:line="440" w:lineRule="exact"/>
              <w:rPr>
                <w:rFonts w:ascii="宋体" w:hAnsi="宋体" w:cs="宋体"/>
                <w:color w:val="000000"/>
                <w:szCs w:val="21"/>
                <w:highlight w:val="none"/>
              </w:rPr>
            </w:pPr>
          </w:p>
        </w:tc>
        <w:tc>
          <w:tcPr>
            <w:tcW w:w="1352" w:type="dxa"/>
            <w:tcBorders>
              <w:top w:val="double" w:color="auto" w:sz="6" w:space="0"/>
            </w:tcBorders>
            <w:noWrap w:val="0"/>
            <w:vAlign w:val="top"/>
          </w:tcPr>
          <w:p w14:paraId="07885464">
            <w:pPr>
              <w:keepNext/>
              <w:spacing w:line="440" w:lineRule="exact"/>
              <w:rPr>
                <w:rFonts w:ascii="宋体" w:hAnsi="宋体" w:cs="宋体"/>
                <w:color w:val="000000"/>
                <w:szCs w:val="21"/>
                <w:highlight w:val="none"/>
              </w:rPr>
            </w:pPr>
          </w:p>
        </w:tc>
        <w:tc>
          <w:tcPr>
            <w:tcW w:w="1418" w:type="dxa"/>
            <w:tcBorders>
              <w:top w:val="double" w:color="auto" w:sz="6" w:space="0"/>
            </w:tcBorders>
            <w:noWrap w:val="0"/>
            <w:vAlign w:val="top"/>
          </w:tcPr>
          <w:p w14:paraId="53F89A56">
            <w:pPr>
              <w:keepNext/>
              <w:spacing w:line="440" w:lineRule="exact"/>
              <w:rPr>
                <w:rFonts w:ascii="宋体" w:hAnsi="宋体" w:cs="宋体"/>
                <w:color w:val="000000"/>
                <w:szCs w:val="21"/>
                <w:highlight w:val="none"/>
              </w:rPr>
            </w:pPr>
          </w:p>
        </w:tc>
        <w:tc>
          <w:tcPr>
            <w:tcW w:w="1701" w:type="dxa"/>
            <w:tcBorders>
              <w:top w:val="double" w:color="auto" w:sz="6" w:space="0"/>
            </w:tcBorders>
            <w:noWrap w:val="0"/>
            <w:vAlign w:val="top"/>
          </w:tcPr>
          <w:p w14:paraId="5AE967EE">
            <w:pPr>
              <w:keepNext/>
              <w:spacing w:line="440" w:lineRule="exact"/>
              <w:rPr>
                <w:rFonts w:ascii="宋体" w:hAnsi="宋体" w:cs="宋体"/>
                <w:color w:val="000000"/>
                <w:szCs w:val="21"/>
                <w:highlight w:val="none"/>
              </w:rPr>
            </w:pPr>
          </w:p>
        </w:tc>
      </w:tr>
      <w:tr w14:paraId="75C609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6611B17">
            <w:pPr>
              <w:keepNext/>
              <w:spacing w:line="440" w:lineRule="exact"/>
              <w:rPr>
                <w:rFonts w:ascii="宋体" w:hAnsi="宋体" w:cs="宋体"/>
                <w:color w:val="000000"/>
                <w:szCs w:val="21"/>
                <w:highlight w:val="none"/>
              </w:rPr>
            </w:pPr>
          </w:p>
        </w:tc>
        <w:tc>
          <w:tcPr>
            <w:tcW w:w="1984" w:type="dxa"/>
            <w:tcBorders>
              <w:top w:val="nil"/>
            </w:tcBorders>
            <w:noWrap w:val="0"/>
            <w:vAlign w:val="top"/>
          </w:tcPr>
          <w:p w14:paraId="5A50B223">
            <w:pPr>
              <w:keepNext/>
              <w:spacing w:line="440" w:lineRule="exact"/>
              <w:rPr>
                <w:rFonts w:ascii="宋体" w:hAnsi="宋体" w:cs="宋体"/>
                <w:color w:val="000000"/>
                <w:szCs w:val="21"/>
                <w:highlight w:val="none"/>
              </w:rPr>
            </w:pPr>
          </w:p>
        </w:tc>
        <w:tc>
          <w:tcPr>
            <w:tcW w:w="851" w:type="dxa"/>
            <w:tcBorders>
              <w:top w:val="nil"/>
            </w:tcBorders>
            <w:noWrap w:val="0"/>
            <w:vAlign w:val="top"/>
          </w:tcPr>
          <w:p w14:paraId="57DD9E55">
            <w:pPr>
              <w:keepNext/>
              <w:spacing w:line="440" w:lineRule="exact"/>
              <w:rPr>
                <w:rFonts w:ascii="宋体" w:hAnsi="宋体" w:cs="宋体"/>
                <w:color w:val="000000"/>
                <w:szCs w:val="21"/>
                <w:highlight w:val="none"/>
              </w:rPr>
            </w:pPr>
          </w:p>
        </w:tc>
        <w:tc>
          <w:tcPr>
            <w:tcW w:w="774" w:type="dxa"/>
            <w:tcBorders>
              <w:top w:val="nil"/>
            </w:tcBorders>
            <w:noWrap w:val="0"/>
            <w:vAlign w:val="top"/>
          </w:tcPr>
          <w:p w14:paraId="657CE81D">
            <w:pPr>
              <w:keepNext/>
              <w:spacing w:line="440" w:lineRule="exact"/>
              <w:rPr>
                <w:rFonts w:ascii="宋体" w:hAnsi="宋体" w:cs="宋体"/>
                <w:color w:val="000000"/>
                <w:szCs w:val="21"/>
                <w:highlight w:val="none"/>
              </w:rPr>
            </w:pPr>
          </w:p>
        </w:tc>
        <w:tc>
          <w:tcPr>
            <w:tcW w:w="1352" w:type="dxa"/>
            <w:tcBorders>
              <w:top w:val="nil"/>
            </w:tcBorders>
            <w:noWrap w:val="0"/>
            <w:vAlign w:val="top"/>
          </w:tcPr>
          <w:p w14:paraId="04C703C7">
            <w:pPr>
              <w:keepNext/>
              <w:spacing w:line="440" w:lineRule="exact"/>
              <w:rPr>
                <w:rFonts w:ascii="宋体" w:hAnsi="宋体" w:cs="宋体"/>
                <w:color w:val="000000"/>
                <w:szCs w:val="21"/>
                <w:highlight w:val="none"/>
              </w:rPr>
            </w:pPr>
          </w:p>
        </w:tc>
        <w:tc>
          <w:tcPr>
            <w:tcW w:w="1418" w:type="dxa"/>
            <w:tcBorders>
              <w:top w:val="nil"/>
            </w:tcBorders>
            <w:noWrap w:val="0"/>
            <w:vAlign w:val="top"/>
          </w:tcPr>
          <w:p w14:paraId="5A4FC257">
            <w:pPr>
              <w:keepNext/>
              <w:spacing w:line="440" w:lineRule="exact"/>
              <w:rPr>
                <w:rFonts w:ascii="宋体" w:hAnsi="宋体" w:cs="宋体"/>
                <w:color w:val="000000"/>
                <w:szCs w:val="21"/>
                <w:highlight w:val="none"/>
              </w:rPr>
            </w:pPr>
          </w:p>
        </w:tc>
        <w:tc>
          <w:tcPr>
            <w:tcW w:w="1701" w:type="dxa"/>
            <w:tcBorders>
              <w:top w:val="nil"/>
            </w:tcBorders>
            <w:noWrap w:val="0"/>
            <w:vAlign w:val="top"/>
          </w:tcPr>
          <w:p w14:paraId="55368E16">
            <w:pPr>
              <w:keepNext/>
              <w:spacing w:line="440" w:lineRule="exact"/>
              <w:rPr>
                <w:rFonts w:ascii="宋体" w:hAnsi="宋体" w:cs="宋体"/>
                <w:color w:val="000000"/>
                <w:szCs w:val="21"/>
                <w:highlight w:val="none"/>
              </w:rPr>
            </w:pPr>
          </w:p>
        </w:tc>
      </w:tr>
      <w:tr w14:paraId="7B84C8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91229D">
            <w:pPr>
              <w:keepNext/>
              <w:spacing w:line="440" w:lineRule="exact"/>
              <w:rPr>
                <w:rFonts w:ascii="宋体" w:hAnsi="宋体" w:cs="宋体"/>
                <w:color w:val="000000"/>
                <w:szCs w:val="21"/>
                <w:highlight w:val="none"/>
              </w:rPr>
            </w:pPr>
          </w:p>
        </w:tc>
        <w:tc>
          <w:tcPr>
            <w:tcW w:w="1984" w:type="dxa"/>
            <w:noWrap w:val="0"/>
            <w:vAlign w:val="top"/>
          </w:tcPr>
          <w:p w14:paraId="2DFD6F0C">
            <w:pPr>
              <w:keepNext/>
              <w:spacing w:line="440" w:lineRule="exact"/>
              <w:rPr>
                <w:rFonts w:ascii="宋体" w:hAnsi="宋体" w:cs="宋体"/>
                <w:color w:val="000000"/>
                <w:szCs w:val="21"/>
                <w:highlight w:val="none"/>
              </w:rPr>
            </w:pPr>
          </w:p>
        </w:tc>
        <w:tc>
          <w:tcPr>
            <w:tcW w:w="851" w:type="dxa"/>
            <w:noWrap w:val="0"/>
            <w:vAlign w:val="top"/>
          </w:tcPr>
          <w:p w14:paraId="49D0C814">
            <w:pPr>
              <w:keepNext/>
              <w:spacing w:line="440" w:lineRule="exact"/>
              <w:rPr>
                <w:rFonts w:ascii="宋体" w:hAnsi="宋体" w:cs="宋体"/>
                <w:color w:val="000000"/>
                <w:szCs w:val="21"/>
                <w:highlight w:val="none"/>
              </w:rPr>
            </w:pPr>
          </w:p>
        </w:tc>
        <w:tc>
          <w:tcPr>
            <w:tcW w:w="774" w:type="dxa"/>
            <w:noWrap w:val="0"/>
            <w:vAlign w:val="top"/>
          </w:tcPr>
          <w:p w14:paraId="05D92195">
            <w:pPr>
              <w:keepNext/>
              <w:spacing w:line="440" w:lineRule="exact"/>
              <w:rPr>
                <w:rFonts w:ascii="宋体" w:hAnsi="宋体" w:cs="宋体"/>
                <w:color w:val="000000"/>
                <w:szCs w:val="21"/>
                <w:highlight w:val="none"/>
              </w:rPr>
            </w:pPr>
          </w:p>
        </w:tc>
        <w:tc>
          <w:tcPr>
            <w:tcW w:w="1352" w:type="dxa"/>
            <w:noWrap w:val="0"/>
            <w:vAlign w:val="top"/>
          </w:tcPr>
          <w:p w14:paraId="04FD246E">
            <w:pPr>
              <w:keepNext/>
              <w:spacing w:line="440" w:lineRule="exact"/>
              <w:rPr>
                <w:rFonts w:ascii="宋体" w:hAnsi="宋体" w:cs="宋体"/>
                <w:color w:val="000000"/>
                <w:szCs w:val="21"/>
                <w:highlight w:val="none"/>
              </w:rPr>
            </w:pPr>
          </w:p>
        </w:tc>
        <w:tc>
          <w:tcPr>
            <w:tcW w:w="1418" w:type="dxa"/>
            <w:noWrap w:val="0"/>
            <w:vAlign w:val="top"/>
          </w:tcPr>
          <w:p w14:paraId="7DAE2557">
            <w:pPr>
              <w:keepNext/>
              <w:spacing w:line="440" w:lineRule="exact"/>
              <w:rPr>
                <w:rFonts w:ascii="宋体" w:hAnsi="宋体" w:cs="宋体"/>
                <w:color w:val="000000"/>
                <w:szCs w:val="21"/>
                <w:highlight w:val="none"/>
              </w:rPr>
            </w:pPr>
          </w:p>
        </w:tc>
        <w:tc>
          <w:tcPr>
            <w:tcW w:w="1701" w:type="dxa"/>
            <w:noWrap w:val="0"/>
            <w:vAlign w:val="top"/>
          </w:tcPr>
          <w:p w14:paraId="1D3A413B">
            <w:pPr>
              <w:keepNext/>
              <w:spacing w:line="440" w:lineRule="exact"/>
              <w:rPr>
                <w:rFonts w:ascii="宋体" w:hAnsi="宋体" w:cs="宋体"/>
                <w:color w:val="000000"/>
                <w:szCs w:val="21"/>
                <w:highlight w:val="none"/>
              </w:rPr>
            </w:pPr>
          </w:p>
        </w:tc>
      </w:tr>
      <w:tr w14:paraId="5CB2BB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65AEFD">
            <w:pPr>
              <w:keepNext/>
              <w:spacing w:line="440" w:lineRule="exact"/>
              <w:rPr>
                <w:rFonts w:ascii="宋体" w:hAnsi="宋体" w:cs="宋体"/>
                <w:color w:val="000000"/>
                <w:szCs w:val="21"/>
                <w:highlight w:val="none"/>
              </w:rPr>
            </w:pPr>
          </w:p>
        </w:tc>
        <w:tc>
          <w:tcPr>
            <w:tcW w:w="1984" w:type="dxa"/>
            <w:noWrap w:val="0"/>
            <w:vAlign w:val="top"/>
          </w:tcPr>
          <w:p w14:paraId="73C5116A">
            <w:pPr>
              <w:keepNext/>
              <w:spacing w:line="440" w:lineRule="exact"/>
              <w:rPr>
                <w:rFonts w:ascii="宋体" w:hAnsi="宋体" w:cs="宋体"/>
                <w:color w:val="000000"/>
                <w:szCs w:val="21"/>
                <w:highlight w:val="none"/>
              </w:rPr>
            </w:pPr>
          </w:p>
        </w:tc>
        <w:tc>
          <w:tcPr>
            <w:tcW w:w="851" w:type="dxa"/>
            <w:noWrap w:val="0"/>
            <w:vAlign w:val="top"/>
          </w:tcPr>
          <w:p w14:paraId="3124A07E">
            <w:pPr>
              <w:keepNext/>
              <w:spacing w:line="440" w:lineRule="exact"/>
              <w:rPr>
                <w:rFonts w:ascii="宋体" w:hAnsi="宋体" w:cs="宋体"/>
                <w:color w:val="000000"/>
                <w:szCs w:val="21"/>
                <w:highlight w:val="none"/>
              </w:rPr>
            </w:pPr>
          </w:p>
        </w:tc>
        <w:tc>
          <w:tcPr>
            <w:tcW w:w="774" w:type="dxa"/>
            <w:noWrap w:val="0"/>
            <w:vAlign w:val="top"/>
          </w:tcPr>
          <w:p w14:paraId="64C26867">
            <w:pPr>
              <w:keepNext/>
              <w:spacing w:line="440" w:lineRule="exact"/>
              <w:rPr>
                <w:rFonts w:ascii="宋体" w:hAnsi="宋体" w:cs="宋体"/>
                <w:color w:val="000000"/>
                <w:szCs w:val="21"/>
                <w:highlight w:val="none"/>
              </w:rPr>
            </w:pPr>
          </w:p>
        </w:tc>
        <w:tc>
          <w:tcPr>
            <w:tcW w:w="1352" w:type="dxa"/>
            <w:noWrap w:val="0"/>
            <w:vAlign w:val="top"/>
          </w:tcPr>
          <w:p w14:paraId="628C3AD2">
            <w:pPr>
              <w:keepNext/>
              <w:spacing w:line="440" w:lineRule="exact"/>
              <w:rPr>
                <w:rFonts w:ascii="宋体" w:hAnsi="宋体" w:cs="宋体"/>
                <w:color w:val="000000"/>
                <w:szCs w:val="21"/>
                <w:highlight w:val="none"/>
              </w:rPr>
            </w:pPr>
          </w:p>
        </w:tc>
        <w:tc>
          <w:tcPr>
            <w:tcW w:w="1418" w:type="dxa"/>
            <w:noWrap w:val="0"/>
            <w:vAlign w:val="top"/>
          </w:tcPr>
          <w:p w14:paraId="656051CF">
            <w:pPr>
              <w:keepNext/>
              <w:spacing w:line="440" w:lineRule="exact"/>
              <w:rPr>
                <w:rFonts w:ascii="宋体" w:hAnsi="宋体" w:cs="宋体"/>
                <w:color w:val="000000"/>
                <w:szCs w:val="21"/>
                <w:highlight w:val="none"/>
              </w:rPr>
            </w:pPr>
          </w:p>
        </w:tc>
        <w:tc>
          <w:tcPr>
            <w:tcW w:w="1701" w:type="dxa"/>
            <w:noWrap w:val="0"/>
            <w:vAlign w:val="top"/>
          </w:tcPr>
          <w:p w14:paraId="078F7AA7">
            <w:pPr>
              <w:keepNext/>
              <w:spacing w:line="440" w:lineRule="exact"/>
              <w:rPr>
                <w:rFonts w:ascii="宋体" w:hAnsi="宋体" w:cs="宋体"/>
                <w:color w:val="000000"/>
                <w:szCs w:val="21"/>
                <w:highlight w:val="none"/>
              </w:rPr>
            </w:pPr>
          </w:p>
        </w:tc>
      </w:tr>
      <w:tr w14:paraId="301070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bottom w:val="single" w:color="auto" w:sz="12" w:space="0"/>
            </w:tcBorders>
            <w:noWrap w:val="0"/>
            <w:vAlign w:val="top"/>
          </w:tcPr>
          <w:p w14:paraId="5916D579">
            <w:pPr>
              <w:keepNext/>
              <w:spacing w:line="440" w:lineRule="exact"/>
              <w:rPr>
                <w:rFonts w:ascii="宋体" w:hAnsi="宋体" w:cs="宋体"/>
                <w:color w:val="000000"/>
                <w:szCs w:val="21"/>
                <w:highlight w:val="none"/>
              </w:rPr>
            </w:pPr>
          </w:p>
        </w:tc>
        <w:tc>
          <w:tcPr>
            <w:tcW w:w="1984" w:type="dxa"/>
            <w:tcBorders>
              <w:bottom w:val="single" w:color="auto" w:sz="12" w:space="0"/>
            </w:tcBorders>
            <w:noWrap w:val="0"/>
            <w:vAlign w:val="top"/>
          </w:tcPr>
          <w:p w14:paraId="3660C118">
            <w:pPr>
              <w:keepNext/>
              <w:spacing w:line="440" w:lineRule="exact"/>
              <w:rPr>
                <w:rFonts w:ascii="宋体" w:hAnsi="宋体" w:cs="宋体"/>
                <w:color w:val="000000"/>
                <w:szCs w:val="21"/>
                <w:highlight w:val="none"/>
              </w:rPr>
            </w:pPr>
          </w:p>
        </w:tc>
        <w:tc>
          <w:tcPr>
            <w:tcW w:w="851" w:type="dxa"/>
            <w:tcBorders>
              <w:bottom w:val="single" w:color="auto" w:sz="12" w:space="0"/>
            </w:tcBorders>
            <w:noWrap w:val="0"/>
            <w:vAlign w:val="top"/>
          </w:tcPr>
          <w:p w14:paraId="0BC6E3B5">
            <w:pPr>
              <w:keepNext/>
              <w:spacing w:line="440" w:lineRule="exact"/>
              <w:rPr>
                <w:rFonts w:ascii="宋体" w:hAnsi="宋体" w:cs="宋体"/>
                <w:color w:val="000000"/>
                <w:szCs w:val="21"/>
                <w:highlight w:val="none"/>
              </w:rPr>
            </w:pPr>
          </w:p>
        </w:tc>
        <w:tc>
          <w:tcPr>
            <w:tcW w:w="774" w:type="dxa"/>
            <w:tcBorders>
              <w:bottom w:val="single" w:color="auto" w:sz="12" w:space="0"/>
            </w:tcBorders>
            <w:noWrap w:val="0"/>
            <w:vAlign w:val="top"/>
          </w:tcPr>
          <w:p w14:paraId="5703BA65">
            <w:pPr>
              <w:keepNext/>
              <w:spacing w:line="440" w:lineRule="exact"/>
              <w:rPr>
                <w:rFonts w:ascii="宋体" w:hAnsi="宋体" w:cs="宋体"/>
                <w:color w:val="000000"/>
                <w:szCs w:val="21"/>
                <w:highlight w:val="none"/>
              </w:rPr>
            </w:pPr>
          </w:p>
        </w:tc>
        <w:tc>
          <w:tcPr>
            <w:tcW w:w="1352" w:type="dxa"/>
            <w:tcBorders>
              <w:bottom w:val="single" w:color="auto" w:sz="12" w:space="0"/>
            </w:tcBorders>
            <w:noWrap w:val="0"/>
            <w:vAlign w:val="top"/>
          </w:tcPr>
          <w:p w14:paraId="60B43FA0">
            <w:pPr>
              <w:keepNext/>
              <w:spacing w:line="440" w:lineRule="exact"/>
              <w:rPr>
                <w:rFonts w:ascii="宋体" w:hAnsi="宋体" w:cs="宋体"/>
                <w:color w:val="000000"/>
                <w:szCs w:val="21"/>
                <w:highlight w:val="none"/>
              </w:rPr>
            </w:pPr>
          </w:p>
        </w:tc>
        <w:tc>
          <w:tcPr>
            <w:tcW w:w="1418" w:type="dxa"/>
            <w:tcBorders>
              <w:bottom w:val="single" w:color="auto" w:sz="12" w:space="0"/>
            </w:tcBorders>
            <w:noWrap w:val="0"/>
            <w:vAlign w:val="top"/>
          </w:tcPr>
          <w:p w14:paraId="48307423">
            <w:pPr>
              <w:keepNext/>
              <w:spacing w:line="440" w:lineRule="exact"/>
              <w:rPr>
                <w:rFonts w:ascii="宋体" w:hAnsi="宋体" w:cs="宋体"/>
                <w:color w:val="000000"/>
                <w:szCs w:val="21"/>
                <w:highlight w:val="none"/>
              </w:rPr>
            </w:pPr>
          </w:p>
        </w:tc>
        <w:tc>
          <w:tcPr>
            <w:tcW w:w="1701" w:type="dxa"/>
            <w:tcBorders>
              <w:bottom w:val="single" w:color="auto" w:sz="12" w:space="0"/>
            </w:tcBorders>
            <w:noWrap w:val="0"/>
            <w:vAlign w:val="top"/>
          </w:tcPr>
          <w:p w14:paraId="43F4AF5C">
            <w:pPr>
              <w:keepNext/>
              <w:spacing w:line="440" w:lineRule="exact"/>
              <w:rPr>
                <w:rFonts w:ascii="宋体" w:hAnsi="宋体" w:cs="宋体"/>
                <w:color w:val="000000"/>
                <w:szCs w:val="21"/>
                <w:highlight w:val="none"/>
              </w:rPr>
            </w:pPr>
          </w:p>
        </w:tc>
      </w:tr>
    </w:tbl>
    <w:p w14:paraId="081D4876">
      <w:pPr>
        <w:spacing w:before="120" w:beforeLines="50" w:after="120" w:afterLines="50" w:line="440" w:lineRule="exact"/>
        <w:rPr>
          <w:rFonts w:ascii="宋体" w:hAnsi="宋体" w:cs="宋体"/>
          <w:color w:val="000000"/>
          <w:szCs w:val="21"/>
          <w:highlight w:val="none"/>
        </w:rPr>
      </w:pPr>
    </w:p>
    <w:p w14:paraId="0DF3697B">
      <w:pPr>
        <w:spacing w:before="120" w:beforeLines="50" w:after="12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12-2：工程设备暂估价表</w:t>
      </w:r>
    </w:p>
    <w:tbl>
      <w:tblPr>
        <w:tblStyle w:val="1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16558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F5A3475">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序号</w:t>
            </w:r>
          </w:p>
        </w:tc>
        <w:tc>
          <w:tcPr>
            <w:tcW w:w="1984" w:type="dxa"/>
            <w:tcBorders>
              <w:top w:val="single" w:color="auto" w:sz="12" w:space="0"/>
              <w:bottom w:val="double" w:color="auto" w:sz="6" w:space="0"/>
            </w:tcBorders>
            <w:noWrap w:val="0"/>
            <w:vAlign w:val="top"/>
          </w:tcPr>
          <w:p w14:paraId="35547AAD">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名称</w:t>
            </w:r>
          </w:p>
        </w:tc>
        <w:tc>
          <w:tcPr>
            <w:tcW w:w="851" w:type="dxa"/>
            <w:tcBorders>
              <w:top w:val="single" w:color="auto" w:sz="12" w:space="0"/>
              <w:bottom w:val="double" w:color="auto" w:sz="6" w:space="0"/>
            </w:tcBorders>
            <w:noWrap w:val="0"/>
            <w:vAlign w:val="top"/>
          </w:tcPr>
          <w:p w14:paraId="15B98BF2">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单位</w:t>
            </w:r>
          </w:p>
        </w:tc>
        <w:tc>
          <w:tcPr>
            <w:tcW w:w="774" w:type="dxa"/>
            <w:tcBorders>
              <w:top w:val="single" w:color="auto" w:sz="12" w:space="0"/>
              <w:bottom w:val="double" w:color="auto" w:sz="6" w:space="0"/>
            </w:tcBorders>
            <w:noWrap w:val="0"/>
            <w:vAlign w:val="top"/>
          </w:tcPr>
          <w:p w14:paraId="08242ACB">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数量</w:t>
            </w:r>
          </w:p>
        </w:tc>
        <w:tc>
          <w:tcPr>
            <w:tcW w:w="1352" w:type="dxa"/>
            <w:tcBorders>
              <w:top w:val="single" w:color="auto" w:sz="12" w:space="0"/>
              <w:bottom w:val="double" w:color="auto" w:sz="6" w:space="0"/>
            </w:tcBorders>
            <w:noWrap w:val="0"/>
            <w:vAlign w:val="top"/>
          </w:tcPr>
          <w:p w14:paraId="7FB512F8">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单价（元）</w:t>
            </w:r>
          </w:p>
        </w:tc>
        <w:tc>
          <w:tcPr>
            <w:tcW w:w="1418" w:type="dxa"/>
            <w:tcBorders>
              <w:top w:val="single" w:color="auto" w:sz="12" w:space="0"/>
              <w:bottom w:val="double" w:color="auto" w:sz="6" w:space="0"/>
            </w:tcBorders>
            <w:noWrap w:val="0"/>
            <w:vAlign w:val="top"/>
          </w:tcPr>
          <w:p w14:paraId="599D4DD6">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合价（元）</w:t>
            </w:r>
          </w:p>
        </w:tc>
        <w:tc>
          <w:tcPr>
            <w:tcW w:w="1701" w:type="dxa"/>
            <w:tcBorders>
              <w:top w:val="single" w:color="auto" w:sz="12" w:space="0"/>
              <w:bottom w:val="double" w:color="auto" w:sz="6" w:space="0"/>
            </w:tcBorders>
            <w:noWrap w:val="0"/>
            <w:vAlign w:val="top"/>
          </w:tcPr>
          <w:p w14:paraId="6B1E139E">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备注</w:t>
            </w:r>
          </w:p>
        </w:tc>
      </w:tr>
      <w:tr w14:paraId="218F9E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noWrap w:val="0"/>
            <w:vAlign w:val="top"/>
          </w:tcPr>
          <w:p w14:paraId="23315C68">
            <w:pPr>
              <w:keepNext/>
              <w:spacing w:line="440" w:lineRule="exact"/>
              <w:rPr>
                <w:rFonts w:ascii="宋体" w:hAnsi="宋体" w:cs="宋体"/>
                <w:color w:val="000000"/>
                <w:szCs w:val="21"/>
                <w:highlight w:val="none"/>
              </w:rPr>
            </w:pPr>
          </w:p>
        </w:tc>
        <w:tc>
          <w:tcPr>
            <w:tcW w:w="1984" w:type="dxa"/>
            <w:tcBorders>
              <w:top w:val="double" w:color="auto" w:sz="6" w:space="0"/>
            </w:tcBorders>
            <w:noWrap w:val="0"/>
            <w:vAlign w:val="top"/>
          </w:tcPr>
          <w:p w14:paraId="6BC27CEC">
            <w:pPr>
              <w:keepNext/>
              <w:spacing w:line="440" w:lineRule="exact"/>
              <w:rPr>
                <w:rFonts w:ascii="宋体" w:hAnsi="宋体" w:cs="宋体"/>
                <w:color w:val="000000"/>
                <w:szCs w:val="21"/>
                <w:highlight w:val="none"/>
              </w:rPr>
            </w:pPr>
          </w:p>
        </w:tc>
        <w:tc>
          <w:tcPr>
            <w:tcW w:w="851" w:type="dxa"/>
            <w:tcBorders>
              <w:top w:val="double" w:color="auto" w:sz="6" w:space="0"/>
            </w:tcBorders>
            <w:noWrap w:val="0"/>
            <w:vAlign w:val="top"/>
          </w:tcPr>
          <w:p w14:paraId="77DD38AA">
            <w:pPr>
              <w:keepNext/>
              <w:spacing w:line="440" w:lineRule="exact"/>
              <w:rPr>
                <w:rFonts w:ascii="宋体" w:hAnsi="宋体" w:cs="宋体"/>
                <w:color w:val="000000"/>
                <w:szCs w:val="21"/>
                <w:highlight w:val="none"/>
              </w:rPr>
            </w:pPr>
          </w:p>
        </w:tc>
        <w:tc>
          <w:tcPr>
            <w:tcW w:w="774" w:type="dxa"/>
            <w:tcBorders>
              <w:top w:val="double" w:color="auto" w:sz="6" w:space="0"/>
            </w:tcBorders>
            <w:noWrap w:val="0"/>
            <w:vAlign w:val="top"/>
          </w:tcPr>
          <w:p w14:paraId="7FC81A95">
            <w:pPr>
              <w:keepNext/>
              <w:spacing w:line="440" w:lineRule="exact"/>
              <w:rPr>
                <w:rFonts w:ascii="宋体" w:hAnsi="宋体" w:cs="宋体"/>
                <w:color w:val="000000"/>
                <w:szCs w:val="21"/>
                <w:highlight w:val="none"/>
              </w:rPr>
            </w:pPr>
          </w:p>
        </w:tc>
        <w:tc>
          <w:tcPr>
            <w:tcW w:w="1352" w:type="dxa"/>
            <w:tcBorders>
              <w:top w:val="double" w:color="auto" w:sz="6" w:space="0"/>
            </w:tcBorders>
            <w:noWrap w:val="0"/>
            <w:vAlign w:val="top"/>
          </w:tcPr>
          <w:p w14:paraId="55BE9891">
            <w:pPr>
              <w:keepNext/>
              <w:spacing w:line="440" w:lineRule="exact"/>
              <w:rPr>
                <w:rFonts w:ascii="宋体" w:hAnsi="宋体" w:cs="宋体"/>
                <w:color w:val="000000"/>
                <w:szCs w:val="21"/>
                <w:highlight w:val="none"/>
              </w:rPr>
            </w:pPr>
          </w:p>
        </w:tc>
        <w:tc>
          <w:tcPr>
            <w:tcW w:w="1418" w:type="dxa"/>
            <w:tcBorders>
              <w:top w:val="double" w:color="auto" w:sz="6" w:space="0"/>
            </w:tcBorders>
            <w:noWrap w:val="0"/>
            <w:vAlign w:val="top"/>
          </w:tcPr>
          <w:p w14:paraId="46819758">
            <w:pPr>
              <w:keepNext/>
              <w:spacing w:line="440" w:lineRule="exact"/>
              <w:rPr>
                <w:rFonts w:ascii="宋体" w:hAnsi="宋体" w:cs="宋体"/>
                <w:color w:val="000000"/>
                <w:szCs w:val="21"/>
                <w:highlight w:val="none"/>
              </w:rPr>
            </w:pPr>
          </w:p>
        </w:tc>
        <w:tc>
          <w:tcPr>
            <w:tcW w:w="1701" w:type="dxa"/>
            <w:tcBorders>
              <w:top w:val="double" w:color="auto" w:sz="6" w:space="0"/>
            </w:tcBorders>
            <w:noWrap w:val="0"/>
            <w:vAlign w:val="top"/>
          </w:tcPr>
          <w:p w14:paraId="2F183368">
            <w:pPr>
              <w:keepNext/>
              <w:spacing w:line="440" w:lineRule="exact"/>
              <w:rPr>
                <w:rFonts w:ascii="宋体" w:hAnsi="宋体" w:cs="宋体"/>
                <w:color w:val="000000"/>
                <w:szCs w:val="21"/>
                <w:highlight w:val="none"/>
              </w:rPr>
            </w:pPr>
          </w:p>
        </w:tc>
      </w:tr>
      <w:tr w14:paraId="7E69AC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0A4F6BAF">
            <w:pPr>
              <w:keepNext/>
              <w:spacing w:line="440" w:lineRule="exact"/>
              <w:rPr>
                <w:rFonts w:ascii="宋体" w:hAnsi="宋体" w:cs="宋体"/>
                <w:color w:val="000000"/>
                <w:szCs w:val="21"/>
                <w:highlight w:val="none"/>
              </w:rPr>
            </w:pPr>
          </w:p>
        </w:tc>
        <w:tc>
          <w:tcPr>
            <w:tcW w:w="1984" w:type="dxa"/>
            <w:tcBorders>
              <w:top w:val="nil"/>
            </w:tcBorders>
            <w:noWrap w:val="0"/>
            <w:vAlign w:val="top"/>
          </w:tcPr>
          <w:p w14:paraId="17B8BAF0">
            <w:pPr>
              <w:keepNext/>
              <w:spacing w:line="440" w:lineRule="exact"/>
              <w:rPr>
                <w:rFonts w:ascii="宋体" w:hAnsi="宋体" w:cs="宋体"/>
                <w:color w:val="000000"/>
                <w:szCs w:val="21"/>
                <w:highlight w:val="none"/>
              </w:rPr>
            </w:pPr>
          </w:p>
        </w:tc>
        <w:tc>
          <w:tcPr>
            <w:tcW w:w="851" w:type="dxa"/>
            <w:tcBorders>
              <w:top w:val="nil"/>
            </w:tcBorders>
            <w:noWrap w:val="0"/>
            <w:vAlign w:val="top"/>
          </w:tcPr>
          <w:p w14:paraId="07558AF5">
            <w:pPr>
              <w:keepNext/>
              <w:spacing w:line="440" w:lineRule="exact"/>
              <w:rPr>
                <w:rFonts w:ascii="宋体" w:hAnsi="宋体" w:cs="宋体"/>
                <w:color w:val="000000"/>
                <w:szCs w:val="21"/>
                <w:highlight w:val="none"/>
              </w:rPr>
            </w:pPr>
          </w:p>
        </w:tc>
        <w:tc>
          <w:tcPr>
            <w:tcW w:w="774" w:type="dxa"/>
            <w:tcBorders>
              <w:top w:val="nil"/>
            </w:tcBorders>
            <w:noWrap w:val="0"/>
            <w:vAlign w:val="top"/>
          </w:tcPr>
          <w:p w14:paraId="6C3B95F6">
            <w:pPr>
              <w:keepNext/>
              <w:spacing w:line="440" w:lineRule="exact"/>
              <w:rPr>
                <w:rFonts w:ascii="宋体" w:hAnsi="宋体" w:cs="宋体"/>
                <w:color w:val="000000"/>
                <w:szCs w:val="21"/>
                <w:highlight w:val="none"/>
              </w:rPr>
            </w:pPr>
          </w:p>
        </w:tc>
        <w:tc>
          <w:tcPr>
            <w:tcW w:w="1352" w:type="dxa"/>
            <w:tcBorders>
              <w:top w:val="nil"/>
            </w:tcBorders>
            <w:noWrap w:val="0"/>
            <w:vAlign w:val="top"/>
          </w:tcPr>
          <w:p w14:paraId="4EC84BFF">
            <w:pPr>
              <w:keepNext/>
              <w:spacing w:line="440" w:lineRule="exact"/>
              <w:rPr>
                <w:rFonts w:ascii="宋体" w:hAnsi="宋体" w:cs="宋体"/>
                <w:color w:val="000000"/>
                <w:szCs w:val="21"/>
                <w:highlight w:val="none"/>
              </w:rPr>
            </w:pPr>
          </w:p>
        </w:tc>
        <w:tc>
          <w:tcPr>
            <w:tcW w:w="1418" w:type="dxa"/>
            <w:tcBorders>
              <w:top w:val="nil"/>
            </w:tcBorders>
            <w:noWrap w:val="0"/>
            <w:vAlign w:val="top"/>
          </w:tcPr>
          <w:p w14:paraId="705F69A5">
            <w:pPr>
              <w:keepNext/>
              <w:spacing w:line="440" w:lineRule="exact"/>
              <w:rPr>
                <w:rFonts w:ascii="宋体" w:hAnsi="宋体" w:cs="宋体"/>
                <w:color w:val="000000"/>
                <w:szCs w:val="21"/>
                <w:highlight w:val="none"/>
              </w:rPr>
            </w:pPr>
          </w:p>
        </w:tc>
        <w:tc>
          <w:tcPr>
            <w:tcW w:w="1701" w:type="dxa"/>
            <w:tcBorders>
              <w:top w:val="nil"/>
            </w:tcBorders>
            <w:noWrap w:val="0"/>
            <w:vAlign w:val="top"/>
          </w:tcPr>
          <w:p w14:paraId="7F968911">
            <w:pPr>
              <w:keepNext/>
              <w:spacing w:line="440" w:lineRule="exact"/>
              <w:rPr>
                <w:rFonts w:ascii="宋体" w:hAnsi="宋体" w:cs="宋体"/>
                <w:color w:val="000000"/>
                <w:szCs w:val="21"/>
                <w:highlight w:val="none"/>
              </w:rPr>
            </w:pPr>
          </w:p>
        </w:tc>
      </w:tr>
      <w:tr w14:paraId="47E707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31EDB7">
            <w:pPr>
              <w:keepNext/>
              <w:spacing w:line="440" w:lineRule="exact"/>
              <w:rPr>
                <w:rFonts w:ascii="宋体" w:hAnsi="宋体" w:cs="宋体"/>
                <w:color w:val="000000"/>
                <w:szCs w:val="21"/>
                <w:highlight w:val="none"/>
              </w:rPr>
            </w:pPr>
          </w:p>
        </w:tc>
        <w:tc>
          <w:tcPr>
            <w:tcW w:w="1984" w:type="dxa"/>
            <w:noWrap w:val="0"/>
            <w:vAlign w:val="top"/>
          </w:tcPr>
          <w:p w14:paraId="1F2BD157">
            <w:pPr>
              <w:keepNext/>
              <w:spacing w:line="440" w:lineRule="exact"/>
              <w:rPr>
                <w:rFonts w:ascii="宋体" w:hAnsi="宋体" w:cs="宋体"/>
                <w:color w:val="000000"/>
                <w:szCs w:val="21"/>
                <w:highlight w:val="none"/>
              </w:rPr>
            </w:pPr>
          </w:p>
        </w:tc>
        <w:tc>
          <w:tcPr>
            <w:tcW w:w="851" w:type="dxa"/>
            <w:noWrap w:val="0"/>
            <w:vAlign w:val="top"/>
          </w:tcPr>
          <w:p w14:paraId="682C523B">
            <w:pPr>
              <w:keepNext/>
              <w:spacing w:line="440" w:lineRule="exact"/>
              <w:rPr>
                <w:rFonts w:ascii="宋体" w:hAnsi="宋体" w:cs="宋体"/>
                <w:color w:val="000000"/>
                <w:szCs w:val="21"/>
                <w:highlight w:val="none"/>
              </w:rPr>
            </w:pPr>
          </w:p>
        </w:tc>
        <w:tc>
          <w:tcPr>
            <w:tcW w:w="774" w:type="dxa"/>
            <w:noWrap w:val="0"/>
            <w:vAlign w:val="top"/>
          </w:tcPr>
          <w:p w14:paraId="5AD0BE9E">
            <w:pPr>
              <w:keepNext/>
              <w:spacing w:line="440" w:lineRule="exact"/>
              <w:rPr>
                <w:rFonts w:ascii="宋体" w:hAnsi="宋体" w:cs="宋体"/>
                <w:color w:val="000000"/>
                <w:szCs w:val="21"/>
                <w:highlight w:val="none"/>
              </w:rPr>
            </w:pPr>
          </w:p>
        </w:tc>
        <w:tc>
          <w:tcPr>
            <w:tcW w:w="1352" w:type="dxa"/>
            <w:noWrap w:val="0"/>
            <w:vAlign w:val="top"/>
          </w:tcPr>
          <w:p w14:paraId="64DF9875">
            <w:pPr>
              <w:keepNext/>
              <w:spacing w:line="440" w:lineRule="exact"/>
              <w:rPr>
                <w:rFonts w:ascii="宋体" w:hAnsi="宋体" w:cs="宋体"/>
                <w:color w:val="000000"/>
                <w:szCs w:val="21"/>
                <w:highlight w:val="none"/>
              </w:rPr>
            </w:pPr>
          </w:p>
        </w:tc>
        <w:tc>
          <w:tcPr>
            <w:tcW w:w="1418" w:type="dxa"/>
            <w:noWrap w:val="0"/>
            <w:vAlign w:val="top"/>
          </w:tcPr>
          <w:p w14:paraId="0088AE8E">
            <w:pPr>
              <w:keepNext/>
              <w:spacing w:line="440" w:lineRule="exact"/>
              <w:rPr>
                <w:rFonts w:ascii="宋体" w:hAnsi="宋体" w:cs="宋体"/>
                <w:color w:val="000000"/>
                <w:szCs w:val="21"/>
                <w:highlight w:val="none"/>
              </w:rPr>
            </w:pPr>
          </w:p>
        </w:tc>
        <w:tc>
          <w:tcPr>
            <w:tcW w:w="1701" w:type="dxa"/>
            <w:noWrap w:val="0"/>
            <w:vAlign w:val="top"/>
          </w:tcPr>
          <w:p w14:paraId="1032074F">
            <w:pPr>
              <w:keepNext/>
              <w:spacing w:line="440" w:lineRule="exact"/>
              <w:rPr>
                <w:rFonts w:ascii="宋体" w:hAnsi="宋体" w:cs="宋体"/>
                <w:color w:val="000000"/>
                <w:szCs w:val="21"/>
                <w:highlight w:val="none"/>
              </w:rPr>
            </w:pPr>
          </w:p>
        </w:tc>
      </w:tr>
      <w:tr w14:paraId="053E3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bottom w:val="single" w:color="auto" w:sz="12" w:space="0"/>
            </w:tcBorders>
            <w:noWrap w:val="0"/>
            <w:vAlign w:val="top"/>
          </w:tcPr>
          <w:p w14:paraId="140A51E0">
            <w:pPr>
              <w:keepNext/>
              <w:spacing w:line="440" w:lineRule="exact"/>
              <w:rPr>
                <w:rFonts w:ascii="宋体" w:hAnsi="宋体" w:cs="宋体"/>
                <w:color w:val="000000"/>
                <w:szCs w:val="21"/>
                <w:highlight w:val="none"/>
              </w:rPr>
            </w:pPr>
          </w:p>
        </w:tc>
        <w:tc>
          <w:tcPr>
            <w:tcW w:w="1984" w:type="dxa"/>
            <w:tcBorders>
              <w:bottom w:val="single" w:color="auto" w:sz="12" w:space="0"/>
            </w:tcBorders>
            <w:noWrap w:val="0"/>
            <w:vAlign w:val="top"/>
          </w:tcPr>
          <w:p w14:paraId="65C87BCE">
            <w:pPr>
              <w:keepNext/>
              <w:spacing w:line="440" w:lineRule="exact"/>
              <w:rPr>
                <w:rFonts w:ascii="宋体" w:hAnsi="宋体" w:cs="宋体"/>
                <w:color w:val="000000"/>
                <w:szCs w:val="21"/>
                <w:highlight w:val="none"/>
              </w:rPr>
            </w:pPr>
          </w:p>
        </w:tc>
        <w:tc>
          <w:tcPr>
            <w:tcW w:w="851" w:type="dxa"/>
            <w:tcBorders>
              <w:bottom w:val="single" w:color="auto" w:sz="12" w:space="0"/>
            </w:tcBorders>
            <w:noWrap w:val="0"/>
            <w:vAlign w:val="top"/>
          </w:tcPr>
          <w:p w14:paraId="3C3EE95F">
            <w:pPr>
              <w:keepNext/>
              <w:spacing w:line="440" w:lineRule="exact"/>
              <w:rPr>
                <w:rFonts w:ascii="宋体" w:hAnsi="宋体" w:cs="宋体"/>
                <w:color w:val="000000"/>
                <w:szCs w:val="21"/>
                <w:highlight w:val="none"/>
              </w:rPr>
            </w:pPr>
          </w:p>
        </w:tc>
        <w:tc>
          <w:tcPr>
            <w:tcW w:w="774" w:type="dxa"/>
            <w:tcBorders>
              <w:bottom w:val="single" w:color="auto" w:sz="12" w:space="0"/>
            </w:tcBorders>
            <w:noWrap w:val="0"/>
            <w:vAlign w:val="top"/>
          </w:tcPr>
          <w:p w14:paraId="52688FF5">
            <w:pPr>
              <w:keepNext/>
              <w:spacing w:line="440" w:lineRule="exact"/>
              <w:rPr>
                <w:rFonts w:ascii="宋体" w:hAnsi="宋体" w:cs="宋体"/>
                <w:color w:val="000000"/>
                <w:szCs w:val="21"/>
                <w:highlight w:val="none"/>
              </w:rPr>
            </w:pPr>
          </w:p>
        </w:tc>
        <w:tc>
          <w:tcPr>
            <w:tcW w:w="1352" w:type="dxa"/>
            <w:tcBorders>
              <w:bottom w:val="single" w:color="auto" w:sz="12" w:space="0"/>
            </w:tcBorders>
            <w:noWrap w:val="0"/>
            <w:vAlign w:val="top"/>
          </w:tcPr>
          <w:p w14:paraId="28FC8F21">
            <w:pPr>
              <w:keepNext/>
              <w:spacing w:line="440" w:lineRule="exact"/>
              <w:rPr>
                <w:rFonts w:ascii="宋体" w:hAnsi="宋体" w:cs="宋体"/>
                <w:color w:val="000000"/>
                <w:szCs w:val="21"/>
                <w:highlight w:val="none"/>
              </w:rPr>
            </w:pPr>
          </w:p>
        </w:tc>
        <w:tc>
          <w:tcPr>
            <w:tcW w:w="1418" w:type="dxa"/>
            <w:tcBorders>
              <w:bottom w:val="single" w:color="auto" w:sz="12" w:space="0"/>
            </w:tcBorders>
            <w:noWrap w:val="0"/>
            <w:vAlign w:val="top"/>
          </w:tcPr>
          <w:p w14:paraId="7C150626">
            <w:pPr>
              <w:keepNext/>
              <w:spacing w:line="440" w:lineRule="exact"/>
              <w:rPr>
                <w:rFonts w:ascii="宋体" w:hAnsi="宋体" w:cs="宋体"/>
                <w:color w:val="000000"/>
                <w:szCs w:val="21"/>
                <w:highlight w:val="none"/>
              </w:rPr>
            </w:pPr>
          </w:p>
        </w:tc>
        <w:tc>
          <w:tcPr>
            <w:tcW w:w="1701" w:type="dxa"/>
            <w:tcBorders>
              <w:bottom w:val="single" w:color="auto" w:sz="12" w:space="0"/>
            </w:tcBorders>
            <w:noWrap w:val="0"/>
            <w:vAlign w:val="top"/>
          </w:tcPr>
          <w:p w14:paraId="73D099AB">
            <w:pPr>
              <w:keepNext/>
              <w:spacing w:line="440" w:lineRule="exact"/>
              <w:rPr>
                <w:rFonts w:ascii="宋体" w:hAnsi="宋体" w:cs="宋体"/>
                <w:color w:val="000000"/>
                <w:szCs w:val="21"/>
                <w:highlight w:val="none"/>
              </w:rPr>
            </w:pPr>
          </w:p>
        </w:tc>
      </w:tr>
    </w:tbl>
    <w:p w14:paraId="2655AE25">
      <w:pPr>
        <w:spacing w:line="440" w:lineRule="exact"/>
        <w:rPr>
          <w:rFonts w:ascii="宋体" w:hAnsi="宋体" w:cs="宋体"/>
          <w:color w:val="000000"/>
          <w:szCs w:val="21"/>
          <w:highlight w:val="none"/>
        </w:rPr>
      </w:pPr>
    </w:p>
    <w:p w14:paraId="2E3137D7">
      <w:pPr>
        <w:spacing w:before="120" w:beforeLines="50" w:after="12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12-3：专业工程暂估价表</w:t>
      </w:r>
    </w:p>
    <w:tbl>
      <w:tblPr>
        <w:tblStyle w:val="1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AF13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5937D8DE">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序号</w:t>
            </w:r>
          </w:p>
        </w:tc>
        <w:tc>
          <w:tcPr>
            <w:tcW w:w="1984" w:type="dxa"/>
            <w:tcBorders>
              <w:top w:val="single" w:color="auto" w:sz="12" w:space="0"/>
              <w:bottom w:val="double" w:color="auto" w:sz="6" w:space="0"/>
            </w:tcBorders>
            <w:noWrap w:val="0"/>
            <w:vAlign w:val="top"/>
          </w:tcPr>
          <w:p w14:paraId="255F1856">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名称</w:t>
            </w:r>
          </w:p>
        </w:tc>
        <w:tc>
          <w:tcPr>
            <w:tcW w:w="851" w:type="dxa"/>
            <w:tcBorders>
              <w:top w:val="single" w:color="auto" w:sz="12" w:space="0"/>
              <w:bottom w:val="double" w:color="auto" w:sz="6" w:space="0"/>
            </w:tcBorders>
            <w:noWrap w:val="0"/>
            <w:vAlign w:val="top"/>
          </w:tcPr>
          <w:p w14:paraId="0D4DC638">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单位</w:t>
            </w:r>
          </w:p>
        </w:tc>
        <w:tc>
          <w:tcPr>
            <w:tcW w:w="774" w:type="dxa"/>
            <w:tcBorders>
              <w:top w:val="single" w:color="auto" w:sz="12" w:space="0"/>
              <w:bottom w:val="double" w:color="auto" w:sz="6" w:space="0"/>
            </w:tcBorders>
            <w:noWrap w:val="0"/>
            <w:vAlign w:val="top"/>
          </w:tcPr>
          <w:p w14:paraId="57D89AE7">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数量</w:t>
            </w:r>
          </w:p>
        </w:tc>
        <w:tc>
          <w:tcPr>
            <w:tcW w:w="1352" w:type="dxa"/>
            <w:tcBorders>
              <w:top w:val="single" w:color="auto" w:sz="12" w:space="0"/>
              <w:bottom w:val="double" w:color="auto" w:sz="6" w:space="0"/>
            </w:tcBorders>
            <w:noWrap w:val="0"/>
            <w:vAlign w:val="top"/>
          </w:tcPr>
          <w:p w14:paraId="53C75D67">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单价（元）</w:t>
            </w:r>
          </w:p>
        </w:tc>
        <w:tc>
          <w:tcPr>
            <w:tcW w:w="1418" w:type="dxa"/>
            <w:tcBorders>
              <w:top w:val="single" w:color="auto" w:sz="12" w:space="0"/>
              <w:bottom w:val="double" w:color="auto" w:sz="6" w:space="0"/>
            </w:tcBorders>
            <w:noWrap w:val="0"/>
            <w:vAlign w:val="top"/>
          </w:tcPr>
          <w:p w14:paraId="6D46E646">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合价（元）</w:t>
            </w:r>
          </w:p>
        </w:tc>
        <w:tc>
          <w:tcPr>
            <w:tcW w:w="1701" w:type="dxa"/>
            <w:tcBorders>
              <w:top w:val="single" w:color="auto" w:sz="12" w:space="0"/>
              <w:bottom w:val="double" w:color="auto" w:sz="6" w:space="0"/>
            </w:tcBorders>
            <w:noWrap w:val="0"/>
            <w:vAlign w:val="top"/>
          </w:tcPr>
          <w:p w14:paraId="5A4CEE65">
            <w:pPr>
              <w:keepNext/>
              <w:spacing w:line="440" w:lineRule="exact"/>
              <w:rPr>
                <w:rFonts w:ascii="宋体" w:hAnsi="宋体" w:cs="宋体"/>
                <w:color w:val="000000"/>
                <w:szCs w:val="21"/>
                <w:highlight w:val="none"/>
              </w:rPr>
            </w:pPr>
            <w:r>
              <w:rPr>
                <w:rFonts w:hint="eastAsia" w:ascii="宋体" w:hAnsi="宋体" w:cs="宋体"/>
                <w:color w:val="000000"/>
                <w:szCs w:val="21"/>
                <w:highlight w:val="none"/>
              </w:rPr>
              <w:t>备注</w:t>
            </w:r>
          </w:p>
        </w:tc>
      </w:tr>
      <w:tr w14:paraId="63AAE9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noWrap w:val="0"/>
            <w:vAlign w:val="top"/>
          </w:tcPr>
          <w:p w14:paraId="2139B045">
            <w:pPr>
              <w:keepNext/>
              <w:spacing w:line="440" w:lineRule="exact"/>
              <w:rPr>
                <w:rFonts w:ascii="宋体" w:hAnsi="宋体" w:cs="宋体"/>
                <w:color w:val="000000"/>
                <w:szCs w:val="21"/>
                <w:highlight w:val="none"/>
              </w:rPr>
            </w:pPr>
          </w:p>
        </w:tc>
        <w:tc>
          <w:tcPr>
            <w:tcW w:w="1984" w:type="dxa"/>
            <w:tcBorders>
              <w:top w:val="double" w:color="auto" w:sz="6" w:space="0"/>
            </w:tcBorders>
            <w:noWrap w:val="0"/>
            <w:vAlign w:val="top"/>
          </w:tcPr>
          <w:p w14:paraId="133937A6">
            <w:pPr>
              <w:keepNext/>
              <w:spacing w:line="440" w:lineRule="exact"/>
              <w:rPr>
                <w:rFonts w:ascii="宋体" w:hAnsi="宋体" w:cs="宋体"/>
                <w:color w:val="000000"/>
                <w:szCs w:val="21"/>
                <w:highlight w:val="none"/>
              </w:rPr>
            </w:pPr>
          </w:p>
        </w:tc>
        <w:tc>
          <w:tcPr>
            <w:tcW w:w="851" w:type="dxa"/>
            <w:tcBorders>
              <w:top w:val="double" w:color="auto" w:sz="6" w:space="0"/>
            </w:tcBorders>
            <w:noWrap w:val="0"/>
            <w:vAlign w:val="top"/>
          </w:tcPr>
          <w:p w14:paraId="752B865E">
            <w:pPr>
              <w:keepNext/>
              <w:spacing w:line="440" w:lineRule="exact"/>
              <w:rPr>
                <w:rFonts w:ascii="宋体" w:hAnsi="宋体" w:cs="宋体"/>
                <w:color w:val="000000"/>
                <w:szCs w:val="21"/>
                <w:highlight w:val="none"/>
              </w:rPr>
            </w:pPr>
          </w:p>
        </w:tc>
        <w:tc>
          <w:tcPr>
            <w:tcW w:w="774" w:type="dxa"/>
            <w:tcBorders>
              <w:top w:val="double" w:color="auto" w:sz="6" w:space="0"/>
            </w:tcBorders>
            <w:noWrap w:val="0"/>
            <w:vAlign w:val="top"/>
          </w:tcPr>
          <w:p w14:paraId="1B207348">
            <w:pPr>
              <w:keepNext/>
              <w:spacing w:line="440" w:lineRule="exact"/>
              <w:rPr>
                <w:rFonts w:ascii="宋体" w:hAnsi="宋体" w:cs="宋体"/>
                <w:color w:val="000000"/>
                <w:szCs w:val="21"/>
                <w:highlight w:val="none"/>
              </w:rPr>
            </w:pPr>
          </w:p>
        </w:tc>
        <w:tc>
          <w:tcPr>
            <w:tcW w:w="1352" w:type="dxa"/>
            <w:tcBorders>
              <w:top w:val="double" w:color="auto" w:sz="6" w:space="0"/>
            </w:tcBorders>
            <w:noWrap w:val="0"/>
            <w:vAlign w:val="top"/>
          </w:tcPr>
          <w:p w14:paraId="5CE448D1">
            <w:pPr>
              <w:keepNext/>
              <w:spacing w:line="440" w:lineRule="exact"/>
              <w:rPr>
                <w:rFonts w:ascii="宋体" w:hAnsi="宋体" w:cs="宋体"/>
                <w:color w:val="000000"/>
                <w:szCs w:val="21"/>
                <w:highlight w:val="none"/>
              </w:rPr>
            </w:pPr>
          </w:p>
        </w:tc>
        <w:tc>
          <w:tcPr>
            <w:tcW w:w="1418" w:type="dxa"/>
            <w:tcBorders>
              <w:top w:val="double" w:color="auto" w:sz="6" w:space="0"/>
            </w:tcBorders>
            <w:noWrap w:val="0"/>
            <w:vAlign w:val="top"/>
          </w:tcPr>
          <w:p w14:paraId="47795264">
            <w:pPr>
              <w:keepNext/>
              <w:spacing w:line="440" w:lineRule="exact"/>
              <w:rPr>
                <w:rFonts w:ascii="宋体" w:hAnsi="宋体" w:cs="宋体"/>
                <w:color w:val="000000"/>
                <w:szCs w:val="21"/>
                <w:highlight w:val="none"/>
              </w:rPr>
            </w:pPr>
          </w:p>
        </w:tc>
        <w:tc>
          <w:tcPr>
            <w:tcW w:w="1701" w:type="dxa"/>
            <w:tcBorders>
              <w:top w:val="double" w:color="auto" w:sz="6" w:space="0"/>
            </w:tcBorders>
            <w:noWrap w:val="0"/>
            <w:vAlign w:val="top"/>
          </w:tcPr>
          <w:p w14:paraId="7EAB5FF7">
            <w:pPr>
              <w:keepNext/>
              <w:spacing w:line="440" w:lineRule="exact"/>
              <w:rPr>
                <w:rFonts w:ascii="宋体" w:hAnsi="宋体" w:cs="宋体"/>
                <w:color w:val="000000"/>
                <w:szCs w:val="21"/>
                <w:highlight w:val="none"/>
              </w:rPr>
            </w:pPr>
          </w:p>
        </w:tc>
      </w:tr>
      <w:tr w14:paraId="33BC81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00B24F9">
            <w:pPr>
              <w:keepNext/>
              <w:spacing w:line="440" w:lineRule="exact"/>
              <w:rPr>
                <w:rFonts w:ascii="宋体" w:hAnsi="宋体" w:cs="宋体"/>
                <w:color w:val="000000"/>
                <w:szCs w:val="21"/>
                <w:highlight w:val="none"/>
              </w:rPr>
            </w:pPr>
          </w:p>
        </w:tc>
        <w:tc>
          <w:tcPr>
            <w:tcW w:w="1984" w:type="dxa"/>
            <w:tcBorders>
              <w:top w:val="nil"/>
            </w:tcBorders>
            <w:noWrap w:val="0"/>
            <w:vAlign w:val="top"/>
          </w:tcPr>
          <w:p w14:paraId="5665CEE8">
            <w:pPr>
              <w:keepNext/>
              <w:spacing w:line="440" w:lineRule="exact"/>
              <w:rPr>
                <w:rFonts w:ascii="宋体" w:hAnsi="宋体" w:cs="宋体"/>
                <w:color w:val="000000"/>
                <w:szCs w:val="21"/>
                <w:highlight w:val="none"/>
              </w:rPr>
            </w:pPr>
          </w:p>
        </w:tc>
        <w:tc>
          <w:tcPr>
            <w:tcW w:w="851" w:type="dxa"/>
            <w:tcBorders>
              <w:top w:val="nil"/>
            </w:tcBorders>
            <w:noWrap w:val="0"/>
            <w:vAlign w:val="top"/>
          </w:tcPr>
          <w:p w14:paraId="6DCCDD7E">
            <w:pPr>
              <w:keepNext/>
              <w:spacing w:line="440" w:lineRule="exact"/>
              <w:rPr>
                <w:rFonts w:ascii="宋体" w:hAnsi="宋体" w:cs="宋体"/>
                <w:color w:val="000000"/>
                <w:szCs w:val="21"/>
                <w:highlight w:val="none"/>
              </w:rPr>
            </w:pPr>
          </w:p>
        </w:tc>
        <w:tc>
          <w:tcPr>
            <w:tcW w:w="774" w:type="dxa"/>
            <w:tcBorders>
              <w:top w:val="nil"/>
            </w:tcBorders>
            <w:noWrap w:val="0"/>
            <w:vAlign w:val="top"/>
          </w:tcPr>
          <w:p w14:paraId="6DB7B90C">
            <w:pPr>
              <w:keepNext/>
              <w:spacing w:line="440" w:lineRule="exact"/>
              <w:rPr>
                <w:rFonts w:ascii="宋体" w:hAnsi="宋体" w:cs="宋体"/>
                <w:color w:val="000000"/>
                <w:szCs w:val="21"/>
                <w:highlight w:val="none"/>
              </w:rPr>
            </w:pPr>
          </w:p>
        </w:tc>
        <w:tc>
          <w:tcPr>
            <w:tcW w:w="1352" w:type="dxa"/>
            <w:tcBorders>
              <w:top w:val="nil"/>
            </w:tcBorders>
            <w:noWrap w:val="0"/>
            <w:vAlign w:val="top"/>
          </w:tcPr>
          <w:p w14:paraId="7C17672E">
            <w:pPr>
              <w:keepNext/>
              <w:spacing w:line="440" w:lineRule="exact"/>
              <w:rPr>
                <w:rFonts w:ascii="宋体" w:hAnsi="宋体" w:cs="宋体"/>
                <w:color w:val="000000"/>
                <w:szCs w:val="21"/>
                <w:highlight w:val="none"/>
              </w:rPr>
            </w:pPr>
          </w:p>
        </w:tc>
        <w:tc>
          <w:tcPr>
            <w:tcW w:w="1418" w:type="dxa"/>
            <w:tcBorders>
              <w:top w:val="nil"/>
            </w:tcBorders>
            <w:noWrap w:val="0"/>
            <w:vAlign w:val="top"/>
          </w:tcPr>
          <w:p w14:paraId="596E7B08">
            <w:pPr>
              <w:keepNext/>
              <w:spacing w:line="440" w:lineRule="exact"/>
              <w:rPr>
                <w:rFonts w:ascii="宋体" w:hAnsi="宋体" w:cs="宋体"/>
                <w:color w:val="000000"/>
                <w:szCs w:val="21"/>
                <w:highlight w:val="none"/>
              </w:rPr>
            </w:pPr>
          </w:p>
        </w:tc>
        <w:tc>
          <w:tcPr>
            <w:tcW w:w="1701" w:type="dxa"/>
            <w:tcBorders>
              <w:top w:val="nil"/>
            </w:tcBorders>
            <w:noWrap w:val="0"/>
            <w:vAlign w:val="top"/>
          </w:tcPr>
          <w:p w14:paraId="4626D547">
            <w:pPr>
              <w:keepNext/>
              <w:spacing w:line="440" w:lineRule="exact"/>
              <w:rPr>
                <w:rFonts w:ascii="宋体" w:hAnsi="宋体" w:cs="宋体"/>
                <w:color w:val="000000"/>
                <w:szCs w:val="21"/>
                <w:highlight w:val="none"/>
              </w:rPr>
            </w:pPr>
          </w:p>
        </w:tc>
      </w:tr>
      <w:tr w14:paraId="5B3E00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47FBB6">
            <w:pPr>
              <w:keepNext/>
              <w:spacing w:line="440" w:lineRule="exact"/>
              <w:rPr>
                <w:rFonts w:ascii="宋体" w:hAnsi="宋体" w:cs="宋体"/>
                <w:color w:val="000000"/>
                <w:szCs w:val="21"/>
                <w:highlight w:val="none"/>
              </w:rPr>
            </w:pPr>
          </w:p>
        </w:tc>
        <w:tc>
          <w:tcPr>
            <w:tcW w:w="1984" w:type="dxa"/>
            <w:noWrap w:val="0"/>
            <w:vAlign w:val="top"/>
          </w:tcPr>
          <w:p w14:paraId="01E5D85E">
            <w:pPr>
              <w:keepNext/>
              <w:spacing w:line="440" w:lineRule="exact"/>
              <w:rPr>
                <w:rFonts w:ascii="宋体" w:hAnsi="宋体" w:cs="宋体"/>
                <w:color w:val="000000"/>
                <w:szCs w:val="21"/>
                <w:highlight w:val="none"/>
              </w:rPr>
            </w:pPr>
          </w:p>
        </w:tc>
        <w:tc>
          <w:tcPr>
            <w:tcW w:w="851" w:type="dxa"/>
            <w:noWrap w:val="0"/>
            <w:vAlign w:val="top"/>
          </w:tcPr>
          <w:p w14:paraId="7DD3F490">
            <w:pPr>
              <w:keepNext/>
              <w:spacing w:line="440" w:lineRule="exact"/>
              <w:rPr>
                <w:rFonts w:ascii="宋体" w:hAnsi="宋体" w:cs="宋体"/>
                <w:color w:val="000000"/>
                <w:szCs w:val="21"/>
                <w:highlight w:val="none"/>
              </w:rPr>
            </w:pPr>
          </w:p>
        </w:tc>
        <w:tc>
          <w:tcPr>
            <w:tcW w:w="774" w:type="dxa"/>
            <w:noWrap w:val="0"/>
            <w:vAlign w:val="top"/>
          </w:tcPr>
          <w:p w14:paraId="7A1D7E05">
            <w:pPr>
              <w:keepNext/>
              <w:spacing w:line="440" w:lineRule="exact"/>
              <w:rPr>
                <w:rFonts w:ascii="宋体" w:hAnsi="宋体" w:cs="宋体"/>
                <w:color w:val="000000"/>
                <w:szCs w:val="21"/>
                <w:highlight w:val="none"/>
              </w:rPr>
            </w:pPr>
          </w:p>
        </w:tc>
        <w:tc>
          <w:tcPr>
            <w:tcW w:w="1352" w:type="dxa"/>
            <w:noWrap w:val="0"/>
            <w:vAlign w:val="top"/>
          </w:tcPr>
          <w:p w14:paraId="64731B5D">
            <w:pPr>
              <w:keepNext/>
              <w:spacing w:line="440" w:lineRule="exact"/>
              <w:rPr>
                <w:rFonts w:ascii="宋体" w:hAnsi="宋体" w:cs="宋体"/>
                <w:color w:val="000000"/>
                <w:szCs w:val="21"/>
                <w:highlight w:val="none"/>
              </w:rPr>
            </w:pPr>
          </w:p>
        </w:tc>
        <w:tc>
          <w:tcPr>
            <w:tcW w:w="1418" w:type="dxa"/>
            <w:noWrap w:val="0"/>
            <w:vAlign w:val="top"/>
          </w:tcPr>
          <w:p w14:paraId="00CB1D8E">
            <w:pPr>
              <w:keepNext/>
              <w:spacing w:line="440" w:lineRule="exact"/>
              <w:rPr>
                <w:rFonts w:ascii="宋体" w:hAnsi="宋体" w:cs="宋体"/>
                <w:color w:val="000000"/>
                <w:szCs w:val="21"/>
                <w:highlight w:val="none"/>
              </w:rPr>
            </w:pPr>
          </w:p>
        </w:tc>
        <w:tc>
          <w:tcPr>
            <w:tcW w:w="1701" w:type="dxa"/>
            <w:noWrap w:val="0"/>
            <w:vAlign w:val="top"/>
          </w:tcPr>
          <w:p w14:paraId="2EA2FE02">
            <w:pPr>
              <w:keepNext/>
              <w:spacing w:line="440" w:lineRule="exact"/>
              <w:rPr>
                <w:rFonts w:ascii="宋体" w:hAnsi="宋体" w:cs="宋体"/>
                <w:color w:val="000000"/>
                <w:szCs w:val="21"/>
                <w:highlight w:val="none"/>
              </w:rPr>
            </w:pPr>
          </w:p>
        </w:tc>
      </w:tr>
      <w:tr w14:paraId="0B1B46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bottom w:val="single" w:color="auto" w:sz="12" w:space="0"/>
            </w:tcBorders>
            <w:noWrap w:val="0"/>
            <w:vAlign w:val="top"/>
          </w:tcPr>
          <w:p w14:paraId="2EC09540">
            <w:pPr>
              <w:keepNext/>
              <w:spacing w:line="440" w:lineRule="exact"/>
              <w:rPr>
                <w:rFonts w:ascii="宋体" w:hAnsi="宋体" w:cs="宋体"/>
                <w:color w:val="000000"/>
                <w:szCs w:val="21"/>
                <w:highlight w:val="none"/>
              </w:rPr>
            </w:pPr>
          </w:p>
        </w:tc>
        <w:tc>
          <w:tcPr>
            <w:tcW w:w="1984" w:type="dxa"/>
            <w:tcBorders>
              <w:bottom w:val="single" w:color="auto" w:sz="12" w:space="0"/>
            </w:tcBorders>
            <w:noWrap w:val="0"/>
            <w:vAlign w:val="top"/>
          </w:tcPr>
          <w:p w14:paraId="477D9733">
            <w:pPr>
              <w:keepNext/>
              <w:spacing w:line="440" w:lineRule="exact"/>
              <w:rPr>
                <w:rFonts w:ascii="宋体" w:hAnsi="宋体" w:cs="宋体"/>
                <w:color w:val="000000"/>
                <w:szCs w:val="21"/>
                <w:highlight w:val="none"/>
              </w:rPr>
            </w:pPr>
          </w:p>
        </w:tc>
        <w:tc>
          <w:tcPr>
            <w:tcW w:w="851" w:type="dxa"/>
            <w:tcBorders>
              <w:bottom w:val="single" w:color="auto" w:sz="12" w:space="0"/>
            </w:tcBorders>
            <w:noWrap w:val="0"/>
            <w:vAlign w:val="top"/>
          </w:tcPr>
          <w:p w14:paraId="04ADEA9E">
            <w:pPr>
              <w:keepNext/>
              <w:spacing w:line="440" w:lineRule="exact"/>
              <w:rPr>
                <w:rFonts w:ascii="宋体" w:hAnsi="宋体" w:cs="宋体"/>
                <w:color w:val="000000"/>
                <w:szCs w:val="21"/>
                <w:highlight w:val="none"/>
              </w:rPr>
            </w:pPr>
          </w:p>
        </w:tc>
        <w:tc>
          <w:tcPr>
            <w:tcW w:w="774" w:type="dxa"/>
            <w:tcBorders>
              <w:bottom w:val="single" w:color="auto" w:sz="12" w:space="0"/>
            </w:tcBorders>
            <w:noWrap w:val="0"/>
            <w:vAlign w:val="top"/>
          </w:tcPr>
          <w:p w14:paraId="245D6D1F">
            <w:pPr>
              <w:keepNext/>
              <w:spacing w:line="440" w:lineRule="exact"/>
              <w:rPr>
                <w:rFonts w:ascii="宋体" w:hAnsi="宋体" w:cs="宋体"/>
                <w:color w:val="000000"/>
                <w:szCs w:val="21"/>
                <w:highlight w:val="none"/>
              </w:rPr>
            </w:pPr>
          </w:p>
        </w:tc>
        <w:tc>
          <w:tcPr>
            <w:tcW w:w="1352" w:type="dxa"/>
            <w:tcBorders>
              <w:bottom w:val="single" w:color="auto" w:sz="12" w:space="0"/>
            </w:tcBorders>
            <w:noWrap w:val="0"/>
            <w:vAlign w:val="top"/>
          </w:tcPr>
          <w:p w14:paraId="11703A98">
            <w:pPr>
              <w:keepNext/>
              <w:spacing w:line="440" w:lineRule="exact"/>
              <w:rPr>
                <w:rFonts w:ascii="宋体" w:hAnsi="宋体" w:cs="宋体"/>
                <w:color w:val="000000"/>
                <w:szCs w:val="21"/>
                <w:highlight w:val="none"/>
              </w:rPr>
            </w:pPr>
          </w:p>
        </w:tc>
        <w:tc>
          <w:tcPr>
            <w:tcW w:w="1418" w:type="dxa"/>
            <w:tcBorders>
              <w:bottom w:val="single" w:color="auto" w:sz="12" w:space="0"/>
            </w:tcBorders>
            <w:noWrap w:val="0"/>
            <w:vAlign w:val="top"/>
          </w:tcPr>
          <w:p w14:paraId="66C2BE13">
            <w:pPr>
              <w:keepNext/>
              <w:spacing w:line="440" w:lineRule="exact"/>
              <w:rPr>
                <w:rFonts w:ascii="宋体" w:hAnsi="宋体" w:cs="宋体"/>
                <w:color w:val="000000"/>
                <w:szCs w:val="21"/>
                <w:highlight w:val="none"/>
              </w:rPr>
            </w:pPr>
          </w:p>
        </w:tc>
        <w:tc>
          <w:tcPr>
            <w:tcW w:w="1701" w:type="dxa"/>
            <w:tcBorders>
              <w:bottom w:val="single" w:color="auto" w:sz="12" w:space="0"/>
            </w:tcBorders>
            <w:noWrap w:val="0"/>
            <w:vAlign w:val="top"/>
          </w:tcPr>
          <w:p w14:paraId="4E4449F3">
            <w:pPr>
              <w:keepNext/>
              <w:spacing w:line="440" w:lineRule="exact"/>
              <w:rPr>
                <w:rFonts w:ascii="宋体" w:hAnsi="宋体" w:cs="宋体"/>
                <w:color w:val="000000"/>
                <w:szCs w:val="21"/>
                <w:highlight w:val="none"/>
              </w:rPr>
            </w:pPr>
          </w:p>
        </w:tc>
      </w:tr>
    </w:tbl>
    <w:p w14:paraId="05DD4122">
      <w:pPr>
        <w:rPr>
          <w:rFonts w:ascii="宋体" w:hAnsi="宋体" w:cs="宋体"/>
          <w:color w:val="000000"/>
          <w:szCs w:val="21"/>
          <w:highlight w:val="none"/>
        </w:rPr>
      </w:pPr>
    </w:p>
    <w:p w14:paraId="4882B188">
      <w:pPr>
        <w:rPr>
          <w:rFonts w:ascii="宋体" w:hAnsi="宋体" w:cs="宋体"/>
          <w:color w:val="000000"/>
          <w:highlight w:val="none"/>
        </w:rPr>
      </w:pPr>
    </w:p>
    <w:p w14:paraId="304A5BAF">
      <w:pPr>
        <w:rPr>
          <w:rFonts w:ascii="宋体" w:hAnsi="宋体" w:cs="宋体"/>
          <w:color w:val="000000"/>
          <w:highlight w:val="none"/>
        </w:rPr>
      </w:pPr>
    </w:p>
    <w:p w14:paraId="781F3CF2">
      <w:pPr>
        <w:keepNext/>
        <w:keepLines/>
        <w:spacing w:before="120" w:after="120" w:line="360" w:lineRule="auto"/>
        <w:jc w:val="left"/>
        <w:outlineLvl w:val="2"/>
        <w:rPr>
          <w:rFonts w:ascii="宋体" w:hAnsi="宋体" w:cs="宋体"/>
          <w:color w:val="000000"/>
          <w:highlight w:val="none"/>
        </w:rPr>
        <w:sectPr>
          <w:footnotePr>
            <w:numFmt w:val="decimalEnclosedCircleChinese"/>
            <w:numRestart w:val="eachPage"/>
          </w:footnotePr>
          <w:pgSz w:w="11907" w:h="16840"/>
          <w:pgMar w:top="1474" w:right="1474" w:bottom="1474" w:left="1474" w:header="799" w:footer="907" w:gutter="0"/>
          <w:pgBorders>
            <w:top w:val="none" w:sz="0" w:space="0"/>
            <w:left w:val="none" w:sz="0" w:space="0"/>
            <w:bottom w:val="none" w:sz="0" w:space="0"/>
            <w:right w:val="none" w:sz="0" w:space="0"/>
          </w:pgBorders>
          <w:cols w:space="720" w:num="1"/>
          <w:docGrid w:linePitch="271" w:charSpace="0"/>
        </w:sectPr>
      </w:pPr>
    </w:p>
    <w:p w14:paraId="0328059A">
      <w:pPr>
        <w:keepNext/>
        <w:keepLines/>
        <w:spacing w:before="120" w:after="120" w:line="360" w:lineRule="auto"/>
        <w:jc w:val="left"/>
        <w:outlineLvl w:val="1"/>
        <w:rPr>
          <w:rFonts w:ascii="宋体" w:hAnsi="宋体" w:cs="宋体"/>
          <w:bCs/>
          <w:color w:val="000000"/>
          <w:sz w:val="24"/>
          <w:highlight w:val="none"/>
        </w:rPr>
      </w:pPr>
      <w:bookmarkStart w:id="808" w:name="_Toc95223511"/>
      <w:r>
        <w:rPr>
          <w:rFonts w:hint="eastAsia" w:ascii="宋体" w:hAnsi="宋体" w:cs="宋体"/>
          <w:bCs/>
          <w:color w:val="000000"/>
          <w:sz w:val="24"/>
          <w:highlight w:val="none"/>
        </w:rPr>
        <w:t>附件11：安全生产合同</w:t>
      </w:r>
      <w:bookmarkEnd w:id="808"/>
    </w:p>
    <w:p w14:paraId="00B962EE">
      <w:pPr>
        <w:adjustRightInd w:val="0"/>
        <w:snapToGrid w:val="0"/>
        <w:spacing w:line="360" w:lineRule="auto"/>
        <w:jc w:val="center"/>
        <w:rPr>
          <w:rFonts w:ascii="宋体" w:hAnsi="宋体" w:cs="宋体"/>
          <w:b/>
          <w:color w:val="000000"/>
          <w:sz w:val="32"/>
          <w:szCs w:val="32"/>
          <w:highlight w:val="none"/>
        </w:rPr>
      </w:pPr>
      <w:bookmarkStart w:id="809" w:name="_Toc16956"/>
      <w:bookmarkStart w:id="810" w:name="_Toc32439"/>
      <w:bookmarkStart w:id="811" w:name="_Toc95223512"/>
      <w:r>
        <w:rPr>
          <w:rFonts w:hint="eastAsia" w:ascii="宋体" w:hAnsi="宋体" w:cs="宋体"/>
          <w:b/>
          <w:color w:val="000000"/>
          <w:sz w:val="32"/>
          <w:szCs w:val="32"/>
          <w:highlight w:val="none"/>
        </w:rPr>
        <w:t>安全生产合同</w:t>
      </w:r>
      <w:bookmarkEnd w:id="809"/>
      <w:bookmarkEnd w:id="810"/>
      <w:bookmarkEnd w:id="811"/>
    </w:p>
    <w:p w14:paraId="5D131F03">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为在</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（项目名称）</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（标段）施工合同的实施过程中创造安全、高效的施工环境，切实搞好本项目的安全管理工作，本项目发包人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（发包人名称，以下简称“发包人”）与承包人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（承包人名称，以下简称“承包人”）特此签订安全生产合同：</w:t>
      </w:r>
    </w:p>
    <w:p w14:paraId="00422EF3">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1.发包人职责</w:t>
      </w:r>
    </w:p>
    <w:p w14:paraId="1C68AAC9">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（1）严格遵守国家有关安全生产的法律法规，认真执行工程承包合同中的有关安全要求。</w:t>
      </w:r>
    </w:p>
    <w:p w14:paraId="3C8F5305">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（2）按照“安全第一、预防为主”和坚持“管生产必须管安全”的原则进行安全生产管理，做到生产与安全工作同时计划、布置、检查、总结和评比。</w:t>
      </w:r>
    </w:p>
    <w:p w14:paraId="526CBCE9">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（3）重要的安全设施必须坚持与主体工程“三同时”的原则，即：同时设计、审批，同时施工，同时验收，投入使用。</w:t>
      </w:r>
    </w:p>
    <w:p w14:paraId="671F7341">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（4）定期召开安全生产调度会，及时传达中央及地方有关安全生产的精神。</w:t>
      </w:r>
    </w:p>
    <w:p w14:paraId="29406889">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（5）组织对承包人施工现场安全生产检查，监督承包人及时处理发现的各种安全隐患。</w:t>
      </w:r>
    </w:p>
    <w:p w14:paraId="506FC74D">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2.承包人职责</w:t>
      </w:r>
    </w:p>
    <w:p w14:paraId="2C04E8D8">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严格遵守《中华人民共和国安全生产法》、《建设工程安全生产管理条例》等国家有关安全生产的法律法规、《建设项目安全设施“三同时”监督管理办法》等有关安全生产的规定。认真执行工程承包合同中的有关安全要求。</w:t>
      </w:r>
    </w:p>
    <w:p w14:paraId="00EB1952">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F31DDF9">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管理条例》及有关规定的配备专职安全生产管理人员，专职负责所有员工的安全和治安保卫工作及预防事故的发生。安全机构人员有权按有关规定发布指令，并采取保护性措施防止事故发生。</w:t>
      </w:r>
    </w:p>
    <w:p w14:paraId="0FDFD077">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（4）承包人在任何时候都应采取各种合理的预防措施，防止其员工发生任何违法、违禁、暴力或妨碍治安的行为。</w:t>
      </w:r>
    </w:p>
    <w:p w14:paraId="6D4F7576">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0790791C">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7031E67C">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（7）操作人员上岗，必须按规定穿戴防护用品。施工负责人和安全检查员应随时检查劳动防护用品的穿戴情况，不按规定穿戴防护用品的人员不得上岗。</w:t>
      </w:r>
    </w:p>
    <w:p w14:paraId="2E9EA3CE">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（8）所有施工机具设备和高空作业的设备均应定期检查，并有安全员的签字记录，保证其经常处于完好状态；不合格的机具、设备和劳动保护用品严禁使用：</w:t>
      </w:r>
    </w:p>
    <w:p w14:paraId="23838D3C">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（9）施工中采用新技术、新工艺、新设备、新材料时，必须制定相应的安全技术措施，施工现场必须具有相关的安全标志牌。</w:t>
      </w:r>
    </w:p>
    <w:p w14:paraId="5F712E4E">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5E06BA8D">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（11）安全生产费用按照《建设工程安全生产管理条例》的相关规定使用和管理。</w:t>
      </w:r>
    </w:p>
    <w:p w14:paraId="053FA071">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3.违约责任</w:t>
      </w:r>
    </w:p>
    <w:p w14:paraId="22DDF4BD">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如因发包人或承包人违约造成安全事故，将依法追究责任。</w:t>
      </w:r>
    </w:p>
    <w:p w14:paraId="609B5B52">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4.本合同由双方法定代表人或其授权的代理人签署并加盖单位章后生效，全部工程竣工验收后失效。</w:t>
      </w:r>
    </w:p>
    <w:p w14:paraId="7ED09350">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5.本合同正本—式</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份，副本</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份，合同双方各执正本—份，副本</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份，当正本与副本的内容不一致时，以正本为准。</w:t>
      </w:r>
    </w:p>
    <w:p w14:paraId="3CADC608">
      <w:pPr>
        <w:spacing w:line="360" w:lineRule="auto"/>
        <w:rPr>
          <w:rFonts w:ascii="宋体" w:hAnsi="宋体" w:cs="宋体"/>
          <w:color w:val="000000"/>
          <w:szCs w:val="21"/>
          <w:highlight w:val="none"/>
        </w:rPr>
      </w:pPr>
    </w:p>
    <w:p w14:paraId="05C8B42D">
      <w:pPr>
        <w:spacing w:line="360" w:lineRule="auto"/>
        <w:rPr>
          <w:rFonts w:ascii="宋体" w:hAnsi="宋体" w:cs="宋体"/>
          <w:color w:val="000000"/>
          <w:szCs w:val="21"/>
          <w:highlight w:val="none"/>
        </w:rPr>
      </w:pPr>
    </w:p>
    <w:p w14:paraId="75717EE0">
      <w:pPr>
        <w:spacing w:line="360" w:lineRule="auto"/>
        <w:rPr>
          <w:rFonts w:ascii="宋体" w:hAnsi="宋体" w:cs="宋体"/>
          <w:color w:val="000000"/>
          <w:szCs w:val="21"/>
          <w:highlight w:val="none"/>
        </w:rPr>
      </w:pPr>
      <w:r>
        <w:rPr>
          <w:rFonts w:hint="eastAsia" w:ascii="宋体" w:hAnsi="宋体" w:cs="宋体"/>
          <w:color w:val="000000"/>
          <w:szCs w:val="21"/>
          <w:highlight w:val="none"/>
        </w:rPr>
        <w:t>发包人：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（盖单位章）           承包人：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（盖单位章）</w:t>
      </w:r>
    </w:p>
    <w:p w14:paraId="196E7602">
      <w:pPr>
        <w:spacing w:line="360" w:lineRule="auto"/>
        <w:rPr>
          <w:rFonts w:ascii="宋体" w:hAnsi="宋体" w:cs="宋体"/>
          <w:color w:val="000000"/>
          <w:szCs w:val="21"/>
          <w:highlight w:val="none"/>
        </w:rPr>
      </w:pPr>
    </w:p>
    <w:p w14:paraId="3A9D8584">
      <w:pPr>
        <w:spacing w:line="360" w:lineRule="auto"/>
        <w:rPr>
          <w:rFonts w:ascii="宋体" w:hAnsi="宋体" w:cs="宋体"/>
          <w:color w:val="000000"/>
          <w:szCs w:val="21"/>
          <w:highlight w:val="none"/>
        </w:rPr>
      </w:pPr>
      <w:r>
        <w:rPr>
          <w:rFonts w:hint="eastAsia" w:ascii="宋体" w:hAnsi="宋体" w:cs="宋体"/>
          <w:color w:val="000000"/>
          <w:szCs w:val="21"/>
          <w:highlight w:val="none"/>
        </w:rPr>
        <w:t>法定代表人或其委托代理人：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（签字）           法定代表人或其委托代理人：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（签字）</w:t>
      </w:r>
    </w:p>
    <w:p w14:paraId="55535DED">
      <w:pPr>
        <w:spacing w:line="360" w:lineRule="auto"/>
        <w:rPr>
          <w:rFonts w:ascii="宋体" w:hAnsi="宋体" w:cs="宋体"/>
          <w:color w:val="000000"/>
          <w:szCs w:val="21"/>
          <w:highlight w:val="none"/>
        </w:rPr>
      </w:pPr>
    </w:p>
    <w:p w14:paraId="5DB1C6BF">
      <w:pPr>
        <w:spacing w:line="360" w:lineRule="auto"/>
        <w:ind w:firstLine="840"/>
        <w:rPr>
          <w:rFonts w:ascii="宋体" w:hAnsi="宋体" w:cs="宋体"/>
          <w:bCs/>
          <w:color w:val="000000"/>
          <w:kern w:val="44"/>
          <w:sz w:val="32"/>
          <w:szCs w:val="44"/>
          <w:highlight w:val="none"/>
        </w:rPr>
      </w:pPr>
      <w:r>
        <w:rPr>
          <w:rFonts w:hint="eastAsia" w:ascii="宋体" w:hAnsi="宋体" w:cs="宋体"/>
          <w:color w:val="000000"/>
          <w:szCs w:val="21"/>
          <w:highlight w:val="none"/>
        </w:rPr>
        <w:t xml:space="preserve">   </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日                       </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14:paraId="469CA944">
      <w:pPr>
        <w:rPr>
          <w:rFonts w:ascii="宋体" w:hAnsi="宋体" w:cs="宋体"/>
          <w:sz w:val="32"/>
          <w:szCs w:val="44"/>
          <w:highlight w:val="none"/>
        </w:rPr>
      </w:pPr>
    </w:p>
    <w:p w14:paraId="7DDCBBC6">
      <w:pPr>
        <w:rPr>
          <w:rFonts w:ascii="宋体" w:hAnsi="宋体" w:cs="宋体"/>
          <w:sz w:val="32"/>
          <w:szCs w:val="44"/>
          <w:highlight w:val="none"/>
        </w:rPr>
      </w:pPr>
    </w:p>
    <w:p w14:paraId="4F768A69">
      <w:pPr>
        <w:tabs>
          <w:tab w:val="left" w:pos="2820"/>
        </w:tabs>
        <w:outlineLvl w:val="1"/>
        <w:rPr>
          <w:rFonts w:ascii="宋体" w:hAnsi="宋体" w:cs="宋体"/>
          <w:sz w:val="32"/>
          <w:szCs w:val="44"/>
          <w:highlight w:val="none"/>
        </w:rPr>
      </w:pPr>
      <w:r>
        <w:rPr>
          <w:rFonts w:hint="eastAsia" w:ascii="宋体" w:hAnsi="宋体" w:cs="宋体"/>
          <w:sz w:val="32"/>
          <w:szCs w:val="44"/>
          <w:highlight w:val="none"/>
        </w:rPr>
        <w:br w:type="page"/>
      </w:r>
      <w:bookmarkStart w:id="812" w:name="_Toc95223513"/>
      <w:r>
        <w:rPr>
          <w:rFonts w:hint="eastAsia" w:ascii="宋体" w:hAnsi="宋体" w:cs="宋体"/>
          <w:bCs/>
          <w:color w:val="000000"/>
          <w:sz w:val="24"/>
          <w:highlight w:val="none"/>
        </w:rPr>
        <w:t>附件12：项目经理质量终身责任制承诺</w:t>
      </w:r>
      <w:bookmarkEnd w:id="812"/>
    </w:p>
    <w:p w14:paraId="3692B600">
      <w:pPr>
        <w:adjustRightInd w:val="0"/>
        <w:snapToGrid w:val="0"/>
        <w:spacing w:line="360" w:lineRule="auto"/>
        <w:jc w:val="center"/>
        <w:rPr>
          <w:rFonts w:ascii="宋体" w:hAnsi="宋体" w:cs="宋体"/>
          <w:b/>
          <w:color w:val="000000"/>
          <w:sz w:val="32"/>
          <w:szCs w:val="32"/>
          <w:highlight w:val="none"/>
        </w:rPr>
      </w:pPr>
      <w:bookmarkStart w:id="813" w:name="_Toc19059"/>
      <w:bookmarkStart w:id="814" w:name="_Toc95223514"/>
      <w:bookmarkStart w:id="815" w:name="_Toc20282"/>
    </w:p>
    <w:p w14:paraId="43405D82">
      <w:pPr>
        <w:adjustRightInd w:val="0"/>
        <w:snapToGrid w:val="0"/>
        <w:spacing w:line="360" w:lineRule="auto"/>
        <w:jc w:val="center"/>
        <w:rPr>
          <w:rFonts w:ascii="宋体" w:hAnsi="宋体" w:cs="宋体"/>
          <w:b/>
          <w:color w:val="000000"/>
          <w:sz w:val="32"/>
          <w:szCs w:val="32"/>
          <w:highlight w:val="none"/>
        </w:rPr>
      </w:pPr>
      <w:r>
        <w:rPr>
          <w:rFonts w:hint="eastAsia" w:ascii="宋体" w:hAnsi="宋体" w:cs="宋体"/>
          <w:b/>
          <w:color w:val="000000"/>
          <w:sz w:val="32"/>
          <w:szCs w:val="32"/>
          <w:highlight w:val="none"/>
        </w:rPr>
        <w:t>项目经理质量终身责任制承诺</w:t>
      </w:r>
      <w:bookmarkEnd w:id="813"/>
      <w:bookmarkEnd w:id="814"/>
      <w:bookmarkEnd w:id="815"/>
    </w:p>
    <w:p w14:paraId="05E3F5B3">
      <w:pPr>
        <w:adjustRightInd w:val="0"/>
        <w:snapToGrid w:val="0"/>
        <w:spacing w:line="360" w:lineRule="auto"/>
        <w:rPr>
          <w:rFonts w:ascii="宋体" w:hAnsi="宋体" w:cs="宋体"/>
          <w:bCs/>
          <w:color w:val="000000"/>
          <w:sz w:val="24"/>
          <w:szCs w:val="21"/>
          <w:highlight w:val="none"/>
        </w:rPr>
      </w:pPr>
      <w:r>
        <w:rPr>
          <w:rFonts w:hint="eastAsia" w:ascii="宋体" w:hAnsi="宋体" w:cs="宋体"/>
          <w:bCs/>
          <w:color w:val="000000"/>
          <w:sz w:val="24"/>
          <w:szCs w:val="21"/>
          <w:highlight w:val="none"/>
        </w:rPr>
        <w:t>致：______________(招标人名称)</w:t>
      </w:r>
    </w:p>
    <w:p w14:paraId="182995E1">
      <w:pPr>
        <w:adjustRightInd w:val="0"/>
        <w:snapToGrid w:val="0"/>
        <w:spacing w:line="360" w:lineRule="auto"/>
        <w:ind w:firstLine="480" w:firstLineChars="200"/>
        <w:rPr>
          <w:rFonts w:ascii="宋体" w:hAnsi="宋体" w:cs="宋体"/>
          <w:bCs/>
          <w:color w:val="000000"/>
          <w:sz w:val="24"/>
          <w:szCs w:val="21"/>
          <w:highlight w:val="none"/>
        </w:rPr>
      </w:pPr>
      <w:r>
        <w:rPr>
          <w:rFonts w:hint="eastAsia" w:ascii="宋体" w:hAnsi="宋体" w:cs="宋体"/>
          <w:bCs/>
          <w:color w:val="000000"/>
          <w:sz w:val="24"/>
          <w:szCs w:val="21"/>
          <w:highlight w:val="none"/>
        </w:rPr>
        <w:t>本人作为拟委任的施工项目经理，承担相关质量终身责任，现郑重承诺如下：</w:t>
      </w:r>
    </w:p>
    <w:p w14:paraId="3D62B541">
      <w:pPr>
        <w:adjustRightInd w:val="0"/>
        <w:snapToGrid w:val="0"/>
        <w:spacing w:line="360" w:lineRule="auto"/>
        <w:ind w:firstLine="480" w:firstLineChars="200"/>
        <w:rPr>
          <w:rFonts w:ascii="宋体" w:hAnsi="宋体" w:cs="宋体"/>
          <w:bCs/>
          <w:color w:val="000000"/>
          <w:sz w:val="24"/>
          <w:szCs w:val="21"/>
          <w:highlight w:val="none"/>
        </w:rPr>
      </w:pPr>
      <w:r>
        <w:rPr>
          <w:rFonts w:hint="eastAsia" w:ascii="宋体" w:hAnsi="宋体" w:cs="宋体"/>
          <w:bCs/>
          <w:color w:val="000000"/>
          <w:sz w:val="24"/>
          <w:szCs w:val="21"/>
          <w:highlight w:val="none"/>
        </w:rPr>
        <w:t>一、在取得施工许可证后进行施工。</w:t>
      </w:r>
    </w:p>
    <w:p w14:paraId="1F88F31D">
      <w:pPr>
        <w:adjustRightInd w:val="0"/>
        <w:snapToGrid w:val="0"/>
        <w:spacing w:line="360" w:lineRule="auto"/>
        <w:ind w:firstLine="480" w:firstLineChars="200"/>
        <w:rPr>
          <w:rFonts w:ascii="宋体" w:hAnsi="宋体" w:cs="宋体"/>
          <w:bCs/>
          <w:color w:val="000000"/>
          <w:sz w:val="24"/>
          <w:szCs w:val="21"/>
          <w:highlight w:val="none"/>
        </w:rPr>
      </w:pPr>
      <w:r>
        <w:rPr>
          <w:rFonts w:hint="eastAsia" w:ascii="宋体" w:hAnsi="宋体" w:cs="宋体"/>
          <w:bCs/>
          <w:color w:val="000000"/>
          <w:sz w:val="24"/>
          <w:szCs w:val="21"/>
          <w:highlight w:val="none"/>
        </w:rPr>
        <w:t>二、严格执行施工规范及标准。</w:t>
      </w:r>
    </w:p>
    <w:p w14:paraId="72687F81">
      <w:pPr>
        <w:adjustRightInd w:val="0"/>
        <w:snapToGrid w:val="0"/>
        <w:spacing w:line="360" w:lineRule="auto"/>
        <w:ind w:firstLine="480" w:firstLineChars="200"/>
        <w:rPr>
          <w:rFonts w:ascii="宋体" w:hAnsi="宋体" w:cs="宋体"/>
          <w:bCs/>
          <w:color w:val="000000"/>
          <w:sz w:val="24"/>
          <w:szCs w:val="21"/>
          <w:highlight w:val="none"/>
        </w:rPr>
      </w:pPr>
      <w:r>
        <w:rPr>
          <w:rFonts w:hint="eastAsia" w:ascii="宋体" w:hAnsi="宋体" w:cs="宋体"/>
          <w:bCs/>
          <w:color w:val="000000"/>
          <w:sz w:val="24"/>
          <w:szCs w:val="21"/>
          <w:highlight w:val="none"/>
        </w:rPr>
        <w:t>三、严格按规定配备施工项目部关键岗位人员，并确保所有人员到岗履职。</w:t>
      </w:r>
    </w:p>
    <w:p w14:paraId="35C852AC">
      <w:pPr>
        <w:adjustRightInd w:val="0"/>
        <w:snapToGrid w:val="0"/>
        <w:spacing w:line="360" w:lineRule="auto"/>
        <w:ind w:firstLine="480" w:firstLineChars="200"/>
        <w:rPr>
          <w:rFonts w:ascii="宋体" w:hAnsi="宋体" w:cs="宋体"/>
          <w:bCs/>
          <w:color w:val="000000"/>
          <w:sz w:val="24"/>
          <w:szCs w:val="21"/>
          <w:highlight w:val="none"/>
        </w:rPr>
      </w:pPr>
      <w:r>
        <w:rPr>
          <w:rFonts w:hint="eastAsia" w:ascii="宋体" w:hAnsi="宋体" w:cs="宋体"/>
          <w:bCs/>
          <w:color w:val="000000"/>
          <w:sz w:val="24"/>
          <w:szCs w:val="21"/>
          <w:highlight w:val="none"/>
        </w:rPr>
        <w:t>四、严格按照经施工图审查机构审查合格的工程设计文件及合同约定的质量标准精心组织施工。</w:t>
      </w:r>
    </w:p>
    <w:p w14:paraId="5F59F5B5">
      <w:pPr>
        <w:adjustRightInd w:val="0"/>
        <w:snapToGrid w:val="0"/>
        <w:spacing w:line="360" w:lineRule="auto"/>
        <w:ind w:firstLine="480" w:firstLineChars="200"/>
        <w:rPr>
          <w:rFonts w:ascii="宋体" w:hAnsi="宋体" w:cs="宋体"/>
          <w:bCs/>
          <w:color w:val="000000"/>
          <w:sz w:val="24"/>
          <w:szCs w:val="21"/>
          <w:highlight w:val="none"/>
        </w:rPr>
      </w:pPr>
      <w:r>
        <w:rPr>
          <w:rFonts w:hint="eastAsia" w:ascii="宋体" w:hAnsi="宋体" w:cs="宋体"/>
          <w:bCs/>
          <w:color w:val="000000"/>
          <w:sz w:val="24"/>
          <w:szCs w:val="21"/>
          <w:highlight w:val="none"/>
        </w:rPr>
        <w:t>五、施工中采用合格的建筑材料、建筑构配件和设备等，并严格按规定执行见证取样制度。</w:t>
      </w:r>
    </w:p>
    <w:p w14:paraId="6667BCE2">
      <w:pPr>
        <w:adjustRightInd w:val="0"/>
        <w:snapToGrid w:val="0"/>
        <w:spacing w:line="360" w:lineRule="auto"/>
        <w:ind w:firstLine="480" w:firstLineChars="200"/>
        <w:rPr>
          <w:rFonts w:ascii="宋体" w:hAnsi="宋体" w:cs="宋体"/>
          <w:bCs/>
          <w:color w:val="000000"/>
          <w:sz w:val="24"/>
          <w:szCs w:val="21"/>
          <w:highlight w:val="none"/>
        </w:rPr>
      </w:pPr>
      <w:r>
        <w:rPr>
          <w:rFonts w:hint="eastAsia" w:ascii="宋体" w:hAnsi="宋体" w:cs="宋体"/>
          <w:bCs/>
          <w:color w:val="000000"/>
          <w:sz w:val="24"/>
          <w:szCs w:val="21"/>
          <w:highlight w:val="none"/>
        </w:rPr>
        <w:t>六、建立、健全质量检查、验收制度，严格工序管理，做好隐蔽工程质量的检查和记录。</w:t>
      </w:r>
    </w:p>
    <w:p w14:paraId="626A12F9">
      <w:pPr>
        <w:adjustRightInd w:val="0"/>
        <w:snapToGrid w:val="0"/>
        <w:spacing w:line="360" w:lineRule="auto"/>
        <w:ind w:firstLine="480" w:firstLineChars="200"/>
        <w:rPr>
          <w:rFonts w:ascii="宋体" w:hAnsi="宋体" w:cs="宋体"/>
          <w:bCs/>
          <w:color w:val="000000"/>
          <w:sz w:val="24"/>
          <w:szCs w:val="21"/>
          <w:highlight w:val="none"/>
        </w:rPr>
      </w:pPr>
      <w:r>
        <w:rPr>
          <w:rFonts w:hint="eastAsia" w:ascii="宋体" w:hAnsi="宋体" w:cs="宋体"/>
          <w:bCs/>
          <w:color w:val="000000"/>
          <w:sz w:val="24"/>
          <w:szCs w:val="21"/>
          <w:highlight w:val="none"/>
        </w:rPr>
        <w:t>七、对施工中出现的质量问题，及时进行整改。严格依法依规履行义务。</w:t>
      </w:r>
    </w:p>
    <w:p w14:paraId="57ABE46F">
      <w:pPr>
        <w:adjustRightInd w:val="0"/>
        <w:snapToGrid w:val="0"/>
        <w:spacing w:line="360" w:lineRule="auto"/>
        <w:ind w:firstLine="480" w:firstLineChars="200"/>
        <w:rPr>
          <w:rFonts w:ascii="宋体" w:hAnsi="宋体" w:cs="宋体"/>
          <w:bCs/>
          <w:color w:val="000000"/>
          <w:sz w:val="24"/>
          <w:szCs w:val="21"/>
          <w:highlight w:val="none"/>
        </w:rPr>
      </w:pPr>
      <w:r>
        <w:rPr>
          <w:rFonts w:hint="eastAsia" w:ascii="宋体" w:hAnsi="宋体" w:cs="宋体"/>
          <w:bCs/>
          <w:color w:val="000000"/>
          <w:sz w:val="24"/>
          <w:szCs w:val="21"/>
          <w:highlight w:val="none"/>
        </w:rPr>
        <w:t>八、履行相关工程质量检查、验收及事故处理等职责。</w:t>
      </w:r>
    </w:p>
    <w:p w14:paraId="42B6A8F0">
      <w:pPr>
        <w:adjustRightInd w:val="0"/>
        <w:snapToGrid w:val="0"/>
        <w:spacing w:line="360" w:lineRule="auto"/>
        <w:ind w:firstLine="480" w:firstLineChars="200"/>
        <w:rPr>
          <w:rFonts w:ascii="宋体" w:hAnsi="宋体" w:cs="宋体"/>
          <w:bCs/>
          <w:color w:val="000000"/>
          <w:sz w:val="24"/>
          <w:szCs w:val="21"/>
          <w:highlight w:val="none"/>
        </w:rPr>
      </w:pPr>
      <w:r>
        <w:rPr>
          <w:rFonts w:hint="eastAsia" w:ascii="宋体" w:hAnsi="宋体" w:cs="宋体"/>
          <w:bCs/>
          <w:color w:val="000000"/>
          <w:sz w:val="24"/>
          <w:szCs w:val="21"/>
          <w:highlight w:val="none"/>
        </w:rPr>
        <w:t>九、履行其他法律法规规定的职责。</w:t>
      </w:r>
    </w:p>
    <w:p w14:paraId="6D64D549">
      <w:pPr>
        <w:spacing w:line="360" w:lineRule="auto"/>
        <w:ind w:left="359" w:leftChars="171" w:firstLine="720" w:firstLineChars="300"/>
        <w:rPr>
          <w:rFonts w:ascii="宋体" w:hAnsi="宋体" w:cs="宋体"/>
          <w:bCs/>
          <w:color w:val="000000"/>
          <w:sz w:val="24"/>
          <w:szCs w:val="21"/>
          <w:highlight w:val="none"/>
        </w:rPr>
      </w:pPr>
    </w:p>
    <w:p w14:paraId="55B6E625">
      <w:pPr>
        <w:spacing w:line="360" w:lineRule="auto"/>
        <w:ind w:left="359" w:leftChars="171" w:firstLine="720" w:firstLineChars="300"/>
        <w:jc w:val="right"/>
        <w:rPr>
          <w:rFonts w:ascii="宋体" w:hAnsi="宋体" w:cs="宋体"/>
          <w:bCs/>
          <w:color w:val="000000"/>
          <w:sz w:val="24"/>
          <w:szCs w:val="21"/>
          <w:highlight w:val="none"/>
        </w:rPr>
      </w:pPr>
    </w:p>
    <w:p w14:paraId="6A40C912">
      <w:pPr>
        <w:spacing w:line="360" w:lineRule="auto"/>
        <w:ind w:left="359" w:leftChars="171" w:firstLine="720" w:firstLineChars="300"/>
        <w:jc w:val="right"/>
        <w:rPr>
          <w:rFonts w:ascii="宋体" w:hAnsi="宋体" w:cs="宋体"/>
          <w:bCs/>
          <w:color w:val="000000"/>
          <w:sz w:val="24"/>
          <w:szCs w:val="21"/>
          <w:highlight w:val="none"/>
        </w:rPr>
      </w:pPr>
      <w:r>
        <w:rPr>
          <w:rFonts w:hint="eastAsia" w:ascii="宋体" w:hAnsi="宋体" w:cs="宋体"/>
          <w:bCs/>
          <w:color w:val="000000"/>
          <w:sz w:val="24"/>
          <w:szCs w:val="21"/>
          <w:highlight w:val="none"/>
        </w:rPr>
        <w:t>项目经理：</w:t>
      </w:r>
      <w:r>
        <w:rPr>
          <w:rFonts w:hint="eastAsia" w:ascii="宋体" w:hAnsi="宋体" w:cs="宋体"/>
          <w:bCs/>
          <w:color w:val="000000"/>
          <w:sz w:val="24"/>
          <w:szCs w:val="21"/>
          <w:highlight w:val="none"/>
          <w:u w:val="single"/>
        </w:rPr>
        <w:t xml:space="preserve">                   </w:t>
      </w:r>
      <w:r>
        <w:rPr>
          <w:rFonts w:hint="eastAsia" w:ascii="宋体" w:hAnsi="宋体" w:cs="宋体"/>
          <w:bCs/>
          <w:color w:val="000000"/>
          <w:sz w:val="24"/>
          <w:szCs w:val="21"/>
          <w:highlight w:val="none"/>
        </w:rPr>
        <w:t>（签字）</w:t>
      </w:r>
    </w:p>
    <w:p w14:paraId="5CB0E085">
      <w:pPr>
        <w:keepNext/>
        <w:keepLines/>
        <w:spacing w:line="360" w:lineRule="auto"/>
        <w:jc w:val="center"/>
        <w:outlineLvl w:val="0"/>
        <w:rPr>
          <w:rFonts w:ascii="宋体" w:hAnsi="宋体" w:cs="宋体"/>
          <w:bCs/>
          <w:color w:val="000000"/>
          <w:kern w:val="44"/>
          <w:sz w:val="32"/>
          <w:szCs w:val="44"/>
          <w:highlight w:val="none"/>
        </w:rPr>
      </w:pPr>
      <w:r>
        <w:rPr>
          <w:rFonts w:hint="eastAsia" w:ascii="宋体" w:hAnsi="宋体" w:cs="宋体"/>
          <w:bCs/>
          <w:color w:val="000000"/>
          <w:sz w:val="24"/>
          <w:szCs w:val="21"/>
          <w:highlight w:val="none"/>
          <w:lang w:val="en-US" w:eastAsia="zh-CN"/>
        </w:rPr>
        <w:t xml:space="preserve">                                           </w:t>
      </w:r>
      <w:r>
        <w:rPr>
          <w:rFonts w:hint="eastAsia" w:ascii="宋体" w:hAnsi="宋体" w:cs="宋体"/>
          <w:bCs/>
          <w:color w:val="000000"/>
          <w:sz w:val="24"/>
          <w:szCs w:val="21"/>
          <w:highlight w:val="none"/>
        </w:rPr>
        <w:t>日期：_____年____月____日</w:t>
      </w:r>
      <w:r>
        <w:rPr>
          <w:rFonts w:hint="eastAsia" w:ascii="宋体" w:hAnsi="宋体" w:cs="宋体"/>
          <w:color w:val="000000"/>
          <w:szCs w:val="21"/>
          <w:highlight w:val="none"/>
        </w:rPr>
        <w:br w:type="page"/>
      </w:r>
      <w:bookmarkStart w:id="816" w:name="_Toc4767"/>
      <w:bookmarkStart w:id="817" w:name="_Toc95223515"/>
      <w:r>
        <w:rPr>
          <w:rFonts w:hint="eastAsia" w:ascii="宋体" w:hAnsi="宋体" w:cs="宋体"/>
          <w:bCs/>
          <w:color w:val="000000"/>
          <w:kern w:val="44"/>
          <w:sz w:val="36"/>
          <w:szCs w:val="36"/>
          <w:highlight w:val="none"/>
        </w:rPr>
        <w:t>第六章  工程量清单</w:t>
      </w:r>
      <w:bookmarkEnd w:id="816"/>
      <w:bookmarkEnd w:id="817"/>
    </w:p>
    <w:p w14:paraId="310EC13C">
      <w:pPr>
        <w:keepNext/>
        <w:keepLines/>
        <w:adjustRightInd w:val="0"/>
        <w:snapToGrid w:val="0"/>
        <w:spacing w:line="480" w:lineRule="auto"/>
        <w:outlineLvl w:val="1"/>
        <w:rPr>
          <w:rFonts w:ascii="宋体" w:hAnsi="宋体" w:cs="宋体"/>
          <w:b/>
          <w:bCs/>
          <w:color w:val="000000"/>
          <w:sz w:val="32"/>
          <w:szCs w:val="32"/>
          <w:highlight w:val="none"/>
        </w:rPr>
      </w:pPr>
      <w:bookmarkStart w:id="818" w:name="_Toc95223516"/>
      <w:bookmarkStart w:id="819" w:name="_Toc1620"/>
      <w:r>
        <w:rPr>
          <w:rFonts w:hint="eastAsia" w:ascii="宋体" w:hAnsi="宋体" w:cs="宋体"/>
          <w:b/>
          <w:bCs/>
          <w:color w:val="000000"/>
          <w:sz w:val="32"/>
          <w:szCs w:val="32"/>
          <w:highlight w:val="none"/>
        </w:rPr>
        <w:t>1. 计价依据</w:t>
      </w:r>
      <w:bookmarkEnd w:id="818"/>
      <w:bookmarkEnd w:id="819"/>
    </w:p>
    <w:p w14:paraId="15A4EBA4">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1.1 计价依据的确定符合国家法律法规、现行有关标准与规范，工程所在地的省、市工程定额和工程造价的规定以及工程造价信息要求。</w:t>
      </w:r>
    </w:p>
    <w:p w14:paraId="7F71278D">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1.2 安全文明施工费按下表执行： </w:t>
      </w:r>
    </w:p>
    <w:tbl>
      <w:tblPr>
        <w:tblStyle w:val="18"/>
        <w:tblW w:w="4751" w:type="pct"/>
        <w:tblInd w:w="2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15"/>
        <w:gridCol w:w="3254"/>
        <w:gridCol w:w="2395"/>
        <w:gridCol w:w="2267"/>
      </w:tblGrid>
      <w:tr w14:paraId="54FD16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74" w:type="pct"/>
            <w:vMerge w:val="restart"/>
            <w:tcBorders>
              <w:top w:val="single" w:color="auto" w:sz="4" w:space="0"/>
              <w:left w:val="single" w:color="auto" w:sz="4" w:space="0"/>
              <w:bottom w:val="single" w:color="auto" w:sz="4" w:space="0"/>
              <w:right w:val="single" w:color="auto" w:sz="4" w:space="0"/>
            </w:tcBorders>
            <w:noWrap w:val="0"/>
            <w:vAlign w:val="center"/>
          </w:tcPr>
          <w:p w14:paraId="75608B93">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项目名称</w:t>
            </w:r>
          </w:p>
        </w:tc>
        <w:tc>
          <w:tcPr>
            <w:tcW w:w="1655" w:type="pct"/>
            <w:vMerge w:val="restart"/>
            <w:tcBorders>
              <w:top w:val="single" w:color="auto" w:sz="4" w:space="0"/>
              <w:left w:val="single" w:color="auto" w:sz="4" w:space="0"/>
              <w:bottom w:val="single" w:color="auto" w:sz="4" w:space="0"/>
              <w:right w:val="single" w:color="auto" w:sz="4" w:space="0"/>
            </w:tcBorders>
            <w:noWrap w:val="0"/>
            <w:vAlign w:val="center"/>
          </w:tcPr>
          <w:p w14:paraId="0F1A0048">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计费基础</w:t>
            </w:r>
          </w:p>
        </w:tc>
        <w:tc>
          <w:tcPr>
            <w:tcW w:w="2372" w:type="pct"/>
            <w:gridSpan w:val="2"/>
            <w:tcBorders>
              <w:top w:val="single" w:color="auto" w:sz="4" w:space="0"/>
              <w:left w:val="single" w:color="auto" w:sz="4" w:space="0"/>
              <w:bottom w:val="single" w:color="auto" w:sz="4" w:space="0"/>
              <w:right w:val="single" w:color="auto" w:sz="4" w:space="0"/>
            </w:tcBorders>
            <w:noWrap w:val="0"/>
            <w:vAlign w:val="center"/>
          </w:tcPr>
          <w:p w14:paraId="3D054C71">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费率（%）</w:t>
            </w:r>
          </w:p>
        </w:tc>
      </w:tr>
      <w:tr w14:paraId="0BB1CA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74" w:type="pct"/>
            <w:vMerge w:val="continue"/>
            <w:tcBorders>
              <w:top w:val="single" w:color="auto" w:sz="4" w:space="0"/>
              <w:left w:val="single" w:color="auto" w:sz="4" w:space="0"/>
              <w:bottom w:val="single" w:color="auto" w:sz="4" w:space="0"/>
              <w:right w:val="single" w:color="auto" w:sz="4" w:space="0"/>
            </w:tcBorders>
            <w:noWrap w:val="0"/>
            <w:vAlign w:val="center"/>
          </w:tcPr>
          <w:p w14:paraId="40CDFD8B">
            <w:pPr>
              <w:widowControl/>
              <w:snapToGrid w:val="0"/>
              <w:spacing w:line="360" w:lineRule="auto"/>
              <w:jc w:val="center"/>
              <w:rPr>
                <w:rFonts w:ascii="Times New Roman" w:hAnsi="Times New Roman"/>
                <w:color w:val="FF0000"/>
                <w:kern w:val="0"/>
                <w:sz w:val="24"/>
                <w:szCs w:val="24"/>
                <w:highlight w:val="none"/>
              </w:rPr>
            </w:pPr>
          </w:p>
        </w:tc>
        <w:tc>
          <w:tcPr>
            <w:tcW w:w="1655" w:type="pct"/>
            <w:vMerge w:val="continue"/>
            <w:tcBorders>
              <w:top w:val="single" w:color="auto" w:sz="4" w:space="0"/>
              <w:left w:val="single" w:color="auto" w:sz="4" w:space="0"/>
              <w:bottom w:val="single" w:color="auto" w:sz="4" w:space="0"/>
              <w:right w:val="single" w:color="auto" w:sz="4" w:space="0"/>
            </w:tcBorders>
            <w:noWrap w:val="0"/>
            <w:vAlign w:val="center"/>
          </w:tcPr>
          <w:p w14:paraId="29BBC6E2">
            <w:pPr>
              <w:widowControl/>
              <w:snapToGrid w:val="0"/>
              <w:spacing w:line="360" w:lineRule="auto"/>
              <w:jc w:val="center"/>
              <w:rPr>
                <w:rFonts w:ascii="Times New Roman" w:hAnsi="Times New Roman"/>
                <w:color w:val="FF0000"/>
                <w:kern w:val="0"/>
                <w:sz w:val="24"/>
                <w:szCs w:val="24"/>
                <w:highlight w:val="none"/>
              </w:rPr>
            </w:pPr>
          </w:p>
        </w:tc>
        <w:tc>
          <w:tcPr>
            <w:tcW w:w="1218" w:type="pct"/>
            <w:vMerge w:val="restart"/>
            <w:tcBorders>
              <w:top w:val="single" w:color="auto" w:sz="4" w:space="0"/>
              <w:left w:val="single" w:color="auto" w:sz="4" w:space="0"/>
              <w:bottom w:val="single" w:color="000000" w:sz="4" w:space="0"/>
              <w:right w:val="single" w:color="auto" w:sz="4" w:space="0"/>
            </w:tcBorders>
            <w:noWrap w:val="0"/>
            <w:vAlign w:val="center"/>
          </w:tcPr>
          <w:p w14:paraId="63114A36">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建筑工程</w:t>
            </w:r>
          </w:p>
        </w:tc>
        <w:tc>
          <w:tcPr>
            <w:tcW w:w="1154" w:type="pct"/>
            <w:vMerge w:val="restart"/>
            <w:tcBorders>
              <w:top w:val="single" w:color="auto" w:sz="4" w:space="0"/>
              <w:left w:val="single" w:color="auto" w:sz="4" w:space="0"/>
              <w:right w:val="single" w:color="auto" w:sz="4" w:space="0"/>
            </w:tcBorders>
            <w:noWrap w:val="0"/>
            <w:vAlign w:val="center"/>
          </w:tcPr>
          <w:p w14:paraId="48B748D5">
            <w:pPr>
              <w:adjustRightInd w:val="0"/>
              <w:snapToGrid w:val="0"/>
              <w:spacing w:line="360" w:lineRule="auto"/>
              <w:jc w:val="center"/>
              <w:rPr>
                <w:rFonts w:ascii="Times New Roman" w:hAnsi="Times New Roman" w:eastAsia="仿宋"/>
                <w:color w:val="FF0000"/>
                <w:kern w:val="0"/>
                <w:sz w:val="24"/>
                <w:szCs w:val="24"/>
                <w:highlight w:val="none"/>
              </w:rPr>
            </w:pPr>
            <w:r>
              <w:rPr>
                <w:rFonts w:hint="eastAsia" w:ascii="Times New Roman" w:hAnsi="Times New Roman"/>
                <w:color w:val="FF0000"/>
                <w:kern w:val="0"/>
                <w:sz w:val="24"/>
                <w:szCs w:val="24"/>
                <w:highlight w:val="none"/>
              </w:rPr>
              <w:t>市政公用工程</w:t>
            </w:r>
          </w:p>
        </w:tc>
      </w:tr>
      <w:tr w14:paraId="011E97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974" w:type="pct"/>
            <w:vMerge w:val="continue"/>
            <w:tcBorders>
              <w:top w:val="single" w:color="000000" w:sz="4" w:space="0"/>
              <w:left w:val="single" w:color="auto" w:sz="4" w:space="0"/>
              <w:bottom w:val="single" w:color="auto" w:sz="4" w:space="0"/>
              <w:right w:val="single" w:color="auto" w:sz="4" w:space="0"/>
            </w:tcBorders>
            <w:noWrap w:val="0"/>
            <w:vAlign w:val="center"/>
          </w:tcPr>
          <w:p w14:paraId="4BECD49A">
            <w:pPr>
              <w:widowControl/>
              <w:snapToGrid w:val="0"/>
              <w:spacing w:line="360" w:lineRule="auto"/>
              <w:jc w:val="center"/>
              <w:rPr>
                <w:rFonts w:ascii="Times New Roman" w:hAnsi="Times New Roman"/>
                <w:color w:val="FF0000"/>
                <w:kern w:val="0"/>
                <w:sz w:val="24"/>
                <w:szCs w:val="24"/>
                <w:highlight w:val="none"/>
              </w:rPr>
            </w:pPr>
          </w:p>
        </w:tc>
        <w:tc>
          <w:tcPr>
            <w:tcW w:w="1655" w:type="pct"/>
            <w:vMerge w:val="continue"/>
            <w:tcBorders>
              <w:top w:val="single" w:color="000000" w:sz="4" w:space="0"/>
              <w:left w:val="single" w:color="auto" w:sz="4" w:space="0"/>
              <w:bottom w:val="single" w:color="auto" w:sz="4" w:space="0"/>
              <w:right w:val="single" w:color="auto" w:sz="4" w:space="0"/>
            </w:tcBorders>
            <w:noWrap w:val="0"/>
            <w:vAlign w:val="center"/>
          </w:tcPr>
          <w:p w14:paraId="41AA27DB">
            <w:pPr>
              <w:widowControl/>
              <w:snapToGrid w:val="0"/>
              <w:spacing w:line="360" w:lineRule="auto"/>
              <w:jc w:val="center"/>
              <w:rPr>
                <w:rFonts w:ascii="Times New Roman" w:hAnsi="Times New Roman"/>
                <w:color w:val="FF0000"/>
                <w:kern w:val="0"/>
                <w:sz w:val="24"/>
                <w:szCs w:val="24"/>
                <w:highlight w:val="none"/>
              </w:rPr>
            </w:pPr>
          </w:p>
        </w:tc>
        <w:tc>
          <w:tcPr>
            <w:tcW w:w="1218" w:type="pct"/>
            <w:vMerge w:val="continue"/>
            <w:tcBorders>
              <w:top w:val="single" w:color="000000" w:sz="4" w:space="0"/>
              <w:left w:val="single" w:color="auto" w:sz="4" w:space="0"/>
              <w:bottom w:val="single" w:color="auto" w:sz="4" w:space="0"/>
              <w:right w:val="single" w:color="auto" w:sz="4" w:space="0"/>
            </w:tcBorders>
            <w:noWrap w:val="0"/>
            <w:vAlign w:val="center"/>
          </w:tcPr>
          <w:p w14:paraId="7267D7DB">
            <w:pPr>
              <w:adjustRightInd w:val="0"/>
              <w:snapToGrid w:val="0"/>
              <w:spacing w:line="360" w:lineRule="auto"/>
              <w:jc w:val="center"/>
              <w:rPr>
                <w:rFonts w:ascii="Times New Roman" w:hAnsi="Times New Roman"/>
                <w:color w:val="FF0000"/>
                <w:kern w:val="0"/>
                <w:sz w:val="24"/>
                <w:szCs w:val="24"/>
                <w:highlight w:val="none"/>
              </w:rPr>
            </w:pPr>
          </w:p>
        </w:tc>
        <w:tc>
          <w:tcPr>
            <w:tcW w:w="1154" w:type="pct"/>
            <w:vMerge w:val="continue"/>
            <w:tcBorders>
              <w:left w:val="single" w:color="auto" w:sz="4" w:space="0"/>
              <w:bottom w:val="single" w:color="auto" w:sz="4" w:space="0"/>
              <w:right w:val="single" w:color="auto" w:sz="4" w:space="0"/>
            </w:tcBorders>
            <w:noWrap w:val="0"/>
            <w:vAlign w:val="center"/>
          </w:tcPr>
          <w:p w14:paraId="44F396EF">
            <w:pPr>
              <w:adjustRightInd w:val="0"/>
              <w:snapToGrid w:val="0"/>
              <w:spacing w:line="360" w:lineRule="auto"/>
              <w:jc w:val="center"/>
              <w:rPr>
                <w:rFonts w:ascii="Times New Roman" w:hAnsi="Times New Roman"/>
                <w:color w:val="FF0000"/>
                <w:kern w:val="0"/>
                <w:sz w:val="24"/>
                <w:szCs w:val="24"/>
                <w:highlight w:val="none"/>
              </w:rPr>
            </w:pPr>
          </w:p>
        </w:tc>
      </w:tr>
      <w:tr w14:paraId="68E55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74" w:type="pct"/>
            <w:tcBorders>
              <w:top w:val="single" w:color="auto" w:sz="4" w:space="0"/>
              <w:left w:val="single" w:color="auto" w:sz="4" w:space="0"/>
              <w:bottom w:val="single" w:color="000000" w:sz="4" w:space="0"/>
              <w:right w:val="single" w:color="auto" w:sz="4" w:space="0"/>
            </w:tcBorders>
            <w:noWrap w:val="0"/>
            <w:vAlign w:val="center"/>
          </w:tcPr>
          <w:p w14:paraId="342958E4">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环境保护费</w:t>
            </w:r>
          </w:p>
        </w:tc>
        <w:tc>
          <w:tcPr>
            <w:tcW w:w="1655" w:type="pct"/>
            <w:vMerge w:val="restart"/>
            <w:tcBorders>
              <w:top w:val="single" w:color="auto" w:sz="4" w:space="0"/>
              <w:left w:val="single" w:color="auto" w:sz="4" w:space="0"/>
              <w:bottom w:val="single" w:color="auto" w:sz="4" w:space="0"/>
              <w:right w:val="single" w:color="auto" w:sz="4" w:space="0"/>
            </w:tcBorders>
            <w:noWrap w:val="0"/>
            <w:vAlign w:val="center"/>
          </w:tcPr>
          <w:p w14:paraId="67F51A4D">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定额人工费+定额机械费</w:t>
            </w:r>
          </w:p>
        </w:tc>
        <w:tc>
          <w:tcPr>
            <w:tcW w:w="1218" w:type="pct"/>
            <w:tcBorders>
              <w:top w:val="single" w:color="auto" w:sz="4" w:space="0"/>
              <w:left w:val="single" w:color="auto" w:sz="4" w:space="0"/>
              <w:bottom w:val="single" w:color="auto" w:sz="4" w:space="0"/>
              <w:right w:val="single" w:color="auto" w:sz="4" w:space="0"/>
            </w:tcBorders>
            <w:noWrap w:val="0"/>
            <w:vAlign w:val="center"/>
          </w:tcPr>
          <w:p w14:paraId="54F81BF6">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3.28</w:t>
            </w:r>
          </w:p>
        </w:tc>
        <w:tc>
          <w:tcPr>
            <w:tcW w:w="1154" w:type="pct"/>
            <w:tcBorders>
              <w:top w:val="single" w:color="auto" w:sz="4" w:space="0"/>
              <w:left w:val="single" w:color="auto" w:sz="4" w:space="0"/>
              <w:bottom w:val="single" w:color="auto" w:sz="4" w:space="0"/>
              <w:right w:val="single" w:color="auto" w:sz="4" w:space="0"/>
            </w:tcBorders>
            <w:noWrap w:val="0"/>
            <w:vAlign w:val="center"/>
          </w:tcPr>
          <w:p w14:paraId="2E92FC96">
            <w:pPr>
              <w:adjustRightInd w:val="0"/>
              <w:snapToGrid w:val="0"/>
              <w:spacing w:line="360" w:lineRule="auto"/>
              <w:jc w:val="center"/>
              <w:rPr>
                <w:rFonts w:ascii="Times New Roman" w:hAnsi="Times New Roman" w:eastAsia="仿宋"/>
                <w:color w:val="FF0000"/>
                <w:kern w:val="0"/>
                <w:sz w:val="24"/>
                <w:szCs w:val="24"/>
                <w:highlight w:val="none"/>
              </w:rPr>
            </w:pPr>
            <w:r>
              <w:rPr>
                <w:rFonts w:hint="eastAsia" w:ascii="Times New Roman" w:hAnsi="Times New Roman"/>
                <w:color w:val="FF0000"/>
                <w:kern w:val="0"/>
                <w:sz w:val="24"/>
                <w:szCs w:val="24"/>
                <w:highlight w:val="none"/>
              </w:rPr>
              <w:t>3.57</w:t>
            </w:r>
          </w:p>
        </w:tc>
      </w:tr>
      <w:tr w14:paraId="2F7B92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74" w:type="pct"/>
            <w:tcBorders>
              <w:top w:val="single" w:color="auto" w:sz="4" w:space="0"/>
              <w:left w:val="single" w:color="auto" w:sz="4" w:space="0"/>
              <w:bottom w:val="single" w:color="auto" w:sz="4" w:space="0"/>
              <w:right w:val="single" w:color="auto" w:sz="4" w:space="0"/>
            </w:tcBorders>
            <w:noWrap w:val="0"/>
            <w:vAlign w:val="center"/>
          </w:tcPr>
          <w:p w14:paraId="56F52A87">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文明施工费</w:t>
            </w:r>
          </w:p>
        </w:tc>
        <w:tc>
          <w:tcPr>
            <w:tcW w:w="1655" w:type="pct"/>
            <w:vMerge w:val="continue"/>
            <w:tcBorders>
              <w:top w:val="single" w:color="auto" w:sz="4" w:space="0"/>
              <w:left w:val="single" w:color="auto" w:sz="4" w:space="0"/>
              <w:bottom w:val="single" w:color="auto" w:sz="4" w:space="0"/>
              <w:right w:val="single" w:color="auto" w:sz="4" w:space="0"/>
            </w:tcBorders>
            <w:noWrap w:val="0"/>
            <w:vAlign w:val="center"/>
          </w:tcPr>
          <w:p w14:paraId="4A35F8BC">
            <w:pPr>
              <w:widowControl/>
              <w:snapToGrid w:val="0"/>
              <w:spacing w:line="360" w:lineRule="auto"/>
              <w:jc w:val="center"/>
              <w:rPr>
                <w:rFonts w:ascii="Times New Roman" w:hAnsi="Times New Roman"/>
                <w:color w:val="FF0000"/>
                <w:kern w:val="0"/>
                <w:sz w:val="24"/>
                <w:szCs w:val="24"/>
                <w:highlight w:val="none"/>
              </w:rPr>
            </w:pPr>
          </w:p>
        </w:tc>
        <w:tc>
          <w:tcPr>
            <w:tcW w:w="1218" w:type="pct"/>
            <w:tcBorders>
              <w:top w:val="single" w:color="auto" w:sz="4" w:space="0"/>
              <w:left w:val="single" w:color="auto" w:sz="4" w:space="0"/>
              <w:bottom w:val="single" w:color="auto" w:sz="4" w:space="0"/>
              <w:right w:val="single" w:color="auto" w:sz="4" w:space="0"/>
            </w:tcBorders>
            <w:noWrap w:val="0"/>
            <w:vAlign w:val="center"/>
          </w:tcPr>
          <w:p w14:paraId="1DC45800">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5.12</w:t>
            </w:r>
          </w:p>
        </w:tc>
        <w:tc>
          <w:tcPr>
            <w:tcW w:w="1154" w:type="pct"/>
            <w:tcBorders>
              <w:top w:val="single" w:color="auto" w:sz="4" w:space="0"/>
              <w:left w:val="single" w:color="auto" w:sz="4" w:space="0"/>
              <w:bottom w:val="single" w:color="auto" w:sz="4" w:space="0"/>
              <w:right w:val="single" w:color="auto" w:sz="4" w:space="0"/>
            </w:tcBorders>
            <w:noWrap w:val="0"/>
            <w:vAlign w:val="center"/>
          </w:tcPr>
          <w:p w14:paraId="45D58853">
            <w:pPr>
              <w:adjustRightInd w:val="0"/>
              <w:snapToGrid w:val="0"/>
              <w:spacing w:line="360" w:lineRule="auto"/>
              <w:jc w:val="center"/>
              <w:rPr>
                <w:rFonts w:ascii="Times New Roman" w:hAnsi="Times New Roman" w:eastAsia="仿宋"/>
                <w:color w:val="FF0000"/>
                <w:kern w:val="0"/>
                <w:sz w:val="24"/>
                <w:szCs w:val="24"/>
                <w:highlight w:val="none"/>
              </w:rPr>
            </w:pPr>
            <w:r>
              <w:rPr>
                <w:rFonts w:hint="eastAsia" w:ascii="Times New Roman" w:hAnsi="Times New Roman"/>
                <w:color w:val="FF0000"/>
                <w:kern w:val="0"/>
                <w:sz w:val="24"/>
                <w:szCs w:val="24"/>
                <w:highlight w:val="none"/>
              </w:rPr>
              <w:t>7.33</w:t>
            </w:r>
          </w:p>
        </w:tc>
      </w:tr>
      <w:tr w14:paraId="5CE6F3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74" w:type="pct"/>
            <w:tcBorders>
              <w:top w:val="single" w:color="auto" w:sz="4" w:space="0"/>
              <w:left w:val="single" w:color="auto" w:sz="4" w:space="0"/>
              <w:bottom w:val="single" w:color="auto" w:sz="4" w:space="0"/>
              <w:right w:val="single" w:color="auto" w:sz="4" w:space="0"/>
            </w:tcBorders>
            <w:noWrap w:val="0"/>
            <w:vAlign w:val="center"/>
          </w:tcPr>
          <w:p w14:paraId="0351112E">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安全施工费</w:t>
            </w:r>
          </w:p>
        </w:tc>
        <w:tc>
          <w:tcPr>
            <w:tcW w:w="1655" w:type="pct"/>
            <w:vMerge w:val="continue"/>
            <w:tcBorders>
              <w:top w:val="single" w:color="auto" w:sz="4" w:space="0"/>
              <w:left w:val="single" w:color="auto" w:sz="4" w:space="0"/>
              <w:bottom w:val="single" w:color="auto" w:sz="4" w:space="0"/>
              <w:right w:val="single" w:color="auto" w:sz="4" w:space="0"/>
            </w:tcBorders>
            <w:noWrap w:val="0"/>
            <w:vAlign w:val="center"/>
          </w:tcPr>
          <w:p w14:paraId="1104FFA3">
            <w:pPr>
              <w:widowControl/>
              <w:snapToGrid w:val="0"/>
              <w:spacing w:line="360" w:lineRule="auto"/>
              <w:jc w:val="center"/>
              <w:rPr>
                <w:rFonts w:ascii="Times New Roman" w:hAnsi="Times New Roman"/>
                <w:color w:val="FF0000"/>
                <w:kern w:val="0"/>
                <w:sz w:val="24"/>
                <w:szCs w:val="24"/>
                <w:highlight w:val="none"/>
              </w:rPr>
            </w:pPr>
          </w:p>
        </w:tc>
        <w:tc>
          <w:tcPr>
            <w:tcW w:w="1218" w:type="pct"/>
            <w:tcBorders>
              <w:top w:val="single" w:color="auto" w:sz="4" w:space="0"/>
              <w:left w:val="single" w:color="auto" w:sz="4" w:space="0"/>
              <w:bottom w:val="single" w:color="auto" w:sz="4" w:space="0"/>
              <w:right w:val="single" w:color="auto" w:sz="4" w:space="0"/>
            </w:tcBorders>
            <w:noWrap w:val="0"/>
            <w:vAlign w:val="center"/>
          </w:tcPr>
          <w:p w14:paraId="4BBFD3DC">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4.13</w:t>
            </w:r>
          </w:p>
        </w:tc>
        <w:tc>
          <w:tcPr>
            <w:tcW w:w="1154" w:type="pct"/>
            <w:tcBorders>
              <w:top w:val="single" w:color="auto" w:sz="4" w:space="0"/>
              <w:left w:val="single" w:color="auto" w:sz="4" w:space="0"/>
              <w:bottom w:val="single" w:color="auto" w:sz="4" w:space="0"/>
              <w:right w:val="single" w:color="auto" w:sz="4" w:space="0"/>
            </w:tcBorders>
            <w:noWrap w:val="0"/>
            <w:vAlign w:val="center"/>
          </w:tcPr>
          <w:p w14:paraId="20C4D5FC">
            <w:pPr>
              <w:adjustRightInd w:val="0"/>
              <w:snapToGrid w:val="0"/>
              <w:spacing w:line="360" w:lineRule="auto"/>
              <w:jc w:val="center"/>
              <w:rPr>
                <w:rFonts w:ascii="Times New Roman" w:hAnsi="Times New Roman" w:eastAsia="仿宋"/>
                <w:color w:val="FF0000"/>
                <w:kern w:val="0"/>
                <w:sz w:val="24"/>
                <w:szCs w:val="24"/>
                <w:highlight w:val="none"/>
              </w:rPr>
            </w:pPr>
            <w:r>
              <w:rPr>
                <w:rFonts w:hint="eastAsia" w:ascii="Times New Roman" w:hAnsi="Times New Roman"/>
                <w:color w:val="FF0000"/>
                <w:kern w:val="0"/>
                <w:sz w:val="24"/>
                <w:szCs w:val="24"/>
                <w:highlight w:val="none"/>
              </w:rPr>
              <w:t>5.28</w:t>
            </w:r>
          </w:p>
        </w:tc>
      </w:tr>
      <w:tr w14:paraId="1E391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74" w:type="pct"/>
            <w:tcBorders>
              <w:top w:val="single" w:color="auto" w:sz="4" w:space="0"/>
              <w:left w:val="single" w:color="auto" w:sz="4" w:space="0"/>
              <w:bottom w:val="single" w:color="auto" w:sz="4" w:space="0"/>
              <w:right w:val="single" w:color="auto" w:sz="4" w:space="0"/>
            </w:tcBorders>
            <w:noWrap w:val="0"/>
            <w:vAlign w:val="center"/>
          </w:tcPr>
          <w:p w14:paraId="5D26BEDD">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临时设施费</w:t>
            </w:r>
          </w:p>
        </w:tc>
        <w:tc>
          <w:tcPr>
            <w:tcW w:w="1655" w:type="pct"/>
            <w:vMerge w:val="continue"/>
            <w:tcBorders>
              <w:top w:val="single" w:color="auto" w:sz="4" w:space="0"/>
              <w:left w:val="single" w:color="auto" w:sz="4" w:space="0"/>
              <w:bottom w:val="single" w:color="auto" w:sz="4" w:space="0"/>
              <w:right w:val="single" w:color="auto" w:sz="4" w:space="0"/>
            </w:tcBorders>
            <w:noWrap w:val="0"/>
            <w:vAlign w:val="center"/>
          </w:tcPr>
          <w:p w14:paraId="01F4181D">
            <w:pPr>
              <w:widowControl/>
              <w:snapToGrid w:val="0"/>
              <w:spacing w:line="360" w:lineRule="auto"/>
              <w:jc w:val="center"/>
              <w:rPr>
                <w:rFonts w:ascii="Times New Roman" w:hAnsi="Times New Roman"/>
                <w:color w:val="FF0000"/>
                <w:kern w:val="0"/>
                <w:sz w:val="24"/>
                <w:szCs w:val="24"/>
                <w:highlight w:val="none"/>
              </w:rPr>
            </w:pPr>
          </w:p>
        </w:tc>
        <w:tc>
          <w:tcPr>
            <w:tcW w:w="1218" w:type="pct"/>
            <w:tcBorders>
              <w:top w:val="single" w:color="auto" w:sz="4" w:space="0"/>
              <w:left w:val="single" w:color="auto" w:sz="4" w:space="0"/>
              <w:bottom w:val="single" w:color="auto" w:sz="4" w:space="0"/>
              <w:right w:val="single" w:color="auto" w:sz="4" w:space="0"/>
            </w:tcBorders>
            <w:noWrap w:val="0"/>
            <w:vAlign w:val="center"/>
          </w:tcPr>
          <w:p w14:paraId="32F705D5">
            <w:pPr>
              <w:adjustRightInd w:val="0"/>
              <w:snapToGrid w:val="0"/>
              <w:spacing w:line="360" w:lineRule="auto"/>
              <w:jc w:val="center"/>
              <w:rPr>
                <w:rFonts w:ascii="Times New Roman" w:hAnsi="Times New Roman"/>
                <w:color w:val="FF0000"/>
                <w:kern w:val="0"/>
                <w:sz w:val="24"/>
                <w:szCs w:val="24"/>
                <w:highlight w:val="none"/>
              </w:rPr>
            </w:pPr>
            <w:r>
              <w:rPr>
                <w:rFonts w:hint="eastAsia" w:ascii="Times New Roman" w:hAnsi="Times New Roman"/>
                <w:color w:val="FF0000"/>
                <w:kern w:val="0"/>
                <w:sz w:val="24"/>
                <w:szCs w:val="24"/>
                <w:highlight w:val="none"/>
              </w:rPr>
              <w:t>8.10</w:t>
            </w:r>
          </w:p>
        </w:tc>
        <w:tc>
          <w:tcPr>
            <w:tcW w:w="1154" w:type="pct"/>
            <w:tcBorders>
              <w:top w:val="single" w:color="auto" w:sz="4" w:space="0"/>
              <w:left w:val="single" w:color="auto" w:sz="4" w:space="0"/>
              <w:bottom w:val="single" w:color="auto" w:sz="4" w:space="0"/>
              <w:right w:val="single" w:color="auto" w:sz="4" w:space="0"/>
            </w:tcBorders>
            <w:noWrap w:val="0"/>
            <w:vAlign w:val="center"/>
          </w:tcPr>
          <w:p w14:paraId="14CEE4ED">
            <w:pPr>
              <w:adjustRightInd w:val="0"/>
              <w:snapToGrid w:val="0"/>
              <w:spacing w:line="360" w:lineRule="auto"/>
              <w:jc w:val="center"/>
              <w:rPr>
                <w:rFonts w:ascii="Times New Roman" w:hAnsi="Times New Roman" w:eastAsia="仿宋"/>
                <w:color w:val="FF0000"/>
                <w:kern w:val="0"/>
                <w:sz w:val="24"/>
                <w:szCs w:val="24"/>
                <w:highlight w:val="none"/>
              </w:rPr>
            </w:pPr>
            <w:r>
              <w:rPr>
                <w:rFonts w:hint="eastAsia" w:ascii="Times New Roman" w:hAnsi="Times New Roman"/>
                <w:color w:val="FF0000"/>
                <w:kern w:val="0"/>
                <w:sz w:val="24"/>
                <w:szCs w:val="24"/>
                <w:highlight w:val="none"/>
              </w:rPr>
              <w:t>9.99</w:t>
            </w:r>
          </w:p>
        </w:tc>
      </w:tr>
    </w:tbl>
    <w:p w14:paraId="13CC5E85">
      <w:pPr>
        <w:keepNext/>
        <w:keepLines/>
        <w:adjustRightInd w:val="0"/>
        <w:snapToGrid w:val="0"/>
        <w:spacing w:line="480" w:lineRule="exact"/>
        <w:outlineLvl w:val="1"/>
        <w:rPr>
          <w:rFonts w:ascii="宋体" w:hAnsi="宋体" w:cs="宋体"/>
          <w:b/>
          <w:bCs/>
          <w:color w:val="000000"/>
          <w:sz w:val="32"/>
          <w:szCs w:val="32"/>
          <w:highlight w:val="none"/>
        </w:rPr>
      </w:pPr>
      <w:bookmarkStart w:id="820" w:name="_Toc7039"/>
      <w:bookmarkStart w:id="821" w:name="_Toc95223517"/>
      <w:r>
        <w:rPr>
          <w:rFonts w:hint="eastAsia" w:ascii="宋体" w:hAnsi="宋体" w:cs="宋体"/>
          <w:b/>
          <w:bCs/>
          <w:color w:val="000000"/>
          <w:sz w:val="32"/>
          <w:szCs w:val="32"/>
          <w:highlight w:val="none"/>
        </w:rPr>
        <w:t>2. 工程造价确定</w:t>
      </w:r>
      <w:bookmarkEnd w:id="820"/>
      <w:bookmarkEnd w:id="821"/>
    </w:p>
    <w:p w14:paraId="2618C82C">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2.1 本项目采用工程量清单计价。</w:t>
      </w:r>
    </w:p>
    <w:p w14:paraId="2992F000">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2.2 除招标文件另有约定外，本项目计税采用增值税一般计税方法。</w:t>
      </w:r>
    </w:p>
    <w:p w14:paraId="0702CD95">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2.3 建设工程造价由分部分项工程费、措施项目费、不可竞争费、其他项目费和税金构成。</w:t>
      </w:r>
    </w:p>
    <w:p w14:paraId="572C3D4A">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2.4 分部分项工程项目清单采用综合单价计价。综合单价是指完成一个规定计量单位的分部分项工程和措施清单项目所需的人工费、材料和工程设备费、施工机具使用费和综合费（企业管理费和利润）以及一定范围内的风险费用。</w:t>
      </w:r>
    </w:p>
    <w:p w14:paraId="0C515EAE">
      <w:pPr>
        <w:keepNext/>
        <w:keepLines/>
        <w:adjustRightInd w:val="0"/>
        <w:snapToGrid w:val="0"/>
        <w:spacing w:line="360" w:lineRule="auto"/>
        <w:outlineLvl w:val="1"/>
        <w:rPr>
          <w:rFonts w:ascii="宋体" w:hAnsi="宋体" w:cs="宋体"/>
          <w:b/>
          <w:bCs/>
          <w:color w:val="000000"/>
          <w:sz w:val="32"/>
          <w:szCs w:val="32"/>
          <w:highlight w:val="none"/>
        </w:rPr>
      </w:pPr>
      <w:bookmarkStart w:id="822" w:name="_Toc95223518"/>
      <w:bookmarkStart w:id="823" w:name="_Toc19788"/>
      <w:r>
        <w:rPr>
          <w:rFonts w:hint="eastAsia" w:ascii="宋体" w:hAnsi="宋体" w:cs="宋体"/>
          <w:b/>
          <w:bCs/>
          <w:color w:val="000000"/>
          <w:sz w:val="32"/>
          <w:szCs w:val="32"/>
          <w:highlight w:val="none"/>
        </w:rPr>
        <w:t>3. 招标工程量清单编制要求</w:t>
      </w:r>
      <w:bookmarkEnd w:id="822"/>
      <w:bookmarkEnd w:id="823"/>
    </w:p>
    <w:p w14:paraId="33C21BD0">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3.1 招标工程量清单编制依据如下：</w:t>
      </w:r>
    </w:p>
    <w:p w14:paraId="5AE44FB4">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（1）2018版安徽省建设工程工程量清单计价办法；</w:t>
      </w:r>
    </w:p>
    <w:p w14:paraId="230CAE95">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（2）《关于调整安徽省建设工程不可竞争费构成及计费标准的通知》（建标〔2021〕42号）； </w:t>
      </w:r>
    </w:p>
    <w:p w14:paraId="154C95B1">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（3）建设工程设计文件及相关资料；</w:t>
      </w:r>
    </w:p>
    <w:p w14:paraId="0386AB5D">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（4）与建设项目有关的标准、规范、技术资料；</w:t>
      </w:r>
    </w:p>
    <w:p w14:paraId="0A88B51D">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（5）拟定的招标文件及其补充通知答疑纪要； </w:t>
      </w:r>
    </w:p>
    <w:p w14:paraId="1AD7383B">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（6）施工现场情况、地勘水文资料、工程特点及常规施工方案；</w:t>
      </w:r>
    </w:p>
    <w:p w14:paraId="42D720D3">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（7）招标人对项目其他相关要求文件。</w:t>
      </w:r>
    </w:p>
    <w:p w14:paraId="47546A88">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3.2 招标工程量清单作为招标文件的组成部分，是编制最高投标限价、投标报价、计算工程量、调整合同价款、办理工程竣工结算以及工程索赔等的依据。</w:t>
      </w:r>
    </w:p>
    <w:p w14:paraId="5A1CE27E">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3.3 投标人在投标报价过程中有责任和义务对招标人提供的工程量清单进行分析和核对,发现问题应按招标文件要求以书面形式告知招标人。</w:t>
      </w:r>
    </w:p>
    <w:p w14:paraId="547D7B0F">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3.4 工程量清单由分部分项工程量清单、措施项目清单、不可竞争项目清单、其他项目清单、税金项目清单组成。采用统一格式和表格，具体构成内容见“工程量清单”。</w:t>
      </w:r>
    </w:p>
    <w:p w14:paraId="3A756723">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3.5 分部分项工程量清单项目特征是结合本工程项目的实际情况予以描述的，对清单项目的技术和质量有要求的，见招标文件技术部分。措施项目清单中通用部分遵循计价规范编制，专业工程措施项目按规定和工程实际情况确定。</w:t>
      </w:r>
    </w:p>
    <w:p w14:paraId="184A9EFE">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3.6 招标工程量清单编制范围应与招标文件中明确的工程招标范围一致。工程量清单的组成内容应当完整、项目特征描述应准确全面，与施工图纸保持一致。</w:t>
      </w:r>
    </w:p>
    <w:p w14:paraId="03E49091">
      <w:pPr>
        <w:keepNext/>
        <w:keepLines/>
        <w:adjustRightInd w:val="0"/>
        <w:snapToGrid w:val="0"/>
        <w:spacing w:line="360" w:lineRule="auto"/>
        <w:outlineLvl w:val="1"/>
        <w:rPr>
          <w:rFonts w:ascii="宋体" w:hAnsi="宋体" w:cs="宋体"/>
          <w:b/>
          <w:bCs/>
          <w:color w:val="000000"/>
          <w:sz w:val="32"/>
          <w:szCs w:val="32"/>
          <w:highlight w:val="none"/>
        </w:rPr>
      </w:pPr>
      <w:bookmarkStart w:id="824" w:name="_Toc23910"/>
      <w:bookmarkStart w:id="825" w:name="_Toc95223519"/>
      <w:r>
        <w:rPr>
          <w:rFonts w:hint="eastAsia" w:ascii="宋体" w:hAnsi="宋体" w:cs="宋体"/>
          <w:b/>
          <w:bCs/>
          <w:color w:val="000000"/>
          <w:sz w:val="32"/>
          <w:szCs w:val="32"/>
          <w:highlight w:val="none"/>
        </w:rPr>
        <w:t>4. 最高投标限价编制要求</w:t>
      </w:r>
      <w:bookmarkEnd w:id="824"/>
      <w:bookmarkEnd w:id="825"/>
    </w:p>
    <w:p w14:paraId="01FB927D">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4.1 最高投标限价编制依据如下：</w:t>
      </w:r>
    </w:p>
    <w:p w14:paraId="695031B8">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（1）2018版安徽省建设工程费用定额；</w:t>
      </w:r>
    </w:p>
    <w:p w14:paraId="03AA4258">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（2）2018版安徽省建设工程施工机械台班费用编制规则；</w:t>
      </w:r>
    </w:p>
    <w:p w14:paraId="4BEBED62">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（3）2018版安徽省配套计价定额；</w:t>
      </w:r>
    </w:p>
    <w:p w14:paraId="79E5397A">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（4）《关于调整安徽省建设工程不可竞争费构成及计费标准的通知》（建标〔2021〕42号）； </w:t>
      </w:r>
    </w:p>
    <w:p w14:paraId="267D44F6">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（5）《关于发布《安徽省建设工程计价依据动态调整(第1期)》的公告》（安徽省住房和城乡建设厅公告第51号）</w:t>
      </w:r>
    </w:p>
    <w:p w14:paraId="2354EE06">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（6）建设工程设计文件及相关资料；</w:t>
      </w:r>
    </w:p>
    <w:p w14:paraId="027064F8">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（7）与建设项目有关的标准、规范、技术资料；</w:t>
      </w:r>
    </w:p>
    <w:p w14:paraId="033A2D82">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（8）招标文件及招标工程量清单及其补充通知答疑纪要； </w:t>
      </w:r>
    </w:p>
    <w:p w14:paraId="1CEDF272">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（9）施工现场情况、工程特点及常规施工方案；</w:t>
      </w:r>
    </w:p>
    <w:p w14:paraId="2ED9CAAC">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（10）工程造价管理机构发布的工程造价信息（2025年第5期）；</w:t>
      </w:r>
    </w:p>
    <w:p w14:paraId="7B5866A6">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（11）施工期间的风险因素；</w:t>
      </w:r>
    </w:p>
    <w:p w14:paraId="59D8CEA4">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（12）其他相关材料。</w:t>
      </w:r>
    </w:p>
    <w:p w14:paraId="5B022F1C">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4.2 最高投标限价为本次招标工程限定的最高投标限价，应当在工程所在地建设主管部门备案。最高投标限价不做上调或下浮。如最高投标限价超过批准的概算，招标人应将其报原概算审批部门审核。</w:t>
      </w:r>
    </w:p>
    <w:p w14:paraId="7C9D0A6C">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4.3 最高投标限价应采用工程单价计价，正确、全面地使用国家、省市标准、计价定额以及相关文件，成果文件质量应符合相关标准及规程的规定。最高投标限价包括分部分项工程费、措施项目费、不可竞争费、其他项目费和税金。</w:t>
      </w:r>
    </w:p>
    <w:p w14:paraId="257F8426">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4.4 分部分项工程费按本招标文件的分部分项工程量清单的特征描述及有关要求，结合第4.1款编制依据确定。</w:t>
      </w:r>
    </w:p>
    <w:p w14:paraId="3A429601">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（1）综合单价中人工和施工机械台班单价按省级和工程所在地的市级工程造价管理机构公布的单价计算；</w:t>
      </w:r>
    </w:p>
    <w:p w14:paraId="4BF964F9">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（2）综合单价中材料、工程设备单价按省级和工程所在地的市级工程造价管理机构公布的单价以及本招标文件规定的暂估价、市场调查价格计算；</w:t>
      </w:r>
    </w:p>
    <w:p w14:paraId="7568C077">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（3）本招标文件中列有材料、设备暂估价的，按暂估价计算；</w:t>
      </w:r>
    </w:p>
    <w:p w14:paraId="77D07BCC">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（4）综合单价中人工、材料和施工机械台班消耗量均按2018版安徽省定额消耗量计算；</w:t>
      </w:r>
    </w:p>
    <w:p w14:paraId="54F3B42E">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（5）综合单价中综合费费率按2018版安徽省建设工程计价依据；</w:t>
      </w:r>
    </w:p>
    <w:p w14:paraId="6B670332">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（6）综合单价中应包括招标文件约定的应由投标人承担的风险范围及其费用，风险按本招标文件第4.1款约定计算。</w:t>
      </w:r>
    </w:p>
    <w:p w14:paraId="3397C710">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4.5 措施项目费按本招标文件中的措施项目清单，根据拟定的招标文件和常规施工方案确定。对于施工机械设备的选型根据工程特点和施工条件，本着经济实用、先进高效的原则确定。措施项目费依据项目具体情况进行合理确定，复杂项目需按专家论证后的方案编制。</w:t>
      </w:r>
    </w:p>
    <w:p w14:paraId="78D94BB8">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4.6 不可竞争费（含安全文明施工费、</w:t>
      </w:r>
      <w:r>
        <w:rPr>
          <w:rFonts w:hint="eastAsia"/>
          <w:color w:val="000000"/>
          <w:highlight w:val="none"/>
        </w:rPr>
        <w:t>环境保护税</w:t>
      </w:r>
      <w:r>
        <w:rPr>
          <w:rFonts w:hint="eastAsia" w:ascii="宋体" w:hAnsi="宋体" w:cs="宋体"/>
          <w:color w:val="000000"/>
          <w:szCs w:val="21"/>
          <w:highlight w:val="none"/>
        </w:rPr>
        <w:t>）按本招标文件中的不可竞争项目清单编制确定。</w:t>
      </w:r>
    </w:p>
    <w:p w14:paraId="566E3813">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4.7 其他项目费用应按照下列规定计价:</w:t>
      </w:r>
    </w:p>
    <w:p w14:paraId="3361CD47">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（1）暂列金额按招标工程量清单中列出的金额填写；</w:t>
      </w:r>
    </w:p>
    <w:p w14:paraId="51485B0F">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（2）专业工程暂估价按招标工程量清单中列出的金额填写；</w:t>
      </w:r>
    </w:p>
    <w:p w14:paraId="5DAA256B">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（3）计日工按招标人列出项目和数量，结合第4.1款编制依据的要求确定综合单价并计算费用； </w:t>
      </w:r>
    </w:p>
    <w:p w14:paraId="7FDAADC8">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（4）总承包服务费根据招标文件列出的内容和要求计算。</w:t>
      </w:r>
    </w:p>
    <w:p w14:paraId="6193F559">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4.8 税金（增值税）按税金项目清单，结合第4.1款编制依据的要求编制，不得降低标准。</w:t>
      </w:r>
    </w:p>
    <w:p w14:paraId="4D4034E8">
      <w:pPr>
        <w:keepNext/>
        <w:keepLines/>
        <w:adjustRightInd w:val="0"/>
        <w:snapToGrid w:val="0"/>
        <w:spacing w:line="360" w:lineRule="auto"/>
        <w:outlineLvl w:val="1"/>
        <w:rPr>
          <w:rFonts w:ascii="宋体" w:hAnsi="宋体" w:cs="宋体"/>
          <w:b/>
          <w:bCs/>
          <w:color w:val="000000"/>
          <w:sz w:val="32"/>
          <w:szCs w:val="32"/>
          <w:highlight w:val="none"/>
        </w:rPr>
      </w:pPr>
      <w:bookmarkStart w:id="826" w:name="_Toc4166"/>
      <w:bookmarkStart w:id="827" w:name="_Toc95223520"/>
      <w:r>
        <w:rPr>
          <w:rFonts w:hint="eastAsia" w:ascii="宋体" w:hAnsi="宋体" w:cs="宋体"/>
          <w:b/>
          <w:bCs/>
          <w:color w:val="000000"/>
          <w:sz w:val="32"/>
          <w:szCs w:val="32"/>
          <w:highlight w:val="none"/>
        </w:rPr>
        <w:t>5. 投标报价参考编制要求</w:t>
      </w:r>
      <w:bookmarkEnd w:id="826"/>
      <w:bookmarkEnd w:id="827"/>
    </w:p>
    <w:p w14:paraId="22A434F1">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5.1 投标报价编制参考依据如下：</w:t>
      </w:r>
    </w:p>
    <w:p w14:paraId="29A20970">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（1）2018版安徽省建设工程费用定额；</w:t>
      </w:r>
    </w:p>
    <w:p w14:paraId="06E5D7D5">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（2）2018版安徽省建设工程施工机械台班费用编制规则；</w:t>
      </w:r>
    </w:p>
    <w:p w14:paraId="4E860D7D">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（3）2018版安徽省配套计价定额；</w:t>
      </w:r>
    </w:p>
    <w:p w14:paraId="44EB5BE4">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（4）《关于调整安徽省建设工程不可竞争费构成及计费标准的通知》（建标〔2021〕42号）； </w:t>
      </w:r>
    </w:p>
    <w:p w14:paraId="2925908A">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（5）《关于发布《安徽省建设工程计价依据动态调整(第1期)》的公告》（安徽省住房和城乡建设厅公告第51号）</w:t>
      </w:r>
    </w:p>
    <w:p w14:paraId="002EE8E5">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（6）建设工程设计文件及相关资料；</w:t>
      </w:r>
    </w:p>
    <w:p w14:paraId="0EAE5AE3">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（7）与建设项目有关的标准、规范、技术资料；</w:t>
      </w:r>
    </w:p>
    <w:p w14:paraId="27010C5C">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（8）招标文件及招标工程量清单及其补充通知答疑纪要； </w:t>
      </w:r>
    </w:p>
    <w:p w14:paraId="5C185B31">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（9）施工现场情况、工程特点及常规施工方案；</w:t>
      </w:r>
    </w:p>
    <w:p w14:paraId="5BFFB9B3">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（10）工程造价管理机构发布的工程造价信息（2025年第5期）；</w:t>
      </w:r>
    </w:p>
    <w:p w14:paraId="4AD5150E">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（11）施工期间的风险因素；</w:t>
      </w:r>
    </w:p>
    <w:p w14:paraId="6AFCE743">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（12）其他相关材料。</w:t>
      </w:r>
    </w:p>
    <w:p w14:paraId="53F821D0">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5.2 投标人应仔细阅读招标文件，了解拟投标合同段的全部工程内容。投标人的投标报价应是招标文件所确定的招标范围内全部工程内容的价格体现，但其投标报价不得低于投标人个别成本价。</w:t>
      </w:r>
    </w:p>
    <w:p w14:paraId="0DB96D35">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5.3 投标人应按招标人提供的招标工程量清单填报综合单价和合价，未填报的综合单价和合价，视为此项费用已合在工程量清单的其他综合单价和合价中。</w:t>
      </w:r>
    </w:p>
    <w:p w14:paraId="574216A1">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5.4 分部分项工程费根据招标文件中的工程量清单项目及项目特征描述等确定综合单价。其中综合单价是指完成一个规定清单项目所需的人工费、材料和工程设备费、施工机具使用费和综合费（企业管理费和利润）以及一定范围内投标人承担的风险费用。</w:t>
      </w:r>
    </w:p>
    <w:p w14:paraId="4F5C827A">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5.5 措施项目费根据招标文件中的工程量清单措施项目，结合第5.1款编制依据确定。投标人对招标人所列的措施项目可根据工程实际情况结合施工组织设计进行增补。</w:t>
      </w:r>
    </w:p>
    <w:p w14:paraId="0D80F80E">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5.6 不可竞争费（含安全文明施工费、</w:t>
      </w:r>
      <w:r>
        <w:rPr>
          <w:rFonts w:hint="eastAsia"/>
          <w:color w:val="000000"/>
          <w:highlight w:val="none"/>
        </w:rPr>
        <w:t>环境保护税</w:t>
      </w:r>
      <w:r>
        <w:rPr>
          <w:rFonts w:hint="eastAsia" w:ascii="宋体" w:hAnsi="宋体" w:cs="宋体"/>
          <w:color w:val="000000"/>
          <w:szCs w:val="21"/>
          <w:highlight w:val="none"/>
        </w:rPr>
        <w:t>）根据工程量清单不可竞争项目，结合第5.1款编制依据确定，安全文明施工费费率不得调整。</w:t>
      </w:r>
    </w:p>
    <w:p w14:paraId="54E7B044">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5.7 其他项目费用应按照下列规定计价:</w:t>
      </w:r>
    </w:p>
    <w:p w14:paraId="5E6170B2">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（1）暂列金额按招标工程量清单中列出的金额填写，不得更改；</w:t>
      </w:r>
    </w:p>
    <w:p w14:paraId="5E51D176">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（2）专业工程暂估价按招标工程量清单中列出的金额填写，不得更改；</w:t>
      </w:r>
    </w:p>
    <w:p w14:paraId="14E1D16F">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 xml:space="preserve">（3）计日工按招标人列出项目和数量，结合第5.1款编制依据的要求确定综合单价并计算费用； </w:t>
      </w:r>
    </w:p>
    <w:p w14:paraId="56E6B9F0">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（4）总承包服务费根据招标文件列出的内容和要求计算。</w:t>
      </w:r>
    </w:p>
    <w:p w14:paraId="5159B413">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5.8 税金（增值税）按税金项目清单，结合第5.1款编制依据的要求编制，不得调整。</w:t>
      </w:r>
    </w:p>
    <w:p w14:paraId="7C957D4D">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5.9 投标报价编制注意事项</w:t>
      </w:r>
    </w:p>
    <w:p w14:paraId="2DBD1439">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color w:val="000000"/>
          <w:szCs w:val="21"/>
          <w:highlight w:val="none"/>
          <w:lang w:val="en-US" w:eastAsia="zh-CN"/>
        </w:rPr>
        <w:t>由</w:t>
      </w:r>
      <w:r>
        <w:rPr>
          <w:rFonts w:hint="eastAsia" w:ascii="宋体" w:hAnsi="宋体" w:cs="宋体"/>
          <w:color w:val="000000"/>
          <w:szCs w:val="21"/>
          <w:highlight w:val="none"/>
        </w:rPr>
        <w:t>投标人自行采购的材料确定投标报价时应充分考虑材料价格上涨等市场风险因素，中标后不作调整，综合单价中的材料费应包含材料运杂费、采保费等一切应有费用；</w:t>
      </w:r>
    </w:p>
    <w:p w14:paraId="33567305">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（2）结算时实行暂估价的材料和设备的价差仅计取税金，不再计取其他费用；</w:t>
      </w:r>
    </w:p>
    <w:p w14:paraId="4160BA88">
      <w:pPr>
        <w:adjustRightInd w:val="0"/>
        <w:snapToGrid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（3）本招标工程的施工地点为本须知前附表所述，投标人应自行到施工现场踏勘以充分了解工地位置、情况、道路、储存空间、装卸限制</w:t>
      </w:r>
      <w:r>
        <w:rPr>
          <w:rFonts w:hint="eastAsia" w:ascii="宋体" w:hAnsi="宋体" w:cs="宋体"/>
          <w:color w:val="000000"/>
          <w:szCs w:val="21"/>
          <w:highlight w:val="none"/>
          <w:lang w:eastAsia="zh-CN"/>
        </w:rPr>
        <w:t>、</w:t>
      </w:r>
      <w:r>
        <w:rPr>
          <w:rFonts w:hint="eastAsia" w:ascii="宋体" w:hAnsi="宋体" w:cs="宋体"/>
          <w:color w:val="000000"/>
          <w:szCs w:val="21"/>
          <w:highlight w:val="none"/>
          <w:lang w:val="en-US" w:eastAsia="zh-CN"/>
        </w:rPr>
        <w:t>垂直运输限制</w:t>
      </w:r>
      <w:r>
        <w:rPr>
          <w:rFonts w:hint="eastAsia" w:ascii="宋体" w:hAnsi="宋体" w:cs="宋体"/>
          <w:color w:val="000000"/>
          <w:szCs w:val="21"/>
          <w:highlight w:val="none"/>
        </w:rPr>
        <w:t>及任何其他足以影响投标报价的情况，任何因忽视或误解施工场地情况而导致的索赔或工期延长申请将不被批准。对于受施工现场场地限制，如需要另外寻找场地解决临时住宿、材料及设备堆放，由此所产生的费用应包含在投标报价范围内，招标人不再承担该费用；</w:t>
      </w:r>
    </w:p>
    <w:p w14:paraId="3DA8B476">
      <w:pPr>
        <w:adjustRightInd w:val="0"/>
        <w:snapToGrid w:val="0"/>
        <w:spacing w:line="360" w:lineRule="auto"/>
        <w:ind w:firstLine="420" w:firstLineChars="200"/>
        <w:rPr>
          <w:rFonts w:ascii="宋体" w:hAnsi="宋体" w:cs="宋体"/>
          <w:b/>
          <w:bCs/>
          <w:color w:val="000000"/>
          <w:szCs w:val="21"/>
          <w:highlight w:val="none"/>
        </w:rPr>
      </w:pPr>
      <w:r>
        <w:rPr>
          <w:rFonts w:hint="eastAsia" w:ascii="宋体" w:hAnsi="宋体" w:cs="宋体"/>
          <w:color w:val="000000"/>
          <w:szCs w:val="21"/>
          <w:highlight w:val="none"/>
        </w:rPr>
        <w:t>（4）开标前，投标人应认真对照施工设计图纸等文件核对招标人提供的工程量清单，发现工程量存在项目划分误差、计量单位误差、数量误差、遗漏项目的，必须在招标文件规定的时间内向招标人提出异议或修正要求，否则招标人可不予答复；</w:t>
      </w:r>
    </w:p>
    <w:p w14:paraId="4C32DC60">
      <w:pPr>
        <w:adjustRightInd w:val="0"/>
        <w:snapToGrid w:val="0"/>
        <w:spacing w:line="360" w:lineRule="auto"/>
        <w:ind w:firstLine="422" w:firstLineChars="200"/>
        <w:rPr>
          <w:rFonts w:ascii="宋体" w:hAnsi="宋体" w:cs="宋体"/>
          <w:b/>
          <w:bCs/>
          <w:color w:val="000000"/>
          <w:szCs w:val="21"/>
          <w:highlight w:val="none"/>
        </w:rPr>
      </w:pPr>
      <w:r>
        <w:rPr>
          <w:rFonts w:hint="eastAsia" w:ascii="宋体" w:hAnsi="宋体" w:cs="宋体"/>
          <w:b/>
          <w:bCs/>
          <w:color w:val="000000"/>
          <w:szCs w:val="21"/>
          <w:highlight w:val="none"/>
        </w:rPr>
        <w:t>（</w:t>
      </w:r>
      <w:r>
        <w:rPr>
          <w:rFonts w:hint="eastAsia" w:ascii="宋体" w:hAnsi="宋体" w:cs="宋体"/>
          <w:b/>
          <w:bCs/>
          <w:color w:val="000000"/>
          <w:szCs w:val="21"/>
          <w:highlight w:val="none"/>
          <w:lang w:val="en-US" w:eastAsia="zh-CN"/>
        </w:rPr>
        <w:t>5</w:t>
      </w:r>
      <w:r>
        <w:rPr>
          <w:rFonts w:hint="eastAsia" w:ascii="宋体" w:hAnsi="宋体" w:cs="宋体"/>
          <w:b/>
          <w:bCs/>
          <w:color w:val="000000"/>
          <w:szCs w:val="21"/>
          <w:highlight w:val="none"/>
        </w:rPr>
        <w:t>） 除合同另有约定外，中标人在工程量清单报价书中所报的综合单价</w:t>
      </w:r>
      <w:r>
        <w:rPr>
          <w:rFonts w:hint="eastAsia" w:ascii="宋体" w:hAnsi="宋体" w:cs="宋体"/>
          <w:b/>
          <w:bCs/>
          <w:color w:val="000000"/>
          <w:szCs w:val="21"/>
          <w:highlight w:val="none"/>
          <w:lang w:eastAsia="zh-CN"/>
        </w:rPr>
        <w:t>（</w:t>
      </w:r>
      <w:r>
        <w:rPr>
          <w:rFonts w:hint="eastAsia" w:ascii="宋体" w:hAnsi="宋体" w:cs="宋体"/>
          <w:b/>
          <w:bCs/>
          <w:color w:val="000000"/>
          <w:szCs w:val="21"/>
          <w:highlight w:val="none"/>
          <w:lang w:val="en-US" w:eastAsia="zh-CN"/>
        </w:rPr>
        <w:t>下浮率</w:t>
      </w:r>
      <w:r>
        <w:rPr>
          <w:rFonts w:hint="eastAsia" w:ascii="宋体" w:hAnsi="宋体" w:cs="宋体"/>
          <w:b/>
          <w:bCs/>
          <w:color w:val="000000"/>
          <w:szCs w:val="21"/>
          <w:highlight w:val="none"/>
          <w:lang w:eastAsia="zh-CN"/>
        </w:rPr>
        <w:t>）</w:t>
      </w:r>
      <w:r>
        <w:rPr>
          <w:rFonts w:hint="eastAsia" w:ascii="宋体" w:hAnsi="宋体" w:cs="宋体"/>
          <w:b/>
          <w:bCs/>
          <w:color w:val="000000"/>
          <w:szCs w:val="21"/>
          <w:highlight w:val="none"/>
        </w:rPr>
        <w:t>在施工图纸和合同约定范围一律不予调整；</w:t>
      </w:r>
    </w:p>
    <w:p w14:paraId="4BC11FED">
      <w:pPr>
        <w:adjustRightInd w:val="0"/>
        <w:snapToGrid w:val="0"/>
        <w:spacing w:line="360" w:lineRule="auto"/>
        <w:ind w:firstLine="422" w:firstLineChars="200"/>
        <w:rPr>
          <w:rFonts w:ascii="宋体" w:hAnsi="宋体" w:cs="宋体"/>
          <w:b/>
          <w:bCs/>
          <w:color w:val="000000"/>
          <w:szCs w:val="21"/>
          <w:highlight w:val="none"/>
        </w:rPr>
      </w:pPr>
      <w:r>
        <w:rPr>
          <w:rFonts w:hint="eastAsia" w:ascii="宋体" w:hAnsi="宋体" w:cs="宋体"/>
          <w:b/>
          <w:bCs/>
          <w:color w:val="000000"/>
          <w:szCs w:val="21"/>
          <w:highlight w:val="none"/>
        </w:rPr>
        <w:t>（</w:t>
      </w:r>
      <w:r>
        <w:rPr>
          <w:rFonts w:hint="eastAsia" w:ascii="宋体" w:hAnsi="宋体" w:cs="宋体"/>
          <w:b/>
          <w:bCs/>
          <w:color w:val="000000"/>
          <w:szCs w:val="21"/>
          <w:highlight w:val="none"/>
          <w:lang w:val="en-US" w:eastAsia="zh-CN"/>
        </w:rPr>
        <w:t>6</w:t>
      </w:r>
      <w:r>
        <w:rPr>
          <w:rFonts w:hint="eastAsia" w:ascii="宋体" w:hAnsi="宋体" w:cs="宋体"/>
          <w:b/>
          <w:bCs/>
          <w:color w:val="000000"/>
          <w:szCs w:val="21"/>
          <w:highlight w:val="none"/>
        </w:rPr>
        <w:t>）本招标工程不接受恶意不平衡报价，不保证最低价中标。</w:t>
      </w:r>
    </w:p>
    <w:p w14:paraId="4930FDAC">
      <w:pPr>
        <w:rPr>
          <w:rFonts w:ascii="宋体" w:hAnsi="宋体" w:cs="宋体"/>
          <w:b/>
          <w:color w:val="000000"/>
          <w:highlight w:val="none"/>
        </w:rPr>
      </w:pPr>
    </w:p>
    <w:p w14:paraId="65A3DDCD">
      <w:pPr>
        <w:rPr>
          <w:rFonts w:ascii="宋体" w:hAnsi="宋体" w:cs="宋体"/>
          <w:b/>
          <w:color w:val="000000"/>
          <w:highlight w:val="none"/>
        </w:rPr>
      </w:pPr>
    </w:p>
    <w:p w14:paraId="13D9A289">
      <w:pPr>
        <w:rPr>
          <w:rFonts w:ascii="宋体" w:hAnsi="宋体" w:cs="宋体"/>
          <w:b/>
          <w:color w:val="000000"/>
          <w:highlight w:val="none"/>
        </w:rPr>
      </w:pPr>
    </w:p>
    <w:p w14:paraId="69099E3A">
      <w:pPr>
        <w:rPr>
          <w:rFonts w:ascii="宋体" w:hAnsi="宋体" w:cs="宋体"/>
          <w:b/>
          <w:color w:val="000000"/>
          <w:highlight w:val="none"/>
        </w:rPr>
      </w:pPr>
    </w:p>
    <w:p w14:paraId="305F2716">
      <w:pPr>
        <w:rPr>
          <w:rFonts w:ascii="宋体" w:hAnsi="宋体" w:cs="宋体"/>
          <w:b/>
          <w:color w:val="000000"/>
          <w:highlight w:val="none"/>
        </w:rPr>
      </w:pPr>
    </w:p>
    <w:p w14:paraId="179BA5DB">
      <w:pPr>
        <w:rPr>
          <w:rFonts w:ascii="宋体" w:hAnsi="宋体" w:cs="宋体"/>
          <w:b/>
          <w:color w:val="000000"/>
          <w:highlight w:val="none"/>
        </w:rPr>
      </w:pPr>
    </w:p>
    <w:p w14:paraId="2E2862D7">
      <w:pPr>
        <w:rPr>
          <w:rFonts w:hint="eastAsia" w:ascii="宋体" w:hAnsi="宋体" w:cs="宋体"/>
          <w:b/>
          <w:bCs/>
          <w:color w:val="000000"/>
          <w:kern w:val="44"/>
          <w:sz w:val="32"/>
          <w:szCs w:val="44"/>
          <w:highlight w:val="none"/>
        </w:rPr>
      </w:pPr>
      <w:bookmarkStart w:id="828" w:name="_Toc95223522"/>
      <w:r>
        <w:rPr>
          <w:rFonts w:hint="eastAsia" w:ascii="宋体" w:hAnsi="宋体" w:cs="宋体"/>
          <w:b/>
          <w:bCs/>
          <w:color w:val="000000"/>
          <w:kern w:val="44"/>
          <w:sz w:val="32"/>
          <w:szCs w:val="44"/>
          <w:highlight w:val="none"/>
        </w:rPr>
        <w:br w:type="page"/>
      </w:r>
    </w:p>
    <w:p w14:paraId="464171DC">
      <w:pPr>
        <w:keepNext/>
        <w:keepLines/>
        <w:spacing w:line="360" w:lineRule="auto"/>
        <w:jc w:val="center"/>
        <w:outlineLvl w:val="0"/>
        <w:rPr>
          <w:rFonts w:ascii="宋体" w:hAnsi="宋体" w:cs="宋体"/>
          <w:b/>
          <w:bCs/>
          <w:color w:val="000000"/>
          <w:kern w:val="44"/>
          <w:sz w:val="32"/>
          <w:szCs w:val="44"/>
          <w:highlight w:val="none"/>
        </w:rPr>
      </w:pPr>
      <w:r>
        <w:rPr>
          <w:rFonts w:hint="eastAsia" w:ascii="宋体" w:hAnsi="宋体" w:cs="宋体"/>
          <w:b/>
          <w:bCs/>
          <w:color w:val="000000"/>
          <w:kern w:val="44"/>
          <w:sz w:val="32"/>
          <w:szCs w:val="44"/>
          <w:highlight w:val="none"/>
        </w:rPr>
        <w:t xml:space="preserve">第七章 </w:t>
      </w:r>
      <w:bookmarkStart w:id="829" w:name="_Toc10656"/>
      <w:r>
        <w:rPr>
          <w:rFonts w:hint="eastAsia" w:ascii="宋体" w:hAnsi="宋体" w:cs="宋体"/>
          <w:b/>
          <w:bCs/>
          <w:color w:val="000000"/>
          <w:kern w:val="44"/>
          <w:sz w:val="32"/>
          <w:szCs w:val="44"/>
          <w:highlight w:val="none"/>
        </w:rPr>
        <w:t>图  纸</w:t>
      </w:r>
      <w:bookmarkEnd w:id="828"/>
      <w:bookmarkEnd w:id="829"/>
    </w:p>
    <w:p w14:paraId="3FCD11D1">
      <w:pPr>
        <w:outlineLvl w:val="1"/>
        <w:rPr>
          <w:rFonts w:ascii="宋体" w:hAnsi="宋体" w:cs="宋体"/>
          <w:color w:val="000000"/>
          <w:highlight w:val="none"/>
        </w:rPr>
      </w:pPr>
      <w:bookmarkStart w:id="830" w:name="_Toc95223524"/>
      <w:bookmarkStart w:id="831" w:name="_Toc23955"/>
      <w:r>
        <w:rPr>
          <w:rFonts w:hint="eastAsia" w:ascii="宋体" w:hAnsi="宋体" w:cs="宋体"/>
          <w:color w:val="000000"/>
          <w:szCs w:val="21"/>
          <w:highlight w:val="none"/>
        </w:rPr>
        <w:t>图纸</w:t>
      </w:r>
      <w:r>
        <w:rPr>
          <w:rFonts w:hint="eastAsia" w:ascii="宋体" w:hAnsi="宋体" w:cs="宋体"/>
          <w:color w:val="000000"/>
          <w:highlight w:val="none"/>
        </w:rPr>
        <w:t>（另册）</w:t>
      </w:r>
      <w:bookmarkEnd w:id="830"/>
      <w:bookmarkEnd w:id="831"/>
    </w:p>
    <w:p w14:paraId="52FB9678">
      <w:pPr>
        <w:rPr>
          <w:rFonts w:ascii="宋体" w:hAnsi="宋体" w:cs="宋体"/>
          <w:color w:val="000000"/>
          <w:highlight w:val="none"/>
        </w:rPr>
      </w:pPr>
    </w:p>
    <w:p w14:paraId="1679A3A0">
      <w:pPr>
        <w:pStyle w:val="2"/>
        <w:adjustRightInd w:val="0"/>
        <w:snapToGrid w:val="0"/>
        <w:spacing w:before="0" w:after="0" w:line="560" w:lineRule="exact"/>
        <w:rPr>
          <w:rFonts w:ascii="宋体" w:hAnsi="宋体" w:cs="宋体"/>
          <w:b w:val="0"/>
          <w:bCs w:val="0"/>
          <w:color w:val="000000"/>
          <w:sz w:val="32"/>
          <w:highlight w:val="none"/>
        </w:rPr>
      </w:pPr>
      <w:r>
        <w:rPr>
          <w:rFonts w:hint="eastAsia" w:ascii="宋体" w:hAnsi="宋体" w:cs="宋体"/>
          <w:b w:val="0"/>
          <w:bCs w:val="0"/>
          <w:color w:val="000000"/>
          <w:sz w:val="32"/>
          <w:highlight w:val="none"/>
        </w:rPr>
        <w:br w:type="page"/>
      </w:r>
      <w:bookmarkStart w:id="832" w:name="_Toc95223525"/>
      <w:bookmarkStart w:id="833" w:name="_Toc4608"/>
    </w:p>
    <w:p w14:paraId="793201CE">
      <w:pPr>
        <w:pStyle w:val="2"/>
        <w:adjustRightInd w:val="0"/>
        <w:snapToGrid w:val="0"/>
        <w:spacing w:before="0" w:after="0" w:line="560" w:lineRule="exact"/>
        <w:jc w:val="center"/>
        <w:rPr>
          <w:color w:val="000000"/>
          <w:highlight w:val="none"/>
        </w:rPr>
        <w:sectPr>
          <w:headerReference r:id="rId6" w:type="default"/>
          <w:pgSz w:w="11910" w:h="16840"/>
          <w:pgMar w:top="1060" w:right="660" w:bottom="1020" w:left="1120" w:header="0" w:footer="833" w:gutter="0"/>
          <w:pgBorders>
            <w:top w:val="none" w:sz="0" w:space="0"/>
            <w:left w:val="none" w:sz="0" w:space="0"/>
            <w:bottom w:val="none" w:sz="0" w:space="0"/>
            <w:right w:val="none" w:sz="0" w:space="0"/>
          </w:pgBorders>
          <w:cols w:space="720" w:num="1"/>
        </w:sectPr>
      </w:pPr>
    </w:p>
    <w:p w14:paraId="7DF7CB74">
      <w:pPr>
        <w:pStyle w:val="2"/>
        <w:adjustRightInd w:val="0"/>
        <w:snapToGrid w:val="0"/>
        <w:spacing w:before="0" w:after="0" w:line="560" w:lineRule="exact"/>
        <w:jc w:val="center"/>
        <w:rPr>
          <w:rFonts w:ascii="宋体" w:hAnsi="宋体" w:cs="宋体"/>
          <w:b w:val="0"/>
          <w:bCs w:val="0"/>
          <w:color w:val="000000"/>
          <w:kern w:val="2"/>
          <w:sz w:val="21"/>
          <w:szCs w:val="21"/>
          <w:highlight w:val="none"/>
        </w:rPr>
      </w:pPr>
      <w:r>
        <w:rPr>
          <w:rFonts w:hint="eastAsia"/>
          <w:color w:val="000000"/>
          <w:highlight w:val="none"/>
        </w:rPr>
        <w:t>第八章  技术标准和要求</w:t>
      </w:r>
      <w:bookmarkEnd w:id="832"/>
      <w:bookmarkEnd w:id="833"/>
    </w:p>
    <w:p w14:paraId="44FE10C1">
      <w:pPr>
        <w:spacing w:line="360" w:lineRule="auto"/>
        <w:outlineLvl w:val="1"/>
        <w:rPr>
          <w:rFonts w:ascii="宋体" w:hAnsi="宋体" w:cs="宋体"/>
          <w:color w:val="000000"/>
          <w:highlight w:val="none"/>
        </w:rPr>
      </w:pPr>
      <w:bookmarkStart w:id="834" w:name="_Toc32647"/>
      <w:bookmarkStart w:id="835" w:name="_Toc95223526"/>
      <w:r>
        <w:rPr>
          <w:rFonts w:hint="eastAsia" w:ascii="宋体" w:hAnsi="宋体" w:cs="宋体"/>
          <w:bCs/>
          <w:color w:val="000000"/>
          <w:szCs w:val="21"/>
          <w:highlight w:val="none"/>
        </w:rPr>
        <w:t>1.</w:t>
      </w:r>
      <w:r>
        <w:rPr>
          <w:rFonts w:hint="eastAsia" w:ascii="宋体" w:hAnsi="宋体" w:cs="宋体"/>
          <w:b/>
          <w:color w:val="000000"/>
          <w:highlight w:val="none"/>
        </w:rPr>
        <w:t xml:space="preserve"> </w:t>
      </w:r>
      <w:r>
        <w:rPr>
          <w:rFonts w:hint="eastAsia" w:ascii="宋体" w:hAnsi="宋体" w:cs="宋体"/>
          <w:color w:val="000000"/>
          <w:highlight w:val="none"/>
        </w:rPr>
        <w:t>一般要求</w:t>
      </w:r>
      <w:bookmarkEnd w:id="834"/>
      <w:bookmarkEnd w:id="835"/>
    </w:p>
    <w:p w14:paraId="72C48107">
      <w:pPr>
        <w:spacing w:line="360" w:lineRule="auto"/>
        <w:rPr>
          <w:rFonts w:ascii="宋体" w:hAnsi="宋体" w:cs="宋体"/>
          <w:color w:val="000000"/>
          <w:highlight w:val="none"/>
        </w:rPr>
      </w:pPr>
      <w:r>
        <w:rPr>
          <w:rFonts w:hint="eastAsia" w:ascii="宋体" w:hAnsi="宋体" w:cs="宋体"/>
          <w:color w:val="000000"/>
          <w:highlight w:val="none"/>
        </w:rPr>
        <w:t xml:space="preserve">                        </w:t>
      </w:r>
    </w:p>
    <w:p w14:paraId="162132CB">
      <w:pPr>
        <w:spacing w:line="360" w:lineRule="auto"/>
        <w:rPr>
          <w:rFonts w:ascii="宋体" w:hAnsi="宋体" w:cs="宋体"/>
          <w:color w:val="000000"/>
          <w:highlight w:val="none"/>
        </w:rPr>
      </w:pPr>
    </w:p>
    <w:p w14:paraId="0C78225A">
      <w:pPr>
        <w:spacing w:line="360" w:lineRule="auto"/>
        <w:outlineLvl w:val="1"/>
        <w:rPr>
          <w:rFonts w:ascii="宋体" w:hAnsi="宋体" w:cs="宋体"/>
          <w:color w:val="000000"/>
          <w:highlight w:val="none"/>
        </w:rPr>
      </w:pPr>
      <w:bookmarkStart w:id="836" w:name="_Toc95223527"/>
      <w:bookmarkStart w:id="837" w:name="_Toc26107"/>
      <w:r>
        <w:rPr>
          <w:rFonts w:hint="eastAsia" w:ascii="宋体" w:hAnsi="宋体" w:cs="宋体"/>
          <w:bCs/>
          <w:color w:val="000000"/>
          <w:szCs w:val="21"/>
          <w:highlight w:val="none"/>
        </w:rPr>
        <w:t>2.</w:t>
      </w:r>
      <w:r>
        <w:rPr>
          <w:rFonts w:hint="eastAsia" w:ascii="宋体" w:hAnsi="宋体" w:cs="宋体"/>
          <w:b/>
          <w:color w:val="000000"/>
          <w:highlight w:val="none"/>
        </w:rPr>
        <w:t xml:space="preserve"> </w:t>
      </w:r>
      <w:r>
        <w:rPr>
          <w:rFonts w:hint="eastAsia" w:ascii="宋体" w:hAnsi="宋体" w:cs="宋体"/>
          <w:color w:val="000000"/>
          <w:highlight w:val="none"/>
        </w:rPr>
        <w:t>特殊技术标准和要求</w:t>
      </w:r>
      <w:bookmarkEnd w:id="836"/>
      <w:bookmarkEnd w:id="837"/>
    </w:p>
    <w:p w14:paraId="270D65F8">
      <w:pPr>
        <w:spacing w:line="360" w:lineRule="auto"/>
        <w:rPr>
          <w:rFonts w:ascii="宋体" w:hAnsi="宋体" w:cs="宋体"/>
          <w:color w:val="000000"/>
          <w:highlight w:val="none"/>
        </w:rPr>
      </w:pPr>
      <w:r>
        <w:rPr>
          <w:rFonts w:hint="eastAsia" w:ascii="宋体" w:hAnsi="宋体" w:cs="宋体"/>
          <w:color w:val="000000"/>
          <w:highlight w:val="none"/>
        </w:rPr>
        <w:t xml:space="preserve">                       </w:t>
      </w:r>
    </w:p>
    <w:p w14:paraId="60A00D1F">
      <w:pPr>
        <w:spacing w:line="360" w:lineRule="auto"/>
        <w:rPr>
          <w:rFonts w:ascii="宋体" w:hAnsi="宋体" w:cs="宋体"/>
          <w:color w:val="000000"/>
          <w:highlight w:val="none"/>
        </w:rPr>
      </w:pPr>
    </w:p>
    <w:p w14:paraId="4A4FC78F">
      <w:pPr>
        <w:outlineLvl w:val="1"/>
        <w:rPr>
          <w:rFonts w:ascii="宋体" w:hAnsi="宋体" w:cs="宋体"/>
          <w:color w:val="000000"/>
          <w:highlight w:val="none"/>
        </w:rPr>
      </w:pPr>
      <w:bookmarkStart w:id="838" w:name="_Toc30517"/>
      <w:bookmarkStart w:id="839" w:name="_Toc95223528"/>
      <w:r>
        <w:rPr>
          <w:rFonts w:hint="eastAsia" w:ascii="宋体" w:hAnsi="宋体" w:cs="宋体"/>
          <w:bCs/>
          <w:color w:val="000000"/>
          <w:szCs w:val="21"/>
          <w:highlight w:val="none"/>
        </w:rPr>
        <w:t>3.</w:t>
      </w:r>
      <w:r>
        <w:rPr>
          <w:rFonts w:hint="eastAsia" w:ascii="宋体" w:hAnsi="宋体" w:cs="宋体"/>
          <w:b/>
          <w:color w:val="000000"/>
          <w:highlight w:val="none"/>
        </w:rPr>
        <w:t xml:space="preserve"> </w:t>
      </w:r>
      <w:r>
        <w:rPr>
          <w:rFonts w:hint="eastAsia" w:ascii="宋体" w:hAnsi="宋体" w:cs="宋体"/>
          <w:color w:val="000000"/>
          <w:highlight w:val="none"/>
        </w:rPr>
        <w:t>适用的国家、行业以及地方标准、规范和规程</w:t>
      </w:r>
      <w:bookmarkEnd w:id="838"/>
      <w:bookmarkEnd w:id="839"/>
    </w:p>
    <w:p w14:paraId="57EE29B9">
      <w:pPr>
        <w:spacing w:line="360" w:lineRule="auto"/>
        <w:rPr>
          <w:rFonts w:ascii="宋体" w:hAnsi="宋体" w:cs="宋体"/>
          <w:color w:val="000000"/>
          <w:highlight w:val="none"/>
        </w:rPr>
      </w:pPr>
      <w:r>
        <w:rPr>
          <w:rFonts w:hint="eastAsia" w:ascii="宋体" w:hAnsi="宋体" w:cs="宋体"/>
          <w:color w:val="000000"/>
          <w:highlight w:val="none"/>
        </w:rPr>
        <w:t xml:space="preserve">                       </w:t>
      </w:r>
    </w:p>
    <w:p w14:paraId="4B9934F7">
      <w:pPr>
        <w:spacing w:line="360" w:lineRule="auto"/>
        <w:rPr>
          <w:rFonts w:ascii="宋体" w:hAnsi="宋体" w:cs="宋体"/>
          <w:color w:val="000000"/>
          <w:highlight w:val="none"/>
        </w:rPr>
      </w:pPr>
    </w:p>
    <w:p w14:paraId="32C46B8D">
      <w:pPr>
        <w:spacing w:line="360" w:lineRule="auto"/>
        <w:outlineLvl w:val="1"/>
        <w:rPr>
          <w:rFonts w:ascii="宋体" w:hAnsi="宋体" w:cs="宋体"/>
          <w:color w:val="000000"/>
          <w:highlight w:val="none"/>
        </w:rPr>
      </w:pPr>
      <w:bookmarkStart w:id="840" w:name="_Toc16564"/>
      <w:bookmarkStart w:id="841" w:name="_Toc95223529"/>
      <w:r>
        <w:rPr>
          <w:rFonts w:hint="eastAsia" w:ascii="宋体" w:hAnsi="宋体" w:cs="宋体"/>
          <w:color w:val="000000"/>
          <w:highlight w:val="none"/>
        </w:rPr>
        <w:t>4. 招标人推荐品牌</w:t>
      </w:r>
      <w:bookmarkEnd w:id="840"/>
      <w:bookmarkEnd w:id="841"/>
    </w:p>
    <w:p w14:paraId="7A6696E4">
      <w:pPr>
        <w:spacing w:line="540" w:lineRule="exact"/>
        <w:jc w:val="center"/>
        <w:rPr>
          <w:rFonts w:ascii="宋体" w:hAnsi="宋体" w:cs="宋体"/>
          <w:color w:val="FF0000"/>
          <w:sz w:val="24"/>
          <w:highlight w:val="none"/>
        </w:rPr>
      </w:pPr>
      <w:bookmarkStart w:id="842" w:name="_Toc95223530"/>
      <w:bookmarkStart w:id="843" w:name="_Toc929"/>
      <w:bookmarkStart w:id="844" w:name="_Toc19422"/>
      <w:r>
        <w:rPr>
          <w:rFonts w:hint="eastAsia" w:ascii="宋体" w:hAnsi="宋体" w:cs="宋体"/>
          <w:b/>
          <w:bCs w:val="0"/>
          <w:color w:val="auto"/>
          <w:szCs w:val="21"/>
          <w:highlight w:val="none"/>
        </w:rPr>
        <w:t>品牌推荐表</w:t>
      </w:r>
      <w:bookmarkEnd w:id="842"/>
      <w:bookmarkEnd w:id="843"/>
      <w:bookmarkEnd w:id="844"/>
    </w:p>
    <w:tbl>
      <w:tblPr>
        <w:tblStyle w:val="18"/>
        <w:tblW w:w="5000" w:type="pct"/>
        <w:jc w:val="center"/>
        <w:tblLayout w:type="autofit"/>
        <w:tblCellMar>
          <w:top w:w="0" w:type="dxa"/>
          <w:left w:w="108" w:type="dxa"/>
          <w:bottom w:w="0" w:type="dxa"/>
          <w:right w:w="108" w:type="dxa"/>
        </w:tblCellMar>
      </w:tblPr>
      <w:tblGrid>
        <w:gridCol w:w="760"/>
        <w:gridCol w:w="2422"/>
        <w:gridCol w:w="1492"/>
        <w:gridCol w:w="1492"/>
        <w:gridCol w:w="1492"/>
        <w:gridCol w:w="1493"/>
        <w:gridCol w:w="1195"/>
      </w:tblGrid>
      <w:tr w14:paraId="3A5E263B">
        <w:tblPrEx>
          <w:tblCellMar>
            <w:top w:w="0" w:type="dxa"/>
            <w:left w:w="108" w:type="dxa"/>
            <w:bottom w:w="0" w:type="dxa"/>
            <w:right w:w="108" w:type="dxa"/>
          </w:tblCellMar>
        </w:tblPrEx>
        <w:trPr>
          <w:trHeight w:val="463" w:hRule="atLeast"/>
          <w:jc w:val="center"/>
        </w:trPr>
        <w:tc>
          <w:tcPr>
            <w:tcW w:w="367" w:type="pct"/>
            <w:tcBorders>
              <w:top w:val="single" w:color="auto" w:sz="4" w:space="0"/>
              <w:left w:val="single" w:color="auto" w:sz="4" w:space="0"/>
              <w:bottom w:val="single" w:color="auto" w:sz="4" w:space="0"/>
              <w:right w:val="single" w:color="auto" w:sz="4" w:space="0"/>
            </w:tcBorders>
            <w:noWrap w:val="0"/>
            <w:vAlign w:val="center"/>
          </w:tcPr>
          <w:p w14:paraId="1F5675D0">
            <w:pPr>
              <w:widowControl/>
              <w:rPr>
                <w:rFonts w:ascii="宋体" w:hAnsi="宋体" w:cs="宋体"/>
                <w:b/>
                <w:bCs/>
                <w:color w:val="auto"/>
                <w:kern w:val="0"/>
                <w:szCs w:val="21"/>
                <w:highlight w:val="none"/>
              </w:rPr>
            </w:pPr>
            <w:r>
              <w:rPr>
                <w:rFonts w:hint="eastAsia" w:ascii="宋体" w:hAnsi="宋体" w:cs="宋体"/>
                <w:b/>
                <w:bCs/>
                <w:color w:val="auto"/>
                <w:kern w:val="0"/>
                <w:szCs w:val="21"/>
                <w:highlight w:val="none"/>
              </w:rPr>
              <w:t>序号</w:t>
            </w:r>
          </w:p>
        </w:tc>
        <w:tc>
          <w:tcPr>
            <w:tcW w:w="1170" w:type="pct"/>
            <w:tcBorders>
              <w:top w:val="single" w:color="auto" w:sz="4" w:space="0"/>
              <w:left w:val="nil"/>
              <w:bottom w:val="single" w:color="auto" w:sz="4" w:space="0"/>
              <w:right w:val="single" w:color="auto" w:sz="4" w:space="0"/>
            </w:tcBorders>
            <w:noWrap w:val="0"/>
            <w:vAlign w:val="center"/>
          </w:tcPr>
          <w:p w14:paraId="2A45B2C6">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材料、设备名称</w:t>
            </w:r>
          </w:p>
        </w:tc>
        <w:tc>
          <w:tcPr>
            <w:tcW w:w="721" w:type="pct"/>
            <w:tcBorders>
              <w:top w:val="single" w:color="auto" w:sz="4" w:space="0"/>
              <w:left w:val="nil"/>
              <w:bottom w:val="single" w:color="auto" w:sz="4" w:space="0"/>
              <w:right w:val="single" w:color="auto" w:sz="4" w:space="0"/>
            </w:tcBorders>
            <w:noWrap w:val="0"/>
            <w:vAlign w:val="center"/>
          </w:tcPr>
          <w:p w14:paraId="78F4CB69">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品牌1</w:t>
            </w:r>
          </w:p>
        </w:tc>
        <w:tc>
          <w:tcPr>
            <w:tcW w:w="721" w:type="pct"/>
            <w:tcBorders>
              <w:top w:val="single" w:color="auto" w:sz="4" w:space="0"/>
              <w:left w:val="nil"/>
              <w:bottom w:val="single" w:color="auto" w:sz="4" w:space="0"/>
              <w:right w:val="single" w:color="auto" w:sz="4" w:space="0"/>
            </w:tcBorders>
            <w:noWrap w:val="0"/>
            <w:vAlign w:val="center"/>
          </w:tcPr>
          <w:p w14:paraId="73ABA067">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品牌2</w:t>
            </w:r>
          </w:p>
        </w:tc>
        <w:tc>
          <w:tcPr>
            <w:tcW w:w="721" w:type="pct"/>
            <w:tcBorders>
              <w:top w:val="single" w:color="auto" w:sz="4" w:space="0"/>
              <w:left w:val="nil"/>
              <w:bottom w:val="single" w:color="auto" w:sz="4" w:space="0"/>
              <w:right w:val="single" w:color="auto" w:sz="4" w:space="0"/>
            </w:tcBorders>
            <w:noWrap w:val="0"/>
            <w:vAlign w:val="center"/>
          </w:tcPr>
          <w:p w14:paraId="0A7AF930">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品牌3</w:t>
            </w:r>
          </w:p>
        </w:tc>
        <w:tc>
          <w:tcPr>
            <w:tcW w:w="721" w:type="pct"/>
            <w:tcBorders>
              <w:top w:val="single" w:color="auto" w:sz="4" w:space="0"/>
              <w:left w:val="nil"/>
              <w:bottom w:val="single" w:color="auto" w:sz="4" w:space="0"/>
              <w:right w:val="single" w:color="auto" w:sz="4" w:space="0"/>
            </w:tcBorders>
            <w:noWrap w:val="0"/>
            <w:vAlign w:val="center"/>
          </w:tcPr>
          <w:p w14:paraId="055A1D17">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品牌4</w:t>
            </w:r>
          </w:p>
        </w:tc>
        <w:tc>
          <w:tcPr>
            <w:tcW w:w="577" w:type="pct"/>
            <w:tcBorders>
              <w:top w:val="single" w:color="auto" w:sz="4" w:space="0"/>
              <w:left w:val="nil"/>
              <w:bottom w:val="single" w:color="auto" w:sz="4" w:space="0"/>
              <w:right w:val="single" w:color="auto" w:sz="4" w:space="0"/>
            </w:tcBorders>
            <w:noWrap w:val="0"/>
            <w:vAlign w:val="center"/>
          </w:tcPr>
          <w:p w14:paraId="07700DBA">
            <w:pPr>
              <w:widowControl/>
              <w:jc w:val="center"/>
              <w:rPr>
                <w:rFonts w:hint="default" w:ascii="宋体" w:hAnsi="宋体" w:eastAsia="宋体" w:cs="宋体"/>
                <w:b/>
                <w:bCs/>
                <w:color w:val="auto"/>
                <w:kern w:val="0"/>
                <w:szCs w:val="21"/>
                <w:highlight w:val="none"/>
                <w:lang w:val="en-US" w:eastAsia="zh-CN"/>
              </w:rPr>
            </w:pPr>
            <w:r>
              <w:rPr>
                <w:rFonts w:hint="eastAsia" w:ascii="宋体" w:hAnsi="宋体" w:cs="宋体"/>
                <w:b/>
                <w:bCs/>
                <w:color w:val="auto"/>
                <w:kern w:val="0"/>
                <w:szCs w:val="21"/>
                <w:highlight w:val="none"/>
                <w:lang w:val="en-US" w:eastAsia="zh-CN"/>
              </w:rPr>
              <w:t>品牌5</w:t>
            </w:r>
          </w:p>
        </w:tc>
      </w:tr>
      <w:tr w14:paraId="3CAC501A">
        <w:tblPrEx>
          <w:tblCellMar>
            <w:top w:w="0" w:type="dxa"/>
            <w:left w:w="108" w:type="dxa"/>
            <w:bottom w:w="0" w:type="dxa"/>
            <w:right w:w="108" w:type="dxa"/>
          </w:tblCellMar>
        </w:tblPrEx>
        <w:trPr>
          <w:trHeight w:val="487" w:hRule="atLeast"/>
          <w:jc w:val="center"/>
        </w:trPr>
        <w:tc>
          <w:tcPr>
            <w:tcW w:w="367" w:type="pct"/>
            <w:tcBorders>
              <w:top w:val="nil"/>
              <w:left w:val="single" w:color="auto" w:sz="4" w:space="0"/>
              <w:bottom w:val="single" w:color="auto" w:sz="4" w:space="0"/>
              <w:right w:val="single" w:color="auto" w:sz="4" w:space="0"/>
            </w:tcBorders>
            <w:noWrap w:val="0"/>
            <w:vAlign w:val="center"/>
          </w:tcPr>
          <w:p w14:paraId="4AD95365">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1170" w:type="pct"/>
            <w:tcBorders>
              <w:top w:val="nil"/>
              <w:left w:val="nil"/>
              <w:bottom w:val="single" w:color="auto" w:sz="4" w:space="0"/>
              <w:right w:val="single" w:color="auto" w:sz="4" w:space="0"/>
            </w:tcBorders>
            <w:noWrap w:val="0"/>
            <w:vAlign w:val="center"/>
          </w:tcPr>
          <w:p w14:paraId="513123E5">
            <w:pPr>
              <w:widowControl/>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防水材料</w:t>
            </w:r>
          </w:p>
        </w:tc>
        <w:tc>
          <w:tcPr>
            <w:tcW w:w="721" w:type="pct"/>
            <w:tcBorders>
              <w:top w:val="single" w:color="auto" w:sz="4" w:space="0"/>
              <w:left w:val="nil"/>
              <w:bottom w:val="single" w:color="auto" w:sz="4" w:space="0"/>
              <w:right w:val="single" w:color="auto" w:sz="4" w:space="0"/>
            </w:tcBorders>
            <w:noWrap w:val="0"/>
            <w:vAlign w:val="center"/>
          </w:tcPr>
          <w:p w14:paraId="21CD388B">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大禹</w:t>
            </w:r>
          </w:p>
        </w:tc>
        <w:tc>
          <w:tcPr>
            <w:tcW w:w="721" w:type="pct"/>
            <w:tcBorders>
              <w:top w:val="single" w:color="auto" w:sz="4" w:space="0"/>
              <w:left w:val="nil"/>
              <w:bottom w:val="single" w:color="auto" w:sz="4" w:space="0"/>
              <w:right w:val="single" w:color="auto" w:sz="4" w:space="0"/>
            </w:tcBorders>
            <w:noWrap w:val="0"/>
            <w:vAlign w:val="center"/>
          </w:tcPr>
          <w:p w14:paraId="13A5F371">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东方雨虹</w:t>
            </w:r>
          </w:p>
        </w:tc>
        <w:tc>
          <w:tcPr>
            <w:tcW w:w="721" w:type="pct"/>
            <w:tcBorders>
              <w:top w:val="single" w:color="auto" w:sz="4" w:space="0"/>
              <w:left w:val="nil"/>
              <w:bottom w:val="single" w:color="auto" w:sz="4" w:space="0"/>
              <w:right w:val="single" w:color="auto" w:sz="4" w:space="0"/>
            </w:tcBorders>
            <w:noWrap w:val="0"/>
            <w:vAlign w:val="center"/>
          </w:tcPr>
          <w:p w14:paraId="6CC1B132">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三棵树</w:t>
            </w:r>
          </w:p>
        </w:tc>
        <w:tc>
          <w:tcPr>
            <w:tcW w:w="721" w:type="pct"/>
            <w:tcBorders>
              <w:top w:val="single" w:color="auto" w:sz="4" w:space="0"/>
              <w:left w:val="nil"/>
              <w:bottom w:val="single" w:color="auto" w:sz="4" w:space="0"/>
              <w:right w:val="single" w:color="auto" w:sz="4" w:space="0"/>
            </w:tcBorders>
            <w:noWrap w:val="0"/>
            <w:vAlign w:val="center"/>
          </w:tcPr>
          <w:p w14:paraId="026D5408">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北新</w:t>
            </w:r>
          </w:p>
        </w:tc>
        <w:tc>
          <w:tcPr>
            <w:tcW w:w="577" w:type="pct"/>
            <w:tcBorders>
              <w:top w:val="nil"/>
              <w:left w:val="nil"/>
              <w:bottom w:val="single" w:color="auto" w:sz="4" w:space="0"/>
              <w:right w:val="single" w:color="auto" w:sz="4" w:space="0"/>
            </w:tcBorders>
            <w:noWrap w:val="0"/>
            <w:vAlign w:val="center"/>
          </w:tcPr>
          <w:p w14:paraId="4C355E9B">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科顺</w:t>
            </w:r>
          </w:p>
        </w:tc>
      </w:tr>
      <w:tr w14:paraId="65F05B5B">
        <w:tblPrEx>
          <w:tblCellMar>
            <w:top w:w="0" w:type="dxa"/>
            <w:left w:w="108" w:type="dxa"/>
            <w:bottom w:w="0" w:type="dxa"/>
            <w:right w:w="108" w:type="dxa"/>
          </w:tblCellMar>
        </w:tblPrEx>
        <w:trPr>
          <w:trHeight w:val="487" w:hRule="atLeast"/>
          <w:jc w:val="center"/>
        </w:trPr>
        <w:tc>
          <w:tcPr>
            <w:tcW w:w="367" w:type="pct"/>
            <w:tcBorders>
              <w:top w:val="nil"/>
              <w:left w:val="single" w:color="auto" w:sz="4" w:space="0"/>
              <w:bottom w:val="single" w:color="auto" w:sz="4" w:space="0"/>
              <w:right w:val="single" w:color="auto" w:sz="4" w:space="0"/>
            </w:tcBorders>
            <w:noWrap w:val="0"/>
            <w:vAlign w:val="center"/>
          </w:tcPr>
          <w:p w14:paraId="3A20F8B7">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1170" w:type="pct"/>
            <w:tcBorders>
              <w:top w:val="nil"/>
              <w:left w:val="nil"/>
              <w:bottom w:val="single" w:color="auto" w:sz="4" w:space="0"/>
              <w:right w:val="single" w:color="auto" w:sz="4" w:space="0"/>
            </w:tcBorders>
            <w:noWrap w:val="0"/>
            <w:vAlign w:val="center"/>
          </w:tcPr>
          <w:p w14:paraId="157597FB">
            <w:pPr>
              <w:widowControl/>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钢筋</w:t>
            </w:r>
          </w:p>
        </w:tc>
        <w:tc>
          <w:tcPr>
            <w:tcW w:w="721" w:type="pct"/>
            <w:tcBorders>
              <w:top w:val="single" w:color="auto" w:sz="4" w:space="0"/>
              <w:left w:val="nil"/>
              <w:bottom w:val="single" w:color="auto" w:sz="4" w:space="0"/>
              <w:right w:val="single" w:color="auto" w:sz="4" w:space="0"/>
            </w:tcBorders>
            <w:noWrap w:val="0"/>
            <w:vAlign w:val="center"/>
          </w:tcPr>
          <w:p w14:paraId="31512198">
            <w:pPr>
              <w:widowControl/>
              <w:jc w:val="cente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马钢</w:t>
            </w:r>
          </w:p>
        </w:tc>
        <w:tc>
          <w:tcPr>
            <w:tcW w:w="721" w:type="pct"/>
            <w:tcBorders>
              <w:top w:val="single" w:color="auto" w:sz="4" w:space="0"/>
              <w:left w:val="nil"/>
              <w:bottom w:val="single" w:color="auto" w:sz="4" w:space="0"/>
              <w:right w:val="single" w:color="auto" w:sz="4" w:space="0"/>
            </w:tcBorders>
            <w:noWrap w:val="0"/>
            <w:vAlign w:val="center"/>
          </w:tcPr>
          <w:p w14:paraId="6236900C">
            <w:pPr>
              <w:widowControl/>
              <w:jc w:val="cente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南钢</w:t>
            </w:r>
          </w:p>
        </w:tc>
        <w:tc>
          <w:tcPr>
            <w:tcW w:w="721" w:type="pct"/>
            <w:tcBorders>
              <w:top w:val="single" w:color="auto" w:sz="4" w:space="0"/>
              <w:left w:val="nil"/>
              <w:bottom w:val="single" w:color="auto" w:sz="4" w:space="0"/>
              <w:right w:val="single" w:color="auto" w:sz="4" w:space="0"/>
            </w:tcBorders>
            <w:noWrap w:val="0"/>
            <w:vAlign w:val="center"/>
          </w:tcPr>
          <w:p w14:paraId="736351F1">
            <w:pPr>
              <w:widowControl/>
              <w:jc w:val="cente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沙钢</w:t>
            </w:r>
          </w:p>
        </w:tc>
        <w:tc>
          <w:tcPr>
            <w:tcW w:w="721" w:type="pct"/>
            <w:tcBorders>
              <w:top w:val="single" w:color="auto" w:sz="4" w:space="0"/>
              <w:left w:val="nil"/>
              <w:bottom w:val="single" w:color="auto" w:sz="4" w:space="0"/>
              <w:right w:val="single" w:color="auto" w:sz="4" w:space="0"/>
            </w:tcBorders>
            <w:noWrap w:val="0"/>
            <w:vAlign w:val="center"/>
          </w:tcPr>
          <w:p w14:paraId="3C0FCE5E">
            <w:pPr>
              <w:widowControl/>
              <w:jc w:val="center"/>
              <w:rPr>
                <w:rFonts w:hint="eastAsia" w:ascii="宋体" w:hAnsi="宋体" w:cs="宋体"/>
                <w:color w:val="auto"/>
                <w:kern w:val="0"/>
                <w:szCs w:val="21"/>
                <w:highlight w:val="none"/>
                <w:lang w:val="en-US" w:eastAsia="zh-CN"/>
              </w:rPr>
            </w:pPr>
          </w:p>
        </w:tc>
        <w:tc>
          <w:tcPr>
            <w:tcW w:w="577" w:type="pct"/>
            <w:tcBorders>
              <w:top w:val="nil"/>
              <w:left w:val="nil"/>
              <w:bottom w:val="single" w:color="auto" w:sz="4" w:space="0"/>
              <w:right w:val="single" w:color="auto" w:sz="4" w:space="0"/>
            </w:tcBorders>
            <w:noWrap w:val="0"/>
            <w:vAlign w:val="center"/>
          </w:tcPr>
          <w:p w14:paraId="7834B6F0">
            <w:pPr>
              <w:widowControl/>
              <w:jc w:val="center"/>
              <w:rPr>
                <w:rFonts w:hint="eastAsia" w:ascii="宋体" w:hAnsi="宋体" w:cs="宋体"/>
                <w:color w:val="auto"/>
                <w:kern w:val="0"/>
                <w:szCs w:val="21"/>
                <w:highlight w:val="none"/>
                <w:lang w:val="en-US" w:eastAsia="zh-CN"/>
              </w:rPr>
            </w:pPr>
          </w:p>
        </w:tc>
      </w:tr>
      <w:tr w14:paraId="6BDA81D8">
        <w:tblPrEx>
          <w:tblCellMar>
            <w:top w:w="0" w:type="dxa"/>
            <w:left w:w="108" w:type="dxa"/>
            <w:bottom w:w="0" w:type="dxa"/>
            <w:right w:w="108" w:type="dxa"/>
          </w:tblCellMar>
        </w:tblPrEx>
        <w:trPr>
          <w:trHeight w:val="487" w:hRule="atLeast"/>
          <w:jc w:val="center"/>
        </w:trPr>
        <w:tc>
          <w:tcPr>
            <w:tcW w:w="367" w:type="pct"/>
            <w:tcBorders>
              <w:top w:val="nil"/>
              <w:left w:val="single" w:color="auto" w:sz="4" w:space="0"/>
              <w:bottom w:val="single" w:color="auto" w:sz="4" w:space="0"/>
              <w:right w:val="single" w:color="auto" w:sz="4" w:space="0"/>
            </w:tcBorders>
            <w:noWrap w:val="0"/>
            <w:vAlign w:val="center"/>
          </w:tcPr>
          <w:p w14:paraId="6A005150">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1170" w:type="pct"/>
            <w:tcBorders>
              <w:top w:val="nil"/>
              <w:left w:val="nil"/>
              <w:bottom w:val="single" w:color="auto" w:sz="4" w:space="0"/>
              <w:right w:val="single" w:color="auto" w:sz="4" w:space="0"/>
            </w:tcBorders>
            <w:noWrap w:val="0"/>
            <w:vAlign w:val="center"/>
          </w:tcPr>
          <w:p w14:paraId="593495CF">
            <w:pPr>
              <w:widowControl/>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石材（产地）</w:t>
            </w:r>
          </w:p>
        </w:tc>
        <w:tc>
          <w:tcPr>
            <w:tcW w:w="721" w:type="pct"/>
            <w:tcBorders>
              <w:top w:val="single" w:color="auto" w:sz="4" w:space="0"/>
              <w:left w:val="nil"/>
              <w:bottom w:val="single" w:color="auto" w:sz="4" w:space="0"/>
              <w:right w:val="single" w:color="auto" w:sz="4" w:space="0"/>
            </w:tcBorders>
            <w:noWrap w:val="0"/>
            <w:vAlign w:val="center"/>
          </w:tcPr>
          <w:p w14:paraId="39ACB965">
            <w:pPr>
              <w:widowControl/>
              <w:jc w:val="cente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福建</w:t>
            </w:r>
          </w:p>
        </w:tc>
        <w:tc>
          <w:tcPr>
            <w:tcW w:w="721" w:type="pct"/>
            <w:tcBorders>
              <w:top w:val="single" w:color="auto" w:sz="4" w:space="0"/>
              <w:left w:val="nil"/>
              <w:bottom w:val="single" w:color="auto" w:sz="4" w:space="0"/>
              <w:right w:val="single" w:color="auto" w:sz="4" w:space="0"/>
            </w:tcBorders>
            <w:noWrap w:val="0"/>
            <w:vAlign w:val="center"/>
          </w:tcPr>
          <w:p w14:paraId="397B007A">
            <w:pPr>
              <w:widowControl/>
              <w:jc w:val="cente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山东</w:t>
            </w:r>
          </w:p>
        </w:tc>
        <w:tc>
          <w:tcPr>
            <w:tcW w:w="721" w:type="pct"/>
            <w:tcBorders>
              <w:top w:val="single" w:color="auto" w:sz="4" w:space="0"/>
              <w:left w:val="nil"/>
              <w:bottom w:val="single" w:color="auto" w:sz="4" w:space="0"/>
              <w:right w:val="single" w:color="auto" w:sz="4" w:space="0"/>
            </w:tcBorders>
            <w:noWrap w:val="0"/>
            <w:vAlign w:val="center"/>
          </w:tcPr>
          <w:p w14:paraId="0C212237">
            <w:pPr>
              <w:widowControl/>
              <w:jc w:val="cente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河北</w:t>
            </w:r>
          </w:p>
        </w:tc>
        <w:tc>
          <w:tcPr>
            <w:tcW w:w="721" w:type="pct"/>
            <w:tcBorders>
              <w:top w:val="single" w:color="auto" w:sz="4" w:space="0"/>
              <w:left w:val="nil"/>
              <w:bottom w:val="single" w:color="auto" w:sz="4" w:space="0"/>
              <w:right w:val="single" w:color="auto" w:sz="4" w:space="0"/>
            </w:tcBorders>
            <w:noWrap w:val="0"/>
            <w:vAlign w:val="center"/>
          </w:tcPr>
          <w:p w14:paraId="6CDCDB01">
            <w:pPr>
              <w:widowControl/>
              <w:jc w:val="center"/>
              <w:rPr>
                <w:rFonts w:hint="eastAsia" w:ascii="宋体" w:hAnsi="宋体" w:cs="宋体"/>
                <w:color w:val="auto"/>
                <w:kern w:val="0"/>
                <w:szCs w:val="21"/>
                <w:highlight w:val="none"/>
                <w:lang w:val="en-US" w:eastAsia="zh-CN"/>
              </w:rPr>
            </w:pPr>
          </w:p>
        </w:tc>
        <w:tc>
          <w:tcPr>
            <w:tcW w:w="577" w:type="pct"/>
            <w:tcBorders>
              <w:top w:val="nil"/>
              <w:left w:val="nil"/>
              <w:bottom w:val="single" w:color="auto" w:sz="4" w:space="0"/>
              <w:right w:val="single" w:color="auto" w:sz="4" w:space="0"/>
            </w:tcBorders>
            <w:noWrap w:val="0"/>
            <w:vAlign w:val="center"/>
          </w:tcPr>
          <w:p w14:paraId="70047195">
            <w:pPr>
              <w:widowControl/>
              <w:jc w:val="center"/>
              <w:rPr>
                <w:rFonts w:hint="eastAsia" w:ascii="宋体" w:hAnsi="宋体" w:cs="宋体"/>
                <w:color w:val="auto"/>
                <w:kern w:val="0"/>
                <w:szCs w:val="21"/>
                <w:highlight w:val="none"/>
                <w:lang w:val="en-US" w:eastAsia="zh-CN"/>
              </w:rPr>
            </w:pPr>
          </w:p>
        </w:tc>
      </w:tr>
      <w:tr w14:paraId="4CF6FC59">
        <w:tblPrEx>
          <w:tblCellMar>
            <w:top w:w="0" w:type="dxa"/>
            <w:left w:w="108" w:type="dxa"/>
            <w:bottom w:w="0" w:type="dxa"/>
            <w:right w:w="108" w:type="dxa"/>
          </w:tblCellMar>
        </w:tblPrEx>
        <w:trPr>
          <w:trHeight w:val="540" w:hRule="atLeast"/>
          <w:jc w:val="center"/>
        </w:trPr>
        <w:tc>
          <w:tcPr>
            <w:tcW w:w="367" w:type="pct"/>
            <w:tcBorders>
              <w:top w:val="nil"/>
              <w:left w:val="single" w:color="auto" w:sz="4" w:space="0"/>
              <w:bottom w:val="single" w:color="auto" w:sz="4" w:space="0"/>
              <w:right w:val="single" w:color="auto" w:sz="4" w:space="0"/>
            </w:tcBorders>
            <w:noWrap w:val="0"/>
            <w:vAlign w:val="center"/>
          </w:tcPr>
          <w:p w14:paraId="53424662">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1170" w:type="pct"/>
            <w:tcBorders>
              <w:top w:val="nil"/>
              <w:left w:val="nil"/>
              <w:bottom w:val="single" w:color="auto" w:sz="4" w:space="0"/>
              <w:right w:val="single" w:color="auto" w:sz="4" w:space="0"/>
            </w:tcBorders>
            <w:noWrap w:val="0"/>
            <w:vAlign w:val="center"/>
          </w:tcPr>
          <w:p w14:paraId="7A209827">
            <w:pPr>
              <w:widowControl/>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真石漆</w:t>
            </w:r>
          </w:p>
        </w:tc>
        <w:tc>
          <w:tcPr>
            <w:tcW w:w="721" w:type="pct"/>
            <w:tcBorders>
              <w:top w:val="single" w:color="auto" w:sz="4" w:space="0"/>
              <w:left w:val="nil"/>
              <w:bottom w:val="single" w:color="auto" w:sz="4" w:space="0"/>
              <w:right w:val="single" w:color="auto" w:sz="4" w:space="0"/>
            </w:tcBorders>
            <w:noWrap w:val="0"/>
            <w:vAlign w:val="center"/>
          </w:tcPr>
          <w:p w14:paraId="748DD300">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三棵树</w:t>
            </w:r>
          </w:p>
        </w:tc>
        <w:tc>
          <w:tcPr>
            <w:tcW w:w="721" w:type="pct"/>
            <w:tcBorders>
              <w:top w:val="single" w:color="auto" w:sz="4" w:space="0"/>
              <w:left w:val="nil"/>
              <w:bottom w:val="single" w:color="auto" w:sz="4" w:space="0"/>
              <w:right w:val="single" w:color="auto" w:sz="4" w:space="0"/>
            </w:tcBorders>
            <w:noWrap w:val="0"/>
            <w:vAlign w:val="center"/>
          </w:tcPr>
          <w:p w14:paraId="599C7E7E">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嘉宝莉</w:t>
            </w:r>
          </w:p>
        </w:tc>
        <w:tc>
          <w:tcPr>
            <w:tcW w:w="721" w:type="pct"/>
            <w:tcBorders>
              <w:top w:val="single" w:color="auto" w:sz="4" w:space="0"/>
              <w:left w:val="nil"/>
              <w:bottom w:val="single" w:color="auto" w:sz="4" w:space="0"/>
              <w:right w:val="single" w:color="auto" w:sz="4" w:space="0"/>
            </w:tcBorders>
            <w:noWrap w:val="0"/>
            <w:vAlign w:val="center"/>
          </w:tcPr>
          <w:p w14:paraId="44779103">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亚士</w:t>
            </w:r>
          </w:p>
        </w:tc>
        <w:tc>
          <w:tcPr>
            <w:tcW w:w="721" w:type="pct"/>
            <w:tcBorders>
              <w:top w:val="single" w:color="auto" w:sz="4" w:space="0"/>
              <w:left w:val="nil"/>
              <w:bottom w:val="single" w:color="auto" w:sz="4" w:space="0"/>
              <w:right w:val="single" w:color="auto" w:sz="4" w:space="0"/>
            </w:tcBorders>
            <w:noWrap w:val="0"/>
            <w:vAlign w:val="center"/>
          </w:tcPr>
          <w:p w14:paraId="1B3BF8AC">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立邦</w:t>
            </w:r>
          </w:p>
        </w:tc>
        <w:tc>
          <w:tcPr>
            <w:tcW w:w="577" w:type="pct"/>
            <w:tcBorders>
              <w:top w:val="nil"/>
              <w:left w:val="nil"/>
              <w:bottom w:val="single" w:color="auto" w:sz="4" w:space="0"/>
              <w:right w:val="single" w:color="auto" w:sz="4" w:space="0"/>
            </w:tcBorders>
            <w:noWrap w:val="0"/>
            <w:vAlign w:val="center"/>
          </w:tcPr>
          <w:p w14:paraId="58F610BE">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德爱威</w:t>
            </w:r>
          </w:p>
        </w:tc>
      </w:tr>
      <w:tr w14:paraId="501F8F24">
        <w:tblPrEx>
          <w:tblCellMar>
            <w:top w:w="0" w:type="dxa"/>
            <w:left w:w="108" w:type="dxa"/>
            <w:bottom w:w="0" w:type="dxa"/>
            <w:right w:w="108" w:type="dxa"/>
          </w:tblCellMar>
        </w:tblPrEx>
        <w:trPr>
          <w:trHeight w:val="487" w:hRule="atLeast"/>
          <w:jc w:val="center"/>
        </w:trPr>
        <w:tc>
          <w:tcPr>
            <w:tcW w:w="367" w:type="pct"/>
            <w:tcBorders>
              <w:top w:val="nil"/>
              <w:left w:val="single" w:color="auto" w:sz="4" w:space="0"/>
              <w:bottom w:val="single" w:color="auto" w:sz="4" w:space="0"/>
              <w:right w:val="single" w:color="auto" w:sz="4" w:space="0"/>
            </w:tcBorders>
            <w:noWrap w:val="0"/>
            <w:vAlign w:val="center"/>
          </w:tcPr>
          <w:p w14:paraId="4423695E">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1170" w:type="pct"/>
            <w:tcBorders>
              <w:top w:val="nil"/>
              <w:left w:val="nil"/>
              <w:bottom w:val="single" w:color="auto" w:sz="4" w:space="0"/>
              <w:right w:val="single" w:color="auto" w:sz="4" w:space="0"/>
            </w:tcBorders>
            <w:noWrap w:val="0"/>
            <w:vAlign w:val="center"/>
          </w:tcPr>
          <w:p w14:paraId="0EDA1075">
            <w:pPr>
              <w:widowControl/>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灯具</w:t>
            </w:r>
          </w:p>
        </w:tc>
        <w:tc>
          <w:tcPr>
            <w:tcW w:w="721" w:type="pct"/>
            <w:tcBorders>
              <w:top w:val="single" w:color="auto" w:sz="4" w:space="0"/>
              <w:left w:val="nil"/>
              <w:bottom w:val="single" w:color="auto" w:sz="4" w:space="0"/>
              <w:right w:val="single" w:color="auto" w:sz="4" w:space="0"/>
            </w:tcBorders>
            <w:noWrap w:val="0"/>
            <w:vAlign w:val="center"/>
          </w:tcPr>
          <w:p w14:paraId="12233E6A">
            <w:pPr>
              <w:widowControl/>
              <w:jc w:val="cente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雷士</w:t>
            </w:r>
          </w:p>
        </w:tc>
        <w:tc>
          <w:tcPr>
            <w:tcW w:w="721" w:type="pct"/>
            <w:tcBorders>
              <w:top w:val="single" w:color="auto" w:sz="4" w:space="0"/>
              <w:left w:val="nil"/>
              <w:bottom w:val="single" w:color="auto" w:sz="4" w:space="0"/>
              <w:right w:val="single" w:color="auto" w:sz="4" w:space="0"/>
            </w:tcBorders>
            <w:noWrap w:val="0"/>
            <w:vAlign w:val="center"/>
          </w:tcPr>
          <w:p w14:paraId="6140AA36">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欧普</w:t>
            </w:r>
          </w:p>
        </w:tc>
        <w:tc>
          <w:tcPr>
            <w:tcW w:w="721" w:type="pct"/>
            <w:tcBorders>
              <w:top w:val="single" w:color="auto" w:sz="4" w:space="0"/>
              <w:left w:val="nil"/>
              <w:bottom w:val="single" w:color="auto" w:sz="4" w:space="0"/>
              <w:right w:val="single" w:color="auto" w:sz="4" w:space="0"/>
            </w:tcBorders>
            <w:noWrap w:val="0"/>
            <w:vAlign w:val="center"/>
          </w:tcPr>
          <w:p w14:paraId="22D42F4D">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奥普</w:t>
            </w:r>
          </w:p>
        </w:tc>
        <w:tc>
          <w:tcPr>
            <w:tcW w:w="721" w:type="pct"/>
            <w:tcBorders>
              <w:top w:val="single" w:color="auto" w:sz="4" w:space="0"/>
              <w:left w:val="nil"/>
              <w:bottom w:val="single" w:color="auto" w:sz="4" w:space="0"/>
              <w:right w:val="single" w:color="auto" w:sz="4" w:space="0"/>
            </w:tcBorders>
            <w:noWrap w:val="0"/>
            <w:vAlign w:val="center"/>
          </w:tcPr>
          <w:p w14:paraId="2333103A">
            <w:pPr>
              <w:widowControl/>
              <w:jc w:val="center"/>
              <w:rPr>
                <w:rFonts w:hint="eastAsia" w:ascii="宋体" w:hAnsi="宋体" w:cs="宋体"/>
                <w:color w:val="auto"/>
                <w:kern w:val="0"/>
                <w:szCs w:val="21"/>
                <w:highlight w:val="none"/>
                <w:lang w:val="en-US" w:eastAsia="zh-CN"/>
              </w:rPr>
            </w:pPr>
          </w:p>
        </w:tc>
        <w:tc>
          <w:tcPr>
            <w:tcW w:w="577" w:type="pct"/>
            <w:tcBorders>
              <w:top w:val="nil"/>
              <w:left w:val="nil"/>
              <w:bottom w:val="single" w:color="auto" w:sz="4" w:space="0"/>
              <w:right w:val="single" w:color="auto" w:sz="4" w:space="0"/>
            </w:tcBorders>
            <w:noWrap w:val="0"/>
            <w:vAlign w:val="center"/>
          </w:tcPr>
          <w:p w14:paraId="5F76FC98">
            <w:pPr>
              <w:widowControl/>
              <w:jc w:val="center"/>
              <w:rPr>
                <w:rFonts w:hint="eastAsia" w:ascii="宋体" w:hAnsi="宋体" w:cs="宋体"/>
                <w:color w:val="auto"/>
                <w:kern w:val="0"/>
                <w:szCs w:val="21"/>
                <w:highlight w:val="none"/>
                <w:lang w:val="en-US" w:eastAsia="zh-CN"/>
              </w:rPr>
            </w:pPr>
          </w:p>
        </w:tc>
      </w:tr>
    </w:tbl>
    <w:p w14:paraId="5B8C6791">
      <w:pPr>
        <w:adjustRightInd w:val="0"/>
        <w:snapToGrid w:val="0"/>
        <w:spacing w:line="520" w:lineRule="exact"/>
        <w:rPr>
          <w:rFonts w:ascii="宋体" w:hAnsi="宋体" w:cs="宋体"/>
          <w:color w:val="000000"/>
          <w:kern w:val="0"/>
          <w:szCs w:val="21"/>
          <w:highlight w:val="none"/>
        </w:rPr>
      </w:pPr>
      <w:r>
        <w:rPr>
          <w:rFonts w:hint="eastAsia" w:ascii="宋体" w:hAnsi="宋体" w:cs="宋体"/>
          <w:color w:val="000000"/>
          <w:kern w:val="0"/>
          <w:szCs w:val="21"/>
          <w:highlight w:val="none"/>
        </w:rPr>
        <w:t xml:space="preserve">  </w:t>
      </w:r>
    </w:p>
    <w:p w14:paraId="427B35EF">
      <w:pPr>
        <w:adjustRightInd w:val="0"/>
        <w:snapToGrid w:val="0"/>
        <w:spacing w:line="560" w:lineRule="exact"/>
        <w:ind w:firstLine="420" w:firstLineChars="200"/>
        <w:rPr>
          <w:color w:val="000000"/>
          <w:highlight w:val="none"/>
        </w:rPr>
      </w:pPr>
      <w:bookmarkStart w:id="845" w:name="_Toc4784272"/>
      <w:bookmarkEnd w:id="845"/>
      <w:bookmarkStart w:id="846" w:name="_Toc4784277"/>
      <w:bookmarkEnd w:id="846"/>
      <w:bookmarkStart w:id="847" w:name="_Toc4784276"/>
      <w:bookmarkEnd w:id="847"/>
      <w:bookmarkStart w:id="848" w:name="_Toc4784273"/>
      <w:bookmarkEnd w:id="848"/>
      <w:r>
        <w:rPr>
          <w:rFonts w:hint="eastAsia"/>
          <w:color w:val="000000"/>
          <w:highlight w:val="none"/>
        </w:rPr>
        <w:t>注： 1、对于招标人推荐品牌的材料、设备，投标人可选用推荐品牌或不低于推荐品牌技术性能指标的其他品牌。未在</w:t>
      </w:r>
      <w:r>
        <w:rPr>
          <w:color w:val="000000"/>
          <w:highlight w:val="none"/>
        </w:rPr>
        <w:t>招标人推荐的材料品牌响应表</w:t>
      </w:r>
      <w:r>
        <w:rPr>
          <w:rFonts w:hint="eastAsia"/>
          <w:color w:val="000000"/>
          <w:highlight w:val="none"/>
        </w:rPr>
        <w:t>中注明或未提供相关技术参数、业绩或经评标委员会评审未通过的，中标后只能从招标人推荐品牌中进行选择，价格不予调整。</w:t>
      </w:r>
    </w:p>
    <w:p w14:paraId="33B4C47F">
      <w:pPr>
        <w:adjustRightInd w:val="0"/>
        <w:snapToGrid w:val="0"/>
        <w:spacing w:line="560" w:lineRule="exact"/>
        <w:ind w:firstLine="420" w:firstLineChars="200"/>
        <w:rPr>
          <w:color w:val="000000"/>
          <w:highlight w:val="none"/>
        </w:rPr>
      </w:pPr>
      <w:r>
        <w:rPr>
          <w:rFonts w:hint="eastAsia"/>
          <w:color w:val="000000"/>
          <w:highlight w:val="none"/>
        </w:rPr>
        <w:t>2、如本项目招标文件中出现特定性、唯一性品牌的表述，该品牌仅作为参考，施工过程中不具有限定性。对于招标人推荐品牌的材料、设备等，投标人如认为招标人推荐的品牌有限定性、唯一性、明显不在同一档次等级的或者其他疑问的，应在本项目异议提出的截止时间前通过电子交易系统向招标人提出。</w:t>
      </w:r>
    </w:p>
    <w:p w14:paraId="1D40C801">
      <w:pPr>
        <w:adjustRightInd w:val="0"/>
        <w:snapToGrid w:val="0"/>
        <w:spacing w:line="560" w:lineRule="exact"/>
        <w:rPr>
          <w:color w:val="000000"/>
          <w:highlight w:val="none"/>
        </w:rPr>
      </w:pPr>
    </w:p>
    <w:p w14:paraId="03B3388A">
      <w:pPr>
        <w:pStyle w:val="17"/>
        <w:rPr>
          <w:color w:val="000000"/>
          <w:highlight w:val="none"/>
        </w:rPr>
      </w:pPr>
      <w:r>
        <w:rPr>
          <w:rFonts w:hint="eastAsia"/>
          <w:color w:val="000000"/>
          <w:highlight w:val="none"/>
        </w:rPr>
        <w:br w:type="page"/>
      </w:r>
    </w:p>
    <w:p w14:paraId="7E1A7276">
      <w:pPr>
        <w:rPr>
          <w:color w:val="000000"/>
          <w:highlight w:val="none"/>
        </w:rPr>
        <w:sectPr>
          <w:pgSz w:w="11910" w:h="16840"/>
          <w:pgMar w:top="1060" w:right="660" w:bottom="1020" w:left="1120" w:header="0" w:footer="833" w:gutter="0"/>
          <w:pgBorders>
            <w:top w:val="none" w:sz="0" w:space="0"/>
            <w:left w:val="none" w:sz="0" w:space="0"/>
            <w:bottom w:val="none" w:sz="0" w:space="0"/>
            <w:right w:val="none" w:sz="0" w:space="0"/>
          </w:pgBorders>
          <w:cols w:space="720" w:num="1"/>
        </w:sectPr>
      </w:pPr>
    </w:p>
    <w:p w14:paraId="13EBE78D">
      <w:pPr>
        <w:rPr>
          <w:color w:val="000000"/>
          <w:highlight w:val="none"/>
        </w:rPr>
      </w:pPr>
    </w:p>
    <w:p w14:paraId="3CCF0F0A">
      <w:pPr>
        <w:adjustRightInd w:val="0"/>
        <w:snapToGrid w:val="0"/>
        <w:spacing w:line="560" w:lineRule="exact"/>
        <w:rPr>
          <w:color w:val="000000"/>
          <w:highlight w:val="none"/>
        </w:rPr>
      </w:pPr>
    </w:p>
    <w:p w14:paraId="4D41D75F">
      <w:pPr>
        <w:pStyle w:val="2"/>
        <w:adjustRightInd w:val="0"/>
        <w:snapToGrid w:val="0"/>
        <w:spacing w:before="0" w:after="0" w:line="560" w:lineRule="exact"/>
        <w:jc w:val="center"/>
        <w:rPr>
          <w:color w:val="000000"/>
          <w:highlight w:val="none"/>
        </w:rPr>
      </w:pPr>
      <w:bookmarkStart w:id="849" w:name="_Toc95223531"/>
      <w:r>
        <w:rPr>
          <w:rFonts w:hint="eastAsia"/>
          <w:color w:val="000000"/>
          <w:highlight w:val="none"/>
        </w:rPr>
        <w:t>第九章   投标文件格式</w:t>
      </w:r>
      <w:bookmarkEnd w:id="849"/>
    </w:p>
    <w:p w14:paraId="0AF9EA17">
      <w:pPr>
        <w:adjustRightInd w:val="0"/>
        <w:snapToGrid w:val="0"/>
        <w:spacing w:line="560" w:lineRule="exact"/>
        <w:rPr>
          <w:color w:val="000000"/>
          <w:highlight w:val="none"/>
        </w:rPr>
      </w:pPr>
    </w:p>
    <w:p w14:paraId="1D4EE5F0">
      <w:pPr>
        <w:adjustRightInd w:val="0"/>
        <w:snapToGrid w:val="0"/>
        <w:spacing w:line="560" w:lineRule="exact"/>
        <w:rPr>
          <w:color w:val="000000"/>
          <w:highlight w:val="none"/>
        </w:rPr>
      </w:pPr>
    </w:p>
    <w:p w14:paraId="4A9927D8">
      <w:pPr>
        <w:adjustRightInd w:val="0"/>
        <w:snapToGrid w:val="0"/>
        <w:spacing w:line="560" w:lineRule="exact"/>
        <w:rPr>
          <w:color w:val="000000"/>
          <w:highlight w:val="none"/>
        </w:rPr>
      </w:pPr>
    </w:p>
    <w:p w14:paraId="6E780D80">
      <w:pPr>
        <w:adjustRightInd w:val="0"/>
        <w:snapToGrid w:val="0"/>
        <w:spacing w:line="560" w:lineRule="exact"/>
        <w:jc w:val="center"/>
        <w:rPr>
          <w:rFonts w:eastAsia="黑体"/>
          <w:color w:val="000000"/>
          <w:sz w:val="20"/>
          <w:szCs w:val="20"/>
          <w:highlight w:val="none"/>
        </w:rPr>
      </w:pPr>
      <w:r>
        <w:rPr>
          <w:rFonts w:hint="eastAsia" w:eastAsia="黑体"/>
          <w:color w:val="000000"/>
          <w:sz w:val="28"/>
          <w:szCs w:val="28"/>
          <w:highlight w:val="none"/>
          <w:u w:val="single"/>
        </w:rPr>
        <w:t xml:space="preserve"> </w:t>
      </w:r>
      <w:bookmarkStart w:id="850" w:name="_Toc60061573"/>
      <w:bookmarkStart w:id="851" w:name="_Toc484173788"/>
      <w:bookmarkStart w:id="852" w:name="_Toc15058933"/>
      <w:bookmarkStart w:id="853" w:name="_Toc506107339"/>
      <w:r>
        <w:rPr>
          <w:rFonts w:hint="eastAsia" w:eastAsia="黑体"/>
          <w:color w:val="000000"/>
          <w:sz w:val="28"/>
          <w:szCs w:val="28"/>
          <w:highlight w:val="none"/>
          <w:u w:val="single"/>
        </w:rPr>
        <w:t xml:space="preserve">            </w:t>
      </w:r>
      <w:bookmarkEnd w:id="850"/>
      <w:bookmarkEnd w:id="851"/>
      <w:bookmarkEnd w:id="852"/>
      <w:bookmarkEnd w:id="853"/>
      <w:r>
        <w:rPr>
          <w:rFonts w:hint="eastAsia" w:eastAsia="黑体"/>
          <w:color w:val="000000"/>
          <w:sz w:val="28"/>
          <w:szCs w:val="28"/>
          <w:highlight w:val="none"/>
          <w:u w:val="single"/>
        </w:rPr>
        <w:t xml:space="preserve">   </w:t>
      </w:r>
      <w:r>
        <w:rPr>
          <w:rFonts w:eastAsia="黑体"/>
          <w:color w:val="000000"/>
          <w:sz w:val="28"/>
          <w:szCs w:val="28"/>
          <w:highlight w:val="none"/>
        </w:rPr>
        <w:t>（项目名称</w:t>
      </w:r>
      <w:bookmarkStart w:id="854" w:name="_Toc179632806"/>
      <w:bookmarkStart w:id="855" w:name="_Toc247085872"/>
      <w:bookmarkStart w:id="856" w:name="_Toc246997097"/>
      <w:bookmarkStart w:id="857" w:name="_Toc144974855"/>
      <w:bookmarkStart w:id="858" w:name="_Toc246996354"/>
      <w:bookmarkStart w:id="859" w:name="_Toc152045786"/>
      <w:bookmarkStart w:id="860" w:name="_Toc152042575"/>
      <w:r>
        <w:rPr>
          <w:rFonts w:eastAsia="黑体"/>
          <w:color w:val="000000"/>
          <w:sz w:val="28"/>
          <w:szCs w:val="28"/>
          <w:highlight w:val="none"/>
        </w:rPr>
        <w:t>）</w:t>
      </w:r>
      <w:bookmarkStart w:id="861" w:name="_Toc15058934"/>
      <w:bookmarkStart w:id="862" w:name="_Toc506107340"/>
      <w:bookmarkStart w:id="863" w:name="_Toc324404888"/>
      <w:bookmarkStart w:id="864" w:name="_Toc60061574"/>
    </w:p>
    <w:p w14:paraId="54326DA1">
      <w:pPr>
        <w:adjustRightInd w:val="0"/>
        <w:snapToGrid w:val="0"/>
        <w:spacing w:line="560" w:lineRule="exact"/>
        <w:jc w:val="center"/>
        <w:rPr>
          <w:rFonts w:eastAsia="黑体"/>
          <w:color w:val="000000"/>
          <w:sz w:val="20"/>
          <w:szCs w:val="20"/>
          <w:highlight w:val="none"/>
        </w:rPr>
      </w:pPr>
    </w:p>
    <w:p w14:paraId="1E7853FC">
      <w:pPr>
        <w:adjustRightInd w:val="0"/>
        <w:snapToGrid w:val="0"/>
        <w:spacing w:line="560" w:lineRule="exact"/>
        <w:jc w:val="center"/>
        <w:rPr>
          <w:rFonts w:eastAsia="黑体"/>
          <w:color w:val="000000"/>
          <w:sz w:val="20"/>
          <w:szCs w:val="20"/>
          <w:highlight w:val="none"/>
        </w:rPr>
      </w:pPr>
    </w:p>
    <w:p w14:paraId="3A285AC9">
      <w:pPr>
        <w:adjustRightInd w:val="0"/>
        <w:snapToGrid w:val="0"/>
        <w:spacing w:line="560" w:lineRule="exact"/>
        <w:jc w:val="center"/>
        <w:rPr>
          <w:rFonts w:eastAsia="黑体"/>
          <w:color w:val="000000"/>
          <w:sz w:val="20"/>
          <w:szCs w:val="20"/>
          <w:highlight w:val="none"/>
        </w:rPr>
      </w:pPr>
    </w:p>
    <w:p w14:paraId="197D2DCF">
      <w:pPr>
        <w:adjustRightInd w:val="0"/>
        <w:snapToGrid w:val="0"/>
        <w:spacing w:line="560" w:lineRule="exact"/>
        <w:rPr>
          <w:rFonts w:eastAsia="黑体"/>
          <w:color w:val="000000"/>
          <w:sz w:val="20"/>
          <w:szCs w:val="20"/>
          <w:highlight w:val="none"/>
        </w:rPr>
      </w:pPr>
    </w:p>
    <w:p w14:paraId="4C37C965">
      <w:pPr>
        <w:adjustRightInd w:val="0"/>
        <w:snapToGrid w:val="0"/>
        <w:spacing w:line="560" w:lineRule="exact"/>
        <w:jc w:val="center"/>
        <w:rPr>
          <w:rFonts w:eastAsia="黑体"/>
          <w:color w:val="000000"/>
          <w:sz w:val="44"/>
          <w:szCs w:val="44"/>
          <w:highlight w:val="none"/>
        </w:rPr>
      </w:pPr>
      <w:r>
        <w:rPr>
          <w:rFonts w:eastAsia="黑体"/>
          <w:color w:val="000000"/>
          <w:sz w:val="44"/>
          <w:szCs w:val="44"/>
          <w:highlight w:val="none"/>
        </w:rPr>
        <w:t>投  标  文</w:t>
      </w:r>
      <w:bookmarkEnd w:id="854"/>
      <w:bookmarkEnd w:id="855"/>
      <w:bookmarkEnd w:id="856"/>
      <w:bookmarkEnd w:id="857"/>
      <w:bookmarkEnd w:id="858"/>
      <w:bookmarkEnd w:id="859"/>
      <w:bookmarkEnd w:id="860"/>
      <w:bookmarkEnd w:id="861"/>
      <w:bookmarkEnd w:id="862"/>
      <w:bookmarkEnd w:id="863"/>
      <w:bookmarkEnd w:id="864"/>
      <w:r>
        <w:rPr>
          <w:rFonts w:eastAsia="黑体"/>
          <w:color w:val="000000"/>
          <w:sz w:val="44"/>
          <w:szCs w:val="44"/>
          <w:highlight w:val="none"/>
        </w:rPr>
        <w:t xml:space="preserve">  件</w:t>
      </w:r>
      <w:r>
        <w:rPr>
          <w:rFonts w:hint="eastAsia" w:eastAsia="黑体"/>
          <w:color w:val="000000"/>
          <w:sz w:val="44"/>
          <w:szCs w:val="44"/>
          <w:highlight w:val="none"/>
        </w:rPr>
        <w:t xml:space="preserve"> 一</w:t>
      </w:r>
    </w:p>
    <w:p w14:paraId="5FD9FFE9">
      <w:pPr>
        <w:adjustRightInd w:val="0"/>
        <w:snapToGrid w:val="0"/>
        <w:spacing w:line="560" w:lineRule="exact"/>
        <w:jc w:val="center"/>
        <w:rPr>
          <w:rFonts w:eastAsia="黑体"/>
          <w:color w:val="000000"/>
          <w:sz w:val="44"/>
          <w:szCs w:val="44"/>
          <w:highlight w:val="none"/>
        </w:rPr>
      </w:pPr>
      <w:r>
        <w:rPr>
          <w:rFonts w:hint="eastAsia" w:eastAsia="黑体"/>
          <w:color w:val="000000"/>
          <w:sz w:val="44"/>
          <w:szCs w:val="44"/>
          <w:highlight w:val="none"/>
        </w:rPr>
        <w:t>（资信证明文件）</w:t>
      </w:r>
    </w:p>
    <w:p w14:paraId="33C7EA55">
      <w:pPr>
        <w:adjustRightInd w:val="0"/>
        <w:snapToGrid w:val="0"/>
        <w:spacing w:line="560" w:lineRule="exact"/>
        <w:rPr>
          <w:rFonts w:eastAsia="黑体"/>
          <w:color w:val="000000"/>
          <w:sz w:val="28"/>
          <w:szCs w:val="28"/>
          <w:highlight w:val="none"/>
        </w:rPr>
      </w:pPr>
    </w:p>
    <w:p w14:paraId="03DF60BC">
      <w:pPr>
        <w:adjustRightInd w:val="0"/>
        <w:snapToGrid w:val="0"/>
        <w:spacing w:line="560" w:lineRule="exact"/>
        <w:rPr>
          <w:rFonts w:eastAsia="黑体"/>
          <w:color w:val="000000"/>
          <w:sz w:val="28"/>
          <w:szCs w:val="28"/>
          <w:highlight w:val="none"/>
        </w:rPr>
      </w:pPr>
    </w:p>
    <w:p w14:paraId="6FCCBC9C">
      <w:pPr>
        <w:adjustRightInd w:val="0"/>
        <w:snapToGrid w:val="0"/>
        <w:spacing w:line="560" w:lineRule="exact"/>
        <w:rPr>
          <w:rFonts w:eastAsia="黑体"/>
          <w:color w:val="000000"/>
          <w:sz w:val="28"/>
          <w:szCs w:val="28"/>
          <w:highlight w:val="none"/>
        </w:rPr>
      </w:pPr>
    </w:p>
    <w:p w14:paraId="7A722DF2">
      <w:pPr>
        <w:adjustRightInd w:val="0"/>
        <w:snapToGrid w:val="0"/>
        <w:spacing w:line="560" w:lineRule="exact"/>
        <w:rPr>
          <w:rFonts w:eastAsia="黑体"/>
          <w:color w:val="000000"/>
          <w:sz w:val="28"/>
          <w:szCs w:val="28"/>
          <w:highlight w:val="none"/>
        </w:rPr>
      </w:pPr>
    </w:p>
    <w:p w14:paraId="4AE5F58A">
      <w:pPr>
        <w:adjustRightInd w:val="0"/>
        <w:snapToGrid w:val="0"/>
        <w:spacing w:line="560" w:lineRule="exact"/>
        <w:rPr>
          <w:rFonts w:eastAsia="黑体"/>
          <w:color w:val="000000"/>
          <w:sz w:val="28"/>
          <w:szCs w:val="28"/>
          <w:highlight w:val="none"/>
        </w:rPr>
      </w:pPr>
    </w:p>
    <w:p w14:paraId="78089778">
      <w:pPr>
        <w:adjustRightInd w:val="0"/>
        <w:snapToGrid w:val="0"/>
        <w:spacing w:line="560" w:lineRule="exact"/>
        <w:rPr>
          <w:rFonts w:eastAsia="黑体"/>
          <w:color w:val="000000"/>
          <w:sz w:val="28"/>
          <w:szCs w:val="28"/>
          <w:highlight w:val="none"/>
        </w:rPr>
      </w:pPr>
    </w:p>
    <w:p w14:paraId="3F6580D7">
      <w:pPr>
        <w:adjustRightInd w:val="0"/>
        <w:snapToGrid w:val="0"/>
        <w:spacing w:line="560" w:lineRule="exact"/>
        <w:rPr>
          <w:rFonts w:eastAsia="黑体"/>
          <w:color w:val="000000"/>
          <w:sz w:val="28"/>
          <w:szCs w:val="28"/>
          <w:highlight w:val="none"/>
        </w:rPr>
      </w:pPr>
    </w:p>
    <w:p w14:paraId="08628560">
      <w:pPr>
        <w:adjustRightInd w:val="0"/>
        <w:snapToGrid w:val="0"/>
        <w:spacing w:line="560" w:lineRule="exact"/>
        <w:rPr>
          <w:rFonts w:eastAsia="黑体"/>
          <w:color w:val="000000"/>
          <w:sz w:val="28"/>
          <w:szCs w:val="28"/>
          <w:highlight w:val="none"/>
        </w:rPr>
      </w:pPr>
    </w:p>
    <w:p w14:paraId="1A00B3B8">
      <w:pPr>
        <w:adjustRightInd w:val="0"/>
        <w:snapToGrid w:val="0"/>
        <w:spacing w:line="560" w:lineRule="exact"/>
        <w:jc w:val="center"/>
        <w:rPr>
          <w:rFonts w:eastAsia="黑体"/>
          <w:color w:val="000000"/>
          <w:sz w:val="28"/>
          <w:szCs w:val="28"/>
          <w:highlight w:val="none"/>
          <w:u w:val="single"/>
        </w:rPr>
      </w:pPr>
      <w:r>
        <w:rPr>
          <w:rFonts w:eastAsia="黑体"/>
          <w:color w:val="000000"/>
          <w:sz w:val="28"/>
          <w:szCs w:val="28"/>
          <w:highlight w:val="none"/>
        </w:rPr>
        <w:t>投标人：</w:t>
      </w:r>
      <w:r>
        <w:rPr>
          <w:rFonts w:eastAsia="黑体"/>
          <w:color w:val="000000"/>
          <w:sz w:val="28"/>
          <w:szCs w:val="28"/>
          <w:highlight w:val="none"/>
          <w:u w:val="single"/>
        </w:rPr>
        <w:t xml:space="preserve">                     </w:t>
      </w:r>
      <w:r>
        <w:rPr>
          <w:rFonts w:hint="eastAsia" w:eastAsia="黑体"/>
          <w:color w:val="000000"/>
          <w:sz w:val="28"/>
          <w:szCs w:val="28"/>
          <w:highlight w:val="none"/>
          <w:u w:val="single"/>
        </w:rPr>
        <w:t xml:space="preserve">  </w:t>
      </w:r>
      <w:r>
        <w:rPr>
          <w:rFonts w:eastAsia="黑体"/>
          <w:color w:val="000000"/>
          <w:sz w:val="28"/>
          <w:szCs w:val="28"/>
          <w:highlight w:val="none"/>
          <w:u w:val="single"/>
        </w:rPr>
        <w:t xml:space="preserve">       </w:t>
      </w:r>
      <w:r>
        <w:rPr>
          <w:rFonts w:eastAsia="黑体"/>
          <w:color w:val="000000"/>
          <w:sz w:val="28"/>
          <w:szCs w:val="28"/>
          <w:highlight w:val="none"/>
        </w:rPr>
        <w:t>（</w:t>
      </w:r>
      <w:r>
        <w:rPr>
          <w:rFonts w:hint="eastAsia" w:eastAsia="黑体"/>
          <w:color w:val="000000"/>
          <w:sz w:val="28"/>
          <w:szCs w:val="28"/>
          <w:highlight w:val="none"/>
        </w:rPr>
        <w:t>签</w:t>
      </w:r>
      <w:r>
        <w:rPr>
          <w:rFonts w:eastAsia="黑体"/>
          <w:color w:val="000000"/>
          <w:sz w:val="28"/>
          <w:szCs w:val="28"/>
          <w:highlight w:val="none"/>
        </w:rPr>
        <w:t>章）</w:t>
      </w:r>
    </w:p>
    <w:p w14:paraId="0675DD4D">
      <w:pPr>
        <w:adjustRightInd w:val="0"/>
        <w:snapToGrid w:val="0"/>
        <w:spacing w:line="560" w:lineRule="exact"/>
        <w:jc w:val="center"/>
        <w:rPr>
          <w:rFonts w:eastAsia="黑体"/>
          <w:color w:val="000000"/>
          <w:sz w:val="28"/>
          <w:szCs w:val="28"/>
          <w:highlight w:val="none"/>
        </w:rPr>
      </w:pPr>
      <w:r>
        <w:rPr>
          <w:rFonts w:eastAsia="黑体"/>
          <w:color w:val="000000"/>
          <w:sz w:val="28"/>
          <w:szCs w:val="28"/>
          <w:highlight w:val="none"/>
        </w:rPr>
        <w:t>法定代表人：</w:t>
      </w:r>
      <w:r>
        <w:rPr>
          <w:rFonts w:eastAsia="黑体"/>
          <w:color w:val="000000"/>
          <w:sz w:val="28"/>
          <w:szCs w:val="28"/>
          <w:highlight w:val="none"/>
          <w:u w:val="single"/>
        </w:rPr>
        <w:t xml:space="preserve">                </w:t>
      </w:r>
      <w:r>
        <w:rPr>
          <w:rFonts w:eastAsia="黑体"/>
          <w:color w:val="000000"/>
          <w:sz w:val="28"/>
          <w:szCs w:val="28"/>
          <w:highlight w:val="none"/>
        </w:rPr>
        <w:t>（签</w:t>
      </w:r>
      <w:r>
        <w:rPr>
          <w:rFonts w:hint="eastAsia" w:eastAsia="黑体"/>
          <w:color w:val="000000"/>
          <w:sz w:val="28"/>
          <w:szCs w:val="28"/>
          <w:highlight w:val="none"/>
        </w:rPr>
        <w:t>章</w:t>
      </w:r>
      <w:r>
        <w:rPr>
          <w:rFonts w:eastAsia="黑体"/>
          <w:color w:val="000000"/>
          <w:sz w:val="28"/>
          <w:szCs w:val="28"/>
          <w:highlight w:val="none"/>
        </w:rPr>
        <w:t>）</w:t>
      </w:r>
    </w:p>
    <w:p w14:paraId="494F408C">
      <w:pPr>
        <w:adjustRightInd w:val="0"/>
        <w:snapToGrid w:val="0"/>
        <w:spacing w:line="560" w:lineRule="exact"/>
        <w:jc w:val="center"/>
        <w:rPr>
          <w:rFonts w:eastAsia="黑体"/>
          <w:color w:val="000000"/>
          <w:sz w:val="28"/>
          <w:szCs w:val="28"/>
          <w:highlight w:val="none"/>
        </w:rPr>
      </w:pPr>
      <w:r>
        <w:rPr>
          <w:rFonts w:eastAsia="黑体"/>
          <w:color w:val="000000"/>
          <w:sz w:val="28"/>
          <w:szCs w:val="28"/>
          <w:highlight w:val="none"/>
          <w:u w:val="single"/>
        </w:rPr>
        <w:t xml:space="preserve">        </w:t>
      </w:r>
      <w:r>
        <w:rPr>
          <w:rFonts w:eastAsia="黑体"/>
          <w:color w:val="000000"/>
          <w:sz w:val="28"/>
          <w:szCs w:val="28"/>
          <w:highlight w:val="none"/>
        </w:rPr>
        <w:t>年</w:t>
      </w:r>
      <w:r>
        <w:rPr>
          <w:rFonts w:eastAsia="黑体"/>
          <w:color w:val="000000"/>
          <w:sz w:val="28"/>
          <w:szCs w:val="28"/>
          <w:highlight w:val="none"/>
          <w:u w:val="single"/>
        </w:rPr>
        <w:t xml:space="preserve">        </w:t>
      </w:r>
      <w:r>
        <w:rPr>
          <w:rFonts w:eastAsia="黑体"/>
          <w:color w:val="000000"/>
          <w:sz w:val="28"/>
          <w:szCs w:val="28"/>
          <w:highlight w:val="none"/>
        </w:rPr>
        <w:t>月</w:t>
      </w:r>
      <w:r>
        <w:rPr>
          <w:rFonts w:eastAsia="黑体"/>
          <w:color w:val="000000"/>
          <w:sz w:val="28"/>
          <w:szCs w:val="28"/>
          <w:highlight w:val="none"/>
          <w:u w:val="single"/>
        </w:rPr>
        <w:t xml:space="preserve">        </w:t>
      </w:r>
      <w:r>
        <w:rPr>
          <w:rFonts w:eastAsia="黑体"/>
          <w:color w:val="000000"/>
          <w:sz w:val="28"/>
          <w:szCs w:val="28"/>
          <w:highlight w:val="none"/>
        </w:rPr>
        <w:t>日</w:t>
      </w:r>
    </w:p>
    <w:p w14:paraId="546245B7">
      <w:pPr>
        <w:pStyle w:val="3"/>
        <w:rPr>
          <w:color w:val="000000"/>
          <w:highlight w:val="none"/>
        </w:rPr>
        <w:sectPr>
          <w:pgSz w:w="11910" w:h="16840"/>
          <w:pgMar w:top="1060" w:right="660" w:bottom="1020" w:left="1120" w:header="0" w:footer="833" w:gutter="0"/>
          <w:pgBorders>
            <w:top w:val="none" w:sz="0" w:space="0"/>
            <w:left w:val="none" w:sz="0" w:space="0"/>
            <w:bottom w:val="none" w:sz="0" w:space="0"/>
            <w:right w:val="none" w:sz="0" w:space="0"/>
          </w:pgBorders>
          <w:cols w:space="720" w:num="1"/>
        </w:sectPr>
      </w:pPr>
      <w:bookmarkStart w:id="865" w:name="_Toc95223532"/>
      <w:bookmarkStart w:id="866" w:name="_Toc246996374"/>
      <w:bookmarkStart w:id="867" w:name="_Toc144974881"/>
      <w:bookmarkStart w:id="868" w:name="_Toc246997117"/>
      <w:bookmarkStart w:id="869" w:name="_Toc152045813"/>
      <w:bookmarkStart w:id="870" w:name="_Toc152042602"/>
      <w:bookmarkStart w:id="871" w:name="_Toc179632833"/>
      <w:bookmarkStart w:id="872" w:name="_Toc296602622"/>
      <w:bookmarkStart w:id="873" w:name="_Toc247085892"/>
    </w:p>
    <w:p w14:paraId="14844DA1">
      <w:pPr>
        <w:pStyle w:val="3"/>
        <w:rPr>
          <w:color w:val="000000"/>
          <w:highlight w:val="none"/>
        </w:rPr>
      </w:pPr>
      <w:r>
        <w:rPr>
          <w:rFonts w:hint="eastAsia"/>
          <w:color w:val="000000"/>
          <w:highlight w:val="none"/>
        </w:rPr>
        <w:t>投标文件一：资信证明文件目录</w:t>
      </w:r>
      <w:bookmarkEnd w:id="865"/>
    </w:p>
    <w:p w14:paraId="63EBE68B">
      <w:pPr>
        <w:adjustRightInd w:val="0"/>
        <w:snapToGrid w:val="0"/>
        <w:spacing w:line="560" w:lineRule="exact"/>
        <w:ind w:firstLine="420" w:firstLineChars="200"/>
        <w:rPr>
          <w:rFonts w:ascii="宋体" w:hAnsi="宋体" w:cs="宋体"/>
          <w:color w:val="000000"/>
          <w:highlight w:val="none"/>
        </w:rPr>
      </w:pPr>
      <w:r>
        <w:rPr>
          <w:rFonts w:hint="eastAsia" w:ascii="宋体" w:hAnsi="宋体" w:cs="宋体"/>
          <w:color w:val="000000"/>
          <w:highlight w:val="none"/>
        </w:rPr>
        <w:t>（1）投标人基本情况表；</w:t>
      </w:r>
    </w:p>
    <w:p w14:paraId="6924ED25">
      <w:pPr>
        <w:adjustRightInd w:val="0"/>
        <w:snapToGrid w:val="0"/>
        <w:spacing w:line="560" w:lineRule="exact"/>
        <w:ind w:firstLine="420" w:firstLineChars="200"/>
        <w:rPr>
          <w:rFonts w:ascii="宋体" w:hAnsi="宋体" w:cs="宋体"/>
          <w:color w:val="000000"/>
          <w:highlight w:val="none"/>
        </w:rPr>
      </w:pPr>
      <w:r>
        <w:rPr>
          <w:rFonts w:hint="eastAsia" w:ascii="宋体" w:hAnsi="宋体" w:cs="宋体"/>
          <w:color w:val="000000"/>
          <w:highlight w:val="none"/>
        </w:rPr>
        <w:t>（2）近年财务状况表；</w:t>
      </w:r>
    </w:p>
    <w:p w14:paraId="126B7FCD">
      <w:pPr>
        <w:adjustRightInd w:val="0"/>
        <w:snapToGrid w:val="0"/>
        <w:spacing w:line="560" w:lineRule="exact"/>
        <w:ind w:firstLine="420" w:firstLineChars="200"/>
        <w:rPr>
          <w:rFonts w:ascii="宋体" w:hAnsi="宋体" w:cs="宋体"/>
          <w:color w:val="000000"/>
          <w:highlight w:val="none"/>
        </w:rPr>
      </w:pPr>
      <w:r>
        <w:rPr>
          <w:rFonts w:hint="eastAsia" w:ascii="宋体" w:hAnsi="宋体" w:cs="宋体"/>
          <w:color w:val="000000"/>
          <w:highlight w:val="none"/>
        </w:rPr>
        <w:t>（3）近年完成的类似项目情况表；</w:t>
      </w:r>
    </w:p>
    <w:p w14:paraId="54D205C7">
      <w:pPr>
        <w:adjustRightInd w:val="0"/>
        <w:snapToGrid w:val="0"/>
        <w:spacing w:line="560" w:lineRule="exact"/>
        <w:ind w:firstLine="420" w:firstLineChars="200"/>
        <w:rPr>
          <w:rFonts w:ascii="宋体" w:hAnsi="宋体" w:cs="宋体"/>
          <w:color w:val="000000"/>
          <w:highlight w:val="none"/>
        </w:rPr>
      </w:pPr>
      <w:r>
        <w:rPr>
          <w:rFonts w:hint="eastAsia" w:ascii="宋体" w:hAnsi="宋体" w:cs="宋体"/>
          <w:color w:val="000000"/>
          <w:highlight w:val="none"/>
        </w:rPr>
        <w:t>（4）正在实施的和新承接的项目情况表；</w:t>
      </w:r>
    </w:p>
    <w:p w14:paraId="1CBA0A4F">
      <w:pPr>
        <w:adjustRightInd w:val="0"/>
        <w:snapToGrid w:val="0"/>
        <w:spacing w:line="560" w:lineRule="exact"/>
        <w:ind w:firstLine="420" w:firstLineChars="200"/>
        <w:rPr>
          <w:rFonts w:ascii="宋体" w:hAnsi="宋体" w:cs="宋体"/>
          <w:color w:val="000000"/>
          <w:highlight w:val="none"/>
        </w:rPr>
      </w:pPr>
      <w:r>
        <w:rPr>
          <w:rFonts w:hint="eastAsia" w:ascii="宋体" w:hAnsi="宋体" w:cs="宋体"/>
          <w:color w:val="000000"/>
          <w:highlight w:val="none"/>
        </w:rPr>
        <w:t>（5）联合体协议书 （如有）；</w:t>
      </w:r>
    </w:p>
    <w:p w14:paraId="0376A811">
      <w:pPr>
        <w:adjustRightInd w:val="0"/>
        <w:snapToGrid w:val="0"/>
        <w:spacing w:line="560" w:lineRule="exact"/>
        <w:ind w:firstLine="420" w:firstLineChars="200"/>
        <w:rPr>
          <w:rFonts w:ascii="宋体" w:hAnsi="宋体" w:cs="宋体"/>
          <w:color w:val="000000"/>
          <w:highlight w:val="none"/>
        </w:rPr>
      </w:pPr>
      <w:r>
        <w:rPr>
          <w:rFonts w:hint="eastAsia" w:ascii="宋体" w:hAnsi="宋体" w:cs="宋体"/>
          <w:color w:val="000000"/>
          <w:highlight w:val="none"/>
        </w:rPr>
        <w:t>（6）</w:t>
      </w:r>
      <w:r>
        <w:rPr>
          <w:rFonts w:ascii="宋体" w:hAnsi="宋体" w:cs="宋体"/>
          <w:color w:val="000000"/>
          <w:highlight w:val="none"/>
        </w:rPr>
        <w:t>项目管理机构</w:t>
      </w:r>
      <w:r>
        <w:rPr>
          <w:rFonts w:hint="eastAsia" w:ascii="宋体" w:hAnsi="宋体" w:cs="宋体"/>
          <w:color w:val="000000"/>
          <w:highlight w:val="none"/>
        </w:rPr>
        <w:t>；</w:t>
      </w:r>
    </w:p>
    <w:p w14:paraId="4B053ABF">
      <w:pPr>
        <w:adjustRightInd w:val="0"/>
        <w:snapToGrid w:val="0"/>
        <w:spacing w:line="560" w:lineRule="exact"/>
        <w:ind w:firstLine="420" w:firstLineChars="200"/>
        <w:rPr>
          <w:rFonts w:ascii="宋体" w:hAnsi="宋体" w:cs="宋体"/>
          <w:color w:val="000000"/>
          <w:highlight w:val="none"/>
        </w:rPr>
      </w:pPr>
      <w:r>
        <w:rPr>
          <w:rFonts w:hint="eastAsia" w:ascii="宋体" w:hAnsi="宋体" w:cs="宋体"/>
          <w:color w:val="000000"/>
          <w:highlight w:val="none"/>
        </w:rPr>
        <w:t>（7）其他资格审查资料（由以下材料</w:t>
      </w:r>
      <w:r>
        <w:rPr>
          <w:rFonts w:hint="eastAsia" w:ascii="宋体" w:hAnsi="宋体" w:cs="宋体"/>
          <w:color w:val="000000"/>
          <w:szCs w:val="21"/>
          <w:highlight w:val="none"/>
        </w:rPr>
        <w:t>组成</w:t>
      </w:r>
      <w:r>
        <w:rPr>
          <w:rFonts w:hint="eastAsia" w:ascii="宋体" w:hAnsi="宋体" w:cs="宋体"/>
          <w:color w:val="000000"/>
          <w:highlight w:val="none"/>
        </w:rPr>
        <w:t>）：</w:t>
      </w:r>
    </w:p>
    <w:p w14:paraId="3EAE7F8C">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①法定代表人身份证明和本人有效身份证(或法定代表人授权委托书和委托代理人有效身份证)；</w:t>
      </w:r>
    </w:p>
    <w:p w14:paraId="66BDFF76">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②诚信投标承诺书（或《</w:t>
      </w:r>
      <w:r>
        <w:rPr>
          <w:rFonts w:hint="eastAsia" w:ascii="宋体" w:hAnsi="宋体" w:cs="宋体"/>
          <w:color w:val="000000"/>
          <w:kern w:val="0"/>
          <w:szCs w:val="21"/>
          <w:highlight w:val="none"/>
        </w:rPr>
        <w:t>公共信用信息报告（无违法违规证明版或核查版）</w:t>
      </w:r>
      <w:r>
        <w:rPr>
          <w:rFonts w:hint="eastAsia" w:ascii="宋体" w:hAnsi="宋体" w:cs="宋体"/>
          <w:color w:val="000000"/>
          <w:szCs w:val="21"/>
          <w:highlight w:val="none"/>
        </w:rPr>
        <w:t>》）</w:t>
      </w:r>
      <w:r>
        <w:rPr>
          <w:rFonts w:hint="eastAsia" w:ascii="宋体" w:hAnsi="宋体" w:cs="宋体"/>
          <w:szCs w:val="21"/>
          <w:highlight w:val="none"/>
        </w:rPr>
        <w:t>（联合体投标的，各方均提供）</w:t>
      </w:r>
      <w:r>
        <w:rPr>
          <w:rFonts w:hint="eastAsia" w:ascii="宋体" w:hAnsi="宋体" w:cs="宋体"/>
          <w:color w:val="000000"/>
          <w:szCs w:val="21"/>
          <w:highlight w:val="none"/>
        </w:rPr>
        <w:t>；</w:t>
      </w:r>
    </w:p>
    <w:p w14:paraId="7C364073">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③企业法人营业执照</w:t>
      </w:r>
      <w:r>
        <w:rPr>
          <w:rFonts w:hint="eastAsia" w:ascii="宋体" w:hAnsi="宋体" w:cs="宋体"/>
          <w:szCs w:val="21"/>
          <w:highlight w:val="none"/>
        </w:rPr>
        <w:t>（联合体投标的，各方均提供）</w:t>
      </w:r>
      <w:r>
        <w:rPr>
          <w:rFonts w:hint="eastAsia" w:ascii="宋体" w:hAnsi="宋体" w:cs="宋体"/>
          <w:color w:val="000000"/>
          <w:szCs w:val="21"/>
          <w:highlight w:val="none"/>
        </w:rPr>
        <w:t>；</w:t>
      </w:r>
    </w:p>
    <w:p w14:paraId="331DE9F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④企业资质证书</w:t>
      </w:r>
      <w:r>
        <w:rPr>
          <w:rFonts w:hint="eastAsia" w:ascii="宋体" w:hAnsi="宋体" w:cs="宋体"/>
          <w:szCs w:val="21"/>
          <w:highlight w:val="none"/>
        </w:rPr>
        <w:t>（联合体投标的，各方均提供）</w:t>
      </w:r>
      <w:r>
        <w:rPr>
          <w:rFonts w:hint="eastAsia" w:ascii="宋体" w:hAnsi="宋体" w:cs="宋体"/>
          <w:color w:val="000000"/>
          <w:szCs w:val="21"/>
          <w:highlight w:val="none"/>
        </w:rPr>
        <w:t>；</w:t>
      </w:r>
    </w:p>
    <w:p w14:paraId="39B2490A">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⑤企业安全生产许可证</w:t>
      </w:r>
      <w:r>
        <w:rPr>
          <w:rFonts w:hint="eastAsia" w:ascii="宋体" w:hAnsi="宋体" w:cs="宋体"/>
          <w:szCs w:val="21"/>
          <w:highlight w:val="none"/>
        </w:rPr>
        <w:t>（</w:t>
      </w:r>
      <w:r>
        <w:rPr>
          <w:rFonts w:hint="eastAsia" w:ascii="宋体" w:hAnsi="宋体" w:cs="宋体"/>
          <w:color w:val="000000"/>
          <w:szCs w:val="21"/>
          <w:highlight w:val="none"/>
          <w:lang w:val="en-US" w:eastAsia="zh-CN"/>
        </w:rPr>
        <w:t>联合体投标的，联合体中具有施工资质的单位提供</w:t>
      </w:r>
      <w:r>
        <w:rPr>
          <w:rFonts w:hint="eastAsia" w:ascii="宋体" w:hAnsi="宋体" w:cs="宋体"/>
          <w:szCs w:val="21"/>
          <w:highlight w:val="none"/>
        </w:rPr>
        <w:t>）</w:t>
      </w:r>
    </w:p>
    <w:p w14:paraId="700D3891">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⑥项目</w:t>
      </w:r>
      <w:r>
        <w:rPr>
          <w:rFonts w:hint="eastAsia" w:ascii="宋体" w:hAnsi="宋体" w:cs="宋体"/>
          <w:color w:val="000000"/>
          <w:szCs w:val="21"/>
          <w:highlight w:val="none"/>
          <w:lang w:val="en-US" w:eastAsia="zh-CN"/>
        </w:rPr>
        <w:t>负责人</w:t>
      </w:r>
      <w:r>
        <w:rPr>
          <w:rFonts w:hint="eastAsia" w:ascii="宋体" w:hAnsi="宋体" w:cs="宋体"/>
          <w:color w:val="000000"/>
          <w:szCs w:val="21"/>
          <w:highlight w:val="none"/>
        </w:rPr>
        <w:t>（建造师）有效身份证、注册证书以及安全生产考核合格证书（B证）；</w:t>
      </w:r>
    </w:p>
    <w:p w14:paraId="40FD8F90">
      <w:pPr>
        <w:adjustRightInd w:val="0"/>
        <w:snapToGrid w:val="0"/>
        <w:spacing w:line="56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⑦投标人的法定代表人(或委托代理人)和项目经理（建造师）须持有社保部门出具的本单位为其缴纳的投标前近三个月连续的养老保险证明（证明文件两个月内有效）（同一人担任不同公司法定代表人的，该法定代表人参加本项目投标时须提供本人在其他公司任法定代表人的营业执照及为其缴纳养老保险证明材料），投标人是事业单位的，暂未缴纳养老保险的，须由其主管部门出具证明；</w:t>
      </w:r>
    </w:p>
    <w:p w14:paraId="099D6BC8">
      <w:pPr>
        <w:widowControl/>
        <w:adjustRightInd w:val="0"/>
        <w:snapToGrid w:val="0"/>
        <w:spacing w:line="560" w:lineRule="exact"/>
        <w:ind w:firstLine="420" w:firstLineChars="200"/>
        <w:jc w:val="left"/>
        <w:rPr>
          <w:rFonts w:hint="eastAsia" w:eastAsia="宋体"/>
          <w:color w:val="000000"/>
          <w:highlight w:val="none"/>
          <w:lang w:eastAsia="zh-CN"/>
        </w:rPr>
      </w:pPr>
      <w:r>
        <w:rPr>
          <w:rFonts w:hint="eastAsia" w:ascii="宋体" w:hAnsi="宋体" w:cs="宋体"/>
          <w:color w:val="000000"/>
          <w:szCs w:val="21"/>
          <w:highlight w:val="none"/>
        </w:rPr>
        <w:t>⑧</w:t>
      </w:r>
      <w:r>
        <w:rPr>
          <w:rFonts w:hint="eastAsia" w:ascii="宋体" w:hAnsi="宋体" w:cs="宋体"/>
          <w:color w:val="000000"/>
          <w:highlight w:val="none"/>
        </w:rPr>
        <w:t>资信评审</w:t>
      </w:r>
      <w:r>
        <w:rPr>
          <w:rFonts w:hint="eastAsia" w:ascii="宋体" w:hAnsi="宋体" w:cs="宋体"/>
          <w:color w:val="000000"/>
          <w:highlight w:val="none"/>
          <w:lang w:val="en-US" w:eastAsia="zh-CN"/>
        </w:rPr>
        <w:t>评分</w:t>
      </w:r>
      <w:r>
        <w:rPr>
          <w:rFonts w:hint="eastAsia" w:ascii="宋体" w:hAnsi="宋体" w:cs="宋体"/>
          <w:color w:val="000000"/>
          <w:highlight w:val="none"/>
        </w:rPr>
        <w:t>等证明</w:t>
      </w:r>
      <w:r>
        <w:rPr>
          <w:rFonts w:hint="eastAsia" w:ascii="宋体" w:hAnsi="宋体" w:cs="宋体"/>
          <w:color w:val="000000"/>
          <w:highlight w:val="none"/>
          <w:lang w:val="en-US" w:eastAsia="zh-CN"/>
        </w:rPr>
        <w:t>材料</w:t>
      </w:r>
      <w:r>
        <w:rPr>
          <w:rFonts w:hint="eastAsia" w:ascii="宋体" w:hAnsi="宋体" w:cs="宋体"/>
          <w:color w:val="000000"/>
          <w:highlight w:val="none"/>
        </w:rPr>
        <w:t>和投标人认为需要的其它证明材料</w:t>
      </w:r>
      <w:r>
        <w:rPr>
          <w:rFonts w:hint="eastAsia" w:ascii="宋体" w:hAnsi="宋体" w:cs="宋体"/>
          <w:color w:val="000000"/>
          <w:highlight w:val="none"/>
          <w:lang w:eastAsia="zh-CN"/>
        </w:rPr>
        <w:t>。</w:t>
      </w:r>
    </w:p>
    <w:p w14:paraId="4CCAAB3E">
      <w:pPr>
        <w:adjustRightInd w:val="0"/>
        <w:snapToGrid w:val="0"/>
        <w:spacing w:line="560" w:lineRule="exact"/>
        <w:rPr>
          <w:b/>
          <w:color w:val="000000"/>
          <w:sz w:val="28"/>
          <w:szCs w:val="28"/>
          <w:highlight w:val="none"/>
        </w:rPr>
      </w:pPr>
    </w:p>
    <w:p w14:paraId="5095614E">
      <w:pPr>
        <w:pStyle w:val="4"/>
        <w:pageBreakBefore/>
        <w:adjustRightInd w:val="0"/>
        <w:snapToGrid w:val="0"/>
        <w:spacing w:before="0" w:after="0" w:line="560" w:lineRule="exact"/>
        <w:jc w:val="center"/>
        <w:rPr>
          <w:color w:val="000000"/>
          <w:highlight w:val="none"/>
        </w:rPr>
        <w:sectPr>
          <w:pgSz w:w="11910" w:h="16840"/>
          <w:pgMar w:top="1060" w:right="660" w:bottom="1020" w:left="1120" w:header="0" w:footer="833" w:gutter="0"/>
          <w:pgBorders>
            <w:top w:val="none" w:sz="0" w:space="0"/>
            <w:left w:val="none" w:sz="0" w:space="0"/>
            <w:bottom w:val="none" w:sz="0" w:space="0"/>
            <w:right w:val="none" w:sz="0" w:space="0"/>
          </w:pgBorders>
          <w:cols w:space="720" w:num="1"/>
        </w:sectPr>
      </w:pPr>
      <w:bookmarkStart w:id="874" w:name="_Toc95223533"/>
    </w:p>
    <w:p w14:paraId="0BA8A566">
      <w:pPr>
        <w:pStyle w:val="4"/>
        <w:pageBreakBefore/>
        <w:adjustRightInd w:val="0"/>
        <w:snapToGrid w:val="0"/>
        <w:spacing w:before="0" w:after="0" w:line="560" w:lineRule="exact"/>
        <w:jc w:val="center"/>
        <w:rPr>
          <w:color w:val="000000"/>
          <w:highlight w:val="none"/>
        </w:rPr>
      </w:pPr>
      <w:r>
        <w:rPr>
          <w:color w:val="000000"/>
          <w:highlight w:val="none"/>
        </w:rPr>
        <w:t>（</w:t>
      </w:r>
      <w:r>
        <w:rPr>
          <w:rFonts w:hint="eastAsia"/>
          <w:color w:val="000000"/>
          <w:highlight w:val="none"/>
        </w:rPr>
        <w:t>1</w:t>
      </w:r>
      <w:r>
        <w:rPr>
          <w:color w:val="000000"/>
          <w:highlight w:val="none"/>
        </w:rPr>
        <w:t>）投标人基本情况表</w:t>
      </w:r>
      <w:bookmarkEnd w:id="874"/>
    </w:p>
    <w:tbl>
      <w:tblPr>
        <w:tblStyle w:val="1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93"/>
        <w:gridCol w:w="1036"/>
        <w:gridCol w:w="1096"/>
        <w:gridCol w:w="969"/>
        <w:gridCol w:w="484"/>
        <w:gridCol w:w="359"/>
        <w:gridCol w:w="1243"/>
        <w:gridCol w:w="565"/>
        <w:gridCol w:w="991"/>
        <w:gridCol w:w="1144"/>
      </w:tblGrid>
      <w:tr w14:paraId="7CF2BB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5"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11DABC39">
            <w:pPr>
              <w:topLinePunct/>
              <w:adjustRightInd w:val="0"/>
              <w:snapToGrid w:val="0"/>
              <w:spacing w:line="560" w:lineRule="exact"/>
              <w:jc w:val="center"/>
              <w:rPr>
                <w:color w:val="000000"/>
                <w:szCs w:val="21"/>
                <w:highlight w:val="none"/>
              </w:rPr>
            </w:pPr>
            <w:r>
              <w:rPr>
                <w:color w:val="000000"/>
                <w:szCs w:val="21"/>
                <w:highlight w:val="none"/>
              </w:rPr>
              <w:t>投标人名称</w:t>
            </w:r>
          </w:p>
        </w:tc>
        <w:tc>
          <w:tcPr>
            <w:tcW w:w="7887" w:type="dxa"/>
            <w:gridSpan w:val="9"/>
            <w:tcBorders>
              <w:top w:val="single" w:color="auto" w:sz="4" w:space="0"/>
              <w:left w:val="single" w:color="auto" w:sz="4" w:space="0"/>
              <w:bottom w:val="single" w:color="auto" w:sz="4" w:space="0"/>
              <w:right w:val="single" w:color="auto" w:sz="4" w:space="0"/>
            </w:tcBorders>
            <w:noWrap w:val="0"/>
            <w:vAlign w:val="center"/>
          </w:tcPr>
          <w:p w14:paraId="204510B5">
            <w:pPr>
              <w:topLinePunct/>
              <w:adjustRightInd w:val="0"/>
              <w:snapToGrid w:val="0"/>
              <w:spacing w:line="560" w:lineRule="exact"/>
              <w:jc w:val="center"/>
              <w:rPr>
                <w:color w:val="000000"/>
                <w:szCs w:val="21"/>
                <w:highlight w:val="none"/>
              </w:rPr>
            </w:pPr>
          </w:p>
        </w:tc>
      </w:tr>
      <w:tr w14:paraId="17D04F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5"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11391081">
            <w:pPr>
              <w:topLinePunct/>
              <w:adjustRightInd w:val="0"/>
              <w:snapToGrid w:val="0"/>
              <w:spacing w:line="560" w:lineRule="exact"/>
              <w:jc w:val="center"/>
              <w:rPr>
                <w:color w:val="000000"/>
                <w:szCs w:val="21"/>
                <w:highlight w:val="none"/>
              </w:rPr>
            </w:pPr>
            <w:r>
              <w:rPr>
                <w:color w:val="000000"/>
                <w:szCs w:val="21"/>
                <w:highlight w:val="none"/>
              </w:rPr>
              <w:t>注册地址</w:t>
            </w:r>
          </w:p>
        </w:tc>
        <w:tc>
          <w:tcPr>
            <w:tcW w:w="3944" w:type="dxa"/>
            <w:gridSpan w:val="5"/>
            <w:tcBorders>
              <w:top w:val="single" w:color="auto" w:sz="4" w:space="0"/>
              <w:left w:val="single" w:color="auto" w:sz="4" w:space="0"/>
              <w:bottom w:val="single" w:color="auto" w:sz="4" w:space="0"/>
              <w:right w:val="single" w:color="auto" w:sz="4" w:space="0"/>
            </w:tcBorders>
            <w:noWrap w:val="0"/>
            <w:vAlign w:val="center"/>
          </w:tcPr>
          <w:p w14:paraId="1670BA6E">
            <w:pPr>
              <w:topLinePunct/>
              <w:adjustRightInd w:val="0"/>
              <w:snapToGrid w:val="0"/>
              <w:spacing w:line="560" w:lineRule="exact"/>
              <w:jc w:val="center"/>
              <w:rPr>
                <w:color w:val="000000"/>
                <w:szCs w:val="21"/>
                <w:highlight w:val="none"/>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614E93E8">
            <w:pPr>
              <w:topLinePunct/>
              <w:adjustRightInd w:val="0"/>
              <w:snapToGrid w:val="0"/>
              <w:spacing w:line="560" w:lineRule="exact"/>
              <w:jc w:val="center"/>
              <w:rPr>
                <w:color w:val="000000"/>
                <w:szCs w:val="21"/>
                <w:highlight w:val="none"/>
              </w:rPr>
            </w:pPr>
            <w:r>
              <w:rPr>
                <w:color w:val="000000"/>
                <w:szCs w:val="21"/>
                <w:highlight w:val="none"/>
              </w:rPr>
              <w:t>邮政编码</w:t>
            </w:r>
          </w:p>
        </w:tc>
        <w:tc>
          <w:tcPr>
            <w:tcW w:w="2700" w:type="dxa"/>
            <w:gridSpan w:val="3"/>
            <w:tcBorders>
              <w:top w:val="single" w:color="auto" w:sz="4" w:space="0"/>
              <w:left w:val="single" w:color="auto" w:sz="4" w:space="0"/>
              <w:bottom w:val="single" w:color="auto" w:sz="4" w:space="0"/>
              <w:right w:val="single" w:color="auto" w:sz="4" w:space="0"/>
            </w:tcBorders>
            <w:noWrap w:val="0"/>
            <w:vAlign w:val="center"/>
          </w:tcPr>
          <w:p w14:paraId="4A9F9D54">
            <w:pPr>
              <w:topLinePunct/>
              <w:adjustRightInd w:val="0"/>
              <w:snapToGrid w:val="0"/>
              <w:spacing w:line="560" w:lineRule="exact"/>
              <w:jc w:val="center"/>
              <w:rPr>
                <w:color w:val="000000"/>
                <w:szCs w:val="21"/>
                <w:highlight w:val="none"/>
              </w:rPr>
            </w:pPr>
          </w:p>
        </w:tc>
        <w:bookmarkStart w:id="875" w:name="_Toc246996373"/>
        <w:bookmarkStart w:id="876" w:name="_Toc324404889"/>
        <w:bookmarkStart w:id="877" w:name="_Toc246997116"/>
        <w:bookmarkStart w:id="878" w:name="_Toc152045808"/>
        <w:bookmarkStart w:id="879" w:name="_Toc179632828"/>
        <w:bookmarkStart w:id="880" w:name="_Toc247085891"/>
        <w:bookmarkStart w:id="881" w:name="_Toc296602618"/>
        <w:bookmarkStart w:id="882" w:name="_Toc144974876"/>
        <w:bookmarkStart w:id="883" w:name="_Toc152042597"/>
      </w:tr>
      <w:tr w14:paraId="722F4A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38" w:hRule="atLeast"/>
          <w:jc w:val="center"/>
        </w:trPr>
        <w:tc>
          <w:tcPr>
            <w:tcW w:w="1993" w:type="dxa"/>
            <w:vMerge w:val="restart"/>
            <w:tcBorders>
              <w:top w:val="single" w:color="auto" w:sz="4" w:space="0"/>
              <w:left w:val="single" w:color="auto" w:sz="4" w:space="0"/>
              <w:bottom w:val="single" w:color="auto" w:sz="4" w:space="0"/>
              <w:right w:val="single" w:color="auto" w:sz="4" w:space="0"/>
            </w:tcBorders>
            <w:noWrap w:val="0"/>
            <w:vAlign w:val="center"/>
          </w:tcPr>
          <w:p w14:paraId="1A1395AC">
            <w:pPr>
              <w:topLinePunct/>
              <w:adjustRightInd w:val="0"/>
              <w:snapToGrid w:val="0"/>
              <w:spacing w:line="560" w:lineRule="exact"/>
              <w:jc w:val="center"/>
              <w:rPr>
                <w:color w:val="000000"/>
                <w:szCs w:val="21"/>
                <w:highlight w:val="none"/>
              </w:rPr>
            </w:pPr>
            <w:r>
              <w:rPr>
                <w:color w:val="000000"/>
                <w:szCs w:val="21"/>
                <w:highlight w:val="none"/>
              </w:rPr>
              <w:t>联系方式</w:t>
            </w:r>
            <w:bookmarkStart w:id="884" w:name="_Toc16718"/>
          </w:p>
        </w:tc>
        <w:tc>
          <w:tcPr>
            <w:tcW w:w="1036" w:type="dxa"/>
            <w:tcBorders>
              <w:top w:val="single" w:color="auto" w:sz="4" w:space="0"/>
              <w:left w:val="single" w:color="auto" w:sz="4" w:space="0"/>
              <w:bottom w:val="single" w:color="auto" w:sz="4" w:space="0"/>
              <w:right w:val="single" w:color="auto" w:sz="4" w:space="0"/>
            </w:tcBorders>
            <w:noWrap w:val="0"/>
            <w:vAlign w:val="center"/>
          </w:tcPr>
          <w:p w14:paraId="43971731">
            <w:pPr>
              <w:topLinePunct/>
              <w:adjustRightInd w:val="0"/>
              <w:snapToGrid w:val="0"/>
              <w:spacing w:line="560" w:lineRule="exact"/>
              <w:jc w:val="center"/>
              <w:rPr>
                <w:color w:val="000000"/>
                <w:szCs w:val="21"/>
                <w:highlight w:val="none"/>
              </w:rPr>
            </w:pPr>
            <w:bookmarkStart w:id="885" w:name="_Toc58229116"/>
            <w:bookmarkStart w:id="886" w:name="_Toc15058935"/>
            <w:bookmarkStart w:id="887" w:name="_Toc506107341"/>
            <w:bookmarkStart w:id="888" w:name="_Toc60061575"/>
            <w:r>
              <w:rPr>
                <w:color w:val="000000"/>
                <w:szCs w:val="21"/>
                <w:highlight w:val="none"/>
              </w:rPr>
              <w:t>联系人</w:t>
            </w:r>
          </w:p>
        </w:tc>
        <w:tc>
          <w:tcPr>
            <w:tcW w:w="2908" w:type="dxa"/>
            <w:gridSpan w:val="4"/>
            <w:tcBorders>
              <w:top w:val="single" w:color="auto" w:sz="4" w:space="0"/>
              <w:left w:val="single" w:color="auto" w:sz="4" w:space="0"/>
              <w:bottom w:val="single" w:color="auto" w:sz="4" w:space="0"/>
              <w:right w:val="single" w:color="auto" w:sz="4" w:space="0"/>
            </w:tcBorders>
            <w:noWrap w:val="0"/>
            <w:vAlign w:val="center"/>
          </w:tcPr>
          <w:p w14:paraId="4F49BBC4">
            <w:pPr>
              <w:topLinePunct/>
              <w:adjustRightInd w:val="0"/>
              <w:snapToGrid w:val="0"/>
              <w:spacing w:line="560" w:lineRule="exact"/>
              <w:jc w:val="center"/>
              <w:rPr>
                <w:color w:val="000000"/>
                <w:szCs w:val="21"/>
                <w:highlight w:val="none"/>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63E5D4F9">
            <w:pPr>
              <w:topLinePunct/>
              <w:adjustRightInd w:val="0"/>
              <w:snapToGrid w:val="0"/>
              <w:spacing w:line="560" w:lineRule="exact"/>
              <w:jc w:val="center"/>
              <w:rPr>
                <w:color w:val="000000"/>
                <w:szCs w:val="21"/>
                <w:highlight w:val="none"/>
              </w:rPr>
            </w:pPr>
            <w:r>
              <w:rPr>
                <w:color w:val="000000"/>
                <w:szCs w:val="21"/>
                <w:highlight w:val="none"/>
              </w:rPr>
              <w:t>电 话</w:t>
            </w:r>
          </w:p>
        </w:tc>
        <w:tc>
          <w:tcPr>
            <w:tcW w:w="2700" w:type="dxa"/>
            <w:gridSpan w:val="3"/>
            <w:tcBorders>
              <w:top w:val="single" w:color="auto" w:sz="4" w:space="0"/>
              <w:left w:val="single" w:color="auto" w:sz="4" w:space="0"/>
              <w:bottom w:val="single" w:color="auto" w:sz="4" w:space="0"/>
              <w:right w:val="single" w:color="auto" w:sz="4" w:space="0"/>
            </w:tcBorders>
            <w:noWrap w:val="0"/>
            <w:vAlign w:val="center"/>
          </w:tcPr>
          <w:p w14:paraId="45924D7D">
            <w:pPr>
              <w:topLinePunct/>
              <w:adjustRightInd w:val="0"/>
              <w:snapToGrid w:val="0"/>
              <w:spacing w:line="560" w:lineRule="exact"/>
              <w:jc w:val="center"/>
              <w:rPr>
                <w:color w:val="000000"/>
                <w:szCs w:val="21"/>
                <w:highlight w:val="none"/>
              </w:rPr>
            </w:pPr>
          </w:p>
        </w:tc>
      </w:t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tr w14:paraId="295360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47" w:hRule="atLeast"/>
          <w:jc w:val="center"/>
        </w:trPr>
        <w:tc>
          <w:tcPr>
            <w:tcW w:w="1993" w:type="dxa"/>
            <w:vMerge w:val="continue"/>
            <w:tcBorders>
              <w:top w:val="single" w:color="auto" w:sz="4" w:space="0"/>
              <w:left w:val="single" w:color="auto" w:sz="4" w:space="0"/>
              <w:bottom w:val="single" w:color="auto" w:sz="4" w:space="0"/>
              <w:right w:val="single" w:color="auto" w:sz="4" w:space="0"/>
            </w:tcBorders>
            <w:noWrap w:val="0"/>
            <w:vAlign w:val="center"/>
          </w:tcPr>
          <w:p w14:paraId="41F7236A">
            <w:pPr>
              <w:topLinePunct/>
              <w:adjustRightInd w:val="0"/>
              <w:snapToGrid w:val="0"/>
              <w:spacing w:line="560" w:lineRule="exact"/>
              <w:jc w:val="center"/>
              <w:rPr>
                <w:color w:val="000000"/>
                <w:szCs w:val="21"/>
                <w:highlight w:val="none"/>
              </w:rPr>
            </w:pPr>
          </w:p>
        </w:tc>
        <w:tc>
          <w:tcPr>
            <w:tcW w:w="1036" w:type="dxa"/>
            <w:tcBorders>
              <w:top w:val="single" w:color="auto" w:sz="4" w:space="0"/>
              <w:left w:val="single" w:color="auto" w:sz="4" w:space="0"/>
              <w:bottom w:val="single" w:color="auto" w:sz="4" w:space="0"/>
              <w:right w:val="single" w:color="auto" w:sz="4" w:space="0"/>
            </w:tcBorders>
            <w:noWrap w:val="0"/>
            <w:vAlign w:val="center"/>
          </w:tcPr>
          <w:p w14:paraId="58888C88">
            <w:pPr>
              <w:topLinePunct/>
              <w:adjustRightInd w:val="0"/>
              <w:snapToGrid w:val="0"/>
              <w:spacing w:line="560" w:lineRule="exact"/>
              <w:jc w:val="center"/>
              <w:rPr>
                <w:color w:val="000000"/>
                <w:szCs w:val="21"/>
                <w:highlight w:val="none"/>
              </w:rPr>
            </w:pPr>
            <w:r>
              <w:rPr>
                <w:color w:val="000000"/>
                <w:szCs w:val="21"/>
                <w:highlight w:val="none"/>
              </w:rPr>
              <w:t>传  真</w:t>
            </w:r>
          </w:p>
        </w:tc>
        <w:tc>
          <w:tcPr>
            <w:tcW w:w="2908" w:type="dxa"/>
            <w:gridSpan w:val="4"/>
            <w:tcBorders>
              <w:top w:val="single" w:color="auto" w:sz="4" w:space="0"/>
              <w:left w:val="single" w:color="auto" w:sz="4" w:space="0"/>
              <w:bottom w:val="single" w:color="auto" w:sz="4" w:space="0"/>
              <w:right w:val="single" w:color="auto" w:sz="4" w:space="0"/>
            </w:tcBorders>
            <w:noWrap w:val="0"/>
            <w:vAlign w:val="center"/>
          </w:tcPr>
          <w:p w14:paraId="025C3A33">
            <w:pPr>
              <w:topLinePunct/>
              <w:adjustRightInd w:val="0"/>
              <w:snapToGrid w:val="0"/>
              <w:spacing w:line="560" w:lineRule="exact"/>
              <w:jc w:val="center"/>
              <w:rPr>
                <w:color w:val="000000"/>
                <w:szCs w:val="21"/>
                <w:highlight w:val="none"/>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0993888C">
            <w:pPr>
              <w:topLinePunct/>
              <w:adjustRightInd w:val="0"/>
              <w:snapToGrid w:val="0"/>
              <w:spacing w:line="560" w:lineRule="exact"/>
              <w:jc w:val="center"/>
              <w:rPr>
                <w:color w:val="000000"/>
                <w:szCs w:val="21"/>
                <w:highlight w:val="none"/>
              </w:rPr>
            </w:pPr>
            <w:r>
              <w:rPr>
                <w:color w:val="000000"/>
                <w:szCs w:val="21"/>
                <w:highlight w:val="none"/>
              </w:rPr>
              <w:t>网 址</w:t>
            </w:r>
          </w:p>
        </w:tc>
        <w:tc>
          <w:tcPr>
            <w:tcW w:w="2700" w:type="dxa"/>
            <w:gridSpan w:val="3"/>
            <w:tcBorders>
              <w:top w:val="single" w:color="auto" w:sz="4" w:space="0"/>
              <w:left w:val="single" w:color="auto" w:sz="4" w:space="0"/>
              <w:bottom w:val="single" w:color="auto" w:sz="4" w:space="0"/>
              <w:right w:val="single" w:color="auto" w:sz="4" w:space="0"/>
            </w:tcBorders>
            <w:noWrap w:val="0"/>
            <w:vAlign w:val="center"/>
          </w:tcPr>
          <w:p w14:paraId="192B0185">
            <w:pPr>
              <w:topLinePunct/>
              <w:adjustRightInd w:val="0"/>
              <w:snapToGrid w:val="0"/>
              <w:spacing w:line="560" w:lineRule="exact"/>
              <w:jc w:val="center"/>
              <w:rPr>
                <w:color w:val="000000"/>
                <w:szCs w:val="21"/>
                <w:highlight w:val="none"/>
              </w:rPr>
            </w:pPr>
          </w:p>
        </w:tc>
      </w:tr>
      <w:tr w14:paraId="210B18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9"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495259B4">
            <w:pPr>
              <w:topLinePunct/>
              <w:adjustRightInd w:val="0"/>
              <w:snapToGrid w:val="0"/>
              <w:spacing w:line="560" w:lineRule="exact"/>
              <w:jc w:val="center"/>
              <w:rPr>
                <w:color w:val="000000"/>
                <w:szCs w:val="21"/>
                <w:highlight w:val="none"/>
              </w:rPr>
            </w:pPr>
            <w:r>
              <w:rPr>
                <w:color w:val="000000"/>
                <w:szCs w:val="21"/>
                <w:highlight w:val="none"/>
              </w:rPr>
              <w:t>组织结构</w:t>
            </w:r>
          </w:p>
        </w:tc>
        <w:tc>
          <w:tcPr>
            <w:tcW w:w="7887" w:type="dxa"/>
            <w:gridSpan w:val="9"/>
            <w:tcBorders>
              <w:top w:val="single" w:color="auto" w:sz="4" w:space="0"/>
              <w:left w:val="single" w:color="auto" w:sz="4" w:space="0"/>
              <w:bottom w:val="single" w:color="auto" w:sz="4" w:space="0"/>
              <w:right w:val="single" w:color="auto" w:sz="4" w:space="0"/>
            </w:tcBorders>
            <w:noWrap w:val="0"/>
            <w:vAlign w:val="center"/>
          </w:tcPr>
          <w:p w14:paraId="5E93A22C">
            <w:pPr>
              <w:topLinePunct/>
              <w:adjustRightInd w:val="0"/>
              <w:snapToGrid w:val="0"/>
              <w:spacing w:line="560" w:lineRule="exact"/>
              <w:jc w:val="center"/>
              <w:rPr>
                <w:color w:val="000000"/>
                <w:szCs w:val="21"/>
                <w:highlight w:val="none"/>
              </w:rPr>
            </w:pPr>
          </w:p>
        </w:tc>
      </w:tr>
      <w:tr w14:paraId="2D937A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1"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27FB09D1">
            <w:pPr>
              <w:topLinePunct/>
              <w:adjustRightInd w:val="0"/>
              <w:snapToGrid w:val="0"/>
              <w:spacing w:line="560" w:lineRule="exact"/>
              <w:jc w:val="center"/>
              <w:rPr>
                <w:color w:val="000000"/>
                <w:szCs w:val="21"/>
                <w:highlight w:val="none"/>
              </w:rPr>
            </w:pPr>
            <w:r>
              <w:rPr>
                <w:color w:val="000000"/>
                <w:szCs w:val="21"/>
                <w:highlight w:val="none"/>
              </w:rPr>
              <w:t>法定代表人</w:t>
            </w:r>
          </w:p>
        </w:tc>
        <w:tc>
          <w:tcPr>
            <w:tcW w:w="1036" w:type="dxa"/>
            <w:tcBorders>
              <w:top w:val="single" w:color="auto" w:sz="4" w:space="0"/>
              <w:left w:val="single" w:color="auto" w:sz="4" w:space="0"/>
              <w:bottom w:val="single" w:color="auto" w:sz="4" w:space="0"/>
              <w:right w:val="single" w:color="auto" w:sz="4" w:space="0"/>
            </w:tcBorders>
            <w:noWrap w:val="0"/>
            <w:vAlign w:val="center"/>
          </w:tcPr>
          <w:p w14:paraId="2C330AE1">
            <w:pPr>
              <w:topLinePunct/>
              <w:adjustRightInd w:val="0"/>
              <w:snapToGrid w:val="0"/>
              <w:spacing w:line="560" w:lineRule="exact"/>
              <w:jc w:val="center"/>
              <w:rPr>
                <w:color w:val="000000"/>
                <w:szCs w:val="21"/>
                <w:highlight w:val="none"/>
              </w:rPr>
            </w:pPr>
            <w:r>
              <w:rPr>
                <w:color w:val="000000"/>
                <w:szCs w:val="21"/>
                <w:highlight w:val="none"/>
              </w:rPr>
              <w:t>姓名</w:t>
            </w:r>
          </w:p>
        </w:tc>
        <w:tc>
          <w:tcPr>
            <w:tcW w:w="1096" w:type="dxa"/>
            <w:tcBorders>
              <w:top w:val="single" w:color="auto" w:sz="4" w:space="0"/>
              <w:left w:val="single" w:color="auto" w:sz="4" w:space="0"/>
              <w:bottom w:val="single" w:color="auto" w:sz="4" w:space="0"/>
              <w:right w:val="single" w:color="auto" w:sz="4" w:space="0"/>
            </w:tcBorders>
            <w:noWrap w:val="0"/>
            <w:vAlign w:val="center"/>
          </w:tcPr>
          <w:p w14:paraId="12AFB5AC">
            <w:pPr>
              <w:topLinePunct/>
              <w:adjustRightInd w:val="0"/>
              <w:snapToGrid w:val="0"/>
              <w:spacing w:line="560" w:lineRule="exact"/>
              <w:jc w:val="center"/>
              <w:rPr>
                <w:color w:val="000000"/>
                <w:szCs w:val="21"/>
                <w:highlight w:val="none"/>
              </w:rPr>
            </w:pPr>
          </w:p>
        </w:tc>
        <w:tc>
          <w:tcPr>
            <w:tcW w:w="1453" w:type="dxa"/>
            <w:gridSpan w:val="2"/>
            <w:tcBorders>
              <w:top w:val="single" w:color="auto" w:sz="4" w:space="0"/>
              <w:left w:val="single" w:color="auto" w:sz="4" w:space="0"/>
              <w:bottom w:val="single" w:color="auto" w:sz="4" w:space="0"/>
              <w:right w:val="single" w:color="auto" w:sz="4" w:space="0"/>
            </w:tcBorders>
            <w:noWrap w:val="0"/>
            <w:vAlign w:val="center"/>
          </w:tcPr>
          <w:p w14:paraId="2CD16D55">
            <w:pPr>
              <w:topLinePunct/>
              <w:adjustRightInd w:val="0"/>
              <w:snapToGrid w:val="0"/>
              <w:spacing w:line="560" w:lineRule="exact"/>
              <w:jc w:val="center"/>
              <w:rPr>
                <w:color w:val="000000"/>
                <w:szCs w:val="21"/>
                <w:highlight w:val="none"/>
              </w:rPr>
            </w:pPr>
            <w:r>
              <w:rPr>
                <w:color w:val="000000"/>
                <w:szCs w:val="21"/>
                <w:highlight w:val="none"/>
              </w:rPr>
              <w:t>技术职称</w:t>
            </w:r>
          </w:p>
        </w:tc>
        <w:tc>
          <w:tcPr>
            <w:tcW w:w="2167" w:type="dxa"/>
            <w:gridSpan w:val="3"/>
            <w:tcBorders>
              <w:top w:val="single" w:color="auto" w:sz="4" w:space="0"/>
              <w:left w:val="single" w:color="auto" w:sz="4" w:space="0"/>
              <w:bottom w:val="single" w:color="auto" w:sz="4" w:space="0"/>
              <w:right w:val="single" w:color="auto" w:sz="4" w:space="0"/>
            </w:tcBorders>
            <w:noWrap w:val="0"/>
            <w:vAlign w:val="center"/>
          </w:tcPr>
          <w:p w14:paraId="32DAD645">
            <w:pPr>
              <w:topLinePunct/>
              <w:adjustRightInd w:val="0"/>
              <w:snapToGrid w:val="0"/>
              <w:spacing w:line="560" w:lineRule="exact"/>
              <w:jc w:val="center"/>
              <w:rPr>
                <w:color w:val="000000"/>
                <w:szCs w:val="21"/>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5C27C935">
            <w:pPr>
              <w:topLinePunct/>
              <w:adjustRightInd w:val="0"/>
              <w:snapToGrid w:val="0"/>
              <w:spacing w:line="560" w:lineRule="exact"/>
              <w:jc w:val="center"/>
              <w:rPr>
                <w:color w:val="000000"/>
                <w:szCs w:val="21"/>
                <w:highlight w:val="none"/>
              </w:rPr>
            </w:pPr>
            <w:r>
              <w:rPr>
                <w:color w:val="000000"/>
                <w:szCs w:val="21"/>
                <w:highlight w:val="none"/>
              </w:rPr>
              <w:t>电话</w:t>
            </w:r>
          </w:p>
        </w:tc>
        <w:tc>
          <w:tcPr>
            <w:tcW w:w="1144" w:type="dxa"/>
            <w:tcBorders>
              <w:top w:val="single" w:color="auto" w:sz="4" w:space="0"/>
              <w:left w:val="single" w:color="auto" w:sz="4" w:space="0"/>
              <w:bottom w:val="single" w:color="auto" w:sz="4" w:space="0"/>
              <w:right w:val="single" w:color="auto" w:sz="4" w:space="0"/>
            </w:tcBorders>
            <w:noWrap w:val="0"/>
            <w:vAlign w:val="center"/>
          </w:tcPr>
          <w:p w14:paraId="1B09942F">
            <w:pPr>
              <w:topLinePunct/>
              <w:adjustRightInd w:val="0"/>
              <w:snapToGrid w:val="0"/>
              <w:spacing w:line="560" w:lineRule="exact"/>
              <w:jc w:val="center"/>
              <w:rPr>
                <w:color w:val="000000"/>
                <w:szCs w:val="21"/>
                <w:highlight w:val="none"/>
              </w:rPr>
            </w:pPr>
          </w:p>
        </w:tc>
      </w:tr>
      <w:tr w14:paraId="1A5598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02F5AADC">
            <w:pPr>
              <w:topLinePunct/>
              <w:adjustRightInd w:val="0"/>
              <w:snapToGrid w:val="0"/>
              <w:spacing w:line="560" w:lineRule="exact"/>
              <w:jc w:val="center"/>
              <w:rPr>
                <w:color w:val="000000"/>
                <w:szCs w:val="21"/>
                <w:highlight w:val="none"/>
              </w:rPr>
            </w:pPr>
            <w:r>
              <w:rPr>
                <w:color w:val="000000"/>
                <w:szCs w:val="21"/>
                <w:highlight w:val="none"/>
              </w:rPr>
              <w:t>技术负责人</w:t>
            </w:r>
          </w:p>
        </w:tc>
        <w:tc>
          <w:tcPr>
            <w:tcW w:w="1036" w:type="dxa"/>
            <w:tcBorders>
              <w:top w:val="single" w:color="auto" w:sz="4" w:space="0"/>
              <w:left w:val="single" w:color="auto" w:sz="4" w:space="0"/>
              <w:bottom w:val="single" w:color="auto" w:sz="4" w:space="0"/>
              <w:right w:val="single" w:color="auto" w:sz="4" w:space="0"/>
            </w:tcBorders>
            <w:noWrap w:val="0"/>
            <w:vAlign w:val="center"/>
          </w:tcPr>
          <w:p w14:paraId="432794E5">
            <w:pPr>
              <w:topLinePunct/>
              <w:adjustRightInd w:val="0"/>
              <w:snapToGrid w:val="0"/>
              <w:spacing w:line="560" w:lineRule="exact"/>
              <w:jc w:val="center"/>
              <w:rPr>
                <w:color w:val="000000"/>
                <w:szCs w:val="21"/>
                <w:highlight w:val="none"/>
              </w:rPr>
            </w:pPr>
            <w:r>
              <w:rPr>
                <w:color w:val="000000"/>
                <w:szCs w:val="21"/>
                <w:highlight w:val="none"/>
              </w:rPr>
              <w:t>姓名</w:t>
            </w:r>
          </w:p>
        </w:tc>
        <w:tc>
          <w:tcPr>
            <w:tcW w:w="1096" w:type="dxa"/>
            <w:tcBorders>
              <w:top w:val="single" w:color="auto" w:sz="4" w:space="0"/>
              <w:left w:val="single" w:color="auto" w:sz="4" w:space="0"/>
              <w:bottom w:val="single" w:color="auto" w:sz="4" w:space="0"/>
              <w:right w:val="single" w:color="auto" w:sz="4" w:space="0"/>
            </w:tcBorders>
            <w:noWrap w:val="0"/>
            <w:vAlign w:val="center"/>
          </w:tcPr>
          <w:p w14:paraId="49C630F2">
            <w:pPr>
              <w:topLinePunct/>
              <w:adjustRightInd w:val="0"/>
              <w:snapToGrid w:val="0"/>
              <w:spacing w:line="560" w:lineRule="exact"/>
              <w:jc w:val="center"/>
              <w:rPr>
                <w:color w:val="000000"/>
                <w:szCs w:val="21"/>
                <w:highlight w:val="none"/>
              </w:rPr>
            </w:pPr>
          </w:p>
        </w:tc>
        <w:tc>
          <w:tcPr>
            <w:tcW w:w="1453" w:type="dxa"/>
            <w:gridSpan w:val="2"/>
            <w:tcBorders>
              <w:top w:val="single" w:color="auto" w:sz="4" w:space="0"/>
              <w:left w:val="single" w:color="auto" w:sz="4" w:space="0"/>
              <w:bottom w:val="single" w:color="auto" w:sz="4" w:space="0"/>
              <w:right w:val="single" w:color="auto" w:sz="4" w:space="0"/>
            </w:tcBorders>
            <w:noWrap w:val="0"/>
            <w:vAlign w:val="center"/>
          </w:tcPr>
          <w:p w14:paraId="18557A99">
            <w:pPr>
              <w:topLinePunct/>
              <w:adjustRightInd w:val="0"/>
              <w:snapToGrid w:val="0"/>
              <w:spacing w:line="560" w:lineRule="exact"/>
              <w:jc w:val="center"/>
              <w:rPr>
                <w:color w:val="000000"/>
                <w:szCs w:val="21"/>
                <w:highlight w:val="none"/>
              </w:rPr>
            </w:pPr>
            <w:r>
              <w:rPr>
                <w:color w:val="000000"/>
                <w:szCs w:val="21"/>
                <w:highlight w:val="none"/>
              </w:rPr>
              <w:t>技术职称</w:t>
            </w:r>
          </w:p>
        </w:tc>
        <w:tc>
          <w:tcPr>
            <w:tcW w:w="2167" w:type="dxa"/>
            <w:gridSpan w:val="3"/>
            <w:tcBorders>
              <w:top w:val="single" w:color="auto" w:sz="4" w:space="0"/>
              <w:left w:val="single" w:color="auto" w:sz="4" w:space="0"/>
              <w:bottom w:val="single" w:color="auto" w:sz="4" w:space="0"/>
              <w:right w:val="single" w:color="auto" w:sz="4" w:space="0"/>
            </w:tcBorders>
            <w:noWrap w:val="0"/>
            <w:vAlign w:val="center"/>
          </w:tcPr>
          <w:p w14:paraId="09E205E7">
            <w:pPr>
              <w:topLinePunct/>
              <w:adjustRightInd w:val="0"/>
              <w:snapToGrid w:val="0"/>
              <w:spacing w:line="560" w:lineRule="exact"/>
              <w:jc w:val="center"/>
              <w:rPr>
                <w:color w:val="000000"/>
                <w:szCs w:val="21"/>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48CA735B">
            <w:pPr>
              <w:topLinePunct/>
              <w:adjustRightInd w:val="0"/>
              <w:snapToGrid w:val="0"/>
              <w:spacing w:line="560" w:lineRule="exact"/>
              <w:jc w:val="center"/>
              <w:rPr>
                <w:color w:val="000000"/>
                <w:szCs w:val="21"/>
                <w:highlight w:val="none"/>
              </w:rPr>
            </w:pPr>
            <w:r>
              <w:rPr>
                <w:color w:val="000000"/>
                <w:szCs w:val="21"/>
                <w:highlight w:val="none"/>
              </w:rPr>
              <w:t>电话</w:t>
            </w:r>
          </w:p>
        </w:tc>
        <w:tc>
          <w:tcPr>
            <w:tcW w:w="1144" w:type="dxa"/>
            <w:tcBorders>
              <w:top w:val="single" w:color="auto" w:sz="4" w:space="0"/>
              <w:left w:val="single" w:color="auto" w:sz="4" w:space="0"/>
              <w:bottom w:val="single" w:color="auto" w:sz="4" w:space="0"/>
              <w:right w:val="single" w:color="auto" w:sz="4" w:space="0"/>
            </w:tcBorders>
            <w:noWrap w:val="0"/>
            <w:vAlign w:val="center"/>
          </w:tcPr>
          <w:p w14:paraId="3511FE98">
            <w:pPr>
              <w:topLinePunct/>
              <w:adjustRightInd w:val="0"/>
              <w:snapToGrid w:val="0"/>
              <w:spacing w:line="560" w:lineRule="exact"/>
              <w:jc w:val="center"/>
              <w:rPr>
                <w:color w:val="000000"/>
                <w:szCs w:val="21"/>
                <w:highlight w:val="none"/>
              </w:rPr>
            </w:pPr>
          </w:p>
        </w:tc>
      </w:tr>
      <w:tr w14:paraId="4137D5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1"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571DA7D9">
            <w:pPr>
              <w:topLinePunct/>
              <w:adjustRightInd w:val="0"/>
              <w:snapToGrid w:val="0"/>
              <w:spacing w:line="560" w:lineRule="exact"/>
              <w:jc w:val="center"/>
              <w:rPr>
                <w:color w:val="000000"/>
                <w:szCs w:val="21"/>
                <w:highlight w:val="none"/>
              </w:rPr>
            </w:pPr>
            <w:r>
              <w:rPr>
                <w:color w:val="000000"/>
                <w:szCs w:val="21"/>
                <w:highlight w:val="none"/>
              </w:rPr>
              <w:t>成立时间</w:t>
            </w:r>
          </w:p>
        </w:tc>
        <w:tc>
          <w:tcPr>
            <w:tcW w:w="2132" w:type="dxa"/>
            <w:gridSpan w:val="2"/>
            <w:tcBorders>
              <w:top w:val="single" w:color="auto" w:sz="4" w:space="0"/>
              <w:left w:val="single" w:color="auto" w:sz="4" w:space="0"/>
              <w:bottom w:val="single" w:color="auto" w:sz="4" w:space="0"/>
              <w:right w:val="single" w:color="auto" w:sz="4" w:space="0"/>
            </w:tcBorders>
            <w:noWrap w:val="0"/>
            <w:vAlign w:val="center"/>
          </w:tcPr>
          <w:p w14:paraId="08D8F86C">
            <w:pPr>
              <w:topLinePunct/>
              <w:adjustRightInd w:val="0"/>
              <w:snapToGrid w:val="0"/>
              <w:spacing w:line="560" w:lineRule="exact"/>
              <w:jc w:val="center"/>
              <w:rPr>
                <w:color w:val="000000"/>
                <w:szCs w:val="21"/>
                <w:highlight w:val="none"/>
              </w:rPr>
            </w:pPr>
          </w:p>
        </w:tc>
        <w:tc>
          <w:tcPr>
            <w:tcW w:w="5755" w:type="dxa"/>
            <w:gridSpan w:val="7"/>
            <w:tcBorders>
              <w:top w:val="single" w:color="auto" w:sz="4" w:space="0"/>
              <w:left w:val="single" w:color="auto" w:sz="4" w:space="0"/>
              <w:bottom w:val="single" w:color="auto" w:sz="4" w:space="0"/>
              <w:right w:val="single" w:color="auto" w:sz="4" w:space="0"/>
            </w:tcBorders>
            <w:noWrap w:val="0"/>
            <w:vAlign w:val="center"/>
          </w:tcPr>
          <w:p w14:paraId="0F37FE34">
            <w:pPr>
              <w:topLinePunct/>
              <w:adjustRightInd w:val="0"/>
              <w:snapToGrid w:val="0"/>
              <w:spacing w:line="560" w:lineRule="exact"/>
              <w:ind w:firstLine="105" w:firstLineChars="50"/>
              <w:jc w:val="center"/>
              <w:rPr>
                <w:color w:val="000000"/>
                <w:szCs w:val="21"/>
                <w:highlight w:val="none"/>
              </w:rPr>
            </w:pPr>
            <w:r>
              <w:rPr>
                <w:color w:val="000000"/>
                <w:szCs w:val="21"/>
                <w:highlight w:val="none"/>
              </w:rPr>
              <w:t>员工总人数：</w:t>
            </w:r>
          </w:p>
        </w:tc>
      </w:tr>
      <w:tr w14:paraId="72B59E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2"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24E13A89">
            <w:pPr>
              <w:topLinePunct/>
              <w:adjustRightInd w:val="0"/>
              <w:snapToGrid w:val="0"/>
              <w:spacing w:line="560" w:lineRule="exact"/>
              <w:jc w:val="center"/>
              <w:rPr>
                <w:color w:val="000000"/>
                <w:szCs w:val="21"/>
                <w:highlight w:val="none"/>
              </w:rPr>
            </w:pPr>
            <w:r>
              <w:rPr>
                <w:color w:val="000000"/>
                <w:szCs w:val="21"/>
                <w:highlight w:val="none"/>
              </w:rPr>
              <w:t>企业资质等级</w:t>
            </w:r>
          </w:p>
        </w:tc>
        <w:tc>
          <w:tcPr>
            <w:tcW w:w="2132" w:type="dxa"/>
            <w:gridSpan w:val="2"/>
            <w:tcBorders>
              <w:top w:val="single" w:color="auto" w:sz="4" w:space="0"/>
              <w:left w:val="single" w:color="auto" w:sz="4" w:space="0"/>
              <w:bottom w:val="single" w:color="auto" w:sz="4" w:space="0"/>
              <w:right w:val="single" w:color="auto" w:sz="4" w:space="0"/>
            </w:tcBorders>
            <w:noWrap w:val="0"/>
            <w:vAlign w:val="center"/>
          </w:tcPr>
          <w:p w14:paraId="7980D5D0">
            <w:pPr>
              <w:topLinePunct/>
              <w:adjustRightInd w:val="0"/>
              <w:snapToGrid w:val="0"/>
              <w:spacing w:line="560" w:lineRule="exact"/>
              <w:jc w:val="center"/>
              <w:rPr>
                <w:color w:val="000000"/>
                <w:szCs w:val="21"/>
                <w:highlight w:val="none"/>
              </w:rPr>
            </w:pPr>
          </w:p>
        </w:tc>
        <w:tc>
          <w:tcPr>
            <w:tcW w:w="969" w:type="dxa"/>
            <w:vMerge w:val="restart"/>
            <w:tcBorders>
              <w:top w:val="single" w:color="auto" w:sz="4" w:space="0"/>
              <w:left w:val="single" w:color="auto" w:sz="4" w:space="0"/>
              <w:bottom w:val="single" w:color="auto" w:sz="4" w:space="0"/>
              <w:right w:val="single" w:color="auto" w:sz="4" w:space="0"/>
            </w:tcBorders>
            <w:noWrap w:val="0"/>
            <w:vAlign w:val="center"/>
          </w:tcPr>
          <w:p w14:paraId="52E59036">
            <w:pPr>
              <w:topLinePunct/>
              <w:adjustRightInd w:val="0"/>
              <w:snapToGrid w:val="0"/>
              <w:spacing w:line="560" w:lineRule="exact"/>
              <w:jc w:val="center"/>
              <w:rPr>
                <w:color w:val="000000"/>
                <w:szCs w:val="21"/>
                <w:highlight w:val="none"/>
              </w:rPr>
            </w:pPr>
            <w:r>
              <w:rPr>
                <w:color w:val="000000"/>
                <w:szCs w:val="21"/>
                <w:highlight w:val="none"/>
              </w:rPr>
              <w:t>其中</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14:paraId="72699EDE">
            <w:pPr>
              <w:topLinePunct/>
              <w:adjustRightInd w:val="0"/>
              <w:snapToGrid w:val="0"/>
              <w:spacing w:line="560" w:lineRule="exact"/>
              <w:jc w:val="center"/>
              <w:rPr>
                <w:color w:val="000000"/>
                <w:szCs w:val="21"/>
                <w:highlight w:val="none"/>
              </w:rPr>
            </w:pPr>
            <w:r>
              <w:rPr>
                <w:color w:val="000000"/>
                <w:szCs w:val="21"/>
                <w:highlight w:val="none"/>
              </w:rPr>
              <w:t>项目经理（建造师）</w:t>
            </w:r>
          </w:p>
        </w:tc>
        <w:tc>
          <w:tcPr>
            <w:tcW w:w="2135" w:type="dxa"/>
            <w:gridSpan w:val="2"/>
            <w:tcBorders>
              <w:top w:val="single" w:color="auto" w:sz="4" w:space="0"/>
              <w:left w:val="single" w:color="auto" w:sz="4" w:space="0"/>
              <w:bottom w:val="single" w:color="auto" w:sz="4" w:space="0"/>
              <w:right w:val="single" w:color="auto" w:sz="4" w:space="0"/>
            </w:tcBorders>
            <w:noWrap w:val="0"/>
            <w:vAlign w:val="center"/>
          </w:tcPr>
          <w:p w14:paraId="0AB6E6C3">
            <w:pPr>
              <w:topLinePunct/>
              <w:adjustRightInd w:val="0"/>
              <w:snapToGrid w:val="0"/>
              <w:spacing w:line="560" w:lineRule="exact"/>
              <w:jc w:val="center"/>
              <w:rPr>
                <w:color w:val="000000"/>
                <w:szCs w:val="21"/>
                <w:highlight w:val="none"/>
              </w:rPr>
            </w:pPr>
          </w:p>
        </w:tc>
      </w:tr>
      <w:tr w14:paraId="34B268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44"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34171749">
            <w:pPr>
              <w:topLinePunct/>
              <w:adjustRightInd w:val="0"/>
              <w:snapToGrid w:val="0"/>
              <w:spacing w:line="560" w:lineRule="exact"/>
              <w:jc w:val="center"/>
              <w:rPr>
                <w:color w:val="000000"/>
                <w:szCs w:val="21"/>
                <w:highlight w:val="none"/>
              </w:rPr>
            </w:pPr>
            <w:r>
              <w:rPr>
                <w:color w:val="000000"/>
                <w:szCs w:val="21"/>
                <w:highlight w:val="none"/>
              </w:rPr>
              <w:t>营业执照号</w:t>
            </w:r>
          </w:p>
        </w:tc>
        <w:tc>
          <w:tcPr>
            <w:tcW w:w="2132" w:type="dxa"/>
            <w:gridSpan w:val="2"/>
            <w:tcBorders>
              <w:top w:val="single" w:color="auto" w:sz="4" w:space="0"/>
              <w:left w:val="single" w:color="auto" w:sz="4" w:space="0"/>
              <w:bottom w:val="single" w:color="auto" w:sz="4" w:space="0"/>
              <w:right w:val="single" w:color="auto" w:sz="4" w:space="0"/>
            </w:tcBorders>
            <w:noWrap w:val="0"/>
            <w:vAlign w:val="center"/>
          </w:tcPr>
          <w:p w14:paraId="045002C3">
            <w:pPr>
              <w:topLinePunct/>
              <w:adjustRightInd w:val="0"/>
              <w:snapToGrid w:val="0"/>
              <w:spacing w:line="560" w:lineRule="exact"/>
              <w:jc w:val="center"/>
              <w:rPr>
                <w:color w:val="000000"/>
                <w:szCs w:val="21"/>
                <w:highlight w:val="none"/>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14:paraId="7F9B23C3">
            <w:pPr>
              <w:topLinePunct/>
              <w:adjustRightInd w:val="0"/>
              <w:snapToGrid w:val="0"/>
              <w:spacing w:line="560" w:lineRule="exact"/>
              <w:jc w:val="center"/>
              <w:rPr>
                <w:color w:val="000000"/>
                <w:szCs w:val="21"/>
                <w:highlight w:val="none"/>
              </w:rPr>
            </w:pP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14:paraId="5BCBF541">
            <w:pPr>
              <w:topLinePunct/>
              <w:adjustRightInd w:val="0"/>
              <w:snapToGrid w:val="0"/>
              <w:spacing w:line="560" w:lineRule="exact"/>
              <w:jc w:val="center"/>
              <w:rPr>
                <w:color w:val="000000"/>
                <w:szCs w:val="21"/>
                <w:highlight w:val="none"/>
              </w:rPr>
            </w:pPr>
            <w:r>
              <w:rPr>
                <w:color w:val="000000"/>
                <w:szCs w:val="21"/>
                <w:highlight w:val="none"/>
              </w:rPr>
              <w:t>高级职称人员</w:t>
            </w:r>
          </w:p>
        </w:tc>
        <w:tc>
          <w:tcPr>
            <w:tcW w:w="2135" w:type="dxa"/>
            <w:gridSpan w:val="2"/>
            <w:tcBorders>
              <w:top w:val="single" w:color="auto" w:sz="4" w:space="0"/>
              <w:left w:val="single" w:color="auto" w:sz="4" w:space="0"/>
              <w:bottom w:val="single" w:color="auto" w:sz="4" w:space="0"/>
              <w:right w:val="single" w:color="auto" w:sz="4" w:space="0"/>
            </w:tcBorders>
            <w:noWrap w:val="0"/>
            <w:vAlign w:val="center"/>
          </w:tcPr>
          <w:p w14:paraId="635162EA">
            <w:pPr>
              <w:topLinePunct/>
              <w:adjustRightInd w:val="0"/>
              <w:snapToGrid w:val="0"/>
              <w:spacing w:line="560" w:lineRule="exact"/>
              <w:jc w:val="center"/>
              <w:rPr>
                <w:color w:val="000000"/>
                <w:szCs w:val="21"/>
                <w:highlight w:val="none"/>
              </w:rPr>
            </w:pPr>
          </w:p>
        </w:tc>
      </w:tr>
      <w:tr w14:paraId="784105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37"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75FC20B2">
            <w:pPr>
              <w:topLinePunct/>
              <w:adjustRightInd w:val="0"/>
              <w:snapToGrid w:val="0"/>
              <w:spacing w:line="560" w:lineRule="exact"/>
              <w:jc w:val="center"/>
              <w:rPr>
                <w:color w:val="000000"/>
                <w:szCs w:val="21"/>
                <w:highlight w:val="none"/>
              </w:rPr>
            </w:pPr>
            <w:r>
              <w:rPr>
                <w:color w:val="000000"/>
                <w:szCs w:val="21"/>
                <w:highlight w:val="none"/>
              </w:rPr>
              <w:t>注册资金</w:t>
            </w:r>
          </w:p>
        </w:tc>
        <w:tc>
          <w:tcPr>
            <w:tcW w:w="2132" w:type="dxa"/>
            <w:gridSpan w:val="2"/>
            <w:tcBorders>
              <w:top w:val="single" w:color="auto" w:sz="4" w:space="0"/>
              <w:left w:val="single" w:color="auto" w:sz="4" w:space="0"/>
              <w:bottom w:val="single" w:color="auto" w:sz="4" w:space="0"/>
              <w:right w:val="single" w:color="auto" w:sz="4" w:space="0"/>
            </w:tcBorders>
            <w:noWrap w:val="0"/>
            <w:vAlign w:val="center"/>
          </w:tcPr>
          <w:p w14:paraId="0B827D0F">
            <w:pPr>
              <w:topLinePunct/>
              <w:adjustRightInd w:val="0"/>
              <w:snapToGrid w:val="0"/>
              <w:spacing w:line="560" w:lineRule="exact"/>
              <w:jc w:val="center"/>
              <w:rPr>
                <w:color w:val="000000"/>
                <w:szCs w:val="21"/>
                <w:highlight w:val="none"/>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14:paraId="7B8D144A">
            <w:pPr>
              <w:topLinePunct/>
              <w:adjustRightInd w:val="0"/>
              <w:snapToGrid w:val="0"/>
              <w:spacing w:line="560" w:lineRule="exact"/>
              <w:jc w:val="center"/>
              <w:rPr>
                <w:color w:val="000000"/>
                <w:szCs w:val="21"/>
                <w:highlight w:val="none"/>
              </w:rPr>
            </w:pP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14:paraId="5C6F191A">
            <w:pPr>
              <w:topLinePunct/>
              <w:adjustRightInd w:val="0"/>
              <w:snapToGrid w:val="0"/>
              <w:spacing w:line="560" w:lineRule="exact"/>
              <w:jc w:val="center"/>
              <w:rPr>
                <w:color w:val="000000"/>
                <w:szCs w:val="21"/>
                <w:highlight w:val="none"/>
              </w:rPr>
            </w:pPr>
            <w:r>
              <w:rPr>
                <w:color w:val="000000"/>
                <w:szCs w:val="21"/>
                <w:highlight w:val="none"/>
              </w:rPr>
              <w:t>中级职称人员</w:t>
            </w:r>
          </w:p>
        </w:tc>
        <w:tc>
          <w:tcPr>
            <w:tcW w:w="2135" w:type="dxa"/>
            <w:gridSpan w:val="2"/>
            <w:tcBorders>
              <w:top w:val="single" w:color="auto" w:sz="4" w:space="0"/>
              <w:left w:val="single" w:color="auto" w:sz="4" w:space="0"/>
              <w:bottom w:val="single" w:color="auto" w:sz="4" w:space="0"/>
              <w:right w:val="single" w:color="auto" w:sz="4" w:space="0"/>
            </w:tcBorders>
            <w:noWrap w:val="0"/>
            <w:vAlign w:val="center"/>
          </w:tcPr>
          <w:p w14:paraId="18014E10">
            <w:pPr>
              <w:topLinePunct/>
              <w:adjustRightInd w:val="0"/>
              <w:snapToGrid w:val="0"/>
              <w:spacing w:line="560" w:lineRule="exact"/>
              <w:jc w:val="center"/>
              <w:rPr>
                <w:color w:val="000000"/>
                <w:szCs w:val="21"/>
                <w:highlight w:val="none"/>
              </w:rPr>
            </w:pPr>
          </w:p>
        </w:tc>
      </w:tr>
      <w:tr w14:paraId="6E4F8D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3"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3A411F50">
            <w:pPr>
              <w:topLinePunct/>
              <w:adjustRightInd w:val="0"/>
              <w:snapToGrid w:val="0"/>
              <w:spacing w:line="560" w:lineRule="exact"/>
              <w:jc w:val="center"/>
              <w:rPr>
                <w:color w:val="000000"/>
                <w:szCs w:val="21"/>
                <w:highlight w:val="none"/>
              </w:rPr>
            </w:pPr>
            <w:r>
              <w:rPr>
                <w:color w:val="000000"/>
                <w:szCs w:val="21"/>
                <w:highlight w:val="none"/>
              </w:rPr>
              <w:t>开户银行</w:t>
            </w:r>
          </w:p>
        </w:tc>
        <w:tc>
          <w:tcPr>
            <w:tcW w:w="2132" w:type="dxa"/>
            <w:gridSpan w:val="2"/>
            <w:tcBorders>
              <w:top w:val="single" w:color="auto" w:sz="4" w:space="0"/>
              <w:left w:val="single" w:color="auto" w:sz="4" w:space="0"/>
              <w:bottom w:val="single" w:color="auto" w:sz="4" w:space="0"/>
              <w:right w:val="single" w:color="auto" w:sz="4" w:space="0"/>
            </w:tcBorders>
            <w:noWrap w:val="0"/>
            <w:vAlign w:val="center"/>
          </w:tcPr>
          <w:p w14:paraId="48CB2D8E">
            <w:pPr>
              <w:topLinePunct/>
              <w:adjustRightInd w:val="0"/>
              <w:snapToGrid w:val="0"/>
              <w:spacing w:line="560" w:lineRule="exact"/>
              <w:jc w:val="center"/>
              <w:rPr>
                <w:color w:val="000000"/>
                <w:szCs w:val="21"/>
                <w:highlight w:val="none"/>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14:paraId="1DF07D0E">
            <w:pPr>
              <w:topLinePunct/>
              <w:adjustRightInd w:val="0"/>
              <w:snapToGrid w:val="0"/>
              <w:spacing w:line="560" w:lineRule="exact"/>
              <w:jc w:val="center"/>
              <w:rPr>
                <w:color w:val="000000"/>
                <w:szCs w:val="21"/>
                <w:highlight w:val="none"/>
              </w:rPr>
            </w:pP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14:paraId="202AC428">
            <w:pPr>
              <w:topLinePunct/>
              <w:adjustRightInd w:val="0"/>
              <w:snapToGrid w:val="0"/>
              <w:spacing w:line="560" w:lineRule="exact"/>
              <w:jc w:val="center"/>
              <w:rPr>
                <w:color w:val="000000"/>
                <w:szCs w:val="21"/>
                <w:highlight w:val="none"/>
              </w:rPr>
            </w:pPr>
            <w:r>
              <w:rPr>
                <w:color w:val="000000"/>
                <w:szCs w:val="21"/>
                <w:highlight w:val="none"/>
              </w:rPr>
              <w:t>初级职称人员</w:t>
            </w:r>
          </w:p>
        </w:tc>
        <w:tc>
          <w:tcPr>
            <w:tcW w:w="2135" w:type="dxa"/>
            <w:gridSpan w:val="2"/>
            <w:tcBorders>
              <w:top w:val="single" w:color="auto" w:sz="4" w:space="0"/>
              <w:left w:val="single" w:color="auto" w:sz="4" w:space="0"/>
              <w:bottom w:val="single" w:color="auto" w:sz="4" w:space="0"/>
              <w:right w:val="single" w:color="auto" w:sz="4" w:space="0"/>
            </w:tcBorders>
            <w:noWrap w:val="0"/>
            <w:vAlign w:val="center"/>
          </w:tcPr>
          <w:p w14:paraId="05344D3A">
            <w:pPr>
              <w:topLinePunct/>
              <w:adjustRightInd w:val="0"/>
              <w:snapToGrid w:val="0"/>
              <w:spacing w:line="560" w:lineRule="exact"/>
              <w:jc w:val="center"/>
              <w:rPr>
                <w:color w:val="000000"/>
                <w:szCs w:val="21"/>
                <w:highlight w:val="none"/>
              </w:rPr>
            </w:pPr>
          </w:p>
        </w:tc>
      </w:tr>
      <w:tr w14:paraId="5B1841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39"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0B91506C">
            <w:pPr>
              <w:topLinePunct/>
              <w:adjustRightInd w:val="0"/>
              <w:snapToGrid w:val="0"/>
              <w:spacing w:line="560" w:lineRule="exact"/>
              <w:jc w:val="center"/>
              <w:rPr>
                <w:color w:val="000000"/>
                <w:szCs w:val="21"/>
                <w:highlight w:val="none"/>
              </w:rPr>
            </w:pPr>
            <w:r>
              <w:rPr>
                <w:color w:val="000000"/>
                <w:szCs w:val="21"/>
                <w:highlight w:val="none"/>
              </w:rPr>
              <w:t>账号</w:t>
            </w:r>
          </w:p>
        </w:tc>
        <w:tc>
          <w:tcPr>
            <w:tcW w:w="2132" w:type="dxa"/>
            <w:gridSpan w:val="2"/>
            <w:tcBorders>
              <w:top w:val="single" w:color="auto" w:sz="4" w:space="0"/>
              <w:left w:val="single" w:color="auto" w:sz="4" w:space="0"/>
              <w:bottom w:val="single" w:color="auto" w:sz="4" w:space="0"/>
              <w:right w:val="single" w:color="auto" w:sz="4" w:space="0"/>
            </w:tcBorders>
            <w:noWrap w:val="0"/>
            <w:vAlign w:val="center"/>
          </w:tcPr>
          <w:p w14:paraId="12A525E7">
            <w:pPr>
              <w:topLinePunct/>
              <w:adjustRightInd w:val="0"/>
              <w:snapToGrid w:val="0"/>
              <w:spacing w:line="560" w:lineRule="exact"/>
              <w:jc w:val="center"/>
              <w:rPr>
                <w:color w:val="000000"/>
                <w:szCs w:val="21"/>
                <w:highlight w:val="none"/>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14:paraId="072163B5">
            <w:pPr>
              <w:topLinePunct/>
              <w:adjustRightInd w:val="0"/>
              <w:snapToGrid w:val="0"/>
              <w:spacing w:line="560" w:lineRule="exact"/>
              <w:jc w:val="center"/>
              <w:rPr>
                <w:color w:val="000000"/>
                <w:szCs w:val="21"/>
                <w:highlight w:val="none"/>
              </w:rPr>
            </w:pP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14:paraId="22D57E12">
            <w:pPr>
              <w:topLinePunct/>
              <w:adjustRightInd w:val="0"/>
              <w:snapToGrid w:val="0"/>
              <w:spacing w:line="560" w:lineRule="exact"/>
              <w:jc w:val="center"/>
              <w:rPr>
                <w:color w:val="000000"/>
                <w:highlight w:val="none"/>
              </w:rPr>
            </w:pPr>
            <w:r>
              <w:rPr>
                <w:color w:val="000000"/>
                <w:szCs w:val="21"/>
                <w:highlight w:val="none"/>
              </w:rPr>
              <w:t>技</w:t>
            </w:r>
            <w:r>
              <w:rPr>
                <w:rFonts w:hint="eastAsia"/>
                <w:color w:val="000000"/>
                <w:szCs w:val="21"/>
                <w:highlight w:val="none"/>
              </w:rPr>
              <w:t xml:space="preserve">  </w:t>
            </w:r>
            <w:r>
              <w:rPr>
                <w:color w:val="000000"/>
                <w:szCs w:val="21"/>
                <w:highlight w:val="none"/>
              </w:rPr>
              <w:t>工</w:t>
            </w:r>
          </w:p>
        </w:tc>
        <w:tc>
          <w:tcPr>
            <w:tcW w:w="2135" w:type="dxa"/>
            <w:gridSpan w:val="2"/>
            <w:tcBorders>
              <w:top w:val="single" w:color="auto" w:sz="4" w:space="0"/>
              <w:left w:val="single" w:color="auto" w:sz="4" w:space="0"/>
              <w:bottom w:val="single" w:color="auto" w:sz="4" w:space="0"/>
              <w:right w:val="single" w:color="auto" w:sz="4" w:space="0"/>
            </w:tcBorders>
            <w:noWrap w:val="0"/>
            <w:vAlign w:val="center"/>
          </w:tcPr>
          <w:p w14:paraId="2F08E2D8">
            <w:pPr>
              <w:topLinePunct/>
              <w:adjustRightInd w:val="0"/>
              <w:snapToGrid w:val="0"/>
              <w:spacing w:line="560" w:lineRule="exact"/>
              <w:jc w:val="center"/>
              <w:rPr>
                <w:color w:val="000000"/>
                <w:szCs w:val="21"/>
                <w:highlight w:val="none"/>
              </w:rPr>
            </w:pPr>
          </w:p>
        </w:tc>
      </w:tr>
      <w:tr w14:paraId="13E1F8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89" w:hRule="atLeast"/>
          <w:jc w:val="center"/>
        </w:trPr>
        <w:tc>
          <w:tcPr>
            <w:tcW w:w="1993" w:type="dxa"/>
            <w:tcBorders>
              <w:top w:val="single" w:color="auto" w:sz="4" w:space="0"/>
              <w:left w:val="single" w:color="auto" w:sz="4" w:space="0"/>
              <w:right w:val="single" w:color="auto" w:sz="4" w:space="0"/>
            </w:tcBorders>
            <w:noWrap w:val="0"/>
            <w:vAlign w:val="center"/>
          </w:tcPr>
          <w:p w14:paraId="6ACF986C">
            <w:pPr>
              <w:topLinePunct/>
              <w:adjustRightInd w:val="0"/>
              <w:snapToGrid w:val="0"/>
              <w:spacing w:line="560" w:lineRule="exact"/>
              <w:ind w:firstLine="210" w:firstLineChars="100"/>
              <w:jc w:val="center"/>
              <w:rPr>
                <w:color w:val="000000"/>
                <w:szCs w:val="21"/>
                <w:highlight w:val="none"/>
              </w:rPr>
            </w:pPr>
            <w:r>
              <w:rPr>
                <w:color w:val="000000"/>
                <w:szCs w:val="21"/>
                <w:highlight w:val="none"/>
              </w:rPr>
              <w:t>经营范围</w:t>
            </w:r>
          </w:p>
        </w:tc>
        <w:tc>
          <w:tcPr>
            <w:tcW w:w="7887" w:type="dxa"/>
            <w:gridSpan w:val="9"/>
            <w:tcBorders>
              <w:top w:val="single" w:color="auto" w:sz="4" w:space="0"/>
              <w:left w:val="single" w:color="auto" w:sz="4" w:space="0"/>
              <w:right w:val="single" w:color="auto" w:sz="4" w:space="0"/>
            </w:tcBorders>
            <w:noWrap w:val="0"/>
            <w:vAlign w:val="center"/>
          </w:tcPr>
          <w:p w14:paraId="4B8C52A3">
            <w:pPr>
              <w:topLinePunct/>
              <w:adjustRightInd w:val="0"/>
              <w:snapToGrid w:val="0"/>
              <w:spacing w:line="560" w:lineRule="exact"/>
              <w:rPr>
                <w:color w:val="000000"/>
                <w:szCs w:val="21"/>
                <w:highlight w:val="none"/>
              </w:rPr>
            </w:pPr>
          </w:p>
        </w:tc>
      </w:tr>
      <w:tr w14:paraId="62DAC3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2"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7BCB8CF1">
            <w:pPr>
              <w:topLinePunct/>
              <w:adjustRightInd w:val="0"/>
              <w:snapToGrid w:val="0"/>
              <w:spacing w:line="560" w:lineRule="exact"/>
              <w:jc w:val="center"/>
              <w:rPr>
                <w:color w:val="000000"/>
                <w:szCs w:val="21"/>
                <w:highlight w:val="none"/>
              </w:rPr>
            </w:pPr>
            <w:r>
              <w:rPr>
                <w:color w:val="000000"/>
                <w:szCs w:val="21"/>
                <w:highlight w:val="none"/>
              </w:rPr>
              <w:t>备注</w:t>
            </w:r>
          </w:p>
        </w:tc>
        <w:tc>
          <w:tcPr>
            <w:tcW w:w="7887" w:type="dxa"/>
            <w:gridSpan w:val="9"/>
            <w:tcBorders>
              <w:top w:val="single" w:color="auto" w:sz="4" w:space="0"/>
              <w:left w:val="single" w:color="auto" w:sz="4" w:space="0"/>
              <w:bottom w:val="single" w:color="auto" w:sz="4" w:space="0"/>
              <w:right w:val="single" w:color="auto" w:sz="4" w:space="0"/>
            </w:tcBorders>
            <w:noWrap w:val="0"/>
            <w:vAlign w:val="center"/>
          </w:tcPr>
          <w:p w14:paraId="7A47104C">
            <w:pPr>
              <w:topLinePunct/>
              <w:adjustRightInd w:val="0"/>
              <w:snapToGrid w:val="0"/>
              <w:spacing w:line="560" w:lineRule="exact"/>
              <w:jc w:val="center"/>
              <w:rPr>
                <w:color w:val="000000"/>
                <w:szCs w:val="21"/>
                <w:highlight w:val="none"/>
              </w:rPr>
            </w:pPr>
          </w:p>
        </w:tc>
      </w:tr>
    </w:tbl>
    <w:p w14:paraId="1867C149">
      <w:pPr>
        <w:pStyle w:val="4"/>
        <w:adjustRightInd w:val="0"/>
        <w:snapToGrid w:val="0"/>
        <w:spacing w:before="0" w:after="0" w:line="560" w:lineRule="exact"/>
        <w:jc w:val="center"/>
        <w:rPr>
          <w:color w:val="000000"/>
          <w:highlight w:val="none"/>
        </w:rPr>
      </w:pPr>
      <w:bookmarkStart w:id="889" w:name="_Toc95223534"/>
      <w:r>
        <w:rPr>
          <w:color w:val="000000"/>
          <w:highlight w:val="none"/>
        </w:rPr>
        <w:t>（</w:t>
      </w:r>
      <w:r>
        <w:rPr>
          <w:rFonts w:hint="eastAsia"/>
          <w:color w:val="000000"/>
          <w:highlight w:val="none"/>
        </w:rPr>
        <w:t>2</w:t>
      </w:r>
      <w:r>
        <w:rPr>
          <w:color w:val="000000"/>
          <w:highlight w:val="none"/>
        </w:rPr>
        <w:t>）近年财务状况表</w:t>
      </w:r>
      <w:bookmarkEnd w:id="889"/>
    </w:p>
    <w:p w14:paraId="31E965D5">
      <w:pPr>
        <w:pStyle w:val="4"/>
        <w:adjustRightInd w:val="0"/>
        <w:snapToGrid w:val="0"/>
        <w:spacing w:before="0" w:after="0" w:line="560" w:lineRule="exact"/>
        <w:jc w:val="center"/>
        <w:rPr>
          <w:rFonts w:eastAsia="黑体"/>
          <w:color w:val="000000"/>
          <w:sz w:val="23"/>
          <w:szCs w:val="23"/>
          <w:highlight w:val="none"/>
        </w:rPr>
      </w:pPr>
      <w:bookmarkStart w:id="890" w:name="_Toc95223535"/>
      <w:r>
        <w:rPr>
          <w:color w:val="000000"/>
          <w:highlight w:val="none"/>
        </w:rPr>
        <w:t>（</w:t>
      </w:r>
      <w:r>
        <w:rPr>
          <w:rFonts w:hint="eastAsia"/>
          <w:color w:val="000000"/>
          <w:highlight w:val="none"/>
        </w:rPr>
        <w:t>3</w:t>
      </w:r>
      <w:r>
        <w:rPr>
          <w:color w:val="000000"/>
          <w:highlight w:val="none"/>
        </w:rPr>
        <w:t>）近年完成的类似项目情况表</w:t>
      </w:r>
      <w:bookmarkEnd w:id="890"/>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8"/>
        <w:gridCol w:w="6912"/>
      </w:tblGrid>
      <w:tr w14:paraId="010CC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2508" w:type="dxa"/>
            <w:noWrap w:val="0"/>
            <w:vAlign w:val="center"/>
          </w:tcPr>
          <w:p w14:paraId="3A523110">
            <w:pPr>
              <w:topLinePunct/>
              <w:adjustRightInd w:val="0"/>
              <w:snapToGrid w:val="0"/>
              <w:spacing w:line="560" w:lineRule="exact"/>
              <w:jc w:val="center"/>
              <w:rPr>
                <w:color w:val="000000"/>
                <w:szCs w:val="21"/>
                <w:highlight w:val="none"/>
              </w:rPr>
            </w:pPr>
            <w:r>
              <w:rPr>
                <w:color w:val="000000"/>
                <w:szCs w:val="21"/>
                <w:highlight w:val="none"/>
              </w:rPr>
              <w:t>项目名</w:t>
            </w:r>
            <w:bookmarkStart w:id="891" w:name="_Toc15058936"/>
            <w:bookmarkStart w:id="892" w:name="_Toc152045809"/>
            <w:bookmarkStart w:id="893" w:name="_Toc144974877"/>
            <w:bookmarkStart w:id="894" w:name="_Toc152042598"/>
            <w:bookmarkStart w:id="895" w:name="_Toc26734"/>
            <w:bookmarkStart w:id="896" w:name="_Toc324404890"/>
            <w:bookmarkStart w:id="897" w:name="_Toc296602619"/>
            <w:bookmarkStart w:id="898" w:name="_Toc247514301"/>
            <w:bookmarkStart w:id="899" w:name="_Toc506107342"/>
            <w:bookmarkStart w:id="900" w:name="_Toc247527849"/>
            <w:bookmarkStart w:id="901" w:name="_Toc265953295"/>
            <w:bookmarkStart w:id="902" w:name="_Toc60061576"/>
            <w:bookmarkStart w:id="903" w:name="_Toc58229117"/>
            <w:r>
              <w:rPr>
                <w:color w:val="000000"/>
                <w:szCs w:val="21"/>
                <w:highlight w:val="none"/>
              </w:rPr>
              <w:t>称</w:t>
            </w:r>
          </w:p>
        </w:tc>
        <w:tc>
          <w:tcPr>
            <w:tcW w:w="6912" w:type="dxa"/>
            <w:noWrap w:val="0"/>
            <w:vAlign w:val="top"/>
          </w:tcPr>
          <w:p w14:paraId="7BD865FE">
            <w:pPr>
              <w:topLinePunct/>
              <w:adjustRightInd w:val="0"/>
              <w:snapToGrid w:val="0"/>
              <w:spacing w:line="560" w:lineRule="exact"/>
              <w:rPr>
                <w:color w:val="000000"/>
                <w:szCs w:val="21"/>
                <w:highlight w:val="none"/>
              </w:rPr>
            </w:pPr>
          </w:p>
        </w:tc>
      </w:tr>
      <w:tr w14:paraId="51E9F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2508" w:type="dxa"/>
            <w:noWrap w:val="0"/>
            <w:vAlign w:val="center"/>
          </w:tcPr>
          <w:p w14:paraId="18F171DA">
            <w:pPr>
              <w:topLinePunct/>
              <w:adjustRightInd w:val="0"/>
              <w:snapToGrid w:val="0"/>
              <w:spacing w:line="560" w:lineRule="exact"/>
              <w:jc w:val="center"/>
              <w:rPr>
                <w:color w:val="000000"/>
                <w:szCs w:val="21"/>
                <w:highlight w:val="none"/>
              </w:rPr>
            </w:pPr>
            <w:r>
              <w:rPr>
                <w:color w:val="000000"/>
                <w:szCs w:val="21"/>
                <w:highlight w:val="none"/>
              </w:rPr>
              <w:t>项目所在地</w:t>
            </w:r>
          </w:p>
          <w:bookmarkEnd w:id="891"/>
          <w:bookmarkEnd w:id="892"/>
          <w:bookmarkEnd w:id="893"/>
          <w:bookmarkEnd w:id="894"/>
          <w:bookmarkEnd w:id="895"/>
          <w:bookmarkEnd w:id="896"/>
          <w:bookmarkEnd w:id="897"/>
          <w:bookmarkEnd w:id="898"/>
          <w:bookmarkEnd w:id="899"/>
          <w:bookmarkEnd w:id="900"/>
          <w:bookmarkEnd w:id="901"/>
        </w:tc>
        <w:tc>
          <w:tcPr>
            <w:tcW w:w="6912" w:type="dxa"/>
            <w:noWrap w:val="0"/>
            <w:vAlign w:val="top"/>
          </w:tcPr>
          <w:p w14:paraId="53D83929">
            <w:pPr>
              <w:topLinePunct/>
              <w:adjustRightInd w:val="0"/>
              <w:snapToGrid w:val="0"/>
              <w:spacing w:line="560" w:lineRule="exact"/>
              <w:rPr>
                <w:color w:val="000000"/>
                <w:szCs w:val="21"/>
                <w:highlight w:val="none"/>
              </w:rPr>
            </w:pPr>
          </w:p>
        </w:tc>
      </w:tr>
      <w:tr w14:paraId="6DE80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2508" w:type="dxa"/>
            <w:noWrap w:val="0"/>
            <w:vAlign w:val="center"/>
          </w:tcPr>
          <w:p w14:paraId="631E365F">
            <w:pPr>
              <w:topLinePunct/>
              <w:adjustRightInd w:val="0"/>
              <w:snapToGrid w:val="0"/>
              <w:spacing w:line="560" w:lineRule="exact"/>
              <w:jc w:val="center"/>
              <w:rPr>
                <w:color w:val="000000"/>
                <w:szCs w:val="21"/>
                <w:highlight w:val="none"/>
              </w:rPr>
            </w:pPr>
            <w:r>
              <w:rPr>
                <w:color w:val="000000"/>
                <w:szCs w:val="21"/>
                <w:highlight w:val="none"/>
              </w:rPr>
              <w:t>发包人名称</w:t>
            </w:r>
          </w:p>
          <w:bookmarkEnd w:id="902"/>
          <w:bookmarkEnd w:id="903"/>
        </w:tc>
        <w:tc>
          <w:tcPr>
            <w:tcW w:w="6912" w:type="dxa"/>
            <w:noWrap w:val="0"/>
            <w:vAlign w:val="top"/>
          </w:tcPr>
          <w:p w14:paraId="49782EA9">
            <w:pPr>
              <w:topLinePunct/>
              <w:adjustRightInd w:val="0"/>
              <w:snapToGrid w:val="0"/>
              <w:spacing w:line="560" w:lineRule="exact"/>
              <w:rPr>
                <w:color w:val="000000"/>
                <w:szCs w:val="21"/>
                <w:highlight w:val="none"/>
              </w:rPr>
            </w:pPr>
          </w:p>
        </w:tc>
        <w:bookmarkStart w:id="904" w:name="_Toc506107343"/>
        <w:bookmarkStart w:id="905" w:name="_Toc60061577"/>
        <w:bookmarkStart w:id="906" w:name="_Toc11124"/>
        <w:bookmarkStart w:id="907" w:name="_Toc15058937"/>
        <w:bookmarkStart w:id="908" w:name="_Toc265953296"/>
        <w:bookmarkStart w:id="909" w:name="_Toc324404891"/>
        <w:bookmarkStart w:id="910" w:name="_Toc144974878"/>
        <w:bookmarkStart w:id="911" w:name="_Toc247514302"/>
        <w:bookmarkStart w:id="912" w:name="_Toc152045810"/>
        <w:bookmarkStart w:id="913" w:name="_Toc58229118"/>
        <w:bookmarkStart w:id="914" w:name="_Toc152042599"/>
        <w:bookmarkStart w:id="915" w:name="_Toc296602620"/>
        <w:bookmarkStart w:id="916" w:name="_Toc247527850"/>
      </w:tr>
      <w:tr w14:paraId="2E982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508" w:type="dxa"/>
            <w:noWrap w:val="0"/>
            <w:vAlign w:val="center"/>
          </w:tcPr>
          <w:p w14:paraId="76951933">
            <w:pPr>
              <w:topLinePunct/>
              <w:adjustRightInd w:val="0"/>
              <w:snapToGrid w:val="0"/>
              <w:spacing w:line="560" w:lineRule="exact"/>
              <w:jc w:val="center"/>
              <w:rPr>
                <w:color w:val="000000"/>
                <w:szCs w:val="21"/>
                <w:highlight w:val="none"/>
              </w:rPr>
            </w:pPr>
            <w:r>
              <w:rPr>
                <w:color w:val="000000"/>
                <w:szCs w:val="21"/>
                <w:highlight w:val="none"/>
              </w:rPr>
              <w:t>发包人地址</w:t>
            </w:r>
          </w:p>
        </w:tc>
        <w:tc>
          <w:tcPr>
            <w:tcW w:w="6912" w:type="dxa"/>
            <w:noWrap w:val="0"/>
            <w:vAlign w:val="top"/>
          </w:tcPr>
          <w:p w14:paraId="092D1E34">
            <w:pPr>
              <w:topLinePunct/>
              <w:adjustRightInd w:val="0"/>
              <w:snapToGrid w:val="0"/>
              <w:spacing w:line="560" w:lineRule="exact"/>
              <w:rPr>
                <w:color w:val="000000"/>
                <w:szCs w:val="21"/>
                <w:highlight w:val="none"/>
              </w:rPr>
            </w:pPr>
          </w:p>
        </w:tc>
      </w:tr>
      <w:tr w14:paraId="03532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2508" w:type="dxa"/>
            <w:noWrap w:val="0"/>
            <w:vAlign w:val="center"/>
          </w:tcPr>
          <w:p w14:paraId="72EDEB5F">
            <w:pPr>
              <w:topLinePunct/>
              <w:adjustRightInd w:val="0"/>
              <w:snapToGrid w:val="0"/>
              <w:spacing w:line="560" w:lineRule="exact"/>
              <w:jc w:val="center"/>
              <w:rPr>
                <w:color w:val="000000"/>
                <w:szCs w:val="21"/>
                <w:highlight w:val="none"/>
              </w:rPr>
            </w:pPr>
            <w:r>
              <w:rPr>
                <w:color w:val="000000"/>
                <w:szCs w:val="21"/>
                <w:highlight w:val="none"/>
              </w:rPr>
              <w:t>发包人电话</w:t>
            </w:r>
          </w:p>
          <w:bookmarkEnd w:id="904"/>
          <w:bookmarkEnd w:id="905"/>
          <w:bookmarkEnd w:id="906"/>
          <w:bookmarkEnd w:id="907"/>
          <w:bookmarkEnd w:id="908"/>
          <w:bookmarkEnd w:id="909"/>
          <w:bookmarkEnd w:id="910"/>
          <w:bookmarkEnd w:id="911"/>
          <w:bookmarkEnd w:id="912"/>
          <w:bookmarkEnd w:id="913"/>
          <w:bookmarkEnd w:id="914"/>
          <w:bookmarkEnd w:id="915"/>
          <w:bookmarkEnd w:id="916"/>
        </w:tc>
        <w:tc>
          <w:tcPr>
            <w:tcW w:w="6912" w:type="dxa"/>
            <w:noWrap w:val="0"/>
            <w:vAlign w:val="top"/>
          </w:tcPr>
          <w:p w14:paraId="774FF51F">
            <w:pPr>
              <w:topLinePunct/>
              <w:adjustRightInd w:val="0"/>
              <w:snapToGrid w:val="0"/>
              <w:spacing w:line="560" w:lineRule="exact"/>
              <w:rPr>
                <w:color w:val="000000"/>
                <w:szCs w:val="21"/>
                <w:highlight w:val="none"/>
              </w:rPr>
            </w:pPr>
          </w:p>
        </w:tc>
      </w:tr>
      <w:tr w14:paraId="719FB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2508" w:type="dxa"/>
            <w:noWrap w:val="0"/>
            <w:vAlign w:val="center"/>
          </w:tcPr>
          <w:p w14:paraId="7D8E1EB7">
            <w:pPr>
              <w:topLinePunct/>
              <w:adjustRightInd w:val="0"/>
              <w:snapToGrid w:val="0"/>
              <w:spacing w:line="560" w:lineRule="exact"/>
              <w:jc w:val="center"/>
              <w:rPr>
                <w:color w:val="000000"/>
                <w:szCs w:val="21"/>
                <w:highlight w:val="none"/>
              </w:rPr>
            </w:pPr>
            <w:r>
              <w:rPr>
                <w:color w:val="000000"/>
                <w:szCs w:val="21"/>
                <w:highlight w:val="none"/>
              </w:rPr>
              <w:t>合同价格</w:t>
            </w:r>
          </w:p>
        </w:tc>
        <w:tc>
          <w:tcPr>
            <w:tcW w:w="6912" w:type="dxa"/>
            <w:noWrap w:val="0"/>
            <w:vAlign w:val="top"/>
          </w:tcPr>
          <w:p w14:paraId="64570098">
            <w:pPr>
              <w:topLinePunct/>
              <w:adjustRightInd w:val="0"/>
              <w:snapToGrid w:val="0"/>
              <w:spacing w:line="560" w:lineRule="exact"/>
              <w:rPr>
                <w:color w:val="000000"/>
                <w:szCs w:val="21"/>
                <w:highlight w:val="none"/>
              </w:rPr>
            </w:pPr>
          </w:p>
        </w:tc>
      </w:tr>
      <w:tr w14:paraId="46E23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2508" w:type="dxa"/>
            <w:noWrap w:val="0"/>
            <w:vAlign w:val="center"/>
          </w:tcPr>
          <w:p w14:paraId="29F5214F">
            <w:pPr>
              <w:topLinePunct/>
              <w:adjustRightInd w:val="0"/>
              <w:snapToGrid w:val="0"/>
              <w:spacing w:line="560" w:lineRule="exact"/>
              <w:jc w:val="center"/>
              <w:rPr>
                <w:color w:val="000000"/>
                <w:szCs w:val="21"/>
                <w:highlight w:val="none"/>
              </w:rPr>
            </w:pPr>
            <w:r>
              <w:rPr>
                <w:color w:val="000000"/>
                <w:szCs w:val="21"/>
                <w:highlight w:val="none"/>
              </w:rPr>
              <w:t>开工日期</w:t>
            </w:r>
          </w:p>
        </w:tc>
        <w:tc>
          <w:tcPr>
            <w:tcW w:w="6912" w:type="dxa"/>
            <w:noWrap w:val="0"/>
            <w:vAlign w:val="top"/>
          </w:tcPr>
          <w:p w14:paraId="3F84B3CC">
            <w:pPr>
              <w:topLinePunct/>
              <w:adjustRightInd w:val="0"/>
              <w:snapToGrid w:val="0"/>
              <w:spacing w:line="560" w:lineRule="exact"/>
              <w:rPr>
                <w:color w:val="000000"/>
                <w:szCs w:val="21"/>
                <w:highlight w:val="none"/>
              </w:rPr>
            </w:pPr>
          </w:p>
        </w:tc>
      </w:tr>
      <w:tr w14:paraId="6592E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2508" w:type="dxa"/>
            <w:noWrap w:val="0"/>
            <w:vAlign w:val="center"/>
          </w:tcPr>
          <w:p w14:paraId="36C70F50">
            <w:pPr>
              <w:topLinePunct/>
              <w:adjustRightInd w:val="0"/>
              <w:snapToGrid w:val="0"/>
              <w:spacing w:line="560" w:lineRule="exact"/>
              <w:jc w:val="center"/>
              <w:rPr>
                <w:color w:val="000000"/>
                <w:szCs w:val="21"/>
                <w:highlight w:val="none"/>
              </w:rPr>
            </w:pPr>
            <w:r>
              <w:rPr>
                <w:rFonts w:hint="eastAsia"/>
                <w:color w:val="000000"/>
                <w:highlight w:val="none"/>
              </w:rPr>
              <w:t>竣工</w:t>
            </w:r>
            <w:r>
              <w:rPr>
                <w:color w:val="000000"/>
                <w:szCs w:val="21"/>
                <w:highlight w:val="none"/>
              </w:rPr>
              <w:t>日期</w:t>
            </w:r>
          </w:p>
        </w:tc>
        <w:tc>
          <w:tcPr>
            <w:tcW w:w="6912" w:type="dxa"/>
            <w:noWrap w:val="0"/>
            <w:vAlign w:val="top"/>
          </w:tcPr>
          <w:p w14:paraId="7BC6AB06">
            <w:pPr>
              <w:topLinePunct/>
              <w:adjustRightInd w:val="0"/>
              <w:snapToGrid w:val="0"/>
              <w:spacing w:line="560" w:lineRule="exact"/>
              <w:rPr>
                <w:color w:val="000000"/>
                <w:szCs w:val="21"/>
                <w:highlight w:val="none"/>
              </w:rPr>
            </w:pPr>
          </w:p>
        </w:tc>
      </w:tr>
      <w:tr w14:paraId="19BDB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2508" w:type="dxa"/>
            <w:noWrap w:val="0"/>
            <w:vAlign w:val="center"/>
          </w:tcPr>
          <w:p w14:paraId="6A219681">
            <w:pPr>
              <w:topLinePunct/>
              <w:adjustRightInd w:val="0"/>
              <w:snapToGrid w:val="0"/>
              <w:spacing w:line="560" w:lineRule="exact"/>
              <w:jc w:val="center"/>
              <w:rPr>
                <w:color w:val="000000"/>
                <w:szCs w:val="21"/>
                <w:highlight w:val="none"/>
              </w:rPr>
            </w:pPr>
            <w:r>
              <w:rPr>
                <w:color w:val="000000"/>
                <w:szCs w:val="21"/>
                <w:highlight w:val="none"/>
              </w:rPr>
              <w:t>承担的工作</w:t>
            </w:r>
          </w:p>
        </w:tc>
        <w:tc>
          <w:tcPr>
            <w:tcW w:w="6912" w:type="dxa"/>
            <w:noWrap w:val="0"/>
            <w:vAlign w:val="top"/>
          </w:tcPr>
          <w:p w14:paraId="6496A9FA">
            <w:pPr>
              <w:topLinePunct/>
              <w:adjustRightInd w:val="0"/>
              <w:snapToGrid w:val="0"/>
              <w:spacing w:line="560" w:lineRule="exact"/>
              <w:rPr>
                <w:color w:val="000000"/>
                <w:szCs w:val="21"/>
                <w:highlight w:val="none"/>
              </w:rPr>
            </w:pPr>
          </w:p>
        </w:tc>
      </w:tr>
      <w:tr w14:paraId="256F6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2508" w:type="dxa"/>
            <w:noWrap w:val="0"/>
            <w:vAlign w:val="center"/>
          </w:tcPr>
          <w:p w14:paraId="656E914C">
            <w:pPr>
              <w:topLinePunct/>
              <w:adjustRightInd w:val="0"/>
              <w:snapToGrid w:val="0"/>
              <w:spacing w:line="560" w:lineRule="exact"/>
              <w:jc w:val="center"/>
              <w:rPr>
                <w:color w:val="000000"/>
                <w:szCs w:val="21"/>
                <w:highlight w:val="none"/>
              </w:rPr>
            </w:pPr>
            <w:r>
              <w:rPr>
                <w:color w:val="000000"/>
                <w:szCs w:val="21"/>
                <w:highlight w:val="none"/>
              </w:rPr>
              <w:t>工程质量</w:t>
            </w:r>
          </w:p>
        </w:tc>
        <w:tc>
          <w:tcPr>
            <w:tcW w:w="6912" w:type="dxa"/>
            <w:noWrap w:val="0"/>
            <w:vAlign w:val="top"/>
          </w:tcPr>
          <w:p w14:paraId="225DF50D">
            <w:pPr>
              <w:topLinePunct/>
              <w:adjustRightInd w:val="0"/>
              <w:snapToGrid w:val="0"/>
              <w:spacing w:line="560" w:lineRule="exact"/>
              <w:rPr>
                <w:color w:val="000000"/>
                <w:szCs w:val="21"/>
                <w:highlight w:val="none"/>
              </w:rPr>
            </w:pPr>
          </w:p>
        </w:tc>
      </w:tr>
      <w:tr w14:paraId="574ED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2508" w:type="dxa"/>
            <w:noWrap w:val="0"/>
            <w:vAlign w:val="center"/>
          </w:tcPr>
          <w:p w14:paraId="3958CD94">
            <w:pPr>
              <w:topLinePunct/>
              <w:adjustRightInd w:val="0"/>
              <w:snapToGrid w:val="0"/>
              <w:spacing w:line="560" w:lineRule="exact"/>
              <w:jc w:val="center"/>
              <w:rPr>
                <w:color w:val="000000"/>
                <w:szCs w:val="21"/>
                <w:highlight w:val="none"/>
              </w:rPr>
            </w:pPr>
            <w:r>
              <w:rPr>
                <w:color w:val="000000"/>
                <w:szCs w:val="21"/>
                <w:highlight w:val="none"/>
              </w:rPr>
              <w:t>项目经理（建造师）</w:t>
            </w:r>
          </w:p>
        </w:tc>
        <w:tc>
          <w:tcPr>
            <w:tcW w:w="6912" w:type="dxa"/>
            <w:noWrap w:val="0"/>
            <w:vAlign w:val="top"/>
          </w:tcPr>
          <w:p w14:paraId="60C5BA6F">
            <w:pPr>
              <w:topLinePunct/>
              <w:adjustRightInd w:val="0"/>
              <w:snapToGrid w:val="0"/>
              <w:spacing w:line="560" w:lineRule="exact"/>
              <w:rPr>
                <w:color w:val="000000"/>
                <w:szCs w:val="21"/>
                <w:highlight w:val="none"/>
              </w:rPr>
            </w:pPr>
          </w:p>
        </w:tc>
      </w:tr>
      <w:tr w14:paraId="0D7A8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2508" w:type="dxa"/>
            <w:noWrap w:val="0"/>
            <w:vAlign w:val="center"/>
          </w:tcPr>
          <w:p w14:paraId="6BAADFFE">
            <w:pPr>
              <w:topLinePunct/>
              <w:adjustRightInd w:val="0"/>
              <w:snapToGrid w:val="0"/>
              <w:spacing w:line="560" w:lineRule="exact"/>
              <w:jc w:val="center"/>
              <w:rPr>
                <w:color w:val="000000"/>
                <w:szCs w:val="21"/>
                <w:highlight w:val="none"/>
              </w:rPr>
            </w:pPr>
            <w:r>
              <w:rPr>
                <w:color w:val="000000"/>
                <w:szCs w:val="21"/>
                <w:highlight w:val="none"/>
              </w:rPr>
              <w:t>技术负责人</w:t>
            </w:r>
          </w:p>
        </w:tc>
        <w:tc>
          <w:tcPr>
            <w:tcW w:w="6912" w:type="dxa"/>
            <w:noWrap w:val="0"/>
            <w:vAlign w:val="top"/>
          </w:tcPr>
          <w:p w14:paraId="6AADE143">
            <w:pPr>
              <w:topLinePunct/>
              <w:adjustRightInd w:val="0"/>
              <w:snapToGrid w:val="0"/>
              <w:spacing w:line="560" w:lineRule="exact"/>
              <w:rPr>
                <w:color w:val="000000"/>
                <w:szCs w:val="21"/>
                <w:highlight w:val="none"/>
              </w:rPr>
            </w:pPr>
          </w:p>
        </w:tc>
      </w:tr>
      <w:tr w14:paraId="1493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2508" w:type="dxa"/>
            <w:noWrap w:val="0"/>
            <w:vAlign w:val="center"/>
          </w:tcPr>
          <w:p w14:paraId="1F599AD9">
            <w:pPr>
              <w:topLinePunct/>
              <w:adjustRightInd w:val="0"/>
              <w:snapToGrid w:val="0"/>
              <w:spacing w:line="560" w:lineRule="exact"/>
              <w:jc w:val="center"/>
              <w:rPr>
                <w:color w:val="000000"/>
                <w:szCs w:val="21"/>
                <w:highlight w:val="none"/>
              </w:rPr>
            </w:pPr>
            <w:r>
              <w:rPr>
                <w:color w:val="000000"/>
                <w:szCs w:val="21"/>
                <w:highlight w:val="none"/>
              </w:rPr>
              <w:t>项目描述</w:t>
            </w:r>
          </w:p>
        </w:tc>
        <w:tc>
          <w:tcPr>
            <w:tcW w:w="6912" w:type="dxa"/>
            <w:noWrap w:val="0"/>
            <w:vAlign w:val="top"/>
          </w:tcPr>
          <w:p w14:paraId="395AA6BC">
            <w:pPr>
              <w:topLinePunct/>
              <w:adjustRightInd w:val="0"/>
              <w:snapToGrid w:val="0"/>
              <w:spacing w:line="560" w:lineRule="exact"/>
              <w:rPr>
                <w:color w:val="000000"/>
                <w:szCs w:val="21"/>
                <w:highlight w:val="none"/>
              </w:rPr>
            </w:pPr>
          </w:p>
          <w:p w14:paraId="72A408DD">
            <w:pPr>
              <w:topLinePunct/>
              <w:adjustRightInd w:val="0"/>
              <w:snapToGrid w:val="0"/>
              <w:spacing w:line="560" w:lineRule="exact"/>
              <w:rPr>
                <w:color w:val="000000"/>
                <w:szCs w:val="21"/>
                <w:highlight w:val="none"/>
              </w:rPr>
            </w:pPr>
          </w:p>
          <w:p w14:paraId="70D1D374">
            <w:pPr>
              <w:topLinePunct/>
              <w:adjustRightInd w:val="0"/>
              <w:snapToGrid w:val="0"/>
              <w:spacing w:line="560" w:lineRule="exact"/>
              <w:rPr>
                <w:color w:val="000000"/>
                <w:szCs w:val="21"/>
                <w:highlight w:val="none"/>
              </w:rPr>
            </w:pPr>
          </w:p>
        </w:tc>
      </w:tr>
      <w:tr w14:paraId="5A371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2508" w:type="dxa"/>
            <w:noWrap w:val="0"/>
            <w:vAlign w:val="center"/>
          </w:tcPr>
          <w:p w14:paraId="695ADACD">
            <w:pPr>
              <w:topLinePunct/>
              <w:adjustRightInd w:val="0"/>
              <w:snapToGrid w:val="0"/>
              <w:spacing w:line="560" w:lineRule="exact"/>
              <w:jc w:val="center"/>
              <w:rPr>
                <w:color w:val="000000"/>
                <w:szCs w:val="21"/>
                <w:highlight w:val="none"/>
              </w:rPr>
            </w:pPr>
            <w:r>
              <w:rPr>
                <w:color w:val="000000"/>
                <w:szCs w:val="21"/>
                <w:highlight w:val="none"/>
              </w:rPr>
              <w:t>备注</w:t>
            </w:r>
          </w:p>
        </w:tc>
        <w:tc>
          <w:tcPr>
            <w:tcW w:w="6912" w:type="dxa"/>
            <w:noWrap w:val="0"/>
            <w:vAlign w:val="top"/>
          </w:tcPr>
          <w:p w14:paraId="1CF74D5F">
            <w:pPr>
              <w:topLinePunct/>
              <w:adjustRightInd w:val="0"/>
              <w:snapToGrid w:val="0"/>
              <w:spacing w:line="560" w:lineRule="exact"/>
              <w:rPr>
                <w:color w:val="000000"/>
                <w:szCs w:val="21"/>
                <w:highlight w:val="none"/>
              </w:rPr>
            </w:pPr>
          </w:p>
        </w:tc>
      </w:tr>
    </w:tbl>
    <w:p w14:paraId="21601B95">
      <w:pPr>
        <w:pStyle w:val="4"/>
        <w:adjustRightInd w:val="0"/>
        <w:snapToGrid w:val="0"/>
        <w:spacing w:before="0" w:after="0" w:line="560" w:lineRule="exact"/>
        <w:jc w:val="center"/>
        <w:rPr>
          <w:color w:val="000000"/>
          <w:highlight w:val="none"/>
        </w:rPr>
      </w:pPr>
      <w:bookmarkStart w:id="917" w:name="_Toc95223536"/>
      <w:r>
        <w:rPr>
          <w:color w:val="000000"/>
          <w:highlight w:val="none"/>
        </w:rPr>
        <w:t>（</w:t>
      </w:r>
      <w:r>
        <w:rPr>
          <w:rFonts w:hint="eastAsia"/>
          <w:color w:val="000000"/>
          <w:highlight w:val="none"/>
        </w:rPr>
        <w:t>4</w:t>
      </w:r>
      <w:r>
        <w:rPr>
          <w:color w:val="000000"/>
          <w:highlight w:val="none"/>
        </w:rPr>
        <w:t>）正在</w:t>
      </w:r>
      <w:r>
        <w:rPr>
          <w:rFonts w:hint="eastAsia"/>
          <w:color w:val="000000"/>
          <w:highlight w:val="none"/>
        </w:rPr>
        <w:t>实施</w:t>
      </w:r>
      <w:r>
        <w:rPr>
          <w:color w:val="000000"/>
          <w:highlight w:val="none"/>
        </w:rPr>
        <w:t>的和新承接的项目情况表</w:t>
      </w:r>
      <w:bookmarkEnd w:id="917"/>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2"/>
        <w:gridCol w:w="7408"/>
      </w:tblGrid>
      <w:tr w14:paraId="0BF71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452" w:type="dxa"/>
            <w:noWrap w:val="0"/>
            <w:vAlign w:val="center"/>
          </w:tcPr>
          <w:p w14:paraId="514F1413">
            <w:pPr>
              <w:topLinePunct/>
              <w:adjustRightInd w:val="0"/>
              <w:snapToGrid w:val="0"/>
              <w:spacing w:line="560" w:lineRule="exact"/>
              <w:jc w:val="center"/>
              <w:rPr>
                <w:color w:val="000000"/>
                <w:szCs w:val="21"/>
                <w:highlight w:val="none"/>
              </w:rPr>
            </w:pPr>
            <w:r>
              <w:rPr>
                <w:color w:val="000000"/>
                <w:szCs w:val="21"/>
                <w:highlight w:val="none"/>
              </w:rPr>
              <w:t>项目名称</w:t>
            </w:r>
          </w:p>
        </w:tc>
        <w:tc>
          <w:tcPr>
            <w:tcW w:w="7408" w:type="dxa"/>
            <w:noWrap w:val="0"/>
            <w:vAlign w:val="top"/>
          </w:tcPr>
          <w:p w14:paraId="00C59CF2">
            <w:pPr>
              <w:topLinePunct/>
              <w:adjustRightInd w:val="0"/>
              <w:snapToGrid w:val="0"/>
              <w:spacing w:line="560" w:lineRule="exact"/>
              <w:rPr>
                <w:color w:val="000000"/>
                <w:szCs w:val="21"/>
                <w:highlight w:val="none"/>
              </w:rPr>
            </w:pPr>
          </w:p>
        </w:tc>
      </w:tr>
      <w:tr w14:paraId="67CBB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452" w:type="dxa"/>
            <w:noWrap w:val="0"/>
            <w:vAlign w:val="center"/>
          </w:tcPr>
          <w:p w14:paraId="4507D2BE">
            <w:pPr>
              <w:topLinePunct/>
              <w:adjustRightInd w:val="0"/>
              <w:snapToGrid w:val="0"/>
              <w:spacing w:line="560" w:lineRule="exact"/>
              <w:jc w:val="center"/>
              <w:rPr>
                <w:color w:val="000000"/>
                <w:szCs w:val="21"/>
                <w:highlight w:val="none"/>
              </w:rPr>
            </w:pPr>
            <w:r>
              <w:rPr>
                <w:color w:val="000000"/>
                <w:szCs w:val="21"/>
                <w:highlight w:val="none"/>
              </w:rPr>
              <w:t>项目所在地</w:t>
            </w:r>
          </w:p>
        </w:tc>
        <w:tc>
          <w:tcPr>
            <w:tcW w:w="7408" w:type="dxa"/>
            <w:noWrap w:val="0"/>
            <w:vAlign w:val="top"/>
          </w:tcPr>
          <w:p w14:paraId="235A0329">
            <w:pPr>
              <w:topLinePunct/>
              <w:adjustRightInd w:val="0"/>
              <w:snapToGrid w:val="0"/>
              <w:spacing w:line="560" w:lineRule="exact"/>
              <w:rPr>
                <w:color w:val="000000"/>
                <w:szCs w:val="21"/>
                <w:highlight w:val="none"/>
              </w:rPr>
            </w:pPr>
          </w:p>
        </w:tc>
      </w:tr>
      <w:tr w14:paraId="483AF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52" w:type="dxa"/>
            <w:noWrap w:val="0"/>
            <w:vAlign w:val="center"/>
          </w:tcPr>
          <w:p w14:paraId="17DBDF06">
            <w:pPr>
              <w:topLinePunct/>
              <w:adjustRightInd w:val="0"/>
              <w:snapToGrid w:val="0"/>
              <w:spacing w:line="560" w:lineRule="exact"/>
              <w:jc w:val="center"/>
              <w:rPr>
                <w:color w:val="000000"/>
                <w:szCs w:val="21"/>
                <w:highlight w:val="none"/>
              </w:rPr>
            </w:pPr>
            <w:r>
              <w:rPr>
                <w:color w:val="000000"/>
                <w:szCs w:val="21"/>
                <w:highlight w:val="none"/>
              </w:rPr>
              <w:t>发包人名</w:t>
            </w:r>
            <w:bookmarkStart w:id="918" w:name="_Toc152045811"/>
            <w:bookmarkStart w:id="919" w:name="_Toc58229119"/>
            <w:bookmarkStart w:id="920" w:name="_Toc247527851"/>
            <w:bookmarkStart w:id="921" w:name="_Toc30815"/>
            <w:bookmarkStart w:id="922" w:name="_Toc506107344"/>
            <w:bookmarkStart w:id="923" w:name="_Toc152042600"/>
            <w:bookmarkStart w:id="924" w:name="_Toc15058938"/>
            <w:bookmarkStart w:id="925" w:name="_Toc296602621"/>
            <w:bookmarkStart w:id="926" w:name="_Toc324404892"/>
            <w:bookmarkStart w:id="927" w:name="_Toc144974879"/>
            <w:bookmarkStart w:id="928" w:name="_Toc265953297"/>
            <w:bookmarkStart w:id="929" w:name="_Toc247514303"/>
            <w:bookmarkStart w:id="930" w:name="_Toc60061578"/>
            <w:r>
              <w:rPr>
                <w:color w:val="000000"/>
                <w:szCs w:val="21"/>
                <w:highlight w:val="none"/>
              </w:rPr>
              <w:t>称</w:t>
            </w:r>
          </w:p>
        </w:tc>
        <w:tc>
          <w:tcPr>
            <w:tcW w:w="7408" w:type="dxa"/>
            <w:noWrap w:val="0"/>
            <w:vAlign w:val="top"/>
          </w:tcPr>
          <w:p w14:paraId="31DA9FB7">
            <w:pPr>
              <w:topLinePunct/>
              <w:adjustRightInd w:val="0"/>
              <w:snapToGrid w:val="0"/>
              <w:spacing w:line="560" w:lineRule="exact"/>
              <w:rPr>
                <w:color w:val="000000"/>
                <w:szCs w:val="21"/>
                <w:highlight w:val="none"/>
              </w:rPr>
            </w:pPr>
          </w:p>
        </w:tc>
      </w:tr>
      <w:tr w14:paraId="2AFDD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452" w:type="dxa"/>
            <w:noWrap w:val="0"/>
            <w:vAlign w:val="center"/>
          </w:tcPr>
          <w:p w14:paraId="327DD63B">
            <w:pPr>
              <w:topLinePunct/>
              <w:adjustRightInd w:val="0"/>
              <w:snapToGrid w:val="0"/>
              <w:spacing w:line="560" w:lineRule="exact"/>
              <w:jc w:val="center"/>
              <w:rPr>
                <w:color w:val="000000"/>
                <w:szCs w:val="21"/>
                <w:highlight w:val="none"/>
              </w:rPr>
            </w:pPr>
            <w:r>
              <w:rPr>
                <w:color w:val="000000"/>
                <w:szCs w:val="21"/>
                <w:highlight w:val="none"/>
              </w:rPr>
              <w:t>发包人地址</w:t>
            </w:r>
          </w:p>
        </w:tc>
        <w:tc>
          <w:tcPr>
            <w:tcW w:w="7408" w:type="dxa"/>
            <w:noWrap w:val="0"/>
            <w:vAlign w:val="top"/>
          </w:tcPr>
          <w:p w14:paraId="5CA678BC">
            <w:pPr>
              <w:topLinePunct/>
              <w:adjustRightInd w:val="0"/>
              <w:snapToGrid w:val="0"/>
              <w:spacing w:line="560" w:lineRule="exact"/>
              <w:rPr>
                <w:color w:val="000000"/>
                <w:szCs w:val="21"/>
                <w:highlight w:val="none"/>
              </w:rPr>
            </w:pPr>
          </w:p>
        </w:tc>
      </w:tr>
      <w:tr w14:paraId="2260E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452" w:type="dxa"/>
            <w:noWrap w:val="0"/>
            <w:vAlign w:val="center"/>
          </w:tcPr>
          <w:p w14:paraId="31D9A577">
            <w:pPr>
              <w:topLinePunct/>
              <w:adjustRightInd w:val="0"/>
              <w:snapToGrid w:val="0"/>
              <w:spacing w:line="560" w:lineRule="exact"/>
              <w:jc w:val="center"/>
              <w:rPr>
                <w:color w:val="000000"/>
                <w:szCs w:val="21"/>
                <w:highlight w:val="none"/>
              </w:rPr>
            </w:pPr>
            <w:r>
              <w:rPr>
                <w:color w:val="000000"/>
                <w:szCs w:val="21"/>
                <w:highlight w:val="none"/>
              </w:rPr>
              <w:t>发包人电话</w:t>
            </w:r>
          </w:p>
          <w:bookmarkEnd w:id="918"/>
          <w:bookmarkEnd w:id="919"/>
          <w:bookmarkEnd w:id="920"/>
          <w:bookmarkEnd w:id="921"/>
          <w:bookmarkEnd w:id="922"/>
          <w:bookmarkEnd w:id="923"/>
          <w:bookmarkEnd w:id="924"/>
          <w:bookmarkEnd w:id="925"/>
          <w:bookmarkEnd w:id="926"/>
          <w:bookmarkEnd w:id="927"/>
          <w:bookmarkEnd w:id="928"/>
          <w:bookmarkEnd w:id="929"/>
          <w:bookmarkEnd w:id="930"/>
        </w:tc>
        <w:tc>
          <w:tcPr>
            <w:tcW w:w="7408" w:type="dxa"/>
            <w:noWrap w:val="0"/>
            <w:vAlign w:val="top"/>
          </w:tcPr>
          <w:p w14:paraId="5BD28E22">
            <w:pPr>
              <w:topLinePunct/>
              <w:adjustRightInd w:val="0"/>
              <w:snapToGrid w:val="0"/>
              <w:spacing w:line="560" w:lineRule="exact"/>
              <w:rPr>
                <w:color w:val="000000"/>
                <w:szCs w:val="21"/>
                <w:highlight w:val="none"/>
              </w:rPr>
            </w:pPr>
          </w:p>
        </w:tc>
      </w:tr>
      <w:tr w14:paraId="7DDF8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452" w:type="dxa"/>
            <w:noWrap w:val="0"/>
            <w:vAlign w:val="center"/>
          </w:tcPr>
          <w:p w14:paraId="5144EFD1">
            <w:pPr>
              <w:topLinePunct/>
              <w:adjustRightInd w:val="0"/>
              <w:snapToGrid w:val="0"/>
              <w:spacing w:line="560" w:lineRule="exact"/>
              <w:jc w:val="center"/>
              <w:rPr>
                <w:color w:val="000000"/>
                <w:szCs w:val="21"/>
                <w:highlight w:val="none"/>
              </w:rPr>
            </w:pPr>
            <w:r>
              <w:rPr>
                <w:color w:val="000000"/>
                <w:szCs w:val="21"/>
                <w:highlight w:val="none"/>
              </w:rPr>
              <w:t>签约合同价</w:t>
            </w:r>
          </w:p>
        </w:tc>
        <w:tc>
          <w:tcPr>
            <w:tcW w:w="7408" w:type="dxa"/>
            <w:noWrap w:val="0"/>
            <w:vAlign w:val="top"/>
          </w:tcPr>
          <w:p w14:paraId="17E85ED6">
            <w:pPr>
              <w:topLinePunct/>
              <w:adjustRightInd w:val="0"/>
              <w:snapToGrid w:val="0"/>
              <w:spacing w:line="560" w:lineRule="exact"/>
              <w:rPr>
                <w:color w:val="000000"/>
                <w:szCs w:val="21"/>
                <w:highlight w:val="none"/>
              </w:rPr>
            </w:pPr>
          </w:p>
        </w:tc>
      </w:tr>
      <w:tr w14:paraId="7E9F6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2452" w:type="dxa"/>
            <w:noWrap w:val="0"/>
            <w:vAlign w:val="center"/>
          </w:tcPr>
          <w:p w14:paraId="089D18E5">
            <w:pPr>
              <w:topLinePunct/>
              <w:adjustRightInd w:val="0"/>
              <w:snapToGrid w:val="0"/>
              <w:spacing w:line="560" w:lineRule="exact"/>
              <w:jc w:val="center"/>
              <w:rPr>
                <w:color w:val="000000"/>
                <w:szCs w:val="21"/>
                <w:highlight w:val="none"/>
              </w:rPr>
            </w:pPr>
            <w:r>
              <w:rPr>
                <w:color w:val="000000"/>
                <w:szCs w:val="21"/>
                <w:highlight w:val="none"/>
              </w:rPr>
              <w:t>开工日期</w:t>
            </w:r>
          </w:p>
        </w:tc>
        <w:tc>
          <w:tcPr>
            <w:tcW w:w="7408" w:type="dxa"/>
            <w:noWrap w:val="0"/>
            <w:vAlign w:val="top"/>
          </w:tcPr>
          <w:p w14:paraId="2031B751">
            <w:pPr>
              <w:topLinePunct/>
              <w:adjustRightInd w:val="0"/>
              <w:snapToGrid w:val="0"/>
              <w:spacing w:line="560" w:lineRule="exact"/>
              <w:rPr>
                <w:color w:val="000000"/>
                <w:szCs w:val="21"/>
                <w:highlight w:val="none"/>
              </w:rPr>
            </w:pPr>
          </w:p>
        </w:tc>
      </w:tr>
      <w:tr w14:paraId="11FA0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2452" w:type="dxa"/>
            <w:noWrap w:val="0"/>
            <w:vAlign w:val="center"/>
          </w:tcPr>
          <w:p w14:paraId="05D1AB00">
            <w:pPr>
              <w:topLinePunct/>
              <w:adjustRightInd w:val="0"/>
              <w:snapToGrid w:val="0"/>
              <w:spacing w:line="560" w:lineRule="exact"/>
              <w:jc w:val="center"/>
              <w:rPr>
                <w:color w:val="000000"/>
                <w:szCs w:val="21"/>
                <w:highlight w:val="none"/>
              </w:rPr>
            </w:pPr>
            <w:r>
              <w:rPr>
                <w:color w:val="000000"/>
                <w:szCs w:val="21"/>
                <w:highlight w:val="none"/>
              </w:rPr>
              <w:t>计划</w:t>
            </w:r>
            <w:r>
              <w:rPr>
                <w:rFonts w:hint="eastAsia"/>
                <w:color w:val="000000"/>
                <w:highlight w:val="none"/>
              </w:rPr>
              <w:t>竣工</w:t>
            </w:r>
            <w:r>
              <w:rPr>
                <w:color w:val="000000"/>
                <w:szCs w:val="21"/>
                <w:highlight w:val="none"/>
              </w:rPr>
              <w:t>日期</w:t>
            </w:r>
          </w:p>
        </w:tc>
        <w:tc>
          <w:tcPr>
            <w:tcW w:w="7408" w:type="dxa"/>
            <w:noWrap w:val="0"/>
            <w:vAlign w:val="top"/>
          </w:tcPr>
          <w:p w14:paraId="18C5F0CD">
            <w:pPr>
              <w:topLinePunct/>
              <w:adjustRightInd w:val="0"/>
              <w:snapToGrid w:val="0"/>
              <w:spacing w:line="560" w:lineRule="exact"/>
              <w:rPr>
                <w:color w:val="000000"/>
                <w:szCs w:val="21"/>
                <w:highlight w:val="none"/>
              </w:rPr>
            </w:pPr>
          </w:p>
        </w:tc>
      </w:tr>
      <w:tr w14:paraId="01080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452" w:type="dxa"/>
            <w:noWrap w:val="0"/>
            <w:vAlign w:val="center"/>
          </w:tcPr>
          <w:p w14:paraId="55956E90">
            <w:pPr>
              <w:topLinePunct/>
              <w:adjustRightInd w:val="0"/>
              <w:snapToGrid w:val="0"/>
              <w:spacing w:line="560" w:lineRule="exact"/>
              <w:jc w:val="center"/>
              <w:rPr>
                <w:color w:val="000000"/>
                <w:szCs w:val="21"/>
                <w:highlight w:val="none"/>
              </w:rPr>
            </w:pPr>
            <w:r>
              <w:rPr>
                <w:color w:val="000000"/>
                <w:szCs w:val="21"/>
                <w:highlight w:val="none"/>
              </w:rPr>
              <w:t>承担的工作</w:t>
            </w:r>
          </w:p>
        </w:tc>
        <w:tc>
          <w:tcPr>
            <w:tcW w:w="7408" w:type="dxa"/>
            <w:noWrap w:val="0"/>
            <w:vAlign w:val="top"/>
          </w:tcPr>
          <w:p w14:paraId="6725B3A8">
            <w:pPr>
              <w:topLinePunct/>
              <w:adjustRightInd w:val="0"/>
              <w:snapToGrid w:val="0"/>
              <w:spacing w:line="560" w:lineRule="exact"/>
              <w:rPr>
                <w:color w:val="000000"/>
                <w:szCs w:val="21"/>
                <w:highlight w:val="none"/>
              </w:rPr>
            </w:pPr>
          </w:p>
        </w:tc>
      </w:tr>
      <w:tr w14:paraId="7A66F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2452" w:type="dxa"/>
            <w:noWrap w:val="0"/>
            <w:vAlign w:val="center"/>
          </w:tcPr>
          <w:p w14:paraId="1C8453D5">
            <w:pPr>
              <w:topLinePunct/>
              <w:adjustRightInd w:val="0"/>
              <w:snapToGrid w:val="0"/>
              <w:spacing w:line="560" w:lineRule="exact"/>
              <w:jc w:val="center"/>
              <w:rPr>
                <w:color w:val="000000"/>
                <w:szCs w:val="21"/>
                <w:highlight w:val="none"/>
              </w:rPr>
            </w:pPr>
            <w:r>
              <w:rPr>
                <w:color w:val="000000"/>
                <w:szCs w:val="21"/>
                <w:highlight w:val="none"/>
              </w:rPr>
              <w:t>工程质量</w:t>
            </w:r>
          </w:p>
        </w:tc>
        <w:tc>
          <w:tcPr>
            <w:tcW w:w="7408" w:type="dxa"/>
            <w:noWrap w:val="0"/>
            <w:vAlign w:val="top"/>
          </w:tcPr>
          <w:p w14:paraId="09776C7F">
            <w:pPr>
              <w:topLinePunct/>
              <w:adjustRightInd w:val="0"/>
              <w:snapToGrid w:val="0"/>
              <w:spacing w:line="560" w:lineRule="exact"/>
              <w:rPr>
                <w:color w:val="000000"/>
                <w:szCs w:val="21"/>
                <w:highlight w:val="none"/>
              </w:rPr>
            </w:pPr>
          </w:p>
        </w:tc>
      </w:tr>
      <w:tr w14:paraId="79D3C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2452" w:type="dxa"/>
            <w:noWrap w:val="0"/>
            <w:vAlign w:val="center"/>
          </w:tcPr>
          <w:p w14:paraId="675ED706">
            <w:pPr>
              <w:topLinePunct/>
              <w:adjustRightInd w:val="0"/>
              <w:snapToGrid w:val="0"/>
              <w:spacing w:line="560" w:lineRule="exact"/>
              <w:jc w:val="center"/>
              <w:rPr>
                <w:color w:val="000000"/>
                <w:szCs w:val="21"/>
                <w:highlight w:val="none"/>
              </w:rPr>
            </w:pPr>
            <w:r>
              <w:rPr>
                <w:color w:val="000000"/>
                <w:szCs w:val="21"/>
                <w:highlight w:val="none"/>
              </w:rPr>
              <w:t>项目经理（建造师）</w:t>
            </w:r>
          </w:p>
        </w:tc>
        <w:tc>
          <w:tcPr>
            <w:tcW w:w="7408" w:type="dxa"/>
            <w:noWrap w:val="0"/>
            <w:vAlign w:val="top"/>
          </w:tcPr>
          <w:p w14:paraId="42FEC0C7">
            <w:pPr>
              <w:topLinePunct/>
              <w:adjustRightInd w:val="0"/>
              <w:snapToGrid w:val="0"/>
              <w:spacing w:line="560" w:lineRule="exact"/>
              <w:rPr>
                <w:color w:val="000000"/>
                <w:szCs w:val="21"/>
                <w:highlight w:val="none"/>
              </w:rPr>
            </w:pPr>
          </w:p>
        </w:tc>
      </w:tr>
      <w:tr w14:paraId="340C3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2452" w:type="dxa"/>
            <w:noWrap w:val="0"/>
            <w:vAlign w:val="center"/>
          </w:tcPr>
          <w:p w14:paraId="36A8B4E0">
            <w:pPr>
              <w:topLinePunct/>
              <w:adjustRightInd w:val="0"/>
              <w:snapToGrid w:val="0"/>
              <w:spacing w:line="560" w:lineRule="exact"/>
              <w:jc w:val="center"/>
              <w:rPr>
                <w:color w:val="000000"/>
                <w:szCs w:val="21"/>
                <w:highlight w:val="none"/>
              </w:rPr>
            </w:pPr>
            <w:r>
              <w:rPr>
                <w:color w:val="000000"/>
                <w:szCs w:val="21"/>
                <w:highlight w:val="none"/>
              </w:rPr>
              <w:t>技术负责人</w:t>
            </w:r>
          </w:p>
        </w:tc>
        <w:tc>
          <w:tcPr>
            <w:tcW w:w="7408" w:type="dxa"/>
            <w:noWrap w:val="0"/>
            <w:vAlign w:val="top"/>
          </w:tcPr>
          <w:p w14:paraId="13E82876">
            <w:pPr>
              <w:topLinePunct/>
              <w:adjustRightInd w:val="0"/>
              <w:snapToGrid w:val="0"/>
              <w:spacing w:line="560" w:lineRule="exact"/>
              <w:rPr>
                <w:color w:val="000000"/>
                <w:szCs w:val="21"/>
                <w:highlight w:val="none"/>
              </w:rPr>
            </w:pPr>
          </w:p>
        </w:tc>
      </w:tr>
      <w:tr w14:paraId="5B101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1" w:hRule="atLeast"/>
          <w:jc w:val="center"/>
        </w:trPr>
        <w:tc>
          <w:tcPr>
            <w:tcW w:w="2452" w:type="dxa"/>
            <w:noWrap w:val="0"/>
            <w:vAlign w:val="center"/>
          </w:tcPr>
          <w:p w14:paraId="204E4E3B">
            <w:pPr>
              <w:topLinePunct/>
              <w:adjustRightInd w:val="0"/>
              <w:snapToGrid w:val="0"/>
              <w:spacing w:line="560" w:lineRule="exact"/>
              <w:jc w:val="center"/>
              <w:rPr>
                <w:color w:val="000000"/>
                <w:szCs w:val="21"/>
                <w:highlight w:val="none"/>
              </w:rPr>
            </w:pPr>
            <w:r>
              <w:rPr>
                <w:color w:val="000000"/>
                <w:szCs w:val="21"/>
                <w:highlight w:val="none"/>
              </w:rPr>
              <w:t>项目描述</w:t>
            </w:r>
          </w:p>
        </w:tc>
        <w:tc>
          <w:tcPr>
            <w:tcW w:w="7408" w:type="dxa"/>
            <w:noWrap w:val="0"/>
            <w:vAlign w:val="top"/>
          </w:tcPr>
          <w:p w14:paraId="5BE536C7">
            <w:pPr>
              <w:topLinePunct/>
              <w:adjustRightInd w:val="0"/>
              <w:snapToGrid w:val="0"/>
              <w:spacing w:line="560" w:lineRule="exact"/>
              <w:rPr>
                <w:color w:val="000000"/>
                <w:szCs w:val="21"/>
                <w:highlight w:val="none"/>
              </w:rPr>
            </w:pPr>
          </w:p>
          <w:p w14:paraId="0496786C">
            <w:pPr>
              <w:topLinePunct/>
              <w:adjustRightInd w:val="0"/>
              <w:snapToGrid w:val="0"/>
              <w:spacing w:line="560" w:lineRule="exact"/>
              <w:rPr>
                <w:color w:val="000000"/>
                <w:szCs w:val="21"/>
                <w:highlight w:val="none"/>
              </w:rPr>
            </w:pPr>
          </w:p>
          <w:p w14:paraId="7B76DA92">
            <w:pPr>
              <w:topLinePunct/>
              <w:adjustRightInd w:val="0"/>
              <w:snapToGrid w:val="0"/>
              <w:spacing w:line="560" w:lineRule="exact"/>
              <w:rPr>
                <w:color w:val="000000"/>
                <w:szCs w:val="21"/>
                <w:highlight w:val="none"/>
              </w:rPr>
            </w:pPr>
          </w:p>
          <w:p w14:paraId="5B2F8BC2">
            <w:pPr>
              <w:topLinePunct/>
              <w:adjustRightInd w:val="0"/>
              <w:snapToGrid w:val="0"/>
              <w:spacing w:line="560" w:lineRule="exact"/>
              <w:rPr>
                <w:color w:val="000000"/>
                <w:szCs w:val="21"/>
                <w:highlight w:val="none"/>
              </w:rPr>
            </w:pPr>
          </w:p>
          <w:p w14:paraId="34EA2BD9">
            <w:pPr>
              <w:topLinePunct/>
              <w:adjustRightInd w:val="0"/>
              <w:snapToGrid w:val="0"/>
              <w:spacing w:line="560" w:lineRule="exact"/>
              <w:rPr>
                <w:color w:val="000000"/>
                <w:szCs w:val="21"/>
                <w:highlight w:val="none"/>
              </w:rPr>
            </w:pPr>
          </w:p>
          <w:p w14:paraId="6D80FE11">
            <w:pPr>
              <w:topLinePunct/>
              <w:adjustRightInd w:val="0"/>
              <w:snapToGrid w:val="0"/>
              <w:spacing w:line="560" w:lineRule="exact"/>
              <w:rPr>
                <w:color w:val="000000"/>
                <w:szCs w:val="21"/>
                <w:highlight w:val="none"/>
              </w:rPr>
            </w:pPr>
          </w:p>
          <w:p w14:paraId="4076F621">
            <w:pPr>
              <w:topLinePunct/>
              <w:adjustRightInd w:val="0"/>
              <w:snapToGrid w:val="0"/>
              <w:spacing w:line="560" w:lineRule="exact"/>
              <w:rPr>
                <w:color w:val="000000"/>
                <w:szCs w:val="21"/>
                <w:highlight w:val="none"/>
              </w:rPr>
            </w:pPr>
          </w:p>
        </w:tc>
      </w:tr>
      <w:tr w14:paraId="762A5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2452" w:type="dxa"/>
            <w:noWrap w:val="0"/>
            <w:vAlign w:val="center"/>
          </w:tcPr>
          <w:p w14:paraId="6A122B58">
            <w:pPr>
              <w:topLinePunct/>
              <w:adjustRightInd w:val="0"/>
              <w:snapToGrid w:val="0"/>
              <w:spacing w:line="560" w:lineRule="exact"/>
              <w:jc w:val="center"/>
              <w:rPr>
                <w:color w:val="000000"/>
                <w:szCs w:val="21"/>
                <w:highlight w:val="none"/>
              </w:rPr>
            </w:pPr>
            <w:r>
              <w:rPr>
                <w:color w:val="000000"/>
                <w:szCs w:val="21"/>
                <w:highlight w:val="none"/>
              </w:rPr>
              <w:t>备注</w:t>
            </w:r>
          </w:p>
        </w:tc>
        <w:tc>
          <w:tcPr>
            <w:tcW w:w="7408" w:type="dxa"/>
            <w:noWrap w:val="0"/>
            <w:vAlign w:val="top"/>
          </w:tcPr>
          <w:p w14:paraId="54DA476F">
            <w:pPr>
              <w:topLinePunct/>
              <w:adjustRightInd w:val="0"/>
              <w:snapToGrid w:val="0"/>
              <w:spacing w:line="560" w:lineRule="exact"/>
              <w:rPr>
                <w:color w:val="000000"/>
                <w:szCs w:val="21"/>
                <w:highlight w:val="none"/>
              </w:rPr>
            </w:pPr>
          </w:p>
        </w:tc>
      </w:tr>
    </w:tbl>
    <w:p w14:paraId="7642BCB7">
      <w:pPr>
        <w:pStyle w:val="4"/>
        <w:adjustRightInd w:val="0"/>
        <w:snapToGrid w:val="0"/>
        <w:spacing w:before="0" w:after="0" w:line="560" w:lineRule="exact"/>
        <w:jc w:val="center"/>
        <w:rPr>
          <w:color w:val="000000"/>
          <w:highlight w:val="none"/>
        </w:rPr>
      </w:pPr>
      <w:bookmarkStart w:id="931" w:name="_Toc95223537"/>
      <w:r>
        <w:rPr>
          <w:rFonts w:hint="eastAsia"/>
          <w:color w:val="000000"/>
          <w:highlight w:val="none"/>
        </w:rPr>
        <w:t>（5）联合体协议书（如有）</w:t>
      </w:r>
      <w:bookmarkEnd w:id="931"/>
    </w:p>
    <w:p w14:paraId="45CF5702">
      <w:pPr>
        <w:adjustRightInd w:val="0"/>
        <w:snapToGrid w:val="0"/>
        <w:spacing w:line="520" w:lineRule="exact"/>
        <w:ind w:firstLine="422" w:firstLineChars="200"/>
        <w:jc w:val="left"/>
        <w:rPr>
          <w:rFonts w:ascii="宋体" w:hAnsi="宋体"/>
          <w:color w:val="000000"/>
          <w:szCs w:val="21"/>
          <w:highlight w:val="none"/>
        </w:rPr>
      </w:pPr>
      <w:r>
        <w:rPr>
          <w:rFonts w:hint="eastAsia" w:ascii="宋体" w:hAnsi="宋体"/>
          <w:b/>
          <w:color w:val="000000"/>
          <w:szCs w:val="21"/>
          <w:highlight w:val="none"/>
          <w:u w:val="single"/>
        </w:rPr>
        <w:t xml:space="preserve">                </w:t>
      </w:r>
      <w:r>
        <w:rPr>
          <w:rFonts w:hint="eastAsia" w:ascii="宋体" w:hAnsi="宋体"/>
          <w:color w:val="000000"/>
          <w:szCs w:val="21"/>
          <w:highlight w:val="none"/>
        </w:rPr>
        <w:t>（所有成员单位名</w:t>
      </w:r>
      <w:bookmarkStart w:id="932" w:name="_Toc506107345"/>
      <w:bookmarkStart w:id="933" w:name="_Toc60061579"/>
      <w:bookmarkStart w:id="934" w:name="_Toc58229120"/>
      <w:bookmarkStart w:id="935" w:name="_Toc15058939"/>
      <w:bookmarkStart w:id="936" w:name="_Toc152045803"/>
      <w:bookmarkStart w:id="937" w:name="_Toc144974871"/>
      <w:bookmarkStart w:id="938" w:name="_Toc179632823"/>
      <w:bookmarkStart w:id="939" w:name="_Toc152042592"/>
      <w:r>
        <w:rPr>
          <w:rFonts w:hint="eastAsia" w:ascii="宋体" w:hAnsi="宋体"/>
          <w:color w:val="000000"/>
          <w:szCs w:val="21"/>
          <w:highlight w:val="none"/>
        </w:rPr>
        <w:t xml:space="preserve">称）自愿组成 </w:t>
      </w:r>
      <w:r>
        <w:rPr>
          <w:rFonts w:hint="eastAsia" w:ascii="宋体" w:hAnsi="宋体"/>
          <w:color w:val="000000"/>
          <w:szCs w:val="21"/>
          <w:highlight w:val="none"/>
          <w:u w:val="single"/>
        </w:rPr>
        <w:t xml:space="preserve">  </w:t>
      </w:r>
      <w:bookmarkEnd w:id="932"/>
      <w:r>
        <w:rPr>
          <w:rFonts w:hint="eastAsia" w:ascii="宋体" w:hAnsi="宋体"/>
          <w:color w:val="000000"/>
          <w:szCs w:val="21"/>
          <w:highlight w:val="none"/>
          <w:u w:val="single"/>
        </w:rPr>
        <w:t xml:space="preserve">    </w:t>
      </w:r>
      <w:bookmarkEnd w:id="933"/>
      <w:bookmarkEnd w:id="934"/>
      <w:bookmarkEnd w:id="935"/>
      <w:r>
        <w:rPr>
          <w:rFonts w:hint="eastAsia" w:ascii="宋体" w:hAnsi="宋体"/>
          <w:color w:val="000000"/>
          <w:szCs w:val="21"/>
          <w:highlight w:val="none"/>
          <w:u w:val="single"/>
        </w:rPr>
        <w:t xml:space="preserve">   </w:t>
      </w:r>
      <w:r>
        <w:rPr>
          <w:rFonts w:hint="eastAsia" w:ascii="宋体" w:hAnsi="宋体"/>
          <w:color w:val="000000"/>
          <w:szCs w:val="21"/>
          <w:highlight w:val="none"/>
        </w:rPr>
        <w:t>（联合体名称）联合体，共同参加</w:t>
      </w:r>
      <w:r>
        <w:rPr>
          <w:rFonts w:hint="eastAsia" w:ascii="宋体" w:hAnsi="宋体"/>
          <w:b/>
          <w:color w:val="000000"/>
          <w:szCs w:val="21"/>
          <w:highlight w:val="none"/>
          <w:u w:val="single"/>
        </w:rPr>
        <w:t xml:space="preserve">             </w:t>
      </w:r>
      <w:r>
        <w:rPr>
          <w:rFonts w:hint="eastAsia" w:ascii="宋体" w:hAnsi="宋体"/>
          <w:color w:val="000000"/>
          <w:szCs w:val="21"/>
          <w:highlight w:val="none"/>
        </w:rPr>
        <w:t>（项目名称）</w:t>
      </w:r>
      <w:r>
        <w:rPr>
          <w:rFonts w:hint="eastAsia" w:ascii="宋体" w:hAnsi="宋体"/>
          <w:color w:val="000000"/>
          <w:szCs w:val="21"/>
          <w:highlight w:val="none"/>
          <w:u w:val="single"/>
        </w:rPr>
        <w:t xml:space="preserve">       </w:t>
      </w:r>
      <w:r>
        <w:rPr>
          <w:rFonts w:hint="eastAsia" w:ascii="宋体" w:hAnsi="宋体"/>
          <w:color w:val="000000"/>
          <w:szCs w:val="21"/>
          <w:highlight w:val="none"/>
        </w:rPr>
        <w:t>标段施工投标。现就联合体投标事宜订立如下协议：</w:t>
      </w:r>
    </w:p>
    <w:p w14:paraId="48A3ED52">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1.</w:t>
      </w:r>
      <w:r>
        <w:rPr>
          <w:rFonts w:hint="eastAsia" w:ascii="宋体" w:hAnsi="宋体"/>
          <w:color w:val="000000"/>
          <w:szCs w:val="21"/>
          <w:highlight w:val="none"/>
          <w:u w:val="single"/>
        </w:rPr>
        <w:t xml:space="preserve">             </w:t>
      </w:r>
      <w:r>
        <w:rPr>
          <w:rFonts w:hint="eastAsia" w:ascii="宋体" w:hAnsi="宋体"/>
          <w:color w:val="000000"/>
          <w:szCs w:val="21"/>
          <w:highlight w:val="none"/>
        </w:rPr>
        <w:t>（某成员单位名称）为</w:t>
      </w:r>
      <w:r>
        <w:rPr>
          <w:rFonts w:hint="eastAsia" w:ascii="宋体" w:hAnsi="宋体"/>
          <w:color w:val="000000"/>
          <w:szCs w:val="21"/>
          <w:highlight w:val="none"/>
          <w:u w:val="single"/>
        </w:rPr>
        <w:t xml:space="preserve">             </w:t>
      </w:r>
      <w:r>
        <w:rPr>
          <w:rFonts w:hint="eastAsia" w:ascii="宋体" w:hAnsi="宋体"/>
          <w:color w:val="000000"/>
          <w:szCs w:val="21"/>
          <w:highlight w:val="none"/>
        </w:rPr>
        <w:t>（联合体名称）牵头人。</w:t>
      </w:r>
    </w:p>
    <w:p w14:paraId="6D0AED61">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2.联合体牵头人合法代表联合体各成员负责本招标项目投标文件编制和合同谈判活动，并代表联合体提交和接收相关的资料、信息及指示，并处理与之有关的一切事务，负责合同实施阶段的主办、组织和协议工作。</w:t>
      </w:r>
    </w:p>
    <w:p w14:paraId="4BA332E1">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3.联合体将严格按照招标文件的各项要求，递交投标文件，履行合同，并对外承担连带责任。</w:t>
      </w:r>
    </w:p>
    <w:p w14:paraId="19F8EAD3">
      <w:pPr>
        <w:adjustRightInd w:val="0"/>
        <w:snapToGrid w:val="0"/>
        <w:spacing w:line="520" w:lineRule="exact"/>
        <w:ind w:firstLine="420" w:firstLineChars="200"/>
        <w:rPr>
          <w:rFonts w:ascii="宋体" w:hAnsi="宋体"/>
          <w:color w:val="000000"/>
          <w:szCs w:val="21"/>
          <w:highlight w:val="none"/>
          <w:u w:val="single"/>
        </w:rPr>
      </w:pPr>
      <w:r>
        <w:rPr>
          <w:rFonts w:hint="eastAsia" w:ascii="宋体" w:hAnsi="宋体"/>
          <w:color w:val="000000"/>
          <w:szCs w:val="21"/>
          <w:highlight w:val="none"/>
        </w:rPr>
        <w:t>4.联合体各成员单位内部的职责分工如下：</w:t>
      </w:r>
      <w:r>
        <w:rPr>
          <w:rFonts w:hint="eastAsia" w:ascii="宋体" w:hAnsi="宋体"/>
          <w:color w:val="000000"/>
          <w:szCs w:val="21"/>
          <w:highlight w:val="none"/>
          <w:u w:val="single"/>
        </w:rPr>
        <w:t xml:space="preserve">  </w:t>
      </w:r>
    </w:p>
    <w:p w14:paraId="34A8C685">
      <w:pPr>
        <w:pStyle w:val="36"/>
        <w:snapToGrid w:val="0"/>
        <w:spacing w:line="520" w:lineRule="exact"/>
        <w:ind w:firstLine="525" w:firstLineChars="250"/>
        <w:rPr>
          <w:rFonts w:cs="Times New Roman"/>
          <w:sz w:val="21"/>
          <w:szCs w:val="21"/>
          <w:highlight w:val="none"/>
        </w:rPr>
      </w:pPr>
      <w:r>
        <w:rPr>
          <w:rFonts w:cs="Times New Roman"/>
          <w:sz w:val="21"/>
          <w:szCs w:val="21"/>
          <w:highlight w:val="none"/>
        </w:rPr>
        <w:t>牵头人</w:t>
      </w:r>
      <w:r>
        <w:rPr>
          <w:rFonts w:hint="eastAsia" w:cs="Times New Roman"/>
          <w:sz w:val="21"/>
          <w:szCs w:val="21"/>
          <w:highlight w:val="none"/>
        </w:rPr>
        <w:t>（成员一）</w:t>
      </w:r>
      <w:r>
        <w:rPr>
          <w:rFonts w:cs="Times New Roman"/>
          <w:sz w:val="21"/>
          <w:szCs w:val="21"/>
          <w:highlight w:val="none"/>
        </w:rPr>
        <w:t>名称</w:t>
      </w:r>
      <w:r>
        <w:rPr>
          <w:rFonts w:cs="Times New Roman"/>
          <w:sz w:val="21"/>
          <w:szCs w:val="21"/>
          <w:highlight w:val="none"/>
          <w:u w:val="single"/>
        </w:rPr>
        <w:t>：</w:t>
      </w:r>
      <w:r>
        <w:rPr>
          <w:rFonts w:hint="eastAsia" w:cs="Times New Roman"/>
          <w:sz w:val="21"/>
          <w:szCs w:val="21"/>
          <w:highlight w:val="none"/>
          <w:u w:val="single"/>
        </w:rPr>
        <w:t xml:space="preserve">           </w:t>
      </w:r>
      <w:r>
        <w:rPr>
          <w:rFonts w:cs="Times New Roman"/>
          <w:sz w:val="21"/>
          <w:szCs w:val="21"/>
          <w:highlight w:val="none"/>
          <w:u w:val="single"/>
        </w:rPr>
        <w:t xml:space="preserve"> </w:t>
      </w:r>
      <w:r>
        <w:rPr>
          <w:rFonts w:cs="Times New Roman"/>
          <w:sz w:val="21"/>
          <w:szCs w:val="21"/>
          <w:highlight w:val="none"/>
        </w:rPr>
        <w:t>，具有</w:t>
      </w:r>
      <w:r>
        <w:rPr>
          <w:rFonts w:cs="Times New Roman"/>
          <w:sz w:val="21"/>
          <w:szCs w:val="21"/>
          <w:highlight w:val="none"/>
          <w:u w:val="single"/>
        </w:rPr>
        <w:t xml:space="preserve"> </w:t>
      </w:r>
      <w:r>
        <w:rPr>
          <w:rFonts w:hint="eastAsia" w:cs="Times New Roman"/>
          <w:sz w:val="21"/>
          <w:szCs w:val="21"/>
          <w:highlight w:val="none"/>
          <w:u w:val="single"/>
        </w:rPr>
        <w:t xml:space="preserve">           </w:t>
      </w:r>
      <w:r>
        <w:rPr>
          <w:rFonts w:cs="Times New Roman"/>
          <w:sz w:val="21"/>
          <w:szCs w:val="21"/>
          <w:highlight w:val="none"/>
          <w:u w:val="single"/>
        </w:rPr>
        <w:t>资</w:t>
      </w:r>
      <w:r>
        <w:rPr>
          <w:rFonts w:cs="Times New Roman"/>
          <w:sz w:val="21"/>
          <w:szCs w:val="21"/>
          <w:highlight w:val="none"/>
        </w:rPr>
        <w:t>格，</w:t>
      </w:r>
      <w:r>
        <w:rPr>
          <w:rFonts w:hint="eastAsia" w:cs="Times New Roman"/>
          <w:sz w:val="21"/>
          <w:szCs w:val="21"/>
          <w:highlight w:val="none"/>
        </w:rPr>
        <w:t>负责</w:t>
      </w:r>
      <w:r>
        <w:rPr>
          <w:rFonts w:cs="Times New Roman"/>
          <w:sz w:val="21"/>
          <w:szCs w:val="21"/>
          <w:highlight w:val="none"/>
        </w:rPr>
        <w:t>承担</w:t>
      </w:r>
      <w:r>
        <w:rPr>
          <w:rFonts w:cs="Times New Roman"/>
          <w:sz w:val="21"/>
          <w:szCs w:val="21"/>
          <w:highlight w:val="none"/>
          <w:u w:val="single"/>
        </w:rPr>
        <w:t xml:space="preserve"> </w:t>
      </w:r>
      <w:r>
        <w:rPr>
          <w:rFonts w:hint="eastAsia" w:cs="Times New Roman"/>
          <w:sz w:val="21"/>
          <w:szCs w:val="21"/>
          <w:highlight w:val="none"/>
          <w:u w:val="single"/>
        </w:rPr>
        <w:t xml:space="preserve">       部分</w:t>
      </w:r>
      <w:r>
        <w:rPr>
          <w:rFonts w:cs="Times New Roman"/>
          <w:sz w:val="21"/>
          <w:szCs w:val="21"/>
          <w:highlight w:val="none"/>
        </w:rPr>
        <w:t>专业工程</w:t>
      </w:r>
      <w:r>
        <w:rPr>
          <w:rFonts w:hint="eastAsia" w:cs="Times New Roman"/>
          <w:sz w:val="21"/>
          <w:szCs w:val="21"/>
          <w:highlight w:val="none"/>
        </w:rPr>
        <w:t>施工</w:t>
      </w:r>
      <w:r>
        <w:rPr>
          <w:rFonts w:hint="eastAsia" w:cs="Times New Roman"/>
          <w:sz w:val="21"/>
          <w:szCs w:val="21"/>
          <w:highlight w:val="none"/>
          <w:u w:val="single"/>
        </w:rPr>
        <w:t>，</w:t>
      </w:r>
      <w:r>
        <w:rPr>
          <w:rFonts w:hint="eastAsia" w:cs="Times New Roman"/>
          <w:sz w:val="21"/>
          <w:szCs w:val="21"/>
          <w:highlight w:val="none"/>
        </w:rPr>
        <w:t>负责内容的合同金额占总合同金额的百分比</w:t>
      </w:r>
      <w:r>
        <w:rPr>
          <w:rFonts w:hint="eastAsia" w:cs="Times New Roman"/>
          <w:sz w:val="21"/>
          <w:szCs w:val="21"/>
          <w:highlight w:val="none"/>
          <w:u w:val="single"/>
        </w:rPr>
        <w:t xml:space="preserve">      </w:t>
      </w:r>
      <w:r>
        <w:rPr>
          <w:rFonts w:hint="eastAsia"/>
          <w:szCs w:val="21"/>
          <w:highlight w:val="none"/>
        </w:rPr>
        <w:t>%</w:t>
      </w:r>
      <w:r>
        <w:rPr>
          <w:szCs w:val="21"/>
          <w:highlight w:val="none"/>
        </w:rPr>
        <w:t>；</w:t>
      </w:r>
      <w:r>
        <w:rPr>
          <w:rFonts w:cs="Times New Roman"/>
          <w:sz w:val="21"/>
          <w:szCs w:val="21"/>
          <w:highlight w:val="none"/>
        </w:rPr>
        <w:t xml:space="preserve"> </w:t>
      </w:r>
    </w:p>
    <w:p w14:paraId="56FE5C71">
      <w:pPr>
        <w:adjustRightInd w:val="0"/>
        <w:snapToGrid w:val="0"/>
        <w:spacing w:line="520" w:lineRule="exact"/>
        <w:ind w:firstLine="630" w:firstLineChars="300"/>
        <w:rPr>
          <w:rFonts w:ascii="宋体" w:hAnsi="宋体"/>
          <w:color w:val="000000"/>
          <w:szCs w:val="21"/>
          <w:highlight w:val="none"/>
        </w:rPr>
      </w:pPr>
      <w:r>
        <w:rPr>
          <w:color w:val="000000"/>
          <w:szCs w:val="21"/>
          <w:highlight w:val="none"/>
        </w:rPr>
        <w:t>成员</w:t>
      </w:r>
      <w:r>
        <w:rPr>
          <w:rFonts w:hint="eastAsia"/>
          <w:color w:val="000000"/>
          <w:szCs w:val="21"/>
          <w:highlight w:val="none"/>
        </w:rPr>
        <w:t>二</w:t>
      </w:r>
      <w:r>
        <w:rPr>
          <w:color w:val="000000"/>
          <w:szCs w:val="21"/>
          <w:highlight w:val="none"/>
        </w:rPr>
        <w:t>名称</w:t>
      </w:r>
      <w:r>
        <w:rPr>
          <w:color w:val="000000"/>
          <w:szCs w:val="21"/>
          <w:highlight w:val="none"/>
          <w:u w:val="single"/>
        </w:rPr>
        <w:t>：</w:t>
      </w:r>
      <w:r>
        <w:rPr>
          <w:rFonts w:hint="eastAsia"/>
          <w:color w:val="000000"/>
          <w:szCs w:val="21"/>
          <w:highlight w:val="none"/>
          <w:u w:val="single"/>
        </w:rPr>
        <w:t xml:space="preserve">          </w:t>
      </w:r>
      <w:r>
        <w:rPr>
          <w:color w:val="000000"/>
          <w:szCs w:val="21"/>
          <w:highlight w:val="none"/>
          <w:u w:val="single"/>
        </w:rPr>
        <w:t xml:space="preserve"> </w:t>
      </w:r>
      <w:r>
        <w:rPr>
          <w:color w:val="000000"/>
          <w:szCs w:val="21"/>
          <w:highlight w:val="none"/>
        </w:rPr>
        <w:t>，具有</w:t>
      </w:r>
      <w:r>
        <w:rPr>
          <w:color w:val="000000"/>
          <w:szCs w:val="21"/>
          <w:highlight w:val="none"/>
          <w:u w:val="single"/>
        </w:rPr>
        <w:t xml:space="preserve"> </w:t>
      </w:r>
      <w:r>
        <w:rPr>
          <w:rFonts w:hint="eastAsia"/>
          <w:color w:val="000000"/>
          <w:szCs w:val="21"/>
          <w:highlight w:val="none"/>
          <w:u w:val="single"/>
        </w:rPr>
        <w:t xml:space="preserve">           </w:t>
      </w:r>
      <w:r>
        <w:rPr>
          <w:color w:val="000000"/>
          <w:szCs w:val="21"/>
          <w:highlight w:val="none"/>
          <w:u w:val="single"/>
        </w:rPr>
        <w:t>资</w:t>
      </w:r>
      <w:r>
        <w:rPr>
          <w:color w:val="000000"/>
          <w:szCs w:val="21"/>
          <w:highlight w:val="none"/>
        </w:rPr>
        <w:t>格，</w:t>
      </w:r>
      <w:r>
        <w:rPr>
          <w:rFonts w:hint="eastAsia"/>
          <w:color w:val="000000"/>
          <w:szCs w:val="21"/>
          <w:highlight w:val="none"/>
        </w:rPr>
        <w:t>负责</w:t>
      </w:r>
      <w:r>
        <w:rPr>
          <w:color w:val="000000"/>
          <w:szCs w:val="21"/>
          <w:highlight w:val="none"/>
        </w:rPr>
        <w:t>承</w:t>
      </w:r>
      <w:r>
        <w:rPr>
          <w:color w:val="000000"/>
          <w:szCs w:val="21"/>
          <w:highlight w:val="none"/>
          <w:u w:val="single"/>
        </w:rPr>
        <w:t xml:space="preserve">担 </w:t>
      </w:r>
      <w:r>
        <w:rPr>
          <w:rFonts w:hint="eastAsia"/>
          <w:color w:val="000000"/>
          <w:szCs w:val="21"/>
          <w:highlight w:val="none"/>
          <w:u w:val="single"/>
        </w:rPr>
        <w:t xml:space="preserve">          部分</w:t>
      </w:r>
      <w:r>
        <w:rPr>
          <w:color w:val="000000"/>
          <w:szCs w:val="21"/>
          <w:highlight w:val="none"/>
          <w:u w:val="single"/>
        </w:rPr>
        <w:t>专业</w:t>
      </w:r>
      <w:r>
        <w:rPr>
          <w:color w:val="000000"/>
          <w:szCs w:val="21"/>
          <w:highlight w:val="none"/>
        </w:rPr>
        <w:t>工程</w:t>
      </w:r>
      <w:r>
        <w:rPr>
          <w:rFonts w:hint="eastAsia"/>
          <w:color w:val="000000"/>
          <w:szCs w:val="21"/>
          <w:highlight w:val="none"/>
        </w:rPr>
        <w:t>施工，负责内容的合同金额占总合同金额的百分比</w:t>
      </w:r>
      <w:r>
        <w:rPr>
          <w:color w:val="000000"/>
          <w:szCs w:val="21"/>
          <w:highlight w:val="none"/>
          <w:u w:val="single"/>
        </w:rPr>
        <w:t xml:space="preserve">    </w:t>
      </w:r>
      <w:r>
        <w:rPr>
          <w:rFonts w:hint="eastAsia"/>
          <w:color w:val="000000"/>
          <w:szCs w:val="21"/>
          <w:highlight w:val="none"/>
        </w:rPr>
        <w:t>%</w:t>
      </w:r>
      <w:r>
        <w:rPr>
          <w:color w:val="000000"/>
          <w:szCs w:val="21"/>
          <w:highlight w:val="none"/>
        </w:rPr>
        <w:t>；</w:t>
      </w:r>
      <w:r>
        <w:rPr>
          <w:rFonts w:hint="eastAsia" w:ascii="宋体" w:hAnsi="宋体"/>
          <w:color w:val="000000"/>
          <w:szCs w:val="21"/>
          <w:highlight w:val="none"/>
        </w:rPr>
        <w:t xml:space="preserve">               </w:t>
      </w:r>
    </w:p>
    <w:p w14:paraId="61593B00">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5.本协议书自签署之日起生效，合同履行完毕后自动失效。</w:t>
      </w:r>
    </w:p>
    <w:p w14:paraId="5FB9BCBE">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6.联合体中标后，本联合体协议是合同的附件，对联合体各成员单位有合同约束力。</w:t>
      </w:r>
    </w:p>
    <w:p w14:paraId="0F78414B">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7.本协议书一式</w:t>
      </w:r>
      <w:r>
        <w:rPr>
          <w:rFonts w:hint="eastAsia" w:ascii="宋体" w:hAnsi="宋体"/>
          <w:color w:val="000000"/>
          <w:szCs w:val="21"/>
          <w:highlight w:val="none"/>
          <w:u w:val="single"/>
        </w:rPr>
        <w:t xml:space="preserve">          </w:t>
      </w:r>
      <w:r>
        <w:rPr>
          <w:rFonts w:hint="eastAsia" w:ascii="宋体" w:hAnsi="宋体"/>
          <w:color w:val="000000"/>
          <w:szCs w:val="21"/>
          <w:highlight w:val="none"/>
        </w:rPr>
        <w:t>份，联合体成员和招标人各执一份。</w:t>
      </w:r>
    </w:p>
    <w:p w14:paraId="67D1F849">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注：本协议由委托代理人签字的，应附法定代表人签字的授权委托书。</w:t>
      </w:r>
    </w:p>
    <w:p w14:paraId="7809C467">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 xml:space="preserve">                             牵头人（成员一）名称：</w:t>
      </w:r>
      <w:r>
        <w:rPr>
          <w:rFonts w:hint="eastAsia" w:ascii="宋体" w:hAnsi="宋体"/>
          <w:color w:val="000000"/>
          <w:szCs w:val="21"/>
          <w:highlight w:val="none"/>
          <w:u w:val="single"/>
        </w:rPr>
        <w:t xml:space="preserve">                         </w:t>
      </w:r>
      <w:r>
        <w:rPr>
          <w:rFonts w:hint="eastAsia" w:ascii="宋体" w:hAnsi="宋体"/>
          <w:color w:val="000000"/>
          <w:szCs w:val="21"/>
          <w:highlight w:val="none"/>
        </w:rPr>
        <w:t>（签章）</w:t>
      </w:r>
    </w:p>
    <w:p w14:paraId="1AD6BE28">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 xml:space="preserve">                             法定代表人：</w:t>
      </w:r>
      <w:r>
        <w:rPr>
          <w:rFonts w:hint="eastAsia" w:ascii="宋体" w:hAnsi="宋体"/>
          <w:color w:val="000000"/>
          <w:szCs w:val="21"/>
          <w:highlight w:val="none"/>
          <w:u w:val="single"/>
        </w:rPr>
        <w:t xml:space="preserve">               </w:t>
      </w:r>
      <w:r>
        <w:rPr>
          <w:rFonts w:hint="eastAsia" w:ascii="宋体" w:hAnsi="宋体"/>
          <w:color w:val="000000"/>
          <w:szCs w:val="21"/>
          <w:highlight w:val="none"/>
        </w:rPr>
        <w:t>（签章）</w:t>
      </w:r>
    </w:p>
    <w:p w14:paraId="79F389AA">
      <w:pPr>
        <w:adjustRightInd w:val="0"/>
        <w:snapToGrid w:val="0"/>
        <w:spacing w:line="520" w:lineRule="exact"/>
        <w:ind w:firstLine="420" w:firstLineChars="200"/>
        <w:rPr>
          <w:rFonts w:ascii="宋体" w:hAnsi="宋体"/>
          <w:color w:val="000000"/>
          <w:szCs w:val="21"/>
          <w:highlight w:val="none"/>
        </w:rPr>
      </w:pPr>
    </w:p>
    <w:p w14:paraId="054438E7">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 xml:space="preserve">                             成员二名称：</w:t>
      </w:r>
      <w:r>
        <w:rPr>
          <w:rFonts w:hint="eastAsia" w:ascii="宋体" w:hAnsi="宋体"/>
          <w:color w:val="000000"/>
          <w:szCs w:val="21"/>
          <w:highlight w:val="none"/>
          <w:u w:val="single"/>
        </w:rPr>
        <w:t xml:space="preserve">                         </w:t>
      </w:r>
      <w:r>
        <w:rPr>
          <w:rFonts w:hint="eastAsia" w:ascii="宋体" w:hAnsi="宋体"/>
          <w:color w:val="000000"/>
          <w:szCs w:val="21"/>
          <w:highlight w:val="none"/>
        </w:rPr>
        <w:t>（签章）</w:t>
      </w:r>
    </w:p>
    <w:p w14:paraId="27E2F6E2">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 xml:space="preserve">                             法定代表人：</w:t>
      </w:r>
      <w:r>
        <w:rPr>
          <w:rFonts w:hint="eastAsia" w:ascii="宋体" w:hAnsi="宋体"/>
          <w:color w:val="000000"/>
          <w:szCs w:val="21"/>
          <w:highlight w:val="none"/>
          <w:u w:val="single"/>
        </w:rPr>
        <w:t xml:space="preserve">               </w:t>
      </w:r>
      <w:r>
        <w:rPr>
          <w:rFonts w:hint="eastAsia" w:ascii="宋体" w:hAnsi="宋体"/>
          <w:color w:val="000000"/>
          <w:szCs w:val="21"/>
          <w:highlight w:val="none"/>
        </w:rPr>
        <w:t>（签章）</w:t>
      </w:r>
    </w:p>
    <w:p w14:paraId="110BD0E3">
      <w:pPr>
        <w:adjustRightInd w:val="0"/>
        <w:snapToGrid w:val="0"/>
        <w:spacing w:line="520" w:lineRule="exact"/>
        <w:ind w:firstLine="420" w:firstLineChars="200"/>
        <w:rPr>
          <w:rFonts w:ascii="宋体" w:hAnsi="宋体"/>
          <w:color w:val="000000"/>
          <w:szCs w:val="21"/>
          <w:highlight w:val="none"/>
        </w:rPr>
      </w:pPr>
    </w:p>
    <w:p w14:paraId="776F4A6C">
      <w:pPr>
        <w:adjustRightInd w:val="0"/>
        <w:snapToGrid w:val="0"/>
        <w:spacing w:line="520" w:lineRule="exact"/>
        <w:ind w:firstLine="420" w:firstLineChars="200"/>
        <w:rPr>
          <w:rFonts w:ascii="宋体" w:hAnsi="宋体"/>
          <w:color w:val="000000"/>
          <w:szCs w:val="21"/>
          <w:highlight w:val="none"/>
        </w:rPr>
      </w:pPr>
      <w:r>
        <w:rPr>
          <w:rFonts w:hint="eastAsia" w:ascii="宋体" w:hAnsi="宋体"/>
          <w:color w:val="000000"/>
          <w:szCs w:val="21"/>
          <w:highlight w:val="none"/>
        </w:rPr>
        <w:t xml:space="preserve">                         </w:t>
      </w:r>
    </w:p>
    <w:p w14:paraId="6C223A1B">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 xml:space="preserve">                                </w:t>
      </w:r>
    </w:p>
    <w:p w14:paraId="431544FB">
      <w:pPr>
        <w:adjustRightInd w:val="0"/>
        <w:snapToGrid w:val="0"/>
        <w:spacing w:line="560" w:lineRule="exact"/>
        <w:ind w:firstLine="5775" w:firstLineChars="2750"/>
        <w:rPr>
          <w:rFonts w:ascii="宋体" w:hAnsi="宋体"/>
          <w:color w:val="000000"/>
          <w:szCs w:val="21"/>
          <w:highlight w:val="none"/>
        </w:rPr>
      </w:pPr>
      <w:r>
        <w:rPr>
          <w:rFonts w:hint="eastAsia" w:ascii="宋体" w:hAnsi="宋体"/>
          <w:color w:val="000000"/>
          <w:szCs w:val="21"/>
          <w:highlight w:val="non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46D49F91">
      <w:pPr>
        <w:rPr>
          <w:highlight w:val="none"/>
        </w:rPr>
      </w:pPr>
    </w:p>
    <w:bookmarkEnd w:id="936"/>
    <w:bookmarkEnd w:id="937"/>
    <w:bookmarkEnd w:id="938"/>
    <w:bookmarkEnd w:id="939"/>
    <w:p w14:paraId="4ECA708D">
      <w:pPr>
        <w:pStyle w:val="4"/>
        <w:adjustRightInd w:val="0"/>
        <w:snapToGrid w:val="0"/>
        <w:spacing w:before="0" w:after="0" w:line="560" w:lineRule="exact"/>
        <w:jc w:val="center"/>
        <w:rPr>
          <w:color w:val="000000"/>
          <w:highlight w:val="none"/>
        </w:rPr>
        <w:sectPr>
          <w:pgSz w:w="11910" w:h="16840"/>
          <w:pgMar w:top="1060" w:right="660" w:bottom="1020" w:left="1120" w:header="0" w:footer="833" w:gutter="0"/>
          <w:pgBorders>
            <w:top w:val="none" w:sz="0" w:space="0"/>
            <w:left w:val="none" w:sz="0" w:space="0"/>
            <w:bottom w:val="none" w:sz="0" w:space="0"/>
            <w:right w:val="none" w:sz="0" w:space="0"/>
          </w:pgBorders>
          <w:cols w:space="720" w:num="1"/>
        </w:sectPr>
      </w:pPr>
      <w:bookmarkStart w:id="940" w:name="_Toc95223538"/>
    </w:p>
    <w:p w14:paraId="0928AEE5">
      <w:pPr>
        <w:pStyle w:val="4"/>
        <w:adjustRightInd w:val="0"/>
        <w:snapToGrid w:val="0"/>
        <w:spacing w:before="0" w:after="0" w:line="560" w:lineRule="exact"/>
        <w:jc w:val="center"/>
        <w:rPr>
          <w:color w:val="000000"/>
          <w:highlight w:val="none"/>
        </w:rPr>
      </w:pPr>
      <w:r>
        <w:rPr>
          <w:rFonts w:hint="eastAsia"/>
          <w:color w:val="000000"/>
          <w:highlight w:val="none"/>
        </w:rPr>
        <w:t>（6）</w:t>
      </w:r>
      <w:r>
        <w:rPr>
          <w:color w:val="000000"/>
          <w:highlight w:val="none"/>
        </w:rPr>
        <w:t>项目管理机构</w:t>
      </w:r>
    </w:p>
    <w:p w14:paraId="7A1072A9">
      <w:pPr>
        <w:pStyle w:val="5"/>
        <w:jc w:val="center"/>
        <w:rPr>
          <w:color w:val="000000"/>
          <w:highlight w:val="none"/>
        </w:rPr>
      </w:pPr>
      <w:r>
        <w:rPr>
          <w:rFonts w:hint="eastAsia"/>
          <w:color w:val="000000"/>
          <w:highlight w:val="none"/>
        </w:rPr>
        <w:t>附表1：</w:t>
      </w:r>
      <w:r>
        <w:rPr>
          <w:color w:val="000000"/>
          <w:highlight w:val="none"/>
        </w:rPr>
        <w:t>项目管理机构</w:t>
      </w:r>
      <w:r>
        <w:rPr>
          <w:rFonts w:hint="eastAsia"/>
          <w:color w:val="000000"/>
          <w:highlight w:val="none"/>
        </w:rPr>
        <w:t>主要人员</w:t>
      </w:r>
      <w:r>
        <w:rPr>
          <w:color w:val="000000"/>
          <w:highlight w:val="none"/>
        </w:rPr>
        <w:t>组成表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814"/>
        <w:gridCol w:w="812"/>
        <w:gridCol w:w="1220"/>
        <w:gridCol w:w="812"/>
        <w:gridCol w:w="814"/>
        <w:gridCol w:w="811"/>
        <w:gridCol w:w="2848"/>
        <w:gridCol w:w="759"/>
      </w:tblGrid>
      <w:tr w14:paraId="1CAF7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jc w:val="center"/>
        </w:trPr>
        <w:tc>
          <w:tcPr>
            <w:tcW w:w="730" w:type="dxa"/>
            <w:vMerge w:val="restart"/>
            <w:noWrap w:val="0"/>
            <w:vAlign w:val="center"/>
          </w:tcPr>
          <w:p w14:paraId="72A38A73">
            <w:pPr>
              <w:adjustRightInd w:val="0"/>
              <w:snapToGrid w:val="0"/>
              <w:spacing w:line="560" w:lineRule="exact"/>
              <w:jc w:val="center"/>
              <w:rPr>
                <w:color w:val="000000"/>
                <w:szCs w:val="21"/>
                <w:highlight w:val="none"/>
              </w:rPr>
            </w:pPr>
            <w:r>
              <w:rPr>
                <w:color w:val="000000"/>
                <w:szCs w:val="21"/>
                <w:highlight w:val="none"/>
              </w:rPr>
              <w:t>职务</w:t>
            </w:r>
          </w:p>
        </w:tc>
        <w:tc>
          <w:tcPr>
            <w:tcW w:w="814" w:type="dxa"/>
            <w:vMerge w:val="restart"/>
            <w:noWrap w:val="0"/>
            <w:vAlign w:val="center"/>
          </w:tcPr>
          <w:p w14:paraId="2D8D30AE">
            <w:pPr>
              <w:adjustRightInd w:val="0"/>
              <w:snapToGrid w:val="0"/>
              <w:spacing w:line="560" w:lineRule="exact"/>
              <w:jc w:val="center"/>
              <w:rPr>
                <w:color w:val="000000"/>
                <w:szCs w:val="21"/>
                <w:highlight w:val="none"/>
              </w:rPr>
            </w:pPr>
            <w:r>
              <w:rPr>
                <w:color w:val="000000"/>
                <w:szCs w:val="21"/>
                <w:highlight w:val="none"/>
              </w:rPr>
              <w:t>姓名</w:t>
            </w:r>
          </w:p>
        </w:tc>
        <w:tc>
          <w:tcPr>
            <w:tcW w:w="812" w:type="dxa"/>
            <w:vMerge w:val="restart"/>
            <w:noWrap w:val="0"/>
            <w:vAlign w:val="center"/>
          </w:tcPr>
          <w:p w14:paraId="04E6D7F7">
            <w:pPr>
              <w:adjustRightInd w:val="0"/>
              <w:snapToGrid w:val="0"/>
              <w:spacing w:line="560" w:lineRule="exact"/>
              <w:jc w:val="center"/>
              <w:rPr>
                <w:color w:val="000000"/>
                <w:szCs w:val="21"/>
                <w:highlight w:val="none"/>
              </w:rPr>
            </w:pPr>
            <w:r>
              <w:rPr>
                <w:color w:val="000000"/>
                <w:szCs w:val="21"/>
                <w:highlight w:val="none"/>
              </w:rPr>
              <w:t>职称</w:t>
            </w:r>
          </w:p>
        </w:tc>
        <w:tc>
          <w:tcPr>
            <w:tcW w:w="6505" w:type="dxa"/>
            <w:gridSpan w:val="5"/>
            <w:noWrap w:val="0"/>
            <w:vAlign w:val="center"/>
          </w:tcPr>
          <w:p w14:paraId="2E331512">
            <w:pPr>
              <w:adjustRightInd w:val="0"/>
              <w:snapToGrid w:val="0"/>
              <w:spacing w:line="560" w:lineRule="exact"/>
              <w:jc w:val="center"/>
              <w:rPr>
                <w:color w:val="000000"/>
                <w:szCs w:val="21"/>
                <w:highlight w:val="none"/>
              </w:rPr>
            </w:pPr>
            <w:r>
              <w:rPr>
                <w:color w:val="000000"/>
                <w:szCs w:val="21"/>
                <w:highlight w:val="none"/>
              </w:rPr>
              <w:t>执业或职业资格证明</w:t>
            </w:r>
          </w:p>
        </w:tc>
        <w:tc>
          <w:tcPr>
            <w:tcW w:w="759" w:type="dxa"/>
            <w:noWrap w:val="0"/>
            <w:vAlign w:val="center"/>
          </w:tcPr>
          <w:p w14:paraId="03D2C668">
            <w:pPr>
              <w:adjustRightInd w:val="0"/>
              <w:snapToGrid w:val="0"/>
              <w:spacing w:line="560" w:lineRule="exact"/>
              <w:jc w:val="center"/>
              <w:rPr>
                <w:color w:val="000000"/>
                <w:szCs w:val="21"/>
                <w:highlight w:val="none"/>
              </w:rPr>
            </w:pPr>
            <w:r>
              <w:rPr>
                <w:color w:val="000000"/>
                <w:szCs w:val="21"/>
                <w:highlight w:val="none"/>
              </w:rPr>
              <w:t>备注</w:t>
            </w:r>
          </w:p>
        </w:tc>
      </w:tr>
      <w:tr w14:paraId="78EA8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jc w:val="center"/>
        </w:trPr>
        <w:tc>
          <w:tcPr>
            <w:tcW w:w="730" w:type="dxa"/>
            <w:vMerge w:val="continue"/>
            <w:noWrap w:val="0"/>
            <w:vAlign w:val="center"/>
          </w:tcPr>
          <w:p w14:paraId="54D79630">
            <w:pPr>
              <w:adjustRightInd w:val="0"/>
              <w:snapToGrid w:val="0"/>
              <w:spacing w:line="560" w:lineRule="exact"/>
              <w:jc w:val="center"/>
              <w:rPr>
                <w:color w:val="000000"/>
                <w:szCs w:val="21"/>
                <w:highlight w:val="none"/>
              </w:rPr>
            </w:pPr>
          </w:p>
        </w:tc>
        <w:tc>
          <w:tcPr>
            <w:tcW w:w="814" w:type="dxa"/>
            <w:vMerge w:val="continue"/>
            <w:noWrap w:val="0"/>
            <w:vAlign w:val="center"/>
          </w:tcPr>
          <w:p w14:paraId="69C855B0">
            <w:pPr>
              <w:adjustRightInd w:val="0"/>
              <w:snapToGrid w:val="0"/>
              <w:spacing w:line="560" w:lineRule="exact"/>
              <w:jc w:val="center"/>
              <w:rPr>
                <w:color w:val="000000"/>
                <w:szCs w:val="21"/>
                <w:highlight w:val="none"/>
              </w:rPr>
            </w:pPr>
          </w:p>
        </w:tc>
        <w:tc>
          <w:tcPr>
            <w:tcW w:w="812" w:type="dxa"/>
            <w:vMerge w:val="continue"/>
            <w:noWrap w:val="0"/>
            <w:vAlign w:val="center"/>
          </w:tcPr>
          <w:p w14:paraId="6C5CE6F2">
            <w:pPr>
              <w:adjustRightInd w:val="0"/>
              <w:snapToGrid w:val="0"/>
              <w:spacing w:line="560" w:lineRule="exact"/>
              <w:jc w:val="center"/>
              <w:rPr>
                <w:color w:val="000000"/>
                <w:szCs w:val="21"/>
                <w:highlight w:val="none"/>
              </w:rPr>
            </w:pPr>
          </w:p>
        </w:tc>
        <w:tc>
          <w:tcPr>
            <w:tcW w:w="1220" w:type="dxa"/>
            <w:noWrap w:val="0"/>
            <w:vAlign w:val="center"/>
          </w:tcPr>
          <w:p w14:paraId="11575E37">
            <w:pPr>
              <w:adjustRightInd w:val="0"/>
              <w:snapToGrid w:val="0"/>
              <w:spacing w:line="560" w:lineRule="exact"/>
              <w:jc w:val="center"/>
              <w:rPr>
                <w:color w:val="000000"/>
                <w:szCs w:val="21"/>
                <w:highlight w:val="none"/>
              </w:rPr>
            </w:pPr>
            <w:r>
              <w:rPr>
                <w:color w:val="000000"/>
                <w:szCs w:val="21"/>
                <w:highlight w:val="none"/>
              </w:rPr>
              <w:t>证书名称</w:t>
            </w:r>
          </w:p>
        </w:tc>
        <w:tc>
          <w:tcPr>
            <w:tcW w:w="812" w:type="dxa"/>
            <w:noWrap w:val="0"/>
            <w:vAlign w:val="center"/>
          </w:tcPr>
          <w:p w14:paraId="1627BF06">
            <w:pPr>
              <w:adjustRightInd w:val="0"/>
              <w:snapToGrid w:val="0"/>
              <w:spacing w:line="560" w:lineRule="exact"/>
              <w:jc w:val="center"/>
              <w:rPr>
                <w:color w:val="000000"/>
                <w:szCs w:val="21"/>
                <w:highlight w:val="none"/>
              </w:rPr>
            </w:pPr>
            <w:r>
              <w:rPr>
                <w:color w:val="000000"/>
                <w:szCs w:val="21"/>
                <w:highlight w:val="none"/>
              </w:rPr>
              <w:t>级别</w:t>
            </w:r>
          </w:p>
        </w:tc>
        <w:tc>
          <w:tcPr>
            <w:tcW w:w="814" w:type="dxa"/>
            <w:noWrap w:val="0"/>
            <w:vAlign w:val="center"/>
          </w:tcPr>
          <w:p w14:paraId="7448A468">
            <w:pPr>
              <w:adjustRightInd w:val="0"/>
              <w:snapToGrid w:val="0"/>
              <w:spacing w:line="560" w:lineRule="exact"/>
              <w:jc w:val="center"/>
              <w:rPr>
                <w:color w:val="000000"/>
                <w:szCs w:val="21"/>
                <w:highlight w:val="none"/>
              </w:rPr>
            </w:pPr>
            <w:r>
              <w:rPr>
                <w:color w:val="000000"/>
                <w:szCs w:val="21"/>
                <w:highlight w:val="none"/>
              </w:rPr>
              <w:t>证号</w:t>
            </w:r>
          </w:p>
        </w:tc>
        <w:tc>
          <w:tcPr>
            <w:tcW w:w="811" w:type="dxa"/>
            <w:noWrap w:val="0"/>
            <w:vAlign w:val="center"/>
          </w:tcPr>
          <w:p w14:paraId="4F1B14A8">
            <w:pPr>
              <w:adjustRightInd w:val="0"/>
              <w:snapToGrid w:val="0"/>
              <w:spacing w:line="560" w:lineRule="exact"/>
              <w:jc w:val="center"/>
              <w:rPr>
                <w:color w:val="000000"/>
                <w:szCs w:val="21"/>
                <w:highlight w:val="none"/>
              </w:rPr>
            </w:pPr>
            <w:r>
              <w:rPr>
                <w:color w:val="000000"/>
                <w:szCs w:val="21"/>
                <w:highlight w:val="none"/>
              </w:rPr>
              <w:t>专业</w:t>
            </w:r>
          </w:p>
        </w:tc>
        <w:tc>
          <w:tcPr>
            <w:tcW w:w="2848" w:type="dxa"/>
            <w:noWrap w:val="0"/>
            <w:vAlign w:val="center"/>
          </w:tcPr>
          <w:p w14:paraId="71449DD7">
            <w:pPr>
              <w:adjustRightInd w:val="0"/>
              <w:snapToGrid w:val="0"/>
              <w:spacing w:line="560" w:lineRule="exact"/>
              <w:jc w:val="center"/>
              <w:rPr>
                <w:color w:val="000000"/>
                <w:szCs w:val="21"/>
                <w:highlight w:val="none"/>
              </w:rPr>
            </w:pPr>
            <w:r>
              <w:rPr>
                <w:color w:val="000000"/>
                <w:szCs w:val="21"/>
                <w:highlight w:val="none"/>
              </w:rPr>
              <w:t>养老保险</w:t>
            </w:r>
          </w:p>
        </w:tc>
        <w:tc>
          <w:tcPr>
            <w:tcW w:w="759" w:type="dxa"/>
            <w:noWrap w:val="0"/>
            <w:vAlign w:val="center"/>
          </w:tcPr>
          <w:p w14:paraId="5DD75D1C">
            <w:pPr>
              <w:adjustRightInd w:val="0"/>
              <w:snapToGrid w:val="0"/>
              <w:spacing w:line="560" w:lineRule="exact"/>
              <w:jc w:val="center"/>
              <w:rPr>
                <w:color w:val="000000"/>
                <w:szCs w:val="21"/>
                <w:highlight w:val="none"/>
              </w:rPr>
            </w:pPr>
          </w:p>
        </w:tc>
      </w:tr>
      <w:tr w14:paraId="61245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noWrap w:val="0"/>
            <w:vAlign w:val="center"/>
          </w:tcPr>
          <w:p w14:paraId="3F3B1957">
            <w:pPr>
              <w:adjustRightInd w:val="0"/>
              <w:snapToGrid w:val="0"/>
              <w:spacing w:line="560" w:lineRule="exact"/>
              <w:jc w:val="center"/>
              <w:rPr>
                <w:color w:val="000000"/>
                <w:szCs w:val="21"/>
                <w:highlight w:val="none"/>
              </w:rPr>
            </w:pPr>
            <w:r>
              <w:rPr>
                <w:rFonts w:hint="eastAsia"/>
                <w:color w:val="000000"/>
                <w:szCs w:val="21"/>
                <w:highlight w:val="none"/>
              </w:rPr>
              <w:t>项目</w:t>
            </w:r>
            <w:r>
              <w:rPr>
                <w:rFonts w:hint="eastAsia"/>
                <w:color w:val="000000"/>
                <w:szCs w:val="21"/>
                <w:highlight w:val="none"/>
                <w:lang w:val="en-US" w:eastAsia="zh-CN"/>
              </w:rPr>
              <w:t>负责人</w:t>
            </w:r>
            <w:r>
              <w:rPr>
                <w:rFonts w:hint="eastAsia"/>
                <w:color w:val="000000"/>
                <w:szCs w:val="21"/>
                <w:highlight w:val="none"/>
              </w:rPr>
              <w:t>（建造师）</w:t>
            </w:r>
          </w:p>
        </w:tc>
        <w:tc>
          <w:tcPr>
            <w:tcW w:w="814" w:type="dxa"/>
            <w:noWrap w:val="0"/>
            <w:vAlign w:val="center"/>
          </w:tcPr>
          <w:p w14:paraId="74208015">
            <w:pPr>
              <w:adjustRightInd w:val="0"/>
              <w:snapToGrid w:val="0"/>
              <w:spacing w:line="560" w:lineRule="exact"/>
              <w:jc w:val="center"/>
              <w:rPr>
                <w:color w:val="000000"/>
                <w:szCs w:val="21"/>
                <w:highlight w:val="none"/>
              </w:rPr>
            </w:pPr>
          </w:p>
        </w:tc>
        <w:tc>
          <w:tcPr>
            <w:tcW w:w="812" w:type="dxa"/>
            <w:noWrap w:val="0"/>
            <w:vAlign w:val="center"/>
          </w:tcPr>
          <w:p w14:paraId="42911DD4">
            <w:pPr>
              <w:adjustRightInd w:val="0"/>
              <w:snapToGrid w:val="0"/>
              <w:spacing w:line="560" w:lineRule="exact"/>
              <w:jc w:val="center"/>
              <w:rPr>
                <w:color w:val="000000"/>
                <w:szCs w:val="21"/>
                <w:highlight w:val="none"/>
              </w:rPr>
            </w:pPr>
          </w:p>
        </w:tc>
        <w:tc>
          <w:tcPr>
            <w:tcW w:w="1220" w:type="dxa"/>
            <w:noWrap w:val="0"/>
            <w:vAlign w:val="center"/>
          </w:tcPr>
          <w:p w14:paraId="4CA283DB">
            <w:pPr>
              <w:adjustRightInd w:val="0"/>
              <w:snapToGrid w:val="0"/>
              <w:spacing w:line="560" w:lineRule="exact"/>
              <w:jc w:val="center"/>
              <w:rPr>
                <w:color w:val="000000"/>
                <w:szCs w:val="21"/>
                <w:highlight w:val="none"/>
              </w:rPr>
            </w:pPr>
          </w:p>
        </w:tc>
        <w:tc>
          <w:tcPr>
            <w:tcW w:w="812" w:type="dxa"/>
            <w:noWrap w:val="0"/>
            <w:vAlign w:val="center"/>
          </w:tcPr>
          <w:p w14:paraId="2C4F845A">
            <w:pPr>
              <w:adjustRightInd w:val="0"/>
              <w:snapToGrid w:val="0"/>
              <w:spacing w:line="560" w:lineRule="exact"/>
              <w:jc w:val="center"/>
              <w:rPr>
                <w:color w:val="000000"/>
                <w:szCs w:val="21"/>
                <w:highlight w:val="none"/>
              </w:rPr>
            </w:pPr>
          </w:p>
        </w:tc>
        <w:tc>
          <w:tcPr>
            <w:tcW w:w="814" w:type="dxa"/>
            <w:noWrap w:val="0"/>
            <w:vAlign w:val="center"/>
          </w:tcPr>
          <w:p w14:paraId="0C78CE59">
            <w:pPr>
              <w:adjustRightInd w:val="0"/>
              <w:snapToGrid w:val="0"/>
              <w:spacing w:line="560" w:lineRule="exact"/>
              <w:jc w:val="center"/>
              <w:rPr>
                <w:color w:val="000000"/>
                <w:szCs w:val="21"/>
                <w:highlight w:val="none"/>
              </w:rPr>
            </w:pPr>
          </w:p>
        </w:tc>
        <w:tc>
          <w:tcPr>
            <w:tcW w:w="811" w:type="dxa"/>
            <w:noWrap w:val="0"/>
            <w:vAlign w:val="center"/>
          </w:tcPr>
          <w:p w14:paraId="6A4FF876">
            <w:pPr>
              <w:adjustRightInd w:val="0"/>
              <w:snapToGrid w:val="0"/>
              <w:spacing w:line="560" w:lineRule="exact"/>
              <w:jc w:val="center"/>
              <w:rPr>
                <w:color w:val="000000"/>
                <w:szCs w:val="21"/>
                <w:highlight w:val="none"/>
              </w:rPr>
            </w:pPr>
          </w:p>
        </w:tc>
        <w:tc>
          <w:tcPr>
            <w:tcW w:w="2848" w:type="dxa"/>
            <w:noWrap w:val="0"/>
            <w:vAlign w:val="center"/>
          </w:tcPr>
          <w:p w14:paraId="4CAC06D7">
            <w:pPr>
              <w:adjustRightInd w:val="0"/>
              <w:snapToGrid w:val="0"/>
              <w:spacing w:line="560" w:lineRule="exact"/>
              <w:jc w:val="center"/>
              <w:rPr>
                <w:color w:val="000000"/>
                <w:szCs w:val="21"/>
                <w:highlight w:val="none"/>
              </w:rPr>
            </w:pPr>
          </w:p>
        </w:tc>
        <w:tc>
          <w:tcPr>
            <w:tcW w:w="759" w:type="dxa"/>
            <w:noWrap w:val="0"/>
            <w:vAlign w:val="center"/>
          </w:tcPr>
          <w:p w14:paraId="1B883E1D">
            <w:pPr>
              <w:adjustRightInd w:val="0"/>
              <w:snapToGrid w:val="0"/>
              <w:spacing w:line="560" w:lineRule="exact"/>
              <w:jc w:val="center"/>
              <w:rPr>
                <w:color w:val="000000"/>
                <w:szCs w:val="21"/>
                <w:highlight w:val="none"/>
              </w:rPr>
            </w:pPr>
          </w:p>
        </w:tc>
      </w:tr>
      <w:tr w14:paraId="2D65E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noWrap w:val="0"/>
            <w:vAlign w:val="top"/>
          </w:tcPr>
          <w:p w14:paraId="3C09D36C">
            <w:pPr>
              <w:adjustRightInd w:val="0"/>
              <w:snapToGrid w:val="0"/>
              <w:spacing w:line="560" w:lineRule="exact"/>
              <w:jc w:val="center"/>
              <w:rPr>
                <w:color w:val="000000"/>
                <w:szCs w:val="21"/>
                <w:highlight w:val="none"/>
              </w:rPr>
            </w:pPr>
            <w:r>
              <w:rPr>
                <w:rFonts w:hint="eastAsia"/>
                <w:color w:val="000000"/>
                <w:szCs w:val="21"/>
                <w:highlight w:val="none"/>
              </w:rPr>
              <w:t>技术负责人</w:t>
            </w:r>
          </w:p>
        </w:tc>
        <w:tc>
          <w:tcPr>
            <w:tcW w:w="814" w:type="dxa"/>
            <w:noWrap w:val="0"/>
            <w:vAlign w:val="top"/>
          </w:tcPr>
          <w:p w14:paraId="1E3242BF">
            <w:pPr>
              <w:adjustRightInd w:val="0"/>
              <w:snapToGrid w:val="0"/>
              <w:spacing w:line="560" w:lineRule="exact"/>
              <w:jc w:val="center"/>
              <w:rPr>
                <w:color w:val="000000"/>
                <w:szCs w:val="21"/>
                <w:highlight w:val="none"/>
              </w:rPr>
            </w:pPr>
          </w:p>
        </w:tc>
        <w:tc>
          <w:tcPr>
            <w:tcW w:w="812" w:type="dxa"/>
            <w:noWrap w:val="0"/>
            <w:vAlign w:val="top"/>
          </w:tcPr>
          <w:p w14:paraId="350F6A99">
            <w:pPr>
              <w:adjustRightInd w:val="0"/>
              <w:snapToGrid w:val="0"/>
              <w:spacing w:line="560" w:lineRule="exact"/>
              <w:jc w:val="center"/>
              <w:rPr>
                <w:color w:val="000000"/>
                <w:szCs w:val="21"/>
                <w:highlight w:val="none"/>
              </w:rPr>
            </w:pPr>
          </w:p>
        </w:tc>
        <w:tc>
          <w:tcPr>
            <w:tcW w:w="1220" w:type="dxa"/>
            <w:noWrap w:val="0"/>
            <w:vAlign w:val="top"/>
          </w:tcPr>
          <w:p w14:paraId="4480DF25">
            <w:pPr>
              <w:adjustRightInd w:val="0"/>
              <w:snapToGrid w:val="0"/>
              <w:spacing w:line="560" w:lineRule="exact"/>
              <w:jc w:val="center"/>
              <w:rPr>
                <w:color w:val="000000"/>
                <w:szCs w:val="21"/>
                <w:highlight w:val="none"/>
              </w:rPr>
            </w:pPr>
          </w:p>
        </w:tc>
        <w:tc>
          <w:tcPr>
            <w:tcW w:w="812" w:type="dxa"/>
            <w:noWrap w:val="0"/>
            <w:vAlign w:val="top"/>
          </w:tcPr>
          <w:p w14:paraId="010CDEA2">
            <w:pPr>
              <w:adjustRightInd w:val="0"/>
              <w:snapToGrid w:val="0"/>
              <w:spacing w:line="560" w:lineRule="exact"/>
              <w:jc w:val="center"/>
              <w:rPr>
                <w:color w:val="000000"/>
                <w:szCs w:val="21"/>
                <w:highlight w:val="none"/>
              </w:rPr>
            </w:pPr>
          </w:p>
        </w:tc>
        <w:tc>
          <w:tcPr>
            <w:tcW w:w="814" w:type="dxa"/>
            <w:noWrap w:val="0"/>
            <w:vAlign w:val="top"/>
          </w:tcPr>
          <w:p w14:paraId="291E497D">
            <w:pPr>
              <w:adjustRightInd w:val="0"/>
              <w:snapToGrid w:val="0"/>
              <w:spacing w:line="560" w:lineRule="exact"/>
              <w:jc w:val="center"/>
              <w:rPr>
                <w:color w:val="000000"/>
                <w:szCs w:val="21"/>
                <w:highlight w:val="none"/>
              </w:rPr>
            </w:pPr>
          </w:p>
        </w:tc>
        <w:tc>
          <w:tcPr>
            <w:tcW w:w="811" w:type="dxa"/>
            <w:noWrap w:val="0"/>
            <w:vAlign w:val="top"/>
          </w:tcPr>
          <w:p w14:paraId="40524174">
            <w:pPr>
              <w:adjustRightInd w:val="0"/>
              <w:snapToGrid w:val="0"/>
              <w:spacing w:line="560" w:lineRule="exact"/>
              <w:jc w:val="center"/>
              <w:rPr>
                <w:color w:val="000000"/>
                <w:szCs w:val="21"/>
                <w:highlight w:val="none"/>
              </w:rPr>
            </w:pPr>
          </w:p>
        </w:tc>
        <w:tc>
          <w:tcPr>
            <w:tcW w:w="2848" w:type="dxa"/>
            <w:noWrap w:val="0"/>
            <w:vAlign w:val="top"/>
          </w:tcPr>
          <w:p w14:paraId="4D9FB2BB">
            <w:pPr>
              <w:adjustRightInd w:val="0"/>
              <w:snapToGrid w:val="0"/>
              <w:spacing w:line="560" w:lineRule="exact"/>
              <w:jc w:val="center"/>
              <w:rPr>
                <w:color w:val="000000"/>
                <w:szCs w:val="21"/>
                <w:highlight w:val="none"/>
              </w:rPr>
            </w:pPr>
          </w:p>
        </w:tc>
        <w:tc>
          <w:tcPr>
            <w:tcW w:w="759" w:type="dxa"/>
            <w:noWrap w:val="0"/>
            <w:vAlign w:val="top"/>
          </w:tcPr>
          <w:p w14:paraId="7F4BA36C">
            <w:pPr>
              <w:adjustRightInd w:val="0"/>
              <w:snapToGrid w:val="0"/>
              <w:spacing w:line="560" w:lineRule="exact"/>
              <w:jc w:val="center"/>
              <w:rPr>
                <w:color w:val="000000"/>
                <w:szCs w:val="21"/>
                <w:highlight w:val="none"/>
              </w:rPr>
            </w:pPr>
          </w:p>
        </w:tc>
      </w:tr>
      <w:tr w14:paraId="00C97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noWrap w:val="0"/>
            <w:vAlign w:val="top"/>
          </w:tcPr>
          <w:p w14:paraId="6BB4005B">
            <w:pPr>
              <w:adjustRightInd w:val="0"/>
              <w:snapToGrid w:val="0"/>
              <w:spacing w:line="560" w:lineRule="exact"/>
              <w:jc w:val="center"/>
              <w:rPr>
                <w:color w:val="000000"/>
                <w:szCs w:val="21"/>
                <w:highlight w:val="none"/>
              </w:rPr>
            </w:pPr>
          </w:p>
        </w:tc>
        <w:tc>
          <w:tcPr>
            <w:tcW w:w="814" w:type="dxa"/>
            <w:noWrap w:val="0"/>
            <w:vAlign w:val="top"/>
          </w:tcPr>
          <w:p w14:paraId="43585093">
            <w:pPr>
              <w:adjustRightInd w:val="0"/>
              <w:snapToGrid w:val="0"/>
              <w:spacing w:line="560" w:lineRule="exact"/>
              <w:jc w:val="center"/>
              <w:rPr>
                <w:color w:val="000000"/>
                <w:szCs w:val="21"/>
                <w:highlight w:val="none"/>
              </w:rPr>
            </w:pPr>
          </w:p>
        </w:tc>
        <w:tc>
          <w:tcPr>
            <w:tcW w:w="812" w:type="dxa"/>
            <w:noWrap w:val="0"/>
            <w:vAlign w:val="top"/>
          </w:tcPr>
          <w:p w14:paraId="2B39463E">
            <w:pPr>
              <w:adjustRightInd w:val="0"/>
              <w:snapToGrid w:val="0"/>
              <w:spacing w:line="560" w:lineRule="exact"/>
              <w:jc w:val="center"/>
              <w:rPr>
                <w:color w:val="000000"/>
                <w:szCs w:val="21"/>
                <w:highlight w:val="none"/>
              </w:rPr>
            </w:pPr>
          </w:p>
        </w:tc>
        <w:tc>
          <w:tcPr>
            <w:tcW w:w="1220" w:type="dxa"/>
            <w:noWrap w:val="0"/>
            <w:vAlign w:val="top"/>
          </w:tcPr>
          <w:p w14:paraId="37E14599">
            <w:pPr>
              <w:adjustRightInd w:val="0"/>
              <w:snapToGrid w:val="0"/>
              <w:spacing w:line="560" w:lineRule="exact"/>
              <w:jc w:val="center"/>
              <w:rPr>
                <w:color w:val="000000"/>
                <w:szCs w:val="21"/>
                <w:highlight w:val="none"/>
              </w:rPr>
            </w:pPr>
          </w:p>
        </w:tc>
        <w:tc>
          <w:tcPr>
            <w:tcW w:w="812" w:type="dxa"/>
            <w:noWrap w:val="0"/>
            <w:vAlign w:val="top"/>
          </w:tcPr>
          <w:p w14:paraId="5105AC1B">
            <w:pPr>
              <w:adjustRightInd w:val="0"/>
              <w:snapToGrid w:val="0"/>
              <w:spacing w:line="560" w:lineRule="exact"/>
              <w:jc w:val="center"/>
              <w:rPr>
                <w:color w:val="000000"/>
                <w:szCs w:val="21"/>
                <w:highlight w:val="none"/>
              </w:rPr>
            </w:pPr>
          </w:p>
        </w:tc>
        <w:tc>
          <w:tcPr>
            <w:tcW w:w="814" w:type="dxa"/>
            <w:noWrap w:val="0"/>
            <w:vAlign w:val="top"/>
          </w:tcPr>
          <w:p w14:paraId="461DDC2A">
            <w:pPr>
              <w:adjustRightInd w:val="0"/>
              <w:snapToGrid w:val="0"/>
              <w:spacing w:line="560" w:lineRule="exact"/>
              <w:jc w:val="center"/>
              <w:rPr>
                <w:color w:val="000000"/>
                <w:szCs w:val="21"/>
                <w:highlight w:val="none"/>
              </w:rPr>
            </w:pPr>
          </w:p>
        </w:tc>
        <w:tc>
          <w:tcPr>
            <w:tcW w:w="811" w:type="dxa"/>
            <w:noWrap w:val="0"/>
            <w:vAlign w:val="top"/>
          </w:tcPr>
          <w:p w14:paraId="1C686EDC">
            <w:pPr>
              <w:adjustRightInd w:val="0"/>
              <w:snapToGrid w:val="0"/>
              <w:spacing w:line="560" w:lineRule="exact"/>
              <w:jc w:val="center"/>
              <w:rPr>
                <w:color w:val="000000"/>
                <w:szCs w:val="21"/>
                <w:highlight w:val="none"/>
              </w:rPr>
            </w:pPr>
          </w:p>
        </w:tc>
        <w:tc>
          <w:tcPr>
            <w:tcW w:w="2848" w:type="dxa"/>
            <w:noWrap w:val="0"/>
            <w:vAlign w:val="top"/>
          </w:tcPr>
          <w:p w14:paraId="024285A9">
            <w:pPr>
              <w:adjustRightInd w:val="0"/>
              <w:snapToGrid w:val="0"/>
              <w:spacing w:line="560" w:lineRule="exact"/>
              <w:jc w:val="center"/>
              <w:rPr>
                <w:color w:val="000000"/>
                <w:szCs w:val="21"/>
                <w:highlight w:val="none"/>
              </w:rPr>
            </w:pPr>
          </w:p>
        </w:tc>
        <w:tc>
          <w:tcPr>
            <w:tcW w:w="759" w:type="dxa"/>
            <w:noWrap w:val="0"/>
            <w:vAlign w:val="top"/>
          </w:tcPr>
          <w:p w14:paraId="2DC93C23">
            <w:pPr>
              <w:adjustRightInd w:val="0"/>
              <w:snapToGrid w:val="0"/>
              <w:spacing w:line="560" w:lineRule="exact"/>
              <w:jc w:val="center"/>
              <w:rPr>
                <w:color w:val="000000"/>
                <w:szCs w:val="21"/>
                <w:highlight w:val="none"/>
              </w:rPr>
            </w:pPr>
          </w:p>
        </w:tc>
      </w:tr>
      <w:tr w14:paraId="50D3F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noWrap w:val="0"/>
            <w:vAlign w:val="top"/>
          </w:tcPr>
          <w:p w14:paraId="7B07BAF8">
            <w:pPr>
              <w:adjustRightInd w:val="0"/>
              <w:snapToGrid w:val="0"/>
              <w:spacing w:line="560" w:lineRule="exact"/>
              <w:jc w:val="center"/>
              <w:rPr>
                <w:color w:val="000000"/>
                <w:szCs w:val="21"/>
                <w:highlight w:val="none"/>
              </w:rPr>
            </w:pPr>
          </w:p>
        </w:tc>
        <w:tc>
          <w:tcPr>
            <w:tcW w:w="814" w:type="dxa"/>
            <w:noWrap w:val="0"/>
            <w:vAlign w:val="top"/>
          </w:tcPr>
          <w:p w14:paraId="3062BFC5">
            <w:pPr>
              <w:adjustRightInd w:val="0"/>
              <w:snapToGrid w:val="0"/>
              <w:spacing w:line="560" w:lineRule="exact"/>
              <w:jc w:val="center"/>
              <w:rPr>
                <w:color w:val="000000"/>
                <w:szCs w:val="21"/>
                <w:highlight w:val="none"/>
              </w:rPr>
            </w:pPr>
          </w:p>
        </w:tc>
        <w:tc>
          <w:tcPr>
            <w:tcW w:w="812" w:type="dxa"/>
            <w:noWrap w:val="0"/>
            <w:vAlign w:val="top"/>
          </w:tcPr>
          <w:p w14:paraId="6479288D">
            <w:pPr>
              <w:adjustRightInd w:val="0"/>
              <w:snapToGrid w:val="0"/>
              <w:spacing w:line="560" w:lineRule="exact"/>
              <w:jc w:val="center"/>
              <w:rPr>
                <w:color w:val="000000"/>
                <w:szCs w:val="21"/>
                <w:highlight w:val="none"/>
              </w:rPr>
            </w:pPr>
          </w:p>
        </w:tc>
        <w:tc>
          <w:tcPr>
            <w:tcW w:w="1220" w:type="dxa"/>
            <w:noWrap w:val="0"/>
            <w:vAlign w:val="top"/>
          </w:tcPr>
          <w:p w14:paraId="0276AFCA">
            <w:pPr>
              <w:adjustRightInd w:val="0"/>
              <w:snapToGrid w:val="0"/>
              <w:spacing w:line="560" w:lineRule="exact"/>
              <w:jc w:val="center"/>
              <w:rPr>
                <w:color w:val="000000"/>
                <w:szCs w:val="21"/>
                <w:highlight w:val="none"/>
              </w:rPr>
            </w:pPr>
          </w:p>
        </w:tc>
        <w:tc>
          <w:tcPr>
            <w:tcW w:w="812" w:type="dxa"/>
            <w:noWrap w:val="0"/>
            <w:vAlign w:val="top"/>
          </w:tcPr>
          <w:p w14:paraId="71051370">
            <w:pPr>
              <w:adjustRightInd w:val="0"/>
              <w:snapToGrid w:val="0"/>
              <w:spacing w:line="560" w:lineRule="exact"/>
              <w:jc w:val="center"/>
              <w:rPr>
                <w:color w:val="000000"/>
                <w:szCs w:val="21"/>
                <w:highlight w:val="none"/>
              </w:rPr>
            </w:pPr>
          </w:p>
        </w:tc>
        <w:tc>
          <w:tcPr>
            <w:tcW w:w="814" w:type="dxa"/>
            <w:noWrap w:val="0"/>
            <w:vAlign w:val="top"/>
          </w:tcPr>
          <w:p w14:paraId="7E6E44A0">
            <w:pPr>
              <w:adjustRightInd w:val="0"/>
              <w:snapToGrid w:val="0"/>
              <w:spacing w:line="560" w:lineRule="exact"/>
              <w:jc w:val="center"/>
              <w:rPr>
                <w:color w:val="000000"/>
                <w:szCs w:val="21"/>
                <w:highlight w:val="none"/>
              </w:rPr>
            </w:pPr>
          </w:p>
        </w:tc>
        <w:tc>
          <w:tcPr>
            <w:tcW w:w="811" w:type="dxa"/>
            <w:noWrap w:val="0"/>
            <w:vAlign w:val="top"/>
          </w:tcPr>
          <w:p w14:paraId="573BB79E">
            <w:pPr>
              <w:adjustRightInd w:val="0"/>
              <w:snapToGrid w:val="0"/>
              <w:spacing w:line="560" w:lineRule="exact"/>
              <w:jc w:val="center"/>
              <w:rPr>
                <w:color w:val="000000"/>
                <w:szCs w:val="21"/>
                <w:highlight w:val="none"/>
              </w:rPr>
            </w:pPr>
          </w:p>
        </w:tc>
        <w:tc>
          <w:tcPr>
            <w:tcW w:w="2848" w:type="dxa"/>
            <w:noWrap w:val="0"/>
            <w:vAlign w:val="top"/>
          </w:tcPr>
          <w:p w14:paraId="63CCD59F">
            <w:pPr>
              <w:adjustRightInd w:val="0"/>
              <w:snapToGrid w:val="0"/>
              <w:spacing w:line="560" w:lineRule="exact"/>
              <w:jc w:val="center"/>
              <w:rPr>
                <w:color w:val="000000"/>
                <w:szCs w:val="21"/>
                <w:highlight w:val="none"/>
              </w:rPr>
            </w:pPr>
          </w:p>
        </w:tc>
        <w:tc>
          <w:tcPr>
            <w:tcW w:w="759" w:type="dxa"/>
            <w:noWrap w:val="0"/>
            <w:vAlign w:val="top"/>
          </w:tcPr>
          <w:p w14:paraId="5064FB07">
            <w:pPr>
              <w:adjustRightInd w:val="0"/>
              <w:snapToGrid w:val="0"/>
              <w:spacing w:line="560" w:lineRule="exact"/>
              <w:jc w:val="center"/>
              <w:rPr>
                <w:color w:val="000000"/>
                <w:szCs w:val="21"/>
                <w:highlight w:val="none"/>
              </w:rPr>
            </w:pPr>
          </w:p>
        </w:tc>
      </w:tr>
      <w:tr w14:paraId="0A0C0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noWrap w:val="0"/>
            <w:vAlign w:val="top"/>
          </w:tcPr>
          <w:p w14:paraId="1412EBAF">
            <w:pPr>
              <w:adjustRightInd w:val="0"/>
              <w:snapToGrid w:val="0"/>
              <w:spacing w:line="560" w:lineRule="exact"/>
              <w:jc w:val="center"/>
              <w:rPr>
                <w:color w:val="000000"/>
                <w:szCs w:val="21"/>
                <w:highlight w:val="none"/>
              </w:rPr>
            </w:pPr>
          </w:p>
        </w:tc>
        <w:tc>
          <w:tcPr>
            <w:tcW w:w="814" w:type="dxa"/>
            <w:noWrap w:val="0"/>
            <w:vAlign w:val="top"/>
          </w:tcPr>
          <w:p w14:paraId="7F955EDE">
            <w:pPr>
              <w:adjustRightInd w:val="0"/>
              <w:snapToGrid w:val="0"/>
              <w:spacing w:line="560" w:lineRule="exact"/>
              <w:jc w:val="center"/>
              <w:rPr>
                <w:color w:val="000000"/>
                <w:szCs w:val="21"/>
                <w:highlight w:val="none"/>
              </w:rPr>
            </w:pPr>
          </w:p>
        </w:tc>
        <w:tc>
          <w:tcPr>
            <w:tcW w:w="812" w:type="dxa"/>
            <w:noWrap w:val="0"/>
            <w:vAlign w:val="top"/>
          </w:tcPr>
          <w:p w14:paraId="7538B285">
            <w:pPr>
              <w:adjustRightInd w:val="0"/>
              <w:snapToGrid w:val="0"/>
              <w:spacing w:line="560" w:lineRule="exact"/>
              <w:jc w:val="center"/>
              <w:rPr>
                <w:color w:val="000000"/>
                <w:szCs w:val="21"/>
                <w:highlight w:val="none"/>
              </w:rPr>
            </w:pPr>
          </w:p>
        </w:tc>
        <w:tc>
          <w:tcPr>
            <w:tcW w:w="1220" w:type="dxa"/>
            <w:noWrap w:val="0"/>
            <w:vAlign w:val="top"/>
          </w:tcPr>
          <w:p w14:paraId="3F8D9EE2">
            <w:pPr>
              <w:adjustRightInd w:val="0"/>
              <w:snapToGrid w:val="0"/>
              <w:spacing w:line="560" w:lineRule="exact"/>
              <w:jc w:val="center"/>
              <w:rPr>
                <w:color w:val="000000"/>
                <w:szCs w:val="21"/>
                <w:highlight w:val="none"/>
              </w:rPr>
            </w:pPr>
          </w:p>
        </w:tc>
        <w:tc>
          <w:tcPr>
            <w:tcW w:w="812" w:type="dxa"/>
            <w:noWrap w:val="0"/>
            <w:vAlign w:val="top"/>
          </w:tcPr>
          <w:p w14:paraId="29998801">
            <w:pPr>
              <w:adjustRightInd w:val="0"/>
              <w:snapToGrid w:val="0"/>
              <w:spacing w:line="560" w:lineRule="exact"/>
              <w:jc w:val="center"/>
              <w:rPr>
                <w:color w:val="000000"/>
                <w:szCs w:val="21"/>
                <w:highlight w:val="none"/>
              </w:rPr>
            </w:pPr>
          </w:p>
        </w:tc>
        <w:tc>
          <w:tcPr>
            <w:tcW w:w="814" w:type="dxa"/>
            <w:noWrap w:val="0"/>
            <w:vAlign w:val="top"/>
          </w:tcPr>
          <w:p w14:paraId="5BD0484A">
            <w:pPr>
              <w:adjustRightInd w:val="0"/>
              <w:snapToGrid w:val="0"/>
              <w:spacing w:line="560" w:lineRule="exact"/>
              <w:jc w:val="center"/>
              <w:rPr>
                <w:color w:val="000000"/>
                <w:szCs w:val="21"/>
                <w:highlight w:val="none"/>
              </w:rPr>
            </w:pPr>
          </w:p>
        </w:tc>
        <w:tc>
          <w:tcPr>
            <w:tcW w:w="811" w:type="dxa"/>
            <w:noWrap w:val="0"/>
            <w:vAlign w:val="top"/>
          </w:tcPr>
          <w:p w14:paraId="0D636961">
            <w:pPr>
              <w:adjustRightInd w:val="0"/>
              <w:snapToGrid w:val="0"/>
              <w:spacing w:line="560" w:lineRule="exact"/>
              <w:jc w:val="center"/>
              <w:rPr>
                <w:color w:val="000000"/>
                <w:szCs w:val="21"/>
                <w:highlight w:val="none"/>
              </w:rPr>
            </w:pPr>
          </w:p>
        </w:tc>
        <w:tc>
          <w:tcPr>
            <w:tcW w:w="2848" w:type="dxa"/>
            <w:noWrap w:val="0"/>
            <w:vAlign w:val="top"/>
          </w:tcPr>
          <w:p w14:paraId="41FD5A91">
            <w:pPr>
              <w:adjustRightInd w:val="0"/>
              <w:snapToGrid w:val="0"/>
              <w:spacing w:line="560" w:lineRule="exact"/>
              <w:jc w:val="center"/>
              <w:rPr>
                <w:color w:val="000000"/>
                <w:szCs w:val="21"/>
                <w:highlight w:val="none"/>
              </w:rPr>
            </w:pPr>
          </w:p>
        </w:tc>
        <w:tc>
          <w:tcPr>
            <w:tcW w:w="759" w:type="dxa"/>
            <w:noWrap w:val="0"/>
            <w:vAlign w:val="top"/>
          </w:tcPr>
          <w:p w14:paraId="03FAC9BA">
            <w:pPr>
              <w:adjustRightInd w:val="0"/>
              <w:snapToGrid w:val="0"/>
              <w:spacing w:line="560" w:lineRule="exact"/>
              <w:jc w:val="center"/>
              <w:rPr>
                <w:color w:val="000000"/>
                <w:szCs w:val="21"/>
                <w:highlight w:val="none"/>
              </w:rPr>
            </w:pPr>
          </w:p>
        </w:tc>
      </w:tr>
      <w:tr w14:paraId="4C2F5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tcBorders>
              <w:top w:val="single" w:color="auto" w:sz="4" w:space="0"/>
              <w:left w:val="single" w:color="auto" w:sz="4" w:space="0"/>
              <w:bottom w:val="single" w:color="auto" w:sz="4" w:space="0"/>
              <w:right w:val="single" w:color="auto" w:sz="4" w:space="0"/>
            </w:tcBorders>
            <w:noWrap w:val="0"/>
            <w:vAlign w:val="top"/>
          </w:tcPr>
          <w:p w14:paraId="5C7FB53B">
            <w:pPr>
              <w:adjustRightInd w:val="0"/>
              <w:snapToGrid w:val="0"/>
              <w:spacing w:line="560" w:lineRule="exact"/>
              <w:jc w:val="center"/>
              <w:rPr>
                <w:color w:val="000000"/>
                <w:szCs w:val="21"/>
                <w:highlight w:val="none"/>
              </w:rPr>
            </w:pPr>
          </w:p>
        </w:tc>
        <w:tc>
          <w:tcPr>
            <w:tcW w:w="814" w:type="dxa"/>
            <w:tcBorders>
              <w:top w:val="single" w:color="auto" w:sz="4" w:space="0"/>
              <w:left w:val="single" w:color="auto" w:sz="4" w:space="0"/>
              <w:bottom w:val="single" w:color="auto" w:sz="4" w:space="0"/>
              <w:right w:val="single" w:color="auto" w:sz="4" w:space="0"/>
            </w:tcBorders>
            <w:noWrap w:val="0"/>
            <w:vAlign w:val="top"/>
          </w:tcPr>
          <w:p w14:paraId="18449A1C">
            <w:pPr>
              <w:adjustRightInd w:val="0"/>
              <w:snapToGrid w:val="0"/>
              <w:spacing w:line="560" w:lineRule="exact"/>
              <w:jc w:val="center"/>
              <w:rPr>
                <w:color w:val="000000"/>
                <w:szCs w:val="21"/>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top"/>
          </w:tcPr>
          <w:p w14:paraId="38741829">
            <w:pPr>
              <w:adjustRightInd w:val="0"/>
              <w:snapToGrid w:val="0"/>
              <w:spacing w:line="560" w:lineRule="exact"/>
              <w:jc w:val="center"/>
              <w:rPr>
                <w:color w:val="000000"/>
                <w:szCs w:val="21"/>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top"/>
          </w:tcPr>
          <w:p w14:paraId="0FEB2F56">
            <w:pPr>
              <w:adjustRightInd w:val="0"/>
              <w:snapToGrid w:val="0"/>
              <w:spacing w:line="560" w:lineRule="exact"/>
              <w:jc w:val="center"/>
              <w:rPr>
                <w:color w:val="000000"/>
                <w:szCs w:val="21"/>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top"/>
          </w:tcPr>
          <w:p w14:paraId="42A17C97">
            <w:pPr>
              <w:adjustRightInd w:val="0"/>
              <w:snapToGrid w:val="0"/>
              <w:spacing w:line="560" w:lineRule="exact"/>
              <w:jc w:val="center"/>
              <w:rPr>
                <w:color w:val="000000"/>
                <w:szCs w:val="21"/>
                <w:highlight w:val="none"/>
              </w:rPr>
            </w:pPr>
          </w:p>
        </w:tc>
        <w:tc>
          <w:tcPr>
            <w:tcW w:w="814" w:type="dxa"/>
            <w:tcBorders>
              <w:top w:val="single" w:color="auto" w:sz="4" w:space="0"/>
              <w:left w:val="single" w:color="auto" w:sz="4" w:space="0"/>
              <w:bottom w:val="single" w:color="auto" w:sz="4" w:space="0"/>
              <w:right w:val="single" w:color="auto" w:sz="4" w:space="0"/>
            </w:tcBorders>
            <w:noWrap w:val="0"/>
            <w:vAlign w:val="top"/>
          </w:tcPr>
          <w:p w14:paraId="1824EE27">
            <w:pPr>
              <w:adjustRightInd w:val="0"/>
              <w:snapToGrid w:val="0"/>
              <w:spacing w:line="560" w:lineRule="exact"/>
              <w:jc w:val="center"/>
              <w:rPr>
                <w:color w:val="000000"/>
                <w:szCs w:val="21"/>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5BCCB7F0">
            <w:pPr>
              <w:adjustRightInd w:val="0"/>
              <w:snapToGrid w:val="0"/>
              <w:spacing w:line="560" w:lineRule="exact"/>
              <w:jc w:val="center"/>
              <w:rPr>
                <w:color w:val="000000"/>
                <w:szCs w:val="21"/>
                <w:highlight w:val="none"/>
              </w:rPr>
            </w:pPr>
          </w:p>
        </w:tc>
        <w:tc>
          <w:tcPr>
            <w:tcW w:w="2848" w:type="dxa"/>
            <w:tcBorders>
              <w:top w:val="single" w:color="auto" w:sz="4" w:space="0"/>
              <w:left w:val="single" w:color="auto" w:sz="4" w:space="0"/>
              <w:bottom w:val="single" w:color="auto" w:sz="4" w:space="0"/>
              <w:right w:val="single" w:color="auto" w:sz="4" w:space="0"/>
            </w:tcBorders>
            <w:noWrap w:val="0"/>
            <w:vAlign w:val="top"/>
          </w:tcPr>
          <w:p w14:paraId="292613BD">
            <w:pPr>
              <w:adjustRightInd w:val="0"/>
              <w:snapToGrid w:val="0"/>
              <w:spacing w:line="560" w:lineRule="exact"/>
              <w:jc w:val="center"/>
              <w:rPr>
                <w:color w:val="000000"/>
                <w:szCs w:val="21"/>
                <w:highlight w:val="none"/>
              </w:rPr>
            </w:pPr>
          </w:p>
        </w:tc>
        <w:tc>
          <w:tcPr>
            <w:tcW w:w="759" w:type="dxa"/>
            <w:tcBorders>
              <w:top w:val="single" w:color="auto" w:sz="4" w:space="0"/>
              <w:left w:val="single" w:color="auto" w:sz="4" w:space="0"/>
              <w:bottom w:val="single" w:color="auto" w:sz="4" w:space="0"/>
              <w:right w:val="single" w:color="auto" w:sz="4" w:space="0"/>
            </w:tcBorders>
            <w:noWrap w:val="0"/>
            <w:vAlign w:val="top"/>
          </w:tcPr>
          <w:p w14:paraId="57BB0890">
            <w:pPr>
              <w:adjustRightInd w:val="0"/>
              <w:snapToGrid w:val="0"/>
              <w:spacing w:line="560" w:lineRule="exact"/>
              <w:jc w:val="center"/>
              <w:rPr>
                <w:color w:val="000000"/>
                <w:szCs w:val="21"/>
                <w:highlight w:val="none"/>
              </w:rPr>
            </w:pPr>
          </w:p>
        </w:tc>
      </w:tr>
      <w:tr w14:paraId="4C1ED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tcBorders>
              <w:top w:val="single" w:color="auto" w:sz="4" w:space="0"/>
              <w:left w:val="single" w:color="auto" w:sz="4" w:space="0"/>
              <w:bottom w:val="single" w:color="auto" w:sz="4" w:space="0"/>
              <w:right w:val="single" w:color="auto" w:sz="4" w:space="0"/>
            </w:tcBorders>
            <w:noWrap w:val="0"/>
            <w:vAlign w:val="top"/>
          </w:tcPr>
          <w:p w14:paraId="592F3003">
            <w:pPr>
              <w:adjustRightInd w:val="0"/>
              <w:snapToGrid w:val="0"/>
              <w:spacing w:line="560" w:lineRule="exact"/>
              <w:jc w:val="center"/>
              <w:rPr>
                <w:color w:val="000000"/>
                <w:szCs w:val="21"/>
                <w:highlight w:val="none"/>
              </w:rPr>
            </w:pPr>
          </w:p>
        </w:tc>
        <w:tc>
          <w:tcPr>
            <w:tcW w:w="814" w:type="dxa"/>
            <w:tcBorders>
              <w:top w:val="single" w:color="auto" w:sz="4" w:space="0"/>
              <w:left w:val="single" w:color="auto" w:sz="4" w:space="0"/>
              <w:bottom w:val="single" w:color="auto" w:sz="4" w:space="0"/>
              <w:right w:val="single" w:color="auto" w:sz="4" w:space="0"/>
            </w:tcBorders>
            <w:noWrap w:val="0"/>
            <w:vAlign w:val="top"/>
          </w:tcPr>
          <w:p w14:paraId="49FA0974">
            <w:pPr>
              <w:adjustRightInd w:val="0"/>
              <w:snapToGrid w:val="0"/>
              <w:spacing w:line="560" w:lineRule="exact"/>
              <w:jc w:val="center"/>
              <w:rPr>
                <w:color w:val="000000"/>
                <w:szCs w:val="21"/>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top"/>
          </w:tcPr>
          <w:p w14:paraId="6836E371">
            <w:pPr>
              <w:adjustRightInd w:val="0"/>
              <w:snapToGrid w:val="0"/>
              <w:spacing w:line="560" w:lineRule="exact"/>
              <w:jc w:val="center"/>
              <w:rPr>
                <w:color w:val="000000"/>
                <w:szCs w:val="21"/>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top"/>
          </w:tcPr>
          <w:p w14:paraId="7699F7D5">
            <w:pPr>
              <w:adjustRightInd w:val="0"/>
              <w:snapToGrid w:val="0"/>
              <w:spacing w:line="560" w:lineRule="exact"/>
              <w:jc w:val="center"/>
              <w:rPr>
                <w:color w:val="000000"/>
                <w:szCs w:val="21"/>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top"/>
          </w:tcPr>
          <w:p w14:paraId="310B303E">
            <w:pPr>
              <w:adjustRightInd w:val="0"/>
              <w:snapToGrid w:val="0"/>
              <w:spacing w:line="560" w:lineRule="exact"/>
              <w:jc w:val="center"/>
              <w:rPr>
                <w:color w:val="000000"/>
                <w:szCs w:val="21"/>
                <w:highlight w:val="none"/>
              </w:rPr>
            </w:pPr>
          </w:p>
        </w:tc>
        <w:tc>
          <w:tcPr>
            <w:tcW w:w="814" w:type="dxa"/>
            <w:tcBorders>
              <w:top w:val="single" w:color="auto" w:sz="4" w:space="0"/>
              <w:left w:val="single" w:color="auto" w:sz="4" w:space="0"/>
              <w:bottom w:val="single" w:color="auto" w:sz="4" w:space="0"/>
              <w:right w:val="single" w:color="auto" w:sz="4" w:space="0"/>
            </w:tcBorders>
            <w:noWrap w:val="0"/>
            <w:vAlign w:val="top"/>
          </w:tcPr>
          <w:p w14:paraId="63335821">
            <w:pPr>
              <w:adjustRightInd w:val="0"/>
              <w:snapToGrid w:val="0"/>
              <w:spacing w:line="560" w:lineRule="exact"/>
              <w:jc w:val="center"/>
              <w:rPr>
                <w:color w:val="000000"/>
                <w:szCs w:val="21"/>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70A6C1FB">
            <w:pPr>
              <w:adjustRightInd w:val="0"/>
              <w:snapToGrid w:val="0"/>
              <w:spacing w:line="560" w:lineRule="exact"/>
              <w:jc w:val="center"/>
              <w:rPr>
                <w:color w:val="000000"/>
                <w:szCs w:val="21"/>
                <w:highlight w:val="none"/>
              </w:rPr>
            </w:pPr>
          </w:p>
        </w:tc>
        <w:tc>
          <w:tcPr>
            <w:tcW w:w="2848" w:type="dxa"/>
            <w:tcBorders>
              <w:top w:val="single" w:color="auto" w:sz="4" w:space="0"/>
              <w:left w:val="single" w:color="auto" w:sz="4" w:space="0"/>
              <w:bottom w:val="single" w:color="auto" w:sz="4" w:space="0"/>
              <w:right w:val="single" w:color="auto" w:sz="4" w:space="0"/>
            </w:tcBorders>
            <w:noWrap w:val="0"/>
            <w:vAlign w:val="top"/>
          </w:tcPr>
          <w:p w14:paraId="2AA073B6">
            <w:pPr>
              <w:adjustRightInd w:val="0"/>
              <w:snapToGrid w:val="0"/>
              <w:spacing w:line="560" w:lineRule="exact"/>
              <w:jc w:val="center"/>
              <w:rPr>
                <w:color w:val="000000"/>
                <w:szCs w:val="21"/>
                <w:highlight w:val="none"/>
              </w:rPr>
            </w:pPr>
          </w:p>
        </w:tc>
        <w:tc>
          <w:tcPr>
            <w:tcW w:w="759" w:type="dxa"/>
            <w:tcBorders>
              <w:top w:val="single" w:color="auto" w:sz="4" w:space="0"/>
              <w:left w:val="single" w:color="auto" w:sz="4" w:space="0"/>
              <w:bottom w:val="single" w:color="auto" w:sz="4" w:space="0"/>
              <w:right w:val="single" w:color="auto" w:sz="4" w:space="0"/>
            </w:tcBorders>
            <w:noWrap w:val="0"/>
            <w:vAlign w:val="top"/>
          </w:tcPr>
          <w:p w14:paraId="21267EB8">
            <w:pPr>
              <w:adjustRightInd w:val="0"/>
              <w:snapToGrid w:val="0"/>
              <w:spacing w:line="560" w:lineRule="exact"/>
              <w:jc w:val="center"/>
              <w:rPr>
                <w:color w:val="000000"/>
                <w:szCs w:val="21"/>
                <w:highlight w:val="none"/>
              </w:rPr>
            </w:pPr>
          </w:p>
        </w:tc>
      </w:tr>
    </w:tbl>
    <w:p w14:paraId="33E097A0">
      <w:pPr>
        <w:adjustRightInd w:val="0"/>
        <w:snapToGrid w:val="0"/>
        <w:spacing w:line="560" w:lineRule="exact"/>
        <w:rPr>
          <w:color w:val="000000"/>
          <w:highlight w:val="none"/>
        </w:rPr>
      </w:pPr>
      <w:r>
        <w:rPr>
          <w:rFonts w:hint="eastAsia"/>
          <w:b/>
          <w:color w:val="000000"/>
          <w:szCs w:val="21"/>
          <w:highlight w:val="none"/>
        </w:rPr>
        <w:t>备注：</w:t>
      </w:r>
      <w:r>
        <w:rPr>
          <w:rFonts w:hint="eastAsia"/>
          <w:color w:val="000000"/>
          <w:highlight w:val="none"/>
        </w:rPr>
        <w:t>根据安徽省住房和城乡建设厅《关于调整招标投标活动中有关住房城乡建设领域现场专业人员证书要求的通知》（建市函〔2019〕1112 号）要求，不再将住房城乡建设领域现场专业技术人员（包括施工员、质量员、安全员、资料员、材料员、劳务员、机械员、标准员）及取样员持证情况列入招标投标文件，招标人或招标代理机构需按照住房和城乡建设部及安徽省相关标准规定 明确投标人需要配备其他主要管理人员和技术人员数量的最低要求。中标人和招标人在签订合同时应按照不低于上述人员配置的要求填写承包人主要施工管理人员表，并作为合同的附件之一。</w:t>
      </w:r>
    </w:p>
    <w:p w14:paraId="29808021">
      <w:pPr>
        <w:spacing w:line="560" w:lineRule="exact"/>
        <w:rPr>
          <w:color w:val="000000"/>
          <w:highlight w:val="none"/>
        </w:rPr>
      </w:pPr>
    </w:p>
    <w:p w14:paraId="3630C16F">
      <w:pPr>
        <w:pStyle w:val="5"/>
        <w:jc w:val="center"/>
        <w:rPr>
          <w:color w:val="000000"/>
          <w:sz w:val="23"/>
          <w:szCs w:val="23"/>
          <w:highlight w:val="none"/>
        </w:rPr>
      </w:pPr>
      <w:r>
        <w:rPr>
          <w:rFonts w:hint="eastAsia"/>
          <w:color w:val="000000"/>
          <w:highlight w:val="none"/>
        </w:rPr>
        <w:t>附表2：拟任项目</w:t>
      </w:r>
      <w:r>
        <w:rPr>
          <w:rFonts w:hint="eastAsia"/>
          <w:color w:val="000000"/>
          <w:highlight w:val="none"/>
          <w:lang w:val="en-US" w:eastAsia="zh-CN"/>
        </w:rPr>
        <w:t>负责人</w:t>
      </w:r>
      <w:r>
        <w:rPr>
          <w:rFonts w:hint="eastAsia"/>
          <w:color w:val="000000"/>
          <w:highlight w:val="none"/>
        </w:rPr>
        <w:t>（建造师）</w:t>
      </w:r>
      <w:r>
        <w:rPr>
          <w:color w:val="000000"/>
          <w:highlight w:val="none"/>
        </w:rPr>
        <w:t>简历表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3"/>
        <w:gridCol w:w="394"/>
        <w:gridCol w:w="791"/>
        <w:gridCol w:w="1018"/>
        <w:gridCol w:w="1170"/>
        <w:gridCol w:w="777"/>
        <w:gridCol w:w="1385"/>
        <w:gridCol w:w="177"/>
        <w:gridCol w:w="2345"/>
      </w:tblGrid>
      <w:tr w14:paraId="1F1FE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303" w:type="dxa"/>
            <w:noWrap w:val="0"/>
            <w:vAlign w:val="center"/>
          </w:tcPr>
          <w:p w14:paraId="6C55FC5C">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姓  名</w:t>
            </w:r>
          </w:p>
        </w:tc>
        <w:tc>
          <w:tcPr>
            <w:tcW w:w="1185" w:type="dxa"/>
            <w:gridSpan w:val="2"/>
            <w:noWrap w:val="0"/>
            <w:vAlign w:val="center"/>
          </w:tcPr>
          <w:p w14:paraId="1F7CA8FD">
            <w:pPr>
              <w:adjustRightInd w:val="0"/>
              <w:snapToGrid w:val="0"/>
              <w:spacing w:line="560" w:lineRule="exact"/>
              <w:jc w:val="center"/>
              <w:rPr>
                <w:rFonts w:ascii="宋体" w:hAnsi="宋体"/>
                <w:color w:val="000000"/>
                <w:szCs w:val="21"/>
                <w:highlight w:val="none"/>
              </w:rPr>
            </w:pPr>
          </w:p>
        </w:tc>
        <w:tc>
          <w:tcPr>
            <w:tcW w:w="1018" w:type="dxa"/>
            <w:noWrap w:val="0"/>
            <w:vAlign w:val="center"/>
          </w:tcPr>
          <w:p w14:paraId="7FDB8AD4">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年 龄</w:t>
            </w:r>
          </w:p>
        </w:tc>
        <w:tc>
          <w:tcPr>
            <w:tcW w:w="1170" w:type="dxa"/>
            <w:noWrap w:val="0"/>
            <w:vAlign w:val="center"/>
          </w:tcPr>
          <w:p w14:paraId="458688D9">
            <w:pPr>
              <w:adjustRightInd w:val="0"/>
              <w:snapToGrid w:val="0"/>
              <w:spacing w:line="560" w:lineRule="exact"/>
              <w:jc w:val="center"/>
              <w:rPr>
                <w:rFonts w:ascii="宋体" w:hAnsi="宋体"/>
                <w:color w:val="000000"/>
                <w:szCs w:val="21"/>
                <w:highlight w:val="none"/>
              </w:rPr>
            </w:pPr>
          </w:p>
        </w:tc>
        <w:tc>
          <w:tcPr>
            <w:tcW w:w="2339" w:type="dxa"/>
            <w:gridSpan w:val="3"/>
            <w:noWrap w:val="0"/>
            <w:vAlign w:val="center"/>
          </w:tcPr>
          <w:p w14:paraId="6012A5C9">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学历</w:t>
            </w:r>
          </w:p>
        </w:tc>
        <w:tc>
          <w:tcPr>
            <w:tcW w:w="2345" w:type="dxa"/>
            <w:noWrap w:val="0"/>
            <w:vAlign w:val="center"/>
          </w:tcPr>
          <w:p w14:paraId="53AE0D3E">
            <w:pPr>
              <w:adjustRightInd w:val="0"/>
              <w:snapToGrid w:val="0"/>
              <w:spacing w:line="560" w:lineRule="exact"/>
              <w:rPr>
                <w:rFonts w:ascii="宋体" w:hAnsi="宋体"/>
                <w:color w:val="000000"/>
                <w:szCs w:val="21"/>
                <w:highlight w:val="none"/>
              </w:rPr>
            </w:pPr>
          </w:p>
        </w:tc>
      </w:tr>
      <w:tr w14:paraId="693AA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303" w:type="dxa"/>
            <w:noWrap w:val="0"/>
            <w:vAlign w:val="center"/>
          </w:tcPr>
          <w:p w14:paraId="684854DB">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职  称</w:t>
            </w:r>
          </w:p>
        </w:tc>
        <w:tc>
          <w:tcPr>
            <w:tcW w:w="1185" w:type="dxa"/>
            <w:gridSpan w:val="2"/>
            <w:noWrap w:val="0"/>
            <w:vAlign w:val="center"/>
          </w:tcPr>
          <w:p w14:paraId="0C769140">
            <w:pPr>
              <w:adjustRightInd w:val="0"/>
              <w:snapToGrid w:val="0"/>
              <w:spacing w:line="560" w:lineRule="exact"/>
              <w:jc w:val="center"/>
              <w:rPr>
                <w:rFonts w:ascii="宋体" w:hAnsi="宋体"/>
                <w:color w:val="000000"/>
                <w:szCs w:val="21"/>
                <w:highlight w:val="none"/>
              </w:rPr>
            </w:pPr>
          </w:p>
        </w:tc>
        <w:tc>
          <w:tcPr>
            <w:tcW w:w="1018" w:type="dxa"/>
            <w:noWrap w:val="0"/>
            <w:vAlign w:val="center"/>
          </w:tcPr>
          <w:p w14:paraId="61F785E9">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职 务</w:t>
            </w:r>
          </w:p>
        </w:tc>
        <w:tc>
          <w:tcPr>
            <w:tcW w:w="1170" w:type="dxa"/>
            <w:noWrap w:val="0"/>
            <w:vAlign w:val="center"/>
          </w:tcPr>
          <w:p w14:paraId="6A94AA60">
            <w:pPr>
              <w:adjustRightInd w:val="0"/>
              <w:snapToGrid w:val="0"/>
              <w:spacing w:line="560" w:lineRule="exact"/>
              <w:jc w:val="center"/>
              <w:rPr>
                <w:rFonts w:ascii="宋体" w:hAnsi="宋体"/>
                <w:color w:val="000000"/>
                <w:szCs w:val="21"/>
                <w:highlight w:val="none"/>
              </w:rPr>
            </w:pPr>
          </w:p>
        </w:tc>
        <w:tc>
          <w:tcPr>
            <w:tcW w:w="2339" w:type="dxa"/>
            <w:gridSpan w:val="3"/>
            <w:noWrap w:val="0"/>
            <w:vAlign w:val="center"/>
          </w:tcPr>
          <w:p w14:paraId="0F16A149">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拟在本合同任职</w:t>
            </w:r>
          </w:p>
        </w:tc>
        <w:tc>
          <w:tcPr>
            <w:tcW w:w="2345" w:type="dxa"/>
            <w:noWrap w:val="0"/>
            <w:vAlign w:val="center"/>
          </w:tcPr>
          <w:p w14:paraId="4C8E6F99">
            <w:pPr>
              <w:adjustRightInd w:val="0"/>
              <w:snapToGrid w:val="0"/>
              <w:spacing w:line="560" w:lineRule="exact"/>
              <w:rPr>
                <w:rFonts w:ascii="宋体" w:hAnsi="宋体"/>
                <w:color w:val="000000"/>
                <w:szCs w:val="21"/>
                <w:highlight w:val="none"/>
              </w:rPr>
            </w:pPr>
          </w:p>
        </w:tc>
      </w:tr>
      <w:tr w14:paraId="6F49F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303" w:type="dxa"/>
            <w:noWrap w:val="0"/>
            <w:vAlign w:val="center"/>
          </w:tcPr>
          <w:p w14:paraId="2CF72AB5">
            <w:pPr>
              <w:adjustRightInd w:val="0"/>
              <w:snapToGrid w:val="0"/>
              <w:spacing w:line="560" w:lineRule="exact"/>
              <w:rPr>
                <w:rFonts w:ascii="宋体" w:hAnsi="宋体"/>
                <w:color w:val="000000"/>
                <w:szCs w:val="21"/>
                <w:highlight w:val="none"/>
              </w:rPr>
            </w:pPr>
            <w:r>
              <w:rPr>
                <w:rFonts w:ascii="宋体" w:hAnsi="宋体"/>
                <w:color w:val="000000"/>
                <w:szCs w:val="21"/>
                <w:highlight w:val="none"/>
              </w:rPr>
              <w:t>毕业学校</w:t>
            </w:r>
          </w:p>
        </w:tc>
        <w:tc>
          <w:tcPr>
            <w:tcW w:w="8057" w:type="dxa"/>
            <w:gridSpan w:val="8"/>
            <w:noWrap w:val="0"/>
            <w:vAlign w:val="top"/>
          </w:tcPr>
          <w:p w14:paraId="62EB43F2">
            <w:pPr>
              <w:adjustRightInd w:val="0"/>
              <w:snapToGrid w:val="0"/>
              <w:spacing w:line="560" w:lineRule="exact"/>
              <w:rPr>
                <w:rFonts w:ascii="宋体" w:hAnsi="宋体"/>
                <w:color w:val="000000"/>
                <w:szCs w:val="21"/>
                <w:highlight w:val="none"/>
              </w:rPr>
            </w:pPr>
            <w:r>
              <w:rPr>
                <w:rFonts w:ascii="宋体" w:hAnsi="宋体"/>
                <w:color w:val="000000"/>
                <w:szCs w:val="21"/>
                <w:highlight w:val="none"/>
              </w:rPr>
              <w:t xml:space="preserve">      年毕业于            学校        专业</w:t>
            </w:r>
          </w:p>
        </w:tc>
      </w:tr>
      <w:tr w14:paraId="09C0B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360" w:type="dxa"/>
            <w:gridSpan w:val="9"/>
            <w:noWrap w:val="0"/>
            <w:vAlign w:val="center"/>
          </w:tcPr>
          <w:p w14:paraId="49CF4227">
            <w:pPr>
              <w:adjustRightInd w:val="0"/>
              <w:snapToGrid w:val="0"/>
              <w:spacing w:line="560" w:lineRule="exact"/>
              <w:rPr>
                <w:rFonts w:ascii="宋体" w:hAnsi="宋体"/>
                <w:color w:val="000000"/>
                <w:szCs w:val="21"/>
                <w:highlight w:val="none"/>
              </w:rPr>
            </w:pPr>
            <w:r>
              <w:rPr>
                <w:rFonts w:ascii="宋体" w:hAnsi="宋体"/>
                <w:color w:val="000000"/>
                <w:szCs w:val="21"/>
                <w:highlight w:val="none"/>
              </w:rPr>
              <w:t>主要工作经历</w:t>
            </w:r>
          </w:p>
        </w:tc>
      </w:tr>
      <w:tr w14:paraId="73FB1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697" w:type="dxa"/>
            <w:gridSpan w:val="2"/>
            <w:noWrap w:val="0"/>
            <w:vAlign w:val="center"/>
          </w:tcPr>
          <w:p w14:paraId="7BB0F564">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时  间</w:t>
            </w:r>
          </w:p>
        </w:tc>
        <w:tc>
          <w:tcPr>
            <w:tcW w:w="3756" w:type="dxa"/>
            <w:gridSpan w:val="4"/>
            <w:noWrap w:val="0"/>
            <w:vAlign w:val="center"/>
          </w:tcPr>
          <w:p w14:paraId="03674F59">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参加过的类似项目</w:t>
            </w:r>
          </w:p>
        </w:tc>
        <w:tc>
          <w:tcPr>
            <w:tcW w:w="1385" w:type="dxa"/>
            <w:noWrap w:val="0"/>
            <w:vAlign w:val="center"/>
          </w:tcPr>
          <w:p w14:paraId="3446397D">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担任职务</w:t>
            </w:r>
          </w:p>
        </w:tc>
        <w:tc>
          <w:tcPr>
            <w:tcW w:w="2522" w:type="dxa"/>
            <w:gridSpan w:val="2"/>
            <w:noWrap w:val="0"/>
            <w:vAlign w:val="center"/>
          </w:tcPr>
          <w:p w14:paraId="323FCDE6">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发包人及联系电话</w:t>
            </w:r>
          </w:p>
        </w:tc>
      </w:tr>
      <w:tr w14:paraId="4065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4CB0B84F">
            <w:pPr>
              <w:adjustRightInd w:val="0"/>
              <w:snapToGrid w:val="0"/>
              <w:spacing w:line="560" w:lineRule="exact"/>
              <w:rPr>
                <w:rFonts w:eastAsia="黑体"/>
                <w:color w:val="000000"/>
                <w:szCs w:val="21"/>
                <w:highlight w:val="none"/>
              </w:rPr>
            </w:pPr>
          </w:p>
        </w:tc>
        <w:tc>
          <w:tcPr>
            <w:tcW w:w="3756" w:type="dxa"/>
            <w:gridSpan w:val="4"/>
            <w:noWrap w:val="0"/>
            <w:vAlign w:val="top"/>
          </w:tcPr>
          <w:p w14:paraId="32AF9311">
            <w:pPr>
              <w:adjustRightInd w:val="0"/>
              <w:snapToGrid w:val="0"/>
              <w:spacing w:line="560" w:lineRule="exact"/>
              <w:rPr>
                <w:rFonts w:eastAsia="黑体"/>
                <w:color w:val="000000"/>
                <w:szCs w:val="21"/>
                <w:highlight w:val="none"/>
              </w:rPr>
            </w:pPr>
          </w:p>
        </w:tc>
        <w:tc>
          <w:tcPr>
            <w:tcW w:w="1385" w:type="dxa"/>
            <w:noWrap w:val="0"/>
            <w:vAlign w:val="top"/>
          </w:tcPr>
          <w:p w14:paraId="3121437E">
            <w:pPr>
              <w:adjustRightInd w:val="0"/>
              <w:snapToGrid w:val="0"/>
              <w:spacing w:line="560" w:lineRule="exact"/>
              <w:rPr>
                <w:rFonts w:eastAsia="黑体"/>
                <w:color w:val="000000"/>
                <w:szCs w:val="21"/>
                <w:highlight w:val="none"/>
              </w:rPr>
            </w:pPr>
          </w:p>
        </w:tc>
        <w:tc>
          <w:tcPr>
            <w:tcW w:w="2522" w:type="dxa"/>
            <w:gridSpan w:val="2"/>
            <w:noWrap w:val="0"/>
            <w:vAlign w:val="top"/>
          </w:tcPr>
          <w:p w14:paraId="52F6D589">
            <w:pPr>
              <w:adjustRightInd w:val="0"/>
              <w:snapToGrid w:val="0"/>
              <w:spacing w:line="560" w:lineRule="exact"/>
              <w:rPr>
                <w:rFonts w:eastAsia="黑体"/>
                <w:color w:val="000000"/>
                <w:szCs w:val="21"/>
                <w:highlight w:val="none"/>
              </w:rPr>
            </w:pPr>
          </w:p>
        </w:tc>
      </w:tr>
      <w:tr w14:paraId="2E2A9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014E91EE">
            <w:pPr>
              <w:adjustRightInd w:val="0"/>
              <w:snapToGrid w:val="0"/>
              <w:spacing w:line="560" w:lineRule="exact"/>
              <w:rPr>
                <w:rFonts w:eastAsia="黑体"/>
                <w:color w:val="000000"/>
                <w:szCs w:val="21"/>
                <w:highlight w:val="none"/>
              </w:rPr>
            </w:pPr>
          </w:p>
        </w:tc>
        <w:tc>
          <w:tcPr>
            <w:tcW w:w="3756" w:type="dxa"/>
            <w:gridSpan w:val="4"/>
            <w:noWrap w:val="0"/>
            <w:vAlign w:val="top"/>
          </w:tcPr>
          <w:p w14:paraId="41C4CE30">
            <w:pPr>
              <w:adjustRightInd w:val="0"/>
              <w:snapToGrid w:val="0"/>
              <w:spacing w:line="560" w:lineRule="exact"/>
              <w:rPr>
                <w:rFonts w:eastAsia="黑体"/>
                <w:color w:val="000000"/>
                <w:szCs w:val="21"/>
                <w:highlight w:val="none"/>
              </w:rPr>
            </w:pPr>
          </w:p>
        </w:tc>
        <w:tc>
          <w:tcPr>
            <w:tcW w:w="1385" w:type="dxa"/>
            <w:noWrap w:val="0"/>
            <w:vAlign w:val="top"/>
          </w:tcPr>
          <w:p w14:paraId="12D49358">
            <w:pPr>
              <w:adjustRightInd w:val="0"/>
              <w:snapToGrid w:val="0"/>
              <w:spacing w:line="560" w:lineRule="exact"/>
              <w:rPr>
                <w:rFonts w:eastAsia="黑体"/>
                <w:color w:val="000000"/>
                <w:szCs w:val="21"/>
                <w:highlight w:val="none"/>
              </w:rPr>
            </w:pPr>
          </w:p>
        </w:tc>
        <w:tc>
          <w:tcPr>
            <w:tcW w:w="2522" w:type="dxa"/>
            <w:gridSpan w:val="2"/>
            <w:noWrap w:val="0"/>
            <w:vAlign w:val="top"/>
          </w:tcPr>
          <w:p w14:paraId="76884F5F">
            <w:pPr>
              <w:adjustRightInd w:val="0"/>
              <w:snapToGrid w:val="0"/>
              <w:spacing w:line="560" w:lineRule="exact"/>
              <w:rPr>
                <w:rFonts w:eastAsia="黑体"/>
                <w:color w:val="000000"/>
                <w:szCs w:val="21"/>
                <w:highlight w:val="none"/>
              </w:rPr>
            </w:pPr>
          </w:p>
        </w:tc>
      </w:tr>
      <w:tr w14:paraId="7C488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242E8A56">
            <w:pPr>
              <w:adjustRightInd w:val="0"/>
              <w:snapToGrid w:val="0"/>
              <w:spacing w:line="560" w:lineRule="exact"/>
              <w:rPr>
                <w:rFonts w:eastAsia="黑体"/>
                <w:color w:val="000000"/>
                <w:szCs w:val="21"/>
                <w:highlight w:val="none"/>
              </w:rPr>
            </w:pPr>
          </w:p>
        </w:tc>
        <w:tc>
          <w:tcPr>
            <w:tcW w:w="3756" w:type="dxa"/>
            <w:gridSpan w:val="4"/>
            <w:noWrap w:val="0"/>
            <w:vAlign w:val="top"/>
          </w:tcPr>
          <w:p w14:paraId="1A8BA294">
            <w:pPr>
              <w:adjustRightInd w:val="0"/>
              <w:snapToGrid w:val="0"/>
              <w:spacing w:line="560" w:lineRule="exact"/>
              <w:rPr>
                <w:rFonts w:eastAsia="黑体"/>
                <w:color w:val="000000"/>
                <w:szCs w:val="21"/>
                <w:highlight w:val="none"/>
              </w:rPr>
            </w:pPr>
          </w:p>
        </w:tc>
        <w:tc>
          <w:tcPr>
            <w:tcW w:w="1385" w:type="dxa"/>
            <w:noWrap w:val="0"/>
            <w:vAlign w:val="top"/>
          </w:tcPr>
          <w:p w14:paraId="32F5B70C">
            <w:pPr>
              <w:adjustRightInd w:val="0"/>
              <w:snapToGrid w:val="0"/>
              <w:spacing w:line="560" w:lineRule="exact"/>
              <w:rPr>
                <w:rFonts w:eastAsia="黑体"/>
                <w:color w:val="000000"/>
                <w:szCs w:val="21"/>
                <w:highlight w:val="none"/>
              </w:rPr>
            </w:pPr>
          </w:p>
        </w:tc>
        <w:tc>
          <w:tcPr>
            <w:tcW w:w="2522" w:type="dxa"/>
            <w:gridSpan w:val="2"/>
            <w:noWrap w:val="0"/>
            <w:vAlign w:val="top"/>
          </w:tcPr>
          <w:p w14:paraId="79CEA5F6">
            <w:pPr>
              <w:adjustRightInd w:val="0"/>
              <w:snapToGrid w:val="0"/>
              <w:spacing w:line="560" w:lineRule="exact"/>
              <w:rPr>
                <w:rFonts w:eastAsia="黑体"/>
                <w:color w:val="000000"/>
                <w:szCs w:val="21"/>
                <w:highlight w:val="none"/>
              </w:rPr>
            </w:pPr>
          </w:p>
        </w:tc>
      </w:tr>
      <w:tr w14:paraId="054F7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1A46911A">
            <w:pPr>
              <w:adjustRightInd w:val="0"/>
              <w:snapToGrid w:val="0"/>
              <w:spacing w:line="560" w:lineRule="exact"/>
              <w:rPr>
                <w:rFonts w:eastAsia="黑体"/>
                <w:color w:val="000000"/>
                <w:szCs w:val="21"/>
                <w:highlight w:val="none"/>
              </w:rPr>
            </w:pPr>
          </w:p>
        </w:tc>
        <w:tc>
          <w:tcPr>
            <w:tcW w:w="3756" w:type="dxa"/>
            <w:gridSpan w:val="4"/>
            <w:noWrap w:val="0"/>
            <w:vAlign w:val="top"/>
          </w:tcPr>
          <w:p w14:paraId="6C9CCCEA">
            <w:pPr>
              <w:adjustRightInd w:val="0"/>
              <w:snapToGrid w:val="0"/>
              <w:spacing w:line="560" w:lineRule="exact"/>
              <w:rPr>
                <w:rFonts w:eastAsia="黑体"/>
                <w:color w:val="000000"/>
                <w:szCs w:val="21"/>
                <w:highlight w:val="none"/>
              </w:rPr>
            </w:pPr>
          </w:p>
        </w:tc>
        <w:tc>
          <w:tcPr>
            <w:tcW w:w="1385" w:type="dxa"/>
            <w:noWrap w:val="0"/>
            <w:vAlign w:val="top"/>
          </w:tcPr>
          <w:p w14:paraId="17718F5E">
            <w:pPr>
              <w:adjustRightInd w:val="0"/>
              <w:snapToGrid w:val="0"/>
              <w:spacing w:line="560" w:lineRule="exact"/>
              <w:rPr>
                <w:rFonts w:eastAsia="黑体"/>
                <w:color w:val="000000"/>
                <w:szCs w:val="21"/>
                <w:highlight w:val="none"/>
              </w:rPr>
            </w:pPr>
          </w:p>
        </w:tc>
        <w:tc>
          <w:tcPr>
            <w:tcW w:w="2522" w:type="dxa"/>
            <w:gridSpan w:val="2"/>
            <w:noWrap w:val="0"/>
            <w:vAlign w:val="top"/>
          </w:tcPr>
          <w:p w14:paraId="54924605">
            <w:pPr>
              <w:adjustRightInd w:val="0"/>
              <w:snapToGrid w:val="0"/>
              <w:spacing w:line="560" w:lineRule="exact"/>
              <w:rPr>
                <w:rFonts w:eastAsia="黑体"/>
                <w:color w:val="000000"/>
                <w:szCs w:val="21"/>
                <w:highlight w:val="none"/>
              </w:rPr>
            </w:pPr>
          </w:p>
        </w:tc>
      </w:tr>
      <w:tr w14:paraId="5941E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49D1D984">
            <w:pPr>
              <w:adjustRightInd w:val="0"/>
              <w:snapToGrid w:val="0"/>
              <w:spacing w:line="560" w:lineRule="exact"/>
              <w:rPr>
                <w:rFonts w:eastAsia="黑体"/>
                <w:color w:val="000000"/>
                <w:szCs w:val="21"/>
                <w:highlight w:val="none"/>
              </w:rPr>
            </w:pPr>
          </w:p>
        </w:tc>
        <w:tc>
          <w:tcPr>
            <w:tcW w:w="3756" w:type="dxa"/>
            <w:gridSpan w:val="4"/>
            <w:noWrap w:val="0"/>
            <w:vAlign w:val="top"/>
          </w:tcPr>
          <w:p w14:paraId="15F4F7E0">
            <w:pPr>
              <w:adjustRightInd w:val="0"/>
              <w:snapToGrid w:val="0"/>
              <w:spacing w:line="560" w:lineRule="exact"/>
              <w:rPr>
                <w:rFonts w:eastAsia="黑体"/>
                <w:color w:val="000000"/>
                <w:szCs w:val="21"/>
                <w:highlight w:val="none"/>
              </w:rPr>
            </w:pPr>
          </w:p>
        </w:tc>
        <w:tc>
          <w:tcPr>
            <w:tcW w:w="1385" w:type="dxa"/>
            <w:noWrap w:val="0"/>
            <w:vAlign w:val="top"/>
          </w:tcPr>
          <w:p w14:paraId="587E4EDE">
            <w:pPr>
              <w:adjustRightInd w:val="0"/>
              <w:snapToGrid w:val="0"/>
              <w:spacing w:line="560" w:lineRule="exact"/>
              <w:rPr>
                <w:rFonts w:eastAsia="黑体"/>
                <w:color w:val="000000"/>
                <w:szCs w:val="21"/>
                <w:highlight w:val="none"/>
              </w:rPr>
            </w:pPr>
          </w:p>
        </w:tc>
        <w:tc>
          <w:tcPr>
            <w:tcW w:w="2522" w:type="dxa"/>
            <w:gridSpan w:val="2"/>
            <w:noWrap w:val="0"/>
            <w:vAlign w:val="top"/>
          </w:tcPr>
          <w:p w14:paraId="06CD4EDB">
            <w:pPr>
              <w:adjustRightInd w:val="0"/>
              <w:snapToGrid w:val="0"/>
              <w:spacing w:line="560" w:lineRule="exact"/>
              <w:rPr>
                <w:rFonts w:eastAsia="黑体"/>
                <w:color w:val="000000"/>
                <w:szCs w:val="21"/>
                <w:highlight w:val="none"/>
              </w:rPr>
            </w:pPr>
          </w:p>
        </w:tc>
      </w:tr>
      <w:tr w14:paraId="19474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00A282F9">
            <w:pPr>
              <w:adjustRightInd w:val="0"/>
              <w:snapToGrid w:val="0"/>
              <w:spacing w:line="560" w:lineRule="exact"/>
              <w:rPr>
                <w:rFonts w:eastAsia="黑体"/>
                <w:color w:val="000000"/>
                <w:szCs w:val="21"/>
                <w:highlight w:val="none"/>
              </w:rPr>
            </w:pPr>
          </w:p>
        </w:tc>
        <w:tc>
          <w:tcPr>
            <w:tcW w:w="3756" w:type="dxa"/>
            <w:gridSpan w:val="4"/>
            <w:noWrap w:val="0"/>
            <w:vAlign w:val="top"/>
          </w:tcPr>
          <w:p w14:paraId="77820B50">
            <w:pPr>
              <w:adjustRightInd w:val="0"/>
              <w:snapToGrid w:val="0"/>
              <w:spacing w:line="560" w:lineRule="exact"/>
              <w:rPr>
                <w:rFonts w:eastAsia="黑体"/>
                <w:color w:val="000000"/>
                <w:szCs w:val="21"/>
                <w:highlight w:val="none"/>
              </w:rPr>
            </w:pPr>
          </w:p>
        </w:tc>
        <w:tc>
          <w:tcPr>
            <w:tcW w:w="1385" w:type="dxa"/>
            <w:noWrap w:val="0"/>
            <w:vAlign w:val="top"/>
          </w:tcPr>
          <w:p w14:paraId="04C6DEDB">
            <w:pPr>
              <w:adjustRightInd w:val="0"/>
              <w:snapToGrid w:val="0"/>
              <w:spacing w:line="560" w:lineRule="exact"/>
              <w:rPr>
                <w:rFonts w:eastAsia="黑体"/>
                <w:color w:val="000000"/>
                <w:szCs w:val="21"/>
                <w:highlight w:val="none"/>
              </w:rPr>
            </w:pPr>
          </w:p>
        </w:tc>
        <w:tc>
          <w:tcPr>
            <w:tcW w:w="2522" w:type="dxa"/>
            <w:gridSpan w:val="2"/>
            <w:noWrap w:val="0"/>
            <w:vAlign w:val="top"/>
          </w:tcPr>
          <w:p w14:paraId="5090A6A8">
            <w:pPr>
              <w:adjustRightInd w:val="0"/>
              <w:snapToGrid w:val="0"/>
              <w:spacing w:line="560" w:lineRule="exact"/>
              <w:rPr>
                <w:rFonts w:eastAsia="黑体"/>
                <w:color w:val="000000"/>
                <w:szCs w:val="21"/>
                <w:highlight w:val="none"/>
              </w:rPr>
            </w:pPr>
          </w:p>
        </w:tc>
      </w:tr>
      <w:tr w14:paraId="73582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304EC081">
            <w:pPr>
              <w:adjustRightInd w:val="0"/>
              <w:snapToGrid w:val="0"/>
              <w:spacing w:line="560" w:lineRule="exact"/>
              <w:rPr>
                <w:rFonts w:eastAsia="黑体"/>
                <w:color w:val="000000"/>
                <w:szCs w:val="21"/>
                <w:highlight w:val="none"/>
              </w:rPr>
            </w:pPr>
          </w:p>
        </w:tc>
        <w:tc>
          <w:tcPr>
            <w:tcW w:w="3756" w:type="dxa"/>
            <w:gridSpan w:val="4"/>
            <w:noWrap w:val="0"/>
            <w:vAlign w:val="top"/>
          </w:tcPr>
          <w:p w14:paraId="2BCAD5DF">
            <w:pPr>
              <w:adjustRightInd w:val="0"/>
              <w:snapToGrid w:val="0"/>
              <w:spacing w:line="560" w:lineRule="exact"/>
              <w:rPr>
                <w:rFonts w:eastAsia="黑体"/>
                <w:color w:val="000000"/>
                <w:szCs w:val="21"/>
                <w:highlight w:val="none"/>
              </w:rPr>
            </w:pPr>
          </w:p>
        </w:tc>
        <w:tc>
          <w:tcPr>
            <w:tcW w:w="1385" w:type="dxa"/>
            <w:noWrap w:val="0"/>
            <w:vAlign w:val="top"/>
          </w:tcPr>
          <w:p w14:paraId="6C0A4666">
            <w:pPr>
              <w:adjustRightInd w:val="0"/>
              <w:snapToGrid w:val="0"/>
              <w:spacing w:line="560" w:lineRule="exact"/>
              <w:rPr>
                <w:rFonts w:eastAsia="黑体"/>
                <w:color w:val="000000"/>
                <w:szCs w:val="21"/>
                <w:highlight w:val="none"/>
              </w:rPr>
            </w:pPr>
          </w:p>
        </w:tc>
        <w:tc>
          <w:tcPr>
            <w:tcW w:w="2522" w:type="dxa"/>
            <w:gridSpan w:val="2"/>
            <w:noWrap w:val="0"/>
            <w:vAlign w:val="top"/>
          </w:tcPr>
          <w:p w14:paraId="614EEB1D">
            <w:pPr>
              <w:adjustRightInd w:val="0"/>
              <w:snapToGrid w:val="0"/>
              <w:spacing w:line="560" w:lineRule="exact"/>
              <w:rPr>
                <w:rFonts w:eastAsia="黑体"/>
                <w:color w:val="000000"/>
                <w:szCs w:val="21"/>
                <w:highlight w:val="none"/>
              </w:rPr>
            </w:pPr>
          </w:p>
        </w:tc>
      </w:tr>
      <w:tr w14:paraId="7860B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1736661C">
            <w:pPr>
              <w:adjustRightInd w:val="0"/>
              <w:snapToGrid w:val="0"/>
              <w:spacing w:line="560" w:lineRule="exact"/>
              <w:rPr>
                <w:rFonts w:eastAsia="黑体"/>
                <w:color w:val="000000"/>
                <w:szCs w:val="21"/>
                <w:highlight w:val="none"/>
              </w:rPr>
            </w:pPr>
          </w:p>
        </w:tc>
        <w:tc>
          <w:tcPr>
            <w:tcW w:w="3756" w:type="dxa"/>
            <w:gridSpan w:val="4"/>
            <w:noWrap w:val="0"/>
            <w:vAlign w:val="top"/>
          </w:tcPr>
          <w:p w14:paraId="733CDFA2">
            <w:pPr>
              <w:adjustRightInd w:val="0"/>
              <w:snapToGrid w:val="0"/>
              <w:spacing w:line="560" w:lineRule="exact"/>
              <w:rPr>
                <w:rFonts w:eastAsia="黑体"/>
                <w:color w:val="000000"/>
                <w:szCs w:val="21"/>
                <w:highlight w:val="none"/>
              </w:rPr>
            </w:pPr>
          </w:p>
        </w:tc>
        <w:tc>
          <w:tcPr>
            <w:tcW w:w="1385" w:type="dxa"/>
            <w:noWrap w:val="0"/>
            <w:vAlign w:val="top"/>
          </w:tcPr>
          <w:p w14:paraId="02E6C169">
            <w:pPr>
              <w:adjustRightInd w:val="0"/>
              <w:snapToGrid w:val="0"/>
              <w:spacing w:line="560" w:lineRule="exact"/>
              <w:rPr>
                <w:rFonts w:eastAsia="黑体"/>
                <w:color w:val="000000"/>
                <w:szCs w:val="21"/>
                <w:highlight w:val="none"/>
              </w:rPr>
            </w:pPr>
          </w:p>
        </w:tc>
        <w:tc>
          <w:tcPr>
            <w:tcW w:w="2522" w:type="dxa"/>
            <w:gridSpan w:val="2"/>
            <w:noWrap w:val="0"/>
            <w:vAlign w:val="top"/>
          </w:tcPr>
          <w:p w14:paraId="4801FC83">
            <w:pPr>
              <w:adjustRightInd w:val="0"/>
              <w:snapToGrid w:val="0"/>
              <w:spacing w:line="560" w:lineRule="exact"/>
              <w:rPr>
                <w:rFonts w:eastAsia="黑体"/>
                <w:color w:val="000000"/>
                <w:szCs w:val="21"/>
                <w:highlight w:val="none"/>
              </w:rPr>
            </w:pPr>
          </w:p>
        </w:tc>
      </w:tr>
      <w:tr w14:paraId="6C2C3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420CDFCC">
            <w:pPr>
              <w:adjustRightInd w:val="0"/>
              <w:snapToGrid w:val="0"/>
              <w:spacing w:line="560" w:lineRule="exact"/>
              <w:rPr>
                <w:rFonts w:eastAsia="黑体"/>
                <w:color w:val="000000"/>
                <w:szCs w:val="21"/>
                <w:highlight w:val="none"/>
              </w:rPr>
            </w:pPr>
          </w:p>
        </w:tc>
        <w:tc>
          <w:tcPr>
            <w:tcW w:w="3756" w:type="dxa"/>
            <w:gridSpan w:val="4"/>
            <w:noWrap w:val="0"/>
            <w:vAlign w:val="top"/>
          </w:tcPr>
          <w:p w14:paraId="2E72F517">
            <w:pPr>
              <w:adjustRightInd w:val="0"/>
              <w:snapToGrid w:val="0"/>
              <w:spacing w:line="560" w:lineRule="exact"/>
              <w:rPr>
                <w:rFonts w:eastAsia="黑体"/>
                <w:color w:val="000000"/>
                <w:szCs w:val="21"/>
                <w:highlight w:val="none"/>
              </w:rPr>
            </w:pPr>
          </w:p>
        </w:tc>
        <w:tc>
          <w:tcPr>
            <w:tcW w:w="1385" w:type="dxa"/>
            <w:noWrap w:val="0"/>
            <w:vAlign w:val="top"/>
          </w:tcPr>
          <w:p w14:paraId="5666AFD0">
            <w:pPr>
              <w:adjustRightInd w:val="0"/>
              <w:snapToGrid w:val="0"/>
              <w:spacing w:line="560" w:lineRule="exact"/>
              <w:rPr>
                <w:rFonts w:eastAsia="黑体"/>
                <w:color w:val="000000"/>
                <w:szCs w:val="21"/>
                <w:highlight w:val="none"/>
              </w:rPr>
            </w:pPr>
          </w:p>
        </w:tc>
        <w:tc>
          <w:tcPr>
            <w:tcW w:w="2522" w:type="dxa"/>
            <w:gridSpan w:val="2"/>
            <w:noWrap w:val="0"/>
            <w:vAlign w:val="top"/>
          </w:tcPr>
          <w:p w14:paraId="489AD455">
            <w:pPr>
              <w:adjustRightInd w:val="0"/>
              <w:snapToGrid w:val="0"/>
              <w:spacing w:line="560" w:lineRule="exact"/>
              <w:rPr>
                <w:rFonts w:eastAsia="黑体"/>
                <w:color w:val="000000"/>
                <w:szCs w:val="21"/>
                <w:highlight w:val="none"/>
              </w:rPr>
            </w:pPr>
          </w:p>
        </w:tc>
      </w:tr>
      <w:tr w14:paraId="2B9A3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1697" w:type="dxa"/>
            <w:gridSpan w:val="2"/>
            <w:noWrap w:val="0"/>
            <w:vAlign w:val="top"/>
          </w:tcPr>
          <w:p w14:paraId="5A906199">
            <w:pPr>
              <w:adjustRightInd w:val="0"/>
              <w:snapToGrid w:val="0"/>
              <w:spacing w:line="560" w:lineRule="exact"/>
              <w:rPr>
                <w:rFonts w:eastAsia="黑体"/>
                <w:color w:val="000000"/>
                <w:szCs w:val="21"/>
                <w:highlight w:val="none"/>
              </w:rPr>
            </w:pPr>
          </w:p>
        </w:tc>
        <w:tc>
          <w:tcPr>
            <w:tcW w:w="3756" w:type="dxa"/>
            <w:gridSpan w:val="4"/>
            <w:noWrap w:val="0"/>
            <w:vAlign w:val="top"/>
          </w:tcPr>
          <w:p w14:paraId="1D9EDC42">
            <w:pPr>
              <w:adjustRightInd w:val="0"/>
              <w:snapToGrid w:val="0"/>
              <w:spacing w:line="560" w:lineRule="exact"/>
              <w:rPr>
                <w:rFonts w:eastAsia="黑体"/>
                <w:color w:val="000000"/>
                <w:szCs w:val="21"/>
                <w:highlight w:val="none"/>
              </w:rPr>
            </w:pPr>
          </w:p>
        </w:tc>
        <w:tc>
          <w:tcPr>
            <w:tcW w:w="1385" w:type="dxa"/>
            <w:noWrap w:val="0"/>
            <w:vAlign w:val="top"/>
          </w:tcPr>
          <w:p w14:paraId="046A81FF">
            <w:pPr>
              <w:adjustRightInd w:val="0"/>
              <w:snapToGrid w:val="0"/>
              <w:spacing w:line="560" w:lineRule="exact"/>
              <w:rPr>
                <w:rFonts w:eastAsia="黑体"/>
                <w:color w:val="000000"/>
                <w:szCs w:val="21"/>
                <w:highlight w:val="none"/>
              </w:rPr>
            </w:pPr>
          </w:p>
        </w:tc>
        <w:tc>
          <w:tcPr>
            <w:tcW w:w="2522" w:type="dxa"/>
            <w:gridSpan w:val="2"/>
            <w:noWrap w:val="0"/>
            <w:vAlign w:val="top"/>
          </w:tcPr>
          <w:p w14:paraId="13B73542">
            <w:pPr>
              <w:adjustRightInd w:val="0"/>
              <w:snapToGrid w:val="0"/>
              <w:spacing w:line="560" w:lineRule="exact"/>
              <w:rPr>
                <w:rFonts w:eastAsia="黑体"/>
                <w:color w:val="000000"/>
                <w:szCs w:val="21"/>
                <w:highlight w:val="none"/>
              </w:rPr>
            </w:pPr>
          </w:p>
        </w:tc>
      </w:tr>
      <w:tr w14:paraId="4432D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1697" w:type="dxa"/>
            <w:gridSpan w:val="2"/>
            <w:noWrap w:val="0"/>
            <w:vAlign w:val="top"/>
          </w:tcPr>
          <w:p w14:paraId="65DE13FE">
            <w:pPr>
              <w:adjustRightInd w:val="0"/>
              <w:snapToGrid w:val="0"/>
              <w:spacing w:line="560" w:lineRule="exact"/>
              <w:rPr>
                <w:rFonts w:eastAsia="黑体"/>
                <w:color w:val="000000"/>
                <w:szCs w:val="21"/>
                <w:highlight w:val="none"/>
              </w:rPr>
            </w:pPr>
          </w:p>
        </w:tc>
        <w:tc>
          <w:tcPr>
            <w:tcW w:w="3756" w:type="dxa"/>
            <w:gridSpan w:val="4"/>
            <w:noWrap w:val="0"/>
            <w:vAlign w:val="top"/>
          </w:tcPr>
          <w:p w14:paraId="774923BD">
            <w:pPr>
              <w:adjustRightInd w:val="0"/>
              <w:snapToGrid w:val="0"/>
              <w:spacing w:line="560" w:lineRule="exact"/>
              <w:rPr>
                <w:rFonts w:eastAsia="黑体"/>
                <w:color w:val="000000"/>
                <w:szCs w:val="21"/>
                <w:highlight w:val="none"/>
              </w:rPr>
            </w:pPr>
          </w:p>
        </w:tc>
        <w:tc>
          <w:tcPr>
            <w:tcW w:w="1385" w:type="dxa"/>
            <w:noWrap w:val="0"/>
            <w:vAlign w:val="top"/>
          </w:tcPr>
          <w:p w14:paraId="03D0081B">
            <w:pPr>
              <w:adjustRightInd w:val="0"/>
              <w:snapToGrid w:val="0"/>
              <w:spacing w:line="560" w:lineRule="exact"/>
              <w:rPr>
                <w:rFonts w:eastAsia="黑体"/>
                <w:color w:val="000000"/>
                <w:szCs w:val="21"/>
                <w:highlight w:val="none"/>
              </w:rPr>
            </w:pPr>
          </w:p>
        </w:tc>
        <w:tc>
          <w:tcPr>
            <w:tcW w:w="2522" w:type="dxa"/>
            <w:gridSpan w:val="2"/>
            <w:noWrap w:val="0"/>
            <w:vAlign w:val="top"/>
          </w:tcPr>
          <w:p w14:paraId="205AD085">
            <w:pPr>
              <w:adjustRightInd w:val="0"/>
              <w:snapToGrid w:val="0"/>
              <w:spacing w:line="560" w:lineRule="exact"/>
              <w:rPr>
                <w:rFonts w:eastAsia="黑体"/>
                <w:color w:val="000000"/>
                <w:szCs w:val="21"/>
                <w:highlight w:val="none"/>
              </w:rPr>
            </w:pPr>
          </w:p>
        </w:tc>
      </w:tr>
    </w:tbl>
    <w:p w14:paraId="6AA38C1E">
      <w:pPr>
        <w:pStyle w:val="5"/>
        <w:jc w:val="center"/>
        <w:rPr>
          <w:color w:val="000000"/>
          <w:sz w:val="23"/>
          <w:szCs w:val="23"/>
          <w:highlight w:val="none"/>
        </w:rPr>
      </w:pPr>
      <w:r>
        <w:rPr>
          <w:rFonts w:hint="eastAsia"/>
          <w:color w:val="000000"/>
          <w:highlight w:val="none"/>
        </w:rPr>
        <w:t>附表3：拟任项目技术负责人简历表</w:t>
      </w:r>
    </w:p>
    <w:tbl>
      <w:tblPr>
        <w:tblStyle w:val="18"/>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8"/>
        <w:gridCol w:w="396"/>
        <w:gridCol w:w="794"/>
        <w:gridCol w:w="1023"/>
        <w:gridCol w:w="1175"/>
        <w:gridCol w:w="781"/>
        <w:gridCol w:w="1390"/>
        <w:gridCol w:w="178"/>
        <w:gridCol w:w="2355"/>
      </w:tblGrid>
      <w:tr w14:paraId="72B55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308" w:type="dxa"/>
            <w:noWrap w:val="0"/>
            <w:vAlign w:val="center"/>
          </w:tcPr>
          <w:p w14:paraId="69E4C74B">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姓  名</w:t>
            </w:r>
          </w:p>
        </w:tc>
        <w:tc>
          <w:tcPr>
            <w:tcW w:w="1190" w:type="dxa"/>
            <w:gridSpan w:val="2"/>
            <w:noWrap w:val="0"/>
            <w:vAlign w:val="center"/>
          </w:tcPr>
          <w:p w14:paraId="6E856264">
            <w:pPr>
              <w:adjustRightInd w:val="0"/>
              <w:snapToGrid w:val="0"/>
              <w:spacing w:line="560" w:lineRule="exact"/>
              <w:jc w:val="center"/>
              <w:rPr>
                <w:rFonts w:ascii="宋体" w:hAnsi="宋体"/>
                <w:color w:val="000000"/>
                <w:szCs w:val="21"/>
                <w:highlight w:val="none"/>
              </w:rPr>
            </w:pPr>
          </w:p>
        </w:tc>
        <w:tc>
          <w:tcPr>
            <w:tcW w:w="1023" w:type="dxa"/>
            <w:noWrap w:val="0"/>
            <w:vAlign w:val="center"/>
          </w:tcPr>
          <w:p w14:paraId="752093A6">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年 龄</w:t>
            </w:r>
          </w:p>
        </w:tc>
        <w:tc>
          <w:tcPr>
            <w:tcW w:w="1175" w:type="dxa"/>
            <w:noWrap w:val="0"/>
            <w:vAlign w:val="center"/>
          </w:tcPr>
          <w:p w14:paraId="032A197C">
            <w:pPr>
              <w:adjustRightInd w:val="0"/>
              <w:snapToGrid w:val="0"/>
              <w:spacing w:line="560" w:lineRule="exact"/>
              <w:jc w:val="center"/>
              <w:rPr>
                <w:rFonts w:ascii="宋体" w:hAnsi="宋体"/>
                <w:color w:val="000000"/>
                <w:szCs w:val="21"/>
                <w:highlight w:val="none"/>
              </w:rPr>
            </w:pPr>
          </w:p>
        </w:tc>
        <w:tc>
          <w:tcPr>
            <w:tcW w:w="2349" w:type="dxa"/>
            <w:gridSpan w:val="3"/>
            <w:noWrap w:val="0"/>
            <w:vAlign w:val="center"/>
          </w:tcPr>
          <w:p w14:paraId="159398EC">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学历</w:t>
            </w:r>
          </w:p>
        </w:tc>
        <w:tc>
          <w:tcPr>
            <w:tcW w:w="2355" w:type="dxa"/>
            <w:noWrap w:val="0"/>
            <w:vAlign w:val="center"/>
          </w:tcPr>
          <w:p w14:paraId="2539721C">
            <w:pPr>
              <w:adjustRightInd w:val="0"/>
              <w:snapToGrid w:val="0"/>
              <w:spacing w:line="560" w:lineRule="exact"/>
              <w:rPr>
                <w:rFonts w:ascii="宋体" w:hAnsi="宋体"/>
                <w:color w:val="000000"/>
                <w:szCs w:val="21"/>
                <w:highlight w:val="none"/>
              </w:rPr>
            </w:pPr>
          </w:p>
        </w:tc>
      </w:tr>
      <w:tr w14:paraId="10120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308" w:type="dxa"/>
            <w:noWrap w:val="0"/>
            <w:vAlign w:val="center"/>
          </w:tcPr>
          <w:p w14:paraId="6E6A5D07">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职  称</w:t>
            </w:r>
          </w:p>
        </w:tc>
        <w:tc>
          <w:tcPr>
            <w:tcW w:w="1190" w:type="dxa"/>
            <w:gridSpan w:val="2"/>
            <w:noWrap w:val="0"/>
            <w:vAlign w:val="center"/>
          </w:tcPr>
          <w:p w14:paraId="2B4F3ED7">
            <w:pPr>
              <w:adjustRightInd w:val="0"/>
              <w:snapToGrid w:val="0"/>
              <w:spacing w:line="560" w:lineRule="exact"/>
              <w:jc w:val="center"/>
              <w:rPr>
                <w:rFonts w:ascii="宋体" w:hAnsi="宋体"/>
                <w:color w:val="000000"/>
                <w:szCs w:val="21"/>
                <w:highlight w:val="none"/>
              </w:rPr>
            </w:pPr>
          </w:p>
        </w:tc>
        <w:tc>
          <w:tcPr>
            <w:tcW w:w="1023" w:type="dxa"/>
            <w:noWrap w:val="0"/>
            <w:vAlign w:val="center"/>
          </w:tcPr>
          <w:p w14:paraId="711BCC70">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职 务</w:t>
            </w:r>
          </w:p>
        </w:tc>
        <w:tc>
          <w:tcPr>
            <w:tcW w:w="1175" w:type="dxa"/>
            <w:noWrap w:val="0"/>
            <w:vAlign w:val="center"/>
          </w:tcPr>
          <w:p w14:paraId="63FF3B8E">
            <w:pPr>
              <w:adjustRightInd w:val="0"/>
              <w:snapToGrid w:val="0"/>
              <w:spacing w:line="560" w:lineRule="exact"/>
              <w:jc w:val="center"/>
              <w:rPr>
                <w:rFonts w:ascii="宋体" w:hAnsi="宋体"/>
                <w:color w:val="000000"/>
                <w:szCs w:val="21"/>
                <w:highlight w:val="none"/>
              </w:rPr>
            </w:pPr>
          </w:p>
        </w:tc>
        <w:tc>
          <w:tcPr>
            <w:tcW w:w="2349" w:type="dxa"/>
            <w:gridSpan w:val="3"/>
            <w:noWrap w:val="0"/>
            <w:vAlign w:val="center"/>
          </w:tcPr>
          <w:p w14:paraId="73013B78">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拟在本合同任职</w:t>
            </w:r>
          </w:p>
        </w:tc>
        <w:tc>
          <w:tcPr>
            <w:tcW w:w="2355" w:type="dxa"/>
            <w:noWrap w:val="0"/>
            <w:vAlign w:val="center"/>
          </w:tcPr>
          <w:p w14:paraId="0D0DE017">
            <w:pPr>
              <w:adjustRightInd w:val="0"/>
              <w:snapToGrid w:val="0"/>
              <w:spacing w:line="560" w:lineRule="exact"/>
              <w:rPr>
                <w:rFonts w:ascii="宋体" w:hAnsi="宋体"/>
                <w:color w:val="000000"/>
                <w:szCs w:val="21"/>
                <w:highlight w:val="none"/>
              </w:rPr>
            </w:pPr>
          </w:p>
        </w:tc>
      </w:tr>
      <w:tr w14:paraId="71D75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308" w:type="dxa"/>
            <w:noWrap w:val="0"/>
            <w:vAlign w:val="center"/>
          </w:tcPr>
          <w:p w14:paraId="22045970">
            <w:pPr>
              <w:adjustRightInd w:val="0"/>
              <w:snapToGrid w:val="0"/>
              <w:spacing w:line="560" w:lineRule="exact"/>
              <w:rPr>
                <w:rFonts w:ascii="宋体" w:hAnsi="宋体"/>
                <w:color w:val="000000"/>
                <w:szCs w:val="21"/>
                <w:highlight w:val="none"/>
              </w:rPr>
            </w:pPr>
            <w:r>
              <w:rPr>
                <w:rFonts w:ascii="宋体" w:hAnsi="宋体"/>
                <w:color w:val="000000"/>
                <w:szCs w:val="21"/>
                <w:highlight w:val="none"/>
              </w:rPr>
              <w:t>毕业学校</w:t>
            </w:r>
          </w:p>
        </w:tc>
        <w:tc>
          <w:tcPr>
            <w:tcW w:w="8092" w:type="dxa"/>
            <w:gridSpan w:val="8"/>
            <w:noWrap w:val="0"/>
            <w:vAlign w:val="top"/>
          </w:tcPr>
          <w:p w14:paraId="6A41CBB0">
            <w:pPr>
              <w:adjustRightInd w:val="0"/>
              <w:snapToGrid w:val="0"/>
              <w:spacing w:line="560" w:lineRule="exact"/>
              <w:rPr>
                <w:rFonts w:ascii="宋体" w:hAnsi="宋体"/>
                <w:color w:val="000000"/>
                <w:szCs w:val="21"/>
                <w:highlight w:val="none"/>
              </w:rPr>
            </w:pPr>
            <w:r>
              <w:rPr>
                <w:rFonts w:ascii="宋体" w:hAnsi="宋体"/>
                <w:color w:val="000000"/>
                <w:szCs w:val="21"/>
                <w:highlight w:val="none"/>
              </w:rPr>
              <w:t xml:space="preserve">      年毕业于            学校        专业</w:t>
            </w:r>
          </w:p>
        </w:tc>
      </w:tr>
      <w:tr w14:paraId="79DFA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400" w:type="dxa"/>
            <w:gridSpan w:val="9"/>
            <w:noWrap w:val="0"/>
            <w:vAlign w:val="center"/>
          </w:tcPr>
          <w:p w14:paraId="07A453DB">
            <w:pPr>
              <w:adjustRightInd w:val="0"/>
              <w:snapToGrid w:val="0"/>
              <w:spacing w:line="560" w:lineRule="exact"/>
              <w:rPr>
                <w:rFonts w:ascii="宋体" w:hAnsi="宋体"/>
                <w:color w:val="000000"/>
                <w:szCs w:val="21"/>
                <w:highlight w:val="none"/>
              </w:rPr>
            </w:pPr>
            <w:r>
              <w:rPr>
                <w:rFonts w:ascii="宋体" w:hAnsi="宋体"/>
                <w:color w:val="000000"/>
                <w:szCs w:val="21"/>
                <w:highlight w:val="none"/>
              </w:rPr>
              <w:t>主要工作经历</w:t>
            </w:r>
          </w:p>
        </w:tc>
      </w:tr>
      <w:tr w14:paraId="563E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704" w:type="dxa"/>
            <w:gridSpan w:val="2"/>
            <w:noWrap w:val="0"/>
            <w:vAlign w:val="center"/>
          </w:tcPr>
          <w:p w14:paraId="5263035C">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时  间</w:t>
            </w:r>
          </w:p>
        </w:tc>
        <w:tc>
          <w:tcPr>
            <w:tcW w:w="3773" w:type="dxa"/>
            <w:gridSpan w:val="4"/>
            <w:noWrap w:val="0"/>
            <w:vAlign w:val="center"/>
          </w:tcPr>
          <w:p w14:paraId="3954E797">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参加过的类似项目</w:t>
            </w:r>
          </w:p>
        </w:tc>
        <w:tc>
          <w:tcPr>
            <w:tcW w:w="1390" w:type="dxa"/>
            <w:noWrap w:val="0"/>
            <w:vAlign w:val="center"/>
          </w:tcPr>
          <w:p w14:paraId="2DE2FD55">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担任职务</w:t>
            </w:r>
          </w:p>
        </w:tc>
        <w:tc>
          <w:tcPr>
            <w:tcW w:w="2533" w:type="dxa"/>
            <w:gridSpan w:val="2"/>
            <w:noWrap w:val="0"/>
            <w:vAlign w:val="center"/>
          </w:tcPr>
          <w:p w14:paraId="37C038B3">
            <w:pPr>
              <w:adjustRightInd w:val="0"/>
              <w:snapToGrid w:val="0"/>
              <w:spacing w:line="560" w:lineRule="exact"/>
              <w:jc w:val="center"/>
              <w:rPr>
                <w:rFonts w:ascii="宋体" w:hAnsi="宋体"/>
                <w:color w:val="000000"/>
                <w:szCs w:val="21"/>
                <w:highlight w:val="none"/>
              </w:rPr>
            </w:pPr>
            <w:r>
              <w:rPr>
                <w:rFonts w:ascii="宋体" w:hAnsi="宋体"/>
                <w:color w:val="000000"/>
                <w:szCs w:val="21"/>
                <w:highlight w:val="none"/>
              </w:rPr>
              <w:t>发包人及联系电话</w:t>
            </w:r>
          </w:p>
        </w:tc>
      </w:tr>
      <w:tr w14:paraId="7270F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5325B8F6">
            <w:pPr>
              <w:adjustRightInd w:val="0"/>
              <w:snapToGrid w:val="0"/>
              <w:spacing w:line="560" w:lineRule="exact"/>
              <w:rPr>
                <w:rFonts w:eastAsia="黑体"/>
                <w:color w:val="000000"/>
                <w:szCs w:val="21"/>
                <w:highlight w:val="none"/>
              </w:rPr>
            </w:pPr>
          </w:p>
        </w:tc>
        <w:tc>
          <w:tcPr>
            <w:tcW w:w="3773" w:type="dxa"/>
            <w:gridSpan w:val="4"/>
            <w:noWrap w:val="0"/>
            <w:vAlign w:val="top"/>
          </w:tcPr>
          <w:p w14:paraId="78B8DAC1">
            <w:pPr>
              <w:adjustRightInd w:val="0"/>
              <w:snapToGrid w:val="0"/>
              <w:spacing w:line="560" w:lineRule="exact"/>
              <w:rPr>
                <w:rFonts w:eastAsia="黑体"/>
                <w:color w:val="000000"/>
                <w:szCs w:val="21"/>
                <w:highlight w:val="none"/>
              </w:rPr>
            </w:pPr>
          </w:p>
        </w:tc>
        <w:tc>
          <w:tcPr>
            <w:tcW w:w="1390" w:type="dxa"/>
            <w:noWrap w:val="0"/>
            <w:vAlign w:val="top"/>
          </w:tcPr>
          <w:p w14:paraId="12229A56">
            <w:pPr>
              <w:adjustRightInd w:val="0"/>
              <w:snapToGrid w:val="0"/>
              <w:spacing w:line="560" w:lineRule="exact"/>
              <w:rPr>
                <w:rFonts w:eastAsia="黑体"/>
                <w:color w:val="000000"/>
                <w:szCs w:val="21"/>
                <w:highlight w:val="none"/>
              </w:rPr>
            </w:pPr>
          </w:p>
        </w:tc>
        <w:tc>
          <w:tcPr>
            <w:tcW w:w="2533" w:type="dxa"/>
            <w:gridSpan w:val="2"/>
            <w:noWrap w:val="0"/>
            <w:vAlign w:val="top"/>
          </w:tcPr>
          <w:p w14:paraId="7A6AB3DA">
            <w:pPr>
              <w:adjustRightInd w:val="0"/>
              <w:snapToGrid w:val="0"/>
              <w:spacing w:line="560" w:lineRule="exact"/>
              <w:rPr>
                <w:rFonts w:eastAsia="黑体"/>
                <w:color w:val="000000"/>
                <w:szCs w:val="21"/>
                <w:highlight w:val="none"/>
              </w:rPr>
            </w:pPr>
          </w:p>
        </w:tc>
      </w:tr>
      <w:tr w14:paraId="25E8A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1785150C">
            <w:pPr>
              <w:adjustRightInd w:val="0"/>
              <w:snapToGrid w:val="0"/>
              <w:spacing w:line="560" w:lineRule="exact"/>
              <w:rPr>
                <w:rFonts w:eastAsia="黑体"/>
                <w:color w:val="000000"/>
                <w:szCs w:val="21"/>
                <w:highlight w:val="none"/>
              </w:rPr>
            </w:pPr>
          </w:p>
        </w:tc>
        <w:tc>
          <w:tcPr>
            <w:tcW w:w="3773" w:type="dxa"/>
            <w:gridSpan w:val="4"/>
            <w:noWrap w:val="0"/>
            <w:vAlign w:val="top"/>
          </w:tcPr>
          <w:p w14:paraId="3F2C945B">
            <w:pPr>
              <w:adjustRightInd w:val="0"/>
              <w:snapToGrid w:val="0"/>
              <w:spacing w:line="560" w:lineRule="exact"/>
              <w:rPr>
                <w:rFonts w:eastAsia="黑体"/>
                <w:color w:val="000000"/>
                <w:szCs w:val="21"/>
                <w:highlight w:val="none"/>
              </w:rPr>
            </w:pPr>
          </w:p>
        </w:tc>
        <w:tc>
          <w:tcPr>
            <w:tcW w:w="1390" w:type="dxa"/>
            <w:noWrap w:val="0"/>
            <w:vAlign w:val="top"/>
          </w:tcPr>
          <w:p w14:paraId="379B8B95">
            <w:pPr>
              <w:adjustRightInd w:val="0"/>
              <w:snapToGrid w:val="0"/>
              <w:spacing w:line="560" w:lineRule="exact"/>
              <w:rPr>
                <w:rFonts w:eastAsia="黑体"/>
                <w:color w:val="000000"/>
                <w:szCs w:val="21"/>
                <w:highlight w:val="none"/>
              </w:rPr>
            </w:pPr>
          </w:p>
        </w:tc>
        <w:tc>
          <w:tcPr>
            <w:tcW w:w="2533" w:type="dxa"/>
            <w:gridSpan w:val="2"/>
            <w:noWrap w:val="0"/>
            <w:vAlign w:val="top"/>
          </w:tcPr>
          <w:p w14:paraId="575EC0BB">
            <w:pPr>
              <w:adjustRightInd w:val="0"/>
              <w:snapToGrid w:val="0"/>
              <w:spacing w:line="560" w:lineRule="exact"/>
              <w:rPr>
                <w:rFonts w:eastAsia="黑体"/>
                <w:color w:val="000000"/>
                <w:szCs w:val="21"/>
                <w:highlight w:val="none"/>
              </w:rPr>
            </w:pPr>
          </w:p>
        </w:tc>
      </w:tr>
      <w:tr w14:paraId="29228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07C0096E">
            <w:pPr>
              <w:adjustRightInd w:val="0"/>
              <w:snapToGrid w:val="0"/>
              <w:spacing w:line="560" w:lineRule="exact"/>
              <w:rPr>
                <w:rFonts w:eastAsia="黑体"/>
                <w:color w:val="000000"/>
                <w:szCs w:val="21"/>
                <w:highlight w:val="none"/>
              </w:rPr>
            </w:pPr>
          </w:p>
        </w:tc>
        <w:tc>
          <w:tcPr>
            <w:tcW w:w="3773" w:type="dxa"/>
            <w:gridSpan w:val="4"/>
            <w:noWrap w:val="0"/>
            <w:vAlign w:val="top"/>
          </w:tcPr>
          <w:p w14:paraId="5B899399">
            <w:pPr>
              <w:adjustRightInd w:val="0"/>
              <w:snapToGrid w:val="0"/>
              <w:spacing w:line="560" w:lineRule="exact"/>
              <w:rPr>
                <w:rFonts w:eastAsia="黑体"/>
                <w:color w:val="000000"/>
                <w:szCs w:val="21"/>
                <w:highlight w:val="none"/>
              </w:rPr>
            </w:pPr>
          </w:p>
        </w:tc>
        <w:tc>
          <w:tcPr>
            <w:tcW w:w="1390" w:type="dxa"/>
            <w:noWrap w:val="0"/>
            <w:vAlign w:val="top"/>
          </w:tcPr>
          <w:p w14:paraId="3AD0903D">
            <w:pPr>
              <w:adjustRightInd w:val="0"/>
              <w:snapToGrid w:val="0"/>
              <w:spacing w:line="560" w:lineRule="exact"/>
              <w:rPr>
                <w:rFonts w:eastAsia="黑体"/>
                <w:color w:val="000000"/>
                <w:szCs w:val="21"/>
                <w:highlight w:val="none"/>
              </w:rPr>
            </w:pPr>
          </w:p>
        </w:tc>
        <w:tc>
          <w:tcPr>
            <w:tcW w:w="2533" w:type="dxa"/>
            <w:gridSpan w:val="2"/>
            <w:noWrap w:val="0"/>
            <w:vAlign w:val="top"/>
          </w:tcPr>
          <w:p w14:paraId="119F0854">
            <w:pPr>
              <w:adjustRightInd w:val="0"/>
              <w:snapToGrid w:val="0"/>
              <w:spacing w:line="560" w:lineRule="exact"/>
              <w:rPr>
                <w:rFonts w:eastAsia="黑体"/>
                <w:color w:val="000000"/>
                <w:szCs w:val="21"/>
                <w:highlight w:val="none"/>
              </w:rPr>
            </w:pPr>
          </w:p>
        </w:tc>
      </w:tr>
      <w:tr w14:paraId="3A38D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5EE60301">
            <w:pPr>
              <w:adjustRightInd w:val="0"/>
              <w:snapToGrid w:val="0"/>
              <w:spacing w:line="560" w:lineRule="exact"/>
              <w:rPr>
                <w:rFonts w:eastAsia="黑体"/>
                <w:color w:val="000000"/>
                <w:szCs w:val="21"/>
                <w:highlight w:val="none"/>
              </w:rPr>
            </w:pPr>
          </w:p>
        </w:tc>
        <w:tc>
          <w:tcPr>
            <w:tcW w:w="3773" w:type="dxa"/>
            <w:gridSpan w:val="4"/>
            <w:noWrap w:val="0"/>
            <w:vAlign w:val="top"/>
          </w:tcPr>
          <w:p w14:paraId="323F566D">
            <w:pPr>
              <w:adjustRightInd w:val="0"/>
              <w:snapToGrid w:val="0"/>
              <w:spacing w:line="560" w:lineRule="exact"/>
              <w:rPr>
                <w:rFonts w:eastAsia="黑体"/>
                <w:color w:val="000000"/>
                <w:szCs w:val="21"/>
                <w:highlight w:val="none"/>
              </w:rPr>
            </w:pPr>
          </w:p>
        </w:tc>
        <w:tc>
          <w:tcPr>
            <w:tcW w:w="1390" w:type="dxa"/>
            <w:noWrap w:val="0"/>
            <w:vAlign w:val="top"/>
          </w:tcPr>
          <w:p w14:paraId="7157D94F">
            <w:pPr>
              <w:adjustRightInd w:val="0"/>
              <w:snapToGrid w:val="0"/>
              <w:spacing w:line="560" w:lineRule="exact"/>
              <w:rPr>
                <w:rFonts w:eastAsia="黑体"/>
                <w:color w:val="000000"/>
                <w:szCs w:val="21"/>
                <w:highlight w:val="none"/>
              </w:rPr>
            </w:pPr>
          </w:p>
        </w:tc>
        <w:tc>
          <w:tcPr>
            <w:tcW w:w="2533" w:type="dxa"/>
            <w:gridSpan w:val="2"/>
            <w:noWrap w:val="0"/>
            <w:vAlign w:val="top"/>
          </w:tcPr>
          <w:p w14:paraId="36663419">
            <w:pPr>
              <w:adjustRightInd w:val="0"/>
              <w:snapToGrid w:val="0"/>
              <w:spacing w:line="560" w:lineRule="exact"/>
              <w:rPr>
                <w:rFonts w:eastAsia="黑体"/>
                <w:color w:val="000000"/>
                <w:szCs w:val="21"/>
                <w:highlight w:val="none"/>
              </w:rPr>
            </w:pPr>
          </w:p>
        </w:tc>
      </w:tr>
      <w:tr w14:paraId="360C7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64CD3913">
            <w:pPr>
              <w:adjustRightInd w:val="0"/>
              <w:snapToGrid w:val="0"/>
              <w:spacing w:line="560" w:lineRule="exact"/>
              <w:rPr>
                <w:rFonts w:eastAsia="黑体"/>
                <w:color w:val="000000"/>
                <w:szCs w:val="21"/>
                <w:highlight w:val="none"/>
              </w:rPr>
            </w:pPr>
          </w:p>
        </w:tc>
        <w:tc>
          <w:tcPr>
            <w:tcW w:w="3773" w:type="dxa"/>
            <w:gridSpan w:val="4"/>
            <w:noWrap w:val="0"/>
            <w:vAlign w:val="top"/>
          </w:tcPr>
          <w:p w14:paraId="430A9742">
            <w:pPr>
              <w:adjustRightInd w:val="0"/>
              <w:snapToGrid w:val="0"/>
              <w:spacing w:line="560" w:lineRule="exact"/>
              <w:rPr>
                <w:rFonts w:eastAsia="黑体"/>
                <w:color w:val="000000"/>
                <w:szCs w:val="21"/>
                <w:highlight w:val="none"/>
              </w:rPr>
            </w:pPr>
          </w:p>
        </w:tc>
        <w:tc>
          <w:tcPr>
            <w:tcW w:w="1390" w:type="dxa"/>
            <w:noWrap w:val="0"/>
            <w:vAlign w:val="top"/>
          </w:tcPr>
          <w:p w14:paraId="2E24C47B">
            <w:pPr>
              <w:adjustRightInd w:val="0"/>
              <w:snapToGrid w:val="0"/>
              <w:spacing w:line="560" w:lineRule="exact"/>
              <w:rPr>
                <w:rFonts w:eastAsia="黑体"/>
                <w:color w:val="000000"/>
                <w:szCs w:val="21"/>
                <w:highlight w:val="none"/>
              </w:rPr>
            </w:pPr>
          </w:p>
        </w:tc>
        <w:tc>
          <w:tcPr>
            <w:tcW w:w="2533" w:type="dxa"/>
            <w:gridSpan w:val="2"/>
            <w:noWrap w:val="0"/>
            <w:vAlign w:val="top"/>
          </w:tcPr>
          <w:p w14:paraId="16055AAE">
            <w:pPr>
              <w:adjustRightInd w:val="0"/>
              <w:snapToGrid w:val="0"/>
              <w:spacing w:line="560" w:lineRule="exact"/>
              <w:rPr>
                <w:rFonts w:eastAsia="黑体"/>
                <w:color w:val="000000"/>
                <w:szCs w:val="21"/>
                <w:highlight w:val="none"/>
              </w:rPr>
            </w:pPr>
          </w:p>
        </w:tc>
      </w:tr>
      <w:tr w14:paraId="1EE59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27505D4F">
            <w:pPr>
              <w:adjustRightInd w:val="0"/>
              <w:snapToGrid w:val="0"/>
              <w:spacing w:line="560" w:lineRule="exact"/>
              <w:rPr>
                <w:rFonts w:eastAsia="黑体"/>
                <w:color w:val="000000"/>
                <w:szCs w:val="21"/>
                <w:highlight w:val="none"/>
              </w:rPr>
            </w:pPr>
          </w:p>
        </w:tc>
        <w:tc>
          <w:tcPr>
            <w:tcW w:w="3773" w:type="dxa"/>
            <w:gridSpan w:val="4"/>
            <w:noWrap w:val="0"/>
            <w:vAlign w:val="top"/>
          </w:tcPr>
          <w:p w14:paraId="42D590A7">
            <w:pPr>
              <w:adjustRightInd w:val="0"/>
              <w:snapToGrid w:val="0"/>
              <w:spacing w:line="560" w:lineRule="exact"/>
              <w:rPr>
                <w:rFonts w:eastAsia="黑体"/>
                <w:color w:val="000000"/>
                <w:szCs w:val="21"/>
                <w:highlight w:val="none"/>
              </w:rPr>
            </w:pPr>
          </w:p>
        </w:tc>
        <w:tc>
          <w:tcPr>
            <w:tcW w:w="1390" w:type="dxa"/>
            <w:noWrap w:val="0"/>
            <w:vAlign w:val="top"/>
          </w:tcPr>
          <w:p w14:paraId="4033A1FE">
            <w:pPr>
              <w:adjustRightInd w:val="0"/>
              <w:snapToGrid w:val="0"/>
              <w:spacing w:line="560" w:lineRule="exact"/>
              <w:rPr>
                <w:rFonts w:eastAsia="黑体"/>
                <w:color w:val="000000"/>
                <w:szCs w:val="21"/>
                <w:highlight w:val="none"/>
              </w:rPr>
            </w:pPr>
          </w:p>
        </w:tc>
        <w:tc>
          <w:tcPr>
            <w:tcW w:w="2533" w:type="dxa"/>
            <w:gridSpan w:val="2"/>
            <w:noWrap w:val="0"/>
            <w:vAlign w:val="top"/>
          </w:tcPr>
          <w:p w14:paraId="5963ADE8">
            <w:pPr>
              <w:adjustRightInd w:val="0"/>
              <w:snapToGrid w:val="0"/>
              <w:spacing w:line="560" w:lineRule="exact"/>
              <w:rPr>
                <w:rFonts w:eastAsia="黑体"/>
                <w:color w:val="000000"/>
                <w:szCs w:val="21"/>
                <w:highlight w:val="none"/>
              </w:rPr>
            </w:pPr>
          </w:p>
        </w:tc>
      </w:tr>
      <w:tr w14:paraId="22865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6E7A233B">
            <w:pPr>
              <w:adjustRightInd w:val="0"/>
              <w:snapToGrid w:val="0"/>
              <w:spacing w:line="560" w:lineRule="exact"/>
              <w:rPr>
                <w:rFonts w:eastAsia="黑体"/>
                <w:color w:val="000000"/>
                <w:szCs w:val="21"/>
                <w:highlight w:val="none"/>
              </w:rPr>
            </w:pPr>
          </w:p>
        </w:tc>
        <w:tc>
          <w:tcPr>
            <w:tcW w:w="3773" w:type="dxa"/>
            <w:gridSpan w:val="4"/>
            <w:noWrap w:val="0"/>
            <w:vAlign w:val="top"/>
          </w:tcPr>
          <w:p w14:paraId="391B447E">
            <w:pPr>
              <w:adjustRightInd w:val="0"/>
              <w:snapToGrid w:val="0"/>
              <w:spacing w:line="560" w:lineRule="exact"/>
              <w:rPr>
                <w:rFonts w:eastAsia="黑体"/>
                <w:color w:val="000000"/>
                <w:szCs w:val="21"/>
                <w:highlight w:val="none"/>
              </w:rPr>
            </w:pPr>
          </w:p>
        </w:tc>
        <w:tc>
          <w:tcPr>
            <w:tcW w:w="1390" w:type="dxa"/>
            <w:noWrap w:val="0"/>
            <w:vAlign w:val="top"/>
          </w:tcPr>
          <w:p w14:paraId="77247B5D">
            <w:pPr>
              <w:adjustRightInd w:val="0"/>
              <w:snapToGrid w:val="0"/>
              <w:spacing w:line="560" w:lineRule="exact"/>
              <w:rPr>
                <w:rFonts w:eastAsia="黑体"/>
                <w:color w:val="000000"/>
                <w:szCs w:val="21"/>
                <w:highlight w:val="none"/>
              </w:rPr>
            </w:pPr>
          </w:p>
        </w:tc>
        <w:tc>
          <w:tcPr>
            <w:tcW w:w="2533" w:type="dxa"/>
            <w:gridSpan w:val="2"/>
            <w:noWrap w:val="0"/>
            <w:vAlign w:val="top"/>
          </w:tcPr>
          <w:p w14:paraId="438562AB">
            <w:pPr>
              <w:adjustRightInd w:val="0"/>
              <w:snapToGrid w:val="0"/>
              <w:spacing w:line="560" w:lineRule="exact"/>
              <w:rPr>
                <w:rFonts w:eastAsia="黑体"/>
                <w:color w:val="000000"/>
                <w:szCs w:val="21"/>
                <w:highlight w:val="none"/>
              </w:rPr>
            </w:pPr>
          </w:p>
        </w:tc>
      </w:tr>
      <w:tr w14:paraId="53F86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2CA11AC3">
            <w:pPr>
              <w:adjustRightInd w:val="0"/>
              <w:snapToGrid w:val="0"/>
              <w:spacing w:line="560" w:lineRule="exact"/>
              <w:rPr>
                <w:rFonts w:eastAsia="黑体"/>
                <w:color w:val="000000"/>
                <w:szCs w:val="21"/>
                <w:highlight w:val="none"/>
              </w:rPr>
            </w:pPr>
          </w:p>
        </w:tc>
        <w:tc>
          <w:tcPr>
            <w:tcW w:w="3773" w:type="dxa"/>
            <w:gridSpan w:val="4"/>
            <w:noWrap w:val="0"/>
            <w:vAlign w:val="top"/>
          </w:tcPr>
          <w:p w14:paraId="737D7707">
            <w:pPr>
              <w:adjustRightInd w:val="0"/>
              <w:snapToGrid w:val="0"/>
              <w:spacing w:line="560" w:lineRule="exact"/>
              <w:rPr>
                <w:rFonts w:eastAsia="黑体"/>
                <w:color w:val="000000"/>
                <w:szCs w:val="21"/>
                <w:highlight w:val="none"/>
              </w:rPr>
            </w:pPr>
          </w:p>
        </w:tc>
        <w:tc>
          <w:tcPr>
            <w:tcW w:w="1390" w:type="dxa"/>
            <w:noWrap w:val="0"/>
            <w:vAlign w:val="top"/>
          </w:tcPr>
          <w:p w14:paraId="2117E1FA">
            <w:pPr>
              <w:adjustRightInd w:val="0"/>
              <w:snapToGrid w:val="0"/>
              <w:spacing w:line="560" w:lineRule="exact"/>
              <w:rPr>
                <w:rFonts w:eastAsia="黑体"/>
                <w:color w:val="000000"/>
                <w:szCs w:val="21"/>
                <w:highlight w:val="none"/>
              </w:rPr>
            </w:pPr>
          </w:p>
        </w:tc>
        <w:tc>
          <w:tcPr>
            <w:tcW w:w="2533" w:type="dxa"/>
            <w:gridSpan w:val="2"/>
            <w:noWrap w:val="0"/>
            <w:vAlign w:val="top"/>
          </w:tcPr>
          <w:p w14:paraId="312A5BA5">
            <w:pPr>
              <w:adjustRightInd w:val="0"/>
              <w:snapToGrid w:val="0"/>
              <w:spacing w:line="560" w:lineRule="exact"/>
              <w:rPr>
                <w:rFonts w:eastAsia="黑体"/>
                <w:color w:val="000000"/>
                <w:szCs w:val="21"/>
                <w:highlight w:val="none"/>
              </w:rPr>
            </w:pPr>
          </w:p>
        </w:tc>
      </w:tr>
      <w:tr w14:paraId="44B80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42332837">
            <w:pPr>
              <w:adjustRightInd w:val="0"/>
              <w:snapToGrid w:val="0"/>
              <w:spacing w:line="560" w:lineRule="exact"/>
              <w:rPr>
                <w:rFonts w:eastAsia="黑体"/>
                <w:color w:val="000000"/>
                <w:szCs w:val="21"/>
                <w:highlight w:val="none"/>
              </w:rPr>
            </w:pPr>
          </w:p>
        </w:tc>
        <w:tc>
          <w:tcPr>
            <w:tcW w:w="3773" w:type="dxa"/>
            <w:gridSpan w:val="4"/>
            <w:noWrap w:val="0"/>
            <w:vAlign w:val="top"/>
          </w:tcPr>
          <w:p w14:paraId="17CFB28C">
            <w:pPr>
              <w:adjustRightInd w:val="0"/>
              <w:snapToGrid w:val="0"/>
              <w:spacing w:line="560" w:lineRule="exact"/>
              <w:rPr>
                <w:rFonts w:eastAsia="黑体"/>
                <w:color w:val="000000"/>
                <w:szCs w:val="21"/>
                <w:highlight w:val="none"/>
              </w:rPr>
            </w:pPr>
          </w:p>
        </w:tc>
        <w:tc>
          <w:tcPr>
            <w:tcW w:w="1390" w:type="dxa"/>
            <w:noWrap w:val="0"/>
            <w:vAlign w:val="top"/>
          </w:tcPr>
          <w:p w14:paraId="00593FC2">
            <w:pPr>
              <w:adjustRightInd w:val="0"/>
              <w:snapToGrid w:val="0"/>
              <w:spacing w:line="560" w:lineRule="exact"/>
              <w:rPr>
                <w:rFonts w:eastAsia="黑体"/>
                <w:color w:val="000000"/>
                <w:szCs w:val="21"/>
                <w:highlight w:val="none"/>
              </w:rPr>
            </w:pPr>
          </w:p>
        </w:tc>
        <w:tc>
          <w:tcPr>
            <w:tcW w:w="2533" w:type="dxa"/>
            <w:gridSpan w:val="2"/>
            <w:noWrap w:val="0"/>
            <w:vAlign w:val="top"/>
          </w:tcPr>
          <w:p w14:paraId="5BDC265F">
            <w:pPr>
              <w:adjustRightInd w:val="0"/>
              <w:snapToGrid w:val="0"/>
              <w:spacing w:line="560" w:lineRule="exact"/>
              <w:rPr>
                <w:rFonts w:eastAsia="黑体"/>
                <w:color w:val="000000"/>
                <w:szCs w:val="21"/>
                <w:highlight w:val="none"/>
              </w:rPr>
            </w:pPr>
          </w:p>
        </w:tc>
      </w:tr>
      <w:tr w14:paraId="60E01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58D14034">
            <w:pPr>
              <w:adjustRightInd w:val="0"/>
              <w:snapToGrid w:val="0"/>
              <w:spacing w:line="560" w:lineRule="exact"/>
              <w:rPr>
                <w:rFonts w:eastAsia="黑体"/>
                <w:color w:val="000000"/>
                <w:szCs w:val="21"/>
                <w:highlight w:val="none"/>
              </w:rPr>
            </w:pPr>
          </w:p>
        </w:tc>
        <w:tc>
          <w:tcPr>
            <w:tcW w:w="3773" w:type="dxa"/>
            <w:gridSpan w:val="4"/>
            <w:noWrap w:val="0"/>
            <w:vAlign w:val="top"/>
          </w:tcPr>
          <w:p w14:paraId="19D38255">
            <w:pPr>
              <w:adjustRightInd w:val="0"/>
              <w:snapToGrid w:val="0"/>
              <w:spacing w:line="560" w:lineRule="exact"/>
              <w:rPr>
                <w:rFonts w:eastAsia="黑体"/>
                <w:color w:val="000000"/>
                <w:szCs w:val="21"/>
                <w:highlight w:val="none"/>
              </w:rPr>
            </w:pPr>
          </w:p>
        </w:tc>
        <w:tc>
          <w:tcPr>
            <w:tcW w:w="1390" w:type="dxa"/>
            <w:noWrap w:val="0"/>
            <w:vAlign w:val="top"/>
          </w:tcPr>
          <w:p w14:paraId="5FA6095A">
            <w:pPr>
              <w:adjustRightInd w:val="0"/>
              <w:snapToGrid w:val="0"/>
              <w:spacing w:line="560" w:lineRule="exact"/>
              <w:rPr>
                <w:rFonts w:eastAsia="黑体"/>
                <w:color w:val="000000"/>
                <w:szCs w:val="21"/>
                <w:highlight w:val="none"/>
              </w:rPr>
            </w:pPr>
          </w:p>
        </w:tc>
        <w:tc>
          <w:tcPr>
            <w:tcW w:w="2533" w:type="dxa"/>
            <w:gridSpan w:val="2"/>
            <w:noWrap w:val="0"/>
            <w:vAlign w:val="top"/>
          </w:tcPr>
          <w:p w14:paraId="23B87433">
            <w:pPr>
              <w:adjustRightInd w:val="0"/>
              <w:snapToGrid w:val="0"/>
              <w:spacing w:line="560" w:lineRule="exact"/>
              <w:rPr>
                <w:rFonts w:eastAsia="黑体"/>
                <w:color w:val="000000"/>
                <w:szCs w:val="21"/>
                <w:highlight w:val="none"/>
              </w:rPr>
            </w:pPr>
          </w:p>
        </w:tc>
      </w:tr>
      <w:tr w14:paraId="3AE1A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1256558E">
            <w:pPr>
              <w:adjustRightInd w:val="0"/>
              <w:snapToGrid w:val="0"/>
              <w:spacing w:line="560" w:lineRule="exact"/>
              <w:rPr>
                <w:rFonts w:eastAsia="黑体"/>
                <w:color w:val="000000"/>
                <w:szCs w:val="21"/>
                <w:highlight w:val="none"/>
              </w:rPr>
            </w:pPr>
          </w:p>
        </w:tc>
        <w:tc>
          <w:tcPr>
            <w:tcW w:w="3773" w:type="dxa"/>
            <w:gridSpan w:val="4"/>
            <w:noWrap w:val="0"/>
            <w:vAlign w:val="top"/>
          </w:tcPr>
          <w:p w14:paraId="3E080A12">
            <w:pPr>
              <w:adjustRightInd w:val="0"/>
              <w:snapToGrid w:val="0"/>
              <w:spacing w:line="560" w:lineRule="exact"/>
              <w:rPr>
                <w:rFonts w:eastAsia="黑体"/>
                <w:color w:val="000000"/>
                <w:szCs w:val="21"/>
                <w:highlight w:val="none"/>
              </w:rPr>
            </w:pPr>
          </w:p>
        </w:tc>
        <w:tc>
          <w:tcPr>
            <w:tcW w:w="1390" w:type="dxa"/>
            <w:noWrap w:val="0"/>
            <w:vAlign w:val="top"/>
          </w:tcPr>
          <w:p w14:paraId="5C575F7C">
            <w:pPr>
              <w:adjustRightInd w:val="0"/>
              <w:snapToGrid w:val="0"/>
              <w:spacing w:line="560" w:lineRule="exact"/>
              <w:rPr>
                <w:rFonts w:eastAsia="黑体"/>
                <w:color w:val="000000"/>
                <w:szCs w:val="21"/>
                <w:highlight w:val="none"/>
              </w:rPr>
            </w:pPr>
          </w:p>
        </w:tc>
        <w:tc>
          <w:tcPr>
            <w:tcW w:w="2533" w:type="dxa"/>
            <w:gridSpan w:val="2"/>
            <w:noWrap w:val="0"/>
            <w:vAlign w:val="top"/>
          </w:tcPr>
          <w:p w14:paraId="409CC1D2">
            <w:pPr>
              <w:adjustRightInd w:val="0"/>
              <w:snapToGrid w:val="0"/>
              <w:spacing w:line="560" w:lineRule="exact"/>
              <w:rPr>
                <w:rFonts w:eastAsia="黑体"/>
                <w:color w:val="000000"/>
                <w:szCs w:val="21"/>
                <w:highlight w:val="none"/>
              </w:rPr>
            </w:pPr>
          </w:p>
        </w:tc>
      </w:tr>
      <w:tr w14:paraId="73D87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66F7ACF8">
            <w:pPr>
              <w:adjustRightInd w:val="0"/>
              <w:snapToGrid w:val="0"/>
              <w:spacing w:line="560" w:lineRule="exact"/>
              <w:rPr>
                <w:rFonts w:eastAsia="黑体"/>
                <w:color w:val="000000"/>
                <w:szCs w:val="21"/>
                <w:highlight w:val="none"/>
              </w:rPr>
            </w:pPr>
          </w:p>
        </w:tc>
        <w:tc>
          <w:tcPr>
            <w:tcW w:w="3773" w:type="dxa"/>
            <w:gridSpan w:val="4"/>
            <w:noWrap w:val="0"/>
            <w:vAlign w:val="top"/>
          </w:tcPr>
          <w:p w14:paraId="35282561">
            <w:pPr>
              <w:adjustRightInd w:val="0"/>
              <w:snapToGrid w:val="0"/>
              <w:spacing w:line="560" w:lineRule="exact"/>
              <w:rPr>
                <w:rFonts w:eastAsia="黑体"/>
                <w:color w:val="000000"/>
                <w:szCs w:val="21"/>
                <w:highlight w:val="none"/>
              </w:rPr>
            </w:pPr>
          </w:p>
        </w:tc>
        <w:tc>
          <w:tcPr>
            <w:tcW w:w="1390" w:type="dxa"/>
            <w:noWrap w:val="0"/>
            <w:vAlign w:val="top"/>
          </w:tcPr>
          <w:p w14:paraId="6D3A3D72">
            <w:pPr>
              <w:adjustRightInd w:val="0"/>
              <w:snapToGrid w:val="0"/>
              <w:spacing w:line="560" w:lineRule="exact"/>
              <w:rPr>
                <w:rFonts w:eastAsia="黑体"/>
                <w:color w:val="000000"/>
                <w:szCs w:val="21"/>
                <w:highlight w:val="none"/>
              </w:rPr>
            </w:pPr>
          </w:p>
        </w:tc>
        <w:tc>
          <w:tcPr>
            <w:tcW w:w="2533" w:type="dxa"/>
            <w:gridSpan w:val="2"/>
            <w:noWrap w:val="0"/>
            <w:vAlign w:val="top"/>
          </w:tcPr>
          <w:p w14:paraId="6F3532B0">
            <w:pPr>
              <w:adjustRightInd w:val="0"/>
              <w:snapToGrid w:val="0"/>
              <w:spacing w:line="560" w:lineRule="exact"/>
              <w:rPr>
                <w:rFonts w:eastAsia="黑体"/>
                <w:color w:val="000000"/>
                <w:szCs w:val="21"/>
                <w:highlight w:val="none"/>
              </w:rPr>
            </w:pPr>
          </w:p>
        </w:tc>
      </w:tr>
    </w:tbl>
    <w:p w14:paraId="53B0AE51">
      <w:pPr>
        <w:pStyle w:val="4"/>
        <w:adjustRightInd w:val="0"/>
        <w:snapToGrid w:val="0"/>
        <w:spacing w:before="0" w:after="0" w:line="560" w:lineRule="exact"/>
        <w:jc w:val="center"/>
        <w:rPr>
          <w:color w:val="000000"/>
          <w:highlight w:val="none"/>
        </w:rPr>
      </w:pPr>
      <w:r>
        <w:rPr>
          <w:rFonts w:hint="eastAsia"/>
          <w:color w:val="000000"/>
          <w:highlight w:val="none"/>
        </w:rPr>
        <w:t>（7）其他资格审查资料</w:t>
      </w:r>
      <w:bookmarkEnd w:id="940"/>
    </w:p>
    <w:p w14:paraId="5C416994">
      <w:pPr>
        <w:adjustRightInd w:val="0"/>
        <w:snapToGrid w:val="0"/>
        <w:spacing w:line="560" w:lineRule="exact"/>
        <w:jc w:val="center"/>
        <w:rPr>
          <w:color w:val="000000"/>
          <w:highlight w:val="none"/>
        </w:rPr>
      </w:pPr>
      <w:r>
        <w:rPr>
          <w:rFonts w:hint="eastAsia"/>
          <w:color w:val="000000"/>
          <w:highlight w:val="none"/>
        </w:rPr>
        <w:t>可扩展填写</w:t>
      </w:r>
    </w:p>
    <w:p w14:paraId="1B3CF828">
      <w:pPr>
        <w:adjustRightInd w:val="0"/>
        <w:snapToGrid w:val="0"/>
        <w:spacing w:line="560" w:lineRule="exact"/>
        <w:rPr>
          <w:rFonts w:eastAsia="黑体"/>
          <w:color w:val="000000"/>
          <w:sz w:val="20"/>
          <w:szCs w:val="20"/>
          <w:highlight w:val="none"/>
        </w:rPr>
      </w:pPr>
    </w:p>
    <w:p w14:paraId="3343C377">
      <w:pPr>
        <w:adjustRightInd w:val="0"/>
        <w:snapToGrid w:val="0"/>
        <w:spacing w:line="560" w:lineRule="exact"/>
        <w:rPr>
          <w:rFonts w:eastAsia="黑体"/>
          <w:color w:val="000000"/>
          <w:sz w:val="20"/>
          <w:szCs w:val="20"/>
          <w:highlight w:val="none"/>
        </w:rPr>
      </w:pPr>
    </w:p>
    <w:p w14:paraId="53096B4C">
      <w:pPr>
        <w:adjustRightInd w:val="0"/>
        <w:snapToGrid w:val="0"/>
        <w:spacing w:line="560" w:lineRule="exact"/>
        <w:rPr>
          <w:rFonts w:eastAsia="黑体"/>
          <w:color w:val="000000"/>
          <w:sz w:val="20"/>
          <w:szCs w:val="20"/>
          <w:highlight w:val="none"/>
        </w:rPr>
      </w:pPr>
    </w:p>
    <w:p w14:paraId="66E550A8">
      <w:pPr>
        <w:adjustRightInd w:val="0"/>
        <w:snapToGrid w:val="0"/>
        <w:spacing w:line="560" w:lineRule="exact"/>
        <w:jc w:val="center"/>
        <w:rPr>
          <w:b/>
          <w:color w:val="000000"/>
          <w:sz w:val="28"/>
          <w:szCs w:val="28"/>
          <w:highlight w:val="none"/>
        </w:rPr>
      </w:pPr>
    </w:p>
    <w:p w14:paraId="220B4677">
      <w:pPr>
        <w:adjustRightInd w:val="0"/>
        <w:snapToGrid w:val="0"/>
        <w:spacing w:line="560" w:lineRule="exact"/>
        <w:jc w:val="center"/>
        <w:rPr>
          <w:b/>
          <w:color w:val="000000"/>
          <w:sz w:val="28"/>
          <w:szCs w:val="28"/>
          <w:highlight w:val="none"/>
        </w:rPr>
      </w:pPr>
    </w:p>
    <w:p w14:paraId="498ED00D">
      <w:pPr>
        <w:adjustRightInd w:val="0"/>
        <w:snapToGrid w:val="0"/>
        <w:spacing w:line="560" w:lineRule="exact"/>
        <w:jc w:val="center"/>
        <w:rPr>
          <w:b/>
          <w:color w:val="000000"/>
          <w:sz w:val="28"/>
          <w:szCs w:val="28"/>
          <w:highlight w:val="none"/>
        </w:rPr>
      </w:pPr>
    </w:p>
    <w:p w14:paraId="6EB54E6F">
      <w:pPr>
        <w:adjustRightInd w:val="0"/>
        <w:snapToGrid w:val="0"/>
        <w:spacing w:line="560" w:lineRule="exact"/>
        <w:jc w:val="center"/>
        <w:rPr>
          <w:b/>
          <w:color w:val="000000"/>
          <w:sz w:val="28"/>
          <w:szCs w:val="28"/>
          <w:highlight w:val="none"/>
        </w:rPr>
      </w:pPr>
    </w:p>
    <w:p w14:paraId="78F37612">
      <w:pPr>
        <w:adjustRightInd w:val="0"/>
        <w:snapToGrid w:val="0"/>
        <w:spacing w:line="560" w:lineRule="exact"/>
        <w:jc w:val="center"/>
        <w:rPr>
          <w:b/>
          <w:color w:val="000000"/>
          <w:sz w:val="28"/>
          <w:szCs w:val="28"/>
          <w:highlight w:val="none"/>
        </w:rPr>
      </w:pPr>
    </w:p>
    <w:p w14:paraId="3B321D5F">
      <w:pPr>
        <w:adjustRightInd w:val="0"/>
        <w:snapToGrid w:val="0"/>
        <w:spacing w:line="560" w:lineRule="exact"/>
        <w:jc w:val="center"/>
        <w:rPr>
          <w:b/>
          <w:color w:val="000000"/>
          <w:sz w:val="28"/>
          <w:szCs w:val="28"/>
          <w:highlight w:val="none"/>
        </w:rPr>
      </w:pPr>
    </w:p>
    <w:p w14:paraId="53525C5B">
      <w:pPr>
        <w:adjustRightInd w:val="0"/>
        <w:snapToGrid w:val="0"/>
        <w:spacing w:line="560" w:lineRule="exact"/>
        <w:jc w:val="center"/>
        <w:rPr>
          <w:b/>
          <w:color w:val="000000"/>
          <w:sz w:val="28"/>
          <w:szCs w:val="28"/>
          <w:highlight w:val="none"/>
        </w:rPr>
      </w:pPr>
    </w:p>
    <w:p w14:paraId="3AFE1B71">
      <w:pPr>
        <w:adjustRightInd w:val="0"/>
        <w:snapToGrid w:val="0"/>
        <w:spacing w:line="560" w:lineRule="exact"/>
        <w:jc w:val="center"/>
        <w:rPr>
          <w:b/>
          <w:color w:val="000000"/>
          <w:sz w:val="28"/>
          <w:szCs w:val="28"/>
          <w:highlight w:val="none"/>
        </w:rPr>
      </w:pPr>
    </w:p>
    <w:p w14:paraId="07FB4DDD">
      <w:pPr>
        <w:adjustRightInd w:val="0"/>
        <w:snapToGrid w:val="0"/>
        <w:spacing w:line="560" w:lineRule="exact"/>
        <w:jc w:val="center"/>
        <w:rPr>
          <w:b/>
          <w:color w:val="000000"/>
          <w:sz w:val="28"/>
          <w:szCs w:val="28"/>
          <w:highlight w:val="none"/>
        </w:rPr>
      </w:pPr>
    </w:p>
    <w:p w14:paraId="115C1763">
      <w:pPr>
        <w:adjustRightInd w:val="0"/>
        <w:snapToGrid w:val="0"/>
        <w:spacing w:line="560" w:lineRule="exact"/>
        <w:jc w:val="center"/>
        <w:rPr>
          <w:b/>
          <w:color w:val="000000"/>
          <w:sz w:val="28"/>
          <w:szCs w:val="28"/>
          <w:highlight w:val="none"/>
        </w:rPr>
      </w:pPr>
    </w:p>
    <w:p w14:paraId="5BB69B31">
      <w:pPr>
        <w:adjustRightInd w:val="0"/>
        <w:snapToGrid w:val="0"/>
        <w:spacing w:line="560" w:lineRule="exact"/>
        <w:jc w:val="center"/>
        <w:rPr>
          <w:b/>
          <w:color w:val="000000"/>
          <w:sz w:val="28"/>
          <w:szCs w:val="28"/>
          <w:highlight w:val="none"/>
        </w:rPr>
      </w:pPr>
    </w:p>
    <w:p w14:paraId="0A229A83">
      <w:pPr>
        <w:adjustRightInd w:val="0"/>
        <w:snapToGrid w:val="0"/>
        <w:spacing w:line="560" w:lineRule="exact"/>
        <w:jc w:val="center"/>
        <w:rPr>
          <w:b/>
          <w:color w:val="000000"/>
          <w:sz w:val="28"/>
          <w:szCs w:val="28"/>
          <w:highlight w:val="none"/>
        </w:rPr>
      </w:pPr>
    </w:p>
    <w:p w14:paraId="45314D3C">
      <w:pPr>
        <w:adjustRightInd w:val="0"/>
        <w:snapToGrid w:val="0"/>
        <w:spacing w:line="560" w:lineRule="exact"/>
        <w:jc w:val="center"/>
        <w:rPr>
          <w:b/>
          <w:color w:val="000000"/>
          <w:sz w:val="28"/>
          <w:szCs w:val="28"/>
          <w:highlight w:val="none"/>
        </w:rPr>
      </w:pPr>
    </w:p>
    <w:p w14:paraId="1A08910F">
      <w:pPr>
        <w:adjustRightInd w:val="0"/>
        <w:snapToGrid w:val="0"/>
        <w:spacing w:line="560" w:lineRule="exact"/>
        <w:jc w:val="center"/>
        <w:rPr>
          <w:b/>
          <w:color w:val="000000"/>
          <w:sz w:val="28"/>
          <w:szCs w:val="28"/>
          <w:highlight w:val="none"/>
        </w:rPr>
      </w:pPr>
    </w:p>
    <w:p w14:paraId="5D8E3E47">
      <w:pPr>
        <w:pStyle w:val="17"/>
        <w:rPr>
          <w:color w:val="000000"/>
          <w:highlight w:val="none"/>
        </w:rPr>
      </w:pPr>
    </w:p>
    <w:p w14:paraId="626A86BF">
      <w:pPr>
        <w:adjustRightInd w:val="0"/>
        <w:snapToGrid w:val="0"/>
        <w:spacing w:line="560" w:lineRule="exact"/>
        <w:jc w:val="center"/>
        <w:rPr>
          <w:b/>
          <w:color w:val="000000"/>
          <w:sz w:val="28"/>
          <w:szCs w:val="28"/>
          <w:highlight w:val="none"/>
        </w:rPr>
      </w:pPr>
    </w:p>
    <w:p w14:paraId="67812A33">
      <w:pPr>
        <w:adjustRightInd w:val="0"/>
        <w:snapToGrid w:val="0"/>
        <w:spacing w:line="560" w:lineRule="exact"/>
        <w:jc w:val="center"/>
        <w:rPr>
          <w:b/>
          <w:color w:val="000000"/>
          <w:sz w:val="28"/>
          <w:szCs w:val="28"/>
          <w:highlight w:val="none"/>
        </w:rPr>
      </w:pPr>
    </w:p>
    <w:p w14:paraId="53339B96">
      <w:pPr>
        <w:pStyle w:val="17"/>
        <w:adjustRightInd w:val="0"/>
        <w:snapToGrid w:val="0"/>
        <w:spacing w:after="0" w:line="560" w:lineRule="exact"/>
        <w:ind w:left="0" w:leftChars="0" w:firstLine="562"/>
        <w:rPr>
          <w:b/>
          <w:color w:val="000000"/>
          <w:sz w:val="28"/>
          <w:szCs w:val="28"/>
          <w:highlight w:val="none"/>
        </w:rPr>
      </w:pPr>
    </w:p>
    <w:p w14:paraId="639FCB38">
      <w:pPr>
        <w:adjustRightInd w:val="0"/>
        <w:snapToGrid w:val="0"/>
        <w:spacing w:line="560" w:lineRule="exact"/>
        <w:rPr>
          <w:b/>
          <w:color w:val="000000"/>
          <w:sz w:val="28"/>
          <w:szCs w:val="28"/>
          <w:highlight w:val="none"/>
        </w:rPr>
      </w:pPr>
    </w:p>
    <w:p w14:paraId="68D3BB94">
      <w:pPr>
        <w:pStyle w:val="17"/>
        <w:adjustRightInd w:val="0"/>
        <w:snapToGrid w:val="0"/>
        <w:spacing w:after="0" w:line="560" w:lineRule="exact"/>
        <w:ind w:left="0" w:leftChars="0" w:firstLine="562"/>
        <w:rPr>
          <w:b/>
          <w:color w:val="000000"/>
          <w:sz w:val="28"/>
          <w:szCs w:val="28"/>
          <w:highlight w:val="none"/>
        </w:rPr>
      </w:pPr>
    </w:p>
    <w:p w14:paraId="4D18E6B2">
      <w:pPr>
        <w:adjustRightInd w:val="0"/>
        <w:snapToGrid w:val="0"/>
        <w:spacing w:line="560" w:lineRule="exact"/>
        <w:rPr>
          <w:b/>
          <w:color w:val="000000"/>
          <w:sz w:val="28"/>
          <w:szCs w:val="28"/>
          <w:highlight w:val="none"/>
        </w:rPr>
      </w:pPr>
      <w:bookmarkStart w:id="941" w:name="_Toc15058940"/>
      <w:bookmarkStart w:id="942" w:name="_Toc60061581"/>
      <w:bookmarkStart w:id="943" w:name="_Toc499804616"/>
      <w:bookmarkStart w:id="944" w:name="_Toc484173797"/>
      <w:bookmarkStart w:id="945" w:name="_Toc506107353"/>
      <w:bookmarkStart w:id="946" w:name="_Toc58229121"/>
      <w:bookmarkStart w:id="947" w:name="_Toc324404893"/>
      <w:bookmarkStart w:id="948" w:name="_Toc11719"/>
    </w:p>
    <w:p w14:paraId="25E5FE08">
      <w:pPr>
        <w:adjustRightInd w:val="0"/>
        <w:snapToGrid w:val="0"/>
        <w:spacing w:line="560" w:lineRule="exact"/>
        <w:jc w:val="center"/>
        <w:rPr>
          <w:rFonts w:ascii="宋体"/>
          <w:b/>
          <w:color w:val="000000"/>
          <w:sz w:val="28"/>
          <w:szCs w:val="28"/>
          <w:highlight w:val="none"/>
        </w:rPr>
      </w:pPr>
      <w:r>
        <w:rPr>
          <w:rFonts w:hint="eastAsia"/>
          <w:b/>
          <w:color w:val="000000"/>
          <w:sz w:val="28"/>
          <w:szCs w:val="28"/>
          <w:highlight w:val="none"/>
        </w:rPr>
        <w:t>①法定代表人身份证</w:t>
      </w:r>
      <w:bookmarkEnd w:id="941"/>
      <w:bookmarkEnd w:id="942"/>
      <w:bookmarkEnd w:id="943"/>
      <w:bookmarkEnd w:id="944"/>
      <w:bookmarkEnd w:id="945"/>
      <w:bookmarkEnd w:id="946"/>
      <w:r>
        <w:rPr>
          <w:rFonts w:hint="eastAsia"/>
          <w:b/>
          <w:color w:val="000000"/>
          <w:sz w:val="28"/>
          <w:szCs w:val="28"/>
          <w:highlight w:val="none"/>
        </w:rPr>
        <w:t>明或授权委托书</w:t>
      </w:r>
      <w:bookmarkEnd w:id="866"/>
      <w:bookmarkEnd w:id="867"/>
      <w:bookmarkEnd w:id="868"/>
      <w:bookmarkEnd w:id="869"/>
      <w:bookmarkEnd w:id="870"/>
      <w:bookmarkEnd w:id="871"/>
      <w:bookmarkEnd w:id="872"/>
      <w:bookmarkEnd w:id="873"/>
      <w:bookmarkEnd w:id="947"/>
      <w:bookmarkEnd w:id="948"/>
    </w:p>
    <w:p w14:paraId="36166059">
      <w:pPr>
        <w:pStyle w:val="37"/>
        <w:adjustRightInd w:val="0"/>
        <w:snapToGrid w:val="0"/>
        <w:spacing w:line="560" w:lineRule="exact"/>
        <w:rPr>
          <w:rFonts w:ascii="宋体"/>
          <w:b/>
          <w:sz w:val="30"/>
          <w:szCs w:val="30"/>
          <w:highlight w:val="none"/>
        </w:rPr>
      </w:pPr>
      <w:r>
        <w:rPr>
          <w:rFonts w:hint="eastAsia" w:ascii="宋体"/>
          <w:sz w:val="30"/>
          <w:szCs w:val="30"/>
          <w:highlight w:val="none"/>
        </w:rPr>
        <w:t>1.法定代表人身份证明</w:t>
      </w:r>
    </w:p>
    <w:p w14:paraId="7368D83E">
      <w:pPr>
        <w:adjustRightInd w:val="0"/>
        <w:snapToGrid w:val="0"/>
        <w:spacing w:line="560" w:lineRule="exact"/>
        <w:rPr>
          <w:rFonts w:ascii="宋体"/>
          <w:color w:val="000000"/>
          <w:sz w:val="28"/>
          <w:szCs w:val="28"/>
          <w:highlight w:val="none"/>
        </w:rPr>
      </w:pPr>
      <w:r>
        <w:rPr>
          <w:rFonts w:hint="eastAsia" w:ascii="宋体"/>
          <w:color w:val="000000"/>
          <w:sz w:val="28"/>
          <w:szCs w:val="28"/>
          <w:highlight w:val="none"/>
        </w:rPr>
        <w:t>投标人名称：</w:t>
      </w:r>
      <w:r>
        <w:rPr>
          <w:rFonts w:hint="eastAsia" w:ascii="宋体"/>
          <w:color w:val="000000"/>
          <w:sz w:val="28"/>
          <w:szCs w:val="28"/>
          <w:highlight w:val="none"/>
          <w:u w:val="single"/>
        </w:rPr>
        <w:t xml:space="preserve">                                </w:t>
      </w:r>
      <w:r>
        <w:rPr>
          <w:rFonts w:hint="eastAsia" w:ascii="宋体"/>
          <w:color w:val="000000"/>
          <w:sz w:val="28"/>
          <w:szCs w:val="28"/>
          <w:highlight w:val="none"/>
        </w:rPr>
        <w:t xml:space="preserve"> </w:t>
      </w:r>
    </w:p>
    <w:p w14:paraId="46B81D62">
      <w:pPr>
        <w:adjustRightInd w:val="0"/>
        <w:snapToGrid w:val="0"/>
        <w:spacing w:line="560" w:lineRule="exact"/>
        <w:rPr>
          <w:rFonts w:ascii="宋体"/>
          <w:color w:val="000000"/>
          <w:sz w:val="28"/>
          <w:szCs w:val="28"/>
          <w:highlight w:val="none"/>
        </w:rPr>
      </w:pPr>
      <w:r>
        <w:rPr>
          <w:rFonts w:hint="eastAsia" w:ascii="宋体"/>
          <w:color w:val="000000"/>
          <w:sz w:val="28"/>
          <w:szCs w:val="28"/>
          <w:highlight w:val="none"/>
        </w:rPr>
        <w:t xml:space="preserve">单位性质： </w:t>
      </w:r>
      <w:r>
        <w:rPr>
          <w:rFonts w:hint="eastAsia" w:ascii="宋体"/>
          <w:color w:val="000000"/>
          <w:sz w:val="28"/>
          <w:szCs w:val="28"/>
          <w:highlight w:val="none"/>
          <w:u w:val="single"/>
        </w:rPr>
        <w:t xml:space="preserve">                                  </w:t>
      </w:r>
      <w:r>
        <w:rPr>
          <w:rFonts w:hint="eastAsia" w:ascii="宋体"/>
          <w:color w:val="000000"/>
          <w:sz w:val="28"/>
          <w:szCs w:val="28"/>
          <w:highlight w:val="none"/>
        </w:rPr>
        <w:t xml:space="preserve"> </w:t>
      </w:r>
    </w:p>
    <w:p w14:paraId="2A2F6C38">
      <w:pPr>
        <w:adjustRightInd w:val="0"/>
        <w:snapToGrid w:val="0"/>
        <w:spacing w:line="560" w:lineRule="exact"/>
        <w:rPr>
          <w:rFonts w:ascii="宋体"/>
          <w:color w:val="000000"/>
          <w:sz w:val="28"/>
          <w:szCs w:val="28"/>
          <w:highlight w:val="none"/>
        </w:rPr>
      </w:pPr>
      <w:r>
        <w:rPr>
          <w:rFonts w:hint="eastAsia" w:ascii="宋体"/>
          <w:color w:val="000000"/>
          <w:sz w:val="28"/>
          <w:szCs w:val="28"/>
          <w:highlight w:val="none"/>
        </w:rPr>
        <w:t>地    址：</w:t>
      </w:r>
      <w:r>
        <w:rPr>
          <w:rFonts w:hint="eastAsia" w:ascii="宋体"/>
          <w:color w:val="000000"/>
          <w:sz w:val="28"/>
          <w:szCs w:val="28"/>
          <w:highlight w:val="none"/>
          <w:u w:val="single"/>
        </w:rPr>
        <w:t xml:space="preserve">                                   </w:t>
      </w:r>
      <w:r>
        <w:rPr>
          <w:rFonts w:hint="eastAsia" w:ascii="宋体"/>
          <w:color w:val="000000"/>
          <w:sz w:val="28"/>
          <w:szCs w:val="28"/>
          <w:highlight w:val="none"/>
        </w:rPr>
        <w:t xml:space="preserve"> </w:t>
      </w:r>
    </w:p>
    <w:p w14:paraId="4722875B">
      <w:pPr>
        <w:adjustRightInd w:val="0"/>
        <w:snapToGrid w:val="0"/>
        <w:spacing w:line="560" w:lineRule="exact"/>
        <w:rPr>
          <w:rFonts w:ascii="宋体"/>
          <w:color w:val="000000"/>
          <w:sz w:val="28"/>
          <w:szCs w:val="28"/>
          <w:highlight w:val="none"/>
        </w:rPr>
      </w:pPr>
      <w:r>
        <w:rPr>
          <w:rFonts w:hint="eastAsia" w:ascii="宋体"/>
          <w:color w:val="000000"/>
          <w:sz w:val="28"/>
          <w:szCs w:val="28"/>
          <w:highlight w:val="none"/>
        </w:rPr>
        <w:t>成立时间：</w:t>
      </w:r>
      <w:r>
        <w:rPr>
          <w:rFonts w:hint="eastAsia" w:ascii="宋体"/>
          <w:color w:val="000000"/>
          <w:sz w:val="28"/>
          <w:szCs w:val="28"/>
          <w:highlight w:val="none"/>
          <w:u w:val="single"/>
        </w:rPr>
        <w:t xml:space="preserve">        </w:t>
      </w:r>
      <w:r>
        <w:rPr>
          <w:rFonts w:hint="eastAsia" w:ascii="宋体"/>
          <w:color w:val="000000"/>
          <w:sz w:val="28"/>
          <w:szCs w:val="28"/>
          <w:highlight w:val="none"/>
        </w:rPr>
        <w:t>年</w:t>
      </w:r>
      <w:r>
        <w:rPr>
          <w:rFonts w:hint="eastAsia" w:ascii="宋体"/>
          <w:color w:val="000000"/>
          <w:sz w:val="28"/>
          <w:szCs w:val="28"/>
          <w:highlight w:val="none"/>
          <w:u w:val="single"/>
        </w:rPr>
        <w:t xml:space="preserve">    </w:t>
      </w:r>
      <w:r>
        <w:rPr>
          <w:rFonts w:hint="eastAsia" w:ascii="宋体"/>
          <w:color w:val="000000"/>
          <w:sz w:val="28"/>
          <w:szCs w:val="28"/>
          <w:highlight w:val="none"/>
        </w:rPr>
        <w:t>月</w:t>
      </w:r>
      <w:r>
        <w:rPr>
          <w:rFonts w:hint="eastAsia" w:ascii="宋体"/>
          <w:color w:val="000000"/>
          <w:sz w:val="28"/>
          <w:szCs w:val="28"/>
          <w:highlight w:val="none"/>
          <w:u w:val="single"/>
        </w:rPr>
        <w:t xml:space="preserve">  </w:t>
      </w:r>
      <w:r>
        <w:rPr>
          <w:rFonts w:hint="eastAsia" w:ascii="宋体"/>
          <w:color w:val="000000"/>
          <w:sz w:val="28"/>
          <w:szCs w:val="28"/>
          <w:highlight w:val="none"/>
        </w:rPr>
        <w:t>＿日</w:t>
      </w:r>
    </w:p>
    <w:p w14:paraId="1A32DE34">
      <w:pPr>
        <w:adjustRightInd w:val="0"/>
        <w:snapToGrid w:val="0"/>
        <w:spacing w:line="560" w:lineRule="exact"/>
        <w:rPr>
          <w:rFonts w:ascii="宋体"/>
          <w:color w:val="000000"/>
          <w:sz w:val="28"/>
          <w:szCs w:val="28"/>
          <w:highlight w:val="none"/>
        </w:rPr>
      </w:pPr>
      <w:r>
        <w:rPr>
          <w:rFonts w:hint="eastAsia" w:ascii="宋体"/>
          <w:color w:val="000000"/>
          <w:sz w:val="28"/>
          <w:szCs w:val="28"/>
          <w:highlight w:val="none"/>
        </w:rPr>
        <w:t>经营期限：</w:t>
      </w:r>
      <w:r>
        <w:rPr>
          <w:rFonts w:hint="eastAsia" w:ascii="宋体"/>
          <w:color w:val="000000"/>
          <w:sz w:val="28"/>
          <w:szCs w:val="28"/>
          <w:highlight w:val="none"/>
          <w:u w:val="single"/>
        </w:rPr>
        <w:t xml:space="preserve">                                </w:t>
      </w:r>
      <w:r>
        <w:rPr>
          <w:rFonts w:hint="eastAsia" w:ascii="宋体"/>
          <w:color w:val="000000"/>
          <w:sz w:val="28"/>
          <w:szCs w:val="28"/>
          <w:highlight w:val="none"/>
        </w:rPr>
        <w:t xml:space="preserve"> </w:t>
      </w:r>
    </w:p>
    <w:p w14:paraId="4C1A9AE4">
      <w:pPr>
        <w:adjustRightInd w:val="0"/>
        <w:snapToGrid w:val="0"/>
        <w:spacing w:line="560" w:lineRule="exact"/>
        <w:jc w:val="left"/>
        <w:rPr>
          <w:rFonts w:ascii="宋体"/>
          <w:color w:val="000000"/>
          <w:sz w:val="28"/>
          <w:szCs w:val="28"/>
          <w:highlight w:val="none"/>
          <w:u w:val="single"/>
        </w:rPr>
      </w:pPr>
      <w:r>
        <w:rPr>
          <w:rFonts w:hint="eastAsia" w:ascii="宋体"/>
          <w:color w:val="000000"/>
          <w:spacing w:val="240"/>
          <w:sz w:val="28"/>
          <w:szCs w:val="28"/>
          <w:highlight w:val="none"/>
        </w:rPr>
        <w:t>姓</w:t>
      </w:r>
      <w:r>
        <w:rPr>
          <w:rFonts w:hint="eastAsia" w:ascii="宋体"/>
          <w:color w:val="000000"/>
          <w:sz w:val="28"/>
          <w:szCs w:val="28"/>
          <w:highlight w:val="none"/>
        </w:rPr>
        <w:t>名：</w:t>
      </w:r>
      <w:r>
        <w:rPr>
          <w:rFonts w:hint="eastAsia" w:ascii="宋体"/>
          <w:color w:val="000000"/>
          <w:sz w:val="28"/>
          <w:szCs w:val="28"/>
          <w:highlight w:val="none"/>
          <w:u w:val="single"/>
        </w:rPr>
        <w:t xml:space="preserve">           </w:t>
      </w:r>
      <w:r>
        <w:rPr>
          <w:rFonts w:hint="eastAsia" w:ascii="宋体"/>
          <w:color w:val="000000"/>
          <w:sz w:val="28"/>
          <w:szCs w:val="28"/>
          <w:highlight w:val="none"/>
        </w:rPr>
        <w:t>身份证号码：</w:t>
      </w:r>
      <w:r>
        <w:rPr>
          <w:rFonts w:hint="eastAsia" w:ascii="宋体"/>
          <w:color w:val="000000"/>
          <w:sz w:val="28"/>
          <w:szCs w:val="28"/>
          <w:highlight w:val="none"/>
          <w:u w:val="single"/>
        </w:rPr>
        <w:t xml:space="preserve">             </w:t>
      </w:r>
      <w:r>
        <w:rPr>
          <w:rFonts w:hint="eastAsia" w:ascii="宋体"/>
          <w:color w:val="000000"/>
          <w:sz w:val="28"/>
          <w:szCs w:val="28"/>
          <w:highlight w:val="none"/>
        </w:rPr>
        <w:t>性别</w:t>
      </w:r>
      <w:r>
        <w:rPr>
          <w:rFonts w:hint="eastAsia" w:ascii="宋体"/>
          <w:color w:val="000000"/>
          <w:sz w:val="28"/>
          <w:szCs w:val="28"/>
          <w:highlight w:val="none"/>
          <w:u w:val="single"/>
        </w:rPr>
        <w:t xml:space="preserve">：            </w:t>
      </w:r>
      <w:r>
        <w:rPr>
          <w:rFonts w:hint="eastAsia" w:ascii="宋体"/>
          <w:color w:val="000000"/>
          <w:sz w:val="28"/>
          <w:szCs w:val="28"/>
          <w:highlight w:val="none"/>
        </w:rPr>
        <w:t>年龄：</w:t>
      </w:r>
      <w:r>
        <w:rPr>
          <w:rFonts w:hint="eastAsia" w:ascii="宋体"/>
          <w:color w:val="000000"/>
          <w:sz w:val="28"/>
          <w:szCs w:val="28"/>
          <w:highlight w:val="none"/>
          <w:u w:val="single"/>
        </w:rPr>
        <w:t xml:space="preserve">＿  </w:t>
      </w:r>
      <w:r>
        <w:rPr>
          <w:rFonts w:hint="eastAsia" w:ascii="宋体"/>
          <w:color w:val="000000"/>
          <w:sz w:val="28"/>
          <w:szCs w:val="28"/>
          <w:highlight w:val="none"/>
        </w:rPr>
        <w:t>职务：</w:t>
      </w:r>
      <w:r>
        <w:rPr>
          <w:rFonts w:hint="eastAsia" w:ascii="宋体"/>
          <w:color w:val="000000"/>
          <w:sz w:val="28"/>
          <w:szCs w:val="28"/>
          <w:highlight w:val="none"/>
          <w:u w:val="single"/>
        </w:rPr>
        <w:t xml:space="preserve">       </w:t>
      </w:r>
      <w:r>
        <w:rPr>
          <w:rFonts w:hint="eastAsia" w:ascii="宋体"/>
          <w:color w:val="000000"/>
          <w:sz w:val="28"/>
          <w:szCs w:val="28"/>
          <w:highlight w:val="none"/>
        </w:rPr>
        <w:t>_，系</w:t>
      </w:r>
      <w:r>
        <w:rPr>
          <w:rFonts w:hint="eastAsia" w:ascii="宋体"/>
          <w:color w:val="000000"/>
          <w:sz w:val="28"/>
          <w:szCs w:val="28"/>
          <w:highlight w:val="none"/>
          <w:u w:val="single"/>
        </w:rPr>
        <w:t xml:space="preserve">                       </w:t>
      </w:r>
      <w:r>
        <w:rPr>
          <w:rFonts w:hint="eastAsia" w:ascii="宋体"/>
          <w:color w:val="000000"/>
          <w:sz w:val="28"/>
          <w:szCs w:val="28"/>
          <w:highlight w:val="none"/>
        </w:rPr>
        <w:t>（投标人名称）的法定代表人。</w:t>
      </w:r>
    </w:p>
    <w:p w14:paraId="5B150F32">
      <w:pPr>
        <w:adjustRightInd w:val="0"/>
        <w:snapToGrid w:val="0"/>
        <w:spacing w:line="560" w:lineRule="exact"/>
        <w:rPr>
          <w:rFonts w:ascii="宋体"/>
          <w:color w:val="000000"/>
          <w:sz w:val="28"/>
          <w:szCs w:val="28"/>
          <w:highlight w:val="none"/>
        </w:rPr>
      </w:pPr>
      <w:r>
        <w:rPr>
          <w:rFonts w:hint="eastAsia" w:ascii="宋体"/>
          <w:color w:val="000000"/>
          <w:sz w:val="28"/>
          <w:szCs w:val="28"/>
          <w:highlight w:val="none"/>
        </w:rPr>
        <w:t>特此证明。</w:t>
      </w:r>
    </w:p>
    <w:p w14:paraId="1278A27A">
      <w:pPr>
        <w:adjustRightInd w:val="0"/>
        <w:snapToGrid w:val="0"/>
        <w:spacing w:line="560" w:lineRule="exact"/>
        <w:rPr>
          <w:rFonts w:ascii="宋体"/>
          <w:color w:val="000000"/>
          <w:sz w:val="28"/>
          <w:szCs w:val="28"/>
          <w:highlight w:val="none"/>
        </w:rPr>
      </w:pPr>
    </w:p>
    <w:p w14:paraId="7C305C80">
      <w:pPr>
        <w:adjustRightInd w:val="0"/>
        <w:snapToGrid w:val="0"/>
        <w:spacing w:line="560" w:lineRule="exact"/>
        <w:rPr>
          <w:rFonts w:ascii="宋体"/>
          <w:color w:val="000000"/>
          <w:sz w:val="28"/>
          <w:szCs w:val="28"/>
          <w:highlight w:val="none"/>
        </w:rPr>
      </w:pPr>
    </w:p>
    <w:p w14:paraId="446B9DCD">
      <w:pPr>
        <w:adjustRightInd w:val="0"/>
        <w:snapToGrid w:val="0"/>
        <w:spacing w:line="560" w:lineRule="exact"/>
        <w:rPr>
          <w:rFonts w:ascii="宋体"/>
          <w:color w:val="000000"/>
          <w:sz w:val="28"/>
          <w:szCs w:val="28"/>
          <w:highlight w:val="none"/>
        </w:rPr>
      </w:pPr>
    </w:p>
    <w:p w14:paraId="395FC7FA">
      <w:pPr>
        <w:adjustRightInd w:val="0"/>
        <w:snapToGrid w:val="0"/>
        <w:spacing w:line="560" w:lineRule="exact"/>
        <w:ind w:firstLine="4340" w:firstLineChars="1550"/>
        <w:rPr>
          <w:rFonts w:ascii="宋体"/>
          <w:color w:val="000000"/>
          <w:sz w:val="28"/>
          <w:szCs w:val="28"/>
          <w:highlight w:val="none"/>
        </w:rPr>
      </w:pPr>
      <w:r>
        <w:rPr>
          <w:rFonts w:hint="eastAsia" w:ascii="宋体"/>
          <w:color w:val="000000"/>
          <w:sz w:val="28"/>
          <w:szCs w:val="28"/>
          <w:highlight w:val="none"/>
        </w:rPr>
        <w:t>投标人：</w:t>
      </w:r>
      <w:r>
        <w:rPr>
          <w:rFonts w:hint="eastAsia" w:ascii="宋体"/>
          <w:color w:val="000000"/>
          <w:sz w:val="28"/>
          <w:szCs w:val="28"/>
          <w:highlight w:val="none"/>
          <w:u w:val="single"/>
        </w:rPr>
        <w:t xml:space="preserve">                 </w:t>
      </w:r>
      <w:r>
        <w:rPr>
          <w:rFonts w:hint="eastAsia" w:ascii="宋体"/>
          <w:color w:val="000000"/>
          <w:sz w:val="28"/>
          <w:szCs w:val="28"/>
          <w:highlight w:val="none"/>
        </w:rPr>
        <w:t>（签章）</w:t>
      </w:r>
    </w:p>
    <w:p w14:paraId="60A9C444">
      <w:pPr>
        <w:adjustRightInd w:val="0"/>
        <w:snapToGrid w:val="0"/>
        <w:spacing w:line="560" w:lineRule="exact"/>
        <w:rPr>
          <w:rFonts w:ascii="宋体"/>
          <w:color w:val="000000"/>
          <w:sz w:val="28"/>
          <w:szCs w:val="28"/>
          <w:highlight w:val="none"/>
        </w:rPr>
      </w:pPr>
      <w:r>
        <w:rPr>
          <w:rFonts w:hint="eastAsia" w:ascii="宋体"/>
          <w:color w:val="000000"/>
          <w:sz w:val="28"/>
          <w:szCs w:val="28"/>
          <w:highlight w:val="none"/>
        </w:rPr>
        <w:t xml:space="preserve">                                        年    月     日</w:t>
      </w:r>
    </w:p>
    <w:p w14:paraId="1C090947">
      <w:pPr>
        <w:adjustRightInd w:val="0"/>
        <w:snapToGrid w:val="0"/>
        <w:spacing w:line="560" w:lineRule="exact"/>
        <w:rPr>
          <w:rFonts w:ascii="宋体"/>
          <w:color w:val="000000"/>
          <w:sz w:val="28"/>
          <w:szCs w:val="28"/>
          <w:highlight w:val="none"/>
        </w:rPr>
      </w:pPr>
    </w:p>
    <w:p w14:paraId="7029616F">
      <w:pPr>
        <w:adjustRightInd w:val="0"/>
        <w:snapToGrid w:val="0"/>
        <w:spacing w:line="560" w:lineRule="exact"/>
        <w:rPr>
          <w:rFonts w:ascii="宋体"/>
          <w:color w:val="000000"/>
          <w:sz w:val="28"/>
          <w:szCs w:val="28"/>
          <w:highlight w:val="none"/>
        </w:rPr>
      </w:pPr>
    </w:p>
    <w:p w14:paraId="57CE5F27">
      <w:pPr>
        <w:pStyle w:val="37"/>
        <w:adjustRightInd w:val="0"/>
        <w:snapToGrid w:val="0"/>
        <w:spacing w:line="560" w:lineRule="exact"/>
        <w:rPr>
          <w:rFonts w:ascii="宋体"/>
          <w:sz w:val="30"/>
          <w:szCs w:val="30"/>
          <w:highlight w:val="none"/>
        </w:rPr>
      </w:pPr>
    </w:p>
    <w:p w14:paraId="10AF9BAB">
      <w:pPr>
        <w:rPr>
          <w:color w:val="000000"/>
          <w:highlight w:val="none"/>
        </w:rPr>
      </w:pPr>
    </w:p>
    <w:p w14:paraId="64B4063E">
      <w:pPr>
        <w:pStyle w:val="17"/>
        <w:rPr>
          <w:color w:val="000000"/>
          <w:highlight w:val="none"/>
        </w:rPr>
      </w:pPr>
    </w:p>
    <w:p w14:paraId="2EA3370C">
      <w:pPr>
        <w:rPr>
          <w:color w:val="000000"/>
          <w:highlight w:val="none"/>
        </w:rPr>
      </w:pPr>
    </w:p>
    <w:p w14:paraId="7A40B2CF">
      <w:pPr>
        <w:pStyle w:val="17"/>
        <w:rPr>
          <w:color w:val="000000"/>
          <w:highlight w:val="none"/>
        </w:rPr>
      </w:pPr>
    </w:p>
    <w:p w14:paraId="0E98A75E">
      <w:pPr>
        <w:rPr>
          <w:color w:val="000000"/>
          <w:highlight w:val="none"/>
        </w:rPr>
      </w:pPr>
    </w:p>
    <w:p w14:paraId="214787E2">
      <w:pPr>
        <w:pStyle w:val="17"/>
        <w:rPr>
          <w:color w:val="000000"/>
          <w:highlight w:val="none"/>
        </w:rPr>
      </w:pPr>
    </w:p>
    <w:p w14:paraId="28138CB8">
      <w:pPr>
        <w:pStyle w:val="37"/>
        <w:adjustRightInd w:val="0"/>
        <w:snapToGrid w:val="0"/>
        <w:spacing w:line="560" w:lineRule="exact"/>
        <w:rPr>
          <w:rFonts w:ascii="宋体"/>
          <w:sz w:val="30"/>
          <w:szCs w:val="30"/>
          <w:highlight w:val="none"/>
        </w:rPr>
      </w:pPr>
    </w:p>
    <w:p w14:paraId="3BE3CF00">
      <w:pPr>
        <w:rPr>
          <w:color w:val="000000"/>
          <w:highlight w:val="none"/>
        </w:rPr>
      </w:pPr>
    </w:p>
    <w:p w14:paraId="682736E4">
      <w:pPr>
        <w:rPr>
          <w:color w:val="000000"/>
          <w:highlight w:val="none"/>
        </w:rPr>
      </w:pPr>
    </w:p>
    <w:p w14:paraId="19B0B017">
      <w:pPr>
        <w:pStyle w:val="37"/>
        <w:adjustRightInd w:val="0"/>
        <w:snapToGrid w:val="0"/>
        <w:spacing w:line="560" w:lineRule="exact"/>
        <w:rPr>
          <w:rFonts w:ascii="宋体"/>
          <w:sz w:val="30"/>
          <w:szCs w:val="30"/>
          <w:highlight w:val="none"/>
        </w:rPr>
      </w:pPr>
    </w:p>
    <w:p w14:paraId="045CFEEF">
      <w:pPr>
        <w:pStyle w:val="37"/>
        <w:adjustRightInd w:val="0"/>
        <w:snapToGrid w:val="0"/>
        <w:spacing w:line="560" w:lineRule="exact"/>
        <w:rPr>
          <w:rFonts w:ascii="宋体"/>
          <w:sz w:val="30"/>
          <w:szCs w:val="30"/>
          <w:highlight w:val="none"/>
        </w:rPr>
      </w:pPr>
    </w:p>
    <w:p w14:paraId="78FE7251">
      <w:pPr>
        <w:pStyle w:val="37"/>
        <w:adjustRightInd w:val="0"/>
        <w:snapToGrid w:val="0"/>
        <w:spacing w:line="560" w:lineRule="exact"/>
        <w:rPr>
          <w:rFonts w:ascii="宋体"/>
          <w:sz w:val="30"/>
          <w:szCs w:val="30"/>
          <w:highlight w:val="none"/>
        </w:rPr>
      </w:pPr>
      <w:r>
        <w:rPr>
          <w:rFonts w:hint="eastAsia" w:ascii="宋体"/>
          <w:sz w:val="30"/>
          <w:szCs w:val="30"/>
          <w:highlight w:val="none"/>
        </w:rPr>
        <w:t>2. 授权委托书</w:t>
      </w:r>
    </w:p>
    <w:p w14:paraId="00457E0A">
      <w:pPr>
        <w:adjustRightInd w:val="0"/>
        <w:snapToGrid w:val="0"/>
        <w:spacing w:line="560" w:lineRule="exact"/>
        <w:ind w:firstLine="560" w:firstLineChars="200"/>
        <w:rPr>
          <w:rFonts w:ascii="宋体"/>
          <w:color w:val="000000"/>
          <w:sz w:val="28"/>
          <w:szCs w:val="28"/>
          <w:highlight w:val="none"/>
        </w:rPr>
      </w:pPr>
      <w:r>
        <w:rPr>
          <w:rFonts w:hint="eastAsia" w:ascii="宋体"/>
          <w:color w:val="000000"/>
          <w:sz w:val="28"/>
          <w:szCs w:val="28"/>
          <w:highlight w:val="none"/>
        </w:rPr>
        <w:t xml:space="preserve">本人 </w:t>
      </w:r>
      <w:r>
        <w:rPr>
          <w:rFonts w:hint="eastAsia" w:ascii="宋体"/>
          <w:color w:val="000000"/>
          <w:sz w:val="28"/>
          <w:szCs w:val="28"/>
          <w:highlight w:val="none"/>
          <w:u w:val="single"/>
        </w:rPr>
        <w:t xml:space="preserve">    </w:t>
      </w:r>
      <w:r>
        <w:rPr>
          <w:rFonts w:hint="eastAsia" w:ascii="宋体"/>
          <w:color w:val="000000"/>
          <w:sz w:val="28"/>
          <w:szCs w:val="28"/>
          <w:highlight w:val="none"/>
        </w:rPr>
        <w:t>（姓名）系</w:t>
      </w:r>
      <w:r>
        <w:rPr>
          <w:rFonts w:hint="eastAsia" w:ascii="宋体"/>
          <w:color w:val="000000"/>
          <w:sz w:val="28"/>
          <w:szCs w:val="28"/>
          <w:highlight w:val="none"/>
          <w:u w:val="single"/>
        </w:rPr>
        <w:t xml:space="preserve">       </w:t>
      </w:r>
      <w:r>
        <w:rPr>
          <w:rFonts w:hint="eastAsia" w:ascii="宋体"/>
          <w:color w:val="000000"/>
          <w:sz w:val="28"/>
          <w:szCs w:val="28"/>
          <w:highlight w:val="none"/>
        </w:rPr>
        <w:t>（投标人）的法定代表人，现委托</w:t>
      </w:r>
      <w:r>
        <w:rPr>
          <w:rFonts w:hint="eastAsia" w:ascii="宋体"/>
          <w:color w:val="000000"/>
          <w:sz w:val="28"/>
          <w:szCs w:val="28"/>
          <w:highlight w:val="none"/>
          <w:u w:val="single"/>
        </w:rPr>
        <w:t xml:space="preserve">   </w:t>
      </w:r>
      <w:r>
        <w:rPr>
          <w:rFonts w:hint="eastAsia" w:ascii="宋体"/>
          <w:color w:val="000000"/>
          <w:sz w:val="28"/>
          <w:szCs w:val="28"/>
          <w:highlight w:val="none"/>
        </w:rPr>
        <w:t>（姓名）为我方代理人。代理人根据授权，以我方名义签署、澄清、说明、补正、递交、撤回、修改 “</w:t>
      </w:r>
      <w:r>
        <w:rPr>
          <w:rFonts w:hint="eastAsia" w:ascii="宋体"/>
          <w:color w:val="000000"/>
          <w:sz w:val="28"/>
          <w:szCs w:val="28"/>
          <w:highlight w:val="none"/>
          <w:u w:val="single"/>
        </w:rPr>
        <w:t xml:space="preserve">      </w:t>
      </w:r>
      <w:r>
        <w:rPr>
          <w:rFonts w:hint="eastAsia" w:ascii="宋体"/>
          <w:color w:val="000000"/>
          <w:sz w:val="28"/>
          <w:szCs w:val="28"/>
          <w:highlight w:val="none"/>
        </w:rPr>
        <w:t xml:space="preserve"> ”(项目名称、编号）投标文件，全权处理与该项目投标、评审答疑、签订合同以及与合同执行有关的一切事务，其法律后果由我方承担。</w:t>
      </w:r>
    </w:p>
    <w:p w14:paraId="10ED3449">
      <w:pPr>
        <w:adjustRightInd w:val="0"/>
        <w:snapToGrid w:val="0"/>
        <w:spacing w:line="560" w:lineRule="exact"/>
        <w:ind w:firstLine="560" w:firstLineChars="200"/>
        <w:rPr>
          <w:rFonts w:ascii="宋体"/>
          <w:color w:val="000000"/>
          <w:sz w:val="28"/>
          <w:szCs w:val="28"/>
          <w:highlight w:val="none"/>
        </w:rPr>
      </w:pPr>
      <w:r>
        <w:rPr>
          <w:rFonts w:hint="eastAsia" w:ascii="宋体"/>
          <w:color w:val="000000"/>
          <w:sz w:val="28"/>
          <w:szCs w:val="28"/>
          <w:highlight w:val="none"/>
        </w:rPr>
        <w:t xml:space="preserve">委托期限： </w:t>
      </w:r>
      <w:r>
        <w:rPr>
          <w:rFonts w:hint="eastAsia" w:ascii="宋体" w:cs="宋体"/>
          <w:color w:val="000000"/>
          <w:sz w:val="28"/>
          <w:szCs w:val="28"/>
          <w:highlight w:val="none"/>
          <w:u w:val="single"/>
        </w:rPr>
        <w:t xml:space="preserve">          </w:t>
      </w:r>
      <w:r>
        <w:rPr>
          <w:rFonts w:hint="eastAsia" w:ascii="宋体" w:cs="宋体"/>
          <w:color w:val="000000"/>
          <w:sz w:val="28"/>
          <w:szCs w:val="28"/>
          <w:highlight w:val="none"/>
        </w:rPr>
        <w:t>。</w:t>
      </w:r>
      <w:r>
        <w:rPr>
          <w:rFonts w:hint="eastAsia" w:ascii="宋体"/>
          <w:color w:val="000000"/>
          <w:sz w:val="28"/>
          <w:szCs w:val="28"/>
          <w:highlight w:val="none"/>
        </w:rPr>
        <w:t xml:space="preserve">                     </w:t>
      </w:r>
    </w:p>
    <w:p w14:paraId="404E25E6">
      <w:pPr>
        <w:adjustRightInd w:val="0"/>
        <w:snapToGrid w:val="0"/>
        <w:spacing w:line="560" w:lineRule="exact"/>
        <w:ind w:firstLine="560" w:firstLineChars="200"/>
        <w:rPr>
          <w:rFonts w:ascii="宋体"/>
          <w:color w:val="000000"/>
          <w:sz w:val="28"/>
          <w:szCs w:val="28"/>
          <w:highlight w:val="none"/>
        </w:rPr>
      </w:pPr>
      <w:r>
        <w:rPr>
          <w:rFonts w:hint="eastAsia" w:ascii="宋体"/>
          <w:color w:val="000000"/>
          <w:sz w:val="28"/>
          <w:szCs w:val="28"/>
          <w:highlight w:val="none"/>
        </w:rPr>
        <w:t>代理人无转委托权。</w:t>
      </w:r>
    </w:p>
    <w:p w14:paraId="481A675C">
      <w:pPr>
        <w:adjustRightInd w:val="0"/>
        <w:snapToGrid w:val="0"/>
        <w:spacing w:line="560" w:lineRule="exact"/>
        <w:ind w:firstLine="560" w:firstLineChars="200"/>
        <w:rPr>
          <w:rFonts w:ascii="宋体"/>
          <w:b/>
          <w:color w:val="000000"/>
          <w:sz w:val="28"/>
          <w:szCs w:val="28"/>
          <w:highlight w:val="none"/>
        </w:rPr>
      </w:pPr>
      <w:r>
        <w:rPr>
          <w:rFonts w:hint="eastAsia" w:ascii="宋体"/>
          <w:color w:val="000000"/>
          <w:sz w:val="28"/>
          <w:szCs w:val="28"/>
          <w:highlight w:val="none"/>
        </w:rPr>
        <w:t>附：</w:t>
      </w:r>
      <w:r>
        <w:rPr>
          <w:rFonts w:hint="eastAsia" w:ascii="宋体"/>
          <w:b/>
          <w:color w:val="000000"/>
          <w:sz w:val="28"/>
          <w:szCs w:val="28"/>
          <w:highlight w:val="none"/>
        </w:rPr>
        <w:t>委托代理人有效身份证扫描件</w:t>
      </w:r>
    </w:p>
    <w:p w14:paraId="3B40FE7C">
      <w:pPr>
        <w:adjustRightInd w:val="0"/>
        <w:snapToGrid w:val="0"/>
        <w:spacing w:line="560" w:lineRule="exact"/>
        <w:ind w:firstLine="1116" w:firstLineChars="397"/>
        <w:rPr>
          <w:rFonts w:ascii="宋体"/>
          <w:b/>
          <w:color w:val="000000"/>
          <w:sz w:val="28"/>
          <w:szCs w:val="28"/>
          <w:highlight w:val="none"/>
        </w:rPr>
      </w:pPr>
      <w:r>
        <w:rPr>
          <w:rFonts w:hint="eastAsia" w:ascii="宋体"/>
          <w:b/>
          <w:color w:val="000000"/>
          <w:sz w:val="28"/>
          <w:szCs w:val="28"/>
          <w:highlight w:val="none"/>
        </w:rPr>
        <w:t>法定代表人有效身份证扫描件</w:t>
      </w:r>
    </w:p>
    <w:p w14:paraId="2D93F5CE">
      <w:pPr>
        <w:adjustRightInd w:val="0"/>
        <w:snapToGrid w:val="0"/>
        <w:spacing w:line="560" w:lineRule="exact"/>
        <w:ind w:firstLine="560" w:firstLineChars="200"/>
        <w:rPr>
          <w:rFonts w:ascii="宋体"/>
          <w:color w:val="000000"/>
          <w:sz w:val="28"/>
          <w:szCs w:val="28"/>
          <w:highlight w:val="none"/>
        </w:rPr>
      </w:pPr>
    </w:p>
    <w:p w14:paraId="30687C83">
      <w:pPr>
        <w:adjustRightInd w:val="0"/>
        <w:snapToGrid w:val="0"/>
        <w:spacing w:line="560" w:lineRule="exact"/>
        <w:ind w:firstLine="200"/>
        <w:rPr>
          <w:rFonts w:ascii="宋体"/>
          <w:color w:val="000000"/>
          <w:sz w:val="28"/>
          <w:szCs w:val="28"/>
          <w:highlight w:val="none"/>
        </w:rPr>
      </w:pPr>
      <w:r>
        <w:rPr>
          <w:rFonts w:hint="eastAsia" w:ascii="宋体"/>
          <w:color w:val="000000"/>
          <w:sz w:val="28"/>
          <w:szCs w:val="28"/>
          <w:highlight w:val="none"/>
        </w:rPr>
        <w:t xml:space="preserve">                           投标人（签章）：</w:t>
      </w:r>
    </w:p>
    <w:p w14:paraId="7D199F6B">
      <w:pPr>
        <w:adjustRightInd w:val="0"/>
        <w:snapToGrid w:val="0"/>
        <w:spacing w:line="560" w:lineRule="exact"/>
        <w:ind w:firstLine="2660" w:firstLineChars="950"/>
        <w:rPr>
          <w:rFonts w:ascii="宋体"/>
          <w:color w:val="000000"/>
          <w:sz w:val="28"/>
          <w:szCs w:val="28"/>
          <w:highlight w:val="none"/>
        </w:rPr>
      </w:pPr>
      <w:r>
        <w:rPr>
          <w:rFonts w:hint="eastAsia" w:ascii="宋体"/>
          <w:color w:val="000000"/>
          <w:sz w:val="28"/>
          <w:szCs w:val="28"/>
          <w:highlight w:val="none"/>
        </w:rPr>
        <w:t>法定代表人（身份证号码）：             （签章）</w:t>
      </w:r>
    </w:p>
    <w:p w14:paraId="551F21D9">
      <w:pPr>
        <w:pStyle w:val="17"/>
        <w:rPr>
          <w:rFonts w:ascii="宋体"/>
          <w:color w:val="000000"/>
          <w:sz w:val="28"/>
          <w:szCs w:val="28"/>
          <w:highlight w:val="none"/>
        </w:rPr>
      </w:pPr>
      <w:r>
        <w:rPr>
          <w:rFonts w:hint="eastAsia"/>
          <w:color w:val="000000"/>
          <w:highlight w:val="none"/>
        </w:rPr>
        <w:t xml:space="preserve">                                 </w:t>
      </w:r>
      <w:r>
        <w:rPr>
          <w:rFonts w:hint="eastAsia" w:ascii="宋体"/>
          <w:color w:val="000000"/>
          <w:sz w:val="28"/>
          <w:szCs w:val="28"/>
          <w:highlight w:val="none"/>
        </w:rPr>
        <w:t xml:space="preserve">    联系方式：</w:t>
      </w:r>
    </w:p>
    <w:p w14:paraId="27BDEDD7">
      <w:pPr>
        <w:adjustRightInd w:val="0"/>
        <w:snapToGrid w:val="0"/>
        <w:spacing w:line="560" w:lineRule="exact"/>
        <w:ind w:firstLine="2660" w:firstLineChars="950"/>
        <w:rPr>
          <w:rFonts w:ascii="宋体"/>
          <w:color w:val="000000"/>
          <w:sz w:val="28"/>
          <w:szCs w:val="28"/>
          <w:highlight w:val="none"/>
        </w:rPr>
      </w:pPr>
      <w:r>
        <w:rPr>
          <w:rFonts w:hint="eastAsia" w:ascii="宋体"/>
          <w:color w:val="000000"/>
          <w:sz w:val="28"/>
          <w:szCs w:val="28"/>
          <w:highlight w:val="none"/>
        </w:rPr>
        <w:t xml:space="preserve">委托代理人（身份证号码）：      </w:t>
      </w:r>
    </w:p>
    <w:p w14:paraId="5C4D5998">
      <w:pPr>
        <w:adjustRightInd w:val="0"/>
        <w:snapToGrid w:val="0"/>
        <w:spacing w:line="560" w:lineRule="exact"/>
        <w:ind w:firstLine="2660" w:firstLineChars="950"/>
        <w:rPr>
          <w:rFonts w:ascii="宋体"/>
          <w:color w:val="000000"/>
          <w:sz w:val="28"/>
          <w:szCs w:val="28"/>
          <w:highlight w:val="none"/>
        </w:rPr>
      </w:pPr>
      <w:r>
        <w:rPr>
          <w:rFonts w:hint="eastAsia" w:ascii="宋体"/>
          <w:color w:val="000000"/>
          <w:sz w:val="28"/>
          <w:szCs w:val="28"/>
          <w:highlight w:val="none"/>
        </w:rPr>
        <w:t xml:space="preserve">                联系方式：</w:t>
      </w:r>
    </w:p>
    <w:p w14:paraId="3B4C6B45">
      <w:pPr>
        <w:adjustRightInd w:val="0"/>
        <w:snapToGrid w:val="0"/>
        <w:spacing w:line="560" w:lineRule="exact"/>
        <w:ind w:firstLine="3290" w:firstLineChars="1175"/>
        <w:rPr>
          <w:rFonts w:ascii="宋体"/>
          <w:color w:val="000000"/>
          <w:sz w:val="28"/>
          <w:szCs w:val="28"/>
          <w:highlight w:val="none"/>
        </w:rPr>
      </w:pPr>
      <w:r>
        <w:rPr>
          <w:rFonts w:hint="eastAsia" w:ascii="宋体"/>
          <w:color w:val="000000"/>
          <w:sz w:val="28"/>
          <w:szCs w:val="28"/>
          <w:highlight w:val="none"/>
        </w:rPr>
        <w:t xml:space="preserve">              年    月    日</w:t>
      </w:r>
    </w:p>
    <w:p w14:paraId="05D3CAD6">
      <w:pPr>
        <w:pStyle w:val="17"/>
        <w:rPr>
          <w:color w:val="000000"/>
          <w:highlight w:val="none"/>
        </w:rPr>
      </w:pPr>
    </w:p>
    <w:p w14:paraId="165566B4">
      <w:pPr>
        <w:adjustRightInd w:val="0"/>
        <w:snapToGrid w:val="0"/>
        <w:spacing w:line="560" w:lineRule="exact"/>
        <w:rPr>
          <w:b/>
          <w:color w:val="000000"/>
          <w:sz w:val="28"/>
          <w:szCs w:val="28"/>
          <w:highlight w:val="none"/>
        </w:rPr>
      </w:pPr>
      <w:r>
        <w:rPr>
          <w:rFonts w:hint="eastAsia"/>
          <w:b/>
          <w:color w:val="000000"/>
          <w:sz w:val="28"/>
          <w:szCs w:val="28"/>
          <w:highlight w:val="none"/>
          <w:u w:val="single"/>
        </w:rPr>
        <w:t>（上传电子投标文件时采用本授权委托书）</w:t>
      </w:r>
    </w:p>
    <w:p w14:paraId="3451076D">
      <w:pPr>
        <w:adjustRightInd w:val="0"/>
        <w:snapToGrid w:val="0"/>
        <w:spacing w:line="560" w:lineRule="exact"/>
        <w:jc w:val="center"/>
        <w:rPr>
          <w:b/>
          <w:color w:val="000000"/>
          <w:sz w:val="28"/>
          <w:szCs w:val="28"/>
          <w:highlight w:val="none"/>
        </w:rPr>
      </w:pPr>
    </w:p>
    <w:p w14:paraId="43914E98">
      <w:pPr>
        <w:adjustRightInd w:val="0"/>
        <w:snapToGrid w:val="0"/>
        <w:spacing w:line="560" w:lineRule="exact"/>
        <w:jc w:val="center"/>
        <w:rPr>
          <w:b/>
          <w:color w:val="000000"/>
          <w:sz w:val="28"/>
          <w:szCs w:val="28"/>
          <w:highlight w:val="none"/>
        </w:rPr>
      </w:pPr>
    </w:p>
    <w:p w14:paraId="55F39581">
      <w:pPr>
        <w:adjustRightInd w:val="0"/>
        <w:snapToGrid w:val="0"/>
        <w:spacing w:line="560" w:lineRule="exact"/>
        <w:jc w:val="center"/>
        <w:rPr>
          <w:b/>
          <w:color w:val="000000"/>
          <w:sz w:val="28"/>
          <w:szCs w:val="28"/>
          <w:highlight w:val="none"/>
        </w:rPr>
      </w:pPr>
    </w:p>
    <w:p w14:paraId="1EACEAC4">
      <w:pPr>
        <w:adjustRightInd w:val="0"/>
        <w:snapToGrid w:val="0"/>
        <w:spacing w:line="560" w:lineRule="exact"/>
        <w:jc w:val="center"/>
        <w:rPr>
          <w:b/>
          <w:color w:val="000000"/>
          <w:sz w:val="28"/>
          <w:szCs w:val="28"/>
          <w:highlight w:val="none"/>
        </w:rPr>
      </w:pPr>
    </w:p>
    <w:p w14:paraId="5CEEE505">
      <w:pPr>
        <w:adjustRightInd w:val="0"/>
        <w:snapToGrid w:val="0"/>
        <w:spacing w:line="560" w:lineRule="exact"/>
        <w:jc w:val="center"/>
        <w:rPr>
          <w:b/>
          <w:color w:val="000000"/>
          <w:sz w:val="28"/>
          <w:szCs w:val="28"/>
          <w:highlight w:val="none"/>
        </w:rPr>
      </w:pPr>
    </w:p>
    <w:p w14:paraId="4F570482">
      <w:pPr>
        <w:adjustRightInd w:val="0"/>
        <w:snapToGrid w:val="0"/>
        <w:spacing w:line="560" w:lineRule="exact"/>
        <w:jc w:val="center"/>
        <w:rPr>
          <w:b/>
          <w:color w:val="000000"/>
          <w:sz w:val="28"/>
          <w:szCs w:val="28"/>
          <w:highlight w:val="none"/>
        </w:rPr>
      </w:pPr>
    </w:p>
    <w:p w14:paraId="1C0BC62B">
      <w:pPr>
        <w:adjustRightInd w:val="0"/>
        <w:snapToGrid w:val="0"/>
        <w:spacing w:line="560" w:lineRule="exact"/>
        <w:jc w:val="center"/>
        <w:rPr>
          <w:b/>
          <w:color w:val="000000"/>
          <w:sz w:val="28"/>
          <w:szCs w:val="28"/>
          <w:highlight w:val="none"/>
        </w:rPr>
      </w:pPr>
    </w:p>
    <w:p w14:paraId="5AD0861D">
      <w:pPr>
        <w:adjustRightInd w:val="0"/>
        <w:snapToGrid w:val="0"/>
        <w:spacing w:line="560" w:lineRule="exact"/>
        <w:jc w:val="center"/>
        <w:rPr>
          <w:b/>
          <w:color w:val="000000"/>
          <w:sz w:val="28"/>
          <w:szCs w:val="28"/>
          <w:highlight w:val="none"/>
        </w:rPr>
      </w:pPr>
    </w:p>
    <w:p w14:paraId="213B29DB">
      <w:pPr>
        <w:adjustRightInd w:val="0"/>
        <w:snapToGrid w:val="0"/>
        <w:spacing w:line="560" w:lineRule="exact"/>
        <w:jc w:val="center"/>
        <w:rPr>
          <w:b/>
          <w:color w:val="000000"/>
          <w:sz w:val="28"/>
          <w:szCs w:val="28"/>
          <w:highlight w:val="none"/>
        </w:rPr>
      </w:pPr>
      <w:r>
        <w:rPr>
          <w:rFonts w:hint="eastAsia"/>
          <w:b/>
          <w:color w:val="000000"/>
          <w:sz w:val="28"/>
          <w:szCs w:val="28"/>
          <w:highlight w:val="none"/>
        </w:rPr>
        <w:t>②诚信投标承诺书  </w:t>
      </w:r>
    </w:p>
    <w:p w14:paraId="0D99641C">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本人以企业法定代表人的身份郑重承诺：</w:t>
      </w:r>
    </w:p>
    <w:p w14:paraId="22F31F97">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一、将遵循公</w:t>
      </w:r>
      <w:bookmarkStart w:id="949" w:name="_Toc503196197"/>
      <w:bookmarkStart w:id="950" w:name="_Toc506107356"/>
      <w:bookmarkStart w:id="951" w:name="_Toc26598"/>
      <w:r>
        <w:rPr>
          <w:rFonts w:hint="eastAsia" w:ascii="宋体" w:hAnsi="宋体"/>
          <w:color w:val="000000"/>
          <w:szCs w:val="21"/>
          <w:highlight w:val="none"/>
        </w:rPr>
        <w:t>开、公正和诚实信用</w:t>
      </w:r>
      <w:bookmarkEnd w:id="949"/>
      <w:bookmarkEnd w:id="950"/>
      <w:r>
        <w:rPr>
          <w:rFonts w:hint="eastAsia" w:ascii="宋体" w:hAnsi="宋体"/>
          <w:color w:val="000000"/>
          <w:szCs w:val="21"/>
          <w:highlight w:val="none"/>
        </w:rPr>
        <w:t>的</w:t>
      </w:r>
      <w:bookmarkEnd w:id="951"/>
      <w:r>
        <w:rPr>
          <w:rFonts w:hint="eastAsia" w:ascii="宋体" w:hAnsi="宋体"/>
          <w:color w:val="000000"/>
          <w:szCs w:val="21"/>
          <w:highlight w:val="none"/>
        </w:rPr>
        <w:t>原则自愿参加</w:t>
      </w:r>
      <w:r>
        <w:rPr>
          <w:rFonts w:hint="eastAsia" w:ascii="宋体" w:hAnsi="宋体"/>
          <w:color w:val="000000"/>
          <w:szCs w:val="21"/>
          <w:highlight w:val="none"/>
          <w:u w:val="single"/>
        </w:rPr>
        <w:t xml:space="preserve">                     （项目名称）</w:t>
      </w:r>
      <w:r>
        <w:rPr>
          <w:rFonts w:hint="eastAsia" w:ascii="宋体" w:hAnsi="宋体"/>
          <w:color w:val="000000"/>
          <w:szCs w:val="21"/>
          <w:highlight w:val="none"/>
        </w:rPr>
        <w:t>项目的投标；</w:t>
      </w:r>
    </w:p>
    <w:p w14:paraId="0BBCC033">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二、所提供的一切材料都是真实、合法的；</w:t>
      </w:r>
    </w:p>
    <w:p w14:paraId="7AD10DBE">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三、不出借、转让资质证书，不让他人挂靠投标，不以他人名义投标或者以其他方式弄虚作假，骗取中标；</w:t>
      </w:r>
    </w:p>
    <w:p w14:paraId="38838920">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四、不与其他投标人相互串通投标报价，不排挤其他投标人的公平竞争、损害招标人的合法权益；</w:t>
      </w:r>
    </w:p>
    <w:p w14:paraId="386B2551">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五、不与招标人、招标代理机构或其他投标人串通投标，损害国家利益、社会公共利益或者他人的合法权益；</w:t>
      </w:r>
    </w:p>
    <w:p w14:paraId="56021ACB">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六、</w:t>
      </w:r>
      <w:r>
        <w:rPr>
          <w:rFonts w:hint="eastAsia" w:ascii="宋体" w:hAnsi="宋体"/>
          <w:color w:val="000000"/>
          <w:szCs w:val="21"/>
          <w:highlight w:val="none"/>
          <w:u w:val="single"/>
        </w:rPr>
        <w:t xml:space="preserve">      （企业名称）</w:t>
      </w:r>
      <w:r>
        <w:rPr>
          <w:rFonts w:hint="eastAsia" w:ascii="宋体" w:hAnsi="宋体"/>
          <w:color w:val="000000"/>
          <w:szCs w:val="21"/>
          <w:highlight w:val="none"/>
        </w:rPr>
        <w:t xml:space="preserve">或 </w:t>
      </w:r>
      <w:r>
        <w:rPr>
          <w:rFonts w:hint="eastAsia" w:ascii="宋体" w:hAnsi="宋体"/>
          <w:color w:val="000000"/>
          <w:szCs w:val="21"/>
          <w:highlight w:val="none"/>
          <w:u w:val="single"/>
        </w:rPr>
        <w:t xml:space="preserve">      （企业名称）</w:t>
      </w:r>
      <w:r>
        <w:rPr>
          <w:rFonts w:hint="eastAsia" w:ascii="宋体" w:hAnsi="宋体"/>
          <w:color w:val="000000"/>
          <w:szCs w:val="21"/>
          <w:highlight w:val="none"/>
        </w:rPr>
        <w:t>法定代表人</w:t>
      </w:r>
      <w:r>
        <w:rPr>
          <w:rFonts w:hint="eastAsia" w:ascii="宋体" w:hAnsi="宋体"/>
          <w:color w:val="000000"/>
          <w:szCs w:val="21"/>
          <w:highlight w:val="none"/>
          <w:u w:val="single"/>
        </w:rPr>
        <w:t xml:space="preserve">       </w:t>
      </w:r>
      <w:r>
        <w:rPr>
          <w:rFonts w:hint="eastAsia" w:ascii="宋体" w:hAnsi="宋体"/>
          <w:color w:val="000000"/>
          <w:szCs w:val="21"/>
          <w:highlight w:val="none"/>
        </w:rPr>
        <w:t>或拟派项目经理（负责人）</w:t>
      </w:r>
      <w:r>
        <w:rPr>
          <w:rFonts w:hint="eastAsia" w:ascii="宋体" w:hAnsi="宋体"/>
          <w:color w:val="000000"/>
          <w:szCs w:val="21"/>
          <w:highlight w:val="none"/>
          <w:u w:val="single"/>
        </w:rPr>
        <w:t xml:space="preserve">      </w:t>
      </w:r>
      <w:r>
        <w:rPr>
          <w:rFonts w:hint="eastAsia" w:ascii="宋体" w:hAnsi="宋体"/>
          <w:color w:val="000000"/>
          <w:szCs w:val="21"/>
          <w:highlight w:val="none"/>
        </w:rPr>
        <w:t>没有下列情形：</w:t>
      </w:r>
      <w:bookmarkStart w:id="952" w:name="OLE_LINK134"/>
      <w:bookmarkStart w:id="953" w:name="OLE_LINK133"/>
      <w:r>
        <w:rPr>
          <w:rFonts w:hint="eastAsia" w:ascii="宋体" w:hAnsi="宋体"/>
          <w:color w:val="000000"/>
          <w:szCs w:val="21"/>
          <w:highlight w:val="none"/>
        </w:rPr>
        <w:t>①被列入“信用中国”网站“失信被执行人”的;②被列入“信用中国”网站“重大税收违法失信主体”的；③被列入“信用中国”网站“拖欠农民工工资失信联合惩戒对象名单”的；④被列入“信用中国”网站“严重失信主体名单”的；⑤在“信用中国”网站上披露的仍在公示期的严重失信行为(具体行为类别及判定依据见附件2)的。⑥被列入国家企业信用信息公示系统网站“经营异常名录”或者“严重违法失信名单”的。⑦前三年有行贿犯罪行为的单位和个人；⑧被滁州市县两级公管部门及各行业主管部门取消在一定期限内的投标资格且在取消期限内的；⑨因拖欠农民工工资被县级及以上有关行政主管部门限制投标资格且在限制期限内的；⑩被列入省级、市级农民工工资支付异常名录的施工企业，在限制其参加全市范围内房建和市政工程建设项目投标的期限内的；列入县级异常名录的施工企业，在限制其参加本行政区域内房建和市政建设项目投标的期限内的。</w:t>
      </w:r>
      <w:r>
        <w:rPr>
          <w:rFonts w:hint="eastAsia"/>
          <w:color w:val="000000"/>
          <w:szCs w:val="21"/>
          <w:highlight w:val="none"/>
        </w:rPr>
        <w:t>（</w:t>
      </w:r>
      <w:bookmarkEnd w:id="952"/>
      <w:bookmarkEnd w:id="953"/>
      <w:r>
        <w:rPr>
          <w:rFonts w:hint="eastAsia"/>
          <w:color w:val="000000"/>
          <w:szCs w:val="21"/>
          <w:highlight w:val="none"/>
        </w:rPr>
        <w:t>若招标文件对投标人所属分公司、办事处等分支机构有上述</w:t>
      </w:r>
      <w:r>
        <w:rPr>
          <w:color w:val="000000"/>
          <w:szCs w:val="21"/>
          <w:highlight w:val="none"/>
        </w:rPr>
        <w:t>1-10</w:t>
      </w:r>
      <w:r>
        <w:rPr>
          <w:rFonts w:hint="eastAsia"/>
          <w:color w:val="000000"/>
          <w:szCs w:val="21"/>
          <w:highlight w:val="none"/>
        </w:rPr>
        <w:t>项信誉要求，在此一并承诺我公司所属分公司、办事处等分支机构没有上述</w:t>
      </w:r>
      <w:r>
        <w:rPr>
          <w:color w:val="000000"/>
          <w:szCs w:val="21"/>
          <w:highlight w:val="none"/>
        </w:rPr>
        <w:t>1-10</w:t>
      </w:r>
      <w:r>
        <w:rPr>
          <w:rFonts w:hint="eastAsia"/>
          <w:color w:val="000000"/>
          <w:szCs w:val="21"/>
          <w:highlight w:val="none"/>
        </w:rPr>
        <w:t>项情形）</w:t>
      </w:r>
    </w:p>
    <w:p w14:paraId="12F67027">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七、严格遵守开标现场纪律，服从监管人员管理；</w:t>
      </w:r>
    </w:p>
    <w:p w14:paraId="2F995F9C">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八、保证中标后不转包及使用挂靠施工队伍，若有分包征得建设单位同意；</w:t>
      </w:r>
    </w:p>
    <w:p w14:paraId="4CA108B4">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九、保证中标之后，按照投标文件承诺派驻管理人员及投入机械设备，如有违反，同意接受建设单位违约处罚；</w:t>
      </w:r>
    </w:p>
    <w:p w14:paraId="3A9F8CE3">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十、保证企业及所属相关人员在本次投标中无行贿等犯罪行为；</w:t>
      </w:r>
    </w:p>
    <w:p w14:paraId="331B2D69">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十一、如我公司中标，保证中标的项目经理（建造师）无其他尚未完工（以竣工、交工、完工验收报告等手续为准）项目或在已中标项目（以发放中标通知书为准）中担任项目经理（建造师）情形。如有，项目在滁州市区域内的，接受中标无效、记入不良行为记录等处理；项目在滁州市区域外的，保证在中标候选人公示期第一日起开始计算7日内，提供经行政主管部门备案的变更证明材料，否则接受中标无效、记入不良行为记录等处理；</w:t>
      </w:r>
    </w:p>
    <w:p w14:paraId="38126E8E">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十二、如在投标过程和公示期间发生投诉行为，依法进行投诉。投诉内容符合要求，投诉材料加盖企业公章或由法定代表人授权委托人签字，并附有关身份证明复印件。不恶意投诉，对本公司提供的投诉线索的真实性负责，否则愿接受有关部门的处罚；</w:t>
      </w:r>
    </w:p>
    <w:p w14:paraId="0A4CED44">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十三、如我公司中标，按照国务院《关于全面治理拖欠农民工工资问题的意见》（国办发[2016]1号）及国家住建部和人社部关于《建筑工人实名制管理办法》（建市[2019]18号）的规定，总承包单位对所承建的工程项目的建筑工人实名制管理负总责，对建筑工人实行实名制管理；实行人工费用与其他工程款分账管理制度；建筑工程承包单位必须开设农民工工资专户；建设单位在支付工程款时，应将人工费部分按规定汇入建筑工程承包单位的农民工工资专户，由建筑工程承包单位按劳动合同约定，通过农民工工资专户按月足额将工资发放给建筑工人；</w:t>
      </w:r>
    </w:p>
    <w:p w14:paraId="5734E700">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十四、我公司拟任项目经理（建造师）不是投标截止时间前六个月内在滁州市区域内办理过项目经理（建造师）变更备案手续的原项目经理（建造师）。</w:t>
      </w:r>
    </w:p>
    <w:p w14:paraId="379BC87A">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 xml:space="preserve"> 以上内容我已仔细阅读，本公司若有违反承诺内容的行为，自愿接受取消投标或者中标资格、中标无效、记入不良行为记录等有关处理，愿意承担法律责任，给招标人造成损失的，承担赔偿责任。</w:t>
      </w:r>
    </w:p>
    <w:p w14:paraId="46170875">
      <w:pPr>
        <w:adjustRightInd w:val="0"/>
        <w:snapToGrid w:val="0"/>
        <w:spacing w:line="560" w:lineRule="exact"/>
        <w:rPr>
          <w:rFonts w:ascii="宋体" w:hAnsi="宋体"/>
          <w:color w:val="000000"/>
          <w:szCs w:val="21"/>
          <w:highlight w:val="none"/>
        </w:rPr>
      </w:pPr>
    </w:p>
    <w:p w14:paraId="64B4A77E">
      <w:pPr>
        <w:adjustRightInd w:val="0"/>
        <w:snapToGrid w:val="0"/>
        <w:spacing w:line="560" w:lineRule="exact"/>
        <w:ind w:firstLine="420" w:firstLineChars="200"/>
        <w:rPr>
          <w:rFonts w:ascii="宋体" w:hAnsi="宋体"/>
          <w:color w:val="000000"/>
          <w:szCs w:val="21"/>
          <w:highlight w:val="none"/>
          <w:u w:val="single"/>
        </w:rPr>
      </w:pPr>
      <w:r>
        <w:rPr>
          <w:rFonts w:hint="eastAsia" w:ascii="宋体" w:hAnsi="宋体"/>
          <w:color w:val="000000"/>
          <w:szCs w:val="21"/>
          <w:highlight w:val="none"/>
        </w:rPr>
        <w:t>开户银行：</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基本账户：                             </w:t>
      </w:r>
    </w:p>
    <w:p w14:paraId="55AB5036">
      <w:pPr>
        <w:adjustRightInd w:val="0"/>
        <w:snapToGrid w:val="0"/>
        <w:spacing w:line="560" w:lineRule="exact"/>
        <w:rPr>
          <w:rFonts w:ascii="宋体" w:hAnsi="宋体"/>
          <w:color w:val="000000"/>
          <w:szCs w:val="21"/>
          <w:highlight w:val="none"/>
        </w:rPr>
      </w:pPr>
    </w:p>
    <w:p w14:paraId="3FA316BF">
      <w:pPr>
        <w:adjustRightInd w:val="0"/>
        <w:snapToGrid w:val="0"/>
        <w:spacing w:line="560" w:lineRule="exact"/>
        <w:ind w:firstLine="420" w:firstLineChars="200"/>
        <w:rPr>
          <w:rFonts w:ascii="宋体" w:hAnsi="宋体"/>
          <w:color w:val="000000"/>
          <w:szCs w:val="21"/>
          <w:highlight w:val="none"/>
          <w:u w:val="single"/>
        </w:rPr>
      </w:pPr>
      <w:r>
        <w:rPr>
          <w:rFonts w:hint="eastAsia" w:ascii="宋体" w:hAnsi="宋体"/>
          <w:color w:val="000000"/>
          <w:szCs w:val="21"/>
          <w:highlight w:val="none"/>
        </w:rPr>
        <w:t xml:space="preserve">投标人（签章）：  </w:t>
      </w:r>
      <w:r>
        <w:rPr>
          <w:rFonts w:hint="eastAsia" w:ascii="宋体" w:hAnsi="宋体"/>
          <w:color w:val="000000"/>
          <w:szCs w:val="21"/>
          <w:highlight w:val="none"/>
          <w:u w:val="single"/>
        </w:rPr>
        <w:t xml:space="preserve">        </w:t>
      </w:r>
      <w:r>
        <w:rPr>
          <w:rFonts w:hint="eastAsia" w:ascii="宋体" w:hAnsi="宋体"/>
          <w:color w:val="000000"/>
          <w:szCs w:val="21"/>
          <w:highlight w:val="none"/>
        </w:rPr>
        <w:t>法定代表人（签章）：</w:t>
      </w:r>
      <w:r>
        <w:rPr>
          <w:rFonts w:hint="eastAsia" w:ascii="宋体" w:hAnsi="宋体"/>
          <w:color w:val="000000"/>
          <w:szCs w:val="21"/>
          <w:highlight w:val="none"/>
          <w:u w:val="single"/>
        </w:rPr>
        <w:t xml:space="preserve">                           </w:t>
      </w:r>
    </w:p>
    <w:p w14:paraId="1C8D94DF">
      <w:pPr>
        <w:adjustRightInd w:val="0"/>
        <w:snapToGrid w:val="0"/>
        <w:spacing w:line="560" w:lineRule="exact"/>
        <w:rPr>
          <w:rFonts w:ascii="宋体" w:hAnsi="宋体"/>
          <w:color w:val="000000"/>
          <w:szCs w:val="21"/>
          <w:highlight w:val="none"/>
        </w:rPr>
      </w:pPr>
    </w:p>
    <w:p w14:paraId="737AFC03">
      <w:pPr>
        <w:pStyle w:val="17"/>
        <w:rPr>
          <w:color w:val="000000"/>
          <w:highlight w:val="none"/>
        </w:rPr>
      </w:pPr>
      <w:r>
        <w:rPr>
          <w:rFonts w:hint="eastAsia" w:ascii="宋体" w:hAnsi="宋体"/>
          <w:color w:val="000000"/>
          <w:szCs w:val="21"/>
          <w:highlight w:val="none"/>
        </w:rPr>
        <w:t>日期：</w:t>
      </w:r>
      <w:r>
        <w:rPr>
          <w:rFonts w:ascii="宋体" w:hAnsi="宋体"/>
          <w:color w:val="000000"/>
          <w:szCs w:val="21"/>
          <w:highlight w:val="none"/>
          <w:u w:val="single"/>
        </w:rPr>
        <w:t xml:space="preserve">           </w:t>
      </w:r>
      <w:r>
        <w:rPr>
          <w:rFonts w:hint="eastAsia" w:ascii="宋体" w:hAnsi="宋体"/>
          <w:color w:val="000000"/>
          <w:szCs w:val="21"/>
          <w:highlight w:val="none"/>
        </w:rPr>
        <w:t>年</w:t>
      </w:r>
      <w:r>
        <w:rPr>
          <w:rFonts w:ascii="宋体" w:hAnsi="宋体"/>
          <w:color w:val="000000"/>
          <w:szCs w:val="21"/>
          <w:highlight w:val="none"/>
        </w:rPr>
        <w:t xml:space="preserve"> </w:t>
      </w:r>
      <w:r>
        <w:rPr>
          <w:rFonts w:ascii="宋体" w:hAnsi="宋体"/>
          <w:color w:val="000000"/>
          <w:szCs w:val="21"/>
          <w:highlight w:val="none"/>
          <w:u w:val="single"/>
        </w:rPr>
        <w:t xml:space="preserve">           </w:t>
      </w:r>
      <w:r>
        <w:rPr>
          <w:rFonts w:hint="eastAsia" w:ascii="宋体" w:hAnsi="宋体"/>
          <w:color w:val="000000"/>
          <w:szCs w:val="21"/>
          <w:highlight w:val="none"/>
        </w:rPr>
        <w:t>月</w:t>
      </w:r>
      <w:r>
        <w:rPr>
          <w:rFonts w:ascii="宋体" w:hAnsi="宋体"/>
          <w:color w:val="000000"/>
          <w:szCs w:val="21"/>
          <w:highlight w:val="none"/>
        </w:rPr>
        <w:t xml:space="preserve"> </w:t>
      </w:r>
      <w:r>
        <w:rPr>
          <w:rFonts w:ascii="宋体" w:hAnsi="宋体"/>
          <w:color w:val="000000"/>
          <w:szCs w:val="21"/>
          <w:highlight w:val="none"/>
          <w:u w:val="single"/>
        </w:rPr>
        <w:t xml:space="preserve">            </w:t>
      </w:r>
      <w:r>
        <w:rPr>
          <w:rFonts w:hint="eastAsia" w:ascii="宋体" w:hAnsi="宋体"/>
          <w:color w:val="000000"/>
          <w:szCs w:val="21"/>
          <w:highlight w:val="none"/>
        </w:rPr>
        <w:t>日</w:t>
      </w:r>
    </w:p>
    <w:p w14:paraId="5B5A0C5F">
      <w:pPr>
        <w:rPr>
          <w:color w:val="000000"/>
          <w:highlight w:val="none"/>
        </w:rPr>
      </w:pPr>
    </w:p>
    <w:p w14:paraId="3C986613">
      <w:pPr>
        <w:adjustRightInd w:val="0"/>
        <w:snapToGrid w:val="0"/>
        <w:spacing w:line="560" w:lineRule="exact"/>
        <w:jc w:val="center"/>
        <w:rPr>
          <w:b/>
          <w:color w:val="000000"/>
          <w:sz w:val="28"/>
          <w:szCs w:val="28"/>
          <w:highlight w:val="none"/>
        </w:rPr>
      </w:pPr>
    </w:p>
    <w:p w14:paraId="29F1C04C">
      <w:pPr>
        <w:adjustRightInd w:val="0"/>
        <w:snapToGrid w:val="0"/>
        <w:spacing w:line="560" w:lineRule="exact"/>
        <w:jc w:val="center"/>
        <w:rPr>
          <w:b/>
          <w:color w:val="000000"/>
          <w:sz w:val="28"/>
          <w:szCs w:val="28"/>
          <w:highlight w:val="none"/>
        </w:rPr>
      </w:pPr>
    </w:p>
    <w:p w14:paraId="0881848A">
      <w:pPr>
        <w:pStyle w:val="17"/>
        <w:rPr>
          <w:color w:val="000000"/>
          <w:highlight w:val="none"/>
        </w:rPr>
      </w:pPr>
    </w:p>
    <w:p w14:paraId="597B51A5">
      <w:pPr>
        <w:rPr>
          <w:highlight w:val="none"/>
        </w:rPr>
      </w:pPr>
    </w:p>
    <w:p w14:paraId="18E3684B">
      <w:pPr>
        <w:rPr>
          <w:highlight w:val="none"/>
        </w:rPr>
      </w:pPr>
    </w:p>
    <w:p w14:paraId="39F5A35D">
      <w:pPr>
        <w:rPr>
          <w:color w:val="000000"/>
          <w:highlight w:val="none"/>
        </w:rPr>
      </w:pPr>
    </w:p>
    <w:p w14:paraId="0FCC0FB9">
      <w:pPr>
        <w:adjustRightInd w:val="0"/>
        <w:snapToGrid w:val="0"/>
        <w:spacing w:line="560" w:lineRule="exact"/>
        <w:jc w:val="center"/>
        <w:rPr>
          <w:b/>
          <w:color w:val="000000"/>
          <w:sz w:val="28"/>
          <w:szCs w:val="28"/>
          <w:highlight w:val="none"/>
        </w:rPr>
      </w:pPr>
      <w:r>
        <w:rPr>
          <w:rFonts w:hint="eastAsia"/>
          <w:b/>
          <w:color w:val="000000"/>
          <w:sz w:val="28"/>
          <w:szCs w:val="28"/>
          <w:highlight w:val="none"/>
        </w:rPr>
        <w:t>②公共信用信息报告（无违法违规证明版或核查版））</w:t>
      </w:r>
    </w:p>
    <w:p w14:paraId="5FC6FC22">
      <w:pPr>
        <w:pStyle w:val="17"/>
        <w:spacing w:after="0" w:line="560" w:lineRule="exact"/>
        <w:ind w:left="0" w:leftChars="0"/>
        <w:rPr>
          <w:rFonts w:ascii="宋体" w:hAnsi="宋体"/>
          <w:color w:val="000000"/>
          <w:szCs w:val="21"/>
          <w:highlight w:val="none"/>
        </w:rPr>
      </w:pPr>
      <w:r>
        <w:rPr>
          <w:rFonts w:hint="eastAsia" w:ascii="宋体" w:hAnsi="宋体"/>
          <w:color w:val="000000"/>
          <w:szCs w:val="21"/>
          <w:highlight w:val="none"/>
        </w:rPr>
        <w:t>符合条件的投标人可在信用中国（安徽）网站（网址</w:t>
      </w:r>
      <w:r>
        <w:rPr>
          <w:highlight w:val="none"/>
        </w:rPr>
        <w:fldChar w:fldCharType="begin"/>
      </w:r>
      <w:r>
        <w:rPr>
          <w:highlight w:val="none"/>
        </w:rPr>
        <w:instrText xml:space="preserve"> HYPERLINK "https://credit.ah.gov.cn/xinyongfuwu/index.html" </w:instrText>
      </w:r>
      <w:r>
        <w:rPr>
          <w:highlight w:val="none"/>
        </w:rPr>
        <w:fldChar w:fldCharType="separate"/>
      </w:r>
      <w:r>
        <w:rPr>
          <w:rStyle w:val="27"/>
          <w:rFonts w:ascii="宋体" w:hAnsi="宋体"/>
          <w:szCs w:val="21"/>
          <w:highlight w:val="none"/>
        </w:rPr>
        <w:t>https://credit.ah.gov.cn/xinyongfuwu/index.html</w:t>
      </w:r>
      <w:r>
        <w:rPr>
          <w:rStyle w:val="27"/>
          <w:rFonts w:ascii="宋体" w:hAnsi="宋体"/>
          <w:szCs w:val="21"/>
          <w:highlight w:val="none"/>
        </w:rPr>
        <w:fldChar w:fldCharType="end"/>
      </w:r>
      <w:r>
        <w:rPr>
          <w:rFonts w:hint="eastAsia" w:ascii="宋体" w:hAnsi="宋体"/>
          <w:color w:val="000000"/>
          <w:szCs w:val="21"/>
          <w:highlight w:val="none"/>
        </w:rPr>
        <w:t>），获取信用报告（无违法违规证明版或核查版）并上传至投标文件中。</w:t>
      </w:r>
    </w:p>
    <w:p w14:paraId="73776FE2">
      <w:pPr>
        <w:pStyle w:val="17"/>
        <w:rPr>
          <w:color w:val="000000"/>
          <w:highlight w:val="none"/>
        </w:rPr>
      </w:pPr>
    </w:p>
    <w:p w14:paraId="0F3EE844">
      <w:pPr>
        <w:adjustRightInd w:val="0"/>
        <w:snapToGrid w:val="0"/>
        <w:spacing w:line="560" w:lineRule="exact"/>
        <w:jc w:val="center"/>
        <w:rPr>
          <w:b/>
          <w:color w:val="000000"/>
          <w:sz w:val="28"/>
          <w:szCs w:val="28"/>
          <w:highlight w:val="none"/>
        </w:rPr>
      </w:pPr>
    </w:p>
    <w:p w14:paraId="21AACCA9">
      <w:pPr>
        <w:rPr>
          <w:b/>
          <w:color w:val="000000"/>
          <w:sz w:val="28"/>
          <w:szCs w:val="28"/>
          <w:highlight w:val="none"/>
        </w:rPr>
      </w:pPr>
    </w:p>
    <w:p w14:paraId="4AA34A55">
      <w:pPr>
        <w:rPr>
          <w:b/>
          <w:color w:val="000000"/>
          <w:sz w:val="28"/>
          <w:szCs w:val="28"/>
          <w:highlight w:val="none"/>
        </w:rPr>
      </w:pPr>
    </w:p>
    <w:p w14:paraId="66F4D32F">
      <w:pPr>
        <w:rPr>
          <w:b/>
          <w:color w:val="000000"/>
          <w:sz w:val="28"/>
          <w:szCs w:val="28"/>
          <w:highlight w:val="none"/>
        </w:rPr>
      </w:pPr>
    </w:p>
    <w:p w14:paraId="79C225B7">
      <w:pPr>
        <w:rPr>
          <w:b/>
          <w:color w:val="000000"/>
          <w:sz w:val="28"/>
          <w:szCs w:val="28"/>
          <w:highlight w:val="none"/>
        </w:rPr>
      </w:pPr>
    </w:p>
    <w:p w14:paraId="7B2CBF01">
      <w:pPr>
        <w:rPr>
          <w:b/>
          <w:color w:val="000000"/>
          <w:sz w:val="28"/>
          <w:szCs w:val="28"/>
          <w:highlight w:val="none"/>
        </w:rPr>
      </w:pPr>
    </w:p>
    <w:p w14:paraId="626F1FAF">
      <w:pPr>
        <w:rPr>
          <w:b/>
          <w:color w:val="000000"/>
          <w:sz w:val="28"/>
          <w:szCs w:val="28"/>
          <w:highlight w:val="none"/>
        </w:rPr>
      </w:pPr>
    </w:p>
    <w:p w14:paraId="02D7A1C1">
      <w:pPr>
        <w:rPr>
          <w:b/>
          <w:color w:val="000000"/>
          <w:sz w:val="28"/>
          <w:szCs w:val="28"/>
          <w:highlight w:val="none"/>
        </w:rPr>
      </w:pPr>
    </w:p>
    <w:p w14:paraId="2CB6643A">
      <w:pPr>
        <w:rPr>
          <w:b/>
          <w:color w:val="000000"/>
          <w:sz w:val="28"/>
          <w:szCs w:val="28"/>
          <w:highlight w:val="none"/>
        </w:rPr>
      </w:pPr>
    </w:p>
    <w:p w14:paraId="589277C4">
      <w:pPr>
        <w:rPr>
          <w:b/>
          <w:color w:val="000000"/>
          <w:sz w:val="28"/>
          <w:szCs w:val="28"/>
          <w:highlight w:val="none"/>
        </w:rPr>
      </w:pPr>
    </w:p>
    <w:p w14:paraId="4C9E7F33">
      <w:pPr>
        <w:rPr>
          <w:b/>
          <w:color w:val="000000"/>
          <w:sz w:val="28"/>
          <w:szCs w:val="28"/>
          <w:highlight w:val="none"/>
        </w:rPr>
      </w:pPr>
    </w:p>
    <w:p w14:paraId="62C43389">
      <w:pPr>
        <w:rPr>
          <w:b/>
          <w:color w:val="000000"/>
          <w:sz w:val="28"/>
          <w:szCs w:val="28"/>
          <w:highlight w:val="none"/>
        </w:rPr>
      </w:pPr>
    </w:p>
    <w:p w14:paraId="7CFCDA8C">
      <w:pPr>
        <w:rPr>
          <w:b/>
          <w:color w:val="000000"/>
          <w:sz w:val="28"/>
          <w:szCs w:val="28"/>
          <w:highlight w:val="none"/>
        </w:rPr>
      </w:pPr>
    </w:p>
    <w:p w14:paraId="704061FB">
      <w:pPr>
        <w:rPr>
          <w:b/>
          <w:color w:val="000000"/>
          <w:sz w:val="28"/>
          <w:szCs w:val="28"/>
          <w:highlight w:val="none"/>
        </w:rPr>
      </w:pPr>
    </w:p>
    <w:p w14:paraId="0A479EB1">
      <w:pPr>
        <w:rPr>
          <w:b/>
          <w:color w:val="000000"/>
          <w:sz w:val="28"/>
          <w:szCs w:val="28"/>
          <w:highlight w:val="none"/>
        </w:rPr>
      </w:pPr>
    </w:p>
    <w:p w14:paraId="5F9CA834">
      <w:pPr>
        <w:rPr>
          <w:b/>
          <w:color w:val="000000"/>
          <w:sz w:val="28"/>
          <w:szCs w:val="28"/>
          <w:highlight w:val="none"/>
        </w:rPr>
      </w:pPr>
    </w:p>
    <w:p w14:paraId="54ABCBF5">
      <w:pPr>
        <w:rPr>
          <w:b/>
          <w:color w:val="000000"/>
          <w:sz w:val="28"/>
          <w:szCs w:val="28"/>
          <w:highlight w:val="none"/>
        </w:rPr>
      </w:pPr>
    </w:p>
    <w:p w14:paraId="24959A3F">
      <w:pPr>
        <w:rPr>
          <w:b/>
          <w:color w:val="000000"/>
          <w:sz w:val="28"/>
          <w:szCs w:val="28"/>
          <w:highlight w:val="none"/>
        </w:rPr>
      </w:pPr>
    </w:p>
    <w:p w14:paraId="5F35DC4C">
      <w:pPr>
        <w:rPr>
          <w:b/>
          <w:color w:val="000000"/>
          <w:sz w:val="28"/>
          <w:szCs w:val="28"/>
          <w:highlight w:val="none"/>
        </w:rPr>
      </w:pPr>
    </w:p>
    <w:p w14:paraId="14E85144">
      <w:pPr>
        <w:rPr>
          <w:b/>
          <w:color w:val="000000"/>
          <w:sz w:val="28"/>
          <w:szCs w:val="28"/>
          <w:highlight w:val="none"/>
        </w:rPr>
      </w:pPr>
    </w:p>
    <w:p w14:paraId="42DDFC7D">
      <w:pPr>
        <w:rPr>
          <w:b/>
          <w:color w:val="000000"/>
          <w:sz w:val="28"/>
          <w:szCs w:val="28"/>
          <w:highlight w:val="none"/>
        </w:rPr>
      </w:pPr>
    </w:p>
    <w:p w14:paraId="78B3196D">
      <w:pPr>
        <w:rPr>
          <w:b/>
          <w:color w:val="000000"/>
          <w:sz w:val="28"/>
          <w:szCs w:val="28"/>
          <w:highlight w:val="none"/>
        </w:rPr>
      </w:pPr>
    </w:p>
    <w:p w14:paraId="16A40491">
      <w:pPr>
        <w:rPr>
          <w:b/>
          <w:color w:val="000000"/>
          <w:sz w:val="28"/>
          <w:szCs w:val="28"/>
          <w:highlight w:val="none"/>
        </w:rPr>
      </w:pPr>
    </w:p>
    <w:p w14:paraId="0B740E5D">
      <w:pPr>
        <w:rPr>
          <w:b/>
          <w:color w:val="000000"/>
          <w:sz w:val="28"/>
          <w:szCs w:val="28"/>
          <w:highlight w:val="none"/>
        </w:rPr>
      </w:pPr>
    </w:p>
    <w:p w14:paraId="76BC13E1">
      <w:pPr>
        <w:rPr>
          <w:b/>
          <w:color w:val="000000"/>
          <w:sz w:val="28"/>
          <w:szCs w:val="28"/>
          <w:highlight w:val="none"/>
        </w:rPr>
      </w:pPr>
    </w:p>
    <w:p w14:paraId="5B0D396F">
      <w:pPr>
        <w:rPr>
          <w:b/>
          <w:color w:val="000000"/>
          <w:sz w:val="28"/>
          <w:szCs w:val="28"/>
          <w:highlight w:val="none"/>
        </w:rPr>
      </w:pPr>
    </w:p>
    <w:p w14:paraId="17B453B8">
      <w:pPr>
        <w:rPr>
          <w:b/>
          <w:color w:val="000000"/>
          <w:sz w:val="28"/>
          <w:szCs w:val="28"/>
          <w:highlight w:val="none"/>
        </w:rPr>
      </w:pPr>
    </w:p>
    <w:p w14:paraId="15D4D9B4">
      <w:pPr>
        <w:rPr>
          <w:b/>
          <w:color w:val="000000"/>
          <w:sz w:val="28"/>
          <w:szCs w:val="28"/>
          <w:highlight w:val="none"/>
        </w:rPr>
      </w:pPr>
    </w:p>
    <w:p w14:paraId="18815FB3">
      <w:pPr>
        <w:rPr>
          <w:b/>
          <w:color w:val="000000"/>
          <w:sz w:val="28"/>
          <w:szCs w:val="28"/>
          <w:highlight w:val="none"/>
        </w:rPr>
      </w:pPr>
    </w:p>
    <w:p w14:paraId="5E71DFA5">
      <w:pPr>
        <w:rPr>
          <w:b/>
          <w:color w:val="000000"/>
          <w:sz w:val="28"/>
          <w:szCs w:val="28"/>
          <w:highlight w:val="none"/>
        </w:rPr>
      </w:pPr>
    </w:p>
    <w:p w14:paraId="67B4774C">
      <w:pPr>
        <w:rPr>
          <w:b/>
          <w:color w:val="000000"/>
          <w:sz w:val="28"/>
          <w:szCs w:val="28"/>
          <w:highlight w:val="none"/>
        </w:rPr>
      </w:pPr>
    </w:p>
    <w:p w14:paraId="59FAB653">
      <w:pPr>
        <w:rPr>
          <w:color w:val="000000"/>
          <w:highlight w:val="none"/>
        </w:rPr>
      </w:pPr>
    </w:p>
    <w:p w14:paraId="3320B456">
      <w:pPr>
        <w:pStyle w:val="17"/>
        <w:rPr>
          <w:color w:val="000000"/>
          <w:highlight w:val="none"/>
        </w:rPr>
      </w:pPr>
    </w:p>
    <w:p w14:paraId="2AB287B8">
      <w:pPr>
        <w:rPr>
          <w:color w:val="000000"/>
          <w:highlight w:val="none"/>
        </w:rPr>
      </w:pPr>
    </w:p>
    <w:p w14:paraId="5585D552">
      <w:pPr>
        <w:pStyle w:val="17"/>
        <w:rPr>
          <w:color w:val="000000"/>
          <w:highlight w:val="none"/>
        </w:rPr>
      </w:pPr>
    </w:p>
    <w:p w14:paraId="74F224EB">
      <w:pPr>
        <w:rPr>
          <w:color w:val="000000"/>
          <w:highlight w:val="none"/>
        </w:rPr>
      </w:pPr>
    </w:p>
    <w:p w14:paraId="34827AD7">
      <w:pPr>
        <w:pStyle w:val="17"/>
        <w:rPr>
          <w:highlight w:val="none"/>
        </w:rPr>
      </w:pPr>
    </w:p>
    <w:p w14:paraId="3445796F">
      <w:pPr>
        <w:pStyle w:val="17"/>
        <w:rPr>
          <w:color w:val="000000"/>
          <w:highlight w:val="none"/>
        </w:rPr>
      </w:pPr>
    </w:p>
    <w:p w14:paraId="79F2740D">
      <w:pPr>
        <w:adjustRightInd w:val="0"/>
        <w:snapToGrid w:val="0"/>
        <w:spacing w:line="560" w:lineRule="exact"/>
        <w:jc w:val="center"/>
        <w:rPr>
          <w:rFonts w:eastAsia="黑体"/>
          <w:color w:val="000000"/>
          <w:sz w:val="20"/>
          <w:szCs w:val="20"/>
          <w:highlight w:val="none"/>
        </w:rPr>
      </w:pPr>
      <w:r>
        <w:rPr>
          <w:rFonts w:hint="eastAsia" w:eastAsia="黑体"/>
          <w:color w:val="000000"/>
          <w:sz w:val="28"/>
          <w:szCs w:val="28"/>
          <w:highlight w:val="none"/>
          <w:u w:val="single"/>
        </w:rPr>
        <w:t xml:space="preserve">                </w:t>
      </w:r>
      <w:r>
        <w:rPr>
          <w:rFonts w:eastAsia="黑体"/>
          <w:color w:val="000000"/>
          <w:sz w:val="28"/>
          <w:szCs w:val="28"/>
          <w:highlight w:val="none"/>
        </w:rPr>
        <w:t>（项目名称）</w:t>
      </w:r>
    </w:p>
    <w:p w14:paraId="7463F038">
      <w:pPr>
        <w:adjustRightInd w:val="0"/>
        <w:snapToGrid w:val="0"/>
        <w:spacing w:line="560" w:lineRule="exact"/>
        <w:jc w:val="center"/>
        <w:rPr>
          <w:rFonts w:eastAsia="黑体"/>
          <w:color w:val="000000"/>
          <w:sz w:val="20"/>
          <w:szCs w:val="20"/>
          <w:highlight w:val="none"/>
        </w:rPr>
      </w:pPr>
    </w:p>
    <w:p w14:paraId="518513D8">
      <w:pPr>
        <w:adjustRightInd w:val="0"/>
        <w:snapToGrid w:val="0"/>
        <w:spacing w:line="560" w:lineRule="exact"/>
        <w:rPr>
          <w:rFonts w:eastAsia="黑体"/>
          <w:color w:val="000000"/>
          <w:sz w:val="20"/>
          <w:szCs w:val="20"/>
          <w:highlight w:val="none"/>
        </w:rPr>
      </w:pPr>
    </w:p>
    <w:p w14:paraId="7FFBEC34">
      <w:pPr>
        <w:adjustRightInd w:val="0"/>
        <w:snapToGrid w:val="0"/>
        <w:spacing w:line="560" w:lineRule="exact"/>
        <w:jc w:val="center"/>
        <w:rPr>
          <w:rFonts w:eastAsia="黑体"/>
          <w:color w:val="000000"/>
          <w:sz w:val="44"/>
          <w:szCs w:val="44"/>
          <w:highlight w:val="none"/>
        </w:rPr>
      </w:pPr>
      <w:r>
        <w:rPr>
          <w:rFonts w:eastAsia="黑体"/>
          <w:color w:val="000000"/>
          <w:sz w:val="44"/>
          <w:szCs w:val="44"/>
          <w:highlight w:val="none"/>
        </w:rPr>
        <w:t>投  标  文  件</w:t>
      </w:r>
      <w:r>
        <w:rPr>
          <w:rFonts w:hint="eastAsia" w:eastAsia="黑体"/>
          <w:color w:val="000000"/>
          <w:sz w:val="44"/>
          <w:szCs w:val="44"/>
          <w:highlight w:val="none"/>
        </w:rPr>
        <w:t xml:space="preserve">  二</w:t>
      </w:r>
    </w:p>
    <w:p w14:paraId="44CEC815">
      <w:pPr>
        <w:adjustRightInd w:val="0"/>
        <w:snapToGrid w:val="0"/>
        <w:spacing w:line="560" w:lineRule="exact"/>
        <w:jc w:val="center"/>
        <w:rPr>
          <w:rFonts w:eastAsia="黑体"/>
          <w:color w:val="000000"/>
          <w:sz w:val="44"/>
          <w:szCs w:val="44"/>
          <w:highlight w:val="none"/>
        </w:rPr>
      </w:pPr>
      <w:r>
        <w:rPr>
          <w:rFonts w:hint="eastAsia" w:eastAsia="黑体"/>
          <w:color w:val="000000"/>
          <w:sz w:val="44"/>
          <w:szCs w:val="44"/>
          <w:highlight w:val="none"/>
        </w:rPr>
        <w:t>（技术标文件）</w:t>
      </w:r>
    </w:p>
    <w:p w14:paraId="03D9A757">
      <w:pPr>
        <w:adjustRightInd w:val="0"/>
        <w:snapToGrid w:val="0"/>
        <w:spacing w:line="560" w:lineRule="exact"/>
        <w:rPr>
          <w:rFonts w:eastAsia="黑体"/>
          <w:color w:val="000000"/>
          <w:sz w:val="28"/>
          <w:szCs w:val="28"/>
          <w:highlight w:val="none"/>
        </w:rPr>
      </w:pPr>
    </w:p>
    <w:p w14:paraId="65D62796">
      <w:pPr>
        <w:adjustRightInd w:val="0"/>
        <w:snapToGrid w:val="0"/>
        <w:spacing w:line="560" w:lineRule="exact"/>
        <w:rPr>
          <w:rFonts w:eastAsia="黑体"/>
          <w:color w:val="000000"/>
          <w:sz w:val="28"/>
          <w:szCs w:val="28"/>
          <w:highlight w:val="none"/>
        </w:rPr>
      </w:pPr>
    </w:p>
    <w:p w14:paraId="199F1BAD">
      <w:pPr>
        <w:adjustRightInd w:val="0"/>
        <w:snapToGrid w:val="0"/>
        <w:spacing w:line="560" w:lineRule="exact"/>
        <w:rPr>
          <w:rFonts w:eastAsia="黑体"/>
          <w:color w:val="000000"/>
          <w:sz w:val="28"/>
          <w:szCs w:val="28"/>
          <w:highlight w:val="none"/>
        </w:rPr>
      </w:pPr>
    </w:p>
    <w:p w14:paraId="2454B9A3">
      <w:pPr>
        <w:adjustRightInd w:val="0"/>
        <w:snapToGrid w:val="0"/>
        <w:spacing w:line="560" w:lineRule="exact"/>
        <w:rPr>
          <w:rFonts w:eastAsia="黑体"/>
          <w:color w:val="000000"/>
          <w:sz w:val="28"/>
          <w:szCs w:val="28"/>
          <w:highlight w:val="none"/>
        </w:rPr>
      </w:pPr>
    </w:p>
    <w:p w14:paraId="4A5AC3C5">
      <w:pPr>
        <w:adjustRightInd w:val="0"/>
        <w:snapToGrid w:val="0"/>
        <w:spacing w:line="560" w:lineRule="exact"/>
        <w:rPr>
          <w:rFonts w:eastAsia="黑体"/>
          <w:color w:val="000000"/>
          <w:sz w:val="28"/>
          <w:szCs w:val="28"/>
          <w:highlight w:val="none"/>
        </w:rPr>
      </w:pPr>
    </w:p>
    <w:p w14:paraId="1D9A1B9C">
      <w:pPr>
        <w:pStyle w:val="17"/>
        <w:rPr>
          <w:color w:val="000000"/>
          <w:highlight w:val="none"/>
        </w:rPr>
      </w:pPr>
    </w:p>
    <w:p w14:paraId="3DA89F33">
      <w:pPr>
        <w:rPr>
          <w:color w:val="000000"/>
          <w:highlight w:val="none"/>
        </w:rPr>
      </w:pPr>
    </w:p>
    <w:p w14:paraId="445872F0">
      <w:pPr>
        <w:adjustRightInd w:val="0"/>
        <w:snapToGrid w:val="0"/>
        <w:spacing w:line="560" w:lineRule="exact"/>
        <w:rPr>
          <w:rFonts w:eastAsia="黑体"/>
          <w:color w:val="000000"/>
          <w:sz w:val="28"/>
          <w:szCs w:val="28"/>
          <w:highlight w:val="none"/>
        </w:rPr>
      </w:pPr>
    </w:p>
    <w:p w14:paraId="5A943AE5">
      <w:pPr>
        <w:pStyle w:val="17"/>
        <w:adjustRightInd w:val="0"/>
        <w:snapToGrid w:val="0"/>
        <w:spacing w:after="0" w:line="560" w:lineRule="exact"/>
        <w:ind w:left="0" w:leftChars="0" w:firstLine="560"/>
        <w:rPr>
          <w:rFonts w:eastAsia="黑体"/>
          <w:color w:val="000000"/>
          <w:sz w:val="28"/>
          <w:szCs w:val="28"/>
          <w:highlight w:val="none"/>
        </w:rPr>
      </w:pPr>
    </w:p>
    <w:p w14:paraId="5CF0A28B">
      <w:pPr>
        <w:adjustRightInd w:val="0"/>
        <w:snapToGrid w:val="0"/>
        <w:spacing w:line="560" w:lineRule="exact"/>
        <w:rPr>
          <w:rFonts w:eastAsia="黑体"/>
          <w:color w:val="000000"/>
          <w:sz w:val="28"/>
          <w:szCs w:val="28"/>
          <w:highlight w:val="none"/>
        </w:rPr>
      </w:pPr>
    </w:p>
    <w:p w14:paraId="6B73EEE6">
      <w:pPr>
        <w:pStyle w:val="17"/>
        <w:adjustRightInd w:val="0"/>
        <w:snapToGrid w:val="0"/>
        <w:spacing w:after="0" w:line="560" w:lineRule="exact"/>
        <w:ind w:left="0" w:leftChars="0" w:firstLine="0" w:firstLineChars="0"/>
        <w:rPr>
          <w:rFonts w:eastAsia="黑体"/>
          <w:color w:val="000000"/>
          <w:sz w:val="28"/>
          <w:szCs w:val="28"/>
          <w:highlight w:val="none"/>
        </w:rPr>
      </w:pPr>
    </w:p>
    <w:p w14:paraId="31FD281D">
      <w:pPr>
        <w:adjustRightInd w:val="0"/>
        <w:snapToGrid w:val="0"/>
        <w:spacing w:line="560" w:lineRule="exact"/>
        <w:rPr>
          <w:rFonts w:eastAsia="黑体"/>
          <w:color w:val="000000"/>
          <w:sz w:val="28"/>
          <w:szCs w:val="28"/>
          <w:highlight w:val="none"/>
        </w:rPr>
      </w:pPr>
    </w:p>
    <w:p w14:paraId="04DE91EB">
      <w:pPr>
        <w:adjustRightInd w:val="0"/>
        <w:snapToGrid w:val="0"/>
        <w:spacing w:line="560" w:lineRule="exact"/>
        <w:rPr>
          <w:rFonts w:eastAsia="黑体"/>
          <w:color w:val="000000"/>
          <w:sz w:val="28"/>
          <w:szCs w:val="28"/>
          <w:highlight w:val="none"/>
        </w:rPr>
      </w:pPr>
    </w:p>
    <w:p w14:paraId="4CD6231C">
      <w:pPr>
        <w:pStyle w:val="17"/>
        <w:adjustRightInd w:val="0"/>
        <w:snapToGrid w:val="0"/>
        <w:spacing w:after="0" w:line="560" w:lineRule="exact"/>
        <w:ind w:left="0" w:leftChars="0" w:firstLine="0" w:firstLineChars="0"/>
        <w:rPr>
          <w:color w:val="000000"/>
          <w:highlight w:val="none"/>
        </w:rPr>
      </w:pPr>
    </w:p>
    <w:p w14:paraId="4DE47CFD">
      <w:pPr>
        <w:adjustRightInd w:val="0"/>
        <w:snapToGrid w:val="0"/>
        <w:spacing w:line="560" w:lineRule="exact"/>
        <w:rPr>
          <w:rFonts w:eastAsia="黑体"/>
          <w:color w:val="000000"/>
          <w:sz w:val="28"/>
          <w:szCs w:val="28"/>
          <w:highlight w:val="none"/>
        </w:rPr>
      </w:pPr>
    </w:p>
    <w:p w14:paraId="4D4574BB">
      <w:pPr>
        <w:adjustRightInd w:val="0"/>
        <w:snapToGrid w:val="0"/>
        <w:spacing w:line="560" w:lineRule="exact"/>
        <w:rPr>
          <w:rFonts w:eastAsia="黑体"/>
          <w:color w:val="000000"/>
          <w:sz w:val="28"/>
          <w:szCs w:val="28"/>
          <w:highlight w:val="none"/>
        </w:rPr>
      </w:pPr>
    </w:p>
    <w:p w14:paraId="3BC9AFFC">
      <w:pPr>
        <w:adjustRightInd w:val="0"/>
        <w:snapToGrid w:val="0"/>
        <w:spacing w:line="560" w:lineRule="exact"/>
        <w:rPr>
          <w:rFonts w:eastAsia="黑体"/>
          <w:color w:val="000000"/>
          <w:sz w:val="28"/>
          <w:szCs w:val="28"/>
          <w:highlight w:val="none"/>
        </w:rPr>
      </w:pPr>
    </w:p>
    <w:p w14:paraId="1C339F67">
      <w:pPr>
        <w:adjustRightInd w:val="0"/>
        <w:snapToGrid w:val="0"/>
        <w:spacing w:line="560" w:lineRule="exact"/>
        <w:rPr>
          <w:rFonts w:eastAsia="黑体"/>
          <w:color w:val="000000"/>
          <w:sz w:val="28"/>
          <w:szCs w:val="28"/>
          <w:highlight w:val="none"/>
        </w:rPr>
      </w:pPr>
    </w:p>
    <w:p w14:paraId="10DE2E05">
      <w:pPr>
        <w:adjustRightInd w:val="0"/>
        <w:snapToGrid w:val="0"/>
        <w:spacing w:line="560" w:lineRule="exact"/>
        <w:jc w:val="center"/>
        <w:rPr>
          <w:color w:val="000000"/>
          <w:highlight w:val="none"/>
        </w:rPr>
      </w:pPr>
      <w:r>
        <w:rPr>
          <w:rFonts w:eastAsia="黑体"/>
          <w:color w:val="000000"/>
          <w:sz w:val="28"/>
          <w:szCs w:val="28"/>
          <w:highlight w:val="none"/>
          <w:u w:val="single"/>
        </w:rPr>
        <w:t xml:space="preserve">        </w:t>
      </w:r>
      <w:r>
        <w:rPr>
          <w:rFonts w:eastAsia="黑体"/>
          <w:color w:val="000000"/>
          <w:sz w:val="28"/>
          <w:szCs w:val="28"/>
          <w:highlight w:val="none"/>
        </w:rPr>
        <w:t>年</w:t>
      </w:r>
      <w:r>
        <w:rPr>
          <w:rFonts w:eastAsia="黑体"/>
          <w:color w:val="000000"/>
          <w:sz w:val="28"/>
          <w:szCs w:val="28"/>
          <w:highlight w:val="none"/>
          <w:u w:val="single"/>
        </w:rPr>
        <w:t xml:space="preserve">        </w:t>
      </w:r>
      <w:r>
        <w:rPr>
          <w:rFonts w:eastAsia="黑体"/>
          <w:color w:val="000000"/>
          <w:sz w:val="28"/>
          <w:szCs w:val="28"/>
          <w:highlight w:val="none"/>
        </w:rPr>
        <w:t>月</w:t>
      </w:r>
      <w:r>
        <w:rPr>
          <w:rFonts w:eastAsia="黑体"/>
          <w:color w:val="000000"/>
          <w:sz w:val="28"/>
          <w:szCs w:val="28"/>
          <w:highlight w:val="none"/>
          <w:u w:val="single"/>
        </w:rPr>
        <w:t xml:space="preserve">        </w:t>
      </w:r>
      <w:r>
        <w:rPr>
          <w:rFonts w:eastAsia="黑体"/>
          <w:color w:val="000000"/>
          <w:sz w:val="28"/>
          <w:szCs w:val="28"/>
          <w:highlight w:val="none"/>
        </w:rPr>
        <w:t>日</w:t>
      </w:r>
    </w:p>
    <w:p w14:paraId="7F8AF93A">
      <w:pPr>
        <w:pStyle w:val="17"/>
        <w:spacing w:after="0"/>
        <w:ind w:left="0" w:leftChars="0" w:firstLine="0" w:firstLineChars="0"/>
        <w:jc w:val="left"/>
        <w:rPr>
          <w:color w:val="000000"/>
          <w:sz w:val="24"/>
          <w:highlight w:val="none"/>
        </w:rPr>
      </w:pPr>
      <w:r>
        <w:rPr>
          <w:rFonts w:hint="eastAsia" w:ascii="仿宋_GB2312" w:eastAsia="仿宋_GB2312"/>
          <w:color w:val="000000"/>
          <w:sz w:val="24"/>
          <w:highlight w:val="none"/>
        </w:rPr>
        <w:t>注：暗标评审的技术标封面不设置投标人、法定代表人签章内容。</w:t>
      </w:r>
    </w:p>
    <w:p w14:paraId="51087AA1">
      <w:pPr>
        <w:pStyle w:val="3"/>
        <w:rPr>
          <w:color w:val="000000"/>
          <w:highlight w:val="none"/>
        </w:rPr>
      </w:pPr>
      <w:bookmarkStart w:id="954" w:name="_Toc95223539"/>
      <w:r>
        <w:rPr>
          <w:rFonts w:hint="eastAsia"/>
          <w:color w:val="000000"/>
          <w:highlight w:val="none"/>
        </w:rPr>
        <w:t>投标文件二：技术标目录</w:t>
      </w:r>
      <w:bookmarkEnd w:id="954"/>
    </w:p>
    <w:p w14:paraId="6F645E7C">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lang w:val="en-US" w:eastAsia="zh-CN"/>
        </w:rPr>
        <w:t>（1）深化设计方案-设计构思；</w:t>
      </w:r>
    </w:p>
    <w:p w14:paraId="2F044857">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lang w:val="en-US" w:eastAsia="zh-CN"/>
        </w:rPr>
        <w:t>（2）深化设计方案-设计的质量保证措施；</w:t>
      </w:r>
    </w:p>
    <w:p w14:paraId="3875D7DB">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lang w:val="en-US" w:eastAsia="zh-CN"/>
        </w:rPr>
        <w:t>（3）深化设计方案-</w:t>
      </w:r>
      <w:r>
        <w:rPr>
          <w:rFonts w:hint="eastAsia" w:ascii="宋体" w:hAnsi="宋体" w:eastAsia="宋体" w:cs="宋体"/>
          <w:color w:val="000000" w:themeColor="text1"/>
          <w:szCs w:val="21"/>
          <w:highlight w:val="none"/>
          <w:lang w:val="en-US" w:eastAsia="zh-CN"/>
          <w14:textFill>
            <w14:solidFill>
              <w14:schemeClr w14:val="tx1"/>
            </w14:solidFill>
          </w14:textFill>
        </w:rPr>
        <w:t>后续服务安排及保证措施</w:t>
      </w:r>
      <w:r>
        <w:rPr>
          <w:rFonts w:hint="eastAsia" w:ascii="宋体" w:hAnsi="宋体" w:eastAsia="宋体" w:cs="Times New Roman"/>
          <w:color w:val="000000"/>
          <w:szCs w:val="21"/>
          <w:highlight w:val="none"/>
          <w:lang w:val="en-US" w:eastAsia="zh-CN"/>
        </w:rPr>
        <w:t>；</w:t>
      </w:r>
    </w:p>
    <w:p w14:paraId="7E846ED2">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rPr>
        <w:t>（</w:t>
      </w:r>
      <w:r>
        <w:rPr>
          <w:rFonts w:hint="eastAsia" w:ascii="宋体" w:hAnsi="宋体" w:eastAsia="宋体" w:cs="Times New Roman"/>
          <w:color w:val="000000"/>
          <w:szCs w:val="21"/>
          <w:highlight w:val="none"/>
          <w:lang w:val="en-US" w:eastAsia="zh-CN"/>
        </w:rPr>
        <w:t>4</w:t>
      </w:r>
      <w:r>
        <w:rPr>
          <w:rFonts w:hint="eastAsia" w:ascii="宋体" w:hAnsi="宋体" w:eastAsia="宋体" w:cs="Times New Roman"/>
          <w:color w:val="000000"/>
          <w:szCs w:val="21"/>
          <w:highlight w:val="none"/>
        </w:rPr>
        <w:t>）施工组织设计</w:t>
      </w:r>
      <w:r>
        <w:rPr>
          <w:rFonts w:hint="eastAsia" w:ascii="宋体" w:hAnsi="宋体" w:cs="Times New Roman"/>
          <w:color w:val="000000"/>
          <w:szCs w:val="21"/>
          <w:highlight w:val="none"/>
          <w:lang w:val="en-US" w:eastAsia="zh-CN"/>
        </w:rPr>
        <w:t>评分点1</w:t>
      </w:r>
      <w:r>
        <w:rPr>
          <w:rFonts w:hint="eastAsia" w:ascii="宋体" w:hAnsi="宋体" w:cs="Times New Roman"/>
          <w:color w:val="000000"/>
          <w:szCs w:val="21"/>
          <w:highlight w:val="none"/>
          <w:lang w:eastAsia="zh-CN"/>
        </w:rPr>
        <w:t>；</w:t>
      </w:r>
    </w:p>
    <w:p w14:paraId="3BCD039A">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rPr>
        <w:t>（</w:t>
      </w:r>
      <w:r>
        <w:rPr>
          <w:rFonts w:hint="eastAsia" w:ascii="宋体" w:hAnsi="宋体" w:cs="Times New Roman"/>
          <w:color w:val="000000"/>
          <w:szCs w:val="21"/>
          <w:highlight w:val="none"/>
          <w:lang w:val="en-US" w:eastAsia="zh-CN"/>
        </w:rPr>
        <w:t>5</w:t>
      </w:r>
      <w:r>
        <w:rPr>
          <w:rFonts w:hint="eastAsia" w:ascii="宋体" w:hAnsi="宋体" w:eastAsia="宋体" w:cs="Times New Roman"/>
          <w:color w:val="000000"/>
          <w:szCs w:val="21"/>
          <w:highlight w:val="none"/>
        </w:rPr>
        <w:t>）施工组织设计</w:t>
      </w:r>
      <w:r>
        <w:rPr>
          <w:rFonts w:hint="eastAsia" w:ascii="宋体" w:hAnsi="宋体" w:cs="Times New Roman"/>
          <w:color w:val="000000"/>
          <w:szCs w:val="21"/>
          <w:highlight w:val="none"/>
          <w:lang w:val="en-US" w:eastAsia="zh-CN"/>
        </w:rPr>
        <w:t>评分点2</w:t>
      </w:r>
      <w:r>
        <w:rPr>
          <w:rFonts w:hint="eastAsia" w:ascii="宋体" w:hAnsi="宋体" w:cs="Times New Roman"/>
          <w:color w:val="000000"/>
          <w:szCs w:val="21"/>
          <w:highlight w:val="none"/>
          <w:lang w:eastAsia="zh-CN"/>
        </w:rPr>
        <w:t>；</w:t>
      </w:r>
    </w:p>
    <w:p w14:paraId="4D6DBE3D">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rPr>
        <w:t>（</w:t>
      </w:r>
      <w:r>
        <w:rPr>
          <w:rFonts w:hint="eastAsia" w:ascii="宋体" w:hAnsi="宋体" w:cs="Times New Roman"/>
          <w:color w:val="000000"/>
          <w:szCs w:val="21"/>
          <w:highlight w:val="none"/>
          <w:lang w:val="en-US" w:eastAsia="zh-CN"/>
        </w:rPr>
        <w:t>6</w:t>
      </w:r>
      <w:r>
        <w:rPr>
          <w:rFonts w:hint="eastAsia" w:ascii="宋体" w:hAnsi="宋体" w:eastAsia="宋体" w:cs="Times New Roman"/>
          <w:color w:val="000000"/>
          <w:szCs w:val="21"/>
          <w:highlight w:val="none"/>
        </w:rPr>
        <w:t>）施工组织设计</w:t>
      </w:r>
      <w:r>
        <w:rPr>
          <w:rFonts w:hint="eastAsia" w:ascii="宋体" w:hAnsi="宋体" w:cs="Times New Roman"/>
          <w:color w:val="000000"/>
          <w:szCs w:val="21"/>
          <w:highlight w:val="none"/>
          <w:lang w:val="en-US" w:eastAsia="zh-CN"/>
        </w:rPr>
        <w:t>评分点3</w:t>
      </w:r>
      <w:r>
        <w:rPr>
          <w:rFonts w:hint="eastAsia" w:ascii="宋体" w:hAnsi="宋体" w:cs="Times New Roman"/>
          <w:color w:val="000000"/>
          <w:szCs w:val="21"/>
          <w:highlight w:val="none"/>
          <w:lang w:eastAsia="zh-CN"/>
        </w:rPr>
        <w:t>；</w:t>
      </w:r>
    </w:p>
    <w:p w14:paraId="1445935C">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rPr>
        <w:t>（</w:t>
      </w:r>
      <w:r>
        <w:rPr>
          <w:rFonts w:hint="eastAsia" w:ascii="宋体" w:hAnsi="宋体" w:cs="Times New Roman"/>
          <w:color w:val="000000"/>
          <w:szCs w:val="21"/>
          <w:highlight w:val="none"/>
          <w:lang w:val="en-US" w:eastAsia="zh-CN"/>
        </w:rPr>
        <w:t>7</w:t>
      </w:r>
      <w:r>
        <w:rPr>
          <w:rFonts w:hint="eastAsia" w:ascii="宋体" w:hAnsi="宋体" w:eastAsia="宋体" w:cs="Times New Roman"/>
          <w:color w:val="000000"/>
          <w:szCs w:val="21"/>
          <w:highlight w:val="none"/>
        </w:rPr>
        <w:t>）施工组织设计</w:t>
      </w:r>
      <w:r>
        <w:rPr>
          <w:rFonts w:hint="eastAsia" w:ascii="宋体" w:hAnsi="宋体" w:cs="Times New Roman"/>
          <w:color w:val="000000"/>
          <w:szCs w:val="21"/>
          <w:highlight w:val="none"/>
          <w:lang w:val="en-US" w:eastAsia="zh-CN"/>
        </w:rPr>
        <w:t>评分点4</w:t>
      </w:r>
      <w:r>
        <w:rPr>
          <w:rFonts w:hint="eastAsia" w:ascii="宋体" w:hAnsi="宋体" w:cs="Times New Roman"/>
          <w:color w:val="000000"/>
          <w:szCs w:val="21"/>
          <w:highlight w:val="none"/>
          <w:lang w:eastAsia="zh-CN"/>
        </w:rPr>
        <w:t>；</w:t>
      </w:r>
    </w:p>
    <w:p w14:paraId="3BF7EA63">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rPr>
        <w:t>（</w:t>
      </w:r>
      <w:r>
        <w:rPr>
          <w:rFonts w:hint="eastAsia" w:ascii="宋体" w:hAnsi="宋体" w:cs="Times New Roman"/>
          <w:color w:val="000000"/>
          <w:szCs w:val="21"/>
          <w:highlight w:val="none"/>
          <w:lang w:val="en-US" w:eastAsia="zh-CN"/>
        </w:rPr>
        <w:t>8</w:t>
      </w:r>
      <w:r>
        <w:rPr>
          <w:rFonts w:hint="eastAsia" w:ascii="宋体" w:hAnsi="宋体" w:eastAsia="宋体" w:cs="Times New Roman"/>
          <w:color w:val="000000"/>
          <w:szCs w:val="21"/>
          <w:highlight w:val="none"/>
        </w:rPr>
        <w:t>）施工组织设计</w:t>
      </w:r>
      <w:r>
        <w:rPr>
          <w:rFonts w:hint="eastAsia" w:ascii="宋体" w:hAnsi="宋体" w:cs="Times New Roman"/>
          <w:color w:val="000000"/>
          <w:szCs w:val="21"/>
          <w:highlight w:val="none"/>
          <w:lang w:val="en-US" w:eastAsia="zh-CN"/>
        </w:rPr>
        <w:t>评分点5</w:t>
      </w:r>
      <w:r>
        <w:rPr>
          <w:rFonts w:hint="eastAsia" w:ascii="宋体" w:hAnsi="宋体" w:cs="Times New Roman"/>
          <w:color w:val="000000"/>
          <w:szCs w:val="21"/>
          <w:highlight w:val="none"/>
          <w:lang w:eastAsia="zh-CN"/>
        </w:rPr>
        <w:t>；</w:t>
      </w:r>
    </w:p>
    <w:p w14:paraId="1A1CF4DC">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rPr>
        <w:t>（</w:t>
      </w:r>
      <w:r>
        <w:rPr>
          <w:rFonts w:hint="eastAsia" w:ascii="宋体" w:hAnsi="宋体" w:cs="Times New Roman"/>
          <w:color w:val="000000"/>
          <w:szCs w:val="21"/>
          <w:highlight w:val="none"/>
          <w:lang w:val="en-US" w:eastAsia="zh-CN"/>
        </w:rPr>
        <w:t>9</w:t>
      </w:r>
      <w:r>
        <w:rPr>
          <w:rFonts w:hint="eastAsia" w:ascii="宋体" w:hAnsi="宋体" w:eastAsia="宋体" w:cs="Times New Roman"/>
          <w:color w:val="000000"/>
          <w:szCs w:val="21"/>
          <w:highlight w:val="none"/>
        </w:rPr>
        <w:t>）施工组织设计</w:t>
      </w:r>
      <w:r>
        <w:rPr>
          <w:rFonts w:hint="eastAsia" w:ascii="宋体" w:hAnsi="宋体" w:cs="Times New Roman"/>
          <w:color w:val="000000"/>
          <w:szCs w:val="21"/>
          <w:highlight w:val="none"/>
          <w:lang w:val="en-US" w:eastAsia="zh-CN"/>
        </w:rPr>
        <w:t>评分点6</w:t>
      </w:r>
      <w:r>
        <w:rPr>
          <w:rFonts w:hint="eastAsia" w:ascii="宋体" w:hAnsi="宋体" w:cs="Times New Roman"/>
          <w:color w:val="000000"/>
          <w:szCs w:val="21"/>
          <w:highlight w:val="none"/>
          <w:lang w:eastAsia="zh-CN"/>
        </w:rPr>
        <w:t>；</w:t>
      </w:r>
    </w:p>
    <w:p w14:paraId="079BE8E6">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rPr>
        <w:t>（</w:t>
      </w:r>
      <w:r>
        <w:rPr>
          <w:rFonts w:hint="eastAsia" w:ascii="宋体" w:hAnsi="宋体" w:cs="Times New Roman"/>
          <w:color w:val="000000"/>
          <w:szCs w:val="21"/>
          <w:highlight w:val="none"/>
          <w:lang w:val="en-US" w:eastAsia="zh-CN"/>
        </w:rPr>
        <w:t>10</w:t>
      </w:r>
      <w:r>
        <w:rPr>
          <w:rFonts w:hint="eastAsia" w:ascii="宋体" w:hAnsi="宋体" w:eastAsia="宋体" w:cs="Times New Roman"/>
          <w:color w:val="000000"/>
          <w:szCs w:val="21"/>
          <w:highlight w:val="none"/>
        </w:rPr>
        <w:t>）施工组织设计</w:t>
      </w:r>
      <w:r>
        <w:rPr>
          <w:rFonts w:hint="eastAsia" w:ascii="宋体" w:hAnsi="宋体" w:cs="Times New Roman"/>
          <w:color w:val="000000"/>
          <w:szCs w:val="21"/>
          <w:highlight w:val="none"/>
          <w:lang w:val="en-US" w:eastAsia="zh-CN"/>
        </w:rPr>
        <w:t>评分点7</w:t>
      </w:r>
      <w:r>
        <w:rPr>
          <w:rFonts w:hint="eastAsia" w:ascii="宋体" w:hAnsi="宋体" w:cs="Times New Roman"/>
          <w:color w:val="000000"/>
          <w:szCs w:val="21"/>
          <w:highlight w:val="none"/>
          <w:lang w:eastAsia="zh-CN"/>
        </w:rPr>
        <w:t>；</w:t>
      </w:r>
    </w:p>
    <w:p w14:paraId="7E21BD13">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rPr>
        <w:t>（</w:t>
      </w:r>
      <w:r>
        <w:rPr>
          <w:rFonts w:hint="eastAsia" w:ascii="宋体" w:hAnsi="宋体" w:cs="Times New Roman"/>
          <w:color w:val="000000"/>
          <w:szCs w:val="21"/>
          <w:highlight w:val="none"/>
          <w:lang w:val="en-US" w:eastAsia="zh-CN"/>
        </w:rPr>
        <w:t>11</w:t>
      </w:r>
      <w:r>
        <w:rPr>
          <w:rFonts w:hint="eastAsia" w:ascii="宋体" w:hAnsi="宋体" w:eastAsia="宋体" w:cs="Times New Roman"/>
          <w:color w:val="000000"/>
          <w:szCs w:val="21"/>
          <w:highlight w:val="none"/>
        </w:rPr>
        <w:t>）施工组织设计</w:t>
      </w:r>
      <w:r>
        <w:rPr>
          <w:rFonts w:hint="eastAsia" w:ascii="宋体" w:hAnsi="宋体" w:cs="Times New Roman"/>
          <w:color w:val="000000"/>
          <w:szCs w:val="21"/>
          <w:highlight w:val="none"/>
          <w:lang w:val="en-US" w:eastAsia="zh-CN"/>
        </w:rPr>
        <w:t>评分点8</w:t>
      </w:r>
      <w:r>
        <w:rPr>
          <w:rFonts w:hint="eastAsia" w:ascii="宋体" w:hAnsi="宋体" w:cs="Times New Roman"/>
          <w:color w:val="000000"/>
          <w:szCs w:val="21"/>
          <w:highlight w:val="none"/>
          <w:lang w:eastAsia="zh-CN"/>
        </w:rPr>
        <w:t>；</w:t>
      </w:r>
    </w:p>
    <w:p w14:paraId="04B3F4F6">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rPr>
        <w:t>（</w:t>
      </w:r>
      <w:r>
        <w:rPr>
          <w:rFonts w:hint="eastAsia" w:ascii="宋体" w:hAnsi="宋体" w:cs="Times New Roman"/>
          <w:color w:val="000000"/>
          <w:szCs w:val="21"/>
          <w:highlight w:val="none"/>
          <w:lang w:val="en-US" w:eastAsia="zh-CN"/>
        </w:rPr>
        <w:t>12</w:t>
      </w:r>
      <w:r>
        <w:rPr>
          <w:rFonts w:hint="eastAsia" w:ascii="宋体" w:hAnsi="宋体" w:eastAsia="宋体" w:cs="Times New Roman"/>
          <w:color w:val="000000"/>
          <w:szCs w:val="21"/>
          <w:highlight w:val="none"/>
        </w:rPr>
        <w:t>）施工组织设计</w:t>
      </w:r>
      <w:r>
        <w:rPr>
          <w:rFonts w:hint="eastAsia" w:ascii="宋体" w:hAnsi="宋体" w:cs="Times New Roman"/>
          <w:color w:val="000000"/>
          <w:szCs w:val="21"/>
          <w:highlight w:val="none"/>
          <w:lang w:val="en-US" w:eastAsia="zh-CN"/>
        </w:rPr>
        <w:t>评分点9</w:t>
      </w:r>
      <w:r>
        <w:rPr>
          <w:rFonts w:hint="eastAsia" w:ascii="宋体" w:hAnsi="宋体" w:cs="Times New Roman"/>
          <w:color w:val="000000"/>
          <w:szCs w:val="21"/>
          <w:highlight w:val="none"/>
          <w:lang w:eastAsia="zh-CN"/>
        </w:rPr>
        <w:t>；</w:t>
      </w:r>
    </w:p>
    <w:p w14:paraId="791E9357">
      <w:pPr>
        <w:adjustRightInd w:val="0"/>
        <w:snapToGrid w:val="0"/>
        <w:spacing w:line="560" w:lineRule="exact"/>
        <w:ind w:firstLine="420" w:firstLineChars="200"/>
        <w:rPr>
          <w:rFonts w:hint="eastAsia" w:ascii="宋体" w:hAnsi="宋体" w:eastAsia="宋体" w:cs="Times New Roman"/>
          <w:color w:val="000000"/>
          <w:szCs w:val="21"/>
          <w:highlight w:val="none"/>
          <w:lang w:val="en-US" w:eastAsia="zh-CN"/>
        </w:rPr>
      </w:pPr>
      <w:r>
        <w:rPr>
          <w:rFonts w:hint="eastAsia" w:ascii="宋体" w:hAnsi="宋体" w:eastAsia="宋体" w:cs="Times New Roman"/>
          <w:color w:val="000000"/>
          <w:szCs w:val="21"/>
          <w:highlight w:val="none"/>
        </w:rPr>
        <w:t>（</w:t>
      </w:r>
      <w:r>
        <w:rPr>
          <w:rFonts w:hint="eastAsia" w:ascii="宋体" w:hAnsi="宋体" w:cs="Times New Roman"/>
          <w:color w:val="000000"/>
          <w:szCs w:val="21"/>
          <w:highlight w:val="none"/>
          <w:lang w:val="en-US" w:eastAsia="zh-CN"/>
        </w:rPr>
        <w:t>13</w:t>
      </w:r>
      <w:r>
        <w:rPr>
          <w:rFonts w:hint="eastAsia" w:ascii="宋体" w:hAnsi="宋体" w:eastAsia="宋体" w:cs="Times New Roman"/>
          <w:color w:val="000000"/>
          <w:szCs w:val="21"/>
          <w:highlight w:val="none"/>
        </w:rPr>
        <w:t>）施工组织设计</w:t>
      </w:r>
      <w:r>
        <w:rPr>
          <w:rFonts w:hint="eastAsia" w:ascii="宋体" w:hAnsi="宋体" w:cs="Times New Roman"/>
          <w:color w:val="000000"/>
          <w:szCs w:val="21"/>
          <w:highlight w:val="none"/>
          <w:lang w:val="en-US" w:eastAsia="zh-CN"/>
        </w:rPr>
        <w:t>评分点10。</w:t>
      </w:r>
    </w:p>
    <w:p w14:paraId="54FFA6A9">
      <w:pPr>
        <w:adjustRightInd w:val="0"/>
        <w:snapToGrid w:val="0"/>
        <w:spacing w:line="560" w:lineRule="exact"/>
        <w:rPr>
          <w:rFonts w:ascii="宋体" w:hAnsi="宋体"/>
          <w:color w:val="000000"/>
          <w:szCs w:val="21"/>
          <w:highlight w:val="none"/>
        </w:rPr>
      </w:pPr>
    </w:p>
    <w:p w14:paraId="041B90B6">
      <w:pPr>
        <w:adjustRightInd w:val="0"/>
        <w:snapToGrid w:val="0"/>
        <w:spacing w:line="560" w:lineRule="exact"/>
        <w:rPr>
          <w:rFonts w:ascii="仿宋_GB2312" w:eastAsia="仿宋_GB2312"/>
          <w:color w:val="000000"/>
          <w:szCs w:val="21"/>
          <w:highlight w:val="none"/>
        </w:rPr>
      </w:pPr>
    </w:p>
    <w:p w14:paraId="59E6698D">
      <w:pPr>
        <w:adjustRightInd w:val="0"/>
        <w:snapToGrid w:val="0"/>
        <w:spacing w:line="560" w:lineRule="exact"/>
        <w:rPr>
          <w:rFonts w:eastAsia="黑体"/>
          <w:color w:val="000000"/>
          <w:sz w:val="20"/>
          <w:szCs w:val="20"/>
          <w:highlight w:val="none"/>
        </w:rPr>
      </w:pPr>
    </w:p>
    <w:p w14:paraId="2DE59DD1">
      <w:pPr>
        <w:adjustRightInd w:val="0"/>
        <w:snapToGrid w:val="0"/>
        <w:spacing w:line="560" w:lineRule="exact"/>
        <w:rPr>
          <w:color w:val="000000"/>
          <w:highlight w:val="none"/>
        </w:rPr>
      </w:pPr>
    </w:p>
    <w:p w14:paraId="2ECD3FD1">
      <w:pPr>
        <w:adjustRightInd w:val="0"/>
        <w:snapToGrid w:val="0"/>
        <w:spacing w:line="560" w:lineRule="exact"/>
        <w:rPr>
          <w:color w:val="000000"/>
          <w:highlight w:val="none"/>
        </w:rPr>
      </w:pPr>
    </w:p>
    <w:p w14:paraId="1767E45C">
      <w:pPr>
        <w:adjustRightInd w:val="0"/>
        <w:snapToGrid w:val="0"/>
        <w:spacing w:line="560" w:lineRule="exact"/>
        <w:rPr>
          <w:color w:val="000000"/>
          <w:highlight w:val="none"/>
        </w:rPr>
      </w:pPr>
    </w:p>
    <w:p w14:paraId="07EFC713">
      <w:pPr>
        <w:adjustRightInd w:val="0"/>
        <w:snapToGrid w:val="0"/>
        <w:spacing w:line="560" w:lineRule="exact"/>
        <w:rPr>
          <w:color w:val="000000"/>
          <w:highlight w:val="none"/>
        </w:rPr>
      </w:pPr>
    </w:p>
    <w:p w14:paraId="025C83A7">
      <w:pPr>
        <w:adjustRightInd w:val="0"/>
        <w:snapToGrid w:val="0"/>
        <w:spacing w:line="560" w:lineRule="exact"/>
        <w:rPr>
          <w:color w:val="000000"/>
          <w:highlight w:val="none"/>
        </w:rPr>
      </w:pPr>
    </w:p>
    <w:p w14:paraId="09B08E6D">
      <w:pPr>
        <w:adjustRightInd w:val="0"/>
        <w:snapToGrid w:val="0"/>
        <w:spacing w:line="560" w:lineRule="exact"/>
        <w:rPr>
          <w:color w:val="000000"/>
          <w:highlight w:val="none"/>
        </w:rPr>
      </w:pPr>
    </w:p>
    <w:p w14:paraId="066967E4">
      <w:pPr>
        <w:pStyle w:val="17"/>
        <w:rPr>
          <w:color w:val="000000"/>
          <w:highlight w:val="none"/>
        </w:rPr>
      </w:pPr>
    </w:p>
    <w:p w14:paraId="38A0159C">
      <w:pPr>
        <w:rPr>
          <w:color w:val="000000"/>
          <w:highlight w:val="none"/>
        </w:rPr>
      </w:pPr>
    </w:p>
    <w:p w14:paraId="3C9BBE43">
      <w:pPr>
        <w:pStyle w:val="17"/>
        <w:rPr>
          <w:color w:val="000000"/>
          <w:highlight w:val="none"/>
        </w:rPr>
      </w:pPr>
    </w:p>
    <w:p w14:paraId="35A1FE47">
      <w:pPr>
        <w:rPr>
          <w:color w:val="000000"/>
          <w:highlight w:val="none"/>
        </w:rPr>
      </w:pPr>
    </w:p>
    <w:p w14:paraId="083F70C8">
      <w:pPr>
        <w:rPr>
          <w:color w:val="000000"/>
          <w:highlight w:val="none"/>
        </w:rPr>
      </w:pPr>
    </w:p>
    <w:p w14:paraId="2DB6BB2B">
      <w:pPr>
        <w:rPr>
          <w:color w:val="000000"/>
          <w:highlight w:val="none"/>
        </w:rPr>
      </w:pPr>
    </w:p>
    <w:p w14:paraId="3FF8BB40">
      <w:pPr>
        <w:rPr>
          <w:color w:val="000000"/>
          <w:highlight w:val="none"/>
        </w:rPr>
      </w:pPr>
    </w:p>
    <w:p w14:paraId="33A91CB0">
      <w:pPr>
        <w:adjustRightInd w:val="0"/>
        <w:snapToGrid w:val="0"/>
        <w:spacing w:line="560" w:lineRule="exact"/>
        <w:jc w:val="center"/>
        <w:rPr>
          <w:rFonts w:eastAsia="黑体"/>
          <w:color w:val="000000"/>
          <w:sz w:val="20"/>
          <w:szCs w:val="20"/>
          <w:highlight w:val="none"/>
        </w:rPr>
      </w:pPr>
      <w:r>
        <w:rPr>
          <w:rFonts w:hint="eastAsia" w:eastAsia="黑体"/>
          <w:color w:val="000000"/>
          <w:sz w:val="28"/>
          <w:szCs w:val="28"/>
          <w:highlight w:val="none"/>
          <w:u w:val="single"/>
        </w:rPr>
        <w:t xml:space="preserve">                </w:t>
      </w:r>
      <w:r>
        <w:rPr>
          <w:rFonts w:eastAsia="黑体"/>
          <w:color w:val="000000"/>
          <w:sz w:val="28"/>
          <w:szCs w:val="28"/>
          <w:highlight w:val="none"/>
        </w:rPr>
        <w:t>（项目名称）</w:t>
      </w:r>
    </w:p>
    <w:p w14:paraId="7B802390">
      <w:pPr>
        <w:adjustRightInd w:val="0"/>
        <w:snapToGrid w:val="0"/>
        <w:spacing w:line="560" w:lineRule="exact"/>
        <w:jc w:val="center"/>
        <w:rPr>
          <w:rFonts w:eastAsia="黑体"/>
          <w:color w:val="000000"/>
          <w:sz w:val="20"/>
          <w:szCs w:val="20"/>
          <w:highlight w:val="none"/>
        </w:rPr>
      </w:pPr>
    </w:p>
    <w:p w14:paraId="3B74E097">
      <w:pPr>
        <w:adjustRightInd w:val="0"/>
        <w:snapToGrid w:val="0"/>
        <w:spacing w:line="560" w:lineRule="exact"/>
        <w:rPr>
          <w:rFonts w:eastAsia="黑体"/>
          <w:color w:val="000000"/>
          <w:sz w:val="20"/>
          <w:szCs w:val="20"/>
          <w:highlight w:val="none"/>
        </w:rPr>
      </w:pPr>
    </w:p>
    <w:p w14:paraId="4A7794FC">
      <w:pPr>
        <w:adjustRightInd w:val="0"/>
        <w:snapToGrid w:val="0"/>
        <w:spacing w:line="560" w:lineRule="exact"/>
        <w:jc w:val="center"/>
        <w:rPr>
          <w:rFonts w:eastAsia="黑体"/>
          <w:color w:val="000000"/>
          <w:sz w:val="44"/>
          <w:szCs w:val="44"/>
          <w:highlight w:val="none"/>
        </w:rPr>
      </w:pPr>
      <w:r>
        <w:rPr>
          <w:rFonts w:eastAsia="黑体"/>
          <w:color w:val="000000"/>
          <w:sz w:val="44"/>
          <w:szCs w:val="44"/>
          <w:highlight w:val="none"/>
        </w:rPr>
        <w:t>投  标  文  件</w:t>
      </w:r>
      <w:r>
        <w:rPr>
          <w:rFonts w:hint="eastAsia" w:eastAsia="黑体"/>
          <w:color w:val="000000"/>
          <w:sz w:val="44"/>
          <w:szCs w:val="44"/>
          <w:highlight w:val="none"/>
        </w:rPr>
        <w:t xml:space="preserve">  三</w:t>
      </w:r>
    </w:p>
    <w:p w14:paraId="5FE66CEC">
      <w:pPr>
        <w:adjustRightInd w:val="0"/>
        <w:snapToGrid w:val="0"/>
        <w:spacing w:line="560" w:lineRule="exact"/>
        <w:jc w:val="center"/>
        <w:rPr>
          <w:rFonts w:eastAsia="黑体"/>
          <w:color w:val="000000"/>
          <w:sz w:val="44"/>
          <w:szCs w:val="44"/>
          <w:highlight w:val="none"/>
        </w:rPr>
      </w:pPr>
      <w:r>
        <w:rPr>
          <w:rFonts w:hint="eastAsia" w:eastAsia="黑体"/>
          <w:color w:val="000000"/>
          <w:sz w:val="44"/>
          <w:szCs w:val="44"/>
          <w:highlight w:val="none"/>
        </w:rPr>
        <w:t>（商务标文件）</w:t>
      </w:r>
    </w:p>
    <w:p w14:paraId="52FEEFED">
      <w:pPr>
        <w:adjustRightInd w:val="0"/>
        <w:snapToGrid w:val="0"/>
        <w:spacing w:line="560" w:lineRule="exact"/>
        <w:rPr>
          <w:rFonts w:eastAsia="黑体"/>
          <w:color w:val="000000"/>
          <w:sz w:val="28"/>
          <w:szCs w:val="28"/>
          <w:highlight w:val="none"/>
        </w:rPr>
      </w:pPr>
    </w:p>
    <w:p w14:paraId="4EF68D7E">
      <w:pPr>
        <w:pStyle w:val="17"/>
        <w:adjustRightInd w:val="0"/>
        <w:snapToGrid w:val="0"/>
        <w:spacing w:after="0" w:line="560" w:lineRule="exact"/>
        <w:ind w:left="0" w:leftChars="0" w:firstLine="560"/>
        <w:rPr>
          <w:rFonts w:eastAsia="黑体"/>
          <w:color w:val="000000"/>
          <w:sz w:val="28"/>
          <w:szCs w:val="28"/>
          <w:highlight w:val="none"/>
        </w:rPr>
      </w:pPr>
    </w:p>
    <w:p w14:paraId="760421A6">
      <w:pPr>
        <w:adjustRightInd w:val="0"/>
        <w:snapToGrid w:val="0"/>
        <w:spacing w:line="560" w:lineRule="exact"/>
        <w:rPr>
          <w:rFonts w:eastAsia="黑体"/>
          <w:color w:val="000000"/>
          <w:sz w:val="28"/>
          <w:szCs w:val="28"/>
          <w:highlight w:val="none"/>
        </w:rPr>
      </w:pPr>
    </w:p>
    <w:p w14:paraId="4F74BE40">
      <w:pPr>
        <w:pStyle w:val="17"/>
        <w:adjustRightInd w:val="0"/>
        <w:snapToGrid w:val="0"/>
        <w:spacing w:after="0" w:line="560" w:lineRule="exact"/>
        <w:ind w:left="0" w:leftChars="0"/>
        <w:rPr>
          <w:color w:val="000000"/>
          <w:highlight w:val="none"/>
        </w:rPr>
      </w:pPr>
    </w:p>
    <w:p w14:paraId="22B59877">
      <w:pPr>
        <w:adjustRightInd w:val="0"/>
        <w:snapToGrid w:val="0"/>
        <w:spacing w:line="560" w:lineRule="exact"/>
        <w:rPr>
          <w:rFonts w:eastAsia="黑体"/>
          <w:color w:val="000000"/>
          <w:sz w:val="28"/>
          <w:szCs w:val="28"/>
          <w:highlight w:val="none"/>
        </w:rPr>
      </w:pPr>
    </w:p>
    <w:p w14:paraId="46144FD2">
      <w:pPr>
        <w:adjustRightInd w:val="0"/>
        <w:snapToGrid w:val="0"/>
        <w:spacing w:line="560" w:lineRule="exact"/>
        <w:rPr>
          <w:rFonts w:eastAsia="黑体"/>
          <w:color w:val="000000"/>
          <w:sz w:val="28"/>
          <w:szCs w:val="28"/>
          <w:highlight w:val="none"/>
        </w:rPr>
      </w:pPr>
    </w:p>
    <w:p w14:paraId="012A4372">
      <w:pPr>
        <w:adjustRightInd w:val="0"/>
        <w:snapToGrid w:val="0"/>
        <w:spacing w:line="560" w:lineRule="exact"/>
        <w:rPr>
          <w:rFonts w:eastAsia="黑体"/>
          <w:color w:val="000000"/>
          <w:sz w:val="28"/>
          <w:szCs w:val="28"/>
          <w:highlight w:val="none"/>
        </w:rPr>
      </w:pPr>
    </w:p>
    <w:p w14:paraId="6A54AA11">
      <w:pPr>
        <w:adjustRightInd w:val="0"/>
        <w:snapToGrid w:val="0"/>
        <w:spacing w:line="560" w:lineRule="exact"/>
        <w:rPr>
          <w:rFonts w:eastAsia="黑体"/>
          <w:color w:val="000000"/>
          <w:sz w:val="28"/>
          <w:szCs w:val="28"/>
          <w:highlight w:val="none"/>
        </w:rPr>
      </w:pPr>
    </w:p>
    <w:p w14:paraId="06A37CCF">
      <w:pPr>
        <w:adjustRightInd w:val="0"/>
        <w:snapToGrid w:val="0"/>
        <w:spacing w:line="560" w:lineRule="exact"/>
        <w:rPr>
          <w:rFonts w:eastAsia="黑体"/>
          <w:color w:val="000000"/>
          <w:sz w:val="28"/>
          <w:szCs w:val="28"/>
          <w:highlight w:val="none"/>
        </w:rPr>
      </w:pPr>
    </w:p>
    <w:p w14:paraId="435BDD00">
      <w:pPr>
        <w:adjustRightInd w:val="0"/>
        <w:snapToGrid w:val="0"/>
        <w:spacing w:line="560" w:lineRule="exact"/>
        <w:rPr>
          <w:rFonts w:eastAsia="黑体"/>
          <w:color w:val="000000"/>
          <w:sz w:val="28"/>
          <w:szCs w:val="28"/>
          <w:highlight w:val="none"/>
        </w:rPr>
      </w:pPr>
    </w:p>
    <w:p w14:paraId="5EC5AED6">
      <w:pPr>
        <w:adjustRightInd w:val="0"/>
        <w:snapToGrid w:val="0"/>
        <w:spacing w:line="560" w:lineRule="exact"/>
        <w:rPr>
          <w:rFonts w:eastAsia="黑体"/>
          <w:color w:val="000000"/>
          <w:sz w:val="28"/>
          <w:szCs w:val="28"/>
          <w:highlight w:val="none"/>
        </w:rPr>
      </w:pPr>
    </w:p>
    <w:p w14:paraId="5E1E1571">
      <w:pPr>
        <w:adjustRightInd w:val="0"/>
        <w:snapToGrid w:val="0"/>
        <w:spacing w:line="560" w:lineRule="exact"/>
        <w:jc w:val="center"/>
        <w:rPr>
          <w:rFonts w:eastAsia="黑体"/>
          <w:color w:val="000000"/>
          <w:sz w:val="28"/>
          <w:szCs w:val="28"/>
          <w:highlight w:val="none"/>
          <w:u w:val="single"/>
        </w:rPr>
      </w:pPr>
      <w:r>
        <w:rPr>
          <w:rFonts w:eastAsia="黑体"/>
          <w:color w:val="000000"/>
          <w:sz w:val="28"/>
          <w:szCs w:val="28"/>
          <w:highlight w:val="none"/>
        </w:rPr>
        <w:t>投标人：</w:t>
      </w:r>
      <w:r>
        <w:rPr>
          <w:rFonts w:eastAsia="黑体"/>
          <w:color w:val="000000"/>
          <w:sz w:val="28"/>
          <w:szCs w:val="28"/>
          <w:highlight w:val="none"/>
          <w:u w:val="single"/>
        </w:rPr>
        <w:t xml:space="preserve">                     </w:t>
      </w:r>
      <w:r>
        <w:rPr>
          <w:rFonts w:hint="eastAsia" w:eastAsia="黑体"/>
          <w:color w:val="000000"/>
          <w:sz w:val="28"/>
          <w:szCs w:val="28"/>
          <w:highlight w:val="none"/>
          <w:u w:val="single"/>
        </w:rPr>
        <w:t xml:space="preserve">  </w:t>
      </w:r>
      <w:r>
        <w:rPr>
          <w:rFonts w:eastAsia="黑体"/>
          <w:color w:val="000000"/>
          <w:sz w:val="28"/>
          <w:szCs w:val="28"/>
          <w:highlight w:val="none"/>
          <w:u w:val="single"/>
        </w:rPr>
        <w:t xml:space="preserve">       </w:t>
      </w:r>
      <w:r>
        <w:rPr>
          <w:rFonts w:eastAsia="黑体"/>
          <w:color w:val="000000"/>
          <w:sz w:val="28"/>
          <w:szCs w:val="28"/>
          <w:highlight w:val="none"/>
        </w:rPr>
        <w:t>（签</w:t>
      </w:r>
      <w:r>
        <w:rPr>
          <w:rFonts w:hint="eastAsia" w:eastAsia="黑体"/>
          <w:color w:val="000000"/>
          <w:sz w:val="28"/>
          <w:szCs w:val="28"/>
          <w:highlight w:val="none"/>
        </w:rPr>
        <w:t>章</w:t>
      </w:r>
      <w:r>
        <w:rPr>
          <w:rFonts w:eastAsia="黑体"/>
          <w:color w:val="000000"/>
          <w:sz w:val="28"/>
          <w:szCs w:val="28"/>
          <w:highlight w:val="none"/>
        </w:rPr>
        <w:t>）</w:t>
      </w:r>
    </w:p>
    <w:p w14:paraId="12E2DBA0">
      <w:pPr>
        <w:adjustRightInd w:val="0"/>
        <w:snapToGrid w:val="0"/>
        <w:spacing w:line="560" w:lineRule="exact"/>
        <w:jc w:val="center"/>
        <w:rPr>
          <w:rFonts w:eastAsia="黑体"/>
          <w:color w:val="000000"/>
          <w:sz w:val="28"/>
          <w:szCs w:val="28"/>
          <w:highlight w:val="none"/>
        </w:rPr>
      </w:pPr>
      <w:r>
        <w:rPr>
          <w:rFonts w:eastAsia="黑体"/>
          <w:color w:val="000000"/>
          <w:sz w:val="28"/>
          <w:szCs w:val="28"/>
          <w:highlight w:val="none"/>
        </w:rPr>
        <w:t>法定代表人：</w:t>
      </w:r>
      <w:r>
        <w:rPr>
          <w:rFonts w:eastAsia="黑体"/>
          <w:color w:val="000000"/>
          <w:sz w:val="28"/>
          <w:szCs w:val="28"/>
          <w:highlight w:val="none"/>
          <w:u w:val="single"/>
        </w:rPr>
        <w:t xml:space="preserve">                </w:t>
      </w:r>
      <w:r>
        <w:rPr>
          <w:rFonts w:eastAsia="黑体"/>
          <w:color w:val="000000"/>
          <w:sz w:val="28"/>
          <w:szCs w:val="28"/>
          <w:highlight w:val="none"/>
        </w:rPr>
        <w:t>（签</w:t>
      </w:r>
      <w:r>
        <w:rPr>
          <w:rFonts w:hint="eastAsia" w:eastAsia="黑体"/>
          <w:color w:val="000000"/>
          <w:sz w:val="28"/>
          <w:szCs w:val="28"/>
          <w:highlight w:val="none"/>
        </w:rPr>
        <w:t>章</w:t>
      </w:r>
      <w:r>
        <w:rPr>
          <w:rFonts w:eastAsia="黑体"/>
          <w:color w:val="000000"/>
          <w:sz w:val="28"/>
          <w:szCs w:val="28"/>
          <w:highlight w:val="none"/>
        </w:rPr>
        <w:t>）</w:t>
      </w:r>
    </w:p>
    <w:p w14:paraId="014DF199">
      <w:pPr>
        <w:adjustRightInd w:val="0"/>
        <w:snapToGrid w:val="0"/>
        <w:spacing w:line="560" w:lineRule="exact"/>
        <w:jc w:val="center"/>
        <w:rPr>
          <w:rFonts w:eastAsia="黑体"/>
          <w:color w:val="000000"/>
          <w:sz w:val="28"/>
          <w:szCs w:val="28"/>
          <w:highlight w:val="none"/>
        </w:rPr>
      </w:pPr>
      <w:r>
        <w:rPr>
          <w:rFonts w:eastAsia="黑体"/>
          <w:color w:val="000000"/>
          <w:sz w:val="28"/>
          <w:szCs w:val="28"/>
          <w:highlight w:val="none"/>
          <w:u w:val="single"/>
        </w:rPr>
        <w:t xml:space="preserve">        </w:t>
      </w:r>
      <w:r>
        <w:rPr>
          <w:rFonts w:eastAsia="黑体"/>
          <w:color w:val="000000"/>
          <w:sz w:val="28"/>
          <w:szCs w:val="28"/>
          <w:highlight w:val="none"/>
        </w:rPr>
        <w:t>年</w:t>
      </w:r>
      <w:r>
        <w:rPr>
          <w:rFonts w:eastAsia="黑体"/>
          <w:color w:val="000000"/>
          <w:sz w:val="28"/>
          <w:szCs w:val="28"/>
          <w:highlight w:val="none"/>
          <w:u w:val="single"/>
        </w:rPr>
        <w:t xml:space="preserve">        </w:t>
      </w:r>
      <w:r>
        <w:rPr>
          <w:rFonts w:eastAsia="黑体"/>
          <w:color w:val="000000"/>
          <w:sz w:val="28"/>
          <w:szCs w:val="28"/>
          <w:highlight w:val="none"/>
        </w:rPr>
        <w:t>月</w:t>
      </w:r>
      <w:r>
        <w:rPr>
          <w:rFonts w:eastAsia="黑体"/>
          <w:color w:val="000000"/>
          <w:sz w:val="28"/>
          <w:szCs w:val="28"/>
          <w:highlight w:val="none"/>
          <w:u w:val="single"/>
        </w:rPr>
        <w:t xml:space="preserve">        </w:t>
      </w:r>
      <w:r>
        <w:rPr>
          <w:rFonts w:eastAsia="黑体"/>
          <w:color w:val="000000"/>
          <w:sz w:val="28"/>
          <w:szCs w:val="28"/>
          <w:highlight w:val="none"/>
        </w:rPr>
        <w:t>日</w:t>
      </w:r>
    </w:p>
    <w:p w14:paraId="0380A730">
      <w:pPr>
        <w:adjustRightInd w:val="0"/>
        <w:snapToGrid w:val="0"/>
        <w:spacing w:line="560" w:lineRule="exact"/>
        <w:rPr>
          <w:color w:val="000000"/>
          <w:highlight w:val="none"/>
        </w:rPr>
      </w:pPr>
    </w:p>
    <w:p w14:paraId="3F54606B">
      <w:pPr>
        <w:adjustRightInd w:val="0"/>
        <w:snapToGrid w:val="0"/>
        <w:spacing w:line="560" w:lineRule="exact"/>
        <w:rPr>
          <w:color w:val="000000"/>
          <w:highlight w:val="none"/>
        </w:rPr>
      </w:pPr>
    </w:p>
    <w:p w14:paraId="15AEBEF3">
      <w:pPr>
        <w:pStyle w:val="3"/>
        <w:rPr>
          <w:color w:val="000000"/>
          <w:highlight w:val="none"/>
        </w:rPr>
      </w:pPr>
      <w:bookmarkStart w:id="955" w:name="_Toc95223542"/>
      <w:r>
        <w:rPr>
          <w:rFonts w:hint="eastAsia"/>
          <w:color w:val="000000"/>
          <w:highlight w:val="none"/>
        </w:rPr>
        <w:t>投标文件三：商务标目录</w:t>
      </w:r>
      <w:bookmarkEnd w:id="955"/>
    </w:p>
    <w:p w14:paraId="1B4F78DF">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（1）投标函；</w:t>
      </w:r>
    </w:p>
    <w:p w14:paraId="79AE2D94">
      <w:pPr>
        <w:adjustRightInd w:val="0"/>
        <w:snapToGrid w:val="0"/>
        <w:spacing w:line="56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）招标人推荐的材料品牌响应表（如有）</w:t>
      </w:r>
      <w:r>
        <w:rPr>
          <w:rFonts w:hint="eastAsia" w:ascii="宋体" w:hAnsi="宋体"/>
          <w:color w:val="auto"/>
          <w:szCs w:val="21"/>
          <w:highlight w:val="none"/>
          <w:lang w:eastAsia="zh-CN"/>
        </w:rPr>
        <w:t>；</w:t>
      </w:r>
    </w:p>
    <w:p w14:paraId="625949ED">
      <w:pPr>
        <w:adjustRightInd w:val="0"/>
        <w:snapToGrid w:val="0"/>
        <w:spacing w:line="560" w:lineRule="exact"/>
        <w:ind w:firstLine="420" w:firstLineChars="200"/>
        <w:rPr>
          <w:rFonts w:ascii="宋体" w:hAnsi="宋体"/>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val="en-US" w:eastAsia="zh-CN"/>
        </w:rPr>
        <w:t>3</w:t>
      </w:r>
      <w:r>
        <w:rPr>
          <w:rFonts w:hint="eastAsia" w:ascii="宋体" w:hAnsi="宋体"/>
          <w:color w:val="000000"/>
          <w:szCs w:val="21"/>
          <w:highlight w:val="none"/>
        </w:rPr>
        <w:t>）全国建筑市场监管公共服务平台(四库一平台)企业注册人员网页截图；</w:t>
      </w:r>
    </w:p>
    <w:p w14:paraId="1B154F85">
      <w:pPr>
        <w:adjustRightInd w:val="0"/>
        <w:snapToGrid w:val="0"/>
        <w:spacing w:line="560" w:lineRule="exact"/>
        <w:ind w:firstLine="420" w:firstLineChars="200"/>
        <w:rPr>
          <w:color w:val="000000"/>
          <w:highlight w:val="none"/>
        </w:rPr>
      </w:pPr>
      <w:r>
        <w:rPr>
          <w:rFonts w:hint="eastAsia" w:ascii="宋体" w:hAnsi="宋体" w:cs="宋体"/>
          <w:color w:val="000000"/>
          <w:szCs w:val="21"/>
          <w:highlight w:val="none"/>
        </w:rPr>
        <w:t>（</w:t>
      </w:r>
      <w:r>
        <w:rPr>
          <w:rFonts w:hint="eastAsia" w:ascii="宋体" w:hAnsi="宋体" w:cs="宋体"/>
          <w:color w:val="000000"/>
          <w:szCs w:val="21"/>
          <w:highlight w:val="none"/>
          <w:lang w:val="en-US" w:eastAsia="zh-CN"/>
        </w:rPr>
        <w:t>4</w:t>
      </w:r>
      <w:r>
        <w:rPr>
          <w:rFonts w:hint="eastAsia" w:ascii="宋体" w:hAnsi="宋体" w:cs="宋体"/>
          <w:color w:val="000000"/>
          <w:szCs w:val="21"/>
          <w:highlight w:val="none"/>
        </w:rPr>
        <w:t>）</w:t>
      </w:r>
      <w:r>
        <w:rPr>
          <w:rFonts w:hint="eastAsia" w:ascii="宋体" w:hAnsi="宋体"/>
          <w:color w:val="000000"/>
          <w:szCs w:val="21"/>
          <w:highlight w:val="none"/>
        </w:rPr>
        <w:t>详细评审所需其他材料。</w:t>
      </w:r>
    </w:p>
    <w:p w14:paraId="52FFE8EF">
      <w:pPr>
        <w:adjustRightInd w:val="0"/>
        <w:snapToGrid w:val="0"/>
        <w:spacing w:line="560" w:lineRule="exact"/>
        <w:rPr>
          <w:color w:val="000000"/>
          <w:highlight w:val="none"/>
        </w:rPr>
      </w:pPr>
    </w:p>
    <w:p w14:paraId="2158DDC6">
      <w:pPr>
        <w:adjustRightInd w:val="0"/>
        <w:snapToGrid w:val="0"/>
        <w:spacing w:line="560" w:lineRule="exact"/>
        <w:rPr>
          <w:rFonts w:eastAsia="黑体"/>
          <w:color w:val="000000"/>
          <w:sz w:val="20"/>
          <w:szCs w:val="20"/>
          <w:highlight w:val="none"/>
        </w:rPr>
      </w:pPr>
    </w:p>
    <w:p w14:paraId="2C684F45">
      <w:pPr>
        <w:adjustRightInd w:val="0"/>
        <w:snapToGrid w:val="0"/>
        <w:spacing w:line="560" w:lineRule="exact"/>
        <w:rPr>
          <w:rFonts w:eastAsia="黑体"/>
          <w:color w:val="000000"/>
          <w:sz w:val="20"/>
          <w:szCs w:val="20"/>
          <w:highlight w:val="none"/>
        </w:rPr>
      </w:pPr>
    </w:p>
    <w:p w14:paraId="1A4D8E07">
      <w:pPr>
        <w:adjustRightInd w:val="0"/>
        <w:snapToGrid w:val="0"/>
        <w:spacing w:line="560" w:lineRule="exact"/>
        <w:rPr>
          <w:rFonts w:eastAsia="黑体"/>
          <w:color w:val="000000"/>
          <w:sz w:val="20"/>
          <w:szCs w:val="20"/>
          <w:highlight w:val="none"/>
        </w:rPr>
      </w:pPr>
    </w:p>
    <w:p w14:paraId="09543A29">
      <w:pPr>
        <w:adjustRightInd w:val="0"/>
        <w:snapToGrid w:val="0"/>
        <w:spacing w:line="560" w:lineRule="exact"/>
        <w:ind w:right="420"/>
        <w:rPr>
          <w:color w:val="000000"/>
          <w:szCs w:val="21"/>
          <w:highlight w:val="none"/>
          <w:u w:val="single"/>
        </w:rPr>
      </w:pPr>
    </w:p>
    <w:p w14:paraId="2939212C">
      <w:pPr>
        <w:pStyle w:val="17"/>
        <w:rPr>
          <w:color w:val="000000"/>
          <w:highlight w:val="none"/>
        </w:rPr>
      </w:pPr>
    </w:p>
    <w:p w14:paraId="646A3B27">
      <w:pPr>
        <w:rPr>
          <w:color w:val="000000"/>
          <w:highlight w:val="none"/>
        </w:rPr>
      </w:pPr>
    </w:p>
    <w:p w14:paraId="7650C108">
      <w:pPr>
        <w:pStyle w:val="17"/>
        <w:rPr>
          <w:color w:val="000000"/>
          <w:highlight w:val="none"/>
        </w:rPr>
      </w:pPr>
    </w:p>
    <w:p w14:paraId="01CF1A1B">
      <w:pPr>
        <w:rPr>
          <w:color w:val="000000"/>
          <w:highlight w:val="none"/>
        </w:rPr>
      </w:pPr>
    </w:p>
    <w:p w14:paraId="2E430598">
      <w:pPr>
        <w:pStyle w:val="17"/>
        <w:rPr>
          <w:color w:val="000000"/>
          <w:highlight w:val="none"/>
        </w:rPr>
      </w:pPr>
    </w:p>
    <w:p w14:paraId="304FDBCF">
      <w:pPr>
        <w:rPr>
          <w:color w:val="000000"/>
          <w:highlight w:val="none"/>
        </w:rPr>
      </w:pPr>
    </w:p>
    <w:p w14:paraId="5C0CFFEE">
      <w:pPr>
        <w:pStyle w:val="17"/>
        <w:rPr>
          <w:color w:val="000000"/>
          <w:highlight w:val="none"/>
        </w:rPr>
      </w:pPr>
    </w:p>
    <w:p w14:paraId="2DE3A761">
      <w:pPr>
        <w:rPr>
          <w:color w:val="000000"/>
          <w:highlight w:val="none"/>
        </w:rPr>
      </w:pPr>
    </w:p>
    <w:p w14:paraId="5D5B3A20">
      <w:pPr>
        <w:pStyle w:val="17"/>
        <w:rPr>
          <w:color w:val="000000"/>
          <w:highlight w:val="none"/>
        </w:rPr>
      </w:pPr>
    </w:p>
    <w:p w14:paraId="7FFB2A4A">
      <w:pPr>
        <w:rPr>
          <w:color w:val="000000"/>
          <w:highlight w:val="none"/>
        </w:rPr>
      </w:pPr>
    </w:p>
    <w:p w14:paraId="6C50E952">
      <w:pPr>
        <w:pStyle w:val="17"/>
        <w:rPr>
          <w:color w:val="000000"/>
          <w:highlight w:val="none"/>
        </w:rPr>
      </w:pPr>
    </w:p>
    <w:p w14:paraId="673B695B">
      <w:pPr>
        <w:rPr>
          <w:color w:val="000000"/>
          <w:highlight w:val="none"/>
        </w:rPr>
      </w:pPr>
    </w:p>
    <w:p w14:paraId="50BA9104">
      <w:pPr>
        <w:pStyle w:val="17"/>
        <w:rPr>
          <w:color w:val="000000"/>
          <w:highlight w:val="none"/>
        </w:rPr>
      </w:pPr>
    </w:p>
    <w:p w14:paraId="70BF7B02">
      <w:pPr>
        <w:rPr>
          <w:color w:val="000000"/>
          <w:highlight w:val="none"/>
        </w:rPr>
      </w:pPr>
    </w:p>
    <w:p w14:paraId="59CA8873">
      <w:pPr>
        <w:pStyle w:val="17"/>
        <w:rPr>
          <w:color w:val="000000"/>
          <w:highlight w:val="none"/>
        </w:rPr>
      </w:pPr>
    </w:p>
    <w:p w14:paraId="564F963D">
      <w:pPr>
        <w:rPr>
          <w:color w:val="000000"/>
          <w:highlight w:val="none"/>
        </w:rPr>
      </w:pPr>
    </w:p>
    <w:p w14:paraId="45334F5A">
      <w:pPr>
        <w:pStyle w:val="17"/>
        <w:rPr>
          <w:color w:val="000000"/>
          <w:highlight w:val="none"/>
        </w:rPr>
      </w:pPr>
    </w:p>
    <w:p w14:paraId="7F817B5B">
      <w:pPr>
        <w:rPr>
          <w:color w:val="000000"/>
          <w:highlight w:val="none"/>
        </w:rPr>
      </w:pPr>
    </w:p>
    <w:p w14:paraId="0B5ED56D">
      <w:pPr>
        <w:pStyle w:val="17"/>
        <w:rPr>
          <w:color w:val="000000"/>
          <w:highlight w:val="none"/>
        </w:rPr>
      </w:pPr>
    </w:p>
    <w:p w14:paraId="469412DC">
      <w:pPr>
        <w:rPr>
          <w:color w:val="000000"/>
          <w:highlight w:val="none"/>
        </w:rPr>
      </w:pPr>
    </w:p>
    <w:p w14:paraId="4D31EE27">
      <w:pPr>
        <w:pStyle w:val="17"/>
        <w:rPr>
          <w:color w:val="000000"/>
          <w:highlight w:val="none"/>
        </w:rPr>
      </w:pPr>
    </w:p>
    <w:p w14:paraId="5168F775">
      <w:pPr>
        <w:rPr>
          <w:color w:val="000000"/>
          <w:highlight w:val="none"/>
        </w:rPr>
      </w:pPr>
    </w:p>
    <w:p w14:paraId="4861B9C1">
      <w:pPr>
        <w:pStyle w:val="17"/>
        <w:rPr>
          <w:color w:val="000000"/>
          <w:highlight w:val="none"/>
        </w:rPr>
      </w:pPr>
    </w:p>
    <w:p w14:paraId="677A9D1E">
      <w:pPr>
        <w:pStyle w:val="17"/>
        <w:rPr>
          <w:color w:val="000000"/>
          <w:highlight w:val="none"/>
        </w:rPr>
      </w:pPr>
    </w:p>
    <w:p w14:paraId="41E143CB">
      <w:pPr>
        <w:pStyle w:val="17"/>
        <w:ind w:left="0" w:leftChars="0" w:firstLine="0" w:firstLineChars="0"/>
        <w:rPr>
          <w:color w:val="000000"/>
          <w:highlight w:val="none"/>
        </w:rPr>
      </w:pPr>
    </w:p>
    <w:p w14:paraId="352722AB">
      <w:pPr>
        <w:pStyle w:val="4"/>
        <w:adjustRightInd w:val="0"/>
        <w:snapToGrid w:val="0"/>
        <w:spacing w:before="0" w:after="0" w:line="560" w:lineRule="exact"/>
        <w:jc w:val="center"/>
        <w:rPr>
          <w:color w:val="000000"/>
          <w:highlight w:val="none"/>
        </w:rPr>
        <w:sectPr>
          <w:pgSz w:w="11910" w:h="16840"/>
          <w:pgMar w:top="1060" w:right="660" w:bottom="1020" w:left="1120" w:header="0" w:footer="833" w:gutter="0"/>
          <w:pgBorders>
            <w:top w:val="none" w:sz="0" w:space="0"/>
            <w:left w:val="none" w:sz="0" w:space="0"/>
            <w:bottom w:val="none" w:sz="0" w:space="0"/>
            <w:right w:val="none" w:sz="0" w:space="0"/>
          </w:pgBorders>
          <w:cols w:space="720" w:num="1"/>
        </w:sectPr>
      </w:pPr>
      <w:bookmarkStart w:id="956" w:name="_Toc95223543"/>
    </w:p>
    <w:p w14:paraId="564C2E22">
      <w:pPr>
        <w:pStyle w:val="4"/>
        <w:adjustRightInd w:val="0"/>
        <w:snapToGrid w:val="0"/>
        <w:spacing w:before="0" w:after="0" w:line="560" w:lineRule="exact"/>
        <w:jc w:val="center"/>
        <w:rPr>
          <w:color w:val="000000"/>
          <w:highlight w:val="none"/>
        </w:rPr>
      </w:pPr>
      <w:r>
        <w:rPr>
          <w:rFonts w:hint="eastAsia"/>
          <w:color w:val="000000"/>
          <w:highlight w:val="none"/>
        </w:rPr>
        <w:t>（1）投</w:t>
      </w:r>
      <w:r>
        <w:rPr>
          <w:color w:val="000000"/>
          <w:highlight w:val="none"/>
        </w:rPr>
        <w:t xml:space="preserve"> </w:t>
      </w:r>
      <w:r>
        <w:rPr>
          <w:rFonts w:hint="eastAsia"/>
          <w:color w:val="000000"/>
          <w:highlight w:val="none"/>
        </w:rPr>
        <w:t>标 函</w:t>
      </w:r>
      <w:bookmarkEnd w:id="956"/>
    </w:p>
    <w:p w14:paraId="02BB498D">
      <w:pPr>
        <w:adjustRightInd w:val="0"/>
        <w:snapToGrid w:val="0"/>
        <w:spacing w:line="560" w:lineRule="exact"/>
        <w:rPr>
          <w:rFonts w:ascii="宋体" w:hAnsi="宋体"/>
          <w:color w:val="000000"/>
          <w:sz w:val="24"/>
          <w:highlight w:val="none"/>
          <w:u w:val="single"/>
        </w:rPr>
      </w:pPr>
      <w:r>
        <w:rPr>
          <w:rFonts w:hint="eastAsia" w:ascii="宋体" w:hAnsi="宋体"/>
          <w:color w:val="000000"/>
          <w:sz w:val="24"/>
          <w:highlight w:val="none"/>
        </w:rPr>
        <w:t>致：</w:t>
      </w:r>
      <w:r>
        <w:rPr>
          <w:rFonts w:ascii="宋体" w:hAnsi="宋体"/>
          <w:color w:val="000000"/>
          <w:sz w:val="24"/>
          <w:highlight w:val="none"/>
          <w:u w:val="single"/>
        </w:rPr>
        <w:t xml:space="preserve">        </w:t>
      </w:r>
      <w:r>
        <w:rPr>
          <w:rFonts w:hint="eastAsia" w:ascii="宋体" w:hAnsi="宋体"/>
          <w:color w:val="000000"/>
          <w:sz w:val="24"/>
          <w:highlight w:val="none"/>
          <w:u w:val="single"/>
        </w:rPr>
        <w:t>（招标人）</w:t>
      </w:r>
      <w:r>
        <w:rPr>
          <w:rFonts w:ascii="宋体" w:hAnsi="宋体"/>
          <w:color w:val="000000"/>
          <w:sz w:val="24"/>
          <w:highlight w:val="none"/>
          <w:u w:val="single"/>
        </w:rPr>
        <w:t xml:space="preserve">      </w:t>
      </w:r>
    </w:p>
    <w:p w14:paraId="5270BDDB">
      <w:pPr>
        <w:adjustRightInd w:val="0"/>
        <w:snapToGrid w:val="0"/>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1、根据你方招</w:t>
      </w:r>
      <w:bookmarkStart w:id="957" w:name="_Toc60061591"/>
      <w:r>
        <w:rPr>
          <w:rFonts w:hint="eastAsia" w:ascii="宋体" w:hAnsi="宋体"/>
          <w:color w:val="000000"/>
          <w:sz w:val="24"/>
          <w:highlight w:val="none"/>
        </w:rPr>
        <w:t>标项目编号为</w:t>
      </w:r>
      <w:r>
        <w:rPr>
          <w:rFonts w:ascii="宋体" w:hAnsi="宋体"/>
          <w:color w:val="000000"/>
          <w:sz w:val="24"/>
          <w:highlight w:val="none"/>
          <w:u w:val="single"/>
        </w:rPr>
        <w:t xml:space="preserve">  </w:t>
      </w:r>
      <w:bookmarkEnd w:id="957"/>
      <w:r>
        <w:rPr>
          <w:rFonts w:ascii="宋体" w:hAnsi="宋体"/>
          <w:color w:val="000000"/>
          <w:sz w:val="24"/>
          <w:highlight w:val="none"/>
          <w:u w:val="single"/>
        </w:rPr>
        <w:t xml:space="preserve">      </w:t>
      </w:r>
      <w:r>
        <w:rPr>
          <w:rFonts w:ascii="宋体" w:hAnsi="宋体"/>
          <w:color w:val="000000"/>
          <w:sz w:val="24"/>
          <w:highlight w:val="none"/>
        </w:rPr>
        <w:t xml:space="preserve"> </w:t>
      </w:r>
      <w:r>
        <w:rPr>
          <w:rFonts w:hint="eastAsia" w:ascii="宋体" w:hAnsi="宋体"/>
          <w:color w:val="000000"/>
          <w:sz w:val="24"/>
          <w:highlight w:val="none"/>
        </w:rPr>
        <w:t>的</w:t>
      </w:r>
      <w:r>
        <w:rPr>
          <w:rFonts w:ascii="宋体" w:hAnsi="宋体"/>
          <w:color w:val="000000"/>
          <w:sz w:val="24"/>
          <w:highlight w:val="non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招标文件，遵照《中华人民共和国招标投标法》等有关规定，经踏勘项目现场和研究上述招标文件的投标须知、合同条件、技术规范、图纸、工程量清单和其他有关文件后，我方愿以</w:t>
      </w:r>
      <w:r>
        <w:rPr>
          <w:rFonts w:hint="eastAsia" w:ascii="宋体" w:hAnsi="宋体"/>
          <w:color w:val="000000"/>
          <w:sz w:val="24"/>
          <w:highlight w:val="none"/>
          <w:lang w:val="en-US" w:eastAsia="zh-CN"/>
        </w:rPr>
        <w:t>下浮率</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w:t>
      </w:r>
      <w:r>
        <w:rPr>
          <w:rFonts w:hint="eastAsia" w:ascii="宋体" w:hAnsi="宋体"/>
          <w:color w:val="000000"/>
          <w:sz w:val="24"/>
          <w:highlight w:val="none"/>
        </w:rPr>
        <w:t>的投标总报价承包上述工程，并承担任何质量缺陷保修责任。</w:t>
      </w:r>
    </w:p>
    <w:p w14:paraId="4CCFBE76">
      <w:pPr>
        <w:tabs>
          <w:tab w:val="left" w:pos="840"/>
        </w:tabs>
        <w:adjustRightInd w:val="0"/>
        <w:snapToGrid w:val="0"/>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2、我方已详细审核全部招标文件及有关附件，承诺招标文件及有关附件中所有条款。</w:t>
      </w:r>
    </w:p>
    <w:p w14:paraId="2BDE6145">
      <w:pPr>
        <w:adjustRightInd w:val="0"/>
        <w:snapToGrid w:val="0"/>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3、一旦我方中标，我方将派出</w:t>
      </w:r>
      <w:r>
        <w:rPr>
          <w:rFonts w:hint="eastAsia" w:ascii="宋体" w:hAnsi="宋体"/>
          <w:color w:val="000000"/>
          <w:sz w:val="24"/>
          <w:highlight w:val="none"/>
          <w:u w:val="single"/>
        </w:rPr>
        <w:t xml:space="preserve">           </w:t>
      </w:r>
      <w:r>
        <w:rPr>
          <w:rFonts w:hint="eastAsia" w:ascii="宋体" w:hAnsi="宋体"/>
          <w:color w:val="000000"/>
          <w:sz w:val="24"/>
          <w:highlight w:val="none"/>
        </w:rPr>
        <w:t>建造师为本工程项目</w:t>
      </w:r>
      <w:r>
        <w:rPr>
          <w:rFonts w:hint="eastAsia" w:ascii="宋体" w:hAnsi="宋体"/>
          <w:color w:val="000000"/>
          <w:sz w:val="24"/>
          <w:highlight w:val="none"/>
          <w:lang w:val="en-US" w:eastAsia="zh-CN"/>
        </w:rPr>
        <w:t>负责人</w:t>
      </w:r>
      <w:r>
        <w:rPr>
          <w:rFonts w:hint="eastAsia" w:ascii="宋体" w:hAnsi="宋体"/>
          <w:color w:val="000000"/>
          <w:sz w:val="24"/>
          <w:highlight w:val="none"/>
        </w:rPr>
        <w:t>，保证按照招标人要求开始本工程的施工，并在</w:t>
      </w:r>
      <w:r>
        <w:rPr>
          <w:rFonts w:ascii="宋体" w:hAnsi="宋体"/>
          <w:color w:val="000000"/>
          <w:sz w:val="24"/>
          <w:highlight w:val="none"/>
          <w:u w:val="single"/>
        </w:rPr>
        <w:t xml:space="preserve">       </w:t>
      </w:r>
      <w:r>
        <w:rPr>
          <w:rFonts w:hint="eastAsia" w:ascii="宋体" w:hAnsi="宋体"/>
          <w:color w:val="000000"/>
          <w:sz w:val="24"/>
          <w:highlight w:val="none"/>
        </w:rPr>
        <w:t>个日历天（工期）内完成本合同的施工，并移交整个工程，工程质量达到</w:t>
      </w:r>
      <w:r>
        <w:rPr>
          <w:rFonts w:ascii="宋体" w:hAnsi="宋体"/>
          <w:color w:val="000000"/>
          <w:sz w:val="24"/>
          <w:highlight w:val="none"/>
          <w:u w:val="single"/>
        </w:rPr>
        <w:t xml:space="preserve">          </w:t>
      </w:r>
      <w:r>
        <w:rPr>
          <w:rFonts w:hint="eastAsia" w:ascii="宋体" w:hAnsi="宋体"/>
          <w:color w:val="000000"/>
          <w:sz w:val="24"/>
          <w:highlight w:val="none"/>
        </w:rPr>
        <w:t xml:space="preserve"> 标准。</w:t>
      </w:r>
    </w:p>
    <w:p w14:paraId="3364B53D">
      <w:pPr>
        <w:adjustRightInd w:val="0"/>
        <w:snapToGrid w:val="0"/>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4、随本投标书，我方同时按照招标文件的要求提交投标保证金。如果我方在投标截止后撤销投标文件，或在中标后无正当理由不与招标人订立合同，在签订合同时向招标人提出附加条件，或者不按照招标文件要求提交履约保证金，贵单位有权不予退还投标保证金。</w:t>
      </w:r>
    </w:p>
    <w:p w14:paraId="71DBBCC6">
      <w:pPr>
        <w:adjustRightInd w:val="0"/>
        <w:snapToGrid w:val="0"/>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5、如果我方中标我方将按照招标文件的规定提交履约担保。工程验收合格后，方可退还。</w:t>
      </w:r>
    </w:p>
    <w:p w14:paraId="586CE079">
      <w:pPr>
        <w:adjustRightInd w:val="0"/>
        <w:snapToGrid w:val="0"/>
        <w:spacing w:line="560" w:lineRule="exact"/>
        <w:ind w:firstLine="480" w:firstLineChars="200"/>
        <w:jc w:val="left"/>
        <w:rPr>
          <w:rFonts w:ascii="宋体" w:hAnsi="宋体"/>
          <w:color w:val="000000"/>
          <w:sz w:val="24"/>
          <w:highlight w:val="none"/>
        </w:rPr>
      </w:pPr>
      <w:r>
        <w:rPr>
          <w:rFonts w:hint="eastAsia" w:ascii="宋体" w:hAnsi="宋体"/>
          <w:color w:val="000000"/>
          <w:sz w:val="24"/>
          <w:highlight w:val="none"/>
        </w:rPr>
        <w:t>6、我方承诺在招标文件规定的投标有效期内不撤销投标文件。</w:t>
      </w:r>
    </w:p>
    <w:p w14:paraId="0DED2C9C">
      <w:pPr>
        <w:adjustRightInd w:val="0"/>
        <w:snapToGrid w:val="0"/>
        <w:spacing w:line="560" w:lineRule="exact"/>
        <w:ind w:firstLine="480" w:firstLineChars="200"/>
        <w:jc w:val="left"/>
        <w:rPr>
          <w:rFonts w:ascii="宋体" w:hAnsi="宋体"/>
          <w:color w:val="000000"/>
          <w:sz w:val="24"/>
          <w:highlight w:val="none"/>
        </w:rPr>
      </w:pPr>
      <w:r>
        <w:rPr>
          <w:rFonts w:hint="eastAsia" w:ascii="宋体" w:hAnsi="宋体"/>
          <w:color w:val="000000"/>
          <w:sz w:val="24"/>
          <w:highlight w:val="none"/>
        </w:rPr>
        <w:t>7、我单位提供如下通讯地址：</w:t>
      </w:r>
      <w:r>
        <w:rPr>
          <w:rFonts w:hint="eastAsia" w:ascii="宋体" w:hAnsi="宋体"/>
          <w:color w:val="000000"/>
          <w:sz w:val="24"/>
          <w:highlight w:val="none"/>
          <w:u w:val="single"/>
        </w:rPr>
        <w:t xml:space="preserve">                </w:t>
      </w:r>
      <w:r>
        <w:rPr>
          <w:rFonts w:hint="eastAsia" w:ascii="宋体" w:hAnsi="宋体"/>
          <w:color w:val="000000"/>
          <w:sz w:val="24"/>
          <w:highlight w:val="none"/>
        </w:rPr>
        <w:t>电子邮箱（地址），确认本项目相关法律文书均通过提供的以上地址送达，相关文书只要发送至以上电子邮箱（地址）即视为送达，投标人愿意承担一切法律后果。</w:t>
      </w:r>
    </w:p>
    <w:p w14:paraId="18E7A93D">
      <w:pPr>
        <w:adjustRightInd w:val="0"/>
        <w:snapToGrid w:val="0"/>
        <w:spacing w:line="560" w:lineRule="exact"/>
        <w:ind w:firstLine="480" w:firstLineChars="200"/>
        <w:jc w:val="left"/>
        <w:rPr>
          <w:rFonts w:ascii="宋体" w:hAnsi="宋体"/>
          <w:color w:val="000000"/>
          <w:sz w:val="24"/>
          <w:highlight w:val="none"/>
        </w:rPr>
      </w:pPr>
      <w:r>
        <w:rPr>
          <w:rFonts w:hint="eastAsia" w:ascii="宋体" w:hAnsi="宋体"/>
          <w:color w:val="000000"/>
          <w:sz w:val="24"/>
          <w:highlight w:val="none"/>
        </w:rPr>
        <w:t>8.</w:t>
      </w:r>
      <w:r>
        <w:rPr>
          <w:rFonts w:hint="eastAsia" w:ascii="宋体" w:hAnsi="宋体"/>
          <w:color w:val="000000"/>
          <w:sz w:val="24"/>
          <w:highlight w:val="none"/>
          <w:u w:val="single"/>
        </w:rPr>
        <w:t xml:space="preserve">                           </w:t>
      </w:r>
      <w:r>
        <w:rPr>
          <w:rFonts w:hint="eastAsia" w:ascii="宋体" w:hAnsi="宋体"/>
          <w:color w:val="000000"/>
          <w:sz w:val="24"/>
          <w:highlight w:val="none"/>
        </w:rPr>
        <w:t>（其他补充说明）。</w:t>
      </w:r>
    </w:p>
    <w:p w14:paraId="28B5C5F3">
      <w:pPr>
        <w:adjustRightInd w:val="0"/>
        <w:snapToGrid w:val="0"/>
        <w:spacing w:line="560" w:lineRule="exact"/>
        <w:ind w:firstLine="480" w:firstLineChars="200"/>
        <w:rPr>
          <w:rFonts w:ascii="宋体" w:hAnsi="宋体"/>
          <w:color w:val="000000"/>
          <w:sz w:val="24"/>
          <w:highlight w:val="none"/>
        </w:rPr>
      </w:pPr>
    </w:p>
    <w:p w14:paraId="78EC6974">
      <w:pPr>
        <w:adjustRightInd w:val="0"/>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highlight w:val="none"/>
        </w:rPr>
        <w:t>投标人：</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（签章）</w:t>
      </w:r>
      <w:r>
        <w:rPr>
          <w:rFonts w:ascii="宋体" w:hAnsi="宋体"/>
          <w:color w:val="000000"/>
          <w:sz w:val="24"/>
          <w:highlight w:val="none"/>
          <w:u w:val="single"/>
        </w:rPr>
        <w:t xml:space="preserve">   </w:t>
      </w:r>
    </w:p>
    <w:p w14:paraId="7CC4164E">
      <w:pPr>
        <w:adjustRightInd w:val="0"/>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法定代表人：</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（签章）联系人：                 </w:t>
      </w:r>
    </w:p>
    <w:p w14:paraId="55C064C7">
      <w:pPr>
        <w:adjustRightInd w:val="0"/>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单位地址：</w:t>
      </w:r>
      <w:r>
        <w:rPr>
          <w:rFonts w:hint="eastAsia" w:ascii="宋体" w:hAnsi="宋体"/>
          <w:color w:val="000000"/>
          <w:sz w:val="24"/>
          <w:highlight w:val="none"/>
          <w:u w:val="single"/>
        </w:rPr>
        <w:t xml:space="preserve">                                       </w:t>
      </w:r>
    </w:p>
    <w:p w14:paraId="4CBAE677">
      <w:pPr>
        <w:adjustRightInd w:val="0"/>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highlight w:val="none"/>
        </w:rPr>
        <w:t>邮政编码：</w:t>
      </w:r>
      <w:r>
        <w:rPr>
          <w:rFonts w:ascii="宋体" w:hAnsi="宋体"/>
          <w:color w:val="000000"/>
          <w:sz w:val="24"/>
          <w:highlight w:val="none"/>
          <w:u w:val="single"/>
        </w:rPr>
        <w:t xml:space="preserve">            </w:t>
      </w:r>
      <w:r>
        <w:rPr>
          <w:rFonts w:hint="eastAsia" w:ascii="宋体" w:hAnsi="宋体"/>
          <w:color w:val="000000"/>
          <w:sz w:val="24"/>
          <w:highlight w:val="none"/>
        </w:rPr>
        <w:t>联系人手机号码：</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传真：</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p>
    <w:p w14:paraId="78E9A2E5">
      <w:pPr>
        <w:adjustRightInd w:val="0"/>
        <w:snapToGrid w:val="0"/>
        <w:spacing w:line="500" w:lineRule="exact"/>
        <w:ind w:firstLine="480" w:firstLineChars="200"/>
        <w:rPr>
          <w:color w:val="000000"/>
          <w:szCs w:val="21"/>
          <w:highlight w:val="none"/>
          <w:u w:val="single"/>
        </w:rPr>
      </w:pPr>
      <w:r>
        <w:rPr>
          <w:rFonts w:hint="eastAsia" w:ascii="宋体" w:hAnsi="宋体"/>
          <w:color w:val="000000"/>
          <w:sz w:val="24"/>
          <w:highlight w:val="none"/>
        </w:rPr>
        <w:t>日期：</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年</w:t>
      </w:r>
      <w:r>
        <w:rPr>
          <w:rFonts w:ascii="宋体" w:hAnsi="宋体"/>
          <w:color w:val="000000"/>
          <w:sz w:val="24"/>
          <w:highlight w:val="none"/>
        </w:rPr>
        <w:t xml:space="preserve"> </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月</w:t>
      </w:r>
      <w:r>
        <w:rPr>
          <w:rFonts w:ascii="宋体" w:hAnsi="宋体"/>
          <w:color w:val="000000"/>
          <w:sz w:val="24"/>
          <w:highlight w:val="none"/>
        </w:rPr>
        <w:t xml:space="preserve"> </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日</w:t>
      </w:r>
    </w:p>
    <w:p w14:paraId="28642628">
      <w:pPr>
        <w:pStyle w:val="4"/>
        <w:adjustRightInd w:val="0"/>
        <w:snapToGrid w:val="0"/>
        <w:spacing w:before="0" w:after="0" w:line="560" w:lineRule="exact"/>
        <w:jc w:val="center"/>
        <w:rPr>
          <w:color w:val="000000"/>
          <w:highlight w:val="none"/>
        </w:rPr>
        <w:sectPr>
          <w:pgSz w:w="11910" w:h="16840"/>
          <w:pgMar w:top="1060" w:right="660" w:bottom="1020" w:left="1120" w:header="0" w:footer="833" w:gutter="0"/>
          <w:pgBorders>
            <w:top w:val="none" w:sz="0" w:space="0"/>
            <w:left w:val="none" w:sz="0" w:space="0"/>
            <w:bottom w:val="none" w:sz="0" w:space="0"/>
            <w:right w:val="none" w:sz="0" w:space="0"/>
          </w:pgBorders>
          <w:cols w:space="720" w:num="1"/>
        </w:sectPr>
      </w:pPr>
      <w:bookmarkStart w:id="958" w:name="_Toc95223544"/>
    </w:p>
    <w:bookmarkEnd w:id="958"/>
    <w:p w14:paraId="4E6134C1">
      <w:pPr>
        <w:pStyle w:val="4"/>
        <w:adjustRightInd w:val="0"/>
        <w:snapToGrid w:val="0"/>
        <w:spacing w:before="0" w:after="0" w:line="560" w:lineRule="exact"/>
        <w:jc w:val="center"/>
        <w:rPr>
          <w:color w:val="000000"/>
          <w:highlight w:val="none"/>
        </w:rPr>
      </w:pPr>
      <w:bookmarkStart w:id="959" w:name="_Toc95223545"/>
      <w:r>
        <w:rPr>
          <w:rFonts w:hint="eastAsia"/>
          <w:color w:val="000000"/>
          <w:highlight w:val="none"/>
        </w:rPr>
        <w:t>（</w:t>
      </w:r>
      <w:r>
        <w:rPr>
          <w:rFonts w:hint="eastAsia"/>
          <w:color w:val="000000"/>
          <w:highlight w:val="none"/>
          <w:lang w:val="en-US" w:eastAsia="zh-CN"/>
        </w:rPr>
        <w:t>2</w:t>
      </w:r>
      <w:r>
        <w:rPr>
          <w:rFonts w:hint="eastAsia"/>
          <w:color w:val="000000"/>
          <w:highlight w:val="none"/>
        </w:rPr>
        <w:t>）</w:t>
      </w:r>
      <w:r>
        <w:rPr>
          <w:color w:val="000000"/>
          <w:highlight w:val="none"/>
        </w:rPr>
        <w:t>招标人推荐的材料品牌响应表</w:t>
      </w:r>
      <w:bookmarkEnd w:id="959"/>
    </w:p>
    <w:p w14:paraId="24B40BA3">
      <w:pPr>
        <w:pStyle w:val="9"/>
        <w:tabs>
          <w:tab w:val="left" w:pos="6462"/>
          <w:tab w:val="left" w:pos="6988"/>
          <w:tab w:val="left" w:pos="7722"/>
        </w:tabs>
        <w:adjustRightInd w:val="0"/>
        <w:snapToGrid w:val="0"/>
        <w:spacing w:after="0" w:line="560" w:lineRule="exact"/>
        <w:jc w:val="center"/>
        <w:rPr>
          <w:color w:val="000000"/>
          <w:highlight w:val="none"/>
        </w:rPr>
      </w:pPr>
      <w:r>
        <w:rPr>
          <w:color w:val="000000"/>
          <w:highlight w:val="none"/>
        </w:rPr>
        <w:t>工程</w:t>
      </w:r>
      <w:r>
        <w:rPr>
          <w:color w:val="000000"/>
          <w:spacing w:val="-3"/>
          <w:highlight w:val="none"/>
        </w:rPr>
        <w:t>名</w:t>
      </w:r>
      <w:r>
        <w:rPr>
          <w:color w:val="000000"/>
          <w:highlight w:val="none"/>
        </w:rPr>
        <w:t>称：</w:t>
      </w:r>
      <w:r>
        <w:rPr>
          <w:rFonts w:hint="eastAsia"/>
          <w:color w:val="000000"/>
          <w:highlight w:val="none"/>
        </w:rPr>
        <w:t xml:space="preserve"> </w:t>
      </w:r>
      <w:r>
        <w:rPr>
          <w:color w:val="000000"/>
          <w:highlight w:val="none"/>
        </w:rPr>
        <w:tab/>
      </w:r>
      <w:r>
        <w:rPr>
          <w:color w:val="000000"/>
          <w:highlight w:val="none"/>
        </w:rPr>
        <w:t>第</w:t>
      </w:r>
      <w:r>
        <w:rPr>
          <w:color w:val="000000"/>
          <w:highlight w:val="none"/>
        </w:rPr>
        <w:tab/>
      </w:r>
      <w:r>
        <w:rPr>
          <w:color w:val="000000"/>
          <w:spacing w:val="-3"/>
          <w:highlight w:val="none"/>
        </w:rPr>
        <w:t>页</w:t>
      </w:r>
      <w:r>
        <w:rPr>
          <w:color w:val="000000"/>
          <w:highlight w:val="none"/>
        </w:rPr>
        <w:t>共</w:t>
      </w:r>
      <w:r>
        <w:rPr>
          <w:color w:val="000000"/>
          <w:highlight w:val="none"/>
        </w:rPr>
        <w:tab/>
      </w:r>
      <w:r>
        <w:rPr>
          <w:color w:val="000000"/>
          <w:highlight w:val="none"/>
        </w:rPr>
        <w:t>页</w:t>
      </w:r>
    </w:p>
    <w:p w14:paraId="32470E95">
      <w:pPr>
        <w:pStyle w:val="9"/>
        <w:tabs>
          <w:tab w:val="left" w:pos="6462"/>
          <w:tab w:val="left" w:pos="6988"/>
          <w:tab w:val="left" w:pos="7722"/>
        </w:tabs>
        <w:adjustRightInd w:val="0"/>
        <w:snapToGrid w:val="0"/>
        <w:spacing w:after="0" w:line="560" w:lineRule="exact"/>
        <w:jc w:val="center"/>
        <w:rPr>
          <w:b/>
          <w:color w:val="000000"/>
          <w:sz w:val="28"/>
          <w:highlight w:val="none"/>
        </w:rPr>
      </w:pPr>
      <w:r>
        <w:rPr>
          <w:b/>
          <w:color w:val="000000"/>
          <w:sz w:val="28"/>
          <w:highlight w:val="none"/>
        </w:rPr>
        <w:t>品牌推荐表（如要求）</w:t>
      </w:r>
    </w:p>
    <w:p w14:paraId="0A3F6D52">
      <w:pPr>
        <w:pStyle w:val="9"/>
        <w:adjustRightInd w:val="0"/>
        <w:snapToGrid w:val="0"/>
        <w:spacing w:after="0" w:line="560" w:lineRule="exact"/>
        <w:rPr>
          <w:b/>
          <w:color w:val="000000"/>
          <w:sz w:val="5"/>
          <w:highlight w:val="none"/>
        </w:rPr>
      </w:pPr>
    </w:p>
    <w:tbl>
      <w:tblPr>
        <w:tblStyle w:val="18"/>
        <w:tblW w:w="7816" w:type="dxa"/>
        <w:tblInd w:w="9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6"/>
        <w:gridCol w:w="1685"/>
        <w:gridCol w:w="794"/>
        <w:gridCol w:w="794"/>
        <w:gridCol w:w="794"/>
        <w:gridCol w:w="791"/>
        <w:gridCol w:w="635"/>
        <w:gridCol w:w="1687"/>
      </w:tblGrid>
      <w:tr w14:paraId="0DFCC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636" w:type="dxa"/>
            <w:noWrap w:val="0"/>
            <w:vAlign w:val="top"/>
          </w:tcPr>
          <w:p w14:paraId="7763F501">
            <w:pPr>
              <w:pStyle w:val="35"/>
              <w:adjustRightInd w:val="0"/>
              <w:snapToGrid w:val="0"/>
              <w:spacing w:line="560" w:lineRule="exact"/>
              <w:jc w:val="center"/>
              <w:rPr>
                <w:rFonts w:ascii="黑体" w:eastAsia="黑体"/>
                <w:color w:val="000000"/>
                <w:highlight w:val="none"/>
              </w:rPr>
            </w:pPr>
            <w:r>
              <w:rPr>
                <w:rFonts w:hint="eastAsia" w:ascii="黑体" w:eastAsia="黑体"/>
                <w:color w:val="000000"/>
                <w:highlight w:val="none"/>
              </w:rPr>
              <w:t>序号</w:t>
            </w:r>
          </w:p>
        </w:tc>
        <w:tc>
          <w:tcPr>
            <w:tcW w:w="1685" w:type="dxa"/>
            <w:noWrap w:val="0"/>
            <w:vAlign w:val="top"/>
          </w:tcPr>
          <w:p w14:paraId="61C794B9">
            <w:pPr>
              <w:pStyle w:val="35"/>
              <w:adjustRightInd w:val="0"/>
              <w:snapToGrid w:val="0"/>
              <w:spacing w:line="560" w:lineRule="exact"/>
              <w:rPr>
                <w:rFonts w:ascii="黑体" w:eastAsia="黑体"/>
                <w:color w:val="000000"/>
                <w:highlight w:val="none"/>
              </w:rPr>
            </w:pPr>
            <w:r>
              <w:rPr>
                <w:rFonts w:hint="eastAsia" w:ascii="黑体" w:eastAsia="黑体"/>
                <w:color w:val="000000"/>
                <w:highlight w:val="none"/>
              </w:rPr>
              <w:t>材料、设备名称</w:t>
            </w:r>
          </w:p>
        </w:tc>
        <w:tc>
          <w:tcPr>
            <w:tcW w:w="794" w:type="dxa"/>
            <w:noWrap w:val="0"/>
            <w:vAlign w:val="top"/>
          </w:tcPr>
          <w:p w14:paraId="1DDB0C49">
            <w:pPr>
              <w:pStyle w:val="35"/>
              <w:adjustRightInd w:val="0"/>
              <w:snapToGrid w:val="0"/>
              <w:spacing w:line="560" w:lineRule="exact"/>
              <w:rPr>
                <w:rFonts w:ascii="黑体" w:eastAsia="黑体"/>
                <w:color w:val="000000"/>
                <w:highlight w:val="none"/>
              </w:rPr>
            </w:pPr>
            <w:r>
              <w:rPr>
                <w:rFonts w:hint="eastAsia" w:ascii="黑体" w:eastAsia="黑体"/>
                <w:color w:val="000000"/>
                <w:highlight w:val="none"/>
              </w:rPr>
              <w:t>品牌 1</w:t>
            </w:r>
          </w:p>
        </w:tc>
        <w:tc>
          <w:tcPr>
            <w:tcW w:w="794" w:type="dxa"/>
            <w:noWrap w:val="0"/>
            <w:vAlign w:val="top"/>
          </w:tcPr>
          <w:p w14:paraId="006A718A">
            <w:pPr>
              <w:pStyle w:val="35"/>
              <w:adjustRightInd w:val="0"/>
              <w:snapToGrid w:val="0"/>
              <w:spacing w:line="560" w:lineRule="exact"/>
              <w:rPr>
                <w:rFonts w:ascii="黑体" w:eastAsia="黑体"/>
                <w:color w:val="000000"/>
                <w:highlight w:val="none"/>
              </w:rPr>
            </w:pPr>
            <w:r>
              <w:rPr>
                <w:rFonts w:hint="eastAsia" w:ascii="黑体" w:eastAsia="黑体"/>
                <w:color w:val="000000"/>
                <w:highlight w:val="none"/>
              </w:rPr>
              <w:t>品牌 2</w:t>
            </w:r>
          </w:p>
        </w:tc>
        <w:tc>
          <w:tcPr>
            <w:tcW w:w="794" w:type="dxa"/>
            <w:noWrap w:val="0"/>
            <w:vAlign w:val="top"/>
          </w:tcPr>
          <w:p w14:paraId="31918831">
            <w:pPr>
              <w:pStyle w:val="35"/>
              <w:adjustRightInd w:val="0"/>
              <w:snapToGrid w:val="0"/>
              <w:spacing w:line="560" w:lineRule="exact"/>
              <w:rPr>
                <w:rFonts w:ascii="黑体" w:eastAsia="黑体"/>
                <w:color w:val="000000"/>
                <w:highlight w:val="none"/>
              </w:rPr>
            </w:pPr>
            <w:r>
              <w:rPr>
                <w:rFonts w:hint="eastAsia" w:ascii="黑体" w:eastAsia="黑体"/>
                <w:color w:val="000000"/>
                <w:highlight w:val="none"/>
              </w:rPr>
              <w:t>品牌 3</w:t>
            </w:r>
          </w:p>
        </w:tc>
        <w:tc>
          <w:tcPr>
            <w:tcW w:w="791" w:type="dxa"/>
            <w:noWrap w:val="0"/>
            <w:vAlign w:val="top"/>
          </w:tcPr>
          <w:p w14:paraId="3165C48D">
            <w:pPr>
              <w:pStyle w:val="35"/>
              <w:adjustRightInd w:val="0"/>
              <w:snapToGrid w:val="0"/>
              <w:spacing w:line="560" w:lineRule="exact"/>
              <w:rPr>
                <w:rFonts w:ascii="黑体" w:eastAsia="黑体"/>
                <w:color w:val="000000"/>
                <w:highlight w:val="none"/>
              </w:rPr>
            </w:pPr>
            <w:r>
              <w:rPr>
                <w:rFonts w:hint="eastAsia" w:ascii="黑体" w:eastAsia="黑体"/>
                <w:color w:val="000000"/>
                <w:highlight w:val="none"/>
              </w:rPr>
              <w:t>品牌 4</w:t>
            </w:r>
          </w:p>
        </w:tc>
        <w:tc>
          <w:tcPr>
            <w:tcW w:w="635" w:type="dxa"/>
            <w:noWrap w:val="0"/>
            <w:vAlign w:val="top"/>
          </w:tcPr>
          <w:p w14:paraId="4819B3D0">
            <w:pPr>
              <w:pStyle w:val="35"/>
              <w:adjustRightInd w:val="0"/>
              <w:snapToGrid w:val="0"/>
              <w:spacing w:line="560" w:lineRule="exact"/>
              <w:rPr>
                <w:rFonts w:ascii="黑体" w:eastAsia="黑体"/>
                <w:color w:val="000000"/>
                <w:highlight w:val="none"/>
              </w:rPr>
            </w:pPr>
            <w:r>
              <w:rPr>
                <w:rFonts w:hint="eastAsia" w:ascii="黑体" w:eastAsia="黑体"/>
                <w:color w:val="000000"/>
                <w:highlight w:val="none"/>
              </w:rPr>
              <w:t>备注</w:t>
            </w:r>
          </w:p>
        </w:tc>
        <w:tc>
          <w:tcPr>
            <w:tcW w:w="1687" w:type="dxa"/>
            <w:noWrap w:val="0"/>
            <w:vAlign w:val="top"/>
          </w:tcPr>
          <w:p w14:paraId="06AA7AF2">
            <w:pPr>
              <w:pStyle w:val="35"/>
              <w:adjustRightInd w:val="0"/>
              <w:snapToGrid w:val="0"/>
              <w:spacing w:line="560" w:lineRule="exact"/>
              <w:rPr>
                <w:rFonts w:ascii="黑体" w:eastAsia="黑体"/>
                <w:color w:val="000000"/>
                <w:highlight w:val="none"/>
              </w:rPr>
            </w:pPr>
            <w:r>
              <w:rPr>
                <w:rFonts w:hint="eastAsia" w:ascii="黑体" w:eastAsia="黑体"/>
                <w:color w:val="000000"/>
                <w:highlight w:val="none"/>
              </w:rPr>
              <w:t>投标人选定品牌</w:t>
            </w:r>
          </w:p>
        </w:tc>
      </w:tr>
      <w:tr w14:paraId="48D1B5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1FEFB708">
            <w:pPr>
              <w:pStyle w:val="35"/>
              <w:adjustRightInd w:val="0"/>
              <w:snapToGrid w:val="0"/>
              <w:spacing w:line="560" w:lineRule="exact"/>
              <w:jc w:val="center"/>
              <w:rPr>
                <w:color w:val="000000"/>
                <w:highlight w:val="none"/>
              </w:rPr>
            </w:pPr>
            <w:r>
              <w:rPr>
                <w:color w:val="000000"/>
                <w:highlight w:val="none"/>
              </w:rPr>
              <w:t>1</w:t>
            </w:r>
          </w:p>
        </w:tc>
        <w:tc>
          <w:tcPr>
            <w:tcW w:w="1685" w:type="dxa"/>
            <w:noWrap w:val="0"/>
            <w:vAlign w:val="top"/>
          </w:tcPr>
          <w:p w14:paraId="4E3A323C">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16E4E68C">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42629402">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6DC8B77B">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054FC4CC">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5E225C7A">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20566EDB">
            <w:pPr>
              <w:pStyle w:val="35"/>
              <w:adjustRightInd w:val="0"/>
              <w:snapToGrid w:val="0"/>
              <w:spacing w:line="560" w:lineRule="exact"/>
              <w:jc w:val="center"/>
              <w:rPr>
                <w:rFonts w:ascii="Times New Roman"/>
                <w:color w:val="000000"/>
                <w:sz w:val="20"/>
                <w:highlight w:val="none"/>
              </w:rPr>
            </w:pPr>
          </w:p>
        </w:tc>
      </w:tr>
      <w:tr w14:paraId="2D7CA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3567AAF2">
            <w:pPr>
              <w:pStyle w:val="35"/>
              <w:adjustRightInd w:val="0"/>
              <w:snapToGrid w:val="0"/>
              <w:spacing w:line="560" w:lineRule="exact"/>
              <w:jc w:val="center"/>
              <w:rPr>
                <w:color w:val="000000"/>
                <w:highlight w:val="none"/>
              </w:rPr>
            </w:pPr>
            <w:r>
              <w:rPr>
                <w:color w:val="000000"/>
                <w:highlight w:val="none"/>
              </w:rPr>
              <w:t>2</w:t>
            </w:r>
          </w:p>
        </w:tc>
        <w:tc>
          <w:tcPr>
            <w:tcW w:w="1685" w:type="dxa"/>
            <w:noWrap w:val="0"/>
            <w:vAlign w:val="top"/>
          </w:tcPr>
          <w:p w14:paraId="40047016">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4D3A7B72">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732AC2CD">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6EE6639A">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761DA54A">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24FB5B51">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0F586AA0">
            <w:pPr>
              <w:pStyle w:val="35"/>
              <w:adjustRightInd w:val="0"/>
              <w:snapToGrid w:val="0"/>
              <w:spacing w:line="560" w:lineRule="exact"/>
              <w:jc w:val="center"/>
              <w:rPr>
                <w:rFonts w:ascii="Times New Roman"/>
                <w:color w:val="000000"/>
                <w:sz w:val="20"/>
                <w:highlight w:val="none"/>
              </w:rPr>
            </w:pPr>
          </w:p>
        </w:tc>
      </w:tr>
      <w:tr w14:paraId="1138D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36" w:type="dxa"/>
            <w:tcBorders>
              <w:bottom w:val="single" w:color="000000" w:sz="6" w:space="0"/>
            </w:tcBorders>
            <w:noWrap w:val="0"/>
            <w:vAlign w:val="top"/>
          </w:tcPr>
          <w:p w14:paraId="705A72AA">
            <w:pPr>
              <w:pStyle w:val="35"/>
              <w:adjustRightInd w:val="0"/>
              <w:snapToGrid w:val="0"/>
              <w:spacing w:line="560" w:lineRule="exact"/>
              <w:jc w:val="center"/>
              <w:rPr>
                <w:color w:val="000000"/>
                <w:highlight w:val="none"/>
              </w:rPr>
            </w:pPr>
            <w:r>
              <w:rPr>
                <w:color w:val="000000"/>
                <w:highlight w:val="none"/>
              </w:rPr>
              <w:t>3</w:t>
            </w:r>
          </w:p>
        </w:tc>
        <w:tc>
          <w:tcPr>
            <w:tcW w:w="1685" w:type="dxa"/>
            <w:tcBorders>
              <w:bottom w:val="single" w:color="000000" w:sz="6" w:space="0"/>
            </w:tcBorders>
            <w:noWrap w:val="0"/>
            <w:vAlign w:val="top"/>
          </w:tcPr>
          <w:p w14:paraId="5DC1C649">
            <w:pPr>
              <w:pStyle w:val="35"/>
              <w:adjustRightInd w:val="0"/>
              <w:snapToGrid w:val="0"/>
              <w:spacing w:line="560" w:lineRule="exact"/>
              <w:jc w:val="center"/>
              <w:rPr>
                <w:rFonts w:ascii="Times New Roman"/>
                <w:color w:val="000000"/>
                <w:sz w:val="20"/>
                <w:highlight w:val="none"/>
              </w:rPr>
            </w:pPr>
          </w:p>
        </w:tc>
        <w:tc>
          <w:tcPr>
            <w:tcW w:w="794" w:type="dxa"/>
            <w:tcBorders>
              <w:bottom w:val="single" w:color="000000" w:sz="6" w:space="0"/>
            </w:tcBorders>
            <w:noWrap w:val="0"/>
            <w:vAlign w:val="top"/>
          </w:tcPr>
          <w:p w14:paraId="5A3BFE79">
            <w:pPr>
              <w:pStyle w:val="35"/>
              <w:adjustRightInd w:val="0"/>
              <w:snapToGrid w:val="0"/>
              <w:spacing w:line="560" w:lineRule="exact"/>
              <w:jc w:val="center"/>
              <w:rPr>
                <w:rFonts w:ascii="Times New Roman"/>
                <w:color w:val="000000"/>
                <w:sz w:val="20"/>
                <w:highlight w:val="none"/>
              </w:rPr>
            </w:pPr>
          </w:p>
        </w:tc>
        <w:tc>
          <w:tcPr>
            <w:tcW w:w="794" w:type="dxa"/>
            <w:tcBorders>
              <w:bottom w:val="single" w:color="000000" w:sz="6" w:space="0"/>
            </w:tcBorders>
            <w:noWrap w:val="0"/>
            <w:vAlign w:val="top"/>
          </w:tcPr>
          <w:p w14:paraId="59C6EDB1">
            <w:pPr>
              <w:pStyle w:val="35"/>
              <w:adjustRightInd w:val="0"/>
              <w:snapToGrid w:val="0"/>
              <w:spacing w:line="560" w:lineRule="exact"/>
              <w:jc w:val="center"/>
              <w:rPr>
                <w:rFonts w:ascii="Times New Roman"/>
                <w:color w:val="000000"/>
                <w:sz w:val="20"/>
                <w:highlight w:val="none"/>
              </w:rPr>
            </w:pPr>
          </w:p>
        </w:tc>
        <w:tc>
          <w:tcPr>
            <w:tcW w:w="794" w:type="dxa"/>
            <w:tcBorders>
              <w:bottom w:val="single" w:color="000000" w:sz="6" w:space="0"/>
            </w:tcBorders>
            <w:noWrap w:val="0"/>
            <w:vAlign w:val="top"/>
          </w:tcPr>
          <w:p w14:paraId="30C95E93">
            <w:pPr>
              <w:pStyle w:val="35"/>
              <w:adjustRightInd w:val="0"/>
              <w:snapToGrid w:val="0"/>
              <w:spacing w:line="560" w:lineRule="exact"/>
              <w:jc w:val="center"/>
              <w:rPr>
                <w:rFonts w:ascii="Times New Roman"/>
                <w:color w:val="000000"/>
                <w:sz w:val="20"/>
                <w:highlight w:val="none"/>
              </w:rPr>
            </w:pPr>
          </w:p>
        </w:tc>
        <w:tc>
          <w:tcPr>
            <w:tcW w:w="791" w:type="dxa"/>
            <w:tcBorders>
              <w:bottom w:val="single" w:color="000000" w:sz="6" w:space="0"/>
            </w:tcBorders>
            <w:noWrap w:val="0"/>
            <w:vAlign w:val="top"/>
          </w:tcPr>
          <w:p w14:paraId="507990CC">
            <w:pPr>
              <w:pStyle w:val="35"/>
              <w:adjustRightInd w:val="0"/>
              <w:snapToGrid w:val="0"/>
              <w:spacing w:line="560" w:lineRule="exact"/>
              <w:jc w:val="center"/>
              <w:rPr>
                <w:rFonts w:ascii="Times New Roman"/>
                <w:color w:val="000000"/>
                <w:sz w:val="20"/>
                <w:highlight w:val="none"/>
              </w:rPr>
            </w:pPr>
          </w:p>
        </w:tc>
        <w:tc>
          <w:tcPr>
            <w:tcW w:w="635" w:type="dxa"/>
            <w:tcBorders>
              <w:bottom w:val="single" w:color="000000" w:sz="6" w:space="0"/>
            </w:tcBorders>
            <w:noWrap w:val="0"/>
            <w:vAlign w:val="top"/>
          </w:tcPr>
          <w:p w14:paraId="327C9F55">
            <w:pPr>
              <w:pStyle w:val="35"/>
              <w:adjustRightInd w:val="0"/>
              <w:snapToGrid w:val="0"/>
              <w:spacing w:line="560" w:lineRule="exact"/>
              <w:jc w:val="center"/>
              <w:rPr>
                <w:rFonts w:ascii="Times New Roman"/>
                <w:color w:val="000000"/>
                <w:sz w:val="20"/>
                <w:highlight w:val="none"/>
              </w:rPr>
            </w:pPr>
          </w:p>
        </w:tc>
        <w:tc>
          <w:tcPr>
            <w:tcW w:w="1687" w:type="dxa"/>
            <w:tcBorders>
              <w:bottom w:val="single" w:color="000000" w:sz="6" w:space="0"/>
            </w:tcBorders>
            <w:noWrap w:val="0"/>
            <w:vAlign w:val="top"/>
          </w:tcPr>
          <w:p w14:paraId="170F737D">
            <w:pPr>
              <w:pStyle w:val="35"/>
              <w:adjustRightInd w:val="0"/>
              <w:snapToGrid w:val="0"/>
              <w:spacing w:line="560" w:lineRule="exact"/>
              <w:jc w:val="center"/>
              <w:rPr>
                <w:rFonts w:ascii="Times New Roman"/>
                <w:color w:val="000000"/>
                <w:sz w:val="20"/>
                <w:highlight w:val="none"/>
              </w:rPr>
            </w:pPr>
          </w:p>
        </w:tc>
      </w:tr>
      <w:tr w14:paraId="678E9B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36" w:type="dxa"/>
            <w:tcBorders>
              <w:top w:val="single" w:color="000000" w:sz="6" w:space="0"/>
            </w:tcBorders>
            <w:noWrap w:val="0"/>
            <w:vAlign w:val="top"/>
          </w:tcPr>
          <w:p w14:paraId="5C74D650">
            <w:pPr>
              <w:pStyle w:val="35"/>
              <w:adjustRightInd w:val="0"/>
              <w:snapToGrid w:val="0"/>
              <w:spacing w:line="560" w:lineRule="exact"/>
              <w:jc w:val="center"/>
              <w:rPr>
                <w:color w:val="000000"/>
                <w:highlight w:val="none"/>
              </w:rPr>
            </w:pPr>
            <w:r>
              <w:rPr>
                <w:color w:val="000000"/>
                <w:highlight w:val="none"/>
              </w:rPr>
              <w:t>4</w:t>
            </w:r>
          </w:p>
        </w:tc>
        <w:tc>
          <w:tcPr>
            <w:tcW w:w="1685" w:type="dxa"/>
            <w:tcBorders>
              <w:top w:val="single" w:color="000000" w:sz="6" w:space="0"/>
            </w:tcBorders>
            <w:noWrap w:val="0"/>
            <w:vAlign w:val="top"/>
          </w:tcPr>
          <w:p w14:paraId="7AB6A7A1">
            <w:pPr>
              <w:pStyle w:val="35"/>
              <w:adjustRightInd w:val="0"/>
              <w:snapToGrid w:val="0"/>
              <w:spacing w:line="560" w:lineRule="exact"/>
              <w:jc w:val="center"/>
              <w:rPr>
                <w:rFonts w:ascii="Times New Roman"/>
                <w:color w:val="000000"/>
                <w:sz w:val="20"/>
                <w:highlight w:val="none"/>
              </w:rPr>
            </w:pPr>
          </w:p>
        </w:tc>
        <w:tc>
          <w:tcPr>
            <w:tcW w:w="794" w:type="dxa"/>
            <w:tcBorders>
              <w:top w:val="single" w:color="000000" w:sz="6" w:space="0"/>
            </w:tcBorders>
            <w:noWrap w:val="0"/>
            <w:vAlign w:val="top"/>
          </w:tcPr>
          <w:p w14:paraId="41BF956F">
            <w:pPr>
              <w:pStyle w:val="35"/>
              <w:adjustRightInd w:val="0"/>
              <w:snapToGrid w:val="0"/>
              <w:spacing w:line="560" w:lineRule="exact"/>
              <w:jc w:val="center"/>
              <w:rPr>
                <w:rFonts w:ascii="Times New Roman"/>
                <w:color w:val="000000"/>
                <w:sz w:val="20"/>
                <w:highlight w:val="none"/>
              </w:rPr>
            </w:pPr>
          </w:p>
        </w:tc>
        <w:tc>
          <w:tcPr>
            <w:tcW w:w="794" w:type="dxa"/>
            <w:tcBorders>
              <w:top w:val="single" w:color="000000" w:sz="6" w:space="0"/>
            </w:tcBorders>
            <w:noWrap w:val="0"/>
            <w:vAlign w:val="top"/>
          </w:tcPr>
          <w:p w14:paraId="48242EF4">
            <w:pPr>
              <w:pStyle w:val="35"/>
              <w:adjustRightInd w:val="0"/>
              <w:snapToGrid w:val="0"/>
              <w:spacing w:line="560" w:lineRule="exact"/>
              <w:jc w:val="center"/>
              <w:rPr>
                <w:rFonts w:ascii="Times New Roman"/>
                <w:color w:val="000000"/>
                <w:sz w:val="20"/>
                <w:highlight w:val="none"/>
              </w:rPr>
            </w:pPr>
          </w:p>
        </w:tc>
        <w:tc>
          <w:tcPr>
            <w:tcW w:w="794" w:type="dxa"/>
            <w:tcBorders>
              <w:top w:val="single" w:color="000000" w:sz="6" w:space="0"/>
            </w:tcBorders>
            <w:noWrap w:val="0"/>
            <w:vAlign w:val="top"/>
          </w:tcPr>
          <w:p w14:paraId="204471A8">
            <w:pPr>
              <w:pStyle w:val="35"/>
              <w:adjustRightInd w:val="0"/>
              <w:snapToGrid w:val="0"/>
              <w:spacing w:line="560" w:lineRule="exact"/>
              <w:jc w:val="center"/>
              <w:rPr>
                <w:rFonts w:ascii="Times New Roman"/>
                <w:color w:val="000000"/>
                <w:sz w:val="20"/>
                <w:highlight w:val="none"/>
              </w:rPr>
            </w:pPr>
          </w:p>
        </w:tc>
        <w:tc>
          <w:tcPr>
            <w:tcW w:w="791" w:type="dxa"/>
            <w:tcBorders>
              <w:top w:val="single" w:color="000000" w:sz="6" w:space="0"/>
            </w:tcBorders>
            <w:noWrap w:val="0"/>
            <w:vAlign w:val="top"/>
          </w:tcPr>
          <w:p w14:paraId="310D7D94">
            <w:pPr>
              <w:pStyle w:val="35"/>
              <w:adjustRightInd w:val="0"/>
              <w:snapToGrid w:val="0"/>
              <w:spacing w:line="560" w:lineRule="exact"/>
              <w:jc w:val="center"/>
              <w:rPr>
                <w:rFonts w:ascii="Times New Roman"/>
                <w:color w:val="000000"/>
                <w:sz w:val="20"/>
                <w:highlight w:val="none"/>
              </w:rPr>
            </w:pPr>
          </w:p>
        </w:tc>
        <w:tc>
          <w:tcPr>
            <w:tcW w:w="635" w:type="dxa"/>
            <w:tcBorders>
              <w:top w:val="single" w:color="000000" w:sz="6" w:space="0"/>
            </w:tcBorders>
            <w:noWrap w:val="0"/>
            <w:vAlign w:val="top"/>
          </w:tcPr>
          <w:p w14:paraId="25F238CF">
            <w:pPr>
              <w:pStyle w:val="35"/>
              <w:adjustRightInd w:val="0"/>
              <w:snapToGrid w:val="0"/>
              <w:spacing w:line="560" w:lineRule="exact"/>
              <w:jc w:val="center"/>
              <w:rPr>
                <w:rFonts w:ascii="Times New Roman"/>
                <w:color w:val="000000"/>
                <w:sz w:val="20"/>
                <w:highlight w:val="none"/>
              </w:rPr>
            </w:pPr>
          </w:p>
        </w:tc>
        <w:tc>
          <w:tcPr>
            <w:tcW w:w="1687" w:type="dxa"/>
            <w:tcBorders>
              <w:top w:val="single" w:color="000000" w:sz="6" w:space="0"/>
            </w:tcBorders>
            <w:noWrap w:val="0"/>
            <w:vAlign w:val="top"/>
          </w:tcPr>
          <w:p w14:paraId="62D439E4">
            <w:pPr>
              <w:pStyle w:val="35"/>
              <w:adjustRightInd w:val="0"/>
              <w:snapToGrid w:val="0"/>
              <w:spacing w:line="560" w:lineRule="exact"/>
              <w:jc w:val="center"/>
              <w:rPr>
                <w:rFonts w:ascii="Times New Roman"/>
                <w:color w:val="000000"/>
                <w:sz w:val="20"/>
                <w:highlight w:val="none"/>
              </w:rPr>
            </w:pPr>
          </w:p>
        </w:tc>
      </w:tr>
      <w:tr w14:paraId="739C7A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6A53F5F3">
            <w:pPr>
              <w:pStyle w:val="35"/>
              <w:adjustRightInd w:val="0"/>
              <w:snapToGrid w:val="0"/>
              <w:spacing w:line="560" w:lineRule="exact"/>
              <w:jc w:val="center"/>
              <w:rPr>
                <w:color w:val="000000"/>
                <w:highlight w:val="none"/>
              </w:rPr>
            </w:pPr>
            <w:r>
              <w:rPr>
                <w:color w:val="000000"/>
                <w:highlight w:val="none"/>
              </w:rPr>
              <w:t>5</w:t>
            </w:r>
          </w:p>
        </w:tc>
        <w:tc>
          <w:tcPr>
            <w:tcW w:w="1685" w:type="dxa"/>
            <w:noWrap w:val="0"/>
            <w:vAlign w:val="top"/>
          </w:tcPr>
          <w:p w14:paraId="1C534BC8">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20F975F0">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7B0F1C8D">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2EB1ECA7">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7543A586">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3F0974DE">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44ED74A1">
            <w:pPr>
              <w:pStyle w:val="35"/>
              <w:adjustRightInd w:val="0"/>
              <w:snapToGrid w:val="0"/>
              <w:spacing w:line="560" w:lineRule="exact"/>
              <w:jc w:val="center"/>
              <w:rPr>
                <w:rFonts w:ascii="Times New Roman"/>
                <w:color w:val="000000"/>
                <w:sz w:val="20"/>
                <w:highlight w:val="none"/>
              </w:rPr>
            </w:pPr>
          </w:p>
        </w:tc>
      </w:tr>
      <w:tr w14:paraId="478BCB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53436B84">
            <w:pPr>
              <w:pStyle w:val="35"/>
              <w:adjustRightInd w:val="0"/>
              <w:snapToGrid w:val="0"/>
              <w:spacing w:line="560" w:lineRule="exact"/>
              <w:jc w:val="center"/>
              <w:rPr>
                <w:color w:val="000000"/>
                <w:highlight w:val="none"/>
              </w:rPr>
            </w:pPr>
            <w:r>
              <w:rPr>
                <w:color w:val="000000"/>
                <w:highlight w:val="none"/>
              </w:rPr>
              <w:t>6</w:t>
            </w:r>
          </w:p>
        </w:tc>
        <w:tc>
          <w:tcPr>
            <w:tcW w:w="1685" w:type="dxa"/>
            <w:noWrap w:val="0"/>
            <w:vAlign w:val="top"/>
          </w:tcPr>
          <w:p w14:paraId="671BC257">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042E336E">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2C7EF42C">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5E9674C7">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6D9A59B7">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13DCFB22">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42C32B78">
            <w:pPr>
              <w:pStyle w:val="35"/>
              <w:adjustRightInd w:val="0"/>
              <w:snapToGrid w:val="0"/>
              <w:spacing w:line="560" w:lineRule="exact"/>
              <w:jc w:val="center"/>
              <w:rPr>
                <w:rFonts w:ascii="Times New Roman"/>
                <w:color w:val="000000"/>
                <w:sz w:val="20"/>
                <w:highlight w:val="none"/>
              </w:rPr>
            </w:pPr>
          </w:p>
        </w:tc>
      </w:tr>
      <w:tr w14:paraId="268F2F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28F4940D">
            <w:pPr>
              <w:pStyle w:val="35"/>
              <w:adjustRightInd w:val="0"/>
              <w:snapToGrid w:val="0"/>
              <w:spacing w:line="560" w:lineRule="exact"/>
              <w:jc w:val="center"/>
              <w:rPr>
                <w:rFonts w:ascii="Times New Roman"/>
                <w:color w:val="000000"/>
                <w:sz w:val="20"/>
                <w:highlight w:val="none"/>
              </w:rPr>
            </w:pPr>
          </w:p>
        </w:tc>
        <w:tc>
          <w:tcPr>
            <w:tcW w:w="1685" w:type="dxa"/>
            <w:noWrap w:val="0"/>
            <w:vAlign w:val="top"/>
          </w:tcPr>
          <w:p w14:paraId="738552D1">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09ED3CEA">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26D2D192">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4FFCC4DF">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4F2B4395">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40882FED">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279C2A56">
            <w:pPr>
              <w:pStyle w:val="35"/>
              <w:adjustRightInd w:val="0"/>
              <w:snapToGrid w:val="0"/>
              <w:spacing w:line="560" w:lineRule="exact"/>
              <w:jc w:val="center"/>
              <w:rPr>
                <w:rFonts w:ascii="Times New Roman"/>
                <w:color w:val="000000"/>
                <w:sz w:val="20"/>
                <w:highlight w:val="none"/>
              </w:rPr>
            </w:pPr>
          </w:p>
        </w:tc>
      </w:tr>
      <w:tr w14:paraId="1812B7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704CE441">
            <w:pPr>
              <w:pStyle w:val="35"/>
              <w:adjustRightInd w:val="0"/>
              <w:snapToGrid w:val="0"/>
              <w:spacing w:line="560" w:lineRule="exact"/>
              <w:jc w:val="center"/>
              <w:rPr>
                <w:rFonts w:ascii="Times New Roman"/>
                <w:color w:val="000000"/>
                <w:sz w:val="20"/>
                <w:highlight w:val="none"/>
              </w:rPr>
            </w:pPr>
          </w:p>
        </w:tc>
        <w:tc>
          <w:tcPr>
            <w:tcW w:w="1685" w:type="dxa"/>
            <w:noWrap w:val="0"/>
            <w:vAlign w:val="top"/>
          </w:tcPr>
          <w:p w14:paraId="618A5708">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2AC83151">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542153EB">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2C808E07">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1508BF0B">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4043D7EA">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665E4518">
            <w:pPr>
              <w:pStyle w:val="35"/>
              <w:adjustRightInd w:val="0"/>
              <w:snapToGrid w:val="0"/>
              <w:spacing w:line="560" w:lineRule="exact"/>
              <w:jc w:val="center"/>
              <w:rPr>
                <w:rFonts w:ascii="Times New Roman"/>
                <w:color w:val="000000"/>
                <w:sz w:val="20"/>
                <w:highlight w:val="none"/>
              </w:rPr>
            </w:pPr>
          </w:p>
        </w:tc>
      </w:tr>
      <w:tr w14:paraId="5858CA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5CC76948">
            <w:pPr>
              <w:pStyle w:val="35"/>
              <w:adjustRightInd w:val="0"/>
              <w:snapToGrid w:val="0"/>
              <w:spacing w:line="560" w:lineRule="exact"/>
              <w:jc w:val="center"/>
              <w:rPr>
                <w:rFonts w:ascii="Times New Roman"/>
                <w:color w:val="000000"/>
                <w:sz w:val="20"/>
                <w:highlight w:val="none"/>
              </w:rPr>
            </w:pPr>
          </w:p>
        </w:tc>
        <w:tc>
          <w:tcPr>
            <w:tcW w:w="1685" w:type="dxa"/>
            <w:noWrap w:val="0"/>
            <w:vAlign w:val="top"/>
          </w:tcPr>
          <w:p w14:paraId="2B1537BD">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5FC258FA">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4002E296">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14D29C9C">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5CB42BB3">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15756278">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01A2F85C">
            <w:pPr>
              <w:pStyle w:val="35"/>
              <w:adjustRightInd w:val="0"/>
              <w:snapToGrid w:val="0"/>
              <w:spacing w:line="560" w:lineRule="exact"/>
              <w:jc w:val="center"/>
              <w:rPr>
                <w:rFonts w:ascii="Times New Roman"/>
                <w:color w:val="000000"/>
                <w:sz w:val="20"/>
                <w:highlight w:val="none"/>
              </w:rPr>
            </w:pPr>
          </w:p>
        </w:tc>
      </w:tr>
      <w:tr w14:paraId="30F2F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636" w:type="dxa"/>
            <w:noWrap w:val="0"/>
            <w:vAlign w:val="top"/>
          </w:tcPr>
          <w:p w14:paraId="17E32D46">
            <w:pPr>
              <w:pStyle w:val="35"/>
              <w:adjustRightInd w:val="0"/>
              <w:snapToGrid w:val="0"/>
              <w:spacing w:line="560" w:lineRule="exact"/>
              <w:jc w:val="center"/>
              <w:rPr>
                <w:rFonts w:ascii="Times New Roman"/>
                <w:color w:val="000000"/>
                <w:sz w:val="20"/>
                <w:highlight w:val="none"/>
              </w:rPr>
            </w:pPr>
          </w:p>
        </w:tc>
        <w:tc>
          <w:tcPr>
            <w:tcW w:w="1685" w:type="dxa"/>
            <w:noWrap w:val="0"/>
            <w:vAlign w:val="top"/>
          </w:tcPr>
          <w:p w14:paraId="1CD4419B">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35EFC8BA">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588053A7">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65BB2C44">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656A09F3">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2402A11C">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677404EA">
            <w:pPr>
              <w:pStyle w:val="35"/>
              <w:adjustRightInd w:val="0"/>
              <w:snapToGrid w:val="0"/>
              <w:spacing w:line="560" w:lineRule="exact"/>
              <w:jc w:val="center"/>
              <w:rPr>
                <w:rFonts w:ascii="Times New Roman"/>
                <w:color w:val="000000"/>
                <w:sz w:val="20"/>
                <w:highlight w:val="none"/>
              </w:rPr>
            </w:pPr>
          </w:p>
        </w:tc>
      </w:tr>
      <w:tr w14:paraId="4AB6B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636" w:type="dxa"/>
            <w:noWrap w:val="0"/>
            <w:vAlign w:val="top"/>
          </w:tcPr>
          <w:p w14:paraId="297DC7E7">
            <w:pPr>
              <w:pStyle w:val="35"/>
              <w:adjustRightInd w:val="0"/>
              <w:snapToGrid w:val="0"/>
              <w:spacing w:line="560" w:lineRule="exact"/>
              <w:jc w:val="center"/>
              <w:rPr>
                <w:rFonts w:ascii="Times New Roman"/>
                <w:color w:val="000000"/>
                <w:sz w:val="20"/>
                <w:highlight w:val="none"/>
              </w:rPr>
            </w:pPr>
          </w:p>
        </w:tc>
        <w:tc>
          <w:tcPr>
            <w:tcW w:w="1685" w:type="dxa"/>
            <w:noWrap w:val="0"/>
            <w:vAlign w:val="top"/>
          </w:tcPr>
          <w:p w14:paraId="37A3519F">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35E7C583">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5EA83650">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79A24E13">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7840BD3B">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63F40BAD">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25D6D54E">
            <w:pPr>
              <w:pStyle w:val="35"/>
              <w:adjustRightInd w:val="0"/>
              <w:snapToGrid w:val="0"/>
              <w:spacing w:line="560" w:lineRule="exact"/>
              <w:jc w:val="center"/>
              <w:rPr>
                <w:rFonts w:ascii="Times New Roman"/>
                <w:color w:val="000000"/>
                <w:sz w:val="20"/>
                <w:highlight w:val="none"/>
              </w:rPr>
            </w:pPr>
          </w:p>
        </w:tc>
      </w:tr>
      <w:tr w14:paraId="4C87B5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6F7CF0B1">
            <w:pPr>
              <w:pStyle w:val="35"/>
              <w:adjustRightInd w:val="0"/>
              <w:snapToGrid w:val="0"/>
              <w:spacing w:line="560" w:lineRule="exact"/>
              <w:jc w:val="center"/>
              <w:rPr>
                <w:rFonts w:ascii="Times New Roman"/>
                <w:color w:val="000000"/>
                <w:sz w:val="20"/>
                <w:highlight w:val="none"/>
              </w:rPr>
            </w:pPr>
          </w:p>
        </w:tc>
        <w:tc>
          <w:tcPr>
            <w:tcW w:w="1685" w:type="dxa"/>
            <w:noWrap w:val="0"/>
            <w:vAlign w:val="top"/>
          </w:tcPr>
          <w:p w14:paraId="34E6F880">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4BE0EF67">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1BD306AD">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208F8852">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6E509F84">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35463DF8">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483E3D5E">
            <w:pPr>
              <w:pStyle w:val="35"/>
              <w:adjustRightInd w:val="0"/>
              <w:snapToGrid w:val="0"/>
              <w:spacing w:line="560" w:lineRule="exact"/>
              <w:jc w:val="center"/>
              <w:rPr>
                <w:rFonts w:ascii="Times New Roman"/>
                <w:color w:val="000000"/>
                <w:sz w:val="20"/>
                <w:highlight w:val="none"/>
              </w:rPr>
            </w:pPr>
          </w:p>
        </w:tc>
      </w:tr>
      <w:tr w14:paraId="5F8EE3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36ABB8EF">
            <w:pPr>
              <w:pStyle w:val="35"/>
              <w:adjustRightInd w:val="0"/>
              <w:snapToGrid w:val="0"/>
              <w:spacing w:line="560" w:lineRule="exact"/>
              <w:jc w:val="center"/>
              <w:rPr>
                <w:rFonts w:ascii="Times New Roman"/>
                <w:color w:val="000000"/>
                <w:sz w:val="20"/>
                <w:highlight w:val="none"/>
              </w:rPr>
            </w:pPr>
          </w:p>
        </w:tc>
        <w:tc>
          <w:tcPr>
            <w:tcW w:w="1685" w:type="dxa"/>
            <w:noWrap w:val="0"/>
            <w:vAlign w:val="top"/>
          </w:tcPr>
          <w:p w14:paraId="2C8E5018">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50E4273E">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55FEECF3">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005667F9">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5D6D8BB3">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11238D33">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19B50707">
            <w:pPr>
              <w:pStyle w:val="35"/>
              <w:adjustRightInd w:val="0"/>
              <w:snapToGrid w:val="0"/>
              <w:spacing w:line="560" w:lineRule="exact"/>
              <w:jc w:val="center"/>
              <w:rPr>
                <w:rFonts w:ascii="Times New Roman"/>
                <w:color w:val="000000"/>
                <w:sz w:val="20"/>
                <w:highlight w:val="none"/>
              </w:rPr>
            </w:pPr>
          </w:p>
        </w:tc>
      </w:tr>
      <w:tr w14:paraId="5DD584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19C90BE2">
            <w:pPr>
              <w:pStyle w:val="35"/>
              <w:adjustRightInd w:val="0"/>
              <w:snapToGrid w:val="0"/>
              <w:spacing w:line="560" w:lineRule="exact"/>
              <w:jc w:val="center"/>
              <w:rPr>
                <w:rFonts w:ascii="Times New Roman"/>
                <w:color w:val="000000"/>
                <w:sz w:val="20"/>
                <w:highlight w:val="none"/>
              </w:rPr>
            </w:pPr>
          </w:p>
        </w:tc>
        <w:tc>
          <w:tcPr>
            <w:tcW w:w="1685" w:type="dxa"/>
            <w:noWrap w:val="0"/>
            <w:vAlign w:val="top"/>
          </w:tcPr>
          <w:p w14:paraId="52956913">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06285E14">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3F28F60E">
            <w:pPr>
              <w:pStyle w:val="35"/>
              <w:adjustRightInd w:val="0"/>
              <w:snapToGrid w:val="0"/>
              <w:spacing w:line="560" w:lineRule="exact"/>
              <w:jc w:val="center"/>
              <w:rPr>
                <w:rFonts w:ascii="Times New Roman"/>
                <w:color w:val="000000"/>
                <w:sz w:val="20"/>
                <w:highlight w:val="none"/>
              </w:rPr>
            </w:pPr>
          </w:p>
        </w:tc>
        <w:tc>
          <w:tcPr>
            <w:tcW w:w="794" w:type="dxa"/>
            <w:noWrap w:val="0"/>
            <w:vAlign w:val="top"/>
          </w:tcPr>
          <w:p w14:paraId="66DF0813">
            <w:pPr>
              <w:pStyle w:val="35"/>
              <w:adjustRightInd w:val="0"/>
              <w:snapToGrid w:val="0"/>
              <w:spacing w:line="560" w:lineRule="exact"/>
              <w:jc w:val="center"/>
              <w:rPr>
                <w:rFonts w:ascii="Times New Roman"/>
                <w:color w:val="000000"/>
                <w:sz w:val="20"/>
                <w:highlight w:val="none"/>
              </w:rPr>
            </w:pPr>
          </w:p>
        </w:tc>
        <w:tc>
          <w:tcPr>
            <w:tcW w:w="791" w:type="dxa"/>
            <w:noWrap w:val="0"/>
            <w:vAlign w:val="top"/>
          </w:tcPr>
          <w:p w14:paraId="27682A43">
            <w:pPr>
              <w:pStyle w:val="35"/>
              <w:adjustRightInd w:val="0"/>
              <w:snapToGrid w:val="0"/>
              <w:spacing w:line="560" w:lineRule="exact"/>
              <w:jc w:val="center"/>
              <w:rPr>
                <w:rFonts w:ascii="Times New Roman"/>
                <w:color w:val="000000"/>
                <w:sz w:val="20"/>
                <w:highlight w:val="none"/>
              </w:rPr>
            </w:pPr>
          </w:p>
        </w:tc>
        <w:tc>
          <w:tcPr>
            <w:tcW w:w="635" w:type="dxa"/>
            <w:noWrap w:val="0"/>
            <w:vAlign w:val="top"/>
          </w:tcPr>
          <w:p w14:paraId="175D4D92">
            <w:pPr>
              <w:pStyle w:val="35"/>
              <w:adjustRightInd w:val="0"/>
              <w:snapToGrid w:val="0"/>
              <w:spacing w:line="560" w:lineRule="exact"/>
              <w:jc w:val="center"/>
              <w:rPr>
                <w:rFonts w:ascii="Times New Roman"/>
                <w:color w:val="000000"/>
                <w:sz w:val="20"/>
                <w:highlight w:val="none"/>
              </w:rPr>
            </w:pPr>
          </w:p>
        </w:tc>
        <w:tc>
          <w:tcPr>
            <w:tcW w:w="1687" w:type="dxa"/>
            <w:noWrap w:val="0"/>
            <w:vAlign w:val="top"/>
          </w:tcPr>
          <w:p w14:paraId="68E18361">
            <w:pPr>
              <w:pStyle w:val="35"/>
              <w:adjustRightInd w:val="0"/>
              <w:snapToGrid w:val="0"/>
              <w:spacing w:line="560" w:lineRule="exact"/>
              <w:jc w:val="center"/>
              <w:rPr>
                <w:rFonts w:ascii="Times New Roman"/>
                <w:color w:val="000000"/>
                <w:sz w:val="20"/>
                <w:highlight w:val="none"/>
              </w:rPr>
            </w:pPr>
          </w:p>
        </w:tc>
      </w:tr>
    </w:tbl>
    <w:p w14:paraId="6A1CFAC9">
      <w:pPr>
        <w:pStyle w:val="9"/>
        <w:adjustRightInd w:val="0"/>
        <w:snapToGrid w:val="0"/>
        <w:spacing w:after="0" w:line="560" w:lineRule="exact"/>
        <w:ind w:firstLine="420"/>
        <w:rPr>
          <w:color w:val="000000"/>
          <w:highlight w:val="none"/>
        </w:rPr>
      </w:pPr>
      <w:r>
        <w:rPr>
          <w:color w:val="000000"/>
          <w:highlight w:val="none"/>
        </w:rPr>
        <w:t>注：</w:t>
      </w:r>
      <w:r>
        <w:rPr>
          <w:rFonts w:hint="eastAsia"/>
          <w:color w:val="000000"/>
          <w:highlight w:val="none"/>
        </w:rPr>
        <w:t>1、</w:t>
      </w:r>
      <w:r>
        <w:rPr>
          <w:color w:val="000000"/>
          <w:highlight w:val="none"/>
        </w:rPr>
        <w:t>本表仅针对不采用招标人推荐品牌，采用其他品牌的投标人填写，并注明并提供相关技术参数、业绩等供评标委员会评审，未在上表中注明且未提供相关技术参数、业绩，或经评标委员会评审未通过的，中标后只能从招标人推荐品牌中进行选择，价格不予调整。</w:t>
      </w:r>
    </w:p>
    <w:p w14:paraId="3BCB553B">
      <w:pPr>
        <w:pStyle w:val="38"/>
        <w:tabs>
          <w:tab w:val="left" w:pos="1319"/>
        </w:tabs>
        <w:adjustRightInd w:val="0"/>
        <w:snapToGrid w:val="0"/>
        <w:spacing w:line="560" w:lineRule="exact"/>
        <w:ind w:left="0" w:firstLine="408" w:firstLineChars="200"/>
        <w:rPr>
          <w:color w:val="000000"/>
          <w:highlight w:val="none"/>
        </w:rPr>
        <w:sectPr>
          <w:pgSz w:w="11910" w:h="16840"/>
          <w:pgMar w:top="1060" w:right="660" w:bottom="1020" w:left="1120" w:header="0" w:footer="833" w:gutter="0"/>
          <w:pgBorders>
            <w:top w:val="none" w:sz="0" w:space="0"/>
            <w:left w:val="none" w:sz="0" w:space="0"/>
            <w:bottom w:val="none" w:sz="0" w:space="0"/>
            <w:right w:val="none" w:sz="0" w:space="0"/>
          </w:pgBorders>
          <w:cols w:space="720" w:num="1"/>
        </w:sectPr>
      </w:pPr>
      <w:r>
        <w:rPr>
          <w:rFonts w:hint="eastAsia"/>
          <w:color w:val="000000"/>
          <w:spacing w:val="-3"/>
          <w:highlight w:val="none"/>
        </w:rPr>
        <w:t>2、</w:t>
      </w:r>
      <w:r>
        <w:rPr>
          <w:color w:val="000000"/>
          <w:spacing w:val="-3"/>
          <w:highlight w:val="none"/>
        </w:rPr>
        <w:t>对于招标人推荐品牌的材料、设备等，投标人如认为招标人推荐的品牌有限定性、唯一性、明显不在同一档次等级的或者其他疑问的，应在本项目异议提出的截止时间前通过电子交易系统</w:t>
      </w:r>
      <w:r>
        <w:rPr>
          <w:rFonts w:hint="eastAsia"/>
          <w:color w:val="000000"/>
          <w:spacing w:val="-3"/>
          <w:highlight w:val="none"/>
        </w:rPr>
        <w:t>向招标人提出。</w:t>
      </w:r>
    </w:p>
    <w:p w14:paraId="59BE3D92">
      <w:pPr>
        <w:pStyle w:val="4"/>
        <w:adjustRightInd w:val="0"/>
        <w:snapToGrid w:val="0"/>
        <w:spacing w:before="0" w:after="0" w:line="560" w:lineRule="exact"/>
        <w:jc w:val="center"/>
        <w:rPr>
          <w:color w:val="000000"/>
          <w:highlight w:val="none"/>
        </w:rPr>
      </w:pPr>
      <w:bookmarkStart w:id="960" w:name="_Toc95223546"/>
      <w:r>
        <w:rPr>
          <w:rFonts w:hint="eastAsia"/>
          <w:color w:val="000000"/>
          <w:highlight w:val="none"/>
        </w:rPr>
        <w:t>（</w:t>
      </w:r>
      <w:r>
        <w:rPr>
          <w:rFonts w:hint="eastAsia"/>
          <w:color w:val="000000"/>
          <w:highlight w:val="none"/>
          <w:lang w:val="en-US" w:eastAsia="zh-CN"/>
        </w:rPr>
        <w:t>3</w:t>
      </w:r>
      <w:r>
        <w:rPr>
          <w:rFonts w:hint="eastAsia"/>
          <w:color w:val="000000"/>
          <w:highlight w:val="none"/>
        </w:rPr>
        <w:t>）详细评审所需其他材料（如有）</w:t>
      </w:r>
      <w:bookmarkEnd w:id="960"/>
    </w:p>
    <w:p w14:paraId="2185D5BC">
      <w:pPr>
        <w:adjustRightInd w:val="0"/>
        <w:snapToGrid w:val="0"/>
        <w:spacing w:line="560" w:lineRule="exact"/>
        <w:ind w:firstLine="1928" w:firstLineChars="600"/>
        <w:rPr>
          <w:rFonts w:ascii="宋体"/>
          <w:b/>
          <w:color w:val="000000"/>
          <w:sz w:val="32"/>
          <w:szCs w:val="32"/>
          <w:highlight w:val="none"/>
        </w:rPr>
      </w:pPr>
    </w:p>
    <w:p w14:paraId="43BEA87C">
      <w:pPr>
        <w:adjustRightInd w:val="0"/>
        <w:snapToGrid w:val="0"/>
        <w:spacing w:line="560" w:lineRule="exact"/>
        <w:rPr>
          <w:b/>
          <w:color w:val="000000"/>
          <w:sz w:val="32"/>
          <w:szCs w:val="32"/>
          <w:highlight w:val="none"/>
        </w:rPr>
      </w:pPr>
    </w:p>
    <w:p w14:paraId="1B305DF3">
      <w:pPr>
        <w:adjustRightInd w:val="0"/>
        <w:snapToGrid w:val="0"/>
        <w:spacing w:line="560" w:lineRule="exact"/>
        <w:jc w:val="center"/>
        <w:rPr>
          <w:b/>
          <w:color w:val="000000"/>
          <w:sz w:val="32"/>
          <w:szCs w:val="32"/>
          <w:highlight w:val="none"/>
        </w:rPr>
      </w:pPr>
    </w:p>
    <w:p w14:paraId="3E79C24C">
      <w:pPr>
        <w:adjustRightInd w:val="0"/>
        <w:snapToGrid w:val="0"/>
        <w:spacing w:line="560" w:lineRule="exact"/>
        <w:jc w:val="center"/>
        <w:rPr>
          <w:b/>
          <w:color w:val="000000"/>
          <w:sz w:val="32"/>
          <w:szCs w:val="32"/>
          <w:highlight w:val="none"/>
        </w:rPr>
      </w:pPr>
    </w:p>
    <w:p w14:paraId="02B6A0FC">
      <w:pPr>
        <w:adjustRightInd w:val="0"/>
        <w:snapToGrid w:val="0"/>
        <w:spacing w:line="560" w:lineRule="exact"/>
        <w:jc w:val="center"/>
        <w:rPr>
          <w:b/>
          <w:color w:val="000000"/>
          <w:sz w:val="32"/>
          <w:szCs w:val="32"/>
          <w:highlight w:val="none"/>
        </w:rPr>
      </w:pPr>
    </w:p>
    <w:p w14:paraId="079AAC1B">
      <w:pPr>
        <w:adjustRightInd w:val="0"/>
        <w:snapToGrid w:val="0"/>
        <w:spacing w:line="560" w:lineRule="exact"/>
        <w:rPr>
          <w:color w:val="000000"/>
          <w:highlight w:val="none"/>
        </w:rPr>
      </w:pPr>
    </w:p>
    <w:p w14:paraId="0E09F8A8">
      <w:pPr>
        <w:adjustRightInd w:val="0"/>
        <w:snapToGrid w:val="0"/>
        <w:spacing w:line="560" w:lineRule="exact"/>
        <w:rPr>
          <w:color w:val="000000"/>
          <w:highlight w:val="none"/>
        </w:rPr>
      </w:pPr>
    </w:p>
    <w:p w14:paraId="583EAB4C">
      <w:pPr>
        <w:adjustRightInd w:val="0"/>
        <w:snapToGrid w:val="0"/>
        <w:spacing w:line="560" w:lineRule="exact"/>
        <w:rPr>
          <w:color w:val="000000"/>
          <w:highlight w:val="none"/>
        </w:rPr>
      </w:pPr>
    </w:p>
    <w:p w14:paraId="603DB3E4">
      <w:pPr>
        <w:adjustRightInd w:val="0"/>
        <w:snapToGrid w:val="0"/>
        <w:spacing w:line="560" w:lineRule="exact"/>
        <w:rPr>
          <w:color w:val="000000"/>
          <w:highlight w:val="none"/>
        </w:rPr>
      </w:pPr>
    </w:p>
    <w:p w14:paraId="376820C6">
      <w:pPr>
        <w:adjustRightInd w:val="0"/>
        <w:snapToGrid w:val="0"/>
        <w:spacing w:line="560" w:lineRule="exact"/>
        <w:rPr>
          <w:color w:val="000000"/>
          <w:highlight w:val="none"/>
        </w:rPr>
      </w:pPr>
    </w:p>
    <w:p w14:paraId="3EAE51A1">
      <w:pPr>
        <w:adjustRightInd w:val="0"/>
        <w:snapToGrid w:val="0"/>
        <w:spacing w:line="560" w:lineRule="exact"/>
        <w:rPr>
          <w:color w:val="000000"/>
          <w:highlight w:val="none"/>
        </w:rPr>
      </w:pPr>
    </w:p>
    <w:p w14:paraId="1AA4E2C5">
      <w:pPr>
        <w:adjustRightInd w:val="0"/>
        <w:snapToGrid w:val="0"/>
        <w:spacing w:line="560" w:lineRule="exact"/>
        <w:rPr>
          <w:color w:val="000000"/>
          <w:highlight w:val="none"/>
        </w:rPr>
      </w:pPr>
    </w:p>
    <w:p w14:paraId="0F339C0D">
      <w:pPr>
        <w:adjustRightInd w:val="0"/>
        <w:snapToGrid w:val="0"/>
        <w:spacing w:line="560" w:lineRule="exact"/>
        <w:rPr>
          <w:color w:val="000000"/>
          <w:highlight w:val="none"/>
        </w:rPr>
      </w:pPr>
    </w:p>
    <w:p w14:paraId="05812D84">
      <w:pPr>
        <w:adjustRightInd w:val="0"/>
        <w:snapToGrid w:val="0"/>
        <w:spacing w:line="560" w:lineRule="exact"/>
        <w:rPr>
          <w:color w:val="000000"/>
          <w:highlight w:val="none"/>
        </w:rPr>
      </w:pPr>
    </w:p>
    <w:p w14:paraId="64A10B8A">
      <w:pPr>
        <w:adjustRightInd w:val="0"/>
        <w:snapToGrid w:val="0"/>
        <w:spacing w:line="560" w:lineRule="exact"/>
        <w:rPr>
          <w:color w:val="000000"/>
          <w:highlight w:val="none"/>
        </w:rPr>
      </w:pPr>
    </w:p>
    <w:p w14:paraId="164C877B">
      <w:pPr>
        <w:adjustRightInd w:val="0"/>
        <w:snapToGrid w:val="0"/>
        <w:spacing w:line="560" w:lineRule="exact"/>
        <w:rPr>
          <w:color w:val="000000"/>
          <w:highlight w:val="none"/>
        </w:rPr>
      </w:pPr>
    </w:p>
    <w:p w14:paraId="00E74D44">
      <w:pPr>
        <w:adjustRightInd w:val="0"/>
        <w:snapToGrid w:val="0"/>
        <w:spacing w:line="560" w:lineRule="exact"/>
        <w:rPr>
          <w:color w:val="000000"/>
          <w:highlight w:val="none"/>
        </w:rPr>
      </w:pPr>
    </w:p>
    <w:p w14:paraId="3BF1F7EA">
      <w:pPr>
        <w:adjustRightInd w:val="0"/>
        <w:snapToGrid w:val="0"/>
        <w:spacing w:line="560" w:lineRule="exact"/>
        <w:rPr>
          <w:color w:val="000000"/>
          <w:highlight w:val="none"/>
        </w:rPr>
      </w:pPr>
    </w:p>
    <w:p w14:paraId="5490CC3F">
      <w:pPr>
        <w:adjustRightInd w:val="0"/>
        <w:snapToGrid w:val="0"/>
        <w:spacing w:line="560" w:lineRule="exact"/>
        <w:rPr>
          <w:color w:val="000000"/>
          <w:highlight w:val="none"/>
        </w:rPr>
      </w:pPr>
    </w:p>
    <w:p w14:paraId="6F7066A0">
      <w:pPr>
        <w:adjustRightInd w:val="0"/>
        <w:snapToGrid w:val="0"/>
        <w:spacing w:line="560" w:lineRule="exact"/>
        <w:rPr>
          <w:color w:val="000000"/>
          <w:highlight w:val="none"/>
        </w:rPr>
      </w:pPr>
    </w:p>
    <w:p w14:paraId="33CECB47">
      <w:pPr>
        <w:pStyle w:val="17"/>
        <w:rPr>
          <w:color w:val="000000"/>
          <w:highlight w:val="none"/>
        </w:rPr>
      </w:pPr>
    </w:p>
    <w:p w14:paraId="56735B6B">
      <w:pPr>
        <w:adjustRightInd w:val="0"/>
        <w:snapToGrid w:val="0"/>
        <w:spacing w:line="560" w:lineRule="exact"/>
        <w:rPr>
          <w:color w:val="000000"/>
          <w:highlight w:val="none"/>
        </w:rPr>
      </w:pPr>
    </w:p>
    <w:p w14:paraId="7D009E81">
      <w:pPr>
        <w:pStyle w:val="17"/>
        <w:rPr>
          <w:color w:val="000000"/>
          <w:highlight w:val="none"/>
        </w:rPr>
      </w:pPr>
    </w:p>
    <w:p w14:paraId="41D7D8A9">
      <w:pPr>
        <w:rPr>
          <w:color w:val="000000"/>
          <w:highlight w:val="none"/>
        </w:rPr>
      </w:pPr>
    </w:p>
    <w:p w14:paraId="692E551B">
      <w:pPr>
        <w:pStyle w:val="17"/>
        <w:rPr>
          <w:color w:val="000000"/>
          <w:highlight w:val="none"/>
        </w:rPr>
      </w:pPr>
    </w:p>
    <w:p w14:paraId="2A76DD16">
      <w:pPr>
        <w:pStyle w:val="17"/>
        <w:rPr>
          <w:color w:val="000000"/>
          <w:highlight w:val="none"/>
        </w:rPr>
      </w:pPr>
    </w:p>
    <w:p w14:paraId="0E382B58">
      <w:pPr>
        <w:pStyle w:val="9"/>
        <w:adjustRightInd w:val="0"/>
        <w:snapToGrid w:val="0"/>
        <w:spacing w:after="0" w:line="560" w:lineRule="exact"/>
        <w:jc w:val="center"/>
        <w:outlineLvl w:val="0"/>
        <w:rPr>
          <w:rFonts w:eastAsia="黑体"/>
          <w:b/>
          <w:bCs/>
          <w:color w:val="000000"/>
          <w:sz w:val="32"/>
          <w:highlight w:val="none"/>
        </w:rPr>
        <w:sectPr>
          <w:pgSz w:w="11906" w:h="16838"/>
          <w:pgMar w:top="1134" w:right="1417" w:bottom="1134" w:left="1417" w:header="851" w:footer="992" w:gutter="0"/>
          <w:pgBorders>
            <w:top w:val="none" w:sz="0" w:space="0"/>
            <w:left w:val="none" w:sz="0" w:space="0"/>
            <w:bottom w:val="none" w:sz="0" w:space="0"/>
            <w:right w:val="none" w:sz="0" w:space="0"/>
          </w:pgBorders>
          <w:cols w:space="720" w:num="1"/>
          <w:docGrid w:type="lines" w:linePitch="312" w:charSpace="0"/>
        </w:sectPr>
      </w:pPr>
      <w:bookmarkStart w:id="961" w:name="_Toc95223547"/>
    </w:p>
    <w:p w14:paraId="1136E126">
      <w:pPr>
        <w:pStyle w:val="9"/>
        <w:adjustRightInd w:val="0"/>
        <w:snapToGrid w:val="0"/>
        <w:spacing w:after="0" w:line="560" w:lineRule="exact"/>
        <w:jc w:val="center"/>
        <w:outlineLvl w:val="0"/>
        <w:rPr>
          <w:rFonts w:eastAsia="黑体"/>
          <w:b/>
          <w:bCs/>
          <w:color w:val="000000"/>
          <w:sz w:val="32"/>
          <w:highlight w:val="none"/>
        </w:rPr>
      </w:pPr>
      <w:r>
        <w:rPr>
          <w:rFonts w:hint="eastAsia" w:eastAsia="黑体"/>
          <w:b/>
          <w:bCs/>
          <w:color w:val="000000"/>
          <w:sz w:val="32"/>
          <w:highlight w:val="none"/>
        </w:rPr>
        <w:t>第十章  招标</w:t>
      </w:r>
      <w:bookmarkStart w:id="962" w:name="_Toc60061593"/>
      <w:r>
        <w:rPr>
          <w:rFonts w:hint="eastAsia" w:eastAsia="黑体"/>
          <w:b/>
          <w:bCs/>
          <w:color w:val="000000"/>
          <w:sz w:val="32"/>
          <w:highlight w:val="none"/>
        </w:rPr>
        <w:t>人、招标代理机构对本招标文件的确认</w:t>
      </w:r>
      <w:bookmarkEnd w:id="961"/>
      <w:bookmarkEnd w:id="962"/>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0"/>
      </w:tblGrid>
      <w:tr w14:paraId="2ABCA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3" w:hRule="atLeast"/>
          <w:jc w:val="center"/>
        </w:trPr>
        <w:tc>
          <w:tcPr>
            <w:tcW w:w="9580" w:type="dxa"/>
            <w:noWrap w:val="0"/>
            <w:vAlign w:val="top"/>
          </w:tcPr>
          <w:p w14:paraId="4BA18E6D">
            <w:pPr>
              <w:adjustRightInd w:val="0"/>
              <w:snapToGrid w:val="0"/>
              <w:spacing w:line="560" w:lineRule="exact"/>
              <w:rPr>
                <w:color w:val="000000"/>
                <w:sz w:val="30"/>
                <w:highlight w:val="none"/>
              </w:rPr>
            </w:pPr>
          </w:p>
          <w:p w14:paraId="059EB4A3">
            <w:pPr>
              <w:adjustRightInd w:val="0"/>
              <w:snapToGrid w:val="0"/>
              <w:spacing w:line="560" w:lineRule="exact"/>
              <w:ind w:firstLine="700" w:firstLineChars="250"/>
              <w:rPr>
                <w:color w:val="000000"/>
                <w:sz w:val="28"/>
                <w:szCs w:val="28"/>
                <w:highlight w:val="none"/>
              </w:rPr>
            </w:pPr>
            <w:r>
              <w:rPr>
                <w:rFonts w:hint="eastAsia"/>
                <w:color w:val="000000"/>
                <w:sz w:val="28"/>
                <w:szCs w:val="28"/>
                <w:highlight w:val="none"/>
              </w:rPr>
              <w:t>我单位对</w:t>
            </w:r>
            <w:bookmarkStart w:id="963" w:name="_Toc506107366"/>
            <w:bookmarkStart w:id="964" w:name="_Toc60061594"/>
            <w:bookmarkStart w:id="965" w:name="_Toc15058950"/>
            <w:r>
              <w:rPr>
                <w:rFonts w:hint="eastAsia" w:ascii="宋体" w:hAnsi="宋体" w:cs="宋体"/>
                <w:b/>
                <w:color w:val="000000"/>
                <w:kern w:val="0"/>
                <w:sz w:val="28"/>
                <w:szCs w:val="28"/>
                <w:highlight w:val="none"/>
                <w:u w:val="single"/>
                <w:lang w:val="en-US" w:eastAsia="zh-CN"/>
              </w:rPr>
              <w:t>滁州市大剧院修缮</w:t>
            </w:r>
            <w:r>
              <w:rPr>
                <w:rFonts w:hint="eastAsia" w:ascii="宋体" w:hAnsi="宋体" w:eastAsia="宋体" w:cs="宋体"/>
                <w:b/>
                <w:color w:val="000000"/>
                <w:kern w:val="0"/>
                <w:sz w:val="28"/>
                <w:szCs w:val="28"/>
                <w:highlight w:val="none"/>
                <w:u w:val="single"/>
              </w:rPr>
              <w:t>工程总承包</w:t>
            </w:r>
            <w:r>
              <w:rPr>
                <w:rFonts w:hint="eastAsia" w:ascii="宋体" w:hAnsi="宋体" w:cs="宋体"/>
                <w:color w:val="000000"/>
                <w:kern w:val="0"/>
                <w:sz w:val="28"/>
                <w:szCs w:val="28"/>
                <w:highlight w:val="none"/>
              </w:rPr>
              <w:t>招</w:t>
            </w:r>
            <w:bookmarkEnd w:id="963"/>
            <w:bookmarkEnd w:id="964"/>
            <w:bookmarkEnd w:id="965"/>
            <w:r>
              <w:rPr>
                <w:rFonts w:hint="eastAsia" w:ascii="宋体" w:hAnsi="宋体" w:cs="宋体"/>
                <w:color w:val="000000"/>
                <w:kern w:val="0"/>
                <w:sz w:val="28"/>
                <w:szCs w:val="28"/>
                <w:highlight w:val="none"/>
              </w:rPr>
              <w:t>标</w:t>
            </w:r>
            <w:r>
              <w:rPr>
                <w:rFonts w:hint="eastAsia"/>
                <w:color w:val="000000"/>
                <w:sz w:val="28"/>
                <w:szCs w:val="28"/>
                <w:highlight w:val="none"/>
              </w:rPr>
              <w:t>的招标文件进行确认。</w:t>
            </w:r>
          </w:p>
          <w:p w14:paraId="32E8393C">
            <w:pPr>
              <w:adjustRightInd w:val="0"/>
              <w:snapToGrid w:val="0"/>
              <w:spacing w:line="560" w:lineRule="exact"/>
              <w:ind w:firstLine="560" w:firstLineChars="200"/>
              <w:rPr>
                <w:rFonts w:hint="eastAsia" w:ascii="宋体" w:hAnsi="宋体" w:eastAsia="宋体" w:cs="Times New Roman"/>
                <w:color w:val="000000"/>
                <w:sz w:val="28"/>
                <w:szCs w:val="28"/>
                <w:highlight w:val="none"/>
              </w:rPr>
            </w:pPr>
            <w:r>
              <w:rPr>
                <w:rFonts w:hint="eastAsia" w:ascii="宋体" w:hAnsi="宋体"/>
                <w:color w:val="000000"/>
                <w:sz w:val="28"/>
                <w:szCs w:val="28"/>
                <w:highlight w:val="none"/>
              </w:rPr>
              <w:t>招 标 人：</w:t>
            </w:r>
            <w:r>
              <w:rPr>
                <w:rFonts w:hint="eastAsia" w:ascii="宋体" w:hAnsi="宋体" w:eastAsia="宋体" w:cs="Times New Roman"/>
                <w:color w:val="000000"/>
                <w:sz w:val="28"/>
                <w:szCs w:val="28"/>
                <w:highlight w:val="none"/>
                <w:lang w:val="en-US" w:eastAsia="zh-CN"/>
              </w:rPr>
              <w:t>滁州市亭城文化旅游投资集团有限公司</w:t>
            </w:r>
            <w:r>
              <w:rPr>
                <w:rFonts w:hint="eastAsia" w:ascii="宋体" w:hAnsi="宋体" w:eastAsia="宋体" w:cs="Times New Roman"/>
                <w:color w:val="000000"/>
                <w:sz w:val="28"/>
                <w:szCs w:val="28"/>
                <w:highlight w:val="none"/>
              </w:rPr>
              <w:t xml:space="preserve"> </w:t>
            </w:r>
          </w:p>
          <w:p w14:paraId="10A9711D">
            <w:pPr>
              <w:adjustRightInd w:val="0"/>
              <w:snapToGrid w:val="0"/>
              <w:spacing w:line="560" w:lineRule="exact"/>
              <w:ind w:firstLine="560" w:firstLineChars="200"/>
              <w:rPr>
                <w:rFonts w:hint="eastAsia" w:ascii="宋体" w:hAnsi="宋体" w:eastAsia="宋体" w:cs="Times New Roman"/>
                <w:color w:val="000000"/>
                <w:sz w:val="28"/>
                <w:szCs w:val="28"/>
                <w:highlight w:val="none"/>
                <w:lang w:val="en-US" w:eastAsia="zh-CN"/>
              </w:rPr>
            </w:pPr>
            <w:r>
              <w:rPr>
                <w:rFonts w:hint="eastAsia" w:ascii="宋体" w:hAnsi="宋体" w:eastAsia="宋体" w:cs="Times New Roman"/>
                <w:color w:val="000000"/>
                <w:sz w:val="28"/>
                <w:szCs w:val="28"/>
                <w:highlight w:val="none"/>
              </w:rPr>
              <w:t>联 系 人</w:t>
            </w:r>
            <w:r>
              <w:rPr>
                <w:rFonts w:hint="eastAsia" w:ascii="宋体" w:hAnsi="宋体" w:eastAsia="宋体" w:cs="Times New Roman"/>
                <w:color w:val="000000"/>
                <w:sz w:val="28"/>
                <w:szCs w:val="28"/>
                <w:highlight w:val="none"/>
                <w:lang w:val="en-US" w:eastAsia="zh-CN"/>
              </w:rPr>
              <w:t xml:space="preserve">：侯健   </w:t>
            </w:r>
          </w:p>
          <w:p w14:paraId="727EBB36">
            <w:pPr>
              <w:adjustRightInd w:val="0"/>
              <w:snapToGrid w:val="0"/>
              <w:spacing w:line="560" w:lineRule="exact"/>
              <w:ind w:firstLine="560" w:firstLineChars="200"/>
              <w:rPr>
                <w:rFonts w:hint="eastAsia" w:ascii="宋体" w:hAnsi="宋体" w:eastAsia="宋体" w:cs="Times New Roman"/>
                <w:color w:val="000000"/>
                <w:sz w:val="28"/>
                <w:szCs w:val="28"/>
                <w:highlight w:val="none"/>
                <w:lang w:val="en-US" w:eastAsia="zh-CN"/>
              </w:rPr>
            </w:pPr>
            <w:r>
              <w:rPr>
                <w:rFonts w:hint="eastAsia" w:ascii="宋体" w:hAnsi="宋体" w:eastAsia="宋体" w:cs="Times New Roman"/>
                <w:color w:val="000000"/>
                <w:sz w:val="28"/>
                <w:szCs w:val="28"/>
                <w:highlight w:val="none"/>
                <w:lang w:val="en-US" w:eastAsia="zh-CN"/>
              </w:rPr>
              <w:t xml:space="preserve">联系电话：15955007778 </w:t>
            </w:r>
          </w:p>
          <w:p w14:paraId="488EB7FC">
            <w:pPr>
              <w:adjustRightInd w:val="0"/>
              <w:snapToGrid w:val="0"/>
              <w:spacing w:line="560" w:lineRule="exact"/>
              <w:ind w:firstLine="560" w:firstLineChars="200"/>
              <w:rPr>
                <w:rFonts w:ascii="宋体" w:hAnsi="宋体"/>
                <w:color w:val="000000"/>
                <w:sz w:val="28"/>
                <w:szCs w:val="28"/>
                <w:highlight w:val="none"/>
              </w:rPr>
            </w:pPr>
            <w:r>
              <w:rPr>
                <w:rFonts w:hint="eastAsia" w:ascii="宋体" w:hAnsi="宋体"/>
                <w:color w:val="000000"/>
                <w:sz w:val="28"/>
                <w:szCs w:val="28"/>
                <w:highlight w:val="none"/>
              </w:rPr>
              <w:t xml:space="preserve">                                                                      </w:t>
            </w:r>
          </w:p>
          <w:p w14:paraId="7B091D74">
            <w:pPr>
              <w:adjustRightInd w:val="0"/>
              <w:snapToGrid w:val="0"/>
              <w:spacing w:line="560" w:lineRule="exact"/>
              <w:ind w:firstLine="560" w:firstLineChars="200"/>
              <w:rPr>
                <w:rFonts w:ascii="宋体" w:hAnsi="宋体"/>
                <w:color w:val="000000"/>
                <w:sz w:val="28"/>
                <w:szCs w:val="28"/>
                <w:highlight w:val="none"/>
              </w:rPr>
            </w:pPr>
            <w:r>
              <w:rPr>
                <w:rFonts w:hint="eastAsia" w:ascii="宋体" w:hAnsi="宋体"/>
                <w:color w:val="000000"/>
                <w:sz w:val="28"/>
                <w:szCs w:val="28"/>
                <w:highlight w:val="none"/>
              </w:rPr>
              <w:t xml:space="preserve">                                                                      </w:t>
            </w:r>
          </w:p>
          <w:p w14:paraId="4B7B22DA">
            <w:pPr>
              <w:adjustRightInd w:val="0"/>
              <w:snapToGrid w:val="0"/>
              <w:spacing w:line="560" w:lineRule="exact"/>
              <w:ind w:firstLine="7000" w:firstLineChars="2500"/>
              <w:rPr>
                <w:rFonts w:ascii="宋体" w:hAnsi="宋体"/>
                <w:color w:val="000000"/>
                <w:sz w:val="28"/>
                <w:szCs w:val="28"/>
                <w:highlight w:val="none"/>
              </w:rPr>
            </w:pPr>
            <w:r>
              <w:rPr>
                <w:rFonts w:hint="eastAsia" w:ascii="宋体" w:hAnsi="宋体"/>
                <w:color w:val="000000"/>
                <w:sz w:val="28"/>
                <w:szCs w:val="28"/>
                <w:highlight w:val="none"/>
              </w:rPr>
              <w:t>（</w:t>
            </w:r>
            <w:r>
              <w:rPr>
                <w:rFonts w:eastAsia="黑体"/>
                <w:color w:val="000000"/>
                <w:sz w:val="28"/>
                <w:szCs w:val="28"/>
                <w:highlight w:val="none"/>
              </w:rPr>
              <w:t>签</w:t>
            </w:r>
            <w:r>
              <w:rPr>
                <w:rFonts w:hint="eastAsia" w:eastAsia="黑体"/>
                <w:color w:val="000000"/>
                <w:sz w:val="28"/>
                <w:szCs w:val="28"/>
                <w:highlight w:val="none"/>
              </w:rPr>
              <w:t>章</w:t>
            </w:r>
            <w:r>
              <w:rPr>
                <w:rFonts w:hint="eastAsia" w:ascii="宋体" w:hAnsi="宋体"/>
                <w:color w:val="000000"/>
                <w:sz w:val="28"/>
                <w:szCs w:val="28"/>
                <w:highlight w:val="none"/>
              </w:rPr>
              <w:t>）</w:t>
            </w:r>
          </w:p>
          <w:p w14:paraId="528B462D">
            <w:pPr>
              <w:adjustRightInd w:val="0"/>
              <w:snapToGrid w:val="0"/>
              <w:spacing w:line="560" w:lineRule="exact"/>
              <w:ind w:firstLine="5040" w:firstLineChars="1800"/>
              <w:rPr>
                <w:color w:val="000000"/>
                <w:sz w:val="30"/>
                <w:highlight w:val="none"/>
              </w:rPr>
            </w:pPr>
            <w:r>
              <w:rPr>
                <w:rFonts w:hint="eastAsia" w:ascii="宋体" w:hAnsi="宋体"/>
                <w:color w:val="000000"/>
                <w:sz w:val="28"/>
                <w:szCs w:val="28"/>
                <w:highlight w:val="none"/>
              </w:rPr>
              <w:t xml:space="preserve">        </w:t>
            </w:r>
            <w:r>
              <w:rPr>
                <w:rFonts w:hint="eastAsia" w:ascii="宋体" w:hAnsi="宋体"/>
                <w:color w:val="000000"/>
                <w:sz w:val="28"/>
                <w:szCs w:val="28"/>
                <w:highlight w:val="none"/>
                <w:lang w:val="en-US" w:eastAsia="zh-CN"/>
              </w:rPr>
              <w:t xml:space="preserve">  2025</w:t>
            </w:r>
            <w:r>
              <w:rPr>
                <w:rFonts w:hint="eastAsia" w:ascii="宋体" w:hAnsi="宋体"/>
                <w:color w:val="000000"/>
                <w:sz w:val="28"/>
                <w:szCs w:val="28"/>
                <w:highlight w:val="none"/>
              </w:rPr>
              <w:t>年</w:t>
            </w:r>
            <w:r>
              <w:rPr>
                <w:rFonts w:hint="eastAsia" w:ascii="宋体" w:hAnsi="宋体"/>
                <w:color w:val="000000"/>
                <w:sz w:val="28"/>
                <w:szCs w:val="28"/>
                <w:highlight w:val="none"/>
                <w:lang w:val="en-US" w:eastAsia="zh-CN"/>
              </w:rPr>
              <w:t>6</w:t>
            </w:r>
            <w:r>
              <w:rPr>
                <w:rFonts w:hint="eastAsia" w:ascii="宋体" w:hAnsi="宋体"/>
                <w:color w:val="000000"/>
                <w:sz w:val="28"/>
                <w:szCs w:val="28"/>
                <w:highlight w:val="none"/>
              </w:rPr>
              <w:t>月</w:t>
            </w:r>
            <w:r>
              <w:rPr>
                <w:rFonts w:hint="eastAsia" w:ascii="宋体" w:hAnsi="宋体"/>
                <w:color w:val="000000"/>
                <w:sz w:val="28"/>
                <w:szCs w:val="28"/>
                <w:highlight w:val="none"/>
                <w:lang w:val="en-US" w:eastAsia="zh-CN"/>
              </w:rPr>
              <w:t>20</w:t>
            </w:r>
            <w:r>
              <w:rPr>
                <w:rFonts w:hint="eastAsia" w:ascii="宋体" w:hAnsi="宋体"/>
                <w:color w:val="000000"/>
                <w:sz w:val="28"/>
                <w:szCs w:val="28"/>
                <w:highlight w:val="none"/>
              </w:rPr>
              <w:t>日</w:t>
            </w:r>
          </w:p>
        </w:tc>
      </w:tr>
      <w:tr w14:paraId="7D9B3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6" w:hRule="atLeast"/>
          <w:jc w:val="center"/>
        </w:trPr>
        <w:tc>
          <w:tcPr>
            <w:tcW w:w="9580" w:type="dxa"/>
            <w:noWrap w:val="0"/>
            <w:vAlign w:val="top"/>
          </w:tcPr>
          <w:p w14:paraId="7C87E4A7">
            <w:pPr>
              <w:adjustRightInd w:val="0"/>
              <w:snapToGrid w:val="0"/>
              <w:spacing w:line="560" w:lineRule="exact"/>
              <w:ind w:firstLine="600" w:firstLineChars="200"/>
              <w:rPr>
                <w:color w:val="000000"/>
                <w:sz w:val="30"/>
                <w:highlight w:val="none"/>
              </w:rPr>
            </w:pPr>
          </w:p>
          <w:p w14:paraId="2807F72D">
            <w:pPr>
              <w:adjustRightInd w:val="0"/>
              <w:snapToGrid w:val="0"/>
              <w:spacing w:line="560" w:lineRule="exact"/>
              <w:ind w:firstLine="560" w:firstLineChars="200"/>
              <w:rPr>
                <w:rFonts w:hint="eastAsia" w:eastAsia="宋体" w:cs="Times New Roman"/>
                <w:color w:val="000000"/>
                <w:sz w:val="28"/>
                <w:szCs w:val="28"/>
                <w:highlight w:val="none"/>
              </w:rPr>
            </w:pPr>
            <w:r>
              <w:rPr>
                <w:rFonts w:hint="eastAsia"/>
                <w:color w:val="000000"/>
                <w:sz w:val="28"/>
                <w:szCs w:val="28"/>
                <w:highlight w:val="none"/>
              </w:rPr>
              <w:t>招标代理机构：</w:t>
            </w:r>
            <w:r>
              <w:rPr>
                <w:rFonts w:hint="eastAsia" w:eastAsia="宋体" w:cs="Times New Roman"/>
                <w:color w:val="000000"/>
                <w:sz w:val="28"/>
                <w:szCs w:val="28"/>
                <w:highlight w:val="none"/>
                <w:lang w:val="en-US" w:eastAsia="zh-CN"/>
              </w:rPr>
              <w:t>滁州市城投工程咨询管理有限公司</w:t>
            </w:r>
            <w:r>
              <w:rPr>
                <w:rFonts w:hint="eastAsia" w:eastAsia="宋体" w:cs="Times New Roman"/>
                <w:color w:val="000000"/>
                <w:sz w:val="28"/>
                <w:szCs w:val="28"/>
                <w:highlight w:val="none"/>
              </w:rPr>
              <w:t xml:space="preserve">  </w:t>
            </w:r>
          </w:p>
          <w:p w14:paraId="6CF91B59">
            <w:pPr>
              <w:adjustRightInd w:val="0"/>
              <w:snapToGrid w:val="0"/>
              <w:spacing w:line="560" w:lineRule="exact"/>
              <w:ind w:firstLine="560" w:firstLineChars="200"/>
              <w:rPr>
                <w:rFonts w:hint="eastAsia" w:ascii="宋体" w:hAnsi="宋体" w:eastAsia="宋体" w:cs="宋体"/>
                <w:color w:val="auto"/>
                <w:kern w:val="0"/>
                <w:szCs w:val="21"/>
                <w:highlight w:val="none"/>
                <w:lang w:val="en-US" w:eastAsia="zh-CN"/>
              </w:rPr>
            </w:pPr>
            <w:r>
              <w:rPr>
                <w:rFonts w:hint="eastAsia"/>
                <w:color w:val="000000"/>
                <w:sz w:val="28"/>
                <w:szCs w:val="28"/>
                <w:highlight w:val="none"/>
              </w:rPr>
              <w:t>联系人：</w:t>
            </w:r>
            <w:r>
              <w:rPr>
                <w:rFonts w:hint="eastAsia" w:eastAsia="宋体" w:cs="Times New Roman"/>
                <w:color w:val="000000"/>
                <w:sz w:val="28"/>
                <w:szCs w:val="28"/>
                <w:highlight w:val="none"/>
                <w:lang w:val="en-US" w:eastAsia="zh-CN"/>
              </w:rPr>
              <w:t>周蓓蕾</w:t>
            </w:r>
          </w:p>
          <w:p w14:paraId="744CB5B9">
            <w:pPr>
              <w:adjustRightInd w:val="0"/>
              <w:snapToGrid w:val="0"/>
              <w:spacing w:line="560" w:lineRule="exact"/>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联系电话</w:t>
            </w:r>
            <w:r>
              <w:rPr>
                <w:rFonts w:hint="eastAsia" w:ascii="宋体" w:hAnsi="宋体" w:eastAsia="宋体" w:cs="宋体"/>
                <w:b w:val="0"/>
                <w:bCs w:val="0"/>
                <w:color w:val="000000"/>
                <w:sz w:val="28"/>
                <w:szCs w:val="28"/>
                <w:highlight w:val="none"/>
              </w:rPr>
              <w:t>：</w:t>
            </w:r>
            <w:r>
              <w:rPr>
                <w:rFonts w:hint="eastAsia" w:ascii="宋体" w:hAnsi="宋体" w:eastAsia="宋体" w:cs="宋体"/>
                <w:color w:val="000000"/>
                <w:sz w:val="28"/>
                <w:szCs w:val="28"/>
                <w:highlight w:val="none"/>
              </w:rPr>
              <w:t>0550-351951</w:t>
            </w:r>
            <w:r>
              <w:rPr>
                <w:rFonts w:hint="eastAsia" w:ascii="宋体" w:hAnsi="宋体" w:eastAsia="宋体" w:cs="宋体"/>
                <w:color w:val="000000"/>
                <w:sz w:val="28"/>
                <w:szCs w:val="28"/>
                <w:highlight w:val="none"/>
                <w:lang w:val="en-US" w:eastAsia="zh-CN"/>
              </w:rPr>
              <w:t>9</w:t>
            </w:r>
            <w:r>
              <w:rPr>
                <w:rFonts w:hint="eastAsia" w:ascii="宋体" w:hAnsi="宋体" w:eastAsia="宋体" w:cs="宋体"/>
                <w:color w:val="000000"/>
                <w:sz w:val="28"/>
                <w:szCs w:val="28"/>
                <w:highlight w:val="none"/>
              </w:rPr>
              <w:t>、</w:t>
            </w:r>
            <w:r>
              <w:rPr>
                <w:rFonts w:hint="eastAsia" w:ascii="宋体" w:hAnsi="宋体" w:eastAsia="宋体" w:cs="宋体"/>
                <w:color w:val="000000"/>
                <w:sz w:val="28"/>
                <w:szCs w:val="28"/>
                <w:highlight w:val="none"/>
                <w:lang w:eastAsia="zh-CN"/>
              </w:rPr>
              <w:t>18005505728</w:t>
            </w:r>
            <w:r>
              <w:rPr>
                <w:rFonts w:hint="eastAsia" w:ascii="宋体" w:hAnsi="宋体" w:eastAsia="宋体" w:cs="宋体"/>
                <w:color w:val="000000"/>
                <w:sz w:val="28"/>
                <w:szCs w:val="28"/>
                <w:highlight w:val="none"/>
              </w:rPr>
              <w:t xml:space="preserve">  </w:t>
            </w:r>
          </w:p>
          <w:p w14:paraId="17D40D5B">
            <w:pPr>
              <w:adjustRightInd w:val="0"/>
              <w:snapToGrid w:val="0"/>
              <w:spacing w:line="560" w:lineRule="exact"/>
              <w:ind w:firstLine="280" w:firstLineChars="100"/>
              <w:rPr>
                <w:color w:val="000000"/>
                <w:sz w:val="28"/>
                <w:szCs w:val="28"/>
                <w:highlight w:val="none"/>
              </w:rPr>
            </w:pPr>
            <w:r>
              <w:rPr>
                <w:rFonts w:hint="eastAsia"/>
                <w:color w:val="000000"/>
                <w:sz w:val="28"/>
                <w:szCs w:val="28"/>
                <w:highlight w:val="none"/>
              </w:rPr>
              <w:t xml:space="preserve">                                  </w:t>
            </w:r>
          </w:p>
          <w:p w14:paraId="7CE66219">
            <w:pPr>
              <w:adjustRightInd w:val="0"/>
              <w:snapToGrid w:val="0"/>
              <w:spacing w:line="560" w:lineRule="exact"/>
              <w:ind w:firstLine="280" w:firstLineChars="100"/>
              <w:rPr>
                <w:color w:val="000000"/>
                <w:sz w:val="28"/>
                <w:szCs w:val="28"/>
                <w:highlight w:val="none"/>
              </w:rPr>
            </w:pPr>
          </w:p>
          <w:p w14:paraId="46546578">
            <w:pPr>
              <w:adjustRightInd w:val="0"/>
              <w:snapToGrid w:val="0"/>
              <w:spacing w:line="560" w:lineRule="exact"/>
              <w:ind w:firstLine="280" w:firstLineChars="100"/>
              <w:jc w:val="center"/>
              <w:rPr>
                <w:color w:val="000000"/>
                <w:sz w:val="28"/>
                <w:szCs w:val="28"/>
                <w:highlight w:val="none"/>
              </w:rPr>
            </w:pPr>
            <w:r>
              <w:rPr>
                <w:rFonts w:hint="eastAsia"/>
                <w:color w:val="000000"/>
                <w:sz w:val="28"/>
                <w:szCs w:val="28"/>
                <w:highlight w:val="none"/>
              </w:rPr>
              <w:t xml:space="preserve">                               （</w:t>
            </w:r>
            <w:r>
              <w:rPr>
                <w:rFonts w:eastAsia="黑体"/>
                <w:color w:val="000000"/>
                <w:sz w:val="28"/>
                <w:szCs w:val="28"/>
                <w:highlight w:val="none"/>
              </w:rPr>
              <w:t>签</w:t>
            </w:r>
            <w:r>
              <w:rPr>
                <w:rFonts w:hint="eastAsia" w:eastAsia="黑体"/>
                <w:color w:val="000000"/>
                <w:sz w:val="28"/>
                <w:szCs w:val="28"/>
                <w:highlight w:val="none"/>
              </w:rPr>
              <w:t>章</w:t>
            </w:r>
            <w:r>
              <w:rPr>
                <w:rFonts w:hint="eastAsia"/>
                <w:color w:val="000000"/>
                <w:sz w:val="28"/>
                <w:szCs w:val="28"/>
                <w:highlight w:val="none"/>
              </w:rPr>
              <w:t>）</w:t>
            </w:r>
          </w:p>
          <w:p w14:paraId="4D5FC1FF">
            <w:pPr>
              <w:adjustRightInd w:val="0"/>
              <w:snapToGrid w:val="0"/>
              <w:spacing w:line="560" w:lineRule="exact"/>
              <w:ind w:firstLine="4900" w:firstLineChars="1750"/>
              <w:rPr>
                <w:color w:val="000000"/>
                <w:sz w:val="30"/>
                <w:highlight w:val="none"/>
              </w:rPr>
            </w:pPr>
            <w:r>
              <w:rPr>
                <w:rFonts w:hint="eastAsia"/>
                <w:color w:val="000000"/>
                <w:sz w:val="28"/>
                <w:szCs w:val="28"/>
                <w:highlight w:val="none"/>
              </w:rPr>
              <w:t xml:space="preserve">     </w:t>
            </w:r>
            <w:r>
              <w:rPr>
                <w:rFonts w:hint="eastAsia"/>
                <w:color w:val="000000"/>
                <w:sz w:val="28"/>
                <w:szCs w:val="28"/>
                <w:highlight w:val="none"/>
                <w:lang w:val="en-US" w:eastAsia="zh-CN"/>
              </w:rPr>
              <w:t xml:space="preserve">    </w:t>
            </w:r>
            <w:r>
              <w:rPr>
                <w:rFonts w:hint="eastAsia" w:ascii="宋体" w:hAnsi="宋体"/>
                <w:color w:val="000000"/>
                <w:sz w:val="28"/>
                <w:szCs w:val="28"/>
                <w:highlight w:val="none"/>
                <w:lang w:val="en-US" w:eastAsia="zh-CN"/>
              </w:rPr>
              <w:t>2025</w:t>
            </w:r>
            <w:r>
              <w:rPr>
                <w:rFonts w:hint="eastAsia" w:ascii="宋体" w:hAnsi="宋体"/>
                <w:color w:val="000000"/>
                <w:sz w:val="28"/>
                <w:szCs w:val="28"/>
                <w:highlight w:val="none"/>
              </w:rPr>
              <w:t>年</w:t>
            </w:r>
            <w:r>
              <w:rPr>
                <w:rFonts w:hint="eastAsia" w:ascii="宋体" w:hAnsi="宋体"/>
                <w:color w:val="000000"/>
                <w:sz w:val="28"/>
                <w:szCs w:val="28"/>
                <w:highlight w:val="none"/>
                <w:lang w:val="en-US" w:eastAsia="zh-CN"/>
              </w:rPr>
              <w:t>6</w:t>
            </w:r>
            <w:r>
              <w:rPr>
                <w:rFonts w:hint="eastAsia" w:ascii="宋体" w:hAnsi="宋体"/>
                <w:color w:val="000000"/>
                <w:sz w:val="28"/>
                <w:szCs w:val="28"/>
                <w:highlight w:val="none"/>
              </w:rPr>
              <w:t>月</w:t>
            </w:r>
            <w:r>
              <w:rPr>
                <w:rFonts w:hint="eastAsia" w:ascii="宋体" w:hAnsi="宋体"/>
                <w:color w:val="000000"/>
                <w:sz w:val="28"/>
                <w:szCs w:val="28"/>
                <w:highlight w:val="none"/>
                <w:lang w:val="en-US" w:eastAsia="zh-CN"/>
              </w:rPr>
              <w:t>20</w:t>
            </w:r>
            <w:r>
              <w:rPr>
                <w:rFonts w:hint="eastAsia" w:ascii="宋体" w:hAnsi="宋体"/>
                <w:color w:val="000000"/>
                <w:sz w:val="28"/>
                <w:szCs w:val="28"/>
                <w:highlight w:val="none"/>
              </w:rPr>
              <w:t>日</w:t>
            </w:r>
          </w:p>
        </w:tc>
      </w:tr>
    </w:tbl>
    <w:p w14:paraId="19397F2E">
      <w:pPr>
        <w:keepNext/>
        <w:keepLines/>
        <w:spacing w:before="200" w:after="200" w:line="600" w:lineRule="exact"/>
        <w:outlineLvl w:val="0"/>
        <w:rPr>
          <w:rFonts w:ascii="黑体" w:hAnsi="黑体" w:eastAsia="黑体"/>
          <w:b/>
          <w:bCs/>
          <w:color w:val="000000"/>
          <w:kern w:val="44"/>
          <w:sz w:val="28"/>
          <w:szCs w:val="28"/>
          <w:highlight w:val="none"/>
        </w:rPr>
      </w:pPr>
      <w:r>
        <w:rPr>
          <w:rFonts w:hint="eastAsia"/>
          <w:color w:val="000000"/>
          <w:sz w:val="24"/>
          <w:highlight w:val="none"/>
        </w:rPr>
        <w:br w:type="page"/>
      </w:r>
      <w:bookmarkStart w:id="966" w:name="OLE_LINK7"/>
      <w:bookmarkStart w:id="967" w:name="OLE_LINK25"/>
      <w:bookmarkStart w:id="968" w:name="OLE_LINK24"/>
      <w:r>
        <w:rPr>
          <w:rFonts w:hint="eastAsia" w:ascii="黑体" w:hAnsi="黑体" w:eastAsia="黑体"/>
          <w:b/>
          <w:bCs/>
          <w:color w:val="000000"/>
          <w:kern w:val="44"/>
          <w:sz w:val="36"/>
          <w:szCs w:val="28"/>
          <w:highlight w:val="none"/>
        </w:rPr>
        <w:t>附件1 关于联合惩戒失信行为加强信用查询管理的通知</w:t>
      </w:r>
    </w:p>
    <w:bookmarkEnd w:id="966"/>
    <w:p w14:paraId="4F8E5ADA">
      <w:pPr>
        <w:adjustRightInd w:val="0"/>
        <w:snapToGrid w:val="0"/>
        <w:spacing w:line="560" w:lineRule="exact"/>
        <w:ind w:firstLine="562" w:firstLineChars="200"/>
        <w:rPr>
          <w:rFonts w:hint="eastAsia"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一、失信行为联合惩戒的范围和查询渠道</w:t>
      </w:r>
    </w:p>
    <w:p w14:paraId="00166E23">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在我市公共资源交易活动中对存在下列失信行为的投标人、法定代表人及其项目经理（建造师）实施联合惩戒，禁止参与我市公共资源交易活动。</w:t>
      </w:r>
    </w:p>
    <w:p w14:paraId="54090796">
      <w:pPr>
        <w:adjustRightInd w:val="0"/>
        <w:snapToGrid w:val="0"/>
        <w:spacing w:line="560" w:lineRule="exact"/>
        <w:ind w:firstLine="562" w:firstLineChars="200"/>
        <w:rPr>
          <w:rFonts w:hint="eastAsia"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（一）工程建设项目</w:t>
      </w:r>
    </w:p>
    <w:bookmarkEnd w:id="967"/>
    <w:bookmarkEnd w:id="968"/>
    <w:p w14:paraId="38492B5C">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1、“信用中国”网站（www.creditchina.gov.cn）查询</w:t>
      </w:r>
      <w:bookmarkStart w:id="969" w:name="OLE_LINK92"/>
      <w:bookmarkStart w:id="970" w:name="OLE_LINK91"/>
      <w:bookmarkStart w:id="971" w:name="OLE_LINK103"/>
      <w:bookmarkStart w:id="972" w:name="OLE_LINK93"/>
      <w:r>
        <w:rPr>
          <w:rFonts w:hint="eastAsia" w:ascii="仿宋_GB2312" w:hAnsi="宋体" w:eastAsia="仿宋_GB2312"/>
          <w:color w:val="000000"/>
          <w:sz w:val="28"/>
          <w:szCs w:val="28"/>
          <w:highlight w:val="none"/>
        </w:rPr>
        <w:t>投标人、法定代表人及其项目经理(建造师)</w:t>
      </w:r>
      <w:bookmarkEnd w:id="969"/>
      <w:bookmarkEnd w:id="970"/>
      <w:bookmarkEnd w:id="971"/>
      <w:bookmarkEnd w:id="972"/>
      <w:r>
        <w:rPr>
          <w:rFonts w:hint="eastAsia" w:ascii="仿宋_GB2312" w:hAnsi="宋体" w:eastAsia="仿宋_GB2312"/>
          <w:color w:val="000000"/>
          <w:sz w:val="28"/>
          <w:szCs w:val="28"/>
          <w:highlight w:val="none"/>
        </w:rPr>
        <w:t>以下失信行为：</w:t>
      </w:r>
    </w:p>
    <w:p w14:paraId="55D4C0BE">
      <w:pPr>
        <w:adjustRightInd w:val="0"/>
        <w:snapToGrid w:val="0"/>
        <w:spacing w:line="560" w:lineRule="exact"/>
        <w:ind w:firstLine="560" w:firstLineChars="200"/>
        <w:rPr>
          <w:rFonts w:hint="eastAsia" w:ascii="仿宋_GB2312" w:hAnsi="宋体" w:eastAsia="仿宋_GB2312"/>
          <w:color w:val="000000"/>
          <w:sz w:val="28"/>
          <w:szCs w:val="28"/>
          <w:highlight w:val="none"/>
        </w:rPr>
      </w:pPr>
      <w:bookmarkStart w:id="973" w:name="OLE_LINK119"/>
      <w:bookmarkStart w:id="974" w:name="OLE_LINK87"/>
      <w:bookmarkStart w:id="975" w:name="OLE_LINK94"/>
      <w:bookmarkStart w:id="976" w:name="OLE_LINK86"/>
      <w:r>
        <w:rPr>
          <w:rFonts w:hint="eastAsia" w:ascii="仿宋_GB2312" w:hAnsi="宋体" w:eastAsia="仿宋_GB2312"/>
          <w:color w:val="000000"/>
          <w:sz w:val="28"/>
          <w:szCs w:val="28"/>
          <w:highlight w:val="none"/>
        </w:rPr>
        <w:t>①被列入“失信被执行人”的;</w:t>
      </w:r>
    </w:p>
    <w:p w14:paraId="471F2E59">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②被列入</w:t>
      </w:r>
      <w:bookmarkStart w:id="977" w:name="OLE_LINK116"/>
      <w:bookmarkStart w:id="978" w:name="OLE_LINK115"/>
      <w:bookmarkStart w:id="979" w:name="OLE_LINK117"/>
      <w:bookmarkStart w:id="980" w:name="OLE_LINK118"/>
      <w:r>
        <w:rPr>
          <w:rFonts w:hint="eastAsia" w:ascii="仿宋_GB2312" w:hAnsi="宋体" w:eastAsia="仿宋_GB2312"/>
          <w:color w:val="000000"/>
          <w:sz w:val="28"/>
          <w:szCs w:val="28"/>
          <w:highlight w:val="none"/>
        </w:rPr>
        <w:t>“重大税收违法失信主体”</w:t>
      </w:r>
      <w:bookmarkEnd w:id="977"/>
      <w:bookmarkEnd w:id="978"/>
      <w:bookmarkEnd w:id="979"/>
      <w:bookmarkEnd w:id="980"/>
      <w:r>
        <w:rPr>
          <w:rFonts w:hint="eastAsia" w:ascii="仿宋_GB2312" w:hAnsi="宋体" w:eastAsia="仿宋_GB2312"/>
          <w:color w:val="000000"/>
          <w:sz w:val="28"/>
          <w:szCs w:val="28"/>
          <w:highlight w:val="none"/>
        </w:rPr>
        <w:t>的；</w:t>
      </w:r>
    </w:p>
    <w:p w14:paraId="20A47EC0">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③被列入“拖欠</w:t>
      </w:r>
      <w:bookmarkStart w:id="981" w:name="OLE_LINK84"/>
      <w:bookmarkStart w:id="982" w:name="OLE_LINK85"/>
      <w:r>
        <w:rPr>
          <w:rFonts w:hint="eastAsia" w:ascii="仿宋_GB2312" w:hAnsi="宋体" w:eastAsia="仿宋_GB2312"/>
          <w:color w:val="000000"/>
          <w:sz w:val="28"/>
          <w:szCs w:val="28"/>
          <w:highlight w:val="none"/>
        </w:rPr>
        <w:t>农民工工资失信联合惩戒对象</w:t>
      </w:r>
      <w:bookmarkEnd w:id="981"/>
      <w:bookmarkEnd w:id="982"/>
      <w:r>
        <w:rPr>
          <w:rFonts w:hint="eastAsia" w:ascii="仿宋_GB2312" w:hAnsi="宋体" w:eastAsia="仿宋_GB2312"/>
          <w:color w:val="000000"/>
          <w:sz w:val="28"/>
          <w:szCs w:val="28"/>
          <w:highlight w:val="none"/>
        </w:rPr>
        <w:t>名单”的；</w:t>
      </w:r>
    </w:p>
    <w:p w14:paraId="7CD014EC">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④被列入 “严重失信主体名单”的；</w:t>
      </w:r>
    </w:p>
    <w:p w14:paraId="2E3B8FE0">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⑤在“信用中国”网站上披露的仍在公示期的严重失信行为(具体行为类别及判定依据见附件2)的。</w:t>
      </w:r>
    </w:p>
    <w:bookmarkEnd w:id="973"/>
    <w:bookmarkEnd w:id="974"/>
    <w:bookmarkEnd w:id="975"/>
    <w:bookmarkEnd w:id="976"/>
    <w:p w14:paraId="6DDDAC08">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2、</w:t>
      </w:r>
      <w:bookmarkStart w:id="983" w:name="OLE_LINK130"/>
      <w:r>
        <w:rPr>
          <w:rFonts w:hint="eastAsia" w:ascii="仿宋_GB2312" w:hAnsi="宋体" w:eastAsia="仿宋_GB2312"/>
          <w:color w:val="000000"/>
          <w:sz w:val="28"/>
          <w:szCs w:val="28"/>
          <w:highlight w:val="none"/>
        </w:rPr>
        <w:t>国家企业信用信息公示系统网站</w:t>
      </w:r>
      <w:bookmarkEnd w:id="983"/>
      <w:r>
        <w:rPr>
          <w:rFonts w:hint="eastAsia" w:ascii="仿宋_GB2312" w:hAnsi="宋体" w:eastAsia="仿宋_GB2312"/>
          <w:color w:val="000000"/>
          <w:sz w:val="28"/>
          <w:szCs w:val="28"/>
          <w:highlight w:val="none"/>
        </w:rPr>
        <w:t>（</w:t>
      </w:r>
      <w:r>
        <w:rPr>
          <w:color w:val="000000"/>
          <w:highlight w:val="none"/>
        </w:rPr>
        <w:fldChar w:fldCharType="begin"/>
      </w:r>
      <w:r>
        <w:rPr>
          <w:color w:val="000000"/>
          <w:highlight w:val="none"/>
        </w:rPr>
        <w:instrText xml:space="preserve"> </w:instrText>
      </w:r>
      <w:r>
        <w:rPr>
          <w:rFonts w:hint="eastAsia"/>
          <w:color w:val="000000"/>
          <w:highlight w:val="none"/>
        </w:rPr>
        <w:instrText xml:space="preserve">HYPERLINK "http://www.gsxt.gov.cn）查询"</w:instrText>
      </w:r>
      <w:r>
        <w:rPr>
          <w:color w:val="000000"/>
          <w:highlight w:val="none"/>
        </w:rPr>
        <w:instrText xml:space="preserve"> </w:instrText>
      </w:r>
      <w:r>
        <w:rPr>
          <w:color w:val="000000"/>
          <w:highlight w:val="none"/>
        </w:rPr>
        <w:fldChar w:fldCharType="separate"/>
      </w:r>
      <w:bookmarkStart w:id="984" w:name="OLE_LINK90"/>
      <w:bookmarkStart w:id="985" w:name="OLE_LINK89"/>
      <w:r>
        <w:rPr>
          <w:rStyle w:val="27"/>
          <w:rFonts w:hint="eastAsia" w:ascii="仿宋_GB2312" w:hAnsi="宋体" w:eastAsia="仿宋_GB2312"/>
          <w:color w:val="000000"/>
          <w:sz w:val="28"/>
          <w:szCs w:val="28"/>
          <w:highlight w:val="none"/>
        </w:rPr>
        <w:t>www.gsxt.gov.cn</w:t>
      </w:r>
      <w:bookmarkEnd w:id="984"/>
      <w:bookmarkEnd w:id="985"/>
      <w:r>
        <w:rPr>
          <w:rStyle w:val="27"/>
          <w:rFonts w:hint="eastAsia" w:ascii="仿宋_GB2312" w:hAnsi="宋体" w:eastAsia="仿宋_GB2312"/>
          <w:color w:val="000000"/>
          <w:sz w:val="28"/>
          <w:szCs w:val="28"/>
          <w:highlight w:val="none"/>
        </w:rPr>
        <w:t>）</w:t>
      </w:r>
      <w:r>
        <w:rPr>
          <w:color w:val="000000"/>
          <w:highlight w:val="none"/>
        </w:rPr>
        <w:fldChar w:fldCharType="end"/>
      </w:r>
      <w:r>
        <w:rPr>
          <w:rFonts w:hint="eastAsia" w:ascii="仿宋_GB2312" w:hAnsi="宋体" w:eastAsia="仿宋_GB2312"/>
          <w:color w:val="000000"/>
          <w:sz w:val="28"/>
          <w:szCs w:val="28"/>
          <w:highlight w:val="none"/>
        </w:rPr>
        <w:t>查询投标人以下失信行为：</w:t>
      </w:r>
    </w:p>
    <w:p w14:paraId="19D85DE0">
      <w:pPr>
        <w:adjustRightInd w:val="0"/>
        <w:snapToGrid w:val="0"/>
        <w:spacing w:line="560" w:lineRule="exact"/>
        <w:ind w:firstLine="560" w:firstLineChars="200"/>
        <w:rPr>
          <w:rFonts w:hint="eastAsia" w:ascii="仿宋_GB2312" w:hAnsi="宋体" w:eastAsia="仿宋_GB2312"/>
          <w:color w:val="000000"/>
          <w:sz w:val="28"/>
          <w:szCs w:val="28"/>
          <w:highlight w:val="none"/>
        </w:rPr>
      </w:pPr>
      <w:bookmarkStart w:id="986" w:name="OLE_LINK120"/>
      <w:bookmarkStart w:id="987" w:name="OLE_LINK121"/>
      <w:bookmarkStart w:id="988" w:name="OLE_LINK122"/>
      <w:r>
        <w:rPr>
          <w:rFonts w:hint="eastAsia" w:ascii="仿宋_GB2312" w:hAnsi="宋体" w:eastAsia="仿宋_GB2312"/>
          <w:color w:val="000000"/>
          <w:sz w:val="28"/>
          <w:szCs w:val="28"/>
          <w:highlight w:val="none"/>
        </w:rPr>
        <w:t>①被列入“经营异常名录”或者“严重违法失信名单”的。</w:t>
      </w:r>
      <w:bookmarkEnd w:id="986"/>
      <w:bookmarkEnd w:id="987"/>
      <w:bookmarkEnd w:id="988"/>
    </w:p>
    <w:p w14:paraId="41E1417D">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3、由</w:t>
      </w:r>
      <w:r>
        <w:rPr>
          <w:rFonts w:hint="eastAsia" w:ascii="仿宋_GB2312" w:hAnsi="宋体" w:eastAsia="仿宋_GB2312"/>
          <w:color w:val="000000"/>
          <w:kern w:val="0"/>
          <w:sz w:val="28"/>
          <w:szCs w:val="28"/>
          <w:highlight w:val="none"/>
        </w:rPr>
        <w:t>投标人、法定代表人及其项目经理(建造师)</w:t>
      </w:r>
      <w:r>
        <w:rPr>
          <w:rFonts w:hint="eastAsia" w:ascii="仿宋_GB2312" w:hAnsi="宋体" w:eastAsia="仿宋_GB2312"/>
          <w:color w:val="000000"/>
          <w:sz w:val="28"/>
          <w:szCs w:val="28"/>
          <w:highlight w:val="none"/>
        </w:rPr>
        <w:t>进行承诺，不进行现场网上信用查询的失信行为：</w:t>
      </w:r>
    </w:p>
    <w:p w14:paraId="667AB0A5">
      <w:pPr>
        <w:adjustRightInd w:val="0"/>
        <w:snapToGrid w:val="0"/>
        <w:spacing w:line="560" w:lineRule="exact"/>
        <w:ind w:firstLine="560" w:firstLineChars="200"/>
        <w:rPr>
          <w:rFonts w:hint="eastAsia" w:ascii="仿宋_GB2312" w:hAnsi="宋体" w:eastAsia="仿宋_GB2312" w:cs="楷体"/>
          <w:color w:val="000000"/>
          <w:sz w:val="28"/>
          <w:szCs w:val="28"/>
          <w:highlight w:val="none"/>
        </w:rPr>
      </w:pPr>
      <w:bookmarkStart w:id="989" w:name="OLE_LINK124"/>
      <w:bookmarkStart w:id="990" w:name="OLE_LINK123"/>
      <w:r>
        <w:rPr>
          <w:rFonts w:hint="eastAsia" w:ascii="仿宋_GB2312" w:hAnsi="宋体" w:eastAsia="仿宋_GB2312"/>
          <w:color w:val="000000"/>
          <w:sz w:val="28"/>
          <w:szCs w:val="28"/>
          <w:highlight w:val="none"/>
        </w:rPr>
        <w:t>①</w:t>
      </w:r>
      <w:r>
        <w:rPr>
          <w:rFonts w:hint="eastAsia" w:ascii="仿宋_GB2312" w:hAnsi="宋体" w:eastAsia="仿宋_GB2312" w:cs="楷体"/>
          <w:color w:val="000000"/>
          <w:sz w:val="28"/>
          <w:szCs w:val="28"/>
          <w:highlight w:val="none"/>
        </w:rPr>
        <w:t>前三年有行贿犯罪行为的单位和个人；</w:t>
      </w:r>
    </w:p>
    <w:p w14:paraId="7F021ECB">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②被滁州市县两级公管部门取消在一定期限内的投标资格且在取消期限内的；</w:t>
      </w:r>
    </w:p>
    <w:p w14:paraId="30C3AF53">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③被滁州市县两级各行业主管部门取消在一定期限内的投标资格且在取消期限内的；</w:t>
      </w:r>
    </w:p>
    <w:p w14:paraId="3EF16059">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④因拖欠农民工工资被</w:t>
      </w:r>
      <w:bookmarkStart w:id="991" w:name="OLE_LINK108"/>
      <w:bookmarkStart w:id="992" w:name="OLE_LINK107"/>
      <w:r>
        <w:rPr>
          <w:rFonts w:hint="eastAsia" w:ascii="仿宋_GB2312" w:hAnsi="宋体" w:eastAsia="仿宋_GB2312"/>
          <w:color w:val="000000"/>
          <w:sz w:val="28"/>
          <w:szCs w:val="28"/>
          <w:highlight w:val="none"/>
        </w:rPr>
        <w:t>县级及以上有关行政主管部门限制投标资格且在限制期限内的</w:t>
      </w:r>
      <w:bookmarkEnd w:id="991"/>
      <w:bookmarkEnd w:id="992"/>
      <w:r>
        <w:rPr>
          <w:rFonts w:hint="eastAsia" w:ascii="仿宋_GB2312" w:hAnsi="宋体" w:eastAsia="仿宋_GB2312"/>
          <w:color w:val="000000"/>
          <w:sz w:val="28"/>
          <w:szCs w:val="28"/>
          <w:highlight w:val="none"/>
        </w:rPr>
        <w:t>；</w:t>
      </w:r>
    </w:p>
    <w:p w14:paraId="282240E2">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⑤被列入省级、市级农民工工资支付异常名录的施工企业，在限制其参加全市范围内房建和市政工程建设项目投标的期限内的；列入县级异常名录的施工企业，在限制其参加本行政区域内房建和市政建设项目投标的期限内的。</w:t>
      </w:r>
    </w:p>
    <w:bookmarkEnd w:id="989"/>
    <w:bookmarkEnd w:id="990"/>
    <w:p w14:paraId="05E42C9F">
      <w:pPr>
        <w:adjustRightInd w:val="0"/>
        <w:snapToGrid w:val="0"/>
        <w:spacing w:line="560" w:lineRule="exact"/>
        <w:ind w:firstLine="562" w:firstLineChars="200"/>
        <w:rPr>
          <w:rFonts w:hint="eastAsia"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（二）政府采购项目</w:t>
      </w:r>
    </w:p>
    <w:p w14:paraId="455F2289">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1、“信用中国”网站</w:t>
      </w:r>
      <w:r>
        <w:rPr>
          <w:rFonts w:hint="eastAsia" w:ascii="仿宋" w:hAnsi="仿宋" w:eastAsia="仿宋"/>
          <w:color w:val="000000"/>
          <w:sz w:val="28"/>
          <w:szCs w:val="28"/>
          <w:highlight w:val="none"/>
        </w:rPr>
        <w:t>（</w:t>
      </w:r>
      <w:r>
        <w:rPr>
          <w:rStyle w:val="27"/>
          <w:rFonts w:hint="eastAsia" w:ascii="仿宋" w:hAnsi="仿宋" w:eastAsia="仿宋"/>
          <w:color w:val="000000"/>
          <w:sz w:val="28"/>
          <w:szCs w:val="28"/>
          <w:highlight w:val="none"/>
        </w:rPr>
        <w:t>www.creditchina.gov.cn</w:t>
      </w:r>
      <w:r>
        <w:rPr>
          <w:rFonts w:hint="eastAsia" w:ascii="仿宋" w:hAnsi="仿宋" w:eastAsia="仿宋"/>
          <w:color w:val="000000"/>
          <w:sz w:val="28"/>
          <w:szCs w:val="28"/>
          <w:highlight w:val="none"/>
        </w:rPr>
        <w:t>）</w:t>
      </w:r>
      <w:r>
        <w:rPr>
          <w:rFonts w:hint="eastAsia" w:ascii="仿宋_GB2312" w:hAnsi="宋体" w:eastAsia="仿宋_GB2312"/>
          <w:color w:val="000000"/>
          <w:sz w:val="28"/>
          <w:szCs w:val="28"/>
          <w:highlight w:val="none"/>
        </w:rPr>
        <w:t>查询供应商、法定代表人及其项目负责人以下失信行为：</w:t>
      </w:r>
    </w:p>
    <w:p w14:paraId="680611A3">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①被列入“失信被执行人”的;</w:t>
      </w:r>
    </w:p>
    <w:p w14:paraId="2793E1E5">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②被列入“重大税收违法失信主体”的；</w:t>
      </w:r>
    </w:p>
    <w:p w14:paraId="457823AF">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③被列入“拖欠农民工工资失信联合惩戒对象名单”的；</w:t>
      </w:r>
    </w:p>
    <w:p w14:paraId="1D32CBE7">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④被列入 “严重失信主体名单”的；</w:t>
      </w:r>
    </w:p>
    <w:p w14:paraId="30F58B14">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⑤在“信用中国”网站上披露的仍在公示期的严重失信行为(具体行为类别及判定依据见附件2)的。</w:t>
      </w:r>
    </w:p>
    <w:p w14:paraId="5CECF7B3">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2、国家企业信用信息公示系统网站</w:t>
      </w:r>
      <w:r>
        <w:rPr>
          <w:rFonts w:hint="eastAsia" w:ascii="仿宋" w:hAnsi="仿宋" w:eastAsia="仿宋"/>
          <w:color w:val="000000"/>
          <w:sz w:val="28"/>
          <w:szCs w:val="28"/>
          <w:highlight w:val="none"/>
        </w:rPr>
        <w:t>（</w:t>
      </w:r>
      <w:r>
        <w:rPr>
          <w:color w:val="000000"/>
          <w:highlight w:val="none"/>
        </w:rPr>
        <w:fldChar w:fldCharType="begin"/>
      </w:r>
      <w:r>
        <w:rPr>
          <w:color w:val="000000"/>
          <w:highlight w:val="none"/>
        </w:rPr>
        <w:instrText xml:space="preserve"> </w:instrText>
      </w:r>
      <w:r>
        <w:rPr>
          <w:rFonts w:hint="eastAsia"/>
          <w:color w:val="000000"/>
          <w:highlight w:val="none"/>
        </w:rPr>
        <w:instrText xml:space="preserve">HYPERLINK "http://www.gsxt.gov.cn）查询"</w:instrText>
      </w:r>
      <w:r>
        <w:rPr>
          <w:color w:val="000000"/>
          <w:highlight w:val="none"/>
        </w:rPr>
        <w:instrText xml:space="preserve"> </w:instrText>
      </w:r>
      <w:r>
        <w:rPr>
          <w:color w:val="000000"/>
          <w:highlight w:val="none"/>
        </w:rPr>
        <w:fldChar w:fldCharType="separate"/>
      </w:r>
      <w:r>
        <w:rPr>
          <w:rStyle w:val="27"/>
          <w:rFonts w:hint="eastAsia" w:ascii="仿宋" w:hAnsi="仿宋" w:eastAsia="仿宋"/>
          <w:color w:val="000000"/>
          <w:sz w:val="28"/>
          <w:szCs w:val="28"/>
          <w:highlight w:val="none"/>
        </w:rPr>
        <w:t>www.gsxt.gov.cn）</w:t>
      </w:r>
      <w:r>
        <w:rPr>
          <w:color w:val="000000"/>
          <w:highlight w:val="none"/>
        </w:rPr>
        <w:fldChar w:fldCharType="end"/>
      </w:r>
      <w:r>
        <w:rPr>
          <w:rFonts w:hint="eastAsia" w:ascii="仿宋_GB2312" w:hAnsi="宋体" w:eastAsia="仿宋_GB2312"/>
          <w:color w:val="000000"/>
          <w:sz w:val="28"/>
          <w:szCs w:val="28"/>
          <w:highlight w:val="none"/>
        </w:rPr>
        <w:t>查询供应商以下失信行为：</w:t>
      </w:r>
    </w:p>
    <w:p w14:paraId="74AE3A1E">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①</w:t>
      </w:r>
      <w:bookmarkStart w:id="993" w:name="OLE_LINK101"/>
      <w:bookmarkStart w:id="994" w:name="OLE_LINK102"/>
      <w:bookmarkStart w:id="995" w:name="OLE_LINK100"/>
      <w:r>
        <w:rPr>
          <w:rFonts w:hint="eastAsia" w:ascii="仿宋_GB2312" w:hAnsi="宋体" w:eastAsia="仿宋_GB2312"/>
          <w:color w:val="000000"/>
          <w:sz w:val="28"/>
          <w:szCs w:val="28"/>
          <w:highlight w:val="none"/>
        </w:rPr>
        <w:t>被列入“经营异常名录”或者“严重违法失信名单”的</w:t>
      </w:r>
      <w:bookmarkEnd w:id="993"/>
      <w:bookmarkEnd w:id="994"/>
      <w:bookmarkEnd w:id="995"/>
      <w:r>
        <w:rPr>
          <w:rFonts w:hint="eastAsia" w:ascii="仿宋_GB2312" w:hAnsi="宋体" w:eastAsia="仿宋_GB2312"/>
          <w:color w:val="000000"/>
          <w:sz w:val="28"/>
          <w:szCs w:val="28"/>
          <w:highlight w:val="none"/>
        </w:rPr>
        <w:t>。</w:t>
      </w:r>
    </w:p>
    <w:p w14:paraId="05F2C321">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3、中国政府采购网站</w:t>
      </w:r>
      <w:r>
        <w:rPr>
          <w:rFonts w:hint="eastAsia" w:ascii="仿宋" w:hAnsi="仿宋" w:eastAsia="仿宋"/>
          <w:color w:val="000000"/>
          <w:sz w:val="28"/>
          <w:szCs w:val="28"/>
          <w:highlight w:val="none"/>
        </w:rPr>
        <w:t>（</w:t>
      </w:r>
      <w:bookmarkStart w:id="996" w:name="OLE_LINK96"/>
      <w:bookmarkStart w:id="997" w:name="OLE_LINK95"/>
      <w:r>
        <w:rPr>
          <w:rFonts w:ascii="仿宋" w:hAnsi="仿宋" w:eastAsia="仿宋"/>
          <w:color w:val="000000"/>
          <w:sz w:val="28"/>
          <w:szCs w:val="28"/>
          <w:highlight w:val="none"/>
        </w:rPr>
        <w:fldChar w:fldCharType="begin"/>
      </w:r>
      <w:r>
        <w:rPr>
          <w:rFonts w:ascii="仿宋" w:hAnsi="仿宋" w:eastAsia="仿宋"/>
          <w:color w:val="000000"/>
          <w:sz w:val="28"/>
          <w:szCs w:val="28"/>
          <w:highlight w:val="none"/>
        </w:rPr>
        <w:instrText xml:space="preserve"> HYPERLINK "http://www.ccgp.gov.cn" </w:instrText>
      </w:r>
      <w:r>
        <w:rPr>
          <w:rFonts w:ascii="仿宋" w:hAnsi="仿宋" w:eastAsia="仿宋"/>
          <w:color w:val="000000"/>
          <w:sz w:val="28"/>
          <w:szCs w:val="28"/>
          <w:highlight w:val="none"/>
        </w:rPr>
        <w:fldChar w:fldCharType="separate"/>
      </w:r>
      <w:r>
        <w:rPr>
          <w:rStyle w:val="27"/>
          <w:rFonts w:hint="eastAsia" w:ascii="仿宋" w:hAnsi="仿宋" w:eastAsia="仿宋"/>
          <w:color w:val="000000"/>
          <w:sz w:val="28"/>
          <w:szCs w:val="28"/>
          <w:highlight w:val="none"/>
        </w:rPr>
        <w:t>www.ccgp.gov.cn</w:t>
      </w:r>
      <w:r>
        <w:rPr>
          <w:rFonts w:ascii="仿宋" w:hAnsi="仿宋" w:eastAsia="仿宋"/>
          <w:color w:val="000000"/>
          <w:sz w:val="28"/>
          <w:szCs w:val="28"/>
          <w:highlight w:val="none"/>
        </w:rPr>
        <w:fldChar w:fldCharType="end"/>
      </w:r>
      <w:bookmarkEnd w:id="996"/>
      <w:bookmarkEnd w:id="997"/>
      <w:r>
        <w:rPr>
          <w:rFonts w:hint="eastAsia" w:ascii="仿宋" w:hAnsi="仿宋" w:eastAsia="仿宋"/>
          <w:color w:val="000000"/>
          <w:sz w:val="28"/>
          <w:szCs w:val="28"/>
          <w:highlight w:val="none"/>
        </w:rPr>
        <w:t>）</w:t>
      </w:r>
      <w:r>
        <w:rPr>
          <w:rFonts w:hint="eastAsia" w:ascii="仿宋_GB2312" w:hAnsi="宋体" w:eastAsia="仿宋_GB2312"/>
          <w:color w:val="000000"/>
          <w:sz w:val="28"/>
          <w:szCs w:val="28"/>
          <w:highlight w:val="none"/>
        </w:rPr>
        <w:t>查询以下失信行为：</w:t>
      </w:r>
    </w:p>
    <w:p w14:paraId="0C9468BB">
      <w:pPr>
        <w:adjustRightInd w:val="0"/>
        <w:snapToGrid w:val="0"/>
        <w:spacing w:line="560" w:lineRule="exact"/>
        <w:ind w:firstLine="560" w:firstLineChars="200"/>
        <w:rPr>
          <w:rFonts w:hint="eastAsia" w:ascii="仿宋_GB2312" w:hAnsi="宋体" w:eastAsia="仿宋_GB2312" w:cs="楷体"/>
          <w:color w:val="000000"/>
          <w:sz w:val="28"/>
          <w:szCs w:val="28"/>
          <w:highlight w:val="none"/>
        </w:rPr>
      </w:pPr>
      <w:r>
        <w:rPr>
          <w:rFonts w:hint="eastAsia" w:ascii="仿宋_GB2312" w:hAnsi="宋体" w:eastAsia="仿宋_GB2312"/>
          <w:color w:val="000000"/>
          <w:sz w:val="28"/>
          <w:szCs w:val="28"/>
          <w:highlight w:val="none"/>
        </w:rPr>
        <w:t>①</w:t>
      </w:r>
      <w:bookmarkStart w:id="998" w:name="OLE_LINK106"/>
      <w:bookmarkStart w:id="999" w:name="OLE_LINK104"/>
      <w:bookmarkStart w:id="1000" w:name="OLE_LINK105"/>
      <w:r>
        <w:rPr>
          <w:rFonts w:hint="eastAsia" w:ascii="仿宋_GB2312" w:hAnsi="宋体" w:eastAsia="仿宋_GB2312"/>
          <w:color w:val="000000"/>
          <w:sz w:val="28"/>
          <w:szCs w:val="28"/>
          <w:highlight w:val="none"/>
        </w:rPr>
        <w:t>被列入“政府采购严重违法失信行为信息记录”的</w:t>
      </w:r>
      <w:bookmarkEnd w:id="998"/>
      <w:bookmarkEnd w:id="999"/>
      <w:bookmarkEnd w:id="1000"/>
      <w:r>
        <w:rPr>
          <w:rFonts w:hint="eastAsia" w:ascii="仿宋_GB2312" w:hAnsi="宋体" w:eastAsia="仿宋_GB2312" w:cs="楷体"/>
          <w:color w:val="000000"/>
          <w:sz w:val="28"/>
          <w:szCs w:val="28"/>
          <w:highlight w:val="none"/>
        </w:rPr>
        <w:t>。</w:t>
      </w:r>
    </w:p>
    <w:p w14:paraId="317F2D81">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4、由竞争主体进行承诺，不进行现场网上信用查询的失信行为：</w:t>
      </w:r>
    </w:p>
    <w:p w14:paraId="36C0CCD2">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①</w:t>
      </w:r>
      <w:r>
        <w:rPr>
          <w:rFonts w:hint="eastAsia" w:ascii="仿宋_GB2312" w:hAnsi="宋体" w:eastAsia="仿宋_GB2312" w:cs="楷体"/>
          <w:color w:val="000000"/>
          <w:sz w:val="28"/>
          <w:szCs w:val="28"/>
          <w:highlight w:val="none"/>
        </w:rPr>
        <w:t>前三年有行贿犯罪行为的单位和个人</w:t>
      </w:r>
      <w:r>
        <w:rPr>
          <w:rFonts w:hint="eastAsia" w:ascii="仿宋_GB2312" w:hAnsi="宋体" w:eastAsia="仿宋_GB2312"/>
          <w:color w:val="000000"/>
          <w:sz w:val="28"/>
          <w:szCs w:val="28"/>
          <w:highlight w:val="none"/>
        </w:rPr>
        <w:t>。</w:t>
      </w:r>
    </w:p>
    <w:p w14:paraId="64C5E5F0">
      <w:pPr>
        <w:adjustRightInd w:val="0"/>
        <w:snapToGrid w:val="0"/>
        <w:spacing w:line="560" w:lineRule="exact"/>
        <w:ind w:firstLine="562" w:firstLineChars="200"/>
        <w:rPr>
          <w:rFonts w:hint="eastAsia"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二、在开评标活动中的查询程序</w:t>
      </w:r>
    </w:p>
    <w:p w14:paraId="5ADE614D">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1、实行有限数量制资格审查的项目，由项目单位（代理机构）对入围的投标人、法定代表人及其项目经理（建造师）是否存在上述要求查询的失信行为进行网上核查；若核查结果与投标人承诺不一致，则提交评标委员会取消其入围资格，依次进行替补，并对替补单位进行核查。评审结论以核查后入围的结果重新计算最终评标基准价。</w:t>
      </w:r>
    </w:p>
    <w:p w14:paraId="0859E5FB">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2、不实行有限数量制资格审查的项目，由项目单位（代理机构）对预中标候选人、法定代表人及其项目经理（建造师）是否存在上述要求查询的失信行为进行网上核查后，提交网站截图等查询记录给评标委员会复核。若核查结果不符合招标文件规定的投标人资格条件信誉要求，由评标委员会取消其预中标候选人资格，并依次替补，再次对替补单位进行核查。如评标现场未发现问题但标后质疑（异议）、投诉发现中标候选人存在信誉问题，则组织评标委员会重新启动复核程序。核查结果不改变原评标基准价。</w:t>
      </w:r>
    </w:p>
    <w:p w14:paraId="605B91B0">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3、项目单位及其委托的代理机构应当做好信用查询结果截图和记录留存。</w:t>
      </w:r>
    </w:p>
    <w:p w14:paraId="3132CE7E">
      <w:pPr>
        <w:adjustRightInd w:val="0"/>
        <w:snapToGrid w:val="0"/>
        <w:spacing w:line="560" w:lineRule="exact"/>
        <w:ind w:firstLine="562" w:firstLineChars="200"/>
        <w:rPr>
          <w:rFonts w:hint="eastAsia"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三、相关要求</w:t>
      </w:r>
    </w:p>
    <w:p w14:paraId="077301C4">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1、参与公共资源交易活动的竞争主体根据上述范围查询的内容进行自查并承诺，出具《诚信投标承诺书》（诚信投标承诺书包括但不限于上述自查并承诺内容）并注明承诺日期（投标截止时间前5日内）。</w:t>
      </w:r>
    </w:p>
    <w:p w14:paraId="57D3BF2A">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经核查，竞争主体在承诺日期之前（没有承诺日期的以资格审查日或开标日之前）有上述失信行为进行虚假承诺的，将视作不诚信行为，资格审查委员会或评标委员会及代理机构应当及时报告公共资源监管部门，依法依规予以处理。</w:t>
      </w:r>
    </w:p>
    <w:p w14:paraId="62D73784">
      <w:pPr>
        <w:wordWrap w:val="0"/>
        <w:adjustRightInd w:val="0"/>
        <w:snapToGrid w:val="0"/>
        <w:spacing w:line="560" w:lineRule="exact"/>
        <w:ind w:firstLine="560" w:firstLineChars="200"/>
        <w:rPr>
          <w:rFonts w:hint="eastAsia" w:ascii="Times New Roman" w:hAnsi="Times New Roman"/>
          <w:color w:val="000000"/>
          <w:szCs w:val="24"/>
          <w:highlight w:val="none"/>
        </w:rPr>
      </w:pPr>
      <w:r>
        <w:rPr>
          <w:rFonts w:hint="eastAsia" w:ascii="仿宋_GB2312" w:hAnsi="宋体" w:eastAsia="仿宋_GB2312"/>
          <w:color w:val="000000"/>
          <w:sz w:val="28"/>
          <w:szCs w:val="28"/>
          <w:highlight w:val="none"/>
        </w:rPr>
        <w:t xml:space="preserve">注册地在安徽省内且未在安徽省外开展业务、省外无违法违规行为的企业可通过安徽政务服务网开具由安徽省公共信用信息服务中心出具的《公共信用信息报告（无违法违规证明版或核查版）》代替《诚信投标承诺书》。《公共信用信息报告（无违法违规证明版或核查版）》可通过 “信用中国(安徽)”网站信用报告核验系统 ( </w:t>
      </w:r>
      <w:r>
        <w:rPr>
          <w:color w:val="000000"/>
          <w:highlight w:val="none"/>
        </w:rPr>
        <w:fldChar w:fldCharType="begin"/>
      </w:r>
      <w:r>
        <w:rPr>
          <w:color w:val="000000"/>
          <w:highlight w:val="none"/>
        </w:rPr>
        <w:instrText xml:space="preserve"> HYPERLINK "https://credit.ah.gov.cn/xinyong-fuwu/xvbahv/index.html" </w:instrText>
      </w:r>
      <w:r>
        <w:rPr>
          <w:color w:val="000000"/>
          <w:highlight w:val="none"/>
        </w:rPr>
        <w:fldChar w:fldCharType="separate"/>
      </w:r>
      <w:r>
        <w:rPr>
          <w:rStyle w:val="27"/>
          <w:rFonts w:hint="eastAsia" w:ascii="仿宋_GB2312" w:hAnsi="宋体" w:eastAsia="仿宋_GB2312"/>
          <w:color w:val="000000"/>
          <w:sz w:val="28"/>
          <w:szCs w:val="28"/>
          <w:highlight w:val="none"/>
        </w:rPr>
        <w:t>https://credit.ah.gov.cn/xinyong-fuwu/xvbahv/index.html</w:t>
      </w:r>
      <w:r>
        <w:rPr>
          <w:color w:val="000000"/>
          <w:highlight w:val="none"/>
        </w:rPr>
        <w:fldChar w:fldCharType="end"/>
      </w:r>
      <w:r>
        <w:rPr>
          <w:rFonts w:hint="eastAsia" w:ascii="仿宋_GB2312" w:hAnsi="宋体" w:eastAsia="仿宋_GB2312"/>
          <w:color w:val="000000"/>
          <w:sz w:val="28"/>
          <w:szCs w:val="28"/>
          <w:highlight w:val="none"/>
        </w:rPr>
        <w:t>)进行核验。核验不一致或提交《公共信用信息报告（无违法违规证明版或核查版）》的企业在省外有失信行为的将视作不诚信行为，资格审查委员会或评标委员会及代理机构应当及时报告公共资源监管部门，依法依规予以处理。</w:t>
      </w:r>
    </w:p>
    <w:p w14:paraId="3907A71D">
      <w:pPr>
        <w:adjustRightInd w:val="0"/>
        <w:snapToGrid w:val="0"/>
        <w:spacing w:line="560" w:lineRule="exact"/>
        <w:ind w:firstLine="562" w:firstLineChars="200"/>
        <w:rPr>
          <w:rFonts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2、“信用中国”查询的严重失信行为判定依据为各行业主管部门下发的联合惩戒文件中规定的行为（按附件2执行）。</w:t>
      </w:r>
    </w:p>
    <w:p w14:paraId="535411DC">
      <w:pPr>
        <w:adjustRightInd w:val="0"/>
        <w:snapToGrid w:val="0"/>
        <w:spacing w:line="560" w:lineRule="exact"/>
        <w:ind w:firstLine="560" w:firstLineChars="200"/>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3、资格预审的项目以递交资格预审申请文件截止时间查询为准；资格后审的项目以递交投标文件截止时间查询为准。</w:t>
      </w:r>
    </w:p>
    <w:p w14:paraId="25D3E4B2">
      <w:pPr>
        <w:ind w:right="960"/>
        <w:rPr>
          <w:rFonts w:hint="eastAsia" w:ascii="仿宋" w:hAnsi="仿宋" w:eastAsia="仿宋"/>
          <w:color w:val="000000"/>
          <w:sz w:val="32"/>
          <w:szCs w:val="32"/>
          <w:highlight w:val="none"/>
        </w:rPr>
      </w:pPr>
    </w:p>
    <w:p w14:paraId="4DACF02A">
      <w:pPr>
        <w:ind w:right="960"/>
        <w:rPr>
          <w:rFonts w:hint="eastAsia" w:ascii="仿宋" w:hAnsi="仿宋" w:eastAsia="仿宋"/>
          <w:color w:val="000000"/>
          <w:sz w:val="32"/>
          <w:szCs w:val="32"/>
          <w:highlight w:val="none"/>
        </w:rPr>
      </w:pPr>
    </w:p>
    <w:p w14:paraId="4050555B">
      <w:pPr>
        <w:ind w:right="960"/>
        <w:rPr>
          <w:rFonts w:hint="eastAsia" w:ascii="仿宋" w:hAnsi="仿宋" w:eastAsia="仿宋"/>
          <w:color w:val="000000"/>
          <w:sz w:val="32"/>
          <w:szCs w:val="32"/>
          <w:highlight w:val="none"/>
        </w:rPr>
      </w:pPr>
    </w:p>
    <w:p w14:paraId="4CBDF5D3">
      <w:pPr>
        <w:ind w:right="960"/>
        <w:rPr>
          <w:rFonts w:hint="eastAsia" w:ascii="仿宋" w:hAnsi="仿宋" w:eastAsia="仿宋"/>
          <w:color w:val="000000"/>
          <w:sz w:val="32"/>
          <w:szCs w:val="32"/>
          <w:highlight w:val="none"/>
        </w:rPr>
      </w:pPr>
    </w:p>
    <w:p w14:paraId="17393019">
      <w:pPr>
        <w:ind w:right="960"/>
        <w:rPr>
          <w:rFonts w:hint="eastAsia" w:ascii="仿宋" w:hAnsi="仿宋" w:eastAsia="仿宋"/>
          <w:color w:val="000000"/>
          <w:sz w:val="32"/>
          <w:szCs w:val="32"/>
          <w:highlight w:val="none"/>
        </w:rPr>
      </w:pPr>
    </w:p>
    <w:p w14:paraId="156D2C21">
      <w:pPr>
        <w:ind w:right="960"/>
        <w:rPr>
          <w:rFonts w:hint="eastAsia" w:ascii="仿宋" w:hAnsi="仿宋" w:eastAsia="仿宋"/>
          <w:color w:val="000000"/>
          <w:sz w:val="32"/>
          <w:szCs w:val="32"/>
          <w:highlight w:val="none"/>
        </w:rPr>
      </w:pPr>
    </w:p>
    <w:p w14:paraId="0DE7D9A1">
      <w:pPr>
        <w:ind w:right="960"/>
        <w:rPr>
          <w:rFonts w:hint="eastAsia" w:ascii="仿宋" w:hAnsi="仿宋" w:eastAsia="仿宋"/>
          <w:color w:val="000000"/>
          <w:sz w:val="32"/>
          <w:szCs w:val="32"/>
          <w:highlight w:val="none"/>
        </w:rPr>
      </w:pPr>
    </w:p>
    <w:p w14:paraId="0FC7A545">
      <w:pPr>
        <w:ind w:right="960"/>
        <w:rPr>
          <w:rFonts w:hint="eastAsia" w:ascii="仿宋" w:hAnsi="仿宋" w:eastAsia="仿宋"/>
          <w:color w:val="000000"/>
          <w:sz w:val="32"/>
          <w:szCs w:val="32"/>
          <w:highlight w:val="none"/>
        </w:rPr>
      </w:pPr>
    </w:p>
    <w:p w14:paraId="0FC564D5">
      <w:pPr>
        <w:pStyle w:val="17"/>
        <w:rPr>
          <w:rFonts w:hint="eastAsia"/>
          <w:color w:val="000000"/>
          <w:highlight w:val="none"/>
        </w:rPr>
      </w:pPr>
    </w:p>
    <w:p w14:paraId="7088D26B">
      <w:pPr>
        <w:rPr>
          <w:color w:val="000000"/>
          <w:highlight w:val="none"/>
        </w:rPr>
      </w:pPr>
    </w:p>
    <w:p w14:paraId="1271732A">
      <w:pPr>
        <w:pStyle w:val="17"/>
        <w:rPr>
          <w:color w:val="000000"/>
          <w:highlight w:val="none"/>
        </w:rPr>
      </w:pPr>
    </w:p>
    <w:p w14:paraId="5E66E6B0">
      <w:pPr>
        <w:rPr>
          <w:color w:val="000000"/>
          <w:highlight w:val="none"/>
        </w:rPr>
      </w:pPr>
    </w:p>
    <w:p w14:paraId="61D4DC22">
      <w:pPr>
        <w:pStyle w:val="17"/>
        <w:rPr>
          <w:color w:val="000000"/>
          <w:highlight w:val="none"/>
        </w:rPr>
      </w:pPr>
    </w:p>
    <w:p w14:paraId="04DFC29C">
      <w:pPr>
        <w:rPr>
          <w:color w:val="000000"/>
          <w:highlight w:val="none"/>
        </w:rPr>
      </w:pPr>
    </w:p>
    <w:p w14:paraId="0B8D950D">
      <w:pPr>
        <w:pStyle w:val="17"/>
        <w:rPr>
          <w:color w:val="000000"/>
          <w:highlight w:val="none"/>
        </w:rPr>
      </w:pPr>
    </w:p>
    <w:p w14:paraId="5C1F4FB3">
      <w:pPr>
        <w:rPr>
          <w:color w:val="000000"/>
          <w:highlight w:val="none"/>
        </w:rPr>
      </w:pPr>
    </w:p>
    <w:p w14:paraId="00E9BE4A">
      <w:pPr>
        <w:ind w:right="960"/>
        <w:rPr>
          <w:rFonts w:hint="eastAsia" w:ascii="仿宋" w:hAnsi="仿宋" w:eastAsia="仿宋"/>
          <w:color w:val="000000"/>
          <w:sz w:val="32"/>
          <w:szCs w:val="32"/>
          <w:highlight w:val="none"/>
        </w:rPr>
      </w:pPr>
    </w:p>
    <w:p w14:paraId="57921B88">
      <w:pPr>
        <w:ind w:right="960"/>
        <w:rPr>
          <w:rFonts w:ascii="仿宋" w:hAnsi="仿宋" w:eastAsia="仿宋"/>
          <w:color w:val="000000"/>
          <w:sz w:val="32"/>
          <w:szCs w:val="32"/>
          <w:highlight w:val="none"/>
        </w:rPr>
      </w:pPr>
    </w:p>
    <w:p w14:paraId="1345A06A">
      <w:pPr>
        <w:keepNext/>
        <w:keepLines/>
        <w:spacing w:before="200" w:after="200" w:line="600" w:lineRule="exact"/>
        <w:outlineLvl w:val="0"/>
        <w:rPr>
          <w:rFonts w:hint="eastAsia" w:ascii="黑体" w:hAnsi="黑体" w:eastAsia="黑体"/>
          <w:b/>
          <w:bCs/>
          <w:color w:val="000000"/>
          <w:kern w:val="44"/>
          <w:sz w:val="36"/>
          <w:szCs w:val="28"/>
          <w:highlight w:val="none"/>
        </w:rPr>
      </w:pPr>
      <w:bookmarkStart w:id="1001" w:name="_Toc95223549"/>
      <w:bookmarkStart w:id="1002" w:name="OLE_LINK31"/>
      <w:bookmarkStart w:id="1003" w:name="OLE_LINK32"/>
      <w:bookmarkStart w:id="1004" w:name="OLE_LINK41"/>
      <w:r>
        <w:rPr>
          <w:rFonts w:hint="eastAsia" w:ascii="黑体" w:hAnsi="黑体" w:eastAsia="黑体"/>
          <w:b/>
          <w:bCs/>
          <w:color w:val="000000"/>
          <w:kern w:val="44"/>
          <w:sz w:val="36"/>
          <w:szCs w:val="28"/>
          <w:highlight w:val="none"/>
        </w:rPr>
        <w:t xml:space="preserve">附件2 </w:t>
      </w:r>
      <w:bookmarkStart w:id="1005" w:name="OLE_LINK74"/>
      <w:bookmarkStart w:id="1006" w:name="OLE_LINK75"/>
      <w:r>
        <w:rPr>
          <w:rFonts w:hint="eastAsia" w:ascii="黑体" w:hAnsi="黑体" w:eastAsia="黑体"/>
          <w:b/>
          <w:bCs/>
          <w:color w:val="000000"/>
          <w:kern w:val="44"/>
          <w:sz w:val="36"/>
          <w:szCs w:val="28"/>
          <w:highlight w:val="none"/>
        </w:rPr>
        <w:t>“信用中国”查询的严重失信行为</w:t>
      </w:r>
      <w:bookmarkStart w:id="1007" w:name="OLE_LINK40"/>
      <w:bookmarkStart w:id="1008" w:name="OLE_LINK76"/>
      <w:r>
        <w:rPr>
          <w:rFonts w:hint="eastAsia" w:ascii="黑体" w:hAnsi="黑体" w:eastAsia="黑体"/>
          <w:b/>
          <w:bCs/>
          <w:color w:val="000000"/>
          <w:kern w:val="44"/>
          <w:sz w:val="36"/>
          <w:szCs w:val="28"/>
          <w:highlight w:val="none"/>
        </w:rPr>
        <w:t>类别及判定依据</w:t>
      </w:r>
      <w:bookmarkEnd w:id="1001"/>
      <w:bookmarkEnd w:id="1005"/>
      <w:bookmarkEnd w:id="1006"/>
      <w:bookmarkEnd w:id="1007"/>
      <w:bookmarkEnd w:id="1008"/>
    </w:p>
    <w:bookmarkEnd w:id="1002"/>
    <w:bookmarkEnd w:id="1003"/>
    <w:bookmarkEnd w:id="1004"/>
    <w:p w14:paraId="48E44EF1">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32"/>
          <w:szCs w:val="32"/>
          <w:highlight w:val="none"/>
        </w:rPr>
        <w:t>“</w:t>
      </w:r>
      <w:r>
        <w:rPr>
          <w:rFonts w:hint="eastAsia" w:ascii="仿宋_GB2312" w:hAnsi="宋体" w:eastAsia="仿宋_GB2312"/>
          <w:color w:val="000000"/>
          <w:sz w:val="28"/>
          <w:szCs w:val="28"/>
          <w:highlight w:val="none"/>
        </w:rPr>
        <w:t>信用中国”查询的严重失信行为判定依据为各行业主管部门下发的联合惩戒文件中规定的行为。下面将部分类别的严重失信行为列举如下：</w:t>
      </w:r>
    </w:p>
    <w:p w14:paraId="07CC5F2E">
      <w:pPr>
        <w:adjustRightInd w:val="0"/>
        <w:snapToGrid w:val="0"/>
        <w:spacing w:line="560" w:lineRule="exact"/>
        <w:ind w:firstLine="645"/>
        <w:jc w:val="left"/>
        <w:rPr>
          <w:rFonts w:hint="eastAsia"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一、安全生产领域严重失信行为：</w:t>
      </w:r>
    </w:p>
    <w:p w14:paraId="26E19EDB">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（一）下列发生生产安全事故的生产经营单位及其有关人员应当列入严重失信主体名单：</w:t>
      </w:r>
    </w:p>
    <w:p w14:paraId="1E024106">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1、发生特别重大、重大生产安全事故的生产经营单位及其主要负责人，以及经调查认定对该事故发生负有责任，应当列入名单的其他单位和人员；</w:t>
      </w:r>
    </w:p>
    <w:p w14:paraId="620C86F4">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2、12个月内累计发生2起以上较大生产安全事故的生产经营单位及其主要负责人；</w:t>
      </w:r>
    </w:p>
    <w:p w14:paraId="5FD26307">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3、发生生产安全事故，情节特别严重、影响特别恶劣，依照《中华人民共和国安全生产法》第一百一十四条的规定被处以罚款数额2倍以上5倍以下罚款的生产经营单位及其主要负责人；</w:t>
      </w:r>
    </w:p>
    <w:p w14:paraId="0B29D576">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4、瞒报、谎报生产安全事故的生产经营单位及其有关责任人员；</w:t>
      </w:r>
    </w:p>
    <w:p w14:paraId="3E367E11">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5、发生生产安全事故后，不立即组织抢救或者在事故调查处理期间擅离职守或者逃匿的生产经营单位主要负责人。</w:t>
      </w:r>
    </w:p>
    <w:p w14:paraId="17582012">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（二）下列未发生生产安全事故，但因安全生产违法行为，受到行政处罚的生产经营单位或者机构及其有关人员，应当列入严重失信主体名单：</w:t>
      </w:r>
    </w:p>
    <w:p w14:paraId="2758FDF5">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1、未依法取得安全生产相关许可或者许可被暂扣、吊销期间从事相关生产经营活动的生产经营单位及其主要负责人；</w:t>
      </w:r>
    </w:p>
    <w:p w14:paraId="338B1FEF">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2、承担安全评价、认证、检测、检验职责的机构及其直接责任人员租借资质、挂靠、出具虚假报告或者证书的；</w:t>
      </w:r>
    </w:p>
    <w:p w14:paraId="0716A7FD">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3、在应急管理部门作出行政处罚后，有执行能力拒不执行或者逃避执行的生产经营单位及其主要负责人；</w:t>
      </w:r>
    </w:p>
    <w:p w14:paraId="6664E633">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4、其他违反安全生产法律法规受到行政处罚，且性质恶劣、情节严重的。</w:t>
      </w:r>
    </w:p>
    <w:p w14:paraId="477C39FE">
      <w:pPr>
        <w:adjustRightInd w:val="0"/>
        <w:snapToGrid w:val="0"/>
        <w:spacing w:line="560" w:lineRule="exact"/>
        <w:ind w:firstLine="645"/>
        <w:jc w:val="left"/>
        <w:rPr>
          <w:rFonts w:hint="eastAsia" w:ascii="仿宋_GB2312" w:eastAsia="仿宋_GB2312"/>
          <w:b/>
          <w:color w:val="000000"/>
          <w:sz w:val="28"/>
          <w:szCs w:val="28"/>
          <w:highlight w:val="none"/>
        </w:rPr>
      </w:pPr>
      <w:r>
        <w:rPr>
          <w:rFonts w:hint="eastAsia" w:ascii="仿宋_GB2312" w:hAnsi="宋体" w:eastAsia="仿宋_GB2312"/>
          <w:b/>
          <w:color w:val="000000"/>
          <w:sz w:val="28"/>
          <w:szCs w:val="28"/>
          <w:highlight w:val="none"/>
        </w:rPr>
        <w:t>依据：《安全生产严重失信主体名单管理办法》</w:t>
      </w:r>
      <w:r>
        <w:rPr>
          <w:rFonts w:hint="eastAsia" w:ascii="仿宋_GB2312" w:eastAsia="仿宋_GB2312"/>
          <w:b/>
          <w:color w:val="000000"/>
          <w:sz w:val="28"/>
          <w:szCs w:val="28"/>
          <w:highlight w:val="none"/>
        </w:rPr>
        <w:t>（2023年8月8日应急管理部令第11号）</w:t>
      </w:r>
    </w:p>
    <w:p w14:paraId="2BDEAE02">
      <w:pPr>
        <w:adjustRightInd w:val="0"/>
        <w:snapToGrid w:val="0"/>
        <w:spacing w:line="560" w:lineRule="exact"/>
        <w:ind w:firstLine="645"/>
        <w:jc w:val="left"/>
        <w:rPr>
          <w:rFonts w:hint="eastAsia" w:ascii="仿宋_GB2312" w:hAnsi="宋体" w:eastAsia="仿宋_GB2312"/>
          <w:b/>
          <w:color w:val="000000"/>
          <w:sz w:val="28"/>
          <w:szCs w:val="28"/>
          <w:highlight w:val="none"/>
        </w:rPr>
      </w:pPr>
    </w:p>
    <w:p w14:paraId="10794D72">
      <w:pPr>
        <w:adjustRightInd w:val="0"/>
        <w:snapToGrid w:val="0"/>
        <w:spacing w:line="560" w:lineRule="exact"/>
        <w:ind w:firstLine="645"/>
        <w:jc w:val="left"/>
        <w:rPr>
          <w:rFonts w:hint="eastAsia"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二、环境保护领域严重失信行为：</w:t>
      </w:r>
    </w:p>
    <w:p w14:paraId="65A75235">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（一）因为环境违法构成</w:t>
      </w:r>
      <w:r>
        <w:rPr>
          <w:color w:val="000000"/>
          <w:highlight w:val="none"/>
        </w:rPr>
        <w:fldChar w:fldCharType="begin"/>
      </w:r>
      <w:r>
        <w:rPr>
          <w:color w:val="000000"/>
          <w:highlight w:val="none"/>
        </w:rPr>
        <w:instrText xml:space="preserve"> HYPERLINK "https://baike.sogou.com/m/fullLemma?lid=10403954&amp;g_ut=3" \t "https://baike.sogou.com/m/_blank" </w:instrText>
      </w:r>
      <w:r>
        <w:rPr>
          <w:color w:val="000000"/>
          <w:highlight w:val="none"/>
        </w:rPr>
        <w:fldChar w:fldCharType="separate"/>
      </w:r>
      <w:r>
        <w:rPr>
          <w:rStyle w:val="27"/>
          <w:rFonts w:hint="eastAsia" w:ascii="仿宋_GB2312" w:hAnsi="宋体" w:eastAsia="仿宋_GB2312"/>
          <w:color w:val="000000"/>
          <w:sz w:val="28"/>
          <w:szCs w:val="28"/>
          <w:highlight w:val="none"/>
        </w:rPr>
        <w:t>环境犯罪</w:t>
      </w:r>
      <w:r>
        <w:rPr>
          <w:color w:val="000000"/>
          <w:highlight w:val="none"/>
        </w:rPr>
        <w:fldChar w:fldCharType="end"/>
      </w:r>
      <w:r>
        <w:rPr>
          <w:rFonts w:hint="eastAsia" w:ascii="仿宋_GB2312" w:hAnsi="宋体" w:eastAsia="仿宋_GB2312"/>
          <w:color w:val="000000"/>
          <w:sz w:val="28"/>
          <w:szCs w:val="28"/>
          <w:highlight w:val="none"/>
        </w:rPr>
        <w:t>的；</w:t>
      </w:r>
    </w:p>
    <w:p w14:paraId="0BF1AED8">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（二）</w:t>
      </w:r>
      <w:r>
        <w:rPr>
          <w:color w:val="000000"/>
          <w:highlight w:val="none"/>
        </w:rPr>
        <w:fldChar w:fldCharType="begin"/>
      </w:r>
      <w:r>
        <w:rPr>
          <w:color w:val="000000"/>
          <w:highlight w:val="none"/>
        </w:rPr>
        <w:instrText xml:space="preserve"> HYPERLINK "https://baike.sogou.com/m/fullLemma?lid=76033123&amp;g_ut=3" \t "https://baike.sogou.com/m/_blank" </w:instrText>
      </w:r>
      <w:r>
        <w:rPr>
          <w:color w:val="000000"/>
          <w:highlight w:val="none"/>
        </w:rPr>
        <w:fldChar w:fldCharType="separate"/>
      </w:r>
      <w:r>
        <w:rPr>
          <w:rStyle w:val="27"/>
          <w:rFonts w:hint="eastAsia" w:ascii="仿宋_GB2312" w:hAnsi="宋体" w:eastAsia="仿宋_GB2312"/>
          <w:color w:val="000000"/>
          <w:sz w:val="28"/>
          <w:szCs w:val="28"/>
          <w:highlight w:val="none"/>
        </w:rPr>
        <w:t>建设项目环境影响评价</w:t>
      </w:r>
      <w:r>
        <w:rPr>
          <w:color w:val="000000"/>
          <w:highlight w:val="none"/>
        </w:rPr>
        <w:fldChar w:fldCharType="end"/>
      </w:r>
      <w:r>
        <w:rPr>
          <w:rFonts w:hint="eastAsia" w:ascii="仿宋_GB2312" w:hAnsi="宋体" w:eastAsia="仿宋_GB2312"/>
          <w:color w:val="000000"/>
          <w:sz w:val="28"/>
          <w:szCs w:val="28"/>
          <w:highlight w:val="none"/>
        </w:rPr>
        <w:t>文件未按规定通过审批，擅自开工建设的；</w:t>
      </w:r>
    </w:p>
    <w:p w14:paraId="1707C265">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（三）建设项目环保设施未建成、环保措施未落实、未通过</w:t>
      </w:r>
      <w:r>
        <w:rPr>
          <w:color w:val="000000"/>
          <w:highlight w:val="none"/>
        </w:rPr>
        <w:fldChar w:fldCharType="begin"/>
      </w:r>
      <w:r>
        <w:rPr>
          <w:color w:val="000000"/>
          <w:highlight w:val="none"/>
        </w:rPr>
        <w:instrText xml:space="preserve"> HYPERLINK "https://baike.sogou.com/m/fullLemma?lid=6470550&amp;g_ut=3" \t "https://baike.sogou.com/m/_blank" </w:instrText>
      </w:r>
      <w:r>
        <w:rPr>
          <w:color w:val="000000"/>
          <w:highlight w:val="none"/>
        </w:rPr>
        <w:fldChar w:fldCharType="separate"/>
      </w:r>
      <w:r>
        <w:rPr>
          <w:rStyle w:val="27"/>
          <w:rFonts w:hint="eastAsia" w:ascii="仿宋_GB2312" w:hAnsi="宋体" w:eastAsia="仿宋_GB2312"/>
          <w:color w:val="000000"/>
          <w:sz w:val="28"/>
          <w:szCs w:val="28"/>
          <w:highlight w:val="none"/>
        </w:rPr>
        <w:t>竣工环保验收</w:t>
      </w:r>
      <w:r>
        <w:rPr>
          <w:color w:val="000000"/>
          <w:highlight w:val="none"/>
        </w:rPr>
        <w:fldChar w:fldCharType="end"/>
      </w:r>
      <w:r>
        <w:rPr>
          <w:rFonts w:hint="eastAsia" w:ascii="仿宋_GB2312" w:hAnsi="宋体" w:eastAsia="仿宋_GB2312"/>
          <w:color w:val="000000"/>
          <w:sz w:val="28"/>
          <w:szCs w:val="28"/>
          <w:highlight w:val="none"/>
        </w:rPr>
        <w:t>或者验收不合格，主体工程正式投入生产或者使用的；</w:t>
      </w:r>
    </w:p>
    <w:p w14:paraId="3443AE8E">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（四）建设项目性质、规模、地点、采用的生产工艺或者防治污染、防止生态破坏的措施发生重大变动，未重新报批环境影响评价文件，擅自投入生产或者使用的；</w:t>
      </w:r>
    </w:p>
    <w:p w14:paraId="1E905A39">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（五）主要污染物排放总量超过控制指标的；</w:t>
      </w:r>
    </w:p>
    <w:p w14:paraId="7A3CB08E">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（六）私设暗管或者利用</w:t>
      </w:r>
      <w:r>
        <w:rPr>
          <w:color w:val="000000"/>
          <w:highlight w:val="none"/>
        </w:rPr>
        <w:fldChar w:fldCharType="begin"/>
      </w:r>
      <w:r>
        <w:rPr>
          <w:color w:val="000000"/>
          <w:highlight w:val="none"/>
        </w:rPr>
        <w:instrText xml:space="preserve"> HYPERLINK "https://baike.sogou.com/m/fullLemma?lid=41657319&amp;g_ut=3" \t "https://baike.sogou.com/m/_blank" </w:instrText>
      </w:r>
      <w:r>
        <w:rPr>
          <w:color w:val="000000"/>
          <w:highlight w:val="none"/>
        </w:rPr>
        <w:fldChar w:fldCharType="separate"/>
      </w:r>
      <w:r>
        <w:rPr>
          <w:rStyle w:val="27"/>
          <w:rFonts w:hint="eastAsia" w:ascii="仿宋_GB2312" w:hAnsi="宋体" w:eastAsia="仿宋_GB2312"/>
          <w:color w:val="000000"/>
          <w:sz w:val="28"/>
          <w:szCs w:val="28"/>
          <w:highlight w:val="none"/>
        </w:rPr>
        <w:t>渗井</w:t>
      </w:r>
      <w:r>
        <w:rPr>
          <w:color w:val="000000"/>
          <w:highlight w:val="none"/>
        </w:rPr>
        <w:fldChar w:fldCharType="end"/>
      </w:r>
      <w:r>
        <w:rPr>
          <w:rFonts w:hint="eastAsia" w:ascii="仿宋_GB2312" w:hAnsi="宋体" w:eastAsia="仿宋_GB2312"/>
          <w:color w:val="000000"/>
          <w:sz w:val="28"/>
          <w:szCs w:val="28"/>
          <w:highlight w:val="none"/>
        </w:rPr>
        <w:t>、渗坑、裂隙、溶洞等排放、倾倒、处置水污染物，或者通过私设旁路排放</w:t>
      </w:r>
      <w:r>
        <w:rPr>
          <w:color w:val="000000"/>
          <w:highlight w:val="none"/>
        </w:rPr>
        <w:fldChar w:fldCharType="begin"/>
      </w:r>
      <w:r>
        <w:rPr>
          <w:color w:val="000000"/>
          <w:highlight w:val="none"/>
        </w:rPr>
        <w:instrText xml:space="preserve"> HYPERLINK "https://baike.sogou.com/m/fullLemma?lid=7758328&amp;g_ut=3" \t "https://baike.sogou.com/m/_blank" </w:instrText>
      </w:r>
      <w:r>
        <w:rPr>
          <w:color w:val="000000"/>
          <w:highlight w:val="none"/>
        </w:rPr>
        <w:fldChar w:fldCharType="separate"/>
      </w:r>
      <w:r>
        <w:rPr>
          <w:rStyle w:val="27"/>
          <w:rFonts w:hint="eastAsia" w:ascii="仿宋_GB2312" w:hAnsi="宋体" w:eastAsia="仿宋_GB2312"/>
          <w:color w:val="000000"/>
          <w:sz w:val="28"/>
          <w:szCs w:val="28"/>
          <w:highlight w:val="none"/>
        </w:rPr>
        <w:t>大气污染物</w:t>
      </w:r>
      <w:r>
        <w:rPr>
          <w:color w:val="000000"/>
          <w:highlight w:val="none"/>
        </w:rPr>
        <w:fldChar w:fldCharType="end"/>
      </w:r>
      <w:r>
        <w:rPr>
          <w:rFonts w:hint="eastAsia" w:ascii="仿宋_GB2312" w:hAnsi="宋体" w:eastAsia="仿宋_GB2312"/>
          <w:color w:val="000000"/>
          <w:sz w:val="28"/>
          <w:szCs w:val="28"/>
          <w:highlight w:val="none"/>
        </w:rPr>
        <w:t>的；</w:t>
      </w:r>
    </w:p>
    <w:p w14:paraId="53F7D988">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（七）非法排放、倾倒、处置危险废物，或者向无</w:t>
      </w:r>
      <w:r>
        <w:rPr>
          <w:color w:val="000000"/>
          <w:highlight w:val="none"/>
        </w:rPr>
        <w:fldChar w:fldCharType="begin"/>
      </w:r>
      <w:r>
        <w:rPr>
          <w:color w:val="000000"/>
          <w:highlight w:val="none"/>
        </w:rPr>
        <w:instrText xml:space="preserve"> HYPERLINK "https://baike.sogou.com/m/fullLemma?lid=5923292&amp;g_ut=3" \t "https://baike.sogou.com/m/_blank" </w:instrText>
      </w:r>
      <w:r>
        <w:rPr>
          <w:color w:val="000000"/>
          <w:highlight w:val="none"/>
        </w:rPr>
        <w:fldChar w:fldCharType="separate"/>
      </w:r>
      <w:r>
        <w:rPr>
          <w:rStyle w:val="27"/>
          <w:rFonts w:hint="eastAsia" w:ascii="仿宋_GB2312" w:hAnsi="宋体" w:eastAsia="仿宋_GB2312"/>
          <w:color w:val="000000"/>
          <w:sz w:val="28"/>
          <w:szCs w:val="28"/>
          <w:highlight w:val="none"/>
        </w:rPr>
        <w:t>经营许可证</w:t>
      </w:r>
      <w:r>
        <w:rPr>
          <w:color w:val="000000"/>
          <w:highlight w:val="none"/>
        </w:rPr>
        <w:fldChar w:fldCharType="end"/>
      </w:r>
      <w:r>
        <w:rPr>
          <w:rFonts w:hint="eastAsia" w:ascii="仿宋_GB2312" w:hAnsi="宋体" w:eastAsia="仿宋_GB2312"/>
          <w:color w:val="000000"/>
          <w:sz w:val="28"/>
          <w:szCs w:val="28"/>
          <w:highlight w:val="none"/>
        </w:rPr>
        <w:t>或者超出经营许可范围的单位或个人提供或者委托其收集、贮存、利用、处置危险废物的；</w:t>
      </w:r>
    </w:p>
    <w:p w14:paraId="4C86B655">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（八）</w:t>
      </w:r>
      <w:r>
        <w:rPr>
          <w:color w:val="000000"/>
          <w:highlight w:val="none"/>
        </w:rPr>
        <w:fldChar w:fldCharType="begin"/>
      </w:r>
      <w:r>
        <w:rPr>
          <w:color w:val="000000"/>
          <w:highlight w:val="none"/>
        </w:rPr>
        <w:instrText xml:space="preserve"> HYPERLINK "https://baike.sogou.com/m/fullLemma?lid=167759803&amp;g_ut=3" \t "https://baike.sogou.com/m/_blank" </w:instrText>
      </w:r>
      <w:r>
        <w:rPr>
          <w:color w:val="000000"/>
          <w:highlight w:val="none"/>
        </w:rPr>
        <w:fldChar w:fldCharType="separate"/>
      </w:r>
      <w:r>
        <w:rPr>
          <w:rStyle w:val="27"/>
          <w:rFonts w:hint="eastAsia" w:ascii="仿宋_GB2312" w:hAnsi="宋体" w:eastAsia="仿宋_GB2312"/>
          <w:color w:val="000000"/>
          <w:sz w:val="28"/>
          <w:szCs w:val="28"/>
          <w:highlight w:val="none"/>
        </w:rPr>
        <w:t>环境违法行为</w:t>
      </w:r>
      <w:r>
        <w:rPr>
          <w:color w:val="000000"/>
          <w:highlight w:val="none"/>
        </w:rPr>
        <w:fldChar w:fldCharType="end"/>
      </w:r>
      <w:r>
        <w:rPr>
          <w:rFonts w:hint="eastAsia" w:ascii="仿宋_GB2312" w:hAnsi="宋体" w:eastAsia="仿宋_GB2312"/>
          <w:color w:val="000000"/>
          <w:sz w:val="28"/>
          <w:szCs w:val="28"/>
          <w:highlight w:val="none"/>
        </w:rPr>
        <w:t>造成集中式生活饮用水水源取水中断的；</w:t>
      </w:r>
    </w:p>
    <w:p w14:paraId="37D46F96">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（九）环境违法行为对生活饮用水水源保护区、自然保护区、</w:t>
      </w:r>
      <w:r>
        <w:rPr>
          <w:color w:val="000000"/>
          <w:highlight w:val="none"/>
        </w:rPr>
        <w:fldChar w:fldCharType="begin"/>
      </w:r>
      <w:r>
        <w:rPr>
          <w:color w:val="000000"/>
          <w:highlight w:val="none"/>
        </w:rPr>
        <w:instrText xml:space="preserve"> HYPERLINK "https://baike.sogou.com/m/fullLemma?lid=155199213&amp;g_ut=3" \t "https://baike.sogou.com/m/_blank" </w:instrText>
      </w:r>
      <w:r>
        <w:rPr>
          <w:color w:val="000000"/>
          <w:highlight w:val="none"/>
        </w:rPr>
        <w:fldChar w:fldCharType="separate"/>
      </w:r>
      <w:r>
        <w:rPr>
          <w:rStyle w:val="27"/>
          <w:rFonts w:hint="eastAsia" w:ascii="仿宋_GB2312" w:hAnsi="宋体" w:eastAsia="仿宋_GB2312"/>
          <w:color w:val="000000"/>
          <w:sz w:val="28"/>
          <w:szCs w:val="28"/>
          <w:highlight w:val="none"/>
        </w:rPr>
        <w:t>国家重点生态功能区</w:t>
      </w:r>
      <w:r>
        <w:rPr>
          <w:color w:val="000000"/>
          <w:highlight w:val="none"/>
        </w:rPr>
        <w:fldChar w:fldCharType="end"/>
      </w:r>
      <w:r>
        <w:rPr>
          <w:rFonts w:hint="eastAsia" w:ascii="仿宋_GB2312" w:hAnsi="宋体" w:eastAsia="仿宋_GB2312"/>
          <w:color w:val="000000"/>
          <w:sz w:val="28"/>
          <w:szCs w:val="28"/>
          <w:highlight w:val="none"/>
        </w:rPr>
        <w:t>、风景名胜区、居住功能区、</w:t>
      </w:r>
      <w:r>
        <w:rPr>
          <w:color w:val="000000"/>
          <w:highlight w:val="none"/>
        </w:rPr>
        <w:fldChar w:fldCharType="begin"/>
      </w:r>
      <w:r>
        <w:rPr>
          <w:color w:val="000000"/>
          <w:highlight w:val="none"/>
        </w:rPr>
        <w:instrText xml:space="preserve"> HYPERLINK "https://baike.sogou.com/m/fullLemma?lid=7757164&amp;g_ut=3" \t "https://baike.sogou.com/m/_blank" </w:instrText>
      </w:r>
      <w:r>
        <w:rPr>
          <w:color w:val="000000"/>
          <w:highlight w:val="none"/>
        </w:rPr>
        <w:fldChar w:fldCharType="separate"/>
      </w:r>
      <w:r>
        <w:rPr>
          <w:rStyle w:val="27"/>
          <w:rFonts w:hint="eastAsia" w:ascii="仿宋_GB2312" w:hAnsi="宋体" w:eastAsia="仿宋_GB2312"/>
          <w:color w:val="000000"/>
          <w:sz w:val="28"/>
          <w:szCs w:val="28"/>
          <w:highlight w:val="none"/>
        </w:rPr>
        <w:t>基本农田保护区</w:t>
      </w:r>
      <w:r>
        <w:rPr>
          <w:color w:val="000000"/>
          <w:highlight w:val="none"/>
        </w:rPr>
        <w:fldChar w:fldCharType="end"/>
      </w:r>
      <w:r>
        <w:rPr>
          <w:rFonts w:hint="eastAsia" w:ascii="仿宋_GB2312" w:hAnsi="宋体" w:eastAsia="仿宋_GB2312"/>
          <w:color w:val="000000"/>
          <w:sz w:val="28"/>
          <w:szCs w:val="28"/>
          <w:highlight w:val="none"/>
        </w:rPr>
        <w:t>等环境敏感区造成重大不利影响的；</w:t>
      </w:r>
    </w:p>
    <w:p w14:paraId="5D30838D">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（十）违法从事自然资源开发、交通基础设施建设，以及其他开发建设活动，造成严重生态破坏的；</w:t>
      </w:r>
    </w:p>
    <w:p w14:paraId="4E8D0B90">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（十一）发生较大及以上突发环境事件的；</w:t>
      </w:r>
    </w:p>
    <w:p w14:paraId="2B989002">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（十二）被环保部门挂牌督办，整改逾期未完成的；</w:t>
      </w:r>
    </w:p>
    <w:p w14:paraId="23403DAE">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（十三）以暴力、威胁等方式拒绝、阻挠环保部门工作人员现场检查的；</w:t>
      </w:r>
    </w:p>
    <w:p w14:paraId="15FE4ABB">
      <w:pPr>
        <w:adjustRightInd w:val="0"/>
        <w:snapToGrid w:val="0"/>
        <w:spacing w:line="560" w:lineRule="exact"/>
        <w:ind w:firstLine="645"/>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（十四）违反重污染天气应急预案有关规定，对重污染天气响应不力的。</w:t>
      </w:r>
    </w:p>
    <w:p w14:paraId="4D02FA02">
      <w:pPr>
        <w:adjustRightInd w:val="0"/>
        <w:snapToGrid w:val="0"/>
        <w:spacing w:line="560" w:lineRule="exact"/>
        <w:ind w:firstLine="645"/>
        <w:jc w:val="left"/>
        <w:rPr>
          <w:rFonts w:hint="eastAsia"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依据：《</w:t>
      </w:r>
      <w:bookmarkStart w:id="1009" w:name="OLE_LINK9"/>
      <w:bookmarkStart w:id="1010" w:name="OLE_LINK10"/>
      <w:bookmarkStart w:id="1011" w:name="OLE_LINK8"/>
      <w:r>
        <w:rPr>
          <w:rFonts w:hint="eastAsia" w:ascii="仿宋_GB2312" w:hAnsi="宋体" w:eastAsia="仿宋_GB2312"/>
          <w:b/>
          <w:color w:val="000000"/>
          <w:sz w:val="28"/>
          <w:szCs w:val="28"/>
          <w:highlight w:val="none"/>
        </w:rPr>
        <w:t>关于对环境保护领域失信生产经营单位及其有关人员开展联合惩戒的合作备忘录</w:t>
      </w:r>
      <w:bookmarkEnd w:id="1009"/>
      <w:bookmarkEnd w:id="1010"/>
      <w:bookmarkEnd w:id="1011"/>
      <w:r>
        <w:rPr>
          <w:rFonts w:hint="eastAsia" w:ascii="仿宋_GB2312" w:hAnsi="宋体" w:eastAsia="仿宋_GB2312"/>
          <w:b/>
          <w:color w:val="000000"/>
          <w:sz w:val="28"/>
          <w:szCs w:val="28"/>
          <w:highlight w:val="none"/>
        </w:rPr>
        <w:t>》、《</w:t>
      </w:r>
      <w:bookmarkStart w:id="1012" w:name="OLE_LINK11"/>
      <w:bookmarkStart w:id="1013" w:name="OLE_LINK12"/>
      <w:r>
        <w:rPr>
          <w:rFonts w:hint="eastAsia" w:ascii="仿宋_GB2312" w:hAnsi="宋体" w:eastAsia="仿宋_GB2312"/>
          <w:b/>
          <w:color w:val="000000"/>
          <w:sz w:val="28"/>
          <w:szCs w:val="28"/>
          <w:highlight w:val="none"/>
        </w:rPr>
        <w:t>企业环境信用评价办法（试行）</w:t>
      </w:r>
      <w:bookmarkEnd w:id="1012"/>
      <w:bookmarkEnd w:id="1013"/>
      <w:r>
        <w:rPr>
          <w:rFonts w:hint="eastAsia" w:ascii="仿宋_GB2312" w:hAnsi="宋体" w:eastAsia="仿宋_GB2312"/>
          <w:b/>
          <w:color w:val="000000"/>
          <w:sz w:val="28"/>
          <w:szCs w:val="28"/>
          <w:highlight w:val="none"/>
        </w:rPr>
        <w:t>》（环发〔2013〕150号）</w:t>
      </w:r>
    </w:p>
    <w:p w14:paraId="40B11059">
      <w:pPr>
        <w:adjustRightInd w:val="0"/>
        <w:snapToGrid w:val="0"/>
        <w:spacing w:line="560" w:lineRule="exact"/>
        <w:ind w:firstLine="645"/>
        <w:jc w:val="left"/>
        <w:rPr>
          <w:rFonts w:hint="eastAsia" w:ascii="仿宋_GB2312" w:hAnsi="宋体" w:eastAsia="仿宋_GB2312"/>
          <w:b/>
          <w:color w:val="000000"/>
          <w:sz w:val="28"/>
          <w:szCs w:val="28"/>
          <w:highlight w:val="none"/>
        </w:rPr>
      </w:pPr>
    </w:p>
    <w:p w14:paraId="15E906AD">
      <w:pPr>
        <w:adjustRightInd w:val="0"/>
        <w:snapToGrid w:val="0"/>
        <w:spacing w:line="560" w:lineRule="exact"/>
        <w:ind w:firstLine="645"/>
        <w:jc w:val="left"/>
        <w:rPr>
          <w:rFonts w:hint="eastAsia"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三、</w:t>
      </w:r>
      <w:r>
        <w:rPr>
          <w:rFonts w:hint="eastAsia" w:ascii="仿宋_GB2312" w:hAnsi="宋体" w:eastAsia="仿宋_GB2312"/>
          <w:b/>
          <w:bCs/>
          <w:color w:val="000000"/>
          <w:sz w:val="28"/>
          <w:szCs w:val="28"/>
          <w:highlight w:val="none"/>
        </w:rPr>
        <w:t>公共资源交易领域严重失信行为</w:t>
      </w:r>
    </w:p>
    <w:p w14:paraId="0E1497B4">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（一）违反法律规定，必须进行招标的项目而不招标的，将必须进行招标的项目化整为零或者以其他任何方式规避招标的； </w:t>
      </w:r>
    </w:p>
    <w:p w14:paraId="45B8FD94">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（二）招标代理机构违反法律规定，泄露应当保密的与招标投标活动有关的情况和资料的，或者与招标人、投标人串通损害 国家利益、社会公共利益或者他人合法权益的；</w:t>
      </w:r>
    </w:p>
    <w:p w14:paraId="0FBC2418">
      <w:pPr>
        <w:adjustRightInd w:val="0"/>
        <w:snapToGrid w:val="0"/>
        <w:spacing w:line="560" w:lineRule="exact"/>
        <w:ind w:firstLine="560" w:firstLineChars="20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（三）招标人以不合理的条件限制或者排斥潜在投标人的，对潜在投标人实行歧视待遇的，强制要求投标人组成联合体共同 投标的，或者限制投标人之间竞争的；</w:t>
      </w:r>
    </w:p>
    <w:p w14:paraId="2B4B5F03">
      <w:pPr>
        <w:adjustRightInd w:val="0"/>
        <w:snapToGrid w:val="0"/>
        <w:spacing w:line="560" w:lineRule="exact"/>
        <w:ind w:firstLine="560" w:firstLineChars="20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（四）依法必须进行招标的项目的招标人向他人透露已获取招标文件的潜在投标人的名称、数量或者可能影响公平竞争的有 关招标投标的其他情况的，或者泄露标底的；</w:t>
      </w:r>
    </w:p>
    <w:p w14:paraId="7566C5BF">
      <w:pPr>
        <w:adjustRightInd w:val="0"/>
        <w:snapToGrid w:val="0"/>
        <w:spacing w:line="560" w:lineRule="exact"/>
        <w:ind w:firstLine="560" w:firstLineChars="20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（五）投标人相互串通投标或者与招标人串通投标的，投标人以向招标人或者评标委员会成员行贿的手段谋取中标的； </w:t>
      </w:r>
    </w:p>
    <w:p w14:paraId="71DCE48E">
      <w:pPr>
        <w:adjustRightInd w:val="0"/>
        <w:snapToGrid w:val="0"/>
        <w:spacing w:line="560" w:lineRule="exact"/>
        <w:ind w:firstLine="560" w:firstLineChars="20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（六）投标人以他人名义投标或者以其他方式弄虚作假，骗取中标的；</w:t>
      </w:r>
    </w:p>
    <w:p w14:paraId="7992C03C">
      <w:pPr>
        <w:adjustRightInd w:val="0"/>
        <w:snapToGrid w:val="0"/>
        <w:spacing w:line="560" w:lineRule="exact"/>
        <w:ind w:firstLine="560" w:firstLineChars="20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（七）依法必须进行招标的项目，招标人违反法律规定，与投标人就投标价格、投标方案等实质性内容进行谈判的；</w:t>
      </w:r>
    </w:p>
    <w:p w14:paraId="25ADCA5F">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（八）评标委员会成员收受投标人的财物或者其他好处的，评标委员会成员或者参加评标的有关工作人员向他人透露对投 标文件的评审和比较、中标候选人的推荐以及与评标有关的其他 情况的； </w:t>
      </w:r>
    </w:p>
    <w:p w14:paraId="6C3BD992">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（九）招标人在评标委员会依法推荐的中标候选人以外确定中标人的，依法必须进行招标的项目在所有投标被评标委员会否 决后自行确定中标人的； </w:t>
      </w:r>
    </w:p>
    <w:p w14:paraId="53A245AE">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（十）中标人将中标项目转让给他人的，将中标项目肢解后分别转让给他人的，违反法律规定将中标项目的部分主体、关键 性工作分包给他人的，或者分包人再次分包的； </w:t>
      </w:r>
    </w:p>
    <w:p w14:paraId="75056552">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（十一）招标人与中标人不按照招标文件和中标人的投标文件订立合同的，或者招标人、中标人订立背离合同实质性内容的 协议的； </w:t>
      </w:r>
    </w:p>
    <w:p w14:paraId="124BAEB5">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（十二）中标人不按照与招标人订立的合同履行义务，情节严重的； </w:t>
      </w:r>
    </w:p>
    <w:p w14:paraId="13F6BD8E">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（十三）采购人、采购代理机构存在应当采用公开招标方式而擅自采用其他方式采购，擅自提高采购标准，以不合理的条件 对供应商实行差别待遇或者歧视待遇，在招标采购过程中与投标 人进行协商谈判，中标、成交通知书发出后不与中标、成交供应商签订采购合同，或者拒绝有关部门依法实施监督检查等情形的；</w:t>
      </w:r>
    </w:p>
    <w:p w14:paraId="6996BBA2">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 （十四）采购人、采购代理机构及其工作人员存在与供应商 或者采购代理机构恶意串通，在采购过程中接受贿赂或者获取其 他不正当利益，在有关部门依法实施的监督检查中提供虚假情况， 或者开标前泄露标底等情形的；</w:t>
      </w:r>
    </w:p>
    <w:p w14:paraId="3E2FEB1E">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 （十五）采购人对应当实行集中采购的政府采购项目，不委托集中采购机构实行集中采购的； </w:t>
      </w:r>
    </w:p>
    <w:p w14:paraId="6F60B9B2">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（十六）采购人、采购代理机构违反法律规定隐匿、销毁应当保存的采购文件或者伪造、变造采购文件的； </w:t>
      </w:r>
    </w:p>
    <w:p w14:paraId="5F93474C">
      <w:pPr>
        <w:adjustRightInd w:val="0"/>
        <w:snapToGrid w:val="0"/>
        <w:spacing w:line="560" w:lineRule="exact"/>
        <w:ind w:firstLine="645"/>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（十七）供应商存在提供虚假材料谋取中标、成交，采取不 正当手段诋毁、排挤其他供应商，与采购人、其他供应商或者采 购代理机构恶意串通，向采购人、采购代理机构行贿或者提供其 他不正当利益，在招标采购过程中与采购人进行协商谈判，或拒 绝有关部门监督检查或者提供虚假情况等情形的； </w:t>
      </w:r>
    </w:p>
    <w:p w14:paraId="75FA252E">
      <w:pPr>
        <w:adjustRightInd w:val="0"/>
        <w:snapToGrid w:val="0"/>
        <w:spacing w:line="560" w:lineRule="exact"/>
        <w:ind w:left="141" w:leftChars="67" w:firstLine="420" w:firstLineChars="15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（十八）疫苗生产企业向县级疾病预防控制机构以外的单位或者个人销售第二类疫苗的； </w:t>
      </w:r>
    </w:p>
    <w:p w14:paraId="022F2B5A">
      <w:pPr>
        <w:adjustRightInd w:val="0"/>
        <w:snapToGrid w:val="0"/>
        <w:spacing w:line="560" w:lineRule="exact"/>
        <w:ind w:left="141" w:leftChars="67" w:firstLine="420" w:firstLineChars="150"/>
        <w:jc w:val="left"/>
        <w:rPr>
          <w:rFonts w:hint="eastAsia" w:ascii="仿宋_GB2312" w:hAnsi="宋体" w:eastAsia="仿宋_GB2312"/>
          <w:color w:val="000000"/>
          <w:sz w:val="28"/>
          <w:szCs w:val="28"/>
          <w:highlight w:val="none"/>
        </w:rPr>
      </w:pPr>
      <w:r>
        <w:rPr>
          <w:rFonts w:hint="eastAsia" w:ascii="仿宋_GB2312" w:eastAsia="仿宋_GB2312"/>
          <w:color w:val="000000"/>
          <w:sz w:val="28"/>
          <w:szCs w:val="28"/>
          <w:highlight w:val="none"/>
        </w:rPr>
        <w:t>（十九）存在其他违反公共资源交易法律法规行为的。</w:t>
      </w:r>
    </w:p>
    <w:p w14:paraId="62FFE606">
      <w:pPr>
        <w:adjustRightInd w:val="0"/>
        <w:snapToGrid w:val="0"/>
        <w:spacing w:line="560" w:lineRule="exact"/>
        <w:ind w:firstLine="894" w:firstLineChars="318"/>
        <w:jc w:val="left"/>
        <w:rPr>
          <w:rFonts w:hint="eastAsia"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依据：《</w:t>
      </w:r>
      <w:bookmarkStart w:id="1014" w:name="OLE_LINK14"/>
      <w:bookmarkStart w:id="1015" w:name="OLE_LINK13"/>
      <w:r>
        <w:rPr>
          <w:rFonts w:hint="eastAsia" w:ascii="仿宋_GB2312" w:hAnsi="宋体" w:eastAsia="仿宋_GB2312"/>
          <w:b/>
          <w:color w:val="000000"/>
          <w:sz w:val="28"/>
          <w:szCs w:val="28"/>
          <w:highlight w:val="none"/>
        </w:rPr>
        <w:t>关于对公共资源交易领域严重失信主体开展联合惩戒的备忘录</w:t>
      </w:r>
      <w:bookmarkEnd w:id="1014"/>
      <w:bookmarkEnd w:id="1015"/>
      <w:r>
        <w:rPr>
          <w:rFonts w:hint="eastAsia" w:ascii="仿宋_GB2312" w:hAnsi="宋体" w:eastAsia="仿宋_GB2312"/>
          <w:b/>
          <w:color w:val="000000"/>
          <w:sz w:val="28"/>
          <w:szCs w:val="28"/>
          <w:highlight w:val="none"/>
        </w:rPr>
        <w:t>》（发改法规〔2018〕457号）</w:t>
      </w:r>
    </w:p>
    <w:p w14:paraId="17AF8B26">
      <w:pPr>
        <w:adjustRightInd w:val="0"/>
        <w:snapToGrid w:val="0"/>
        <w:spacing w:line="560" w:lineRule="exact"/>
        <w:ind w:firstLine="645"/>
        <w:jc w:val="left"/>
        <w:rPr>
          <w:rFonts w:hint="eastAsia" w:ascii="仿宋_GB2312" w:hAnsi="宋体" w:eastAsia="仿宋_GB2312"/>
          <w:color w:val="000000"/>
          <w:sz w:val="28"/>
          <w:szCs w:val="28"/>
          <w:highlight w:val="none"/>
        </w:rPr>
      </w:pPr>
    </w:p>
    <w:p w14:paraId="6208CA5B">
      <w:pPr>
        <w:adjustRightInd w:val="0"/>
        <w:snapToGrid w:val="0"/>
        <w:spacing w:line="560" w:lineRule="exact"/>
        <w:ind w:firstLine="645"/>
        <w:jc w:val="left"/>
        <w:rPr>
          <w:rFonts w:hint="eastAsia" w:ascii="仿宋_GB2312" w:hAnsi="宋体" w:eastAsia="仿宋_GB2312"/>
          <w:b/>
          <w:bCs/>
          <w:color w:val="000000"/>
          <w:sz w:val="28"/>
          <w:szCs w:val="28"/>
          <w:highlight w:val="none"/>
        </w:rPr>
      </w:pPr>
      <w:r>
        <w:rPr>
          <w:rFonts w:hint="eastAsia" w:ascii="仿宋_GB2312" w:hAnsi="宋体" w:eastAsia="仿宋_GB2312"/>
          <w:b/>
          <w:color w:val="000000"/>
          <w:sz w:val="28"/>
          <w:szCs w:val="28"/>
          <w:highlight w:val="none"/>
        </w:rPr>
        <w:t>四、</w:t>
      </w:r>
      <w:r>
        <w:rPr>
          <w:rFonts w:hint="eastAsia" w:ascii="仿宋_GB2312" w:hAnsi="宋体" w:eastAsia="仿宋_GB2312"/>
          <w:b/>
          <w:bCs/>
          <w:color w:val="000000"/>
          <w:sz w:val="28"/>
          <w:szCs w:val="28"/>
          <w:highlight w:val="none"/>
        </w:rPr>
        <w:t>社会保险领域严重失信行为</w:t>
      </w:r>
    </w:p>
    <w:p w14:paraId="7D625803">
      <w:pPr>
        <w:adjustRightInd w:val="0"/>
        <w:snapToGrid w:val="0"/>
        <w:spacing w:line="560" w:lineRule="exact"/>
        <w:ind w:left="141" w:leftChars="67" w:firstLine="420" w:firstLineChars="15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（一）用人单位未按相关规定参加社会保险且拒不整改的； </w:t>
      </w:r>
    </w:p>
    <w:p w14:paraId="12F4D9DA">
      <w:pPr>
        <w:adjustRightInd w:val="0"/>
        <w:snapToGrid w:val="0"/>
        <w:spacing w:line="560" w:lineRule="exact"/>
        <w:ind w:left="141" w:leftChars="67" w:firstLine="420" w:firstLineChars="15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（二）用人单位未如实申报社会保险缴费基数且拒不整改的； </w:t>
      </w:r>
    </w:p>
    <w:p w14:paraId="68DDB17F">
      <w:pPr>
        <w:adjustRightInd w:val="0"/>
        <w:snapToGrid w:val="0"/>
        <w:spacing w:line="560" w:lineRule="exact"/>
        <w:ind w:left="141" w:leftChars="67" w:firstLine="420" w:firstLineChars="15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（三）应缴纳社会保险费却拒不缴纳的； </w:t>
      </w:r>
    </w:p>
    <w:p w14:paraId="133CF416">
      <w:pPr>
        <w:adjustRightInd w:val="0"/>
        <w:snapToGrid w:val="0"/>
        <w:spacing w:line="560" w:lineRule="exact"/>
        <w:ind w:left="141" w:leftChars="67" w:firstLine="420" w:firstLineChars="15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（四）隐匿、转移、侵占、挪用社会保险费款、基金或者违规投资运营的；</w:t>
      </w:r>
    </w:p>
    <w:p w14:paraId="0DE5499F">
      <w:pPr>
        <w:adjustRightInd w:val="0"/>
        <w:snapToGrid w:val="0"/>
        <w:spacing w:line="560" w:lineRule="exact"/>
        <w:ind w:left="141" w:leftChars="67" w:firstLine="420" w:firstLineChars="15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（五）以欺诈、伪造证明材料或者其他手段参加、申报社会保险和骗取社会保险基金支出或社会保险待遇的； </w:t>
      </w:r>
    </w:p>
    <w:p w14:paraId="404DF68F">
      <w:pPr>
        <w:adjustRightInd w:val="0"/>
        <w:snapToGrid w:val="0"/>
        <w:spacing w:line="560" w:lineRule="exact"/>
        <w:ind w:left="141" w:leftChars="67" w:firstLine="420" w:firstLineChars="15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（六）非法获取、出售或变相交易社会保险个人权益数据的； </w:t>
      </w:r>
    </w:p>
    <w:p w14:paraId="4A0CDF0A">
      <w:pPr>
        <w:adjustRightInd w:val="0"/>
        <w:snapToGrid w:val="0"/>
        <w:spacing w:line="560" w:lineRule="exact"/>
        <w:ind w:left="141" w:leftChars="67" w:firstLine="420" w:firstLineChars="15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（七）社会保险服务机构违反服务协议或相关规定的； </w:t>
      </w:r>
    </w:p>
    <w:p w14:paraId="7F0F6117">
      <w:pPr>
        <w:adjustRightInd w:val="0"/>
        <w:snapToGrid w:val="0"/>
        <w:spacing w:line="560" w:lineRule="exact"/>
        <w:ind w:left="141" w:leftChars="67" w:firstLine="420" w:firstLineChars="15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 xml:space="preserve">（八）拒绝协助社会保险行政部门、经办机构对事故和问题进 行调查核实的；拒绝接受或协助税务部门对社会保险实施监督检查， 不如实提供与社会保险相关各项资料的； </w:t>
      </w:r>
    </w:p>
    <w:p w14:paraId="222C93F1">
      <w:pPr>
        <w:adjustRightInd w:val="0"/>
        <w:snapToGrid w:val="0"/>
        <w:spacing w:line="560" w:lineRule="exact"/>
        <w:ind w:left="141" w:leftChars="67" w:firstLine="420" w:firstLineChars="15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（九）其他违反法律法规规定的。</w:t>
      </w:r>
    </w:p>
    <w:p w14:paraId="41447FDD">
      <w:pPr>
        <w:adjustRightInd w:val="0"/>
        <w:snapToGrid w:val="0"/>
        <w:spacing w:line="560" w:lineRule="exact"/>
        <w:ind w:firstLine="551" w:firstLineChars="196"/>
        <w:jc w:val="left"/>
        <w:rPr>
          <w:rFonts w:hint="eastAsia" w:ascii="仿宋_GB2312" w:eastAsia="仿宋_GB2312"/>
          <w:color w:val="000000"/>
          <w:sz w:val="28"/>
          <w:szCs w:val="28"/>
          <w:highlight w:val="none"/>
        </w:rPr>
      </w:pPr>
      <w:r>
        <w:rPr>
          <w:rFonts w:hint="eastAsia" w:ascii="仿宋_GB2312" w:eastAsia="仿宋_GB2312"/>
          <w:b/>
          <w:color w:val="000000"/>
          <w:sz w:val="28"/>
          <w:szCs w:val="28"/>
          <w:highlight w:val="none"/>
        </w:rPr>
        <w:t>依据：《</w:t>
      </w:r>
      <w:bookmarkStart w:id="1016" w:name="OLE_LINK16"/>
      <w:bookmarkStart w:id="1017" w:name="OLE_LINK15"/>
      <w:r>
        <w:rPr>
          <w:rFonts w:hint="eastAsia" w:ascii="仿宋_GB2312" w:eastAsia="仿宋_GB2312"/>
          <w:b/>
          <w:color w:val="000000"/>
          <w:sz w:val="28"/>
          <w:szCs w:val="28"/>
          <w:highlight w:val="none"/>
        </w:rPr>
        <w:t>关于对社会保险领域严重失信企业及其有关人员实施联合惩戒的合作备忘录</w:t>
      </w:r>
      <w:bookmarkEnd w:id="1016"/>
      <w:bookmarkEnd w:id="1017"/>
      <w:r>
        <w:rPr>
          <w:rFonts w:hint="eastAsia" w:ascii="仿宋_GB2312" w:eastAsia="仿宋_GB2312"/>
          <w:b/>
          <w:color w:val="000000"/>
          <w:sz w:val="28"/>
          <w:szCs w:val="28"/>
          <w:highlight w:val="none"/>
        </w:rPr>
        <w:t>》（发改财金〔2018〕1704号）</w:t>
      </w:r>
    </w:p>
    <w:p w14:paraId="1CD1CB1A">
      <w:pPr>
        <w:adjustRightInd w:val="0"/>
        <w:snapToGrid w:val="0"/>
        <w:spacing w:line="560" w:lineRule="exact"/>
        <w:jc w:val="left"/>
        <w:rPr>
          <w:rFonts w:hint="eastAsia"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 xml:space="preserve">     </w:t>
      </w:r>
    </w:p>
    <w:p w14:paraId="04A58562">
      <w:pPr>
        <w:adjustRightInd w:val="0"/>
        <w:snapToGrid w:val="0"/>
        <w:spacing w:line="560" w:lineRule="exact"/>
        <w:ind w:firstLine="562" w:firstLineChars="200"/>
        <w:jc w:val="left"/>
        <w:rPr>
          <w:rFonts w:hint="eastAsia" w:ascii="仿宋_GB2312" w:hAnsi="宋体" w:eastAsia="仿宋_GB2312"/>
          <w:b/>
          <w:bCs/>
          <w:color w:val="000000"/>
          <w:sz w:val="28"/>
          <w:szCs w:val="28"/>
          <w:highlight w:val="none"/>
        </w:rPr>
      </w:pPr>
      <w:r>
        <w:rPr>
          <w:rFonts w:hint="eastAsia" w:ascii="仿宋_GB2312" w:hAnsi="宋体" w:eastAsia="仿宋_GB2312"/>
          <w:b/>
          <w:color w:val="000000"/>
          <w:sz w:val="28"/>
          <w:szCs w:val="28"/>
          <w:highlight w:val="none"/>
        </w:rPr>
        <w:t>五、建筑市场领域</w:t>
      </w:r>
      <w:r>
        <w:rPr>
          <w:rFonts w:hint="eastAsia" w:ascii="仿宋_GB2312" w:hAnsi="宋体" w:eastAsia="仿宋_GB2312"/>
          <w:b/>
          <w:bCs/>
          <w:color w:val="000000"/>
          <w:sz w:val="28"/>
          <w:szCs w:val="28"/>
          <w:highlight w:val="none"/>
        </w:rPr>
        <w:t>严重失信行为</w:t>
      </w:r>
    </w:p>
    <w:p w14:paraId="42F80118">
      <w:pPr>
        <w:adjustRightInd w:val="0"/>
        <w:snapToGrid w:val="0"/>
        <w:spacing w:line="560" w:lineRule="exact"/>
        <w:ind w:firstLine="560" w:firstLineChars="20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（一）利用虚假材料、以欺骗手段取得企业资质的；</w:t>
      </w:r>
    </w:p>
    <w:p w14:paraId="49906CCB">
      <w:pPr>
        <w:adjustRightInd w:val="0"/>
        <w:snapToGrid w:val="0"/>
        <w:spacing w:line="560" w:lineRule="exact"/>
        <w:ind w:firstLine="560" w:firstLineChars="20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（二）发生转包、出借资质，受到行政处罚的；</w:t>
      </w:r>
    </w:p>
    <w:p w14:paraId="1EE52F02">
      <w:pPr>
        <w:adjustRightInd w:val="0"/>
        <w:snapToGrid w:val="0"/>
        <w:spacing w:line="560" w:lineRule="exact"/>
        <w:ind w:firstLine="560" w:firstLineChars="20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（三）发生重大及以上工程质量安全事故，或1年内累计发生2次及以上较大工程质量安全事故，或发生性质恶劣、危害性严重、社会影响大的较大工程质量安全事故，受到行政处罚的；</w:t>
      </w:r>
    </w:p>
    <w:p w14:paraId="3BFCEE2B">
      <w:pPr>
        <w:adjustRightInd w:val="0"/>
        <w:snapToGrid w:val="0"/>
        <w:spacing w:line="560" w:lineRule="exact"/>
        <w:ind w:firstLine="560" w:firstLineChars="20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（四）经法院判决或仲裁机构裁决，认定为拖欠工程款,且拒不履行生效法律文书确定的义务的。</w:t>
      </w:r>
    </w:p>
    <w:p w14:paraId="71489800">
      <w:pPr>
        <w:adjustRightInd w:val="0"/>
        <w:snapToGrid w:val="0"/>
        <w:spacing w:line="560" w:lineRule="exact"/>
        <w:ind w:firstLine="560" w:firstLineChars="200"/>
        <w:jc w:val="left"/>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各级住房城乡建设主管部门应当参照建筑市场主体“黑名单”，对被人力资源社会保障行政部门列入拖欠农民工工资“黑名单”的建筑市场各方主体加强监管。</w:t>
      </w:r>
    </w:p>
    <w:p w14:paraId="2E980034">
      <w:pPr>
        <w:ind w:firstLine="562" w:firstLineChars="200"/>
        <w:jc w:val="left"/>
        <w:rPr>
          <w:rFonts w:hint="eastAsia" w:ascii="宋体" w:hAnsi="宋体"/>
          <w:color w:val="000000"/>
          <w:sz w:val="28"/>
          <w:szCs w:val="28"/>
          <w:highlight w:val="none"/>
        </w:rPr>
      </w:pPr>
      <w:r>
        <w:rPr>
          <w:rFonts w:hint="eastAsia" w:ascii="仿宋_GB2312" w:eastAsia="仿宋_GB2312"/>
          <w:b/>
          <w:color w:val="000000"/>
          <w:sz w:val="28"/>
          <w:szCs w:val="28"/>
          <w:highlight w:val="none"/>
        </w:rPr>
        <w:t>依据：《</w:t>
      </w:r>
      <w:bookmarkStart w:id="1018" w:name="OLE_LINK18"/>
      <w:bookmarkStart w:id="1019" w:name="OLE_LINK17"/>
      <w:r>
        <w:rPr>
          <w:rFonts w:hint="eastAsia" w:ascii="仿宋_GB2312" w:eastAsia="仿宋_GB2312"/>
          <w:b/>
          <w:color w:val="000000"/>
          <w:sz w:val="28"/>
          <w:szCs w:val="28"/>
          <w:highlight w:val="none"/>
        </w:rPr>
        <w:t>建筑市场信用管理暂行办法</w:t>
      </w:r>
      <w:bookmarkEnd w:id="1018"/>
      <w:bookmarkEnd w:id="1019"/>
      <w:r>
        <w:rPr>
          <w:rFonts w:hint="eastAsia" w:ascii="仿宋_GB2312" w:eastAsia="仿宋_GB2312"/>
          <w:b/>
          <w:color w:val="000000"/>
          <w:sz w:val="28"/>
          <w:szCs w:val="28"/>
          <w:highlight w:val="none"/>
        </w:rPr>
        <w:t>》（建市〔2017〕241号）</w:t>
      </w:r>
    </w:p>
    <w:p w14:paraId="69C47A42">
      <w:pPr>
        <w:adjustRightInd w:val="0"/>
        <w:snapToGrid w:val="0"/>
        <w:spacing w:line="560" w:lineRule="exact"/>
        <w:rPr>
          <w:rFonts w:hint="eastAsia" w:ascii="仿宋_GB2312" w:hAnsi="宋体" w:eastAsia="仿宋_GB2312"/>
          <w:b/>
          <w:color w:val="000000"/>
          <w:sz w:val="28"/>
          <w:szCs w:val="28"/>
          <w:highlight w:val="none"/>
        </w:rPr>
      </w:pPr>
    </w:p>
    <w:p w14:paraId="11BC22B7">
      <w:pPr>
        <w:adjustRightInd w:val="0"/>
        <w:snapToGrid w:val="0"/>
        <w:spacing w:line="560" w:lineRule="exact"/>
        <w:ind w:firstLine="562" w:firstLineChars="200"/>
        <w:rPr>
          <w:rFonts w:hint="eastAsia" w:ascii="仿宋_GB2312" w:hAnsi="宋体" w:eastAsia="仿宋_GB2312"/>
          <w:b/>
          <w:color w:val="000000"/>
          <w:sz w:val="28"/>
          <w:szCs w:val="28"/>
          <w:highlight w:val="none"/>
        </w:rPr>
      </w:pPr>
      <w:r>
        <w:rPr>
          <w:rFonts w:hint="eastAsia" w:ascii="仿宋_GB2312" w:hAnsi="宋体" w:eastAsia="仿宋_GB2312"/>
          <w:b/>
          <w:color w:val="000000"/>
          <w:sz w:val="28"/>
          <w:szCs w:val="28"/>
          <w:highlight w:val="none"/>
        </w:rPr>
        <w:t>六、</w:t>
      </w:r>
      <w:bookmarkStart w:id="1020" w:name="OLE_LINK19"/>
      <w:bookmarkStart w:id="1021" w:name="OLE_LINK20"/>
      <w:r>
        <w:rPr>
          <w:rFonts w:hint="eastAsia" w:ascii="仿宋_GB2312" w:hAnsi="宋体" w:eastAsia="仿宋_GB2312"/>
          <w:b/>
          <w:color w:val="000000"/>
          <w:sz w:val="28"/>
          <w:szCs w:val="28"/>
          <w:highlight w:val="none"/>
        </w:rPr>
        <w:t>政府采购严重失信行为</w:t>
      </w:r>
      <w:bookmarkEnd w:id="1020"/>
      <w:bookmarkEnd w:id="1021"/>
    </w:p>
    <w:p w14:paraId="1E763A02">
      <w:pPr>
        <w:adjustRightInd w:val="0"/>
        <w:snapToGrid w:val="0"/>
        <w:spacing w:line="560" w:lineRule="exact"/>
        <w:ind w:firstLine="615"/>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供应商、采购代理机构在三年内受到财政部门作出下列情形之一的行政处罚，列入政府采购严重违法失信行为记录名单。</w:t>
      </w:r>
      <w:r>
        <w:rPr>
          <w:rFonts w:hint="eastAsia" w:ascii="仿宋_GB2312" w:eastAsia="仿宋_GB2312"/>
          <w:color w:val="000000"/>
          <w:sz w:val="28"/>
          <w:szCs w:val="28"/>
          <w:highlight w:val="none"/>
        </w:rPr>
        <w:br w:type="textWrapping"/>
      </w:r>
      <w:r>
        <w:rPr>
          <w:rFonts w:hint="eastAsia" w:ascii="仿宋_GB2312" w:eastAsia="仿宋_GB2312"/>
          <w:color w:val="000000"/>
          <w:sz w:val="28"/>
          <w:szCs w:val="28"/>
          <w:highlight w:val="none"/>
        </w:rPr>
        <w:t>　　（一）三万元以上罚款；</w:t>
      </w:r>
      <w:r>
        <w:rPr>
          <w:rFonts w:hint="eastAsia" w:ascii="仿宋_GB2312" w:eastAsia="仿宋_GB2312"/>
          <w:color w:val="000000"/>
          <w:sz w:val="28"/>
          <w:szCs w:val="28"/>
          <w:highlight w:val="none"/>
        </w:rPr>
        <w:br w:type="textWrapping"/>
      </w:r>
      <w:r>
        <w:rPr>
          <w:rFonts w:hint="eastAsia" w:ascii="仿宋_GB2312" w:eastAsia="仿宋_GB2312"/>
          <w:color w:val="000000"/>
          <w:sz w:val="28"/>
          <w:szCs w:val="28"/>
          <w:highlight w:val="none"/>
        </w:rPr>
        <w:t>　　（二）在一至三年内禁止参加政府采购活动（处罚期限届满的除外）；</w:t>
      </w:r>
      <w:r>
        <w:rPr>
          <w:rFonts w:hint="eastAsia" w:ascii="仿宋_GB2312" w:eastAsia="仿宋_GB2312"/>
          <w:color w:val="000000"/>
          <w:sz w:val="28"/>
          <w:szCs w:val="28"/>
          <w:highlight w:val="none"/>
        </w:rPr>
        <w:br w:type="textWrapping"/>
      </w:r>
      <w:r>
        <w:rPr>
          <w:rFonts w:hint="eastAsia" w:ascii="仿宋_GB2312" w:eastAsia="仿宋_GB2312"/>
          <w:color w:val="000000"/>
          <w:sz w:val="28"/>
          <w:szCs w:val="28"/>
          <w:highlight w:val="none"/>
        </w:rPr>
        <w:t>　　（三）在一至三年内禁止代理政府采购业务（处罚期限届满的除外）；</w:t>
      </w:r>
      <w:r>
        <w:rPr>
          <w:rFonts w:hint="eastAsia" w:ascii="仿宋_GB2312" w:eastAsia="仿宋_GB2312"/>
          <w:color w:val="000000"/>
          <w:sz w:val="28"/>
          <w:szCs w:val="28"/>
          <w:highlight w:val="none"/>
        </w:rPr>
        <w:br w:type="textWrapping"/>
      </w:r>
      <w:r>
        <w:rPr>
          <w:rFonts w:hint="eastAsia" w:ascii="仿宋_GB2312" w:hAnsi="宋体" w:eastAsia="仿宋_GB2312"/>
          <w:color w:val="000000"/>
          <w:sz w:val="28"/>
          <w:szCs w:val="28"/>
          <w:highlight w:val="none"/>
        </w:rPr>
        <w:t xml:space="preserve">　 </w:t>
      </w:r>
      <w:r>
        <w:rPr>
          <w:rFonts w:hint="eastAsia" w:ascii="仿宋_GB2312" w:eastAsia="仿宋_GB2312"/>
          <w:color w:val="000000"/>
          <w:sz w:val="28"/>
          <w:szCs w:val="28"/>
          <w:highlight w:val="none"/>
        </w:rPr>
        <w:t>（四）撤销政府采购代理机构资格（仅针对《政府采购法》第78条修改前作出的处罚决定）。</w:t>
      </w:r>
    </w:p>
    <w:p w14:paraId="583AAEB1">
      <w:pPr>
        <w:adjustRightInd w:val="0"/>
        <w:snapToGrid w:val="0"/>
        <w:spacing w:line="560" w:lineRule="exact"/>
        <w:ind w:firstLine="562" w:firstLineChars="200"/>
        <w:jc w:val="left"/>
        <w:rPr>
          <w:rFonts w:hint="eastAsia" w:ascii="仿宋_GB2312" w:eastAsia="仿宋_GB2312"/>
          <w:b/>
          <w:color w:val="000000"/>
          <w:sz w:val="28"/>
          <w:szCs w:val="28"/>
          <w:highlight w:val="none"/>
        </w:rPr>
      </w:pPr>
      <w:r>
        <w:rPr>
          <w:rFonts w:hint="eastAsia" w:ascii="仿宋_GB2312" w:eastAsia="仿宋_GB2312"/>
          <w:b/>
          <w:color w:val="000000"/>
          <w:sz w:val="28"/>
          <w:szCs w:val="28"/>
          <w:highlight w:val="none"/>
        </w:rPr>
        <w:t>依据：《关于报送政府采购严重违法失信行为信息记录的通知》</w:t>
      </w:r>
      <w:r>
        <w:rPr>
          <w:rFonts w:hint="eastAsia"/>
          <w:b/>
          <w:color w:val="000000"/>
          <w:sz w:val="28"/>
          <w:szCs w:val="28"/>
          <w:highlight w:val="none"/>
        </w:rPr>
        <w:t>（财办库〔</w:t>
      </w:r>
      <w:r>
        <w:rPr>
          <w:b/>
          <w:color w:val="000000"/>
          <w:sz w:val="28"/>
          <w:szCs w:val="28"/>
          <w:highlight w:val="none"/>
        </w:rPr>
        <w:t>2014</w:t>
      </w:r>
      <w:r>
        <w:rPr>
          <w:rFonts w:hint="eastAsia"/>
          <w:b/>
          <w:color w:val="000000"/>
          <w:sz w:val="28"/>
          <w:szCs w:val="28"/>
          <w:highlight w:val="none"/>
        </w:rPr>
        <w:t>〕</w:t>
      </w:r>
      <w:r>
        <w:rPr>
          <w:b/>
          <w:color w:val="000000"/>
          <w:sz w:val="28"/>
          <w:szCs w:val="28"/>
          <w:highlight w:val="none"/>
        </w:rPr>
        <w:t>526</w:t>
      </w:r>
      <w:r>
        <w:rPr>
          <w:rFonts w:hint="eastAsia"/>
          <w:b/>
          <w:color w:val="000000"/>
          <w:sz w:val="28"/>
          <w:szCs w:val="28"/>
          <w:highlight w:val="none"/>
        </w:rPr>
        <w:t>号）</w:t>
      </w:r>
    </w:p>
    <w:p w14:paraId="0F42D89C">
      <w:pPr>
        <w:adjustRightInd w:val="0"/>
        <w:snapToGrid w:val="0"/>
        <w:spacing w:line="560" w:lineRule="exact"/>
        <w:ind w:firstLine="615"/>
        <w:rPr>
          <w:rFonts w:ascii="仿宋_GB2312" w:eastAsia="仿宋_GB2312"/>
          <w:b/>
          <w:color w:val="000000"/>
          <w:sz w:val="32"/>
          <w:szCs w:val="32"/>
          <w:highlight w:val="none"/>
        </w:rPr>
      </w:pPr>
      <w:r>
        <w:rPr>
          <w:rFonts w:hint="eastAsia" w:ascii="仿宋_GB2312" w:hAnsi="宋体" w:eastAsia="仿宋_GB2312"/>
          <w:b/>
          <w:color w:val="000000"/>
          <w:sz w:val="28"/>
          <w:szCs w:val="28"/>
          <w:highlight w:val="none"/>
        </w:rPr>
        <w:t>未列出的其他类别严重失信行为，由招标人（代理机构）根据各类别行业主管部门下发的联合惩戒文件进行判</w:t>
      </w:r>
      <w:r>
        <w:rPr>
          <w:rFonts w:hint="eastAsia" w:ascii="仿宋_GB2312" w:hAnsi="宋体" w:eastAsia="仿宋_GB2312"/>
          <w:b/>
          <w:color w:val="000000"/>
          <w:sz w:val="32"/>
          <w:szCs w:val="32"/>
          <w:highlight w:val="none"/>
        </w:rPr>
        <w:t>断。</w:t>
      </w:r>
    </w:p>
    <w:p w14:paraId="5B23015C">
      <w:pPr>
        <w:rPr>
          <w:highlight w:val="none"/>
        </w:rPr>
      </w:pPr>
    </w:p>
    <w:sectPr>
      <w:pgSz w:w="11906" w:h="16838"/>
      <w:pgMar w:top="1134" w:right="1417" w:bottom="1134" w:left="141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18030">
    <w:altName w:val="宋体"/>
    <w:panose1 w:val="00000000000000000000"/>
    <w:charset w:val="86"/>
    <w:family w:val="modern"/>
    <w:pitch w:val="default"/>
    <w:sig w:usb0="00000000" w:usb1="00000000" w:usb2="000A005E" w:usb3="00000000" w:csb0="00040001" w:csb1="00000000"/>
  </w:font>
  <w:font w:name="MS Mincho">
    <w:altName w:val="Yu Gothic UI"/>
    <w:panose1 w:val="02020609040205080304"/>
    <w:charset w:val="80"/>
    <w:family w:val="modern"/>
    <w:pitch w:val="default"/>
    <w:sig w:usb0="00000000" w:usb1="00000000" w:usb2="00000010" w:usb3="00000000" w:csb0="4002009F" w:csb1="DFD70000"/>
  </w:font>
  <w:font w:name="Yu Gothic UI">
    <w:panose1 w:val="020B0500000000000000"/>
    <w:charset w:val="80"/>
    <w:family w:val="auto"/>
    <w:pitch w:val="default"/>
    <w:sig w:usb0="E00002FF" w:usb1="2AC7FDFF" w:usb2="00000016" w:usb3="00000000" w:csb0="2002009F" w:csb1="00000000"/>
  </w:font>
  <w:font w:name="方正小标宋简体">
    <w:altName w:val="黑体"/>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Times">
    <w:altName w:val="Times New Roman"/>
    <w:panose1 w:val="02020603050405020304"/>
    <w:charset w:val="00"/>
    <w:family w:val="roman"/>
    <w:pitch w:val="default"/>
    <w:sig w:usb0="00000000" w:usb1="00000000" w:usb2="00000009" w:usb3="00000000" w:csb0="000001FF" w:csb1="00000000"/>
  </w:font>
  <w:font w:name="楷体">
    <w:panose1 w:val="02010609060101010101"/>
    <w:charset w:val="86"/>
    <w:family w:val="modern"/>
    <w:pitch w:val="default"/>
    <w:sig w:usb0="800002BF" w:usb1="38CF7CFA" w:usb2="00000016" w:usb3="00000000" w:csb0="00040001" w:csb1="00000000"/>
  </w:font>
  <w:font w:name="ModIcon">
    <w:altName w:val="Segoe Print"/>
    <w:panose1 w:val="00000000000000000000"/>
    <w:charset w:val="00"/>
    <w:family w:val="auto"/>
    <w:pitch w:val="default"/>
    <w:sig w:usb0="00000000" w:usb1="00000000" w:usb2="00000000" w:usb3="00000000" w:csb0="00000000" w:csb1="00000000"/>
  </w:font>
  <w:font w:name="ActionIcon">
    <w:altName w:val="Segoe Print"/>
    <w:panose1 w:val="00000000000000000000"/>
    <w:charset w:val="00"/>
    <w:family w:val="auto"/>
    <w:pitch w:val="default"/>
    <w:sig w:usb0="00000000" w:usb1="00000000" w:usb2="00000000" w:usb3="00000000" w:csb0="00000000" w:csb1="00000000"/>
  </w:font>
  <w:font w:name="SourceHanSansCN-Regular">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B954D">
    <w:pPr>
      <w:pStyle w:val="12"/>
      <w:jc w:val="righ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536308">
                          <w:pPr>
                            <w:pStyle w:val="12"/>
                            <w:jc w:val="right"/>
                          </w:pPr>
                          <w:r>
                            <w:fldChar w:fldCharType="begin"/>
                          </w:r>
                          <w:r>
                            <w:instrText xml:space="preserve">PAGE   \* MERGEFORMAT</w:instrText>
                          </w:r>
                          <w:r>
                            <w:fldChar w:fldCharType="separate"/>
                          </w:r>
                          <w:r>
                            <w:rPr>
                              <w:lang w:val="zh-CN"/>
                            </w:rPr>
                            <w:t>125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F536308">
                    <w:pPr>
                      <w:pStyle w:val="12"/>
                      <w:jc w:val="right"/>
                    </w:pPr>
                    <w:r>
                      <w:fldChar w:fldCharType="begin"/>
                    </w:r>
                    <w:r>
                      <w:instrText xml:space="preserve">PAGE   \* MERGEFORMAT</w:instrText>
                    </w:r>
                    <w:r>
                      <w:fldChar w:fldCharType="separate"/>
                    </w:r>
                    <w:r>
                      <w:rPr>
                        <w:lang w:val="zh-CN"/>
                      </w:rPr>
                      <w:t>125</w:t>
                    </w:r>
                    <w:r>
                      <w:fldChar w:fldCharType="end"/>
                    </w:r>
                  </w:p>
                </w:txbxContent>
              </v:textbox>
            </v:shape>
          </w:pict>
        </mc:Fallback>
      </mc:AlternateContent>
    </w:r>
  </w:p>
  <w:p w14:paraId="498CE6D3">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r>
        <w:separator/>
      </w:r>
    </w:p>
  </w:footnote>
  <w:footnote w:type="continuationSeparator" w:id="7">
    <w:p>
      <w:r>
        <w:continuationSeparator/>
      </w:r>
    </w:p>
  </w:footnote>
  <w:footnote w:id="0">
    <w:p w14:paraId="7E514CA6">
      <w:pPr>
        <w:pStyle w:val="15"/>
      </w:pPr>
    </w:p>
  </w:footnote>
  <w:footnote w:id="1">
    <w:p w14:paraId="4F0860B0">
      <w:pPr>
        <w:pStyle w:val="15"/>
      </w:pPr>
      <w:r>
        <w:rPr>
          <w:rStyle w:val="30"/>
        </w:rPr>
        <w:footnoteRef/>
      </w:r>
      <w:r>
        <w:rPr>
          <w:rFonts w:hint="eastAsia"/>
        </w:rPr>
        <w:t>招标代理服务费可由招标人支付，也可由中标单位代为支付。如由中标单位代为支付，招标人招标时可将该费用列入工程量清单及最高投标限价中的其他项目清单中，此项费用为不可竞争费，投标人投标时不得下浮。项目结算时凭票据实计入工程结算价款中。</w:t>
      </w:r>
    </w:p>
  </w:footnote>
  <w:footnote w:id="2">
    <w:p w14:paraId="695F8505">
      <w:pPr>
        <w:pStyle w:val="15"/>
        <w:tabs>
          <w:tab w:val="left" w:pos="8104"/>
        </w:tabs>
      </w:pPr>
      <w:r>
        <w:rPr>
          <w:rStyle w:val="30"/>
        </w:rPr>
        <w:footnoteRef/>
      </w:r>
      <w:r>
        <w:t xml:space="preserve"> </w:t>
      </w:r>
      <w:r>
        <w:rPr>
          <w:rFonts w:hint="eastAsia"/>
        </w:rPr>
        <w:t>采用综合评估法和EPC综合评估法并设置业绩</w:t>
      </w:r>
      <w:r>
        <w:rPr>
          <w:rFonts w:hint="eastAsia" w:ascii="宋体" w:hAnsi="宋体" w:cs="宋体"/>
          <w:color w:val="000000"/>
          <w:szCs w:val="21"/>
        </w:rPr>
        <w:t>和奖项</w:t>
      </w:r>
      <w:r>
        <w:rPr>
          <w:rFonts w:hint="eastAsia"/>
        </w:rPr>
        <w:t>评分项的项目适用本款。</w:t>
      </w:r>
      <w: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A39D7">
    <w:pPr>
      <w:pStyle w:val="13"/>
      <w:pBdr>
        <w:bottom w:val="single" w:color="auto" w:sz="6" w:space="0"/>
      </w:pBdr>
      <w:jc w:val="left"/>
    </w:pPr>
    <w:r>
      <w:rPr>
        <w:rFonts w:hint="eastAsia"/>
      </w:rPr>
      <w:t>滁州市房屋建筑和市政基础设施工程施工招标文件示范文本2025年3月版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F2D61">
    <w:pPr>
      <w:pStyle w:val="12"/>
    </w:pPr>
    <w:r>
      <w:rPr>
        <w:rFonts w:hint="eastAsia"/>
      </w:rPr>
      <w:t>滁州市房屋建筑和市政基础设施工程施工招标文件示范文本2025年3月版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0D545"/>
    <w:multiLevelType w:val="singleLevel"/>
    <w:tmpl w:val="BFD0D545"/>
    <w:lvl w:ilvl="0" w:tentative="0">
      <w:start w:val="3"/>
      <w:numFmt w:val="decimal"/>
      <w:suff w:val="nothing"/>
      <w:lvlText w:val="（%1）"/>
      <w:lvlJc w:val="left"/>
    </w:lvl>
  </w:abstractNum>
  <w:abstractNum w:abstractNumId="1">
    <w:nsid w:val="2F3C9A51"/>
    <w:multiLevelType w:val="singleLevel"/>
    <w:tmpl w:val="2F3C9A51"/>
    <w:lvl w:ilvl="0" w:tentative="0">
      <w:start w:val="1"/>
      <w:numFmt w:val="decimal"/>
      <w:lvlText w:val="%1."/>
      <w:lvlJc w:val="left"/>
      <w:pPr>
        <w:tabs>
          <w:tab w:val="left" w:pos="312"/>
        </w:tabs>
      </w:pPr>
    </w:lvl>
  </w:abstractNum>
  <w:abstractNum w:abstractNumId="2">
    <w:nsid w:val="5579E3FB"/>
    <w:multiLevelType w:val="singleLevel"/>
    <w:tmpl w:val="5579E3FB"/>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6"/>
    <w:footnote w:id="7"/>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B01A8"/>
    <w:rsid w:val="02432F6E"/>
    <w:rsid w:val="06DD6561"/>
    <w:rsid w:val="0AE7106D"/>
    <w:rsid w:val="0BBB4B31"/>
    <w:rsid w:val="0E90097D"/>
    <w:rsid w:val="12B95712"/>
    <w:rsid w:val="16155CE2"/>
    <w:rsid w:val="198E410E"/>
    <w:rsid w:val="1A7B01A8"/>
    <w:rsid w:val="1ABB365F"/>
    <w:rsid w:val="1B833197"/>
    <w:rsid w:val="1F571E72"/>
    <w:rsid w:val="211F12CF"/>
    <w:rsid w:val="26CC0FB4"/>
    <w:rsid w:val="27CA5F4F"/>
    <w:rsid w:val="324D445D"/>
    <w:rsid w:val="33936AB4"/>
    <w:rsid w:val="37B747BB"/>
    <w:rsid w:val="3F7E60DF"/>
    <w:rsid w:val="414B44FB"/>
    <w:rsid w:val="42A312B5"/>
    <w:rsid w:val="46E24F53"/>
    <w:rsid w:val="490A382B"/>
    <w:rsid w:val="49980B30"/>
    <w:rsid w:val="4A1E58FC"/>
    <w:rsid w:val="4A500D61"/>
    <w:rsid w:val="4D115557"/>
    <w:rsid w:val="507623AD"/>
    <w:rsid w:val="52D21CFE"/>
    <w:rsid w:val="560372B5"/>
    <w:rsid w:val="576C09CC"/>
    <w:rsid w:val="57A56C27"/>
    <w:rsid w:val="5A096502"/>
    <w:rsid w:val="5A700CA4"/>
    <w:rsid w:val="5D776A16"/>
    <w:rsid w:val="5DC058EC"/>
    <w:rsid w:val="5FA83DAC"/>
    <w:rsid w:val="64346603"/>
    <w:rsid w:val="66B66BB9"/>
    <w:rsid w:val="66F03B9D"/>
    <w:rsid w:val="67505450"/>
    <w:rsid w:val="6D273F0F"/>
    <w:rsid w:val="6DB6446E"/>
    <w:rsid w:val="6E523BD8"/>
    <w:rsid w:val="727A46C7"/>
    <w:rsid w:val="7555340F"/>
    <w:rsid w:val="79AF7F2A"/>
    <w:rsid w:val="7EA63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39"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6" w:lineRule="auto"/>
      <w:outlineLvl w:val="0"/>
    </w:pPr>
    <w:rPr>
      <w:rFonts w:ascii="Times New Roman" w:hAnsi="Times New Roman" w:eastAsia="宋体" w:cs="Times New Roman"/>
      <w:b/>
      <w:bCs/>
      <w:kern w:val="44"/>
      <w:sz w:val="44"/>
      <w:szCs w:val="44"/>
    </w:rPr>
  </w:style>
  <w:style w:type="paragraph" w:styleId="3">
    <w:name w:val="heading 2"/>
    <w:basedOn w:val="1"/>
    <w:next w:val="1"/>
    <w:qFormat/>
    <w:uiPriority w:val="9"/>
    <w:pPr>
      <w:keepNext/>
      <w:keepLines/>
      <w:spacing w:before="260" w:after="260" w:line="415" w:lineRule="auto"/>
      <w:outlineLvl w:val="1"/>
    </w:pPr>
    <w:rPr>
      <w:rFonts w:ascii="Arial" w:hAnsi="Arial" w:eastAsia="黑体" w:cs="Times New Roman"/>
      <w:b/>
      <w:bCs/>
      <w:sz w:val="32"/>
      <w:szCs w:val="32"/>
    </w:rPr>
  </w:style>
  <w:style w:type="paragraph" w:styleId="4">
    <w:name w:val="heading 3"/>
    <w:basedOn w:val="1"/>
    <w:next w:val="1"/>
    <w:qFormat/>
    <w:uiPriority w:val="0"/>
    <w:pPr>
      <w:keepNext/>
      <w:keepLines/>
      <w:spacing w:before="260" w:after="260" w:line="415" w:lineRule="auto"/>
      <w:outlineLvl w:val="2"/>
    </w:pPr>
    <w:rPr>
      <w:rFonts w:ascii="Times New Roman" w:hAnsi="Times New Roman" w:eastAsia="宋体" w:cs="Times New Roman"/>
      <w:b/>
      <w:bCs/>
      <w:kern w:val="0"/>
      <w:sz w:val="32"/>
      <w:szCs w:val="32"/>
    </w:rPr>
  </w:style>
  <w:style w:type="paragraph" w:styleId="5">
    <w:name w:val="heading 4"/>
    <w:basedOn w:val="1"/>
    <w:next w:val="1"/>
    <w:qFormat/>
    <w:uiPriority w:val="9"/>
    <w:pPr>
      <w:keepNext/>
      <w:keepLines/>
      <w:spacing w:before="280" w:after="290" w:line="374" w:lineRule="auto"/>
      <w:outlineLvl w:val="3"/>
    </w:pPr>
    <w:rPr>
      <w:rFonts w:ascii="Arial" w:hAnsi="Arial" w:eastAsia="黑体" w:cs="Times New Roman"/>
      <w:b/>
      <w:bCs/>
      <w:sz w:val="28"/>
      <w:szCs w:val="28"/>
    </w:rPr>
  </w:style>
  <w:style w:type="character" w:default="1" w:styleId="19">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6">
    <w:name w:val="toc 7"/>
    <w:basedOn w:val="1"/>
    <w:next w:val="1"/>
    <w:qFormat/>
    <w:uiPriority w:val="39"/>
    <w:pPr>
      <w:ind w:left="1260"/>
      <w:jc w:val="left"/>
    </w:pPr>
    <w:rPr>
      <w:sz w:val="18"/>
      <w:szCs w:val="18"/>
    </w:rPr>
  </w:style>
  <w:style w:type="paragraph" w:styleId="7">
    <w:name w:val="annotation text"/>
    <w:basedOn w:val="1"/>
    <w:qFormat/>
    <w:uiPriority w:val="0"/>
    <w:pPr>
      <w:jc w:val="left"/>
    </w:pPr>
  </w:style>
  <w:style w:type="paragraph" w:styleId="8">
    <w:name w:val="Body Text 3"/>
    <w:basedOn w:val="1"/>
    <w:qFormat/>
    <w:uiPriority w:val="99"/>
    <w:rPr>
      <w:rFonts w:ascii="宋体" w:hAnsi="Times New Roman" w:eastAsia="宋体" w:cs="Times New Roman"/>
      <w:sz w:val="24"/>
      <w:szCs w:val="20"/>
    </w:rPr>
  </w:style>
  <w:style w:type="paragraph" w:styleId="9">
    <w:name w:val="Body Text"/>
    <w:basedOn w:val="1"/>
    <w:qFormat/>
    <w:uiPriority w:val="99"/>
    <w:pPr>
      <w:spacing w:after="120"/>
    </w:pPr>
    <w:rPr>
      <w:rFonts w:ascii="Times New Roman" w:hAnsi="Times New Roman" w:eastAsia="宋体" w:cs="Times New Roman"/>
      <w:szCs w:val="24"/>
    </w:rPr>
  </w:style>
  <w:style w:type="paragraph" w:styleId="10">
    <w:name w:val="Body Text Indent"/>
    <w:basedOn w:val="1"/>
    <w:next w:val="11"/>
    <w:unhideWhenUsed/>
    <w:qFormat/>
    <w:uiPriority w:val="99"/>
    <w:pPr>
      <w:spacing w:after="120"/>
      <w:ind w:left="420" w:leftChars="200"/>
    </w:pPr>
  </w:style>
  <w:style w:type="paragraph" w:styleId="11">
    <w:name w:val="envelope return"/>
    <w:basedOn w:val="1"/>
    <w:next w:val="6"/>
    <w:qFormat/>
    <w:uiPriority w:val="0"/>
    <w:pPr>
      <w:snapToGrid w:val="0"/>
    </w:pPr>
    <w:rPr>
      <w:rFonts w:ascii="Arial" w:hAnsi="Arial"/>
    </w:rPr>
  </w:style>
  <w:style w:type="paragraph" w:styleId="12">
    <w:name w:val="footer"/>
    <w:basedOn w:val="1"/>
    <w:unhideWhenUsed/>
    <w:qFormat/>
    <w:uiPriority w:val="99"/>
    <w:pPr>
      <w:tabs>
        <w:tab w:val="center" w:pos="4153"/>
        <w:tab w:val="right" w:pos="8306"/>
      </w:tabs>
      <w:snapToGrid w:val="0"/>
      <w:jc w:val="left"/>
    </w:pPr>
    <w:rPr>
      <w:sz w:val="18"/>
      <w:szCs w:val="18"/>
    </w:rPr>
  </w:style>
  <w:style w:type="paragraph" w:styleId="1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spacing w:before="120" w:after="120"/>
      <w:jc w:val="left"/>
    </w:pPr>
    <w:rPr>
      <w:rFonts w:ascii="Times New Roman" w:hAnsi="Times New Roman" w:eastAsia="宋体" w:cs="Times New Roman"/>
      <w:b/>
      <w:bCs/>
      <w:caps/>
      <w:sz w:val="20"/>
      <w:szCs w:val="20"/>
    </w:rPr>
  </w:style>
  <w:style w:type="paragraph" w:styleId="15">
    <w:name w:val="footnote text"/>
    <w:basedOn w:val="1"/>
    <w:qFormat/>
    <w:uiPriority w:val="0"/>
    <w:rPr>
      <w:rFonts w:ascii="Times New Roman" w:hAnsi="Times New Roman" w:eastAsia="宋体" w:cs="Times New Roman"/>
      <w:sz w:val="20"/>
      <w:szCs w:val="20"/>
    </w:rPr>
  </w:style>
  <w:style w:type="paragraph" w:styleId="16">
    <w:name w:val="Body Text 2"/>
    <w:basedOn w:val="1"/>
    <w:qFormat/>
    <w:uiPriority w:val="0"/>
    <w:pPr>
      <w:spacing w:after="120" w:line="480" w:lineRule="auto"/>
    </w:pPr>
  </w:style>
  <w:style w:type="paragraph" w:styleId="17">
    <w:name w:val="Body Text First Indent 2"/>
    <w:basedOn w:val="10"/>
    <w:next w:val="1"/>
    <w:qFormat/>
    <w:uiPriority w:val="99"/>
    <w:pPr>
      <w:ind w:firstLine="420" w:firstLineChars="200"/>
    </w:pPr>
    <w:rPr>
      <w:rFonts w:ascii="Times New Roman" w:hAnsi="Times New Roman" w:eastAsia="宋体" w:cs="Times New Roman"/>
      <w:szCs w:val="24"/>
    </w:rPr>
  </w:style>
  <w:style w:type="character" w:styleId="20">
    <w:name w:val="Strong"/>
    <w:basedOn w:val="19"/>
    <w:qFormat/>
    <w:uiPriority w:val="0"/>
    <w:rPr>
      <w:b/>
      <w:bCs/>
    </w:rPr>
  </w:style>
  <w:style w:type="character" w:styleId="21">
    <w:name w:val="FollowedHyperlink"/>
    <w:basedOn w:val="19"/>
    <w:qFormat/>
    <w:uiPriority w:val="0"/>
    <w:rPr>
      <w:color w:val="5C5C5C"/>
      <w:u w:val="none"/>
    </w:rPr>
  </w:style>
  <w:style w:type="character" w:styleId="22">
    <w:name w:val="Emphasis"/>
    <w:basedOn w:val="19"/>
    <w:qFormat/>
    <w:uiPriority w:val="0"/>
    <w:rPr>
      <w:i/>
      <w:iCs/>
    </w:rPr>
  </w:style>
  <w:style w:type="character" w:styleId="23">
    <w:name w:val="HTML Definition"/>
    <w:basedOn w:val="19"/>
    <w:qFormat/>
    <w:uiPriority w:val="0"/>
  </w:style>
  <w:style w:type="character" w:styleId="24">
    <w:name w:val="HTML Typewriter"/>
    <w:basedOn w:val="19"/>
    <w:qFormat/>
    <w:uiPriority w:val="0"/>
    <w:rPr>
      <w:rFonts w:hint="default" w:ascii="monospace" w:hAnsi="monospace" w:eastAsia="monospace" w:cs="monospace"/>
      <w:sz w:val="20"/>
    </w:rPr>
  </w:style>
  <w:style w:type="character" w:styleId="25">
    <w:name w:val="HTML Acronym"/>
    <w:basedOn w:val="19"/>
    <w:qFormat/>
    <w:uiPriority w:val="0"/>
    <w:rPr>
      <w:bdr w:val="none" w:color="auto" w:sz="0" w:space="0"/>
    </w:rPr>
  </w:style>
  <w:style w:type="character" w:styleId="26">
    <w:name w:val="HTML Variable"/>
    <w:basedOn w:val="19"/>
    <w:qFormat/>
    <w:uiPriority w:val="0"/>
  </w:style>
  <w:style w:type="character" w:styleId="27">
    <w:name w:val="Hyperlink"/>
    <w:qFormat/>
    <w:uiPriority w:val="99"/>
    <w:rPr>
      <w:color w:val="333333"/>
      <w:u w:val="none"/>
    </w:rPr>
  </w:style>
  <w:style w:type="character" w:styleId="28">
    <w:name w:val="HTML Code"/>
    <w:basedOn w:val="19"/>
    <w:qFormat/>
    <w:uiPriority w:val="0"/>
    <w:rPr>
      <w:rFonts w:ascii="monospace" w:hAnsi="monospace" w:eastAsia="monospace" w:cs="monospace"/>
      <w:sz w:val="20"/>
    </w:rPr>
  </w:style>
  <w:style w:type="character" w:styleId="29">
    <w:name w:val="HTML Cite"/>
    <w:basedOn w:val="19"/>
    <w:qFormat/>
    <w:uiPriority w:val="0"/>
  </w:style>
  <w:style w:type="character" w:styleId="30">
    <w:name w:val="footnote reference"/>
    <w:qFormat/>
    <w:uiPriority w:val="0"/>
    <w:rPr>
      <w:vertAlign w:val="superscript"/>
    </w:rPr>
  </w:style>
  <w:style w:type="character" w:styleId="31">
    <w:name w:val="HTML Keyboard"/>
    <w:basedOn w:val="19"/>
    <w:qFormat/>
    <w:uiPriority w:val="0"/>
    <w:rPr>
      <w:rFonts w:hint="default" w:ascii="monospace" w:hAnsi="monospace" w:eastAsia="monospace" w:cs="monospace"/>
      <w:sz w:val="20"/>
    </w:rPr>
  </w:style>
  <w:style w:type="character" w:styleId="32">
    <w:name w:val="HTML Sample"/>
    <w:basedOn w:val="19"/>
    <w:qFormat/>
    <w:uiPriority w:val="0"/>
    <w:rPr>
      <w:rFonts w:hint="default" w:ascii="monospace" w:hAnsi="monospace" w:eastAsia="monospace" w:cs="monospace"/>
    </w:rPr>
  </w:style>
  <w:style w:type="paragraph" w:customStyle="1" w:styleId="33">
    <w:name w:val="_Style 8"/>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4">
    <w:name w:val="p0"/>
    <w:basedOn w:val="1"/>
    <w:qFormat/>
    <w:uiPriority w:val="0"/>
    <w:pPr>
      <w:widowControl/>
    </w:pPr>
    <w:rPr>
      <w:rFonts w:ascii="Times New Roman" w:hAnsi="Times New Roman" w:eastAsia="宋体" w:cs="Times New Roman"/>
      <w:kern w:val="0"/>
      <w:szCs w:val="21"/>
    </w:rPr>
  </w:style>
  <w:style w:type="paragraph" w:customStyle="1" w:styleId="35">
    <w:name w:val="Table Paragraph"/>
    <w:basedOn w:val="1"/>
    <w:qFormat/>
    <w:uiPriority w:val="1"/>
    <w:rPr>
      <w:rFonts w:ascii="宋体" w:hAnsi="宋体" w:eastAsia="宋体" w:cs="宋体"/>
      <w:szCs w:val="24"/>
      <w:lang w:val="zh-CN" w:bidi="zh-CN"/>
    </w:rPr>
  </w:style>
  <w:style w:type="paragraph" w:customStyle="1" w:styleId="3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7">
    <w:name w:val="节标题"/>
    <w:basedOn w:val="1"/>
    <w:next w:val="1"/>
    <w:qFormat/>
    <w:uiPriority w:val="0"/>
    <w:pPr>
      <w:widowControl/>
      <w:spacing w:line="289" w:lineRule="atLeast"/>
      <w:jc w:val="center"/>
      <w:textAlignment w:val="baseline"/>
    </w:pPr>
    <w:rPr>
      <w:rFonts w:ascii="Times New Roman" w:hAnsi="Times New Roman" w:eastAsia="宋体" w:cs="Times New Roman"/>
      <w:color w:val="000000"/>
      <w:kern w:val="0"/>
      <w:sz w:val="28"/>
      <w:szCs w:val="20"/>
      <w:u w:val="none" w:color="000000"/>
    </w:rPr>
  </w:style>
  <w:style w:type="paragraph" w:customStyle="1" w:styleId="38">
    <w:name w:val="列出段落1"/>
    <w:basedOn w:val="1"/>
    <w:qFormat/>
    <w:uiPriority w:val="1"/>
    <w:pPr>
      <w:ind w:left="354" w:firstLine="420"/>
    </w:pPr>
    <w:rPr>
      <w:rFonts w:ascii="宋体" w:hAnsi="宋体" w:eastAsia="宋体" w:cs="宋体"/>
      <w:szCs w:val="24"/>
      <w:lang w:val="zh-CN" w:bidi="zh-CN"/>
    </w:rPr>
  </w:style>
  <w:style w:type="character" w:customStyle="1" w:styleId="39">
    <w:name w:val="hover"/>
    <w:basedOn w:val="19"/>
    <w:qFormat/>
    <w:uiPriority w:val="0"/>
    <w:rPr>
      <w:color w:val="2590EB"/>
      <w:shd w:val="clear" w:fill="E9F4FD"/>
    </w:rPr>
  </w:style>
  <w:style w:type="character" w:customStyle="1" w:styleId="40">
    <w:name w:val="hover1"/>
    <w:basedOn w:val="19"/>
    <w:qFormat/>
    <w:uiPriority w:val="0"/>
  </w:style>
  <w:style w:type="character" w:customStyle="1" w:styleId="41">
    <w:name w:val="hover2"/>
    <w:basedOn w:val="19"/>
    <w:qFormat/>
    <w:uiPriority w:val="0"/>
    <w:rPr>
      <w:color w:val="2590EB"/>
    </w:rPr>
  </w:style>
  <w:style w:type="character" w:customStyle="1" w:styleId="42">
    <w:name w:val="hover3"/>
    <w:basedOn w:val="19"/>
    <w:qFormat/>
    <w:uiPriority w:val="0"/>
    <w:rPr>
      <w:color w:val="2590EB"/>
    </w:rPr>
  </w:style>
  <w:style w:type="character" w:customStyle="1" w:styleId="43">
    <w:name w:val="mini-outputtext1"/>
    <w:basedOn w:val="19"/>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153</Pages>
  <Words>15349</Words>
  <Characters>16721</Characters>
  <Lines>0</Lines>
  <Paragraphs>0</Paragraphs>
  <TotalTime>18</TotalTime>
  <ScaleCrop>false</ScaleCrop>
  <LinksUpToDate>false</LinksUpToDate>
  <CharactersWithSpaces>17104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2025-06-07T06:32:00Z</dcterms:created>
  <dc:creator>傻傻一辈子</dc:creator>
  <cp:lastModifiedBy>傻傻一辈子</cp:lastModifiedBy>
  <dcterms:modified xsi:type="dcterms:W3CDTF">2025-06-20T09:33:57Z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041256489C0348CB91141C3C46981608_13</vt:lpwstr>
  </property>
  <property fmtid="{D5CDD505-2E9C-101B-9397-08002B2CF9AE}" pid="4" name="KSOTemplateDocerSaveRecord">
    <vt:lpwstr>eyJoZGlkIjoiMTljMDcwYWJmYjExZWQzNTVmZDAzZTYwM2JlMzJmZDYiLCJ1c2VySWQiOiIzODU2Mzk2OTQifQ==</vt:lpwstr>
  </property>
</Properties>
</file>