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256DC">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p>
    <w:p w14:paraId="1B355D30">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p>
    <w:p w14:paraId="58B9CF82">
      <w:pPr>
        <w:tabs>
          <w:tab w:val="left" w:pos="315"/>
          <w:tab w:val="left" w:pos="8820"/>
        </w:tabs>
        <w:spacing w:before="240" w:beforeLines="100" w:after="120" w:afterLines="50" w:line="500" w:lineRule="exact"/>
        <w:ind w:right="267" w:rightChars="127"/>
        <w:jc w:val="center"/>
        <w:rPr>
          <w:rFonts w:hint="eastAsia" w:ascii="宋体" w:hAnsi="宋体" w:eastAsia="宋体"/>
          <w:b/>
          <w:bCs/>
          <w:color w:val="auto"/>
          <w:sz w:val="52"/>
          <w:szCs w:val="52"/>
          <w:highlight w:val="none"/>
          <w:lang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125C5588">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竞争性磋商文件示范文本（服务类）</w:t>
      </w:r>
    </w:p>
    <w:bookmarkEnd w:id="0"/>
    <w:p w14:paraId="2C50032D">
      <w:pPr>
        <w:tabs>
          <w:tab w:val="left" w:pos="315"/>
          <w:tab w:val="left" w:pos="8820"/>
        </w:tabs>
        <w:spacing w:before="240" w:beforeLines="100" w:after="120" w:afterLines="50" w:line="500" w:lineRule="exact"/>
        <w:ind w:right="267" w:rightChars="127"/>
        <w:jc w:val="center"/>
        <w:rPr>
          <w:rFonts w:ascii="宋体" w:hAnsi="宋体" w:eastAsia="宋体"/>
          <w:bCs/>
          <w:color w:val="auto"/>
          <w:sz w:val="44"/>
          <w:szCs w:val="44"/>
          <w:highlight w:val="none"/>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2026版</w:t>
      </w:r>
      <w:r>
        <w:rPr>
          <w:rFonts w:hint="eastAsia" w:ascii="宋体" w:hAnsi="宋体" w:eastAsia="宋体"/>
          <w:b/>
          <w:bCs/>
          <w:color w:val="auto"/>
          <w:sz w:val="52"/>
          <w:szCs w:val="52"/>
          <w:highlight w:val="none"/>
          <w:lang w:eastAsia="zh-CN"/>
        </w:rPr>
        <w:t>）</w:t>
      </w:r>
    </w:p>
    <w:p w14:paraId="529397A0">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9B04FF2">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061C499F">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044DACAE">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5D484508">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284D01D9">
      <w:pPr>
        <w:tabs>
          <w:tab w:val="left" w:pos="315"/>
          <w:tab w:val="left" w:pos="8820"/>
        </w:tabs>
        <w:spacing w:before="240" w:beforeLines="100" w:after="120" w:afterLines="50" w:line="500" w:lineRule="exact"/>
        <w:ind w:right="267" w:rightChars="127"/>
        <w:jc w:val="both"/>
        <w:rPr>
          <w:rFonts w:ascii="宋体" w:hAnsi="宋体" w:eastAsia="宋体"/>
          <w:b/>
          <w:bCs/>
          <w:color w:val="auto"/>
          <w:sz w:val="44"/>
          <w:szCs w:val="44"/>
          <w:highlight w:val="none"/>
        </w:rPr>
      </w:pPr>
    </w:p>
    <w:p w14:paraId="347F5303">
      <w:pPr>
        <w:pStyle w:val="10"/>
        <w:rPr>
          <w:color w:val="auto"/>
          <w:highlight w:val="none"/>
        </w:rPr>
      </w:pPr>
    </w:p>
    <w:p w14:paraId="3BDCB26D">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val="en-US" w:eastAsia="zh-CN"/>
        </w:rPr>
        <w:t>中新苏滁高新区长江二级支流清流河岸线一公里范围内（滁州宝思利星展科技有限公司）环境风险评估项目</w:t>
      </w:r>
    </w:p>
    <w:p w14:paraId="38FEC0F6">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 xml:space="preserve">   HXJY1110001061720001   </w:t>
      </w:r>
    </w:p>
    <w:p w14:paraId="32349F98">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 xml:space="preserve"> 中新苏滁高新技术产业开发区管理委员会</w:t>
      </w:r>
    </w:p>
    <w:p w14:paraId="39B6433E">
      <w:pPr>
        <w:tabs>
          <w:tab w:val="left" w:pos="2410"/>
        </w:tabs>
        <w:autoSpaceDE w:val="0"/>
        <w:autoSpaceDN w:val="0"/>
        <w:adjustRightInd w:val="0"/>
        <w:snapToGrid w:val="0"/>
        <w:spacing w:line="360" w:lineRule="auto"/>
        <w:ind w:right="-340" w:rightChars="-162" w:firstLine="723" w:firstLineChars="200"/>
        <w:rPr>
          <w:rFonts w:hint="default"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lang w:eastAsia="zh-CN"/>
        </w:rPr>
        <w:t>：</w:t>
      </w:r>
      <w:r>
        <w:rPr>
          <w:rFonts w:hint="eastAsia" w:ascii="宋体" w:hAnsi="宋体" w:eastAsia="宋体"/>
          <w:b/>
          <w:color w:val="auto"/>
          <w:spacing w:val="20"/>
          <w:kern w:val="0"/>
          <w:sz w:val="32"/>
          <w:szCs w:val="32"/>
          <w:highlight w:val="none"/>
          <w:u w:val="single"/>
          <w:lang w:val="en-US" w:eastAsia="zh-CN"/>
        </w:rPr>
        <w:t>滁州市城投工程咨询管理有限公司</w:t>
      </w:r>
    </w:p>
    <w:p w14:paraId="4E0C324F">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2C1CF6F4">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8</w:t>
      </w:r>
      <w:r>
        <w:rPr>
          <w:rFonts w:hint="eastAsia" w:ascii="宋体" w:hAnsi="宋体" w:eastAsia="宋体"/>
          <w:b/>
          <w:color w:val="auto"/>
          <w:sz w:val="36"/>
          <w:highlight w:val="none"/>
        </w:rPr>
        <w:t>月</w:t>
      </w:r>
      <w:r>
        <w:rPr>
          <w:rFonts w:ascii="宋体" w:hAnsi="宋体" w:eastAsia="宋体"/>
          <w:b/>
          <w:color w:val="auto"/>
          <w:sz w:val="36"/>
          <w:highlight w:val="none"/>
        </w:rPr>
        <w:br w:type="page"/>
      </w:r>
    </w:p>
    <w:p w14:paraId="693C9645">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10437A1A">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p>
    <w:p w14:paraId="6849E2F2">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TOC \o "1-2" \h \z \u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_Toc19988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color w:val="auto"/>
          <w:sz w:val="24"/>
          <w:szCs w:val="24"/>
          <w:highlight w:val="none"/>
        </w:rPr>
        <w:t>第一章  磋商邀请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3</w:t>
      </w:r>
      <w:r>
        <w:rPr>
          <w:rFonts w:hint="eastAsia" w:ascii="宋体" w:hAnsi="宋体" w:eastAsia="宋体" w:cs="宋体"/>
          <w:bCs/>
          <w:color w:val="auto"/>
          <w:sz w:val="24"/>
          <w:szCs w:val="28"/>
          <w:highlight w:val="none"/>
        </w:rPr>
        <w:fldChar w:fldCharType="end"/>
      </w:r>
    </w:p>
    <w:p w14:paraId="59FBDACE">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_Toc7162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color w:val="auto"/>
          <w:sz w:val="24"/>
          <w:szCs w:val="24"/>
          <w:highlight w:val="none"/>
        </w:rPr>
        <w:t>第二章  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6</w:t>
      </w:r>
      <w:r>
        <w:rPr>
          <w:rFonts w:hint="eastAsia" w:ascii="宋体" w:hAnsi="宋体" w:eastAsia="宋体" w:cs="宋体"/>
          <w:bCs/>
          <w:color w:val="auto"/>
          <w:sz w:val="24"/>
          <w:szCs w:val="28"/>
          <w:highlight w:val="none"/>
        </w:rPr>
        <w:fldChar w:fldCharType="end"/>
      </w:r>
    </w:p>
    <w:p w14:paraId="134B2A51">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_Toc19440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color w:val="auto"/>
          <w:sz w:val="24"/>
          <w:szCs w:val="24"/>
          <w:highlight w:val="none"/>
        </w:rPr>
        <w:t>第三章  采购需求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1</w:t>
      </w:r>
      <w:r>
        <w:rPr>
          <w:rFonts w:hint="eastAsia" w:ascii="宋体" w:hAnsi="宋体" w:eastAsia="宋体" w:cs="宋体"/>
          <w:bCs/>
          <w:color w:val="auto"/>
          <w:sz w:val="24"/>
          <w:szCs w:val="28"/>
          <w:highlight w:val="none"/>
        </w:rPr>
        <w:fldChar w:fldCharType="end"/>
      </w:r>
      <w:r>
        <w:rPr>
          <w:rFonts w:hint="eastAsia" w:ascii="宋体" w:hAnsi="宋体" w:eastAsia="宋体" w:cs="宋体"/>
          <w:bCs/>
          <w:color w:val="auto"/>
          <w:sz w:val="24"/>
          <w:szCs w:val="28"/>
          <w:highlight w:val="none"/>
          <w:lang w:val="en-US" w:eastAsia="zh-CN"/>
        </w:rPr>
        <w:t>7</w:t>
      </w:r>
    </w:p>
    <w:p w14:paraId="664DC2D1">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_Toc8668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color w:val="auto"/>
          <w:sz w:val="24"/>
          <w:szCs w:val="24"/>
          <w:highlight w:val="none"/>
        </w:rPr>
        <w:t>第四章  评审方法和标准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1</w:t>
      </w:r>
      <w:r>
        <w:rPr>
          <w:rFonts w:hint="eastAsia" w:ascii="宋体" w:hAnsi="宋体" w:eastAsia="宋体" w:cs="宋体"/>
          <w:bCs/>
          <w:color w:val="auto"/>
          <w:sz w:val="24"/>
          <w:szCs w:val="28"/>
          <w:highlight w:val="none"/>
        </w:rPr>
        <w:fldChar w:fldCharType="end"/>
      </w:r>
      <w:r>
        <w:rPr>
          <w:rFonts w:hint="eastAsia" w:ascii="宋体" w:hAnsi="宋体" w:eastAsia="宋体" w:cs="宋体"/>
          <w:bCs/>
          <w:color w:val="auto"/>
          <w:sz w:val="24"/>
          <w:szCs w:val="28"/>
          <w:highlight w:val="none"/>
          <w:lang w:val="en-US" w:eastAsia="zh-CN"/>
        </w:rPr>
        <w:t>9</w:t>
      </w:r>
    </w:p>
    <w:p w14:paraId="13FF7EA7">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_Toc17167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color w:val="auto"/>
          <w:sz w:val="24"/>
          <w:szCs w:val="24"/>
          <w:highlight w:val="none"/>
        </w:rPr>
        <w:t>第五章  采购合同</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2</w:t>
      </w:r>
      <w:r>
        <w:rPr>
          <w:rFonts w:hint="eastAsia" w:ascii="宋体" w:hAnsi="宋体" w:eastAsia="宋体" w:cs="宋体"/>
          <w:bCs/>
          <w:color w:val="auto"/>
          <w:sz w:val="24"/>
          <w:szCs w:val="28"/>
          <w:highlight w:val="none"/>
        </w:rPr>
        <w:fldChar w:fldCharType="end"/>
      </w:r>
      <w:r>
        <w:rPr>
          <w:rFonts w:hint="eastAsia" w:ascii="宋体" w:hAnsi="宋体" w:eastAsia="宋体" w:cs="宋体"/>
          <w:bCs/>
          <w:color w:val="auto"/>
          <w:sz w:val="24"/>
          <w:szCs w:val="28"/>
          <w:highlight w:val="none"/>
          <w:lang w:val="en-US" w:eastAsia="zh-CN"/>
        </w:rPr>
        <w:t>5</w:t>
      </w:r>
    </w:p>
    <w:p w14:paraId="041C6352">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_Toc25148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color w:val="auto"/>
          <w:sz w:val="24"/>
          <w:szCs w:val="24"/>
          <w:highlight w:val="none"/>
        </w:rPr>
        <w:t>第六章  响应文件格式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3</w:t>
      </w:r>
      <w:r>
        <w:rPr>
          <w:rFonts w:hint="eastAsia" w:ascii="宋体" w:hAnsi="宋体" w:eastAsia="宋体" w:cs="宋体"/>
          <w:bCs/>
          <w:color w:val="auto"/>
          <w:sz w:val="24"/>
          <w:szCs w:val="28"/>
          <w:highlight w:val="none"/>
        </w:rPr>
        <w:fldChar w:fldCharType="end"/>
      </w:r>
      <w:r>
        <w:rPr>
          <w:rFonts w:hint="eastAsia" w:ascii="宋体" w:hAnsi="宋体" w:eastAsia="宋体" w:cs="宋体"/>
          <w:bCs/>
          <w:color w:val="auto"/>
          <w:sz w:val="24"/>
          <w:szCs w:val="28"/>
          <w:highlight w:val="none"/>
          <w:lang w:val="en-US" w:eastAsia="zh-CN"/>
        </w:rPr>
        <w:t>5</w:t>
      </w:r>
    </w:p>
    <w:p w14:paraId="655FA17A">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_Toc19418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bCs/>
          <w:color w:val="auto"/>
          <w:sz w:val="24"/>
          <w:szCs w:val="24"/>
          <w:highlight w:val="none"/>
        </w:rPr>
        <w:t>第</w:t>
      </w:r>
      <w:r>
        <w:rPr>
          <w:rFonts w:hint="eastAsia" w:ascii="宋体" w:hAnsi="宋体" w:eastAsia="宋体" w:cs="宋体"/>
          <w:bCs/>
          <w:color w:val="auto"/>
          <w:sz w:val="24"/>
          <w:szCs w:val="24"/>
          <w:highlight w:val="none"/>
          <w:lang w:val="en-US" w:eastAsia="zh-CN"/>
        </w:rPr>
        <w:t>七</w:t>
      </w:r>
      <w:r>
        <w:rPr>
          <w:rFonts w:hint="eastAsia" w:ascii="宋体" w:hAnsi="宋体" w:eastAsia="宋体" w:cs="宋体"/>
          <w:bCs/>
          <w:color w:val="auto"/>
          <w:sz w:val="24"/>
          <w:szCs w:val="24"/>
          <w:highlight w:val="none"/>
        </w:rPr>
        <w:t>章  采购</w:t>
      </w:r>
      <w:r>
        <w:rPr>
          <w:rFonts w:hint="eastAsia" w:ascii="宋体" w:hAnsi="宋体" w:eastAsia="宋体" w:cs="宋体"/>
          <w:color w:val="auto"/>
          <w:sz w:val="24"/>
          <w:szCs w:val="24"/>
          <w:highlight w:val="none"/>
        </w:rPr>
        <w:t>供应</w:t>
      </w:r>
      <w:r>
        <w:rPr>
          <w:rFonts w:hint="eastAsia" w:ascii="宋体" w:hAnsi="宋体" w:eastAsia="宋体" w:cs="宋体"/>
          <w:bCs/>
          <w:color w:val="auto"/>
          <w:sz w:val="24"/>
          <w:szCs w:val="24"/>
          <w:highlight w:val="none"/>
        </w:rPr>
        <w:t>商询问函和质疑函范本</w:t>
      </w:r>
      <w:r>
        <w:rPr>
          <w:rFonts w:hint="eastAsia" w:ascii="宋体" w:hAnsi="宋体" w:eastAsia="宋体" w:cs="宋体"/>
          <w:color w:val="auto"/>
          <w:sz w:val="24"/>
          <w:szCs w:val="24"/>
          <w:highlight w:val="none"/>
        </w:rPr>
        <w:tab/>
      </w:r>
      <w:r>
        <w:rPr>
          <w:rFonts w:hint="eastAsia" w:ascii="宋体" w:hAnsi="宋体" w:eastAsia="宋体" w:cs="宋体"/>
          <w:bCs/>
          <w:color w:val="auto"/>
          <w:sz w:val="24"/>
          <w:szCs w:val="28"/>
          <w:highlight w:val="none"/>
        </w:rPr>
        <w:fldChar w:fldCharType="end"/>
      </w:r>
      <w:r>
        <w:rPr>
          <w:rFonts w:hint="eastAsia" w:ascii="宋体" w:hAnsi="宋体" w:eastAsia="宋体" w:cs="宋体"/>
          <w:bCs/>
          <w:color w:val="auto"/>
          <w:sz w:val="24"/>
          <w:szCs w:val="28"/>
          <w:highlight w:val="none"/>
          <w:lang w:val="en-US" w:eastAsia="zh-CN"/>
        </w:rPr>
        <w:t>44</w:t>
      </w:r>
    </w:p>
    <w:p w14:paraId="736D1A82">
      <w:pPr>
        <w:pStyle w:val="21"/>
        <w:keepNext w:val="0"/>
        <w:keepLines w:val="0"/>
        <w:pageBreakBefore w:val="0"/>
        <w:widowControl/>
        <w:tabs>
          <w:tab w:val="right" w:leader="dot" w:pos="8296"/>
        </w:tabs>
        <w:kinsoku/>
        <w:wordWrap/>
        <w:overflowPunct/>
        <w:topLinePunct w:val="0"/>
        <w:autoSpaceDE/>
        <w:autoSpaceDN/>
        <w:bidi w:val="0"/>
        <w:adjustRightInd/>
        <w:snapToGrid/>
        <w:spacing w:after="0" w:line="480" w:lineRule="auto"/>
        <w:textAlignment w:val="auto"/>
        <w:rPr>
          <w:rFonts w:asciiTheme="minorEastAsia" w:hAnsiTheme="minorEastAsia"/>
          <w:b/>
          <w:color w:val="auto"/>
          <w:sz w:val="32"/>
          <w:highlight w:val="none"/>
        </w:rPr>
      </w:pPr>
      <w:r>
        <w:rPr>
          <w:rFonts w:hint="eastAsia" w:ascii="宋体" w:hAnsi="宋体" w:eastAsia="宋体" w:cs="宋体"/>
          <w:bCs/>
          <w:color w:val="auto"/>
          <w:sz w:val="24"/>
          <w:szCs w:val="28"/>
          <w:highlight w:val="none"/>
        </w:rPr>
        <w:fldChar w:fldCharType="end"/>
      </w:r>
    </w:p>
    <w:p w14:paraId="1B2E0EE7">
      <w:pPr>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7" w:h="16840"/>
          <w:pgMar w:top="1247" w:right="1247" w:bottom="1247" w:left="1247" w:header="851" w:footer="992" w:gutter="0"/>
          <w:pgNumType w:fmt="decimal"/>
          <w:cols w:space="720" w:num="1"/>
          <w:rtlGutter w:val="0"/>
          <w:docGrid w:linePitch="462" w:charSpace="0"/>
        </w:sectPr>
      </w:pPr>
    </w:p>
    <w:p w14:paraId="67794ECC">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asciiTheme="minorEastAsia" w:hAnsiTheme="minorEastAsia" w:eastAsiaTheme="minorEastAsia"/>
          <w:b/>
          <w:color w:val="auto"/>
          <w:sz w:val="28"/>
          <w:highlight w:val="none"/>
        </w:rPr>
      </w:pPr>
      <w:bookmarkStart w:id="1" w:name="_Toc19988"/>
      <w:bookmarkStart w:id="2" w:name="_Toc501"/>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bookmarkEnd w:id="2"/>
    </w:p>
    <w:p w14:paraId="08CDA439">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3" w:name="_Toc35393629"/>
      <w:bookmarkStart w:id="4" w:name="_Toc14730"/>
      <w:bookmarkStart w:id="5" w:name="_Toc28359089"/>
      <w:bookmarkStart w:id="6" w:name="_Toc28359012"/>
      <w:bookmarkStart w:id="7" w:name="_Toc35393798"/>
      <w:r>
        <w:rPr>
          <w:rFonts w:hint="eastAsia" w:ascii="宋体" w:hAnsi="宋体" w:eastAsia="宋体" w:cs="宋体"/>
          <w:b/>
          <w:bCs w:val="0"/>
          <w:color w:val="auto"/>
          <w:sz w:val="24"/>
          <w:szCs w:val="24"/>
          <w:highlight w:val="none"/>
        </w:rPr>
        <w:t>一、项目基本情况</w:t>
      </w:r>
      <w:bookmarkEnd w:id="3"/>
      <w:bookmarkEnd w:id="4"/>
      <w:bookmarkEnd w:id="5"/>
      <w:bookmarkEnd w:id="6"/>
      <w:bookmarkEnd w:id="7"/>
    </w:p>
    <w:p w14:paraId="2B5723CA">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olor w:val="auto"/>
          <w:sz w:val="24"/>
          <w:szCs w:val="18"/>
          <w:highlight w:val="none"/>
          <w:u w:val="singl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HXJY1110001061720001</w:t>
      </w:r>
    </w:p>
    <w:p w14:paraId="135813CA">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olor w:val="auto"/>
          <w:sz w:val="24"/>
          <w:highlight w:val="none"/>
          <w:u w:val="singl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项目名称：</w:t>
      </w:r>
      <w:r>
        <w:rPr>
          <w:rFonts w:hint="eastAsia" w:asciiTheme="minorEastAsia" w:hAnsiTheme="minorEastAsia" w:eastAsiaTheme="minorEastAsia"/>
          <w:color w:val="auto"/>
          <w:sz w:val="24"/>
          <w:highlight w:val="none"/>
          <w:u w:val="single"/>
          <w:lang w:val="en-US" w:eastAsia="zh-CN"/>
        </w:rPr>
        <w:t>中新苏滁高新区长江二级支流清流河岸线一公里范围内（滁州宝思利星展科技有限公司）环境风险评估项目</w:t>
      </w:r>
    </w:p>
    <w:p w14:paraId="4EE93DA3">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预算金额：</w:t>
      </w:r>
      <w:r>
        <w:rPr>
          <w:rFonts w:hint="eastAsia" w:ascii="宋体" w:hAnsi="宋体" w:eastAsia="宋体"/>
          <w:color w:val="auto"/>
          <w:sz w:val="24"/>
          <w:szCs w:val="18"/>
          <w:highlight w:val="none"/>
          <w:u w:val="single"/>
          <w:lang w:val="en-US" w:eastAsia="zh-CN"/>
        </w:rPr>
        <w:t xml:space="preserve">  220000元  </w:t>
      </w:r>
    </w:p>
    <w:p w14:paraId="3B4188E4">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最高限价：</w:t>
      </w:r>
      <w:r>
        <w:rPr>
          <w:rFonts w:hint="eastAsia" w:ascii="宋体" w:hAnsi="宋体" w:eastAsia="宋体"/>
          <w:color w:val="auto"/>
          <w:sz w:val="24"/>
          <w:szCs w:val="18"/>
          <w:highlight w:val="none"/>
          <w:u w:val="single"/>
          <w:lang w:val="en-US" w:eastAsia="zh-CN"/>
        </w:rPr>
        <w:t xml:space="preserve">  220000元   </w:t>
      </w:r>
    </w:p>
    <w:p w14:paraId="4C575ED5">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olor w:val="auto"/>
          <w:sz w:val="24"/>
          <w:highlight w:val="none"/>
          <w:u w:val="singl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采购需求：全面检查中新苏滁高新区内滁州星展管理有限公司（现滁州宝思利星展科技有限公司）环境保护要求落实情况，评估项目运行</w:t>
      </w:r>
      <w:r>
        <w:rPr>
          <w:rFonts w:hint="eastAsia" w:ascii="宋体" w:hAnsi="宋体" w:eastAsia="宋体" w:cs="宋体"/>
          <w:color w:val="auto"/>
          <w:sz w:val="24"/>
          <w:szCs w:val="24"/>
          <w:highlight w:val="none"/>
          <w:lang w:eastAsia="zh-CN"/>
        </w:rPr>
        <w:t>环境</w:t>
      </w:r>
      <w:r>
        <w:rPr>
          <w:rFonts w:hint="eastAsia" w:ascii="宋体" w:hAnsi="宋体" w:eastAsia="宋体" w:cs="宋体"/>
          <w:color w:val="auto"/>
          <w:sz w:val="24"/>
          <w:szCs w:val="24"/>
          <w:highlight w:val="none"/>
        </w:rPr>
        <w:t>风险控制可行性，筑牢长江支流岸线生态安全防线。</w:t>
      </w:r>
    </w:p>
    <w:p w14:paraId="1462419C">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合同履行期限：</w:t>
      </w:r>
      <w:r>
        <w:rPr>
          <w:rFonts w:hint="eastAsia" w:ascii="宋体" w:hAnsi="宋体" w:eastAsia="宋体"/>
          <w:color w:val="auto"/>
          <w:sz w:val="24"/>
          <w:szCs w:val="18"/>
          <w:highlight w:val="none"/>
          <w:u w:val="single"/>
          <w:lang w:val="en-US" w:eastAsia="zh-CN"/>
        </w:rPr>
        <w:t>自合同签订之日起60个日历天提供成果文件,并按专家意见修改完善后，上报主管部门备案或审批。</w:t>
      </w:r>
    </w:p>
    <w:p w14:paraId="73EEA6A8">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Theme="minorEastAsia" w:hAnsiTheme="minorEastAsia" w:eastAsiaTheme="minorEastAsia"/>
          <w:color w:val="auto"/>
          <w:sz w:val="24"/>
          <w:highlight w:val="none"/>
        </w:rPr>
        <w:t>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w:t>
      </w:r>
    </w:p>
    <w:p w14:paraId="69FC7D58">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8" w:name="_Toc35393630"/>
      <w:bookmarkStart w:id="9" w:name="_Toc28359013"/>
      <w:bookmarkStart w:id="10" w:name="_Toc32615"/>
      <w:bookmarkStart w:id="11" w:name="_Toc35393799"/>
      <w:bookmarkStart w:id="12" w:name="_Toc28359090"/>
      <w:r>
        <w:rPr>
          <w:rFonts w:hint="eastAsia" w:ascii="宋体" w:hAnsi="宋体" w:eastAsia="宋体" w:cs="宋体"/>
          <w:b/>
          <w:bCs w:val="0"/>
          <w:color w:val="auto"/>
          <w:sz w:val="24"/>
          <w:szCs w:val="24"/>
          <w:highlight w:val="none"/>
        </w:rPr>
        <w:t>二、申请人的资格要求：</w:t>
      </w:r>
      <w:bookmarkEnd w:id="8"/>
      <w:bookmarkEnd w:id="9"/>
      <w:bookmarkEnd w:id="10"/>
      <w:bookmarkEnd w:id="11"/>
      <w:bookmarkEnd w:id="12"/>
    </w:p>
    <w:p w14:paraId="197D4FAB">
      <w:pPr>
        <w:pStyle w:val="4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b w:val="0"/>
          <w:bCs w:val="0"/>
          <w:color w:val="auto"/>
          <w:kern w:val="2"/>
          <w:sz w:val="24"/>
          <w:highlight w:val="none"/>
          <w:lang w:val="en-US" w:eastAsia="zh-CN" w:bidi="ar-SA"/>
        </w:rPr>
      </w:pPr>
      <w:bookmarkStart w:id="13" w:name="_Toc28359014"/>
      <w:bookmarkStart w:id="14" w:name="_Toc28359091"/>
      <w:r>
        <w:rPr>
          <w:rFonts w:hint="eastAsia" w:cs="@仿宋_GB2312" w:asciiTheme="minorEastAsia" w:hAnsiTheme="minorEastAsia" w:eastAsiaTheme="minorEastAsia"/>
          <w:b w:val="0"/>
          <w:bCs w:val="0"/>
          <w:color w:val="auto"/>
          <w:kern w:val="2"/>
          <w:sz w:val="24"/>
          <w:highlight w:val="none"/>
          <w:lang w:val="en-US" w:eastAsia="zh-CN" w:bidi="ar-SA"/>
        </w:rPr>
        <w:t>1.供应商具有独立承担民事责任能力且具有相应的服务能力；</w:t>
      </w:r>
    </w:p>
    <w:p w14:paraId="5A74984A">
      <w:pPr>
        <w:pStyle w:val="4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b w:val="0"/>
          <w:bCs w:val="0"/>
          <w:color w:val="auto"/>
          <w:kern w:val="2"/>
          <w:sz w:val="24"/>
          <w:highlight w:val="none"/>
          <w:lang w:val="en-US" w:eastAsia="zh-CN" w:bidi="ar-SA"/>
        </w:rPr>
      </w:pPr>
      <w:r>
        <w:rPr>
          <w:rFonts w:hint="eastAsia" w:cs="@仿宋_GB2312" w:asciiTheme="minorEastAsia" w:hAnsiTheme="minorEastAsia" w:eastAsiaTheme="minorEastAsia"/>
          <w:b w:val="0"/>
          <w:bCs w:val="0"/>
          <w:color w:val="auto"/>
          <w:kern w:val="2"/>
          <w:sz w:val="24"/>
          <w:highlight w:val="none"/>
          <w:lang w:val="en-US" w:eastAsia="zh-CN" w:bidi="ar-SA"/>
        </w:rPr>
        <w:t>2.供应商拟派项目负责人具有环境影响评价工程师证书。</w:t>
      </w:r>
    </w:p>
    <w:p w14:paraId="01BD42C3">
      <w:pPr>
        <w:pStyle w:val="4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b w:val="0"/>
          <w:bCs w:val="0"/>
          <w:color w:val="auto"/>
          <w:kern w:val="2"/>
          <w:sz w:val="24"/>
          <w:highlight w:val="none"/>
          <w:lang w:val="en-US" w:eastAsia="zh-CN" w:bidi="ar-SA"/>
        </w:rPr>
      </w:pPr>
      <w:r>
        <w:rPr>
          <w:rFonts w:hint="eastAsia" w:cs="@仿宋_GB2312" w:asciiTheme="minorEastAsia" w:hAnsiTheme="minorEastAsia" w:eastAsiaTheme="minorEastAsia"/>
          <w:b w:val="0"/>
          <w:bCs w:val="0"/>
          <w:color w:val="auto"/>
          <w:kern w:val="2"/>
          <w:sz w:val="24"/>
          <w:highlight w:val="none"/>
          <w:lang w:val="en-US" w:eastAsia="zh-CN" w:bidi="ar-SA"/>
        </w:rPr>
        <w:t>3.信誉要求：投标人不得存在以下情形：</w:t>
      </w:r>
    </w:p>
    <w:p w14:paraId="789E99C8">
      <w:pPr>
        <w:pStyle w:val="4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b w:val="0"/>
          <w:bCs w:val="0"/>
          <w:color w:val="auto"/>
          <w:kern w:val="2"/>
          <w:sz w:val="24"/>
          <w:highlight w:val="none"/>
          <w:lang w:val="en-US" w:eastAsia="zh-CN" w:bidi="ar-SA"/>
        </w:rPr>
      </w:pPr>
      <w:r>
        <w:rPr>
          <w:rFonts w:hint="eastAsia" w:cs="@仿宋_GB2312" w:asciiTheme="minorEastAsia" w:hAnsiTheme="minorEastAsia" w:eastAsiaTheme="minorEastAsia"/>
          <w:b w:val="0"/>
          <w:bCs w:val="0"/>
          <w:color w:val="auto"/>
          <w:kern w:val="2"/>
          <w:sz w:val="24"/>
          <w:highlight w:val="none"/>
          <w:lang w:val="en-US" w:eastAsia="zh-CN" w:bidi="ar-SA"/>
        </w:rPr>
        <w:t>①被列入“信用中国”网站“失信被执行人”的；</w:t>
      </w:r>
    </w:p>
    <w:p w14:paraId="5BE256BC">
      <w:pPr>
        <w:pStyle w:val="4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b w:val="0"/>
          <w:bCs w:val="0"/>
          <w:color w:val="auto"/>
          <w:kern w:val="2"/>
          <w:sz w:val="24"/>
          <w:highlight w:val="none"/>
          <w:lang w:val="en-US" w:eastAsia="zh-CN" w:bidi="ar-SA"/>
        </w:rPr>
      </w:pPr>
      <w:r>
        <w:rPr>
          <w:rFonts w:hint="eastAsia" w:cs="@仿宋_GB2312" w:asciiTheme="minorEastAsia" w:hAnsiTheme="minorEastAsia" w:eastAsiaTheme="minorEastAsia"/>
          <w:b w:val="0"/>
          <w:bCs w:val="0"/>
          <w:color w:val="auto"/>
          <w:kern w:val="2"/>
          <w:sz w:val="24"/>
          <w:highlight w:val="none"/>
          <w:lang w:val="en-US" w:eastAsia="zh-CN" w:bidi="ar-SA"/>
        </w:rPr>
        <w:t>②被列入“信用中国”网站“重大税收违法失信主体”的；</w:t>
      </w:r>
    </w:p>
    <w:p w14:paraId="0E7BE873">
      <w:pPr>
        <w:pStyle w:val="4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b w:val="0"/>
          <w:bCs w:val="0"/>
          <w:color w:val="auto"/>
          <w:kern w:val="2"/>
          <w:sz w:val="24"/>
          <w:highlight w:val="none"/>
          <w:lang w:val="en-US" w:eastAsia="zh-CN" w:bidi="ar-SA"/>
        </w:rPr>
      </w:pPr>
      <w:r>
        <w:rPr>
          <w:rFonts w:hint="eastAsia" w:cs="@仿宋_GB2312" w:asciiTheme="minorEastAsia" w:hAnsiTheme="minorEastAsia" w:eastAsiaTheme="minorEastAsia"/>
          <w:b w:val="0"/>
          <w:bCs w:val="0"/>
          <w:color w:val="auto"/>
          <w:kern w:val="2"/>
          <w:sz w:val="24"/>
          <w:highlight w:val="none"/>
          <w:lang w:val="en-US" w:eastAsia="zh-CN" w:bidi="ar-SA"/>
        </w:rPr>
        <w:t>③被列入“信用中国”网站 “严重失信主体名单”的；</w:t>
      </w:r>
    </w:p>
    <w:p w14:paraId="1A239568">
      <w:pPr>
        <w:pStyle w:val="4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b w:val="0"/>
          <w:bCs w:val="0"/>
          <w:color w:val="auto"/>
          <w:kern w:val="2"/>
          <w:sz w:val="24"/>
          <w:highlight w:val="none"/>
          <w:lang w:val="en-US" w:eastAsia="zh-CN" w:bidi="ar-SA"/>
        </w:rPr>
      </w:pPr>
      <w:r>
        <w:rPr>
          <w:rFonts w:hint="eastAsia" w:cs="@仿宋_GB2312" w:asciiTheme="minorEastAsia" w:hAnsiTheme="minorEastAsia" w:eastAsiaTheme="minorEastAsia"/>
          <w:b w:val="0"/>
          <w:bCs w:val="0"/>
          <w:color w:val="auto"/>
          <w:kern w:val="2"/>
          <w:sz w:val="24"/>
          <w:highlight w:val="none"/>
          <w:lang w:val="en-US" w:eastAsia="zh-CN" w:bidi="ar-SA"/>
        </w:rPr>
        <w:t>④在“信用中国”网站上披露的仍在公示期的严重失信行为(具体行为类别及判定依据见“信用中国”查询的严重失信行为类别及判定依据)的。</w:t>
      </w:r>
    </w:p>
    <w:p w14:paraId="5856E660">
      <w:pPr>
        <w:pStyle w:val="4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b w:val="0"/>
          <w:bCs w:val="0"/>
          <w:color w:val="auto"/>
          <w:kern w:val="2"/>
          <w:sz w:val="24"/>
          <w:highlight w:val="none"/>
          <w:lang w:val="en-US" w:eastAsia="zh-CN" w:bidi="ar-SA"/>
        </w:rPr>
      </w:pPr>
      <w:r>
        <w:rPr>
          <w:rFonts w:hint="eastAsia" w:cs="@仿宋_GB2312" w:asciiTheme="minorEastAsia" w:hAnsiTheme="minorEastAsia" w:eastAsiaTheme="minorEastAsia"/>
          <w:b w:val="0"/>
          <w:bCs w:val="0"/>
          <w:color w:val="auto"/>
          <w:kern w:val="2"/>
          <w:sz w:val="24"/>
          <w:highlight w:val="none"/>
          <w:lang w:val="en-US" w:eastAsia="zh-CN" w:bidi="ar-SA"/>
        </w:rPr>
        <w:t>⑤被列入国家企业信用信息公示系统网站“经营异常名录”或者“严重违法失信名单”的。</w:t>
      </w:r>
    </w:p>
    <w:p w14:paraId="43066747">
      <w:pPr>
        <w:pStyle w:val="4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b w:val="0"/>
          <w:bCs w:val="0"/>
          <w:color w:val="auto"/>
          <w:kern w:val="2"/>
          <w:sz w:val="24"/>
          <w:highlight w:val="none"/>
          <w:lang w:val="en-US" w:eastAsia="zh-CN" w:bidi="ar-SA"/>
        </w:rPr>
      </w:pPr>
      <w:r>
        <w:rPr>
          <w:rFonts w:hint="eastAsia" w:cs="@仿宋_GB2312" w:asciiTheme="minorEastAsia" w:hAnsiTheme="minorEastAsia" w:eastAsiaTheme="minorEastAsia"/>
          <w:b w:val="0"/>
          <w:bCs w:val="0"/>
          <w:color w:val="auto"/>
          <w:kern w:val="2"/>
          <w:sz w:val="24"/>
          <w:highlight w:val="none"/>
          <w:lang w:val="en-US" w:eastAsia="zh-CN" w:bidi="ar-SA"/>
        </w:rPr>
        <w:t>⑥被列入中国政府采购网站“政府采购严重违法失信行为信息记录”的。</w:t>
      </w:r>
    </w:p>
    <w:p w14:paraId="139E9F7B">
      <w:pPr>
        <w:pStyle w:val="4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b w:val="0"/>
          <w:bCs w:val="0"/>
          <w:color w:val="auto"/>
          <w:kern w:val="2"/>
          <w:sz w:val="24"/>
          <w:highlight w:val="none"/>
          <w:lang w:val="en-US" w:eastAsia="zh-CN" w:bidi="ar-SA"/>
        </w:rPr>
      </w:pPr>
      <w:r>
        <w:rPr>
          <w:rFonts w:hint="eastAsia" w:cs="@仿宋_GB2312" w:asciiTheme="minorEastAsia" w:hAnsiTheme="minorEastAsia" w:eastAsiaTheme="minorEastAsia"/>
          <w:b w:val="0"/>
          <w:bCs w:val="0"/>
          <w:color w:val="auto"/>
          <w:kern w:val="2"/>
          <w:sz w:val="24"/>
          <w:highlight w:val="none"/>
          <w:lang w:val="en-US" w:eastAsia="zh-CN" w:bidi="ar-SA"/>
        </w:rPr>
        <w:t>⑦前三年有行贿犯罪行为的单位和个人。</w:t>
      </w:r>
    </w:p>
    <w:p w14:paraId="7EADA121">
      <w:pPr>
        <w:pStyle w:val="4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b w:val="0"/>
          <w:bCs w:val="0"/>
          <w:color w:val="auto"/>
          <w:kern w:val="2"/>
          <w:sz w:val="24"/>
          <w:highlight w:val="none"/>
          <w:lang w:val="en-US" w:eastAsia="zh-CN" w:bidi="ar-SA"/>
        </w:rPr>
      </w:pPr>
      <w:r>
        <w:rPr>
          <w:rFonts w:hint="eastAsia" w:cs="@仿宋_GB2312" w:asciiTheme="minorEastAsia" w:hAnsiTheme="minorEastAsia" w:eastAsiaTheme="minorEastAsia"/>
          <w:b w:val="0"/>
          <w:bCs w:val="0"/>
          <w:color w:val="auto"/>
          <w:kern w:val="2"/>
          <w:sz w:val="24"/>
          <w:highlight w:val="none"/>
          <w:lang w:val="en-US" w:eastAsia="zh-CN" w:bidi="ar-SA"/>
        </w:rPr>
        <w:t>4.投标人所属分公司、办事处等分支机构存在第3款信誉要求①-⑦项情形之一的，接受其被确定为中标人。</w:t>
      </w:r>
    </w:p>
    <w:p w14:paraId="5F01E28D">
      <w:pPr>
        <w:pStyle w:val="4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b w:val="0"/>
          <w:bCs w:val="0"/>
          <w:color w:val="auto"/>
          <w:kern w:val="2"/>
          <w:sz w:val="24"/>
          <w:highlight w:val="none"/>
          <w:lang w:val="en-US" w:eastAsia="zh-CN" w:bidi="ar-SA"/>
        </w:rPr>
      </w:pPr>
      <w:r>
        <w:rPr>
          <w:rFonts w:hint="eastAsia" w:cs="@仿宋_GB2312" w:asciiTheme="minorEastAsia" w:hAnsiTheme="minorEastAsia" w:eastAsiaTheme="minorEastAsia"/>
          <w:b w:val="0"/>
          <w:bCs w:val="0"/>
          <w:color w:val="auto"/>
          <w:kern w:val="2"/>
          <w:sz w:val="24"/>
          <w:highlight w:val="none"/>
          <w:lang w:val="en-US" w:eastAsia="zh-CN" w:bidi="ar-SA"/>
        </w:rPr>
        <w:t>备</w:t>
      </w:r>
      <w:bookmarkStart w:id="261" w:name="_GoBack"/>
      <w:bookmarkEnd w:id="261"/>
      <w:r>
        <w:rPr>
          <w:rFonts w:hint="eastAsia" w:cs="@仿宋_GB2312" w:asciiTheme="minorEastAsia" w:hAnsiTheme="minorEastAsia" w:eastAsiaTheme="minorEastAsia"/>
          <w:b w:val="0"/>
          <w:bCs w:val="0"/>
          <w:color w:val="auto"/>
          <w:kern w:val="2"/>
          <w:sz w:val="24"/>
          <w:highlight w:val="none"/>
          <w:lang w:val="en-US" w:eastAsia="zh-CN" w:bidi="ar-SA"/>
        </w:rPr>
        <w:t>注：第3、4条按照“关于联合惩戒失信行为加强信用查询管理的通知”查询或承诺。</w:t>
      </w:r>
    </w:p>
    <w:p w14:paraId="1CD8CA6F">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15" w:name="_Toc24072"/>
      <w:bookmarkStart w:id="16" w:name="_Toc35393800"/>
      <w:bookmarkStart w:id="17" w:name="_Toc35393631"/>
      <w:r>
        <w:rPr>
          <w:rFonts w:hint="eastAsia" w:ascii="宋体" w:hAnsi="宋体" w:eastAsia="宋体" w:cs="宋体"/>
          <w:b/>
          <w:bCs w:val="0"/>
          <w:color w:val="auto"/>
          <w:sz w:val="24"/>
          <w:szCs w:val="24"/>
          <w:highlight w:val="none"/>
        </w:rPr>
        <w:t>三、获取采购文件</w:t>
      </w:r>
      <w:bookmarkEnd w:id="13"/>
      <w:bookmarkEnd w:id="14"/>
      <w:bookmarkEnd w:id="15"/>
      <w:bookmarkEnd w:id="16"/>
      <w:bookmarkEnd w:id="17"/>
    </w:p>
    <w:p w14:paraId="6912F5E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i/>
          <w:iCs/>
          <w:color w:val="auto"/>
          <w:sz w:val="24"/>
          <w:szCs w:val="24"/>
          <w:highlight w:val="none"/>
        </w:rPr>
      </w:pPr>
      <w:bookmarkStart w:id="18" w:name="_Toc35393632"/>
      <w:bookmarkStart w:id="19" w:name="_Toc35393801"/>
      <w:bookmarkStart w:id="20" w:name="_Toc28359015"/>
      <w:bookmarkStart w:id="21" w:name="_Toc28359092"/>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none"/>
        </w:rPr>
        <w:t>年</w:t>
      </w:r>
      <w:r>
        <w:rPr>
          <w:rFonts w:hint="eastAsia" w:asciiTheme="minorEastAsia" w:hAnsiTheme="minorEastAsia" w:eastAsiaTheme="minorEastAsia" w:cstheme="minorEastAsia"/>
          <w:color w:val="auto"/>
          <w:sz w:val="24"/>
          <w:szCs w:val="24"/>
          <w:highlight w:val="none"/>
          <w:u w:val="single"/>
          <w:lang w:val="en-US" w:eastAsia="zh-CN"/>
        </w:rPr>
        <w:t>8</w:t>
      </w:r>
      <w:r>
        <w:rPr>
          <w:rFonts w:hint="eastAsia" w:asciiTheme="minorEastAsia" w:hAnsiTheme="minorEastAsia" w:eastAsiaTheme="minorEastAsia" w:cstheme="minorEastAsia"/>
          <w:color w:val="auto"/>
          <w:sz w:val="24"/>
          <w:szCs w:val="24"/>
          <w:highlight w:val="none"/>
          <w:u w:val="none"/>
        </w:rPr>
        <w:t>月</w:t>
      </w:r>
      <w:r>
        <w:rPr>
          <w:rFonts w:hint="eastAsia" w:asciiTheme="minorEastAsia" w:hAnsiTheme="minorEastAsia" w:eastAsiaTheme="minorEastAsia" w:cstheme="minorEastAsia"/>
          <w:color w:val="auto"/>
          <w:sz w:val="24"/>
          <w:szCs w:val="24"/>
          <w:highlight w:val="none"/>
          <w:u w:val="single"/>
          <w:lang w:val="en-US" w:eastAsia="zh-CN"/>
        </w:rPr>
        <w:t>17</w:t>
      </w:r>
      <w:r>
        <w:rPr>
          <w:rFonts w:hint="eastAsia" w:asciiTheme="minorEastAsia" w:hAnsiTheme="minorEastAsia" w:eastAsiaTheme="minorEastAsia" w:cstheme="minorEastAsia"/>
          <w:color w:val="auto"/>
          <w:sz w:val="24"/>
          <w:szCs w:val="24"/>
          <w:highlight w:val="none"/>
          <w:u w:val="none"/>
        </w:rPr>
        <w:t>日</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none"/>
        </w:rPr>
        <w:t>年</w:t>
      </w:r>
      <w:r>
        <w:rPr>
          <w:rFonts w:hint="eastAsia" w:asciiTheme="minorEastAsia" w:hAnsiTheme="minorEastAsia" w:eastAsiaTheme="minorEastAsia" w:cstheme="minorEastAsia"/>
          <w:color w:val="auto"/>
          <w:sz w:val="24"/>
          <w:szCs w:val="24"/>
          <w:highlight w:val="none"/>
          <w:u w:val="single"/>
          <w:lang w:val="en-US" w:eastAsia="zh-CN"/>
        </w:rPr>
        <w:t>8</w:t>
      </w:r>
      <w:r>
        <w:rPr>
          <w:rFonts w:hint="eastAsia" w:asciiTheme="minorEastAsia" w:hAnsiTheme="minorEastAsia" w:eastAsiaTheme="minorEastAsia" w:cstheme="minorEastAsia"/>
          <w:color w:val="auto"/>
          <w:sz w:val="24"/>
          <w:szCs w:val="24"/>
          <w:highlight w:val="none"/>
          <w:u w:val="none"/>
        </w:rPr>
        <w:t>月</w:t>
      </w:r>
      <w:r>
        <w:rPr>
          <w:rFonts w:hint="eastAsia" w:asciiTheme="minorEastAsia" w:hAnsiTheme="minorEastAsia" w:eastAsiaTheme="minorEastAsia" w:cstheme="minorEastAsia"/>
          <w:color w:val="auto"/>
          <w:sz w:val="24"/>
          <w:szCs w:val="24"/>
          <w:highlight w:val="none"/>
          <w:u w:val="single"/>
          <w:lang w:val="en-US" w:eastAsia="zh-CN"/>
        </w:rPr>
        <w:t>27</w:t>
      </w:r>
      <w:r>
        <w:rPr>
          <w:rFonts w:hint="eastAsia" w:asciiTheme="minorEastAsia" w:hAnsiTheme="minorEastAsia" w:eastAsiaTheme="minorEastAsia" w:cstheme="minorEastAsia"/>
          <w:color w:val="auto"/>
          <w:sz w:val="24"/>
          <w:szCs w:val="24"/>
          <w:highlight w:val="none"/>
          <w:u w:val="none"/>
        </w:rPr>
        <w:t>日</w:t>
      </w:r>
      <w:r>
        <w:rPr>
          <w:rFonts w:hint="eastAsia" w:asciiTheme="minorEastAsia" w:hAnsiTheme="minorEastAsia" w:eastAsiaTheme="minorEastAsia" w:cstheme="minorEastAsia"/>
          <w:iCs/>
          <w:color w:val="auto"/>
          <w:sz w:val="24"/>
          <w:szCs w:val="24"/>
          <w:highlight w:val="none"/>
          <w:u w:val="none"/>
        </w:rPr>
        <w:t>（</w:t>
      </w:r>
      <w:r>
        <w:rPr>
          <w:rFonts w:hint="eastAsia" w:asciiTheme="minorEastAsia" w:hAnsiTheme="minorEastAsia" w:eastAsiaTheme="minorEastAsia" w:cstheme="minorEastAsia"/>
          <w:i/>
          <w:color w:val="auto"/>
          <w:sz w:val="24"/>
          <w:szCs w:val="24"/>
          <w:highlight w:val="none"/>
          <w:u w:val="none"/>
        </w:rPr>
        <w:t>提供期限自本公告发布之日起不得少于5个工作日</w:t>
      </w:r>
      <w:r>
        <w:rPr>
          <w:rFonts w:hint="eastAsia" w:asciiTheme="minorEastAsia" w:hAnsiTheme="minorEastAsia" w:eastAsiaTheme="minorEastAsia" w:cstheme="minorEastAsia"/>
          <w:iCs/>
          <w:color w:val="auto"/>
          <w:sz w:val="24"/>
          <w:szCs w:val="24"/>
          <w:highlight w:val="none"/>
          <w:u w:val="none"/>
        </w:rPr>
        <w:t>）</w:t>
      </w:r>
    </w:p>
    <w:p w14:paraId="012EEB2A">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u w:val="single"/>
        </w:rPr>
      </w:pPr>
      <w:r>
        <w:rPr>
          <w:rFonts w:hint="eastAsia" w:asciiTheme="minorEastAsia" w:hAnsiTheme="minorEastAsia" w:eastAsiaTheme="minorEastAsia" w:cstheme="minorEastAsia"/>
          <w:color w:val="auto"/>
          <w:sz w:val="24"/>
          <w:szCs w:val="24"/>
          <w:highlight w:val="none"/>
        </w:rPr>
        <w:t>地点：滁州市城投工程咨询管理有限公司网站（https://www.czctgczx.com/）</w:t>
      </w:r>
    </w:p>
    <w:p w14:paraId="20CD4FD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方式：</w:t>
      </w:r>
      <w:r>
        <w:rPr>
          <w:rFonts w:hint="eastAsia" w:asciiTheme="minorEastAsia" w:hAnsiTheme="minorEastAsia" w:eastAsiaTheme="minorEastAsia" w:cstheme="minorEastAsia"/>
          <w:color w:val="auto"/>
          <w:sz w:val="24"/>
          <w:szCs w:val="24"/>
          <w:highlight w:val="none"/>
          <w:lang w:val="en-US" w:eastAsia="zh-CN"/>
        </w:rPr>
        <w:t>网上下载</w:t>
      </w:r>
    </w:p>
    <w:p w14:paraId="7211F2A5">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22" w:name="_Toc5805"/>
      <w:r>
        <w:rPr>
          <w:rFonts w:hint="eastAsia" w:ascii="宋体" w:hAnsi="宋体" w:eastAsia="宋体" w:cs="宋体"/>
          <w:b/>
          <w:bCs w:val="0"/>
          <w:color w:val="auto"/>
          <w:sz w:val="24"/>
          <w:szCs w:val="24"/>
          <w:highlight w:val="none"/>
        </w:rPr>
        <w:t>四、响应文件提交</w:t>
      </w:r>
      <w:bookmarkEnd w:id="18"/>
      <w:bookmarkEnd w:id="19"/>
      <w:bookmarkEnd w:id="20"/>
      <w:bookmarkEnd w:id="21"/>
      <w:bookmarkEnd w:id="22"/>
    </w:p>
    <w:p w14:paraId="2DA5008F">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u w:val="single"/>
          <w:lang w:val="en-US" w:eastAsia="zh-CN"/>
        </w:rPr>
        <w:t>2026</w:t>
      </w:r>
      <w:r>
        <w:rPr>
          <w:rFonts w:hint="eastAsia" w:asciiTheme="minorEastAsia" w:hAnsiTheme="minorEastAsia" w:eastAsiaTheme="minorEastAsia" w:cstheme="minorEastAsia"/>
          <w:bCs/>
          <w:color w:val="auto"/>
          <w:sz w:val="24"/>
          <w:szCs w:val="24"/>
          <w:highlight w:val="none"/>
          <w:u w:val="none"/>
        </w:rPr>
        <w:t>年</w:t>
      </w:r>
      <w:r>
        <w:rPr>
          <w:rFonts w:hint="eastAsia" w:asciiTheme="minorEastAsia" w:hAnsiTheme="minorEastAsia" w:eastAsiaTheme="minorEastAsia" w:cstheme="minorEastAsia"/>
          <w:bCs/>
          <w:color w:val="auto"/>
          <w:sz w:val="24"/>
          <w:szCs w:val="24"/>
          <w:highlight w:val="none"/>
          <w:u w:val="single"/>
          <w:lang w:val="en-US" w:eastAsia="zh-CN"/>
        </w:rPr>
        <w:t>8</w:t>
      </w:r>
      <w:r>
        <w:rPr>
          <w:rFonts w:hint="eastAsia" w:asciiTheme="minorEastAsia" w:hAnsiTheme="minorEastAsia" w:eastAsiaTheme="minorEastAsia" w:cstheme="minorEastAsia"/>
          <w:bCs/>
          <w:color w:val="auto"/>
          <w:sz w:val="24"/>
          <w:szCs w:val="24"/>
          <w:highlight w:val="none"/>
          <w:u w:val="none"/>
        </w:rPr>
        <w:t>月</w:t>
      </w:r>
      <w:r>
        <w:rPr>
          <w:rFonts w:hint="eastAsia" w:asciiTheme="minorEastAsia" w:hAnsiTheme="minorEastAsia" w:eastAsiaTheme="minorEastAsia" w:cstheme="minorEastAsia"/>
          <w:bCs/>
          <w:color w:val="auto"/>
          <w:sz w:val="24"/>
          <w:szCs w:val="24"/>
          <w:highlight w:val="none"/>
          <w:u w:val="single"/>
          <w:lang w:val="en-US" w:eastAsia="zh-CN"/>
        </w:rPr>
        <w:t>27</w:t>
      </w:r>
      <w:r>
        <w:rPr>
          <w:rFonts w:hint="eastAsia" w:asciiTheme="minorEastAsia" w:hAnsiTheme="minorEastAsia" w:eastAsiaTheme="minorEastAsia" w:cstheme="minorEastAsia"/>
          <w:bCs/>
          <w:color w:val="auto"/>
          <w:sz w:val="24"/>
          <w:szCs w:val="24"/>
          <w:highlight w:val="none"/>
          <w:u w:val="none"/>
        </w:rPr>
        <w:t>日</w:t>
      </w:r>
      <w:r>
        <w:rPr>
          <w:rFonts w:hint="eastAsia" w:asciiTheme="minorEastAsia" w:hAnsiTheme="minorEastAsia" w:eastAsiaTheme="minorEastAsia" w:cstheme="minorEastAsia"/>
          <w:bCs/>
          <w:color w:val="auto"/>
          <w:sz w:val="24"/>
          <w:szCs w:val="24"/>
          <w:highlight w:val="none"/>
          <w:u w:val="single"/>
          <w:lang w:val="en-US" w:eastAsia="zh-CN"/>
        </w:rPr>
        <w:t>15</w:t>
      </w:r>
      <w:r>
        <w:rPr>
          <w:rFonts w:hint="eastAsia" w:asciiTheme="minorEastAsia" w:hAnsiTheme="minorEastAsia" w:eastAsiaTheme="minorEastAsia" w:cstheme="minorEastAsia"/>
          <w:bCs/>
          <w:color w:val="auto"/>
          <w:sz w:val="24"/>
          <w:szCs w:val="24"/>
          <w:highlight w:val="none"/>
          <w:u w:val="none"/>
        </w:rPr>
        <w:t>点</w:t>
      </w:r>
      <w:r>
        <w:rPr>
          <w:rFonts w:hint="eastAsia" w:asciiTheme="minorEastAsia" w:hAnsiTheme="minorEastAsia" w:eastAsiaTheme="minorEastAsia" w:cstheme="minorEastAsia"/>
          <w:bCs/>
          <w:color w:val="auto"/>
          <w:sz w:val="24"/>
          <w:szCs w:val="24"/>
          <w:highlight w:val="none"/>
          <w:u w:val="single"/>
          <w:lang w:val="en-US" w:eastAsia="zh-CN"/>
        </w:rPr>
        <w:t>00</w:t>
      </w:r>
      <w:r>
        <w:rPr>
          <w:rFonts w:hint="eastAsia" w:asciiTheme="minorEastAsia" w:hAnsiTheme="minorEastAsia" w:eastAsiaTheme="minorEastAsia" w:cstheme="minorEastAsia"/>
          <w:bCs/>
          <w:color w:val="auto"/>
          <w:sz w:val="24"/>
          <w:szCs w:val="24"/>
          <w:highlight w:val="none"/>
          <w:u w:val="none"/>
        </w:rPr>
        <w:t>分</w:t>
      </w:r>
      <w:r>
        <w:rPr>
          <w:rFonts w:hint="eastAsia" w:asciiTheme="minorEastAsia" w:hAnsiTheme="minorEastAsia" w:eastAsiaTheme="minorEastAsia" w:cstheme="minorEastAsia"/>
          <w:bCs/>
          <w:color w:val="auto"/>
          <w:sz w:val="24"/>
          <w:szCs w:val="24"/>
          <w:highlight w:val="none"/>
        </w:rPr>
        <w:t>（北京时间）</w:t>
      </w:r>
      <w:r>
        <w:rPr>
          <w:rFonts w:hint="eastAsia" w:ascii="宋体" w:hAnsi="宋体" w:eastAsia="宋体" w:cs="宋体"/>
          <w:iCs/>
          <w:color w:val="auto"/>
          <w:sz w:val="24"/>
          <w:szCs w:val="24"/>
          <w:highlight w:val="none"/>
          <w:u w:val="single"/>
        </w:rPr>
        <w:t>（</w:t>
      </w:r>
      <w:r>
        <w:rPr>
          <w:rFonts w:hint="eastAsia" w:ascii="宋体" w:hAnsi="宋体" w:eastAsia="宋体" w:cs="宋体"/>
          <w:i/>
          <w:color w:val="auto"/>
          <w:sz w:val="24"/>
          <w:szCs w:val="24"/>
          <w:highlight w:val="none"/>
          <w:u w:val="single"/>
        </w:rPr>
        <w:t>从磋商文件开始发出之日起至供应商提交首次响应文件截止之日止不得少于10日</w:t>
      </w:r>
      <w:r>
        <w:rPr>
          <w:rFonts w:hint="eastAsia" w:ascii="宋体" w:hAnsi="宋体" w:eastAsia="宋体" w:cs="宋体"/>
          <w:iCs/>
          <w:color w:val="auto"/>
          <w:sz w:val="24"/>
          <w:szCs w:val="24"/>
          <w:highlight w:val="none"/>
          <w:u w:val="single"/>
        </w:rPr>
        <w:t>）</w:t>
      </w:r>
    </w:p>
    <w:p w14:paraId="3B4C69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地点：新点电子交易平台后在【滁州专区】</w:t>
      </w:r>
    </w:p>
    <w:p w14:paraId="1C7FBB56">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23" w:name="_Toc35393802"/>
      <w:bookmarkStart w:id="24" w:name="_Toc32658"/>
      <w:bookmarkStart w:id="25" w:name="_Toc35393633"/>
      <w:bookmarkStart w:id="26" w:name="_Toc28359016"/>
      <w:bookmarkStart w:id="27" w:name="_Toc28359093"/>
      <w:r>
        <w:rPr>
          <w:rFonts w:hint="eastAsia" w:ascii="宋体" w:hAnsi="宋体" w:eastAsia="宋体" w:cs="宋体"/>
          <w:b/>
          <w:bCs w:val="0"/>
          <w:color w:val="auto"/>
          <w:sz w:val="24"/>
          <w:szCs w:val="24"/>
          <w:highlight w:val="none"/>
        </w:rPr>
        <w:t>五、开启</w:t>
      </w:r>
      <w:bookmarkEnd w:id="23"/>
      <w:bookmarkEnd w:id="24"/>
      <w:bookmarkEnd w:id="25"/>
      <w:bookmarkEnd w:id="26"/>
      <w:bookmarkEnd w:id="27"/>
    </w:p>
    <w:p w14:paraId="23AC9E9A">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时间：</w:t>
      </w:r>
      <w:r>
        <w:rPr>
          <w:rFonts w:hint="eastAsia" w:asciiTheme="minorEastAsia" w:hAnsiTheme="minorEastAsia" w:eastAsiaTheme="minorEastAsia" w:cstheme="minorEastAsia"/>
          <w:bCs/>
          <w:color w:val="auto"/>
          <w:sz w:val="24"/>
          <w:szCs w:val="24"/>
          <w:highlight w:val="none"/>
          <w:u w:val="single"/>
          <w:lang w:val="en-US" w:eastAsia="zh-CN"/>
        </w:rPr>
        <w:t>2026</w:t>
      </w:r>
      <w:r>
        <w:rPr>
          <w:rFonts w:hint="eastAsia" w:asciiTheme="minorEastAsia" w:hAnsiTheme="minorEastAsia" w:eastAsiaTheme="minorEastAsia" w:cstheme="minorEastAsia"/>
          <w:bCs/>
          <w:color w:val="auto"/>
          <w:sz w:val="24"/>
          <w:szCs w:val="24"/>
          <w:highlight w:val="none"/>
          <w:u w:val="none"/>
        </w:rPr>
        <w:t>年</w:t>
      </w:r>
      <w:r>
        <w:rPr>
          <w:rFonts w:hint="eastAsia" w:asciiTheme="minorEastAsia" w:hAnsiTheme="minorEastAsia" w:eastAsiaTheme="minorEastAsia" w:cstheme="minorEastAsia"/>
          <w:bCs/>
          <w:color w:val="auto"/>
          <w:sz w:val="24"/>
          <w:szCs w:val="24"/>
          <w:highlight w:val="none"/>
          <w:u w:val="single"/>
          <w:lang w:val="en-US" w:eastAsia="zh-CN"/>
        </w:rPr>
        <w:t>8</w:t>
      </w:r>
      <w:r>
        <w:rPr>
          <w:rFonts w:hint="eastAsia" w:asciiTheme="minorEastAsia" w:hAnsiTheme="minorEastAsia" w:eastAsiaTheme="minorEastAsia" w:cstheme="minorEastAsia"/>
          <w:bCs/>
          <w:color w:val="auto"/>
          <w:sz w:val="24"/>
          <w:szCs w:val="24"/>
          <w:highlight w:val="none"/>
          <w:u w:val="none"/>
        </w:rPr>
        <w:t>月</w:t>
      </w:r>
      <w:r>
        <w:rPr>
          <w:rFonts w:hint="eastAsia" w:asciiTheme="minorEastAsia" w:hAnsiTheme="minorEastAsia" w:eastAsiaTheme="minorEastAsia" w:cstheme="minorEastAsia"/>
          <w:bCs/>
          <w:color w:val="auto"/>
          <w:sz w:val="24"/>
          <w:szCs w:val="24"/>
          <w:highlight w:val="none"/>
          <w:u w:val="single"/>
          <w:lang w:val="en-US" w:eastAsia="zh-CN"/>
        </w:rPr>
        <w:t>27</w:t>
      </w:r>
      <w:r>
        <w:rPr>
          <w:rFonts w:hint="eastAsia" w:asciiTheme="minorEastAsia" w:hAnsiTheme="minorEastAsia" w:eastAsiaTheme="minorEastAsia" w:cstheme="minorEastAsia"/>
          <w:bCs/>
          <w:color w:val="auto"/>
          <w:sz w:val="24"/>
          <w:szCs w:val="24"/>
          <w:highlight w:val="none"/>
          <w:u w:val="none"/>
        </w:rPr>
        <w:t>日</w:t>
      </w:r>
      <w:r>
        <w:rPr>
          <w:rFonts w:hint="eastAsia" w:asciiTheme="minorEastAsia" w:hAnsiTheme="minorEastAsia" w:eastAsiaTheme="minorEastAsia" w:cstheme="minorEastAsia"/>
          <w:bCs/>
          <w:color w:val="auto"/>
          <w:sz w:val="24"/>
          <w:szCs w:val="24"/>
          <w:highlight w:val="none"/>
          <w:u w:val="single"/>
          <w:lang w:val="en-US" w:eastAsia="zh-CN"/>
        </w:rPr>
        <w:t>15</w:t>
      </w:r>
      <w:r>
        <w:rPr>
          <w:rFonts w:hint="eastAsia" w:asciiTheme="minorEastAsia" w:hAnsiTheme="minorEastAsia" w:eastAsiaTheme="minorEastAsia" w:cstheme="minorEastAsia"/>
          <w:bCs/>
          <w:color w:val="auto"/>
          <w:sz w:val="24"/>
          <w:szCs w:val="24"/>
          <w:highlight w:val="none"/>
          <w:u w:val="none"/>
        </w:rPr>
        <w:t>点</w:t>
      </w:r>
      <w:r>
        <w:rPr>
          <w:rFonts w:hint="eastAsia" w:asciiTheme="minorEastAsia" w:hAnsiTheme="minorEastAsia" w:eastAsiaTheme="minorEastAsia" w:cstheme="minorEastAsia"/>
          <w:bCs/>
          <w:color w:val="auto"/>
          <w:sz w:val="24"/>
          <w:szCs w:val="24"/>
          <w:highlight w:val="none"/>
          <w:u w:val="single"/>
          <w:lang w:val="en-US" w:eastAsia="zh-CN"/>
        </w:rPr>
        <w:t>00</w:t>
      </w:r>
      <w:r>
        <w:rPr>
          <w:rFonts w:hint="eastAsia" w:asciiTheme="minorEastAsia" w:hAnsiTheme="minorEastAsia" w:eastAsiaTheme="minorEastAsia" w:cstheme="minorEastAsia"/>
          <w:bCs/>
          <w:color w:val="auto"/>
          <w:sz w:val="24"/>
          <w:szCs w:val="24"/>
          <w:highlight w:val="none"/>
          <w:u w:val="none"/>
        </w:rPr>
        <w:t>分</w:t>
      </w:r>
      <w:r>
        <w:rPr>
          <w:rFonts w:hint="eastAsia" w:asciiTheme="minorEastAsia" w:hAnsiTheme="minorEastAsia" w:eastAsiaTheme="minorEastAsia" w:cstheme="minorEastAsia"/>
          <w:bCs/>
          <w:color w:val="auto"/>
          <w:sz w:val="24"/>
          <w:szCs w:val="24"/>
          <w:highlight w:val="none"/>
        </w:rPr>
        <w:t>（北京时间）</w:t>
      </w:r>
    </w:p>
    <w:p w14:paraId="18126C73">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lang w:val="en-US" w:eastAsia="zh-CN"/>
        </w:rPr>
        <w:t>网上开标；本项目仅接受加密电子投标文件供应商在投标截止时间前通过新点电子交易平台后在【滁州专区】（https://www.etrading.cn/BREpointSSO/login/oauth2login?regioncode=DQ_ChuZhou）交易系统递交电子投标文件。</w:t>
      </w:r>
    </w:p>
    <w:p w14:paraId="48F945E3">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28" w:name="_Toc35393634"/>
      <w:bookmarkStart w:id="29" w:name="_Toc6935"/>
      <w:bookmarkStart w:id="30" w:name="_Toc35393803"/>
      <w:bookmarkStart w:id="31" w:name="_Toc28359094"/>
      <w:bookmarkStart w:id="32" w:name="_Toc28359017"/>
      <w:r>
        <w:rPr>
          <w:rFonts w:hint="eastAsia" w:ascii="宋体" w:hAnsi="宋体" w:eastAsia="宋体" w:cs="宋体"/>
          <w:b/>
          <w:bCs w:val="0"/>
          <w:color w:val="auto"/>
          <w:sz w:val="24"/>
          <w:szCs w:val="24"/>
          <w:highlight w:val="none"/>
        </w:rPr>
        <w:t>六、公告期限</w:t>
      </w:r>
      <w:bookmarkEnd w:id="28"/>
      <w:bookmarkEnd w:id="29"/>
      <w:bookmarkEnd w:id="30"/>
      <w:bookmarkEnd w:id="31"/>
      <w:bookmarkEnd w:id="32"/>
    </w:p>
    <w:p w14:paraId="2913E79F">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自本公告发布之日起3个工作日。</w:t>
      </w:r>
    </w:p>
    <w:p w14:paraId="721D02C2">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33" w:name="_Toc35393804"/>
      <w:bookmarkStart w:id="34" w:name="_Toc23004"/>
      <w:bookmarkStart w:id="35" w:name="_Toc35393635"/>
      <w:r>
        <w:rPr>
          <w:rFonts w:hint="eastAsia" w:ascii="宋体" w:hAnsi="宋体" w:eastAsia="宋体" w:cs="宋体"/>
          <w:b/>
          <w:bCs w:val="0"/>
          <w:color w:val="auto"/>
          <w:sz w:val="24"/>
          <w:szCs w:val="24"/>
          <w:highlight w:val="none"/>
        </w:rPr>
        <w:t>七、其他补充事宜</w:t>
      </w:r>
      <w:bookmarkEnd w:id="33"/>
      <w:bookmarkEnd w:id="34"/>
      <w:bookmarkEnd w:id="35"/>
    </w:p>
    <w:p w14:paraId="260772A7">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1.供应商从滁州市城投工程咨询管理有限公司（https://www.czctgczx.com/）下载。供应商自行承担因未按要求获取招标文件导致无法上传电子投标文件的风险。</w:t>
      </w:r>
    </w:p>
    <w:p w14:paraId="5D7B45EE">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式：（1）供应商须登录新点电子交易平台【滁州专区】查询、获取采购文件。首次登录办理入库手续，办理入库不收取任何费用。新点电子招投标统一认证平台使用相关问题（如系统登录、信息登记、录入及提交、数字证书关联等）请拨打服务电话：0512-58151515（工作日）。  </w:t>
      </w:r>
    </w:p>
    <w:p w14:paraId="18B34509">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登录新点电子交易平台【滁州专区】获取询价文件及其它资料（含澄清和补充说明等）。如在招标文件获取过程中遇到系统问题，请拨打技术支持服务热线0512-58151515（工作日）或者网站首页在线客服。</w:t>
      </w:r>
    </w:p>
    <w:p w14:paraId="09BCAEE3">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2.招标文件及相关资料售价：人民币0元/套。</w:t>
      </w:r>
    </w:p>
    <w:p w14:paraId="512EC86D">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本项目开评标实行全流程电子化，开标活动在线完成。开标时供应商无需到达开标现场，不接受现场解密，实行远程解密和在线询标。各供应商认真学习《新点电子交易平台供应商操作手册》，务必掌握远程解密方法和在线回复询标方法。</w:t>
      </w:r>
    </w:p>
    <w:p w14:paraId="61ABAE30">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4.本项目采用不见面开标，供应商登录滁州市城投工程咨询管理有限公司不见面开标系统参与网上开标（网址：http://js.etrading.cn/EpointBidOpening/bidopeninghallaction/hall/login）。</w:t>
      </w:r>
    </w:p>
    <w:p w14:paraId="5B2D3030">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供应商应在投标截止时间之前，登录新点电子交易平台【滁州专区】上传投标文件</w:t>
      </w:r>
    </w:p>
    <w:p w14:paraId="2AF97BAB">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5.本项目仅接受加密电子投标文件供应商在投标截止时间前通过新点电子交易平台后在【滁州专区】</w:t>
      </w:r>
    </w:p>
    <w:p w14:paraId="6DA3895E">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（https://www.etrading.cn/BREpointSSO/login/oauth2login?regioncode=DQ_ChuZhou）交易系统递交电子投标文件。</w:t>
      </w:r>
    </w:p>
    <w:p w14:paraId="35027F18">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36" w:name="_Toc28359095"/>
      <w:bookmarkStart w:id="37" w:name="_Toc28099"/>
      <w:bookmarkStart w:id="38" w:name="_Toc35393636"/>
      <w:bookmarkStart w:id="39" w:name="_Toc28359018"/>
      <w:bookmarkStart w:id="40" w:name="_Toc35393805"/>
      <w:r>
        <w:rPr>
          <w:rFonts w:hint="eastAsia" w:ascii="宋体" w:hAnsi="宋体" w:eastAsia="宋体" w:cs="宋体"/>
          <w:b/>
          <w:bCs w:val="0"/>
          <w:color w:val="auto"/>
          <w:sz w:val="24"/>
          <w:szCs w:val="24"/>
          <w:highlight w:val="none"/>
        </w:rPr>
        <w:t>八、凡对本次采购提出询问，请按以下方式联系。</w:t>
      </w:r>
      <w:bookmarkEnd w:id="36"/>
      <w:bookmarkEnd w:id="37"/>
      <w:bookmarkEnd w:id="38"/>
      <w:bookmarkEnd w:id="39"/>
      <w:bookmarkEnd w:id="40"/>
    </w:p>
    <w:p w14:paraId="2FB5DB3B">
      <w:pPr>
        <w:pStyle w:val="3"/>
        <w:pageBreakBefore w:val="0"/>
        <w:widowControl w:val="0"/>
        <w:kinsoku/>
        <w:wordWrap/>
        <w:overflowPunct/>
        <w:topLinePunct w:val="0"/>
        <w:autoSpaceDE/>
        <w:autoSpaceDN/>
        <w:bidi w:val="0"/>
        <w:adjustRightInd/>
        <w:snapToGrid/>
        <w:spacing w:before="0" w:after="0" w:line="360" w:lineRule="auto"/>
        <w:ind w:left="0" w:leftChars="0" w:firstLine="480" w:firstLineChars="200"/>
        <w:textAlignment w:val="auto"/>
        <w:rPr>
          <w:rFonts w:hint="eastAsia" w:ascii="宋体" w:hAnsi="宋体" w:eastAsia="宋体" w:cs="宋体"/>
          <w:b w:val="0"/>
          <w:color w:val="auto"/>
          <w:sz w:val="24"/>
          <w:szCs w:val="24"/>
          <w:highlight w:val="none"/>
        </w:rPr>
      </w:pPr>
      <w:bookmarkStart w:id="41" w:name="_Toc28359019"/>
      <w:bookmarkStart w:id="42" w:name="_Toc35393637"/>
      <w:bookmarkStart w:id="43" w:name="_Toc29915"/>
      <w:bookmarkStart w:id="44" w:name="_Toc35393806"/>
      <w:bookmarkStart w:id="45" w:name="_Toc28359096"/>
      <w:r>
        <w:rPr>
          <w:rFonts w:hint="eastAsia" w:ascii="宋体" w:hAnsi="宋体" w:eastAsia="宋体" w:cs="宋体"/>
          <w:b w:val="0"/>
          <w:color w:val="auto"/>
          <w:sz w:val="24"/>
          <w:szCs w:val="24"/>
          <w:highlight w:val="none"/>
        </w:rPr>
        <w:t>1.采购人信息</w:t>
      </w:r>
      <w:bookmarkEnd w:id="41"/>
      <w:bookmarkEnd w:id="42"/>
      <w:bookmarkEnd w:id="43"/>
      <w:bookmarkEnd w:id="44"/>
      <w:bookmarkEnd w:id="45"/>
    </w:p>
    <w:p w14:paraId="3BF36869">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rPr>
      </w:pPr>
      <w:bookmarkStart w:id="46" w:name="_Toc28359020"/>
      <w:bookmarkStart w:id="47" w:name="_Toc35393638"/>
      <w:bookmarkStart w:id="48" w:name="_Toc35393807"/>
      <w:bookmarkStart w:id="49" w:name="_Toc28359097"/>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lang w:val="en-US" w:eastAsia="zh-CN"/>
        </w:rPr>
        <w:t>中新苏滁高新技术产业开发区管理委员会</w:t>
      </w:r>
    </w:p>
    <w:p w14:paraId="4E03C57C">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址：滁州市徽州南路1999号</w:t>
      </w:r>
    </w:p>
    <w:p w14:paraId="6A730C3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联系人：于德水</w:t>
      </w:r>
    </w:p>
    <w:p w14:paraId="7DE3DE0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：0550-3769719</w:t>
      </w:r>
      <w:r>
        <w:rPr>
          <w:rFonts w:hint="eastAsia" w:ascii="宋体" w:hAnsi="宋体" w:eastAsia="宋体"/>
          <w:color w:val="auto"/>
          <w:sz w:val="24"/>
          <w:szCs w:val="18"/>
          <w:highlight w:val="none"/>
          <w:lang w:val="en-US" w:eastAsia="zh-CN"/>
        </w:rPr>
        <w:t>/15155043990</w:t>
      </w:r>
    </w:p>
    <w:p w14:paraId="0EFC4795">
      <w:pPr>
        <w:pStyle w:val="3"/>
        <w:pageBreakBefore w:val="0"/>
        <w:widowControl w:val="0"/>
        <w:kinsoku/>
        <w:wordWrap/>
        <w:overflowPunct/>
        <w:topLinePunct w:val="0"/>
        <w:autoSpaceDE/>
        <w:autoSpaceDN/>
        <w:bidi w:val="0"/>
        <w:adjustRightInd/>
        <w:snapToGrid/>
        <w:spacing w:before="0" w:after="0" w:line="360" w:lineRule="auto"/>
        <w:ind w:left="0" w:leftChars="0" w:firstLine="480" w:firstLineChars="200"/>
        <w:textAlignment w:val="auto"/>
        <w:rPr>
          <w:rFonts w:hint="eastAsia" w:ascii="宋体" w:hAnsi="宋体" w:eastAsia="宋体" w:cs="宋体"/>
          <w:b w:val="0"/>
          <w:color w:val="auto"/>
          <w:sz w:val="24"/>
          <w:szCs w:val="24"/>
          <w:highlight w:val="none"/>
        </w:rPr>
      </w:pPr>
      <w:bookmarkStart w:id="50" w:name="_Toc15577"/>
      <w:r>
        <w:rPr>
          <w:rFonts w:hint="eastAsia" w:ascii="宋体" w:hAnsi="宋体" w:eastAsia="宋体" w:cs="宋体"/>
          <w:b w:val="0"/>
          <w:color w:val="auto"/>
          <w:sz w:val="24"/>
          <w:szCs w:val="24"/>
          <w:highlight w:val="none"/>
        </w:rPr>
        <w:t>2.采购代理机构信息</w:t>
      </w:r>
      <w:bookmarkEnd w:id="46"/>
      <w:bookmarkEnd w:id="47"/>
      <w:bookmarkEnd w:id="48"/>
      <w:bookmarkEnd w:id="49"/>
      <w:bookmarkEnd w:id="50"/>
    </w:p>
    <w:p w14:paraId="139FD258">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rPr>
      </w:pPr>
      <w:bookmarkStart w:id="51" w:name="_Toc35393639"/>
      <w:bookmarkStart w:id="52" w:name="_Toc28359098"/>
      <w:bookmarkStart w:id="53" w:name="_Toc28359021"/>
      <w:bookmarkStart w:id="54" w:name="_Toc35393808"/>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：滁州市城投工程咨询管理有限公司</w:t>
      </w:r>
    </w:p>
    <w:p w14:paraId="7905E915">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ascii="宋体" w:hAnsi="宋体" w:eastAsia="宋体"/>
          <w:color w:val="auto"/>
          <w:sz w:val="24"/>
          <w:szCs w:val="18"/>
          <w:highlight w:val="none"/>
        </w:rPr>
        <w:t>滁州市龙蟠大道109号房产商务大厦6楼</w:t>
      </w:r>
    </w:p>
    <w:p w14:paraId="13DCD980">
      <w:pPr>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highlight w:val="none"/>
        </w:rPr>
      </w:pPr>
      <w:r>
        <w:rPr>
          <w:rFonts w:hint="eastAsia" w:ascii="宋体" w:hAnsi="宋体" w:eastAsia="宋体"/>
          <w:color w:val="auto"/>
          <w:sz w:val="24"/>
          <w:szCs w:val="18"/>
          <w:highlight w:val="none"/>
          <w:lang w:val="en-US" w:eastAsia="zh-CN"/>
        </w:rPr>
        <w:t>联系人：杨韦</w:t>
      </w:r>
    </w:p>
    <w:p w14:paraId="44B82226">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：0550-3519590/18005501210　</w:t>
      </w:r>
    </w:p>
    <w:bookmarkEnd w:id="51"/>
    <w:bookmarkEnd w:id="52"/>
    <w:bookmarkEnd w:id="53"/>
    <w:bookmarkEnd w:id="54"/>
    <w:p w14:paraId="25937BA5">
      <w:pPr>
        <w:spacing w:line="360" w:lineRule="auto"/>
        <w:ind w:firstLine="435"/>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619CD366">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hint="eastAsia" w:asciiTheme="minorEastAsia" w:hAnsiTheme="minorEastAsia" w:eastAsiaTheme="minorEastAsia"/>
          <w:b/>
          <w:color w:val="auto"/>
          <w:sz w:val="28"/>
          <w:highlight w:val="none"/>
        </w:rPr>
      </w:pPr>
      <w:bookmarkStart w:id="55" w:name="_Toc7162"/>
      <w:r>
        <w:rPr>
          <w:rFonts w:hint="eastAsia" w:asciiTheme="minorEastAsia" w:hAnsiTheme="minorEastAsia" w:eastAsiaTheme="minorEastAsia"/>
          <w:b/>
          <w:color w:val="auto"/>
          <w:sz w:val="28"/>
          <w:highlight w:val="none"/>
        </w:rPr>
        <w:t>第二章  供应商须知</w:t>
      </w:r>
      <w:bookmarkEnd w:id="55"/>
    </w:p>
    <w:p w14:paraId="72497CA6">
      <w:pPr>
        <w:spacing w:line="360" w:lineRule="auto"/>
        <w:jc w:val="center"/>
        <w:outlineLvl w:val="1"/>
        <w:rPr>
          <w:rFonts w:asciiTheme="minorEastAsia" w:hAnsiTheme="minorEastAsia" w:eastAsiaTheme="minorEastAsia"/>
          <w:b/>
          <w:color w:val="auto"/>
          <w:sz w:val="24"/>
          <w:highlight w:val="none"/>
        </w:rPr>
      </w:pPr>
      <w:bookmarkStart w:id="56" w:name="_Toc11709"/>
      <w:bookmarkStart w:id="57" w:name="_Toc11383"/>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56"/>
      <w:bookmarkEnd w:id="57"/>
    </w:p>
    <w:p w14:paraId="4F572B6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本表是本项目的具体要求，是对供应商须知的具体补充和修改，如有不一致，以本表为准。</w:t>
      </w:r>
    </w:p>
    <w:tbl>
      <w:tblPr>
        <w:tblStyle w:val="26"/>
        <w:tblW w:w="52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4"/>
        <w:gridCol w:w="2555"/>
        <w:gridCol w:w="6460"/>
      </w:tblGrid>
      <w:tr w14:paraId="6492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7C46444F">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2262" w:type="dxa"/>
            <w:vAlign w:val="center"/>
          </w:tcPr>
          <w:p w14:paraId="042B1B65">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5718" w:type="dxa"/>
            <w:vAlign w:val="center"/>
          </w:tcPr>
          <w:p w14:paraId="073FF27B">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5664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6BC6202D">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2262" w:type="dxa"/>
            <w:vAlign w:val="center"/>
          </w:tcPr>
          <w:p w14:paraId="24ED63DF">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ascii="宋体" w:hAnsi="宋体" w:eastAsia="宋体"/>
                <w:b w:val="0"/>
                <w:color w:val="auto"/>
                <w:sz w:val="24"/>
                <w:highlight w:val="none"/>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5718" w:type="dxa"/>
            <w:vAlign w:val="center"/>
          </w:tcPr>
          <w:p w14:paraId="2CFD9CDD">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tc>
      </w:tr>
      <w:tr w14:paraId="6453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7C5EFC39">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2262" w:type="dxa"/>
            <w:vAlign w:val="center"/>
          </w:tcPr>
          <w:p w14:paraId="352B568A">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5718" w:type="dxa"/>
            <w:vAlign w:val="center"/>
          </w:tcPr>
          <w:p w14:paraId="4F1C283C">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8</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20</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30</w:t>
            </w:r>
            <w:r>
              <w:rPr>
                <w:rFonts w:hint="eastAsia" w:ascii="宋体" w:hAnsi="宋体" w:eastAsia="宋体"/>
                <w:b w:val="0"/>
                <w:color w:val="auto"/>
                <w:sz w:val="24"/>
                <w:highlight w:val="none"/>
              </w:rPr>
              <w:t>分</w:t>
            </w:r>
          </w:p>
        </w:tc>
      </w:tr>
      <w:tr w14:paraId="69CB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977" w:type="dxa"/>
            <w:vAlign w:val="center"/>
          </w:tcPr>
          <w:p w14:paraId="5E7FA196">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7.1</w:t>
            </w:r>
          </w:p>
        </w:tc>
        <w:tc>
          <w:tcPr>
            <w:tcW w:w="2262" w:type="dxa"/>
            <w:vAlign w:val="center"/>
          </w:tcPr>
          <w:p w14:paraId="78354DD8">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5718" w:type="dxa"/>
            <w:vAlign w:val="center"/>
          </w:tcPr>
          <w:p w14:paraId="77CA5FEB">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ascii="宋体" w:hAnsi="宋体" w:eastAsia="宋体"/>
                <w:b w:val="0"/>
                <w:color w:val="auto"/>
                <w:sz w:val="24"/>
                <w:highlight w:val="none"/>
              </w:rPr>
              <w:t>不分包</w:t>
            </w:r>
          </w:p>
        </w:tc>
      </w:tr>
      <w:tr w14:paraId="0AB2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77" w:type="dxa"/>
            <w:vAlign w:val="center"/>
          </w:tcPr>
          <w:p w14:paraId="2D8EEAB5">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10.1</w:t>
            </w:r>
          </w:p>
        </w:tc>
        <w:tc>
          <w:tcPr>
            <w:tcW w:w="2262" w:type="dxa"/>
            <w:vAlign w:val="center"/>
          </w:tcPr>
          <w:p w14:paraId="3340393D">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磋商保证金</w:t>
            </w:r>
          </w:p>
        </w:tc>
        <w:tc>
          <w:tcPr>
            <w:tcW w:w="5718" w:type="dxa"/>
            <w:vAlign w:val="center"/>
          </w:tcPr>
          <w:p w14:paraId="0E929607">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不收取</w:t>
            </w:r>
          </w:p>
        </w:tc>
      </w:tr>
      <w:tr w14:paraId="7AD0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069328D3">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11</w:t>
            </w:r>
            <w:r>
              <w:rPr>
                <w:rFonts w:ascii="宋体" w:hAnsi="宋体" w:eastAsia="宋体"/>
                <w:bCs/>
                <w:color w:val="auto"/>
                <w:kern w:val="2"/>
                <w:highlight w:val="none"/>
              </w:rPr>
              <w:t>.1</w:t>
            </w:r>
          </w:p>
        </w:tc>
        <w:tc>
          <w:tcPr>
            <w:tcW w:w="2262" w:type="dxa"/>
            <w:vAlign w:val="center"/>
          </w:tcPr>
          <w:p w14:paraId="304C16FC">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磋商有效期</w:t>
            </w:r>
          </w:p>
        </w:tc>
        <w:tc>
          <w:tcPr>
            <w:tcW w:w="5718" w:type="dxa"/>
            <w:vAlign w:val="center"/>
          </w:tcPr>
          <w:p w14:paraId="40C877D8">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rPr>
              <w:t>日历日</w:t>
            </w:r>
          </w:p>
        </w:tc>
      </w:tr>
      <w:tr w14:paraId="55B3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411D5E4F">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12</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2262" w:type="dxa"/>
            <w:vAlign w:val="center"/>
          </w:tcPr>
          <w:p w14:paraId="0A6F6427">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响应文件解密时间</w:t>
            </w:r>
          </w:p>
        </w:tc>
        <w:tc>
          <w:tcPr>
            <w:tcW w:w="5718" w:type="dxa"/>
            <w:vAlign w:val="center"/>
          </w:tcPr>
          <w:p w14:paraId="3408BA06">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u w:val="single"/>
              </w:rPr>
            </w:pPr>
            <w:r>
              <w:rPr>
                <w:rFonts w:hint="eastAsia" w:ascii="宋体" w:hAnsi="宋体" w:eastAsia="宋体"/>
                <w:b w:val="0"/>
                <w:color w:val="auto"/>
                <w:sz w:val="24"/>
                <w:highlight w:val="none"/>
                <w:u w:val="none"/>
              </w:rPr>
              <w:t>响应文件提交截止时间后</w:t>
            </w:r>
            <w:r>
              <w:rPr>
                <w:rFonts w:hint="eastAsia" w:ascii="宋体" w:hAnsi="宋体" w:eastAsia="宋体"/>
                <w:b w:val="0"/>
                <w:color w:val="auto"/>
                <w:sz w:val="24"/>
                <w:highlight w:val="none"/>
                <w:u w:val="single"/>
                <w:lang w:val="en-US" w:eastAsia="zh-CN"/>
              </w:rPr>
              <w:t xml:space="preserve"> 30 </w:t>
            </w:r>
            <w:r>
              <w:rPr>
                <w:rFonts w:hint="eastAsia" w:ascii="宋体" w:hAnsi="宋体" w:eastAsia="宋体"/>
                <w:b w:val="0"/>
                <w:color w:val="auto"/>
                <w:sz w:val="24"/>
                <w:highlight w:val="none"/>
                <w:u w:val="none"/>
              </w:rPr>
              <w:t>分钟内</w:t>
            </w:r>
          </w:p>
        </w:tc>
      </w:tr>
      <w:tr w14:paraId="4593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4E2E66EF">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14.2</w:t>
            </w:r>
          </w:p>
        </w:tc>
        <w:tc>
          <w:tcPr>
            <w:tcW w:w="2262" w:type="dxa"/>
            <w:vAlign w:val="center"/>
          </w:tcPr>
          <w:p w14:paraId="2B0AAC07">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评审方法</w:t>
            </w:r>
          </w:p>
        </w:tc>
        <w:tc>
          <w:tcPr>
            <w:tcW w:w="5718" w:type="dxa"/>
            <w:vAlign w:val="center"/>
          </w:tcPr>
          <w:p w14:paraId="5F993E8E">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u w:val="none"/>
              </w:rPr>
              <w:t>综合评分法</w:t>
            </w:r>
          </w:p>
        </w:tc>
      </w:tr>
      <w:tr w14:paraId="5FCD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Merge w:val="restart"/>
            <w:vAlign w:val="center"/>
          </w:tcPr>
          <w:p w14:paraId="2E4CC8F1">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19</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2262" w:type="dxa"/>
            <w:vMerge w:val="restart"/>
            <w:vAlign w:val="center"/>
          </w:tcPr>
          <w:p w14:paraId="539C8415">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5718" w:type="dxa"/>
            <w:vAlign w:val="center"/>
          </w:tcPr>
          <w:p w14:paraId="73469ED8">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rPr>
              <w:t>磋商小组推荐成交</w:t>
            </w:r>
            <w:r>
              <w:rPr>
                <w:rFonts w:ascii="宋体" w:hAnsi="宋体" w:eastAsia="宋体"/>
                <w:b w:val="0"/>
                <w:color w:val="auto"/>
                <w:sz w:val="24"/>
                <w:highlight w:val="none"/>
              </w:rPr>
              <w:t>候选</w:t>
            </w:r>
            <w:r>
              <w:rPr>
                <w:rFonts w:hint="eastAsia" w:ascii="宋体" w:hAnsi="宋体" w:eastAsia="宋体"/>
                <w:b w:val="0"/>
                <w:color w:val="auto"/>
                <w:sz w:val="24"/>
                <w:highlight w:val="none"/>
              </w:rPr>
              <w:t>供应商的</w:t>
            </w:r>
            <w:r>
              <w:rPr>
                <w:rFonts w:ascii="宋体" w:hAnsi="宋体" w:eastAsia="宋体"/>
                <w:b w:val="0"/>
                <w:color w:val="auto"/>
                <w:sz w:val="24"/>
                <w:highlight w:val="none"/>
              </w:rPr>
              <w:t>数</w:t>
            </w:r>
            <w:r>
              <w:rPr>
                <w:rFonts w:hint="eastAsia" w:ascii="宋体" w:hAnsi="宋体" w:eastAsia="宋体"/>
                <w:b w:val="0"/>
                <w:color w:val="auto"/>
                <w:sz w:val="24"/>
                <w:highlight w:val="none"/>
              </w:rPr>
              <w:t>量：3家</w:t>
            </w:r>
          </w:p>
          <w:p w14:paraId="2C9916C0">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b w:val="0"/>
                <w:color w:val="auto"/>
                <w:sz w:val="24"/>
                <w:highlight w:val="none"/>
                <w:lang w:val="en-US" w:eastAsia="zh-CN"/>
              </w:rPr>
              <w:t>注：法律、法规另有规定的，从其规定</w:t>
            </w:r>
          </w:p>
        </w:tc>
      </w:tr>
      <w:tr w14:paraId="43A9F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Merge w:val="continue"/>
            <w:vAlign w:val="center"/>
          </w:tcPr>
          <w:p w14:paraId="576B3605">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p>
        </w:tc>
        <w:tc>
          <w:tcPr>
            <w:tcW w:w="2262" w:type="dxa"/>
            <w:vMerge w:val="continue"/>
            <w:vAlign w:val="center"/>
          </w:tcPr>
          <w:p w14:paraId="7204DB5D">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p>
        </w:tc>
        <w:tc>
          <w:tcPr>
            <w:tcW w:w="5718" w:type="dxa"/>
            <w:vAlign w:val="center"/>
          </w:tcPr>
          <w:p w14:paraId="45E02C59">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确定成交供应商：</w:t>
            </w:r>
          </w:p>
          <w:p w14:paraId="3D184A04">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bCs/>
                <w:color w:val="auto"/>
                <w:sz w:val="24"/>
                <w:highlight w:val="none"/>
              </w:rPr>
              <w:sym w:font="Wingdings" w:char="00FE"/>
            </w:r>
            <w:r>
              <w:rPr>
                <w:rFonts w:hint="eastAsia" w:ascii="宋体" w:hAnsi="宋体" w:eastAsia="宋体"/>
                <w:b w:val="0"/>
                <w:color w:val="auto"/>
                <w:sz w:val="24"/>
                <w:highlight w:val="none"/>
              </w:rPr>
              <w:t xml:space="preserve">采购人委托磋商小组确定 </w:t>
            </w:r>
            <w:r>
              <w:rPr>
                <w:rFonts w:ascii="宋体" w:hAnsi="宋体" w:eastAsia="宋体"/>
                <w:b w:val="0"/>
                <w:color w:val="auto"/>
                <w:sz w:val="24"/>
                <w:highlight w:val="none"/>
              </w:rPr>
              <w:t xml:space="preserve">   </w:t>
            </w:r>
            <w:r>
              <w:rPr>
                <w:rFonts w:hint="eastAsia" w:ascii="宋体" w:hAnsi="宋体" w:eastAsia="宋体"/>
                <w:b w:val="0"/>
                <w:color w:val="auto"/>
                <w:sz w:val="24"/>
                <w:highlight w:val="none"/>
              </w:rPr>
              <w:t xml:space="preserve"> □采购人确定</w:t>
            </w:r>
          </w:p>
        </w:tc>
      </w:tr>
      <w:tr w14:paraId="6F72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57ADC12B">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22</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262" w:type="dxa"/>
            <w:vAlign w:val="center"/>
          </w:tcPr>
          <w:p w14:paraId="2A029FC6">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随成交结果公告同时公告的内容</w:t>
            </w:r>
          </w:p>
        </w:tc>
        <w:tc>
          <w:tcPr>
            <w:tcW w:w="5718" w:type="dxa"/>
            <w:vAlign w:val="center"/>
          </w:tcPr>
          <w:p w14:paraId="5A7B76DF">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cs="@仿宋_GB2312"/>
                <w:b w:val="0"/>
                <w:bCs w:val="0"/>
                <w:color w:val="auto"/>
                <w:kern w:val="0"/>
                <w:sz w:val="24"/>
                <w:szCs w:val="24"/>
                <w:highlight w:val="none"/>
                <w:lang w:val="en-US" w:eastAsia="zh-CN" w:bidi="ar-SA"/>
              </w:rPr>
            </w:pPr>
            <w:r>
              <w:rPr>
                <w:rFonts w:hint="eastAsia" w:ascii="宋体" w:hAnsi="宋体" w:eastAsia="宋体"/>
                <w:b w:val="0"/>
                <w:color w:val="auto"/>
                <w:sz w:val="24"/>
                <w:highlight w:val="none"/>
                <w:u w:val="none"/>
              </w:rPr>
              <w:t>成交供应商的评审总得分</w:t>
            </w:r>
            <w:r>
              <w:rPr>
                <w:rFonts w:hint="eastAsia" w:ascii="宋体" w:hAnsi="宋体" w:eastAsia="宋体"/>
                <w:b w:val="0"/>
                <w:color w:val="auto"/>
                <w:sz w:val="24"/>
                <w:highlight w:val="none"/>
                <w:u w:val="none"/>
                <w:lang w:eastAsia="zh-CN"/>
              </w:rPr>
              <w:t>；</w:t>
            </w:r>
          </w:p>
        </w:tc>
      </w:tr>
      <w:tr w14:paraId="1718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2038A0FC">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.1</w:t>
            </w:r>
          </w:p>
        </w:tc>
        <w:tc>
          <w:tcPr>
            <w:tcW w:w="2262" w:type="dxa"/>
            <w:vAlign w:val="center"/>
          </w:tcPr>
          <w:p w14:paraId="6340B4BA">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成交通知书发出的形式</w:t>
            </w:r>
          </w:p>
        </w:tc>
        <w:tc>
          <w:tcPr>
            <w:tcW w:w="5718" w:type="dxa"/>
            <w:vAlign w:val="center"/>
          </w:tcPr>
          <w:p w14:paraId="497FD718">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 xml:space="preserve">书面 </w:t>
            </w:r>
            <w:r>
              <w:rPr>
                <w:rFonts w:ascii="宋体" w:hAnsi="宋体" w:eastAsia="宋体"/>
                <w:b w:val="0"/>
                <w:color w:val="auto"/>
                <w:sz w:val="24"/>
                <w:highlight w:val="none"/>
              </w:rPr>
              <w:t xml:space="preserve">    </w:t>
            </w:r>
            <w:r>
              <w:rPr>
                <w:rFonts w:hint="eastAsia" w:ascii="宋体" w:hAnsi="宋体" w:eastAsia="宋体"/>
                <w:b w:val="0"/>
                <w:bCs w:val="0"/>
                <w:color w:val="auto"/>
                <w:sz w:val="24"/>
                <w:szCs w:val="24"/>
                <w:highlight w:val="none"/>
              </w:rPr>
              <w:sym w:font="Wingdings" w:char="00A8"/>
            </w:r>
            <w:r>
              <w:rPr>
                <w:rFonts w:hint="eastAsia" w:ascii="宋体" w:hAnsi="宋体" w:eastAsia="宋体"/>
                <w:b w:val="0"/>
                <w:color w:val="auto"/>
                <w:sz w:val="24"/>
                <w:highlight w:val="none"/>
              </w:rPr>
              <w:t>数据电文</w:t>
            </w:r>
          </w:p>
        </w:tc>
      </w:tr>
      <w:tr w14:paraId="1F44F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01B64288">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24</w:t>
            </w:r>
            <w:r>
              <w:rPr>
                <w:rFonts w:ascii="宋体" w:hAnsi="宋体" w:eastAsia="宋体"/>
                <w:bCs/>
                <w:color w:val="auto"/>
                <w:kern w:val="2"/>
                <w:highlight w:val="none"/>
              </w:rPr>
              <w:t>.1</w:t>
            </w:r>
          </w:p>
        </w:tc>
        <w:tc>
          <w:tcPr>
            <w:tcW w:w="2262" w:type="dxa"/>
            <w:vAlign w:val="center"/>
          </w:tcPr>
          <w:p w14:paraId="26C3263A">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告知磋商结果的形式</w:t>
            </w:r>
          </w:p>
        </w:tc>
        <w:tc>
          <w:tcPr>
            <w:tcW w:w="5718" w:type="dxa"/>
            <w:vAlign w:val="center"/>
          </w:tcPr>
          <w:p w14:paraId="1733F6F5">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ascii="宋体" w:hAnsi="宋体" w:eastAsia="宋体"/>
                <w:b w:val="0"/>
                <w:bCs w:val="0"/>
                <w:color w:val="auto"/>
                <w:sz w:val="24"/>
                <w:szCs w:val="24"/>
                <w:highlight w:val="none"/>
              </w:rPr>
              <w:t>系统查看</w:t>
            </w:r>
          </w:p>
        </w:tc>
      </w:tr>
      <w:tr w14:paraId="5170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3151E2CF">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2262" w:type="dxa"/>
            <w:vAlign w:val="center"/>
          </w:tcPr>
          <w:p w14:paraId="7AAC5088">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5718" w:type="dxa"/>
            <w:vAlign w:val="top"/>
          </w:tcPr>
          <w:p w14:paraId="08329DC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7863FCC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297F8FE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0908094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477F5D88">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22FAF0B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3F8BDF7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 xml:space="preserve">              </w:t>
            </w:r>
          </w:p>
          <w:p w14:paraId="63AA3E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 xml:space="preserve">              </w:t>
            </w:r>
          </w:p>
          <w:p w14:paraId="631A7172">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olor w:val="auto"/>
                <w:sz w:val="24"/>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w:t>
            </w:r>
          </w:p>
          <w:p w14:paraId="535AE0A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557EF3B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1A9DB22A">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cs="@仿宋_GB2312"/>
                <w:b/>
                <w:bCs/>
                <w:color w:val="auto"/>
                <w:kern w:val="0"/>
                <w:sz w:val="24"/>
                <w:szCs w:val="28"/>
                <w:highlight w:val="none"/>
                <w:lang w:val="en-US" w:eastAsia="zh-CN" w:bidi="ar-SA"/>
              </w:rPr>
            </w:pPr>
            <w:r>
              <w:rPr>
                <w:rFonts w:hint="eastAsia" w:ascii="宋体" w:hAnsi="宋体" w:eastAsia="宋体"/>
                <w:bCs w:val="0"/>
                <w:color w:val="auto"/>
                <w:sz w:val="24"/>
                <w:szCs w:val="24"/>
                <w:highlight w:val="none"/>
              </w:rPr>
              <w:t>（2）以担保函、保证保险形式缴纳履约保证金的，受益人和收取单位须为采购人。</w:t>
            </w:r>
          </w:p>
        </w:tc>
      </w:tr>
      <w:tr w14:paraId="2FCF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5" w:hRule="atLeast"/>
          <w:jc w:val="center"/>
        </w:trPr>
        <w:tc>
          <w:tcPr>
            <w:tcW w:w="977" w:type="dxa"/>
            <w:vAlign w:val="center"/>
          </w:tcPr>
          <w:p w14:paraId="41E42479">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2262" w:type="dxa"/>
            <w:vAlign w:val="center"/>
          </w:tcPr>
          <w:p w14:paraId="5C9F7151">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lang w:val="en-US" w:eastAsia="zh-CN"/>
              </w:rPr>
              <w:t>代理</w:t>
            </w:r>
            <w:r>
              <w:rPr>
                <w:rFonts w:hint="eastAsia" w:ascii="宋体" w:hAnsi="宋体" w:eastAsia="宋体"/>
                <w:b w:val="0"/>
                <w:color w:val="auto"/>
                <w:sz w:val="24"/>
                <w:highlight w:val="none"/>
              </w:rPr>
              <w:t>费</w:t>
            </w:r>
            <w:r>
              <w:rPr>
                <w:rFonts w:hint="eastAsia" w:ascii="宋体" w:hAnsi="宋体" w:eastAsia="宋体"/>
                <w:b w:val="0"/>
                <w:color w:val="auto"/>
                <w:sz w:val="24"/>
                <w:highlight w:val="none"/>
                <w:lang w:val="en-US" w:eastAsia="zh-CN"/>
              </w:rPr>
              <w:t>用</w:t>
            </w:r>
          </w:p>
        </w:tc>
        <w:tc>
          <w:tcPr>
            <w:tcW w:w="5718" w:type="dxa"/>
            <w:vAlign w:val="center"/>
          </w:tcPr>
          <w:p w14:paraId="50D7BED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cs="宋体"/>
                <w:color w:val="auto"/>
                <w:spacing w:val="14"/>
                <w:sz w:val="24"/>
                <w:szCs w:val="24"/>
                <w:highlight w:val="none"/>
                <w:lang w:val="en-US" w:eastAsia="zh-CN"/>
              </w:rPr>
              <w:t>成交供应商</w:t>
            </w:r>
          </w:p>
          <w:p w14:paraId="1745C1E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bCs/>
                <w:color w:val="auto"/>
                <w:kern w:val="0"/>
                <w:sz w:val="24"/>
                <w:szCs w:val="28"/>
                <w:highlight w:val="none"/>
                <w:lang w:val="en-US" w:eastAsia="zh-CN"/>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color="auto"/>
                <w:lang w:val="en-US" w:eastAsia="zh-CN"/>
              </w:rPr>
              <w:t>领取成交通知书后一次性缴纳至代理机构</w:t>
            </w:r>
          </w:p>
          <w:p w14:paraId="20635C3D">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宋体"/>
                <w:b w:val="0"/>
                <w:bCs w:val="0"/>
                <w:color w:val="auto"/>
                <w:kern w:val="2"/>
                <w:sz w:val="24"/>
                <w:szCs w:val="24"/>
                <w:highlight w:val="none"/>
                <w:u w:val="single" w:color="auto"/>
                <w:lang w:val="en-US" w:eastAsia="zh-CN" w:bidi="ar-SA"/>
              </w:rPr>
              <w:t>2000元，评审费约1240元另行支付（具体以实际发生金额为准，）</w:t>
            </w:r>
          </w:p>
        </w:tc>
      </w:tr>
      <w:tr w14:paraId="1535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010FC401">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29.3</w:t>
            </w:r>
          </w:p>
        </w:tc>
        <w:tc>
          <w:tcPr>
            <w:tcW w:w="2262" w:type="dxa"/>
            <w:vAlign w:val="center"/>
          </w:tcPr>
          <w:p w14:paraId="34DBB238">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5718" w:type="dxa"/>
            <w:vAlign w:val="center"/>
          </w:tcPr>
          <w:p w14:paraId="774C5990">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cs="@仿宋_GB2312"/>
                <w:b w:val="0"/>
                <w:bCs/>
                <w:color w:val="auto"/>
                <w:kern w:val="0"/>
                <w:sz w:val="24"/>
                <w:szCs w:val="28"/>
                <w:highlight w:val="none"/>
                <w:lang w:val="en-US" w:eastAsia="zh-CN" w:bidi="ar-SA"/>
              </w:rPr>
              <w:t>递交方式：</w:t>
            </w:r>
            <w:r>
              <w:rPr>
                <w:rFonts w:hint="eastAsia" w:ascii="宋体" w:hAnsi="宋体" w:eastAsia="宋体" w:cs="@仿宋_GB2312"/>
                <w:b w:val="0"/>
                <w:bCs/>
                <w:color w:val="auto"/>
                <w:kern w:val="0"/>
                <w:sz w:val="24"/>
                <w:szCs w:val="28"/>
                <w:highlight w:val="none"/>
                <w:u w:val="single"/>
                <w:lang w:val="en-US" w:eastAsia="zh-CN" w:bidi="ar-SA"/>
              </w:rPr>
              <w:t>书面形式或电子邮件（603727167@qq.com）形式进行质疑；</w:t>
            </w:r>
          </w:p>
          <w:p w14:paraId="0255241D">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接收部门：</w:t>
            </w:r>
            <w:r>
              <w:rPr>
                <w:rFonts w:hint="eastAsia" w:ascii="宋体" w:hAnsi="宋体" w:eastAsia="宋体" w:cs="@仿宋_GB2312"/>
                <w:b w:val="0"/>
                <w:bCs/>
                <w:color w:val="auto"/>
                <w:kern w:val="0"/>
                <w:sz w:val="24"/>
                <w:szCs w:val="28"/>
                <w:highlight w:val="none"/>
                <w:u w:val="single"/>
                <w:lang w:val="en-US" w:eastAsia="zh-CN" w:bidi="ar-SA"/>
              </w:rPr>
              <w:t>中新苏滁高新技术产业开发区管理委员会、滁州市城投工程咨询管理有限公司</w:t>
            </w:r>
          </w:p>
          <w:p w14:paraId="7E5A127C">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cs="@仿宋_GB2312"/>
                <w:b w:val="0"/>
                <w:bCs/>
                <w:color w:val="auto"/>
                <w:kern w:val="0"/>
                <w:sz w:val="24"/>
                <w:szCs w:val="28"/>
                <w:highlight w:val="none"/>
                <w:lang w:val="en-US" w:eastAsia="zh-CN" w:bidi="ar-SA"/>
              </w:rPr>
              <w:t>联系电话：</w:t>
            </w:r>
            <w:r>
              <w:rPr>
                <w:rFonts w:hint="eastAsia" w:ascii="宋体" w:hAnsi="宋体" w:eastAsia="宋体" w:cs="@仿宋_GB2312"/>
                <w:b w:val="0"/>
                <w:bCs/>
                <w:color w:val="auto"/>
                <w:kern w:val="0"/>
                <w:sz w:val="24"/>
                <w:szCs w:val="28"/>
                <w:highlight w:val="none"/>
                <w:u w:val="single"/>
                <w:lang w:val="en-US" w:eastAsia="zh-CN" w:bidi="ar-SA"/>
              </w:rPr>
              <w:t>0550-3769719、0550-3519590</w:t>
            </w:r>
          </w:p>
          <w:p w14:paraId="233FC6A7">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通讯地址：</w:t>
            </w:r>
            <w:r>
              <w:rPr>
                <w:rFonts w:hint="eastAsia" w:ascii="宋体" w:hAnsi="宋体" w:eastAsia="宋体" w:cs="@仿宋_GB2312"/>
                <w:b w:val="0"/>
                <w:bCs/>
                <w:color w:val="auto"/>
                <w:kern w:val="0"/>
                <w:sz w:val="24"/>
                <w:szCs w:val="28"/>
                <w:highlight w:val="none"/>
                <w:u w:val="single"/>
                <w:lang w:val="en-US" w:eastAsia="zh-CN" w:bidi="ar-SA"/>
              </w:rPr>
              <w:t>滁州市徽州南路1999号、滁州市龙蟠大道109号房产商务大厦6楼</w:t>
            </w:r>
          </w:p>
        </w:tc>
      </w:tr>
      <w:tr w14:paraId="1C24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006F3048">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30</w:t>
            </w:r>
          </w:p>
        </w:tc>
        <w:tc>
          <w:tcPr>
            <w:tcW w:w="2262" w:type="dxa"/>
            <w:vAlign w:val="center"/>
          </w:tcPr>
          <w:p w14:paraId="15916F45">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5718" w:type="dxa"/>
            <w:vAlign w:val="center"/>
          </w:tcPr>
          <w:p w14:paraId="11EE10A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5AB978D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53E09D1E">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7F3D8071">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E4BFAEE">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288630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仿宋_GB2312" w:asciiTheme="minorEastAsia" w:hAnsiTheme="minorEastAsia" w:eastAsiaTheme="minorEastAsia"/>
                <w:bCs/>
                <w:color w:val="auto"/>
                <w:kern w:val="2"/>
                <w:sz w:val="24"/>
                <w:szCs w:val="24"/>
                <w:highlight w:val="none"/>
                <w:lang w:val="en-US" w:eastAsia="zh-CN" w:bidi="ar-SA"/>
              </w:rPr>
            </w:pPr>
            <w:r>
              <w:rPr>
                <w:rFonts w:hint="eastAsia" w:asciiTheme="minorEastAsia" w:hAnsiTheme="minorEastAsia" w:eastAsiaTheme="minorEastAsia"/>
                <w:bCs/>
                <w:color w:val="auto"/>
                <w:sz w:val="24"/>
                <w:szCs w:val="24"/>
                <w:highlight w:val="none"/>
              </w:rPr>
              <w:t>（5）</w:t>
            </w:r>
            <w:r>
              <w:rPr>
                <w:rFonts w:asciiTheme="minorEastAsia" w:hAnsiTheme="minorEastAsia" w:eastAsiaTheme="minorEastAsia"/>
                <w:bCs/>
                <w:color w:val="auto"/>
                <w:sz w:val="24"/>
                <w:szCs w:val="24"/>
                <w:highlight w:val="none"/>
              </w:rPr>
              <w:t>按本款前述规定仍不能形成结论的，由</w:t>
            </w:r>
            <w:r>
              <w:rPr>
                <w:rFonts w:hint="eastAsia" w:asciiTheme="minorEastAsia" w:hAnsiTheme="minorEastAsia" w:eastAsiaTheme="minorEastAsia"/>
                <w:bCs/>
                <w:color w:val="auto"/>
                <w:sz w:val="24"/>
                <w:szCs w:val="24"/>
                <w:highlight w:val="none"/>
              </w:rPr>
              <w:t>采购</w:t>
            </w:r>
            <w:r>
              <w:rPr>
                <w:rFonts w:asciiTheme="minorEastAsia" w:hAnsiTheme="minorEastAsia" w:eastAsiaTheme="minorEastAsia"/>
                <w:bCs/>
                <w:color w:val="auto"/>
                <w:sz w:val="24"/>
                <w:szCs w:val="24"/>
                <w:highlight w:val="none"/>
              </w:rPr>
              <w:t>人负责解释。</w:t>
            </w:r>
          </w:p>
        </w:tc>
      </w:tr>
    </w:tbl>
    <w:p w14:paraId="69C03021">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58" w:name="_Toc14293"/>
      <w:bookmarkStart w:id="59" w:name="_Toc27470"/>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58"/>
      <w:bookmarkEnd w:id="59"/>
    </w:p>
    <w:p w14:paraId="4B86A2AF">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0992CCD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1E1562D9">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5A8A400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r>
        <w:rPr>
          <w:rFonts w:ascii="宋体" w:hAnsi="宋体" w:eastAsia="宋体"/>
          <w:color w:val="auto"/>
          <w:sz w:val="24"/>
          <w:highlight w:val="none"/>
        </w:rPr>
        <w:t>。</w:t>
      </w:r>
    </w:p>
    <w:p w14:paraId="7CD15C0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w:t>
      </w:r>
      <w:r>
        <w:rPr>
          <w:rFonts w:hint="eastAsia" w:ascii="宋体" w:hAnsi="宋体" w:eastAsia="宋体"/>
          <w:color w:val="auto"/>
          <w:sz w:val="24"/>
          <w:highlight w:val="none"/>
        </w:rPr>
        <w:t>供应商</w:t>
      </w:r>
      <w:r>
        <w:rPr>
          <w:rFonts w:ascii="宋体" w:hAnsi="宋体" w:eastAsia="宋体"/>
          <w:color w:val="auto"/>
          <w:sz w:val="24"/>
          <w:highlight w:val="none"/>
        </w:rPr>
        <w:t>：是指向采购人提供货物、工程或者服务的法人、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w:t>
      </w:r>
      <w:r>
        <w:rPr>
          <w:rFonts w:hint="eastAsia" w:ascii="宋体" w:hAnsi="宋体" w:eastAsia="宋体"/>
          <w:color w:val="auto"/>
          <w:sz w:val="24"/>
          <w:highlight w:val="none"/>
        </w:rPr>
        <w:t>供应商</w:t>
      </w:r>
      <w:r>
        <w:rPr>
          <w:rFonts w:ascii="宋体" w:hAnsi="宋体" w:eastAsia="宋体"/>
          <w:color w:val="auto"/>
          <w:sz w:val="24"/>
          <w:highlight w:val="none"/>
        </w:rPr>
        <w:t>及其</w:t>
      </w:r>
      <w:r>
        <w:rPr>
          <w:rFonts w:hint="eastAsia" w:ascii="宋体" w:hAnsi="宋体" w:eastAsia="宋体"/>
          <w:color w:val="auto"/>
          <w:sz w:val="24"/>
          <w:highlight w:val="none"/>
        </w:rPr>
        <w:t>所</w:t>
      </w:r>
      <w:r>
        <w:rPr>
          <w:rFonts w:ascii="宋体" w:hAnsi="宋体" w:eastAsia="宋体"/>
          <w:color w:val="auto"/>
          <w:sz w:val="24"/>
          <w:highlight w:val="none"/>
        </w:rPr>
        <w:t>投货物须满足以下条件：</w:t>
      </w:r>
    </w:p>
    <w:p w14:paraId="50BFD068">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52A6168">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w:t>
      </w:r>
      <w:r>
        <w:rPr>
          <w:rFonts w:hint="eastAsia" w:ascii="宋体" w:hAnsi="宋体" w:eastAsia="宋体"/>
          <w:color w:val="auto"/>
          <w:sz w:val="24"/>
          <w:highlight w:val="none"/>
          <w:lang w:val="en-US" w:eastAsia="zh-CN"/>
        </w:rPr>
        <w:t>磋商</w:t>
      </w:r>
      <w:r>
        <w:rPr>
          <w:rFonts w:ascii="宋体" w:hAnsi="宋体" w:eastAsia="宋体"/>
          <w:color w:val="auto"/>
          <w:sz w:val="24"/>
          <w:highlight w:val="none"/>
        </w:rPr>
        <w:t>文件。</w:t>
      </w:r>
    </w:p>
    <w:p w14:paraId="757F2CE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w:t>
      </w:r>
      <w:r>
        <w:rPr>
          <w:rFonts w:hint="eastAsia" w:ascii="宋体" w:hAnsi="宋体" w:eastAsia="宋体"/>
          <w:color w:val="auto"/>
          <w:sz w:val="24"/>
          <w:highlight w:val="none"/>
          <w:lang w:val="en-US" w:eastAsia="zh-CN"/>
        </w:rPr>
        <w:t>供应商</w:t>
      </w:r>
      <w:r>
        <w:rPr>
          <w:rFonts w:ascii="宋体" w:hAnsi="宋体" w:eastAsia="宋体"/>
          <w:color w:val="auto"/>
          <w:sz w:val="24"/>
          <w:highlight w:val="none"/>
        </w:rPr>
        <w:t>应保证所投产品可履行合法报通关手续进入中国关境内。</w:t>
      </w:r>
    </w:p>
    <w:p w14:paraId="7F769CB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中未写明允许采购进口产品，如供应商所投产品为进口产品，其响应文件将被认定为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1937FAD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bookmarkStart w:id="60" w:name="_Hlk60607583"/>
      <w:r>
        <w:rPr>
          <w:rFonts w:hint="eastAsia" w:ascii="宋体" w:hAnsi="宋体" w:eastAsia="宋体"/>
          <w:bCs/>
          <w:color w:val="auto"/>
          <w:kern w:val="0"/>
          <w:sz w:val="24"/>
          <w:szCs w:val="28"/>
          <w:highlight w:val="none"/>
          <w:lang w:val="en-US" w:eastAsia="zh-CN"/>
        </w:rPr>
        <w:t>1</w:t>
      </w:r>
      <w:r>
        <w:rPr>
          <w:rFonts w:ascii="宋体" w:hAnsi="宋体" w:eastAsia="宋体"/>
          <w:bCs/>
          <w:color w:val="auto"/>
          <w:kern w:val="0"/>
          <w:sz w:val="24"/>
          <w:szCs w:val="28"/>
          <w:highlight w:val="none"/>
        </w:rPr>
        <w:t>.5</w:t>
      </w:r>
      <w:r>
        <w:rPr>
          <w:rFonts w:hint="eastAsia" w:ascii="宋体" w:hAnsi="宋体" w:eastAsia="宋体"/>
          <w:bCs/>
          <w:color w:val="auto"/>
          <w:kern w:val="0"/>
          <w:sz w:val="24"/>
          <w:szCs w:val="28"/>
          <w:highlight w:val="none"/>
        </w:rPr>
        <w:t>若竞争性磋商公告</w:t>
      </w:r>
      <w:r>
        <w:rPr>
          <w:rFonts w:ascii="宋体" w:hAnsi="宋体" w:eastAsia="宋体"/>
          <w:bCs/>
          <w:color w:val="auto"/>
          <w:kern w:val="0"/>
          <w:sz w:val="24"/>
          <w:szCs w:val="28"/>
          <w:highlight w:val="none"/>
        </w:rPr>
        <w:t>中允许联合体</w:t>
      </w:r>
      <w:r>
        <w:rPr>
          <w:rFonts w:hint="eastAsia" w:ascii="宋体" w:hAnsi="宋体" w:eastAsia="宋体"/>
          <w:bCs/>
          <w:color w:val="auto"/>
          <w:kern w:val="0"/>
          <w:sz w:val="24"/>
          <w:szCs w:val="28"/>
          <w:highlight w:val="none"/>
        </w:rPr>
        <w:t>参加磋商</w:t>
      </w:r>
      <w:r>
        <w:rPr>
          <w:rFonts w:ascii="宋体" w:hAnsi="宋体" w:eastAsia="宋体"/>
          <w:bCs/>
          <w:color w:val="auto"/>
          <w:kern w:val="0"/>
          <w:sz w:val="24"/>
          <w:szCs w:val="28"/>
          <w:highlight w:val="none"/>
        </w:rPr>
        <w:t>，对联合体规定如下：</w:t>
      </w:r>
    </w:p>
    <w:bookmarkEnd w:id="60"/>
    <w:p w14:paraId="0FA3CBD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.1</w:t>
      </w:r>
      <w:r>
        <w:rPr>
          <w:rFonts w:hint="eastAsia" w:ascii="宋体" w:hAnsi="宋体" w:eastAsia="宋体"/>
          <w:color w:val="auto"/>
          <w:sz w:val="24"/>
          <w:highlight w:val="none"/>
        </w:rPr>
        <w:t>两个以上供应商可以组成一个磋商联合体，以一个供应商的身份磋商</w:t>
      </w:r>
      <w:r>
        <w:rPr>
          <w:rFonts w:ascii="宋体" w:hAnsi="宋体" w:eastAsia="宋体"/>
          <w:color w:val="auto"/>
          <w:sz w:val="24"/>
          <w:highlight w:val="none"/>
        </w:rPr>
        <w:t>。</w:t>
      </w:r>
      <w:r>
        <w:rPr>
          <w:rFonts w:ascii="宋体" w:hAnsi="宋体" w:eastAsia="宋体"/>
          <w:b w:val="0"/>
          <w:color w:val="auto"/>
          <w:sz w:val="24"/>
          <w:highlight w:val="none"/>
        </w:rPr>
        <w:t>联合体参加磋商的，</w:t>
      </w:r>
      <w:r>
        <w:rPr>
          <w:rFonts w:hint="eastAsia" w:ascii="宋体" w:hAnsi="宋体" w:eastAsia="宋体"/>
          <w:b w:val="0"/>
          <w:color w:val="auto"/>
          <w:sz w:val="24"/>
          <w:highlight w:val="none"/>
        </w:rPr>
        <w:t>磋商文件获取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任一</w:t>
      </w:r>
      <w:r>
        <w:rPr>
          <w:rFonts w:hint="eastAsia" w:ascii="宋体" w:hAnsi="宋体" w:eastAsia="宋体"/>
          <w:b w:val="0"/>
          <w:color w:val="auto"/>
          <w:sz w:val="24"/>
          <w:highlight w:val="none"/>
        </w:rPr>
        <w:t>成员单位</w:t>
      </w:r>
      <w:r>
        <w:rPr>
          <w:rFonts w:ascii="宋体" w:hAnsi="宋体" w:eastAsia="宋体"/>
          <w:b w:val="0"/>
          <w:color w:val="auto"/>
          <w:sz w:val="24"/>
          <w:highlight w:val="none"/>
        </w:rPr>
        <w:t>办理均可。</w:t>
      </w:r>
    </w:p>
    <w:p w14:paraId="32BDD712">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.2联合体各方均应符合《中华人民共和国政府采购法》第二十二条规定的条件。</w:t>
      </w:r>
    </w:p>
    <w:p w14:paraId="40C1CC8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.3采购人根据采购项目对</w:t>
      </w:r>
      <w:r>
        <w:rPr>
          <w:rFonts w:hint="eastAsia" w:ascii="宋体" w:hAnsi="宋体" w:eastAsia="宋体"/>
          <w:color w:val="auto"/>
          <w:sz w:val="24"/>
          <w:highlight w:val="none"/>
        </w:rPr>
        <w:t>供应商</w:t>
      </w:r>
      <w:r>
        <w:rPr>
          <w:rFonts w:ascii="宋体" w:hAnsi="宋体" w:eastAsia="宋体"/>
          <w:color w:val="auto"/>
          <w:sz w:val="24"/>
          <w:highlight w:val="none"/>
        </w:rPr>
        <w:t>的特殊要求，联合体中至少应当有一方符合相关规定。</w:t>
      </w:r>
    </w:p>
    <w:p w14:paraId="5A85F77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w:t>
      </w:r>
      <w:r>
        <w:rPr>
          <w:rFonts w:hint="eastAsia" w:ascii="宋体" w:hAnsi="宋体" w:eastAsia="宋体"/>
          <w:color w:val="auto"/>
          <w:sz w:val="24"/>
          <w:highlight w:val="none"/>
        </w:rPr>
        <w:t>响应</w:t>
      </w:r>
      <w:r>
        <w:rPr>
          <w:rFonts w:ascii="宋体" w:hAnsi="宋体" w:eastAsia="宋体"/>
          <w:color w:val="auto"/>
          <w:sz w:val="24"/>
          <w:highlight w:val="none"/>
        </w:rPr>
        <w:t>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319E6DD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.5大中型企业、其他自然人、法人或者非法人组织与小型、微型企业组成联合体共同参加</w:t>
      </w:r>
      <w:r>
        <w:rPr>
          <w:rFonts w:hint="eastAsia" w:ascii="宋体" w:hAnsi="宋体" w:eastAsia="宋体"/>
          <w:color w:val="auto"/>
          <w:sz w:val="24"/>
          <w:highlight w:val="none"/>
        </w:rPr>
        <w:t>磋商</w:t>
      </w:r>
      <w:r>
        <w:rPr>
          <w:rFonts w:ascii="宋体" w:hAnsi="宋体" w:eastAsia="宋体"/>
          <w:color w:val="auto"/>
          <w:sz w:val="24"/>
          <w:highlight w:val="none"/>
        </w:rPr>
        <w:t>，</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联合协议合同</w:t>
      </w:r>
      <w:r>
        <w:rPr>
          <w:rFonts w:ascii="宋体" w:hAnsi="宋体" w:eastAsia="宋体"/>
          <w:color w:val="auto"/>
          <w:sz w:val="24"/>
          <w:highlight w:val="none"/>
        </w:rPr>
        <w:t>总金额的比例。</w:t>
      </w:r>
    </w:p>
    <w:p w14:paraId="59603D4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7DA5B49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.7以联合体形式参加政府采购活动的，联合体各方不得再单独参加或者与其他供应商另外组成联合体参加本项目</w:t>
      </w:r>
      <w:r>
        <w:rPr>
          <w:rFonts w:hint="eastAsia" w:ascii="宋体" w:hAnsi="宋体" w:eastAsia="宋体"/>
          <w:color w:val="auto"/>
          <w:sz w:val="24"/>
          <w:highlight w:val="none"/>
        </w:rPr>
        <w:t>磋商</w:t>
      </w:r>
      <w:r>
        <w:rPr>
          <w:rFonts w:ascii="宋体" w:hAnsi="宋体" w:eastAsia="宋体"/>
          <w:color w:val="auto"/>
          <w:sz w:val="24"/>
          <w:highlight w:val="none"/>
        </w:rPr>
        <w:t>，否则相关</w:t>
      </w:r>
      <w:r>
        <w:rPr>
          <w:rFonts w:hint="eastAsia" w:ascii="宋体" w:hAnsi="宋体" w:eastAsia="宋体"/>
          <w:color w:val="auto"/>
          <w:sz w:val="24"/>
          <w:highlight w:val="none"/>
        </w:rPr>
        <w:t>响应文件将被认定为</w:t>
      </w:r>
      <w:r>
        <w:rPr>
          <w:rFonts w:hint="eastAsia" w:ascii="宋体" w:hAnsi="宋体" w:eastAsia="宋体"/>
          <w:b/>
          <w:color w:val="auto"/>
          <w:sz w:val="24"/>
          <w:highlight w:val="none"/>
        </w:rPr>
        <w:t>响应无效</w:t>
      </w:r>
      <w:r>
        <w:rPr>
          <w:rFonts w:ascii="宋体" w:hAnsi="宋体" w:eastAsia="宋体"/>
          <w:color w:val="auto"/>
          <w:sz w:val="24"/>
          <w:highlight w:val="none"/>
        </w:rPr>
        <w:t>。</w:t>
      </w:r>
    </w:p>
    <w:p w14:paraId="0F4DECB0">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31E7BAB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12B6D3E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276D7FCE">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3AEF69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olor w:val="auto"/>
          <w:sz w:val="24"/>
          <w:highlight w:val="none"/>
        </w:rPr>
      </w:pPr>
      <w:r>
        <w:rPr>
          <w:rFonts w:hint="eastAsia" w:ascii="宋体" w:hAnsi="宋体" w:eastAsia="宋体"/>
          <w:color w:val="auto"/>
          <w:sz w:val="24"/>
          <w:highlight w:val="none"/>
        </w:rPr>
        <w:t>不论磋商的结果如何，供应商应承担其所有与准备和参加磋商有关的费用</w:t>
      </w:r>
    </w:p>
    <w:p w14:paraId="5ED41AC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4.适用法律</w:t>
      </w:r>
    </w:p>
    <w:p w14:paraId="65C46D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olor w:val="auto"/>
          <w:sz w:val="24"/>
          <w:highlight w:val="none"/>
        </w:rPr>
      </w:pPr>
      <w:r>
        <w:rPr>
          <w:rFonts w:hint="eastAsia" w:ascii="宋体" w:hAnsi="宋体" w:eastAsia="宋体"/>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4C4D899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25EA748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.1磋商文件包括下列内容：</w:t>
      </w:r>
    </w:p>
    <w:p w14:paraId="74C52421">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572E1014">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3F5CE846">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2A50F0EA">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179E3FEA">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5EEB4F42">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749AD9A9">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7FF88F9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2406EB4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3B7C862C">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493F7FE2">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rFonts w:ascii="宋体" w:hAnsi="宋体" w:eastAsia="宋体"/>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06257700">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61" w:name="_Hlk16458572"/>
      <w:r>
        <w:rPr>
          <w:rFonts w:hint="eastAsia" w:asciiTheme="minorEastAsia" w:hAnsiTheme="minorEastAsia" w:eastAsiaTheme="minorEastAsia"/>
          <w:color w:val="auto"/>
          <w:sz w:val="24"/>
          <w:highlight w:val="none"/>
        </w:rPr>
        <w:t>中新苏滁高新技术产业开发区（https://scp.chuzhou.gov.cn/index.html）、</w:t>
      </w:r>
      <w:r>
        <w:rPr>
          <w:rFonts w:hint="eastAsia" w:ascii="宋体" w:hAnsi="宋体" w:eastAsia="宋体" w:cs="宋体"/>
          <w:color w:val="auto"/>
          <w:kern w:val="0"/>
          <w:sz w:val="24"/>
          <w:szCs w:val="24"/>
          <w:highlight w:val="none"/>
          <w:shd w:val="clear" w:color="auto" w:fill="FFFFFF"/>
          <w:lang w:val="en-US" w:eastAsia="zh-CN" w:bidi="ar"/>
        </w:rPr>
        <w:t>滁州市城投工程咨询管理有限公司（https://www.czctgczx.com/）</w:t>
      </w:r>
      <w:bookmarkEnd w:id="61"/>
      <w:r>
        <w:rPr>
          <w:rFonts w:hint="eastAsia" w:asciiTheme="minorEastAsia" w:hAnsiTheme="minorEastAsia" w:eastAsiaTheme="minorEastAsia"/>
          <w:color w:val="auto"/>
          <w:sz w:val="24"/>
          <w:highlight w:val="none"/>
        </w:rPr>
        <w:t>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516DED0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3AD3774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Theme="minorEastAsia" w:hAnsiTheme="minorEastAsia" w:eastAsiaTheme="minorEastAsia"/>
          <w:iCs/>
          <w:color w:val="auto"/>
          <w:sz w:val="24"/>
          <w:highlight w:val="none"/>
          <w:lang w:eastAsia="zh-CN"/>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lang w:eastAsia="zh-CN"/>
        </w:rPr>
        <w:t>。</w:t>
      </w:r>
    </w:p>
    <w:p w14:paraId="708FFC44">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35E67C7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49B25BA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eastAsiaTheme="minorEastAsia"/>
          <w:color w:val="auto"/>
          <w:highlight w:val="none"/>
          <w:lang w:val="en-US" w:eastAsia="zh-CN"/>
        </w:rPr>
      </w:pPr>
      <w:r>
        <w:rPr>
          <w:rFonts w:hint="eastAsia" w:asciiTheme="minorEastAsia" w:hAnsiTheme="minorEastAsia" w:eastAsiaTheme="minorEastAsia"/>
          <w:color w:val="auto"/>
          <w:sz w:val="24"/>
          <w:highlight w:val="none"/>
          <w:lang w:val="en-US" w:eastAsia="zh-CN"/>
        </w:rPr>
        <w:t>7.2 供应商</w:t>
      </w:r>
      <w:r>
        <w:rPr>
          <w:rFonts w:asciiTheme="minorEastAsia" w:hAnsiTheme="minorEastAsia" w:eastAsiaTheme="minorEastAsia"/>
          <w:color w:val="auto"/>
          <w:sz w:val="24"/>
          <w:highlight w:val="none"/>
        </w:rPr>
        <w:t>应当对所投分包</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lang w:val="en-US" w:eastAsia="zh-CN"/>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1032D1DB">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无论磋商文件中是否要求，供应商所投货物及伴随的服务和工程均应符合国家强制性标准。</w:t>
      </w:r>
    </w:p>
    <w:p w14:paraId="64EEFFF3">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14:paraId="2A2B682F">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2DCAF1F3">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15F43F1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hint="eastAsia" w:ascii="宋体" w:hAnsi="宋体" w:eastAsia="宋体"/>
          <w:color w:val="auto"/>
          <w:sz w:val="24"/>
          <w:highlight w:val="none"/>
          <w:lang w:val="en-US" w:eastAsia="zh-CN"/>
        </w:rPr>
        <w:t>供应商</w:t>
      </w:r>
      <w:r>
        <w:rPr>
          <w:rFonts w:asciiTheme="minorEastAsia" w:hAnsiTheme="minorEastAsia" w:eastAsiaTheme="minorEastAsia"/>
          <w:color w:val="auto"/>
          <w:sz w:val="24"/>
          <w:highlight w:val="none"/>
        </w:rPr>
        <w:t>应完整地按</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文件提供的</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具体内容详见本项目</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文件格式的相关内容。</w:t>
      </w:r>
    </w:p>
    <w:p w14:paraId="0C316F4C">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hint="eastAsia" w:ascii="宋体" w:hAnsi="宋体" w:eastAsia="宋体"/>
          <w:color w:val="auto"/>
          <w:sz w:val="24"/>
          <w:highlight w:val="none"/>
          <w:lang w:val="en-US" w:eastAsia="zh-CN"/>
        </w:rPr>
        <w:t>供应商</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文件要求的</w:t>
      </w:r>
      <w:r>
        <w:rPr>
          <w:rFonts w:asciiTheme="minorEastAsia" w:hAnsiTheme="minorEastAsia" w:eastAsiaTheme="minorEastAsia"/>
          <w:color w:val="auto"/>
          <w:sz w:val="24"/>
          <w:highlight w:val="none"/>
        </w:rPr>
        <w:t>证明文件，证明其</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内容符合</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r>
        <w:rPr>
          <w:rFonts w:hint="eastAsia" w:asciiTheme="minorEastAsia" w:hAnsiTheme="minorEastAsia" w:eastAsiaTheme="minorEastAsia"/>
          <w:color w:val="auto"/>
          <w:sz w:val="24"/>
          <w:highlight w:val="none"/>
          <w:lang w:val="en-US" w:eastAsia="zh-CN"/>
        </w:rPr>
        <w:t>等。</w:t>
      </w:r>
    </w:p>
    <w:p w14:paraId="12562B5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w:t>
      </w:r>
      <w:r>
        <w:rPr>
          <w:rFonts w:hint="eastAsia" w:asciiTheme="minorEastAsia" w:hAnsiTheme="minorEastAsia" w:eastAsiaTheme="minorEastAsia"/>
          <w:color w:val="auto"/>
          <w:sz w:val="24"/>
          <w:highlight w:val="none"/>
          <w:lang w:val="en-US" w:eastAsia="zh-CN"/>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方案。</w:t>
      </w:r>
    </w:p>
    <w:p w14:paraId="3F1F0D80">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0023CB0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lang w:val="en-US" w:eastAsia="zh-CN"/>
        </w:rPr>
        <w:t>服务</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除磋商文件另有规定外，</w:t>
      </w:r>
      <w:r>
        <w:rPr>
          <w:rFonts w:hint="eastAsia" w:asciiTheme="minorEastAsia" w:hAnsiTheme="minorEastAsia" w:eastAsiaTheme="minorEastAsia"/>
          <w:color w:val="auto"/>
          <w:sz w:val="24"/>
          <w:highlight w:val="none"/>
        </w:rPr>
        <w:t>所有内容均应以人民币报价，供应商的磋商报价应遵守《中华人民共和国价格法》。</w:t>
      </w:r>
    </w:p>
    <w:p w14:paraId="0A03F0A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除非磋商文件另有规定或经采购人同意支付的，最后报价均不得高于磋商文件（公告）列明的项目预算，否则其响应文件将被认定为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0F56717C">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3D7B6AA4">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1B2E96D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29D4946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.1本项目不收取磋商保证金。</w:t>
      </w:r>
    </w:p>
    <w:p w14:paraId="27C89536">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4A284484">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496A5F6C">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7CE9D56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6907454D">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048AE0C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.1供应商应当在第一章</w:t>
      </w:r>
      <w:r>
        <w:rPr>
          <w:rFonts w:hint="eastAsia" w:asciiTheme="minorEastAsia" w:hAnsiTheme="minorEastAsia" w:eastAsiaTheme="minorEastAsia"/>
          <w:color w:val="auto"/>
          <w:sz w:val="24"/>
          <w:highlight w:val="none"/>
          <w:u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5493D54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42446B28">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val="en-US" w:eastAsia="zh-CN"/>
        </w:rPr>
        <w:t>未在规定时间内进行解密的，</w:t>
      </w:r>
      <w:r>
        <w:rPr>
          <w:rFonts w:hint="eastAsia" w:asciiTheme="minorEastAsia" w:hAnsiTheme="minorEastAsia" w:eastAsiaTheme="minorEastAsia"/>
          <w:b/>
          <w:bCs/>
          <w:color w:val="auto"/>
          <w:sz w:val="24"/>
          <w:highlight w:val="none"/>
          <w:lang w:val="en-US" w:eastAsia="zh-CN"/>
        </w:rPr>
        <w:t>响应无效。</w:t>
      </w:r>
    </w:p>
    <w:p w14:paraId="434B797F">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ascii="宋体" w:hAnsi="宋体" w:eastAsia="宋体"/>
          <w:color w:val="auto"/>
          <w:sz w:val="24"/>
          <w:highlight w:val="none"/>
        </w:rPr>
        <w:t>但属于磋商小组在评审中发现的计算错误并进行核实的修改、按照磋商文件的变动情况和磋商小组的要求重新提交响应文件的，不在此列。</w:t>
      </w:r>
    </w:p>
    <w:p w14:paraId="10D064F0">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1E721C92">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.1本项目将依法组建磋商小组，磋商小组成员由3人以上</w:t>
      </w:r>
      <w:r>
        <w:rPr>
          <w:rFonts w:hint="eastAsia" w:asciiTheme="minorEastAsia" w:hAnsiTheme="minorEastAsia" w:eastAsiaTheme="minorEastAsia"/>
          <w:color w:val="auto"/>
          <w:sz w:val="24"/>
          <w:highlight w:val="none"/>
        </w:rPr>
        <w:t>（含）</w:t>
      </w:r>
      <w:r>
        <w:rPr>
          <w:rFonts w:asciiTheme="minorEastAsia" w:hAnsiTheme="minorEastAsia" w:eastAsiaTheme="minorEastAsia"/>
          <w:color w:val="auto"/>
          <w:sz w:val="24"/>
          <w:highlight w:val="none"/>
        </w:rPr>
        <w:t>单数组成，磋商小组及其成员应当依照政府采购的有关规定履行相关职责和义务。</w:t>
      </w:r>
    </w:p>
    <w:p w14:paraId="0B46B753">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2122E2F0">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.3磋商小组应当从质量和服务均能满足磋商文件实质性响应要求的供应商中，按照评审方法和标准</w:t>
      </w:r>
      <w:r>
        <w:rPr>
          <w:rFonts w:hint="eastAsia" w:asciiTheme="minorEastAsia" w:hAnsiTheme="minorEastAsia" w:eastAsiaTheme="minorEastAsia"/>
          <w:color w:val="auto"/>
          <w:sz w:val="24"/>
          <w:highlight w:val="none"/>
        </w:rPr>
        <w:t>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7B356F7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14</w:t>
      </w:r>
      <w:r>
        <w:rPr>
          <w:rFonts w:asciiTheme="minorEastAsia" w:hAnsiTheme="minorEastAsia" w:eastAsiaTheme="minorEastAsia"/>
          <w:b/>
          <w:color w:val="auto"/>
          <w:sz w:val="24"/>
          <w:highlight w:val="none"/>
        </w:rPr>
        <w:t>.响应文件的评审与磋商</w:t>
      </w:r>
    </w:p>
    <w:p w14:paraId="7BA81338">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asciiTheme="minorEastAsia" w:hAnsiTheme="minorEastAsia" w:eastAsiaTheme="minorEastAsia"/>
          <w:color w:val="auto"/>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0FF42FC4">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.2竞争性磋商活动采用综合评分法评审。</w:t>
      </w:r>
    </w:p>
    <w:p w14:paraId="4B97F52B">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67595689">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.3磋商小组将按照磋商文件规定的评审方法和标准对供应商独立进行评审。评审程序如下：</w:t>
      </w:r>
    </w:p>
    <w:p w14:paraId="77D1CB8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225C1773">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68BA775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2FFF2750">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59FA0EB4">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0F9C20A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ascii="宋体" w:hAnsi="宋体" w:eastAsia="宋体"/>
          <w:color w:val="auto"/>
          <w:sz w:val="24"/>
          <w:highlight w:val="none"/>
        </w:rPr>
        <w:t>。</w:t>
      </w:r>
    </w:p>
    <w:p w14:paraId="16D0E95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color w:val="auto"/>
          <w:highlight w:val="none"/>
        </w:rPr>
      </w:pPr>
      <w:r>
        <w:rPr>
          <w:rFonts w:hint="eastAsia" w:asciiTheme="minorEastAsia" w:hAnsiTheme="minorEastAsia" w:eastAsiaTheme="minorEastAsia"/>
          <w:color w:val="auto"/>
          <w:sz w:val="24"/>
          <w:highlight w:val="none"/>
          <w:lang w:val="en-US" w:eastAsia="zh-CN"/>
        </w:rPr>
        <w:t xml:space="preserve">14.3.4 </w:t>
      </w:r>
      <w:r>
        <w:rPr>
          <w:rFonts w:hint="eastAsia" w:asciiTheme="minorEastAsia" w:hAnsiTheme="minorEastAsia" w:eastAsiaTheme="minorEastAsia"/>
          <w:b/>
          <w:bCs/>
          <w:color w:val="auto"/>
          <w:sz w:val="24"/>
          <w:highlight w:val="none"/>
          <w:lang w:val="en-US" w:eastAsia="zh-CN"/>
        </w:rPr>
        <w:t>异常低价响应审查。</w:t>
      </w: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磋商小组进行异常低价响应审查。</w:t>
      </w:r>
    </w:p>
    <w:p w14:paraId="533CDB9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Theme="minorEastAsia" w:hAnsiTheme="minorEastAsia" w:eastAsiaTheme="minorEastAsia"/>
          <w:color w:val="auto"/>
          <w:sz w:val="24"/>
          <w:highlight w:val="none"/>
          <w:lang w:eastAsia="zh-CN"/>
        </w:rPr>
        <w:t>、</w:t>
      </w:r>
      <w:r>
        <w:rPr>
          <w:rFonts w:hint="eastAsia" w:ascii="宋体" w:hAnsi="宋体" w:eastAsia="宋体"/>
          <w:color w:val="auto"/>
          <w:sz w:val="24"/>
          <w:highlight w:val="none"/>
          <w:lang w:val="en-US" w:eastAsia="zh-CN"/>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1A3B2614">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.4相关说明。</w:t>
      </w:r>
    </w:p>
    <w:p w14:paraId="4A095320">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13C3B0F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26627648">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4FE26E8F">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2EF24423">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2C2F066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71EE663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7FC4337F">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4026C24B">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689B7569">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5CE43E2C">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5D4FC00B">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53A0089E">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4CEB4D9A">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电子签章</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w:t>
      </w:r>
    </w:p>
    <w:p w14:paraId="098E517C">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b/>
          <w:color w:val="auto"/>
          <w:sz w:val="24"/>
          <w:highlight w:val="none"/>
        </w:rPr>
        <w:t>如有询标，授权代表（或法定代表人）可通过远程登录的方式接受网上询标，也可凭本人有效身份证明参加询标。因授权代表联系不上</w:t>
      </w:r>
      <w:r>
        <w:rPr>
          <w:rFonts w:hint="eastAsia" w:ascii="宋体" w:hAnsi="宋体" w:eastAsia="宋体"/>
          <w:b/>
          <w:bCs/>
          <w:color w:val="auto"/>
          <w:sz w:val="24"/>
          <w:highlight w:val="none"/>
        </w:rPr>
        <w:t>、没有及时登录系统等情形</w:t>
      </w:r>
      <w:r>
        <w:rPr>
          <w:rFonts w:hint="eastAsia" w:ascii="宋体" w:hAnsi="宋体" w:eastAsia="宋体"/>
          <w:b/>
          <w:color w:val="auto"/>
          <w:sz w:val="24"/>
          <w:highlight w:val="none"/>
        </w:rPr>
        <w:t>而无法接受磋商小组询标的，供应商自行承担相关风险。</w:t>
      </w:r>
    </w:p>
    <w:p w14:paraId="7CCFE974">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158D122C">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p>
    <w:p w14:paraId="5B784794">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1F8DB1B9">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113FB4E0">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0EC5919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1C33AD23">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2BA92B8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ascii="宋体" w:hAnsi="宋体" w:eastAsia="宋体"/>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77CCB44D">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58F88B0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18276964">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6328BAB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21</w:t>
      </w:r>
      <w:r>
        <w:rPr>
          <w:rFonts w:hint="eastAsia" w:ascii="宋体" w:hAnsi="宋体" w:eastAsia="宋体"/>
          <w:color w:val="auto"/>
          <w:sz w:val="24"/>
          <w:highlight w:val="none"/>
        </w:rPr>
        <w:t>.1评审将在严格保密的情况下进行。</w:t>
      </w:r>
    </w:p>
    <w:p w14:paraId="4A58329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21</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w:t>
      </w:r>
      <w:r>
        <w:rPr>
          <w:rFonts w:hint="eastAsia" w:ascii="宋体" w:hAnsi="宋体" w:eastAsia="宋体"/>
          <w:color w:val="auto"/>
          <w:sz w:val="24"/>
          <w:highlight w:val="none"/>
        </w:rPr>
        <w:t>评审</w:t>
      </w:r>
      <w:r>
        <w:rPr>
          <w:rFonts w:ascii="宋体" w:hAnsi="宋体" w:eastAsia="宋体"/>
          <w:color w:val="auto"/>
          <w:sz w:val="24"/>
          <w:highlight w:val="none"/>
        </w:rPr>
        <w:t>工作纪律，不得</w:t>
      </w:r>
      <w:r>
        <w:rPr>
          <w:rFonts w:hint="eastAsia" w:ascii="宋体" w:hAnsi="宋体" w:eastAsia="宋体"/>
          <w:color w:val="auto"/>
          <w:sz w:val="24"/>
          <w:highlight w:val="none"/>
        </w:rPr>
        <w:t>泄露评审文件</w:t>
      </w:r>
      <w:r>
        <w:rPr>
          <w:rFonts w:ascii="宋体" w:hAnsi="宋体" w:eastAsia="宋体"/>
          <w:color w:val="auto"/>
          <w:sz w:val="24"/>
          <w:highlight w:val="none"/>
        </w:rPr>
        <w:t>、</w:t>
      </w:r>
      <w:r>
        <w:rPr>
          <w:rFonts w:hint="eastAsia" w:ascii="宋体" w:hAnsi="宋体" w:eastAsia="宋体"/>
          <w:color w:val="auto"/>
          <w:sz w:val="24"/>
          <w:highlight w:val="none"/>
        </w:rPr>
        <w:t>评审</w:t>
      </w:r>
      <w:r>
        <w:rPr>
          <w:rFonts w:ascii="宋体" w:hAnsi="宋体" w:eastAsia="宋体"/>
          <w:color w:val="auto"/>
          <w:sz w:val="24"/>
          <w:highlight w:val="none"/>
        </w:rPr>
        <w:t>情况和</w:t>
      </w:r>
      <w:r>
        <w:rPr>
          <w:rFonts w:hint="eastAsia" w:ascii="宋体" w:hAnsi="宋体" w:eastAsia="宋体"/>
          <w:color w:val="auto"/>
          <w:sz w:val="24"/>
          <w:highlight w:val="none"/>
        </w:rPr>
        <w:t>评审</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0239F89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22</w:t>
      </w:r>
      <w:r>
        <w:rPr>
          <w:rFonts w:asciiTheme="minorEastAsia" w:hAnsiTheme="minorEastAsia" w:eastAsiaTheme="minorEastAsia"/>
          <w:b/>
          <w:color w:val="auto"/>
          <w:sz w:val="24"/>
          <w:highlight w:val="none"/>
        </w:rPr>
        <w:t>.成交结果公告</w:t>
      </w:r>
    </w:p>
    <w:p w14:paraId="6B85FC0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asciiTheme="minorEastAsia" w:hAnsiTheme="minorEastAsia" w:eastAsiaTheme="minorEastAsia"/>
          <w:color w:val="auto"/>
          <w:sz w:val="24"/>
          <w:highlight w:val="none"/>
        </w:rPr>
        <w:t>.1为体现“公开、公平、公正”的原则，磋商结束后，</w:t>
      </w:r>
      <w:r>
        <w:rPr>
          <w:rFonts w:hint="eastAsia" w:ascii="宋体" w:hAnsi="宋体" w:eastAsia="宋体"/>
          <w:color w:val="auto"/>
          <w:sz w:val="24"/>
          <w:szCs w:val="18"/>
          <w:highlight w:val="none"/>
        </w:rPr>
        <w:t>采购代理机构将在中新苏滁高新技术产业开发区（https://scp.chuzhou.gov.cn/index.html）、</w:t>
      </w:r>
      <w:r>
        <w:rPr>
          <w:rFonts w:hint="eastAsia" w:ascii="宋体" w:hAnsi="宋体" w:eastAsia="宋体" w:cs="宋体"/>
          <w:color w:val="auto"/>
          <w:kern w:val="0"/>
          <w:sz w:val="24"/>
          <w:szCs w:val="24"/>
          <w:highlight w:val="none"/>
          <w:shd w:val="clear" w:color="auto" w:fill="FFFFFF"/>
          <w:lang w:val="en-US" w:eastAsia="zh-CN" w:bidi="ar"/>
        </w:rPr>
        <w:t>滁州市城投工程咨询管理有限公司（https://www.czctgczx.com/）</w:t>
      </w:r>
      <w:r>
        <w:rPr>
          <w:rFonts w:asciiTheme="minorEastAsia" w:hAnsiTheme="minorEastAsia" w:eastAsiaTheme="minorEastAsia"/>
          <w:color w:val="auto"/>
          <w:sz w:val="24"/>
          <w:highlight w:val="none"/>
        </w:rPr>
        <w:t>上发布成交结果公告。</w:t>
      </w:r>
    </w:p>
    <w:p w14:paraId="49E0E82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0677090E">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23</w:t>
      </w:r>
      <w:r>
        <w:rPr>
          <w:rFonts w:ascii="宋体" w:hAnsi="宋体" w:eastAsia="宋体"/>
          <w:b/>
          <w:color w:val="auto"/>
          <w:sz w:val="24"/>
          <w:highlight w:val="none"/>
        </w:rPr>
        <w:t>.成交</w:t>
      </w:r>
      <w:r>
        <w:rPr>
          <w:rFonts w:asciiTheme="minorEastAsia" w:hAnsiTheme="minorEastAsia" w:eastAsiaTheme="minorEastAsia"/>
          <w:b/>
          <w:color w:val="auto"/>
          <w:sz w:val="24"/>
          <w:highlight w:val="none"/>
        </w:rPr>
        <w:t>通知书</w:t>
      </w:r>
    </w:p>
    <w:p w14:paraId="75807FC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ascii="宋体" w:hAnsi="宋体" w:eastAsia="宋体"/>
          <w:color w:val="auto"/>
          <w:sz w:val="24"/>
          <w:highlight w:val="none"/>
        </w:rPr>
        <w:t>向成交供应商发出成交通知书。</w:t>
      </w:r>
    </w:p>
    <w:p w14:paraId="6321A8B3">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.2成交通知书对采购人和成交供应商具有同等法律效力。成交通知书发出以后，采购人改变成交结果或者成交供应商放弃成交资格，应当承担相应的法律责任。</w:t>
      </w:r>
    </w:p>
    <w:p w14:paraId="7ABCB48C">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.3成交通知书是合同的组成部分。</w:t>
      </w:r>
    </w:p>
    <w:p w14:paraId="0918D07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24</w:t>
      </w:r>
      <w:r>
        <w:rPr>
          <w:rFonts w:ascii="宋体" w:hAnsi="宋体" w:eastAsia="宋体"/>
          <w:b/>
          <w:color w:val="auto"/>
          <w:sz w:val="24"/>
          <w:highlight w:val="none"/>
        </w:rPr>
        <w:t>.告知</w:t>
      </w:r>
      <w:r>
        <w:rPr>
          <w:rFonts w:hint="eastAsia" w:ascii="宋体" w:hAnsi="宋体" w:eastAsia="宋体"/>
          <w:b/>
          <w:color w:val="auto"/>
          <w:sz w:val="24"/>
          <w:highlight w:val="none"/>
        </w:rPr>
        <w:t>磋商</w:t>
      </w:r>
      <w:r>
        <w:rPr>
          <w:rFonts w:ascii="宋体" w:hAnsi="宋体" w:eastAsia="宋体"/>
          <w:b/>
          <w:color w:val="auto"/>
          <w:sz w:val="24"/>
          <w:highlight w:val="none"/>
        </w:rPr>
        <w:t>结果</w:t>
      </w:r>
    </w:p>
    <w:p w14:paraId="5986B99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24</w:t>
      </w:r>
      <w:r>
        <w:rPr>
          <w:rFonts w:ascii="宋体" w:hAnsi="宋体" w:eastAsia="宋体"/>
          <w:color w:val="auto"/>
          <w:sz w:val="24"/>
          <w:highlight w:val="none"/>
        </w:rPr>
        <w:t>.1在公告</w:t>
      </w:r>
      <w:r>
        <w:rPr>
          <w:rFonts w:hint="eastAsia" w:ascii="宋体" w:hAnsi="宋体" w:eastAsia="宋体"/>
          <w:color w:val="auto"/>
          <w:sz w:val="24"/>
          <w:highlight w:val="none"/>
        </w:rPr>
        <w:t>成交</w:t>
      </w:r>
      <w:r>
        <w:rPr>
          <w:rFonts w:ascii="宋体" w:hAnsi="宋体" w:eastAsia="宋体"/>
          <w:color w:val="auto"/>
          <w:sz w:val="24"/>
          <w:highlight w:val="none"/>
        </w:rPr>
        <w:t>结果的同时，采购代理机构同时以</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规定的形式告知未</w:t>
      </w:r>
      <w:r>
        <w:rPr>
          <w:rFonts w:hint="eastAsia" w:ascii="宋体" w:hAnsi="宋体" w:eastAsia="宋体"/>
          <w:color w:val="auto"/>
          <w:sz w:val="24"/>
          <w:highlight w:val="none"/>
        </w:rPr>
        <w:t>成交供应商</w:t>
      </w:r>
      <w:r>
        <w:rPr>
          <w:rFonts w:ascii="宋体" w:hAnsi="宋体" w:eastAsia="宋体"/>
          <w:color w:val="auto"/>
          <w:sz w:val="24"/>
          <w:highlight w:val="none"/>
        </w:rPr>
        <w:t>本人的评审得分和排序。</w:t>
      </w:r>
    </w:p>
    <w:p w14:paraId="7D9B60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24</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采购代理机构对未成交的供应商不做未成交原因的解释。</w:t>
      </w:r>
    </w:p>
    <w:p w14:paraId="09BCED15">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25</w:t>
      </w:r>
      <w:r>
        <w:rPr>
          <w:rFonts w:ascii="宋体" w:hAnsi="宋体" w:eastAsia="宋体"/>
          <w:b/>
          <w:color w:val="auto"/>
          <w:sz w:val="24"/>
          <w:highlight w:val="none"/>
        </w:rPr>
        <w:t>.履约保证金</w:t>
      </w:r>
    </w:p>
    <w:p w14:paraId="6653574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.1成交供应商应按照</w:t>
      </w:r>
      <w:r>
        <w:rPr>
          <w:rFonts w:ascii="宋体" w:hAnsi="宋体" w:eastAsia="宋体"/>
          <w:color w:val="auto"/>
          <w:sz w:val="24"/>
          <w:highlight w:val="none"/>
          <w:u w:val="single"/>
        </w:rPr>
        <w:t>供应商须知前附表</w:t>
      </w:r>
      <w:r>
        <w:rPr>
          <w:rFonts w:ascii="宋体" w:hAnsi="宋体" w:eastAsia="宋体"/>
          <w:color w:val="auto"/>
          <w:sz w:val="24"/>
          <w:highlight w:val="none"/>
        </w:rPr>
        <w:t>规定</w:t>
      </w:r>
      <w:r>
        <w:rPr>
          <w:rFonts w:hint="eastAsia" w:ascii="宋体" w:hAnsi="宋体" w:eastAsia="宋体"/>
          <w:color w:val="auto"/>
          <w:sz w:val="24"/>
          <w:highlight w:val="none"/>
        </w:rPr>
        <w:t>缴纳</w:t>
      </w:r>
      <w:r>
        <w:rPr>
          <w:rFonts w:ascii="宋体" w:hAnsi="宋体" w:eastAsia="宋体"/>
          <w:color w:val="auto"/>
          <w:sz w:val="24"/>
          <w:highlight w:val="none"/>
        </w:rPr>
        <w:t>履约保证金。</w:t>
      </w:r>
    </w:p>
    <w:p w14:paraId="109D959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4751B7D5">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26</w:t>
      </w:r>
      <w:r>
        <w:rPr>
          <w:rFonts w:ascii="宋体" w:hAnsi="宋体" w:eastAsia="宋体"/>
          <w:b/>
          <w:color w:val="auto"/>
          <w:sz w:val="24"/>
          <w:highlight w:val="none"/>
        </w:rPr>
        <w:t>.</w:t>
      </w:r>
      <w:r>
        <w:rPr>
          <w:rFonts w:hint="eastAsia" w:ascii="宋体" w:hAnsi="宋体" w:eastAsia="宋体"/>
          <w:b/>
          <w:color w:val="auto"/>
          <w:sz w:val="24"/>
          <w:highlight w:val="none"/>
          <w:lang w:val="en-US" w:eastAsia="zh-CN"/>
        </w:rPr>
        <w:t>代理费用</w:t>
      </w:r>
    </w:p>
    <w:p w14:paraId="213D6A1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26</w:t>
      </w:r>
      <w:r>
        <w:rPr>
          <w:rFonts w:ascii="宋体" w:hAnsi="宋体" w:eastAsia="宋体"/>
          <w:color w:val="auto"/>
          <w:sz w:val="24"/>
          <w:highlight w:val="none"/>
        </w:rPr>
        <w:t>.1本项目</w:t>
      </w:r>
      <w:r>
        <w:rPr>
          <w:rFonts w:hint="eastAsia" w:ascii="宋体" w:hAnsi="宋体" w:eastAsia="宋体"/>
          <w:color w:val="auto"/>
          <w:sz w:val="24"/>
          <w:highlight w:val="none"/>
          <w:lang w:val="en-US" w:eastAsia="zh-CN"/>
        </w:rPr>
        <w:t>代理费用</w:t>
      </w:r>
      <w:r>
        <w:rPr>
          <w:rFonts w:ascii="宋体" w:hAnsi="宋体" w:eastAsia="宋体"/>
          <w:color w:val="auto"/>
          <w:sz w:val="24"/>
          <w:highlight w:val="none"/>
        </w:rPr>
        <w:t>的收取按</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的规定执行。</w:t>
      </w:r>
    </w:p>
    <w:p w14:paraId="1027C9B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27</w:t>
      </w:r>
      <w:r>
        <w:rPr>
          <w:rFonts w:ascii="宋体" w:hAnsi="宋体" w:eastAsia="宋体"/>
          <w:b/>
          <w:color w:val="auto"/>
          <w:sz w:val="24"/>
          <w:highlight w:val="none"/>
        </w:rPr>
        <w:t>.签订</w:t>
      </w:r>
      <w:r>
        <w:rPr>
          <w:rFonts w:asciiTheme="minorEastAsia" w:hAnsiTheme="minorEastAsia" w:eastAsiaTheme="minorEastAsia"/>
          <w:b/>
          <w:color w:val="auto"/>
          <w:sz w:val="24"/>
          <w:highlight w:val="none"/>
        </w:rPr>
        <w:t>合同</w:t>
      </w:r>
    </w:p>
    <w:p w14:paraId="6FA83ABB">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115F45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.2磋商文件、成交供应商的响应文件及其澄清文件等，均为签订合同的依据。</w:t>
      </w:r>
    </w:p>
    <w:p w14:paraId="37C252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ascii="宋体" w:hAnsi="宋体" w:eastAsia="宋体"/>
          <w:color w:val="auto"/>
          <w:sz w:val="24"/>
          <w:highlight w:val="none"/>
        </w:rPr>
        <w:t>成交供应商拒绝签订政府采购合同的不得参加对该项目重新开展的采购活动。</w:t>
      </w:r>
    </w:p>
    <w:p w14:paraId="7568FC9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28</w:t>
      </w:r>
      <w:r>
        <w:rPr>
          <w:rFonts w:ascii="宋体" w:hAnsi="宋体" w:eastAsia="宋体"/>
          <w:b/>
          <w:color w:val="auto"/>
          <w:sz w:val="24"/>
          <w:highlight w:val="none"/>
        </w:rPr>
        <w:t>.廉洁</w:t>
      </w:r>
      <w:r>
        <w:rPr>
          <w:rFonts w:asciiTheme="minorEastAsia" w:hAnsiTheme="minorEastAsia" w:eastAsiaTheme="minorEastAsia"/>
          <w:b/>
          <w:color w:val="auto"/>
          <w:sz w:val="24"/>
          <w:highlight w:val="none"/>
        </w:rPr>
        <w:t>自律</w:t>
      </w:r>
      <w:r>
        <w:rPr>
          <w:rFonts w:ascii="宋体" w:hAnsi="宋体" w:eastAsia="宋体"/>
          <w:b/>
          <w:color w:val="auto"/>
          <w:sz w:val="24"/>
          <w:highlight w:val="none"/>
        </w:rPr>
        <w:t>规定</w:t>
      </w:r>
    </w:p>
    <w:p w14:paraId="0C3AC36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.1采购代理机构工作人员不得以不正当手段获取政府采购代理业务，不得与采购人、供应商恶意串通。</w:t>
      </w:r>
    </w:p>
    <w:p w14:paraId="21FCD89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.2采购代理机构工作人员不得接受采购人或者供应商组织的宴请、旅游、娱乐，不得收受礼品、现金、有价证券等，不得向采购人或者供应商报销应当由个人承担的费用。</w:t>
      </w:r>
    </w:p>
    <w:p w14:paraId="3C57A660">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29</w:t>
      </w:r>
      <w:r>
        <w:rPr>
          <w:rFonts w:ascii="宋体" w:hAnsi="宋体" w:eastAsia="宋体"/>
          <w:b/>
          <w:color w:val="auto"/>
          <w:sz w:val="24"/>
          <w:highlight w:val="none"/>
        </w:rPr>
        <w:t>.质疑的</w:t>
      </w:r>
      <w:r>
        <w:rPr>
          <w:rFonts w:asciiTheme="minorEastAsia" w:hAnsiTheme="minorEastAsia" w:eastAsiaTheme="minorEastAsia"/>
          <w:b/>
          <w:color w:val="auto"/>
          <w:sz w:val="24"/>
          <w:highlight w:val="none"/>
        </w:rPr>
        <w:t>提出</w:t>
      </w:r>
      <w:r>
        <w:rPr>
          <w:rFonts w:ascii="宋体" w:hAnsi="宋体" w:eastAsia="宋体"/>
          <w:b/>
          <w:color w:val="auto"/>
          <w:sz w:val="24"/>
          <w:highlight w:val="none"/>
        </w:rPr>
        <w:t>与接收</w:t>
      </w:r>
    </w:p>
    <w:p w14:paraId="047C61F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561C34C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质疑函范本》格式（详见磋商文件）和《政府采购质疑和投诉办法》的要求，在法定质疑期内以书面形式提出质疑，超出法定质疑期提交的质疑将被拒绝。针对同一采购程序环节的质疑应一次性提出。</w:t>
      </w:r>
    </w:p>
    <w:p w14:paraId="64B475D9">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71B184C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3E6C1DE5">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30</w:t>
      </w:r>
      <w:r>
        <w:rPr>
          <w:rFonts w:ascii="宋体" w:hAnsi="宋体" w:eastAsia="宋体"/>
          <w:b/>
          <w:color w:val="auto"/>
          <w:sz w:val="24"/>
          <w:highlight w:val="none"/>
        </w:rPr>
        <w:t>.需要</w:t>
      </w:r>
      <w:r>
        <w:rPr>
          <w:rFonts w:asciiTheme="minorEastAsia" w:hAnsiTheme="minorEastAsia" w:eastAsiaTheme="minorEastAsia"/>
          <w:b/>
          <w:color w:val="auto"/>
          <w:sz w:val="24"/>
          <w:highlight w:val="none"/>
        </w:rPr>
        <w:t>补充</w:t>
      </w:r>
      <w:r>
        <w:rPr>
          <w:rFonts w:ascii="宋体" w:hAnsi="宋体" w:eastAsia="宋体"/>
          <w:b/>
          <w:color w:val="auto"/>
          <w:sz w:val="24"/>
          <w:highlight w:val="none"/>
        </w:rPr>
        <w:t>的其他内容</w:t>
      </w:r>
    </w:p>
    <w:p w14:paraId="470A4D1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8"/>
          <w:highlight w:val="none"/>
        </w:rPr>
      </w:pPr>
      <w:r>
        <w:rPr>
          <w:rFonts w:hint="eastAsia" w:ascii="宋体" w:hAnsi="宋体" w:eastAsia="宋体"/>
          <w:color w:val="auto"/>
          <w:sz w:val="24"/>
          <w:highlight w:val="none"/>
        </w:rPr>
        <w:t>需要补充的其他内容，见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r>
        <w:rPr>
          <w:rFonts w:asciiTheme="minorEastAsia" w:hAnsiTheme="minorEastAsia" w:eastAsiaTheme="minorEastAsia"/>
          <w:color w:val="auto"/>
          <w:sz w:val="24"/>
          <w:highlight w:val="none"/>
        </w:rPr>
        <w:br w:type="page"/>
      </w:r>
    </w:p>
    <w:p w14:paraId="481C4DF4">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hint="eastAsia" w:asciiTheme="minorEastAsia" w:hAnsiTheme="minorEastAsia" w:eastAsiaTheme="minorEastAsia"/>
          <w:b/>
          <w:color w:val="auto"/>
          <w:sz w:val="28"/>
          <w:highlight w:val="none"/>
        </w:rPr>
      </w:pPr>
      <w:bookmarkStart w:id="62" w:name="_Toc19440"/>
      <w:r>
        <w:rPr>
          <w:rFonts w:hint="eastAsia" w:asciiTheme="minorEastAsia" w:hAnsiTheme="minorEastAsia" w:eastAsiaTheme="minorEastAsia"/>
          <w:b/>
          <w:color w:val="auto"/>
          <w:sz w:val="28"/>
          <w:highlight w:val="none"/>
        </w:rPr>
        <w:t>第三章  采购需求</w:t>
      </w:r>
      <w:bookmarkEnd w:id="62"/>
    </w:p>
    <w:p w14:paraId="58E277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前注：</w:t>
      </w:r>
    </w:p>
    <w:p w14:paraId="21CC742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本采购需求中提出的服务方案仅为参考，如无明确限制，</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可以进行优化，提供满足采购人实际需要的更优（或者性能实质上不低于的）服务方案，且此方案须经</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评审认可。</w:t>
      </w:r>
    </w:p>
    <w:p w14:paraId="0A6291C8">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ind w:firstLine="437"/>
        <w:textAlignment w:val="auto"/>
        <w:outlineLvl w:val="1"/>
        <w:rPr>
          <w:rFonts w:hint="eastAsia" w:ascii="宋体" w:hAnsi="宋体" w:eastAsia="宋体" w:cs="宋体"/>
          <w:b/>
          <w:color w:val="auto"/>
          <w:sz w:val="24"/>
          <w:szCs w:val="24"/>
          <w:highlight w:val="none"/>
        </w:rPr>
      </w:pPr>
      <w:bookmarkStart w:id="63" w:name="_Toc7699"/>
      <w:bookmarkStart w:id="64" w:name="_Toc26349"/>
      <w:r>
        <w:rPr>
          <w:rFonts w:hint="eastAsia" w:ascii="宋体" w:hAnsi="宋体" w:eastAsia="宋体" w:cs="宋体"/>
          <w:b/>
          <w:color w:val="auto"/>
          <w:sz w:val="24"/>
          <w:szCs w:val="24"/>
          <w:highlight w:val="none"/>
        </w:rPr>
        <w:t>一、采购需求前附表</w:t>
      </w:r>
      <w:bookmarkEnd w:id="63"/>
      <w:bookmarkEnd w:id="64"/>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296"/>
        <w:gridCol w:w="6198"/>
      </w:tblGrid>
      <w:tr w14:paraId="10F4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14:paraId="22638E41">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cs="宋体"/>
                <w:b/>
                <w:color w:val="auto"/>
                <w:kern w:val="2"/>
                <w:sz w:val="21"/>
                <w:szCs w:val="21"/>
                <w:highlight w:val="none"/>
              </w:rPr>
            </w:pPr>
            <w:bookmarkStart w:id="65" w:name="_Hlk16461016"/>
            <w:r>
              <w:rPr>
                <w:rFonts w:hint="eastAsia" w:ascii="宋体" w:hAnsi="宋体" w:eastAsia="宋体" w:cs="宋体"/>
                <w:b/>
                <w:color w:val="auto"/>
                <w:kern w:val="2"/>
                <w:sz w:val="21"/>
                <w:szCs w:val="21"/>
                <w:highlight w:val="none"/>
              </w:rPr>
              <w:t>序号</w:t>
            </w:r>
          </w:p>
        </w:tc>
        <w:tc>
          <w:tcPr>
            <w:tcW w:w="1192" w:type="pct"/>
            <w:vAlign w:val="center"/>
          </w:tcPr>
          <w:p w14:paraId="0570569D">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条款名称</w:t>
            </w:r>
          </w:p>
        </w:tc>
        <w:tc>
          <w:tcPr>
            <w:tcW w:w="3218" w:type="pct"/>
            <w:vAlign w:val="center"/>
          </w:tcPr>
          <w:p w14:paraId="0A02326F">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内容、说明与要求</w:t>
            </w:r>
          </w:p>
        </w:tc>
      </w:tr>
      <w:tr w14:paraId="186FA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9" w:type="pct"/>
            <w:vAlign w:val="center"/>
          </w:tcPr>
          <w:p w14:paraId="4C87B892">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1</w:t>
            </w:r>
          </w:p>
        </w:tc>
        <w:tc>
          <w:tcPr>
            <w:tcW w:w="1192" w:type="pct"/>
            <w:vAlign w:val="center"/>
          </w:tcPr>
          <w:p w14:paraId="1F08A5F6">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付款方式</w:t>
            </w:r>
          </w:p>
        </w:tc>
        <w:tc>
          <w:tcPr>
            <w:tcW w:w="3218" w:type="pct"/>
            <w:vAlign w:val="center"/>
          </w:tcPr>
          <w:p w14:paraId="3403240F">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color w:val="auto"/>
                <w:sz w:val="21"/>
                <w:szCs w:val="21"/>
                <w:highlight w:val="none"/>
                <w:u w:val="single"/>
                <w:lang w:val="en-US" w:eastAsia="zh-CN"/>
              </w:rPr>
            </w:pPr>
            <w:r>
              <w:rPr>
                <w:rFonts w:hint="eastAsia" w:ascii="宋体" w:hAnsi="宋体" w:eastAsia="宋体" w:cs="宋体"/>
                <w:b w:val="0"/>
                <w:color w:val="auto"/>
                <w:sz w:val="21"/>
                <w:szCs w:val="21"/>
                <w:highlight w:val="none"/>
                <w:lang w:val="en-US" w:eastAsia="zh-CN"/>
              </w:rPr>
              <w:t>合同签订生效后支付合同金额的40%预付款（预付款支付前，中标人须提供同等金额的见索即付保函），经主管部门备案许可或审批后一次性付清余款。</w:t>
            </w:r>
          </w:p>
        </w:tc>
      </w:tr>
      <w:tr w14:paraId="6AB2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14:paraId="43C93C8F">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2</w:t>
            </w:r>
          </w:p>
        </w:tc>
        <w:tc>
          <w:tcPr>
            <w:tcW w:w="1192" w:type="pct"/>
            <w:vAlign w:val="center"/>
          </w:tcPr>
          <w:p w14:paraId="2AA28F61">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服务地点</w:t>
            </w:r>
          </w:p>
        </w:tc>
        <w:tc>
          <w:tcPr>
            <w:tcW w:w="3218" w:type="pct"/>
            <w:vAlign w:val="center"/>
          </w:tcPr>
          <w:p w14:paraId="63F8C1D9">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中新苏滁高新区，具体位置招标人指定</w:t>
            </w:r>
          </w:p>
        </w:tc>
      </w:tr>
      <w:tr w14:paraId="4D56E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14:paraId="1C963109">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3</w:t>
            </w:r>
          </w:p>
        </w:tc>
        <w:tc>
          <w:tcPr>
            <w:tcW w:w="1192" w:type="pct"/>
            <w:vAlign w:val="center"/>
          </w:tcPr>
          <w:p w14:paraId="75092FBE">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服务期限</w:t>
            </w:r>
          </w:p>
        </w:tc>
        <w:tc>
          <w:tcPr>
            <w:tcW w:w="3218" w:type="pct"/>
            <w:vAlign w:val="center"/>
          </w:tcPr>
          <w:p w14:paraId="06321F55">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lang w:val="en-US" w:eastAsia="zh-CN"/>
              </w:rPr>
              <w:t>自合同签订之日起60个日历天提供成果文件并通过主管部门备案许可或审批。</w:t>
            </w:r>
          </w:p>
        </w:tc>
      </w:tr>
    </w:tbl>
    <w:p w14:paraId="4AFA9AE3">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ind w:firstLine="437"/>
        <w:textAlignment w:val="auto"/>
        <w:outlineLvl w:val="1"/>
        <w:rPr>
          <w:rFonts w:hint="eastAsia" w:ascii="宋体" w:hAnsi="宋体" w:eastAsia="宋体" w:cs="宋体"/>
          <w:b/>
          <w:color w:val="auto"/>
          <w:sz w:val="24"/>
          <w:szCs w:val="24"/>
          <w:highlight w:val="none"/>
        </w:rPr>
      </w:pPr>
      <w:bookmarkStart w:id="66" w:name="_Toc23116"/>
      <w:bookmarkStart w:id="67" w:name="_Toc25144"/>
      <w:r>
        <w:rPr>
          <w:rFonts w:hint="eastAsia" w:ascii="宋体" w:hAnsi="宋体" w:eastAsia="宋体" w:cs="宋体"/>
          <w:b/>
          <w:color w:val="auto"/>
          <w:sz w:val="24"/>
          <w:szCs w:val="24"/>
          <w:highlight w:val="none"/>
        </w:rPr>
        <w:t>二、项目概况</w:t>
      </w:r>
      <w:bookmarkEnd w:id="66"/>
      <w:bookmarkEnd w:id="67"/>
    </w:p>
    <w:p w14:paraId="68B15A8B">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b w:val="0"/>
          <w:bCs w:val="0"/>
          <w:i w:val="0"/>
          <w:iCs w:val="0"/>
          <w:color w:val="auto"/>
          <w:spacing w:val="0"/>
          <w:w w:val="100"/>
          <w:sz w:val="21"/>
          <w:szCs w:val="21"/>
          <w:highlight w:val="none"/>
          <w:vertAlign w:val="baseline"/>
        </w:rPr>
      </w:pPr>
      <w:bookmarkStart w:id="68" w:name="_Toc8586"/>
      <w:bookmarkStart w:id="69" w:name="_Toc21757"/>
      <w:r>
        <w:rPr>
          <w:rFonts w:hint="eastAsia" w:ascii="宋体" w:hAnsi="宋体" w:eastAsia="宋体" w:cs="宋体"/>
          <w:b w:val="0"/>
          <w:bCs w:val="0"/>
          <w:i w:val="0"/>
          <w:iCs w:val="0"/>
          <w:color w:val="auto"/>
          <w:spacing w:val="0"/>
          <w:w w:val="100"/>
          <w:sz w:val="21"/>
          <w:szCs w:val="21"/>
          <w:highlight w:val="none"/>
          <w:vertAlign w:val="baseline"/>
        </w:rPr>
        <w:t>《长江保护法》（2020年12月26日印发，2021年3月1日起实施）第二十六条规定：国家对长江流域河湖岸线实施特殊管制。国家长江流域协调机制统筹协调国务院自然资源、水行政、生态环境、住房和城乡建设、农业农村、交通运输、林业和草原等部门和长江流域省级人民政府划定河湖岸线保护范围，制定河湖岸线保护规划，严格控制岸线开发建设，促进岸线合理高效利用。禁止在长江干支流岸线一公里范围内新建、扩建化工园区和化工项目。</w:t>
      </w:r>
    </w:p>
    <w:p w14:paraId="6EB7B31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cs="宋体"/>
          <w:b w:val="0"/>
          <w:bCs w:val="0"/>
          <w:i w:val="0"/>
          <w:iCs w:val="0"/>
          <w:color w:val="auto"/>
          <w:spacing w:val="0"/>
          <w:w w:val="100"/>
          <w:sz w:val="21"/>
          <w:szCs w:val="21"/>
          <w:highlight w:val="none"/>
          <w:vertAlign w:val="baseline"/>
        </w:rPr>
      </w:pPr>
      <w:r>
        <w:rPr>
          <w:rFonts w:hint="eastAsia" w:ascii="宋体" w:hAnsi="宋体" w:eastAsia="宋体" w:cs="宋体"/>
          <w:b w:val="0"/>
          <w:bCs w:val="0"/>
          <w:i w:val="0"/>
          <w:iCs w:val="0"/>
          <w:color w:val="auto"/>
          <w:spacing w:val="0"/>
          <w:w w:val="100"/>
          <w:sz w:val="21"/>
          <w:szCs w:val="21"/>
          <w:highlight w:val="none"/>
          <w:vertAlign w:val="baseline"/>
          <w:lang w:eastAsia="zh-CN"/>
        </w:rPr>
        <w:t>安徽省生态环境保护委员会办公室《关于长江干支流岸线涉嫌违法新建、扩建化工项目问题整改的提示函》（安环委办〔</w:t>
      </w:r>
      <w:r>
        <w:rPr>
          <w:rFonts w:hint="eastAsia" w:ascii="宋体" w:hAnsi="宋体" w:eastAsia="宋体" w:cs="宋体"/>
          <w:b w:val="0"/>
          <w:bCs w:val="0"/>
          <w:i w:val="0"/>
          <w:iCs w:val="0"/>
          <w:color w:val="auto"/>
          <w:spacing w:val="0"/>
          <w:w w:val="100"/>
          <w:sz w:val="21"/>
          <w:szCs w:val="21"/>
          <w:highlight w:val="none"/>
          <w:vertAlign w:val="baseline"/>
          <w:lang w:val="en-US" w:eastAsia="zh-CN"/>
        </w:rPr>
        <w:t>2026</w:t>
      </w:r>
      <w:r>
        <w:rPr>
          <w:rFonts w:hint="eastAsia" w:ascii="宋体" w:hAnsi="宋体" w:eastAsia="宋体" w:cs="宋体"/>
          <w:b w:val="0"/>
          <w:bCs w:val="0"/>
          <w:i w:val="0"/>
          <w:iCs w:val="0"/>
          <w:color w:val="auto"/>
          <w:spacing w:val="0"/>
          <w:w w:val="100"/>
          <w:sz w:val="21"/>
          <w:szCs w:val="21"/>
          <w:highlight w:val="none"/>
          <w:vertAlign w:val="baseline"/>
          <w:lang w:eastAsia="zh-CN"/>
        </w:rPr>
        <w:t>〕</w:t>
      </w:r>
      <w:r>
        <w:rPr>
          <w:rFonts w:hint="eastAsia" w:ascii="宋体" w:hAnsi="宋体" w:eastAsia="宋体" w:cs="宋体"/>
          <w:b w:val="0"/>
          <w:bCs w:val="0"/>
          <w:i w:val="0"/>
          <w:iCs w:val="0"/>
          <w:color w:val="auto"/>
          <w:spacing w:val="0"/>
          <w:w w:val="100"/>
          <w:sz w:val="21"/>
          <w:szCs w:val="21"/>
          <w:highlight w:val="none"/>
          <w:vertAlign w:val="baseline"/>
          <w:lang w:val="en-US" w:eastAsia="zh-CN"/>
        </w:rPr>
        <w:t>37号</w:t>
      </w:r>
      <w:r>
        <w:rPr>
          <w:rFonts w:hint="eastAsia" w:ascii="宋体" w:hAnsi="宋体" w:eastAsia="宋体" w:cs="宋体"/>
          <w:b w:val="0"/>
          <w:bCs w:val="0"/>
          <w:i w:val="0"/>
          <w:iCs w:val="0"/>
          <w:color w:val="auto"/>
          <w:spacing w:val="0"/>
          <w:w w:val="100"/>
          <w:sz w:val="21"/>
          <w:szCs w:val="21"/>
          <w:highlight w:val="none"/>
          <w:vertAlign w:val="baseline"/>
          <w:lang w:eastAsia="zh-CN"/>
        </w:rPr>
        <w:t>）涉及园区滁州星展管理有限公司（现滁州宝思利星展科技有限公司），为切实推进整改，强化环境监管，切实做好环境风险防范，按生态环境部相关要求，实施本项目。本项目旨在</w:t>
      </w:r>
      <w:r>
        <w:rPr>
          <w:rFonts w:hint="eastAsia" w:ascii="宋体" w:hAnsi="宋体" w:eastAsia="宋体" w:cs="宋体"/>
          <w:b w:val="0"/>
          <w:bCs w:val="0"/>
          <w:i w:val="0"/>
          <w:iCs w:val="0"/>
          <w:color w:val="auto"/>
          <w:spacing w:val="0"/>
          <w:w w:val="100"/>
          <w:sz w:val="21"/>
          <w:szCs w:val="21"/>
          <w:highlight w:val="none"/>
          <w:vertAlign w:val="baseline"/>
        </w:rPr>
        <w:t>全面检查评估</w:t>
      </w:r>
      <w:r>
        <w:rPr>
          <w:rFonts w:hint="eastAsia" w:ascii="宋体" w:hAnsi="宋体" w:eastAsia="宋体" w:cs="宋体"/>
          <w:b w:val="0"/>
          <w:bCs w:val="0"/>
          <w:i w:val="0"/>
          <w:iCs w:val="0"/>
          <w:color w:val="auto"/>
          <w:spacing w:val="0"/>
          <w:w w:val="100"/>
          <w:sz w:val="21"/>
          <w:szCs w:val="21"/>
          <w:highlight w:val="none"/>
          <w:vertAlign w:val="baseline"/>
          <w:lang w:eastAsia="zh-CN"/>
        </w:rPr>
        <w:t>滁州宝思利星展科技有限公司环境</w:t>
      </w:r>
      <w:r>
        <w:rPr>
          <w:rFonts w:hint="eastAsia" w:ascii="宋体" w:hAnsi="宋体" w:eastAsia="宋体" w:cs="宋体"/>
          <w:b w:val="0"/>
          <w:bCs w:val="0"/>
          <w:i w:val="0"/>
          <w:iCs w:val="0"/>
          <w:color w:val="auto"/>
          <w:spacing w:val="0"/>
          <w:w w:val="100"/>
          <w:sz w:val="21"/>
          <w:szCs w:val="21"/>
          <w:highlight w:val="none"/>
          <w:vertAlign w:val="baseline"/>
        </w:rPr>
        <w:t>风险，推动问题整改，提升企业</w:t>
      </w:r>
      <w:r>
        <w:rPr>
          <w:rFonts w:hint="eastAsia" w:ascii="宋体" w:hAnsi="宋体" w:eastAsia="宋体" w:cs="宋体"/>
          <w:b w:val="0"/>
          <w:bCs w:val="0"/>
          <w:i w:val="0"/>
          <w:iCs w:val="0"/>
          <w:color w:val="auto"/>
          <w:spacing w:val="0"/>
          <w:w w:val="100"/>
          <w:sz w:val="21"/>
          <w:szCs w:val="21"/>
          <w:highlight w:val="none"/>
          <w:vertAlign w:val="baseline"/>
          <w:lang w:eastAsia="zh-CN"/>
        </w:rPr>
        <w:t>环境风险防控</w:t>
      </w:r>
      <w:r>
        <w:rPr>
          <w:rFonts w:hint="eastAsia" w:ascii="宋体" w:hAnsi="宋体" w:eastAsia="宋体" w:cs="宋体"/>
          <w:b w:val="0"/>
          <w:bCs w:val="0"/>
          <w:i w:val="0"/>
          <w:iCs w:val="0"/>
          <w:color w:val="auto"/>
          <w:spacing w:val="0"/>
          <w:w w:val="100"/>
          <w:sz w:val="21"/>
          <w:szCs w:val="21"/>
          <w:highlight w:val="none"/>
          <w:vertAlign w:val="baseline"/>
        </w:rPr>
        <w:t>水平，保障</w:t>
      </w:r>
      <w:r>
        <w:rPr>
          <w:rFonts w:hint="eastAsia" w:ascii="宋体" w:hAnsi="宋体" w:eastAsia="宋体" w:cs="宋体"/>
          <w:b w:val="0"/>
          <w:bCs w:val="0"/>
          <w:i w:val="0"/>
          <w:iCs w:val="0"/>
          <w:color w:val="auto"/>
          <w:spacing w:val="0"/>
          <w:w w:val="100"/>
          <w:sz w:val="21"/>
          <w:szCs w:val="21"/>
          <w:highlight w:val="none"/>
          <w:vertAlign w:val="baseline"/>
          <w:lang w:eastAsia="zh-CN"/>
        </w:rPr>
        <w:t>长江支流</w:t>
      </w:r>
      <w:r>
        <w:rPr>
          <w:rFonts w:hint="eastAsia" w:ascii="宋体" w:hAnsi="宋体" w:eastAsia="宋体" w:cs="宋体"/>
          <w:b w:val="0"/>
          <w:bCs w:val="0"/>
          <w:i w:val="0"/>
          <w:iCs w:val="0"/>
          <w:color w:val="auto"/>
          <w:spacing w:val="0"/>
          <w:w w:val="100"/>
          <w:sz w:val="21"/>
          <w:szCs w:val="21"/>
          <w:highlight w:val="none"/>
          <w:vertAlign w:val="baseline"/>
        </w:rPr>
        <w:t>岸线生态环境安全。</w:t>
      </w:r>
    </w:p>
    <w:p w14:paraId="4B935594">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ind w:firstLine="437"/>
        <w:textAlignment w:val="auto"/>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三、服务需求</w:t>
      </w:r>
      <w:bookmarkEnd w:id="68"/>
      <w:bookmarkEnd w:id="69"/>
    </w:p>
    <w:bookmarkEnd w:id="65"/>
    <w:p w14:paraId="304FE1B8">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全面检查</w:t>
      </w:r>
      <w:r>
        <w:rPr>
          <w:rFonts w:hint="eastAsia" w:ascii="宋体" w:hAnsi="宋体" w:eastAsia="宋体" w:cs="宋体"/>
          <w:b w:val="0"/>
          <w:bCs w:val="0"/>
          <w:i w:val="0"/>
          <w:iCs w:val="0"/>
          <w:color w:val="auto"/>
          <w:spacing w:val="0"/>
          <w:w w:val="100"/>
          <w:sz w:val="21"/>
          <w:szCs w:val="21"/>
          <w:highlight w:val="none"/>
          <w:vertAlign w:val="baseline"/>
          <w:lang w:eastAsia="zh-CN"/>
        </w:rPr>
        <w:t>中新苏滁高新区内滁州星展管理有限公司（现滁州宝思利星展科技有限公司）</w:t>
      </w:r>
      <w:r>
        <w:rPr>
          <w:rFonts w:hint="eastAsia" w:ascii="宋体" w:hAnsi="宋体" w:eastAsia="宋体" w:cs="宋体"/>
          <w:b w:val="0"/>
          <w:bCs w:val="0"/>
          <w:i w:val="0"/>
          <w:iCs w:val="0"/>
          <w:color w:val="auto"/>
          <w:spacing w:val="0"/>
          <w:w w:val="100"/>
          <w:sz w:val="21"/>
          <w:szCs w:val="21"/>
          <w:highlight w:val="none"/>
          <w:vertAlign w:val="baseline"/>
        </w:rPr>
        <w:t>环境保护要求落实情况，评估项目运行</w:t>
      </w:r>
      <w:r>
        <w:rPr>
          <w:rFonts w:hint="eastAsia" w:ascii="宋体" w:hAnsi="宋体" w:eastAsia="宋体" w:cs="宋体"/>
          <w:b w:val="0"/>
          <w:bCs w:val="0"/>
          <w:i w:val="0"/>
          <w:iCs w:val="0"/>
          <w:color w:val="auto"/>
          <w:spacing w:val="0"/>
          <w:w w:val="100"/>
          <w:sz w:val="21"/>
          <w:szCs w:val="21"/>
          <w:highlight w:val="none"/>
          <w:vertAlign w:val="baseline"/>
          <w:lang w:eastAsia="zh-CN"/>
        </w:rPr>
        <w:t>环境</w:t>
      </w:r>
      <w:r>
        <w:rPr>
          <w:rFonts w:hint="eastAsia" w:ascii="宋体" w:hAnsi="宋体" w:eastAsia="宋体" w:cs="宋体"/>
          <w:b w:val="0"/>
          <w:bCs w:val="0"/>
          <w:i w:val="0"/>
          <w:iCs w:val="0"/>
          <w:color w:val="auto"/>
          <w:spacing w:val="0"/>
          <w:w w:val="100"/>
          <w:sz w:val="21"/>
          <w:szCs w:val="21"/>
          <w:highlight w:val="none"/>
          <w:vertAlign w:val="baseline"/>
        </w:rPr>
        <w:t>风险控制可行性，筑牢长江</w:t>
      </w:r>
      <w:r>
        <w:rPr>
          <w:rFonts w:hint="eastAsia" w:ascii="宋体" w:hAnsi="宋体" w:eastAsia="宋体" w:cs="宋体"/>
          <w:b w:val="0"/>
          <w:bCs w:val="0"/>
          <w:i w:val="0"/>
          <w:iCs w:val="0"/>
          <w:color w:val="auto"/>
          <w:spacing w:val="0"/>
          <w:w w:val="100"/>
          <w:sz w:val="21"/>
          <w:szCs w:val="21"/>
          <w:highlight w:val="none"/>
          <w:vertAlign w:val="baseline"/>
          <w:lang w:eastAsia="zh-CN"/>
        </w:rPr>
        <w:t>支流</w:t>
      </w:r>
      <w:r>
        <w:rPr>
          <w:rFonts w:hint="eastAsia" w:ascii="宋体" w:hAnsi="宋体" w:eastAsia="宋体" w:cs="宋体"/>
          <w:b w:val="0"/>
          <w:bCs w:val="0"/>
          <w:i w:val="0"/>
          <w:iCs w:val="0"/>
          <w:color w:val="auto"/>
          <w:spacing w:val="0"/>
          <w:w w:val="100"/>
          <w:sz w:val="21"/>
          <w:szCs w:val="21"/>
          <w:highlight w:val="none"/>
          <w:vertAlign w:val="baseline"/>
        </w:rPr>
        <w:t>岸线生态安全防线。</w:t>
      </w:r>
    </w:p>
    <w:p w14:paraId="5EE5E5AF">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具体包括：</w:t>
      </w:r>
    </w:p>
    <w:p w14:paraId="065A2E16">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w:t>
      </w:r>
      <w:r>
        <w:rPr>
          <w:rFonts w:hint="eastAsia" w:ascii="宋体" w:hAnsi="宋体" w:eastAsia="宋体" w:cs="宋体"/>
          <w:b w:val="0"/>
          <w:bCs w:val="0"/>
          <w:i w:val="0"/>
          <w:iCs w:val="0"/>
          <w:color w:val="auto"/>
          <w:spacing w:val="0"/>
          <w:w w:val="100"/>
          <w:sz w:val="21"/>
          <w:szCs w:val="21"/>
          <w:highlight w:val="none"/>
          <w:vertAlign w:val="baseline"/>
          <w:lang w:eastAsia="zh-CN"/>
        </w:rPr>
        <w:t>一</w:t>
      </w:r>
      <w:r>
        <w:rPr>
          <w:rFonts w:hint="eastAsia" w:ascii="宋体" w:hAnsi="宋体" w:eastAsia="宋体" w:cs="宋体"/>
          <w:b w:val="0"/>
          <w:bCs w:val="0"/>
          <w:i w:val="0"/>
          <w:iCs w:val="0"/>
          <w:color w:val="auto"/>
          <w:spacing w:val="0"/>
          <w:w w:val="100"/>
          <w:sz w:val="21"/>
          <w:szCs w:val="21"/>
          <w:highlight w:val="none"/>
          <w:vertAlign w:val="baseline"/>
        </w:rPr>
        <w:t>）环保风险评估</w:t>
      </w:r>
    </w:p>
    <w:p w14:paraId="7ED9F105">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1.企业环保管理合规性评估：核查企业环评、环保验收、排污许可证、突发环境事件应急预案等行政许可手续履行情况；核查企业例行监测、总量管理等环境管理情况。</w:t>
      </w:r>
    </w:p>
    <w:p w14:paraId="38573D9A">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2.企业污染防治措施有效性评估：全面摸排企业污染防治设施建设及运营情况，核查企业废水、废气、噪声、固废排放达标及处理处置情况，开展环境质量现状及趋势分析，科学评估污染防治措施运行有效性及达标稳定性。</w:t>
      </w:r>
    </w:p>
    <w:p w14:paraId="5E049321">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b w:val="0"/>
          <w:bCs w:val="0"/>
          <w:i w:val="0"/>
          <w:iCs w:val="0"/>
          <w:color w:val="auto"/>
          <w:spacing w:val="0"/>
          <w:w w:val="100"/>
          <w:sz w:val="21"/>
          <w:szCs w:val="21"/>
          <w:highlight w:val="none"/>
          <w:vertAlign w:val="baseline"/>
        </w:rPr>
      </w:pPr>
      <w:r>
        <w:rPr>
          <w:rFonts w:hint="eastAsia" w:ascii="宋体" w:hAnsi="宋体" w:eastAsia="宋体" w:cs="宋体"/>
          <w:b w:val="0"/>
          <w:bCs w:val="0"/>
          <w:i w:val="0"/>
          <w:iCs w:val="0"/>
          <w:color w:val="auto"/>
          <w:spacing w:val="0"/>
          <w:w w:val="100"/>
          <w:sz w:val="21"/>
          <w:szCs w:val="21"/>
          <w:highlight w:val="none"/>
          <w:vertAlign w:val="baseline"/>
        </w:rPr>
        <w:t>3.环境风险分析及环境风险防控措施可行性评估：根据企业项目建设现状，按照《企业突发环境事件风险分级方法》（HJ941-2018）</w:t>
      </w:r>
      <w:r>
        <w:rPr>
          <w:rFonts w:hint="eastAsia" w:ascii="宋体" w:hAnsi="宋体" w:eastAsia="宋体" w:cs="宋体"/>
          <w:b w:val="0"/>
          <w:bCs w:val="0"/>
          <w:i w:val="0"/>
          <w:iCs w:val="0"/>
          <w:color w:val="auto"/>
          <w:spacing w:val="0"/>
          <w:w w:val="100"/>
          <w:sz w:val="21"/>
          <w:szCs w:val="21"/>
          <w:highlight w:val="none"/>
          <w:vertAlign w:val="baseline"/>
          <w:lang w:eastAsia="zh-CN"/>
        </w:rPr>
        <w:t>、</w:t>
      </w:r>
      <w:r>
        <w:rPr>
          <w:rFonts w:hint="eastAsia" w:ascii="宋体" w:hAnsi="宋体" w:eastAsia="宋体" w:cs="宋体"/>
          <w:b w:val="0"/>
          <w:bCs w:val="0"/>
          <w:i w:val="0"/>
          <w:iCs w:val="0"/>
          <w:color w:val="auto"/>
          <w:spacing w:val="0"/>
          <w:w w:val="100"/>
          <w:sz w:val="21"/>
          <w:szCs w:val="21"/>
          <w:highlight w:val="none"/>
          <w:vertAlign w:val="baseline"/>
        </w:rPr>
        <w:t>《企业突发环境事件隐患排查和治理工作指南》</w:t>
      </w:r>
      <w:r>
        <w:rPr>
          <w:rFonts w:hint="eastAsia" w:ascii="宋体" w:hAnsi="宋体" w:eastAsia="宋体" w:cs="宋体"/>
          <w:b w:val="0"/>
          <w:bCs w:val="0"/>
          <w:i w:val="0"/>
          <w:iCs w:val="0"/>
          <w:color w:val="auto"/>
          <w:spacing w:val="0"/>
          <w:w w:val="100"/>
          <w:sz w:val="21"/>
          <w:szCs w:val="21"/>
          <w:highlight w:val="none"/>
          <w:vertAlign w:val="baseline"/>
          <w:lang w:eastAsia="zh-CN"/>
        </w:rPr>
        <w:t>等文件要求</w:t>
      </w:r>
      <w:r>
        <w:rPr>
          <w:rFonts w:hint="eastAsia" w:ascii="宋体" w:hAnsi="宋体" w:eastAsia="宋体" w:cs="宋体"/>
          <w:b w:val="0"/>
          <w:bCs w:val="0"/>
          <w:i w:val="0"/>
          <w:iCs w:val="0"/>
          <w:color w:val="auto"/>
          <w:spacing w:val="0"/>
          <w:w w:val="100"/>
          <w:sz w:val="21"/>
          <w:szCs w:val="21"/>
          <w:highlight w:val="none"/>
          <w:vertAlign w:val="baseline"/>
        </w:rPr>
        <w:t>，开展企业环境风险调查，包括环境风险单元、风险源、环境风险物质识别等。全面核查企业事故废水、大气、固废、土壤和地下水污染环境风险防控与应急措施可行性及日常管理与应急设施运营要求符合性；核查环境风险等级及突发环境事件隐患排查组织和实施情况。</w:t>
      </w:r>
    </w:p>
    <w:p w14:paraId="117563D4">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b w:val="0"/>
          <w:bCs w:val="0"/>
          <w:i w:val="0"/>
          <w:iCs w:val="0"/>
          <w:color w:val="auto"/>
          <w:spacing w:val="0"/>
          <w:w w:val="100"/>
          <w:sz w:val="21"/>
          <w:szCs w:val="21"/>
          <w:highlight w:val="none"/>
          <w:vertAlign w:val="baseline"/>
        </w:rPr>
      </w:pPr>
      <w:r>
        <w:rPr>
          <w:rFonts w:hint="eastAsia" w:ascii="宋体" w:hAnsi="宋体" w:eastAsia="宋体" w:cs="宋体"/>
          <w:b w:val="0"/>
          <w:bCs w:val="0"/>
          <w:i w:val="0"/>
          <w:iCs w:val="0"/>
          <w:color w:val="auto"/>
          <w:spacing w:val="0"/>
          <w:w w:val="100"/>
          <w:sz w:val="21"/>
          <w:szCs w:val="21"/>
          <w:highlight w:val="none"/>
          <w:vertAlign w:val="baseline"/>
        </w:rPr>
        <w:t>（</w:t>
      </w:r>
      <w:r>
        <w:rPr>
          <w:rFonts w:hint="eastAsia" w:ascii="宋体" w:hAnsi="宋体" w:eastAsia="宋体" w:cs="宋体"/>
          <w:b w:val="0"/>
          <w:bCs w:val="0"/>
          <w:i w:val="0"/>
          <w:iCs w:val="0"/>
          <w:color w:val="auto"/>
          <w:spacing w:val="0"/>
          <w:w w:val="100"/>
          <w:sz w:val="21"/>
          <w:szCs w:val="21"/>
          <w:highlight w:val="none"/>
          <w:vertAlign w:val="baseline"/>
          <w:lang w:eastAsia="zh-CN"/>
        </w:rPr>
        <w:t>二</w:t>
      </w:r>
      <w:r>
        <w:rPr>
          <w:rFonts w:hint="eastAsia" w:ascii="宋体" w:hAnsi="宋体" w:eastAsia="宋体" w:cs="宋体"/>
          <w:b w:val="0"/>
          <w:bCs w:val="0"/>
          <w:i w:val="0"/>
          <w:iCs w:val="0"/>
          <w:color w:val="auto"/>
          <w:spacing w:val="0"/>
          <w:w w:val="100"/>
          <w:sz w:val="21"/>
          <w:szCs w:val="21"/>
          <w:highlight w:val="none"/>
          <w:vertAlign w:val="baseline"/>
        </w:rPr>
        <w:t>）服务质量标准</w:t>
      </w:r>
    </w:p>
    <w:p w14:paraId="614B4973">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b w:val="0"/>
          <w:bCs w:val="0"/>
          <w:i w:val="0"/>
          <w:iCs w:val="0"/>
          <w:color w:val="auto"/>
          <w:spacing w:val="0"/>
          <w:w w:val="100"/>
          <w:sz w:val="21"/>
          <w:szCs w:val="21"/>
          <w:highlight w:val="none"/>
          <w:vertAlign w:val="baseline"/>
        </w:rPr>
      </w:pPr>
      <w:r>
        <w:rPr>
          <w:rFonts w:hint="eastAsia" w:ascii="宋体" w:hAnsi="宋体" w:eastAsia="宋体" w:cs="宋体"/>
          <w:b w:val="0"/>
          <w:bCs w:val="0"/>
          <w:i w:val="0"/>
          <w:iCs w:val="0"/>
          <w:color w:val="auto"/>
          <w:spacing w:val="0"/>
          <w:w w:val="100"/>
          <w:sz w:val="21"/>
          <w:szCs w:val="21"/>
          <w:highlight w:val="none"/>
          <w:vertAlign w:val="baseline"/>
        </w:rPr>
        <w:t>1</w:t>
      </w:r>
      <w:r>
        <w:rPr>
          <w:rFonts w:hint="eastAsia" w:ascii="宋体" w:hAnsi="宋体" w:eastAsia="宋体" w:cs="宋体"/>
          <w:b w:val="0"/>
          <w:bCs w:val="0"/>
          <w:i w:val="0"/>
          <w:iCs w:val="0"/>
          <w:color w:val="auto"/>
          <w:spacing w:val="0"/>
          <w:w w:val="100"/>
          <w:sz w:val="21"/>
          <w:szCs w:val="21"/>
          <w:highlight w:val="none"/>
          <w:vertAlign w:val="baseline"/>
          <w:lang w:val="en-US" w:eastAsia="zh-CN"/>
        </w:rPr>
        <w:t>.</w:t>
      </w:r>
      <w:r>
        <w:rPr>
          <w:rFonts w:hint="eastAsia" w:ascii="宋体" w:hAnsi="宋体" w:eastAsia="宋体" w:cs="宋体"/>
          <w:b w:val="0"/>
          <w:bCs w:val="0"/>
          <w:i w:val="0"/>
          <w:iCs w:val="0"/>
          <w:color w:val="auto"/>
          <w:spacing w:val="0"/>
          <w:w w:val="100"/>
          <w:sz w:val="21"/>
          <w:szCs w:val="21"/>
          <w:highlight w:val="none"/>
          <w:vertAlign w:val="baseline"/>
        </w:rPr>
        <w:t>成果文件须通过专家评审，并获得主管部门的备案许可或审批。</w:t>
      </w:r>
    </w:p>
    <w:p w14:paraId="191DB03B">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b w:val="0"/>
          <w:bCs w:val="0"/>
          <w:i w:val="0"/>
          <w:iCs w:val="0"/>
          <w:color w:val="auto"/>
          <w:spacing w:val="0"/>
          <w:w w:val="100"/>
          <w:sz w:val="21"/>
          <w:szCs w:val="21"/>
          <w:highlight w:val="none"/>
          <w:vertAlign w:val="baseline"/>
        </w:rPr>
      </w:pPr>
      <w:r>
        <w:rPr>
          <w:rFonts w:hint="eastAsia" w:ascii="宋体" w:hAnsi="宋体" w:eastAsia="宋体" w:cs="宋体"/>
          <w:b w:val="0"/>
          <w:bCs w:val="0"/>
          <w:i w:val="0"/>
          <w:iCs w:val="0"/>
          <w:color w:val="auto"/>
          <w:spacing w:val="0"/>
          <w:w w:val="100"/>
          <w:sz w:val="21"/>
          <w:szCs w:val="21"/>
          <w:highlight w:val="none"/>
          <w:vertAlign w:val="baseline"/>
        </w:rPr>
        <w:t>2</w:t>
      </w:r>
      <w:r>
        <w:rPr>
          <w:rFonts w:hint="eastAsia" w:ascii="宋体" w:hAnsi="宋体" w:eastAsia="宋体" w:cs="宋体"/>
          <w:b w:val="0"/>
          <w:bCs w:val="0"/>
          <w:i w:val="0"/>
          <w:iCs w:val="0"/>
          <w:color w:val="auto"/>
          <w:spacing w:val="0"/>
          <w:w w:val="100"/>
          <w:sz w:val="21"/>
          <w:szCs w:val="21"/>
          <w:highlight w:val="none"/>
          <w:vertAlign w:val="baseline"/>
          <w:lang w:val="en-US" w:eastAsia="zh-CN"/>
        </w:rPr>
        <w:t>.</w:t>
      </w:r>
      <w:r>
        <w:rPr>
          <w:rFonts w:hint="eastAsia" w:ascii="宋体" w:hAnsi="宋体" w:eastAsia="宋体" w:cs="宋体"/>
          <w:b w:val="0"/>
          <w:bCs w:val="0"/>
          <w:i w:val="0"/>
          <w:iCs w:val="0"/>
          <w:color w:val="auto"/>
          <w:spacing w:val="0"/>
          <w:w w:val="100"/>
          <w:sz w:val="21"/>
          <w:szCs w:val="21"/>
          <w:highlight w:val="none"/>
          <w:vertAlign w:val="baseline"/>
        </w:rPr>
        <w:t>须提交采购人全部成果</w:t>
      </w:r>
      <w:r>
        <w:rPr>
          <w:rFonts w:hint="eastAsia" w:ascii="宋体" w:hAnsi="宋体" w:eastAsia="宋体" w:cs="宋体"/>
          <w:b w:val="0"/>
          <w:bCs w:val="0"/>
          <w:i w:val="0"/>
          <w:iCs w:val="0"/>
          <w:color w:val="auto"/>
          <w:spacing w:val="0"/>
          <w:w w:val="100"/>
          <w:sz w:val="21"/>
          <w:szCs w:val="21"/>
          <w:highlight w:val="none"/>
          <w:vertAlign w:val="baseline"/>
          <w:lang w:eastAsia="zh-CN"/>
        </w:rPr>
        <w:t>文件纸质版</w:t>
      </w:r>
      <w:r>
        <w:rPr>
          <w:rFonts w:hint="eastAsia" w:ascii="宋体" w:hAnsi="宋体" w:eastAsia="宋体" w:cs="宋体"/>
          <w:b w:val="0"/>
          <w:bCs w:val="0"/>
          <w:i w:val="0"/>
          <w:iCs w:val="0"/>
          <w:color w:val="auto"/>
          <w:spacing w:val="0"/>
          <w:w w:val="100"/>
          <w:sz w:val="21"/>
          <w:szCs w:val="21"/>
          <w:highlight w:val="none"/>
          <w:vertAlign w:val="baseline"/>
          <w:lang w:val="en-US" w:eastAsia="zh-CN"/>
        </w:rPr>
        <w:t>5</w:t>
      </w:r>
      <w:r>
        <w:rPr>
          <w:rFonts w:hint="eastAsia" w:ascii="宋体" w:hAnsi="宋体" w:eastAsia="宋体" w:cs="宋体"/>
          <w:b w:val="0"/>
          <w:bCs w:val="0"/>
          <w:i w:val="0"/>
          <w:iCs w:val="0"/>
          <w:color w:val="auto"/>
          <w:spacing w:val="0"/>
          <w:w w:val="100"/>
          <w:sz w:val="21"/>
          <w:szCs w:val="21"/>
          <w:highlight w:val="none"/>
          <w:vertAlign w:val="baseline"/>
        </w:rPr>
        <w:t>套</w:t>
      </w:r>
      <w:r>
        <w:rPr>
          <w:rFonts w:hint="eastAsia" w:ascii="宋体" w:hAnsi="宋体" w:eastAsia="宋体" w:cs="宋体"/>
          <w:b w:val="0"/>
          <w:bCs w:val="0"/>
          <w:i w:val="0"/>
          <w:iCs w:val="0"/>
          <w:color w:val="auto"/>
          <w:spacing w:val="0"/>
          <w:w w:val="100"/>
          <w:sz w:val="21"/>
          <w:szCs w:val="21"/>
          <w:highlight w:val="none"/>
          <w:vertAlign w:val="baseline"/>
          <w:lang w:eastAsia="zh-CN"/>
        </w:rPr>
        <w:t>（</w:t>
      </w:r>
      <w:r>
        <w:rPr>
          <w:rFonts w:hint="eastAsia" w:ascii="宋体" w:hAnsi="宋体" w:eastAsia="宋体" w:cs="宋体"/>
          <w:b w:val="0"/>
          <w:bCs w:val="0"/>
          <w:i w:val="0"/>
          <w:iCs w:val="0"/>
          <w:color w:val="auto"/>
          <w:spacing w:val="0"/>
          <w:w w:val="100"/>
          <w:sz w:val="21"/>
          <w:szCs w:val="21"/>
          <w:highlight w:val="none"/>
          <w:vertAlign w:val="baseline"/>
          <w:lang w:val="en-US" w:eastAsia="zh-CN"/>
        </w:rPr>
        <w:t>具体以满足采购人实际需求为准）</w:t>
      </w:r>
      <w:r>
        <w:rPr>
          <w:rFonts w:hint="eastAsia" w:ascii="宋体" w:hAnsi="宋体" w:eastAsia="宋体" w:cs="宋体"/>
          <w:b w:val="0"/>
          <w:bCs w:val="0"/>
          <w:i w:val="0"/>
          <w:iCs w:val="0"/>
          <w:color w:val="auto"/>
          <w:spacing w:val="0"/>
          <w:w w:val="100"/>
          <w:sz w:val="21"/>
          <w:szCs w:val="21"/>
          <w:highlight w:val="none"/>
          <w:vertAlign w:val="baseline"/>
          <w:lang w:eastAsia="zh-CN"/>
        </w:rPr>
        <w:t>，并提供电子版成果文件</w:t>
      </w:r>
      <w:r>
        <w:rPr>
          <w:rFonts w:hint="eastAsia" w:ascii="宋体" w:hAnsi="宋体" w:eastAsia="宋体" w:cs="宋体"/>
          <w:b w:val="0"/>
          <w:bCs w:val="0"/>
          <w:i w:val="0"/>
          <w:iCs w:val="0"/>
          <w:color w:val="auto"/>
          <w:spacing w:val="0"/>
          <w:w w:val="100"/>
          <w:sz w:val="21"/>
          <w:szCs w:val="21"/>
          <w:highlight w:val="none"/>
          <w:vertAlign w:val="baseline"/>
        </w:rPr>
        <w:t>。</w:t>
      </w:r>
    </w:p>
    <w:p w14:paraId="01DCBDE9">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ind w:firstLine="437"/>
        <w:textAlignment w:val="auto"/>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四、报价要求</w:t>
      </w:r>
    </w:p>
    <w:p w14:paraId="042C3E58">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本项目报总价，包含完成本项目的一切所需费用；采购人后期不再另行追加费用，供应商自行考虑风险 。</w:t>
      </w:r>
    </w:p>
    <w:p w14:paraId="5D6367BD">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ind w:firstLine="437"/>
        <w:textAlignment w:val="auto"/>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五、其他要求</w:t>
      </w:r>
    </w:p>
    <w:p w14:paraId="62CCC9AA">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1</w:t>
      </w:r>
      <w:r>
        <w:rPr>
          <w:rFonts w:hint="eastAsia" w:ascii="宋体" w:hAnsi="宋体" w:eastAsia="宋体" w:cs="宋体"/>
          <w:b w:val="0"/>
          <w:bCs w:val="0"/>
          <w:i w:val="0"/>
          <w:iCs w:val="0"/>
          <w:color w:val="auto"/>
          <w:spacing w:val="0"/>
          <w:w w:val="100"/>
          <w:sz w:val="21"/>
          <w:szCs w:val="21"/>
          <w:highlight w:val="none"/>
          <w:vertAlign w:val="baseline"/>
          <w:lang w:val="en-US" w:eastAsia="zh-CN"/>
        </w:rPr>
        <w:t>.</w:t>
      </w:r>
      <w:r>
        <w:rPr>
          <w:rFonts w:hint="eastAsia" w:ascii="宋体" w:hAnsi="宋体" w:eastAsia="宋体" w:cs="宋体"/>
          <w:b w:val="0"/>
          <w:bCs w:val="0"/>
          <w:i w:val="0"/>
          <w:iCs w:val="0"/>
          <w:color w:val="auto"/>
          <w:spacing w:val="0"/>
          <w:w w:val="100"/>
          <w:sz w:val="21"/>
          <w:szCs w:val="21"/>
          <w:highlight w:val="none"/>
          <w:vertAlign w:val="baseline"/>
        </w:rPr>
        <w:t>成交供应商需对方案不断完善，并根据采购人具体要求进行修改，直至采购人确认方可进行实施。</w:t>
      </w:r>
    </w:p>
    <w:p w14:paraId="712541CD">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2</w:t>
      </w:r>
      <w:r>
        <w:rPr>
          <w:rFonts w:hint="eastAsia" w:ascii="宋体" w:hAnsi="宋体" w:eastAsia="宋体" w:cs="宋体"/>
          <w:b w:val="0"/>
          <w:bCs w:val="0"/>
          <w:i w:val="0"/>
          <w:iCs w:val="0"/>
          <w:color w:val="auto"/>
          <w:spacing w:val="0"/>
          <w:w w:val="100"/>
          <w:sz w:val="21"/>
          <w:szCs w:val="21"/>
          <w:highlight w:val="none"/>
          <w:vertAlign w:val="baseline"/>
          <w:lang w:val="en-US" w:eastAsia="zh-CN"/>
        </w:rPr>
        <w:t>.</w:t>
      </w:r>
      <w:r>
        <w:rPr>
          <w:rFonts w:hint="eastAsia" w:ascii="宋体" w:hAnsi="宋体" w:eastAsia="宋体" w:cs="宋体"/>
          <w:b w:val="0"/>
          <w:bCs w:val="0"/>
          <w:i w:val="0"/>
          <w:iCs w:val="0"/>
          <w:color w:val="auto"/>
          <w:spacing w:val="0"/>
          <w:w w:val="100"/>
          <w:sz w:val="21"/>
          <w:szCs w:val="21"/>
          <w:highlight w:val="none"/>
          <w:vertAlign w:val="baseline"/>
        </w:rPr>
        <w:t>成交供应商必须接受采购人对项目执行情况、服务质量等的监督、检查和验收，并有权查看与项目直接相关的凭证和资料，成交供应商应予以配合。</w:t>
      </w:r>
    </w:p>
    <w:p w14:paraId="302CEB91">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3.</w:t>
      </w:r>
      <w:r>
        <w:rPr>
          <w:rFonts w:hint="eastAsia" w:ascii="宋体" w:hAnsi="宋体" w:eastAsia="宋体" w:cs="宋体"/>
          <w:b w:val="0"/>
          <w:bCs w:val="0"/>
          <w:i w:val="0"/>
          <w:iCs w:val="0"/>
          <w:color w:val="auto"/>
          <w:spacing w:val="0"/>
          <w:w w:val="100"/>
          <w:sz w:val="21"/>
          <w:szCs w:val="21"/>
          <w:highlight w:val="none"/>
          <w:vertAlign w:val="baseline"/>
          <w:lang w:val="en-US" w:eastAsia="zh-CN"/>
        </w:rPr>
        <w:t>.</w:t>
      </w:r>
      <w:r>
        <w:rPr>
          <w:rFonts w:hint="eastAsia" w:ascii="宋体" w:hAnsi="宋体" w:eastAsia="宋体" w:cs="宋体"/>
          <w:b w:val="0"/>
          <w:bCs w:val="0"/>
          <w:i w:val="0"/>
          <w:iCs w:val="0"/>
          <w:color w:val="auto"/>
          <w:spacing w:val="0"/>
          <w:w w:val="100"/>
          <w:sz w:val="21"/>
          <w:szCs w:val="21"/>
          <w:highlight w:val="none"/>
          <w:vertAlign w:val="baseline"/>
        </w:rPr>
        <w:t>如因国家相关政策、自然灾害或意外事件等不可抗力因素的影响项目正常执行的，成交供应商应及时以书面形式说明情况，并与采购人研究提出解决方案。</w:t>
      </w:r>
    </w:p>
    <w:p w14:paraId="22D437AD">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i w:val="0"/>
          <w:iCs w:val="0"/>
          <w:color w:val="auto"/>
          <w:spacing w:val="0"/>
          <w:w w:val="100"/>
          <w:sz w:val="21"/>
          <w:szCs w:val="21"/>
          <w:highlight w:val="none"/>
          <w:vertAlign w:val="baseline"/>
        </w:rPr>
        <w:t>备注：</w:t>
      </w:r>
    </w:p>
    <w:p w14:paraId="1A6CF9ED">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i w:val="0"/>
          <w:iCs w:val="0"/>
          <w:color w:val="auto"/>
          <w:spacing w:val="0"/>
          <w:w w:val="100"/>
          <w:sz w:val="21"/>
          <w:szCs w:val="21"/>
          <w:highlight w:val="none"/>
          <w:vertAlign w:val="baseline"/>
          <w:lang w:val="en-US" w:eastAsia="zh-CN"/>
        </w:rPr>
        <w:t>供应商</w:t>
      </w:r>
      <w:r>
        <w:rPr>
          <w:rFonts w:hint="eastAsia" w:ascii="宋体" w:hAnsi="宋体" w:eastAsia="宋体" w:cs="宋体"/>
          <w:b/>
          <w:bCs/>
          <w:i w:val="0"/>
          <w:iCs w:val="0"/>
          <w:color w:val="auto"/>
          <w:spacing w:val="0"/>
          <w:w w:val="100"/>
          <w:sz w:val="21"/>
          <w:szCs w:val="21"/>
          <w:highlight w:val="none"/>
          <w:vertAlign w:val="baseline"/>
        </w:rPr>
        <w:t>应按照磋商文件要求提供证明材料。若响应时提供了磋商文件未要求的证明材料，磋商小组将不予评审。</w:t>
      </w:r>
    </w:p>
    <w:p w14:paraId="3AC85672">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i w:val="0"/>
          <w:iCs w:val="0"/>
          <w:color w:val="auto"/>
          <w:spacing w:val="0"/>
          <w:w w:val="100"/>
          <w:sz w:val="21"/>
          <w:szCs w:val="21"/>
          <w:highlight w:val="none"/>
          <w:vertAlign w:val="baseline"/>
          <w:lang w:val="en-US" w:eastAsia="zh-CN"/>
        </w:rPr>
        <w:t>供应商</w:t>
      </w:r>
      <w:r>
        <w:rPr>
          <w:rFonts w:hint="eastAsia" w:ascii="宋体" w:hAnsi="宋体" w:eastAsia="宋体" w:cs="宋体"/>
          <w:b/>
          <w:bCs/>
          <w:i w:val="0"/>
          <w:iCs w:val="0"/>
          <w:color w:val="auto"/>
          <w:spacing w:val="0"/>
          <w:w w:val="100"/>
          <w:sz w:val="21"/>
          <w:szCs w:val="21"/>
          <w:highlight w:val="none"/>
          <w:vertAlign w:val="baseline"/>
        </w:rPr>
        <w:t>提供的证明材料须清晰的反映评审内容，如因材料模糊不清，导致磋商小组无法辨认的，磋商小组可以不予认可，一切后果由</w:t>
      </w:r>
      <w:r>
        <w:rPr>
          <w:rFonts w:hint="eastAsia" w:ascii="宋体" w:hAnsi="宋体" w:eastAsia="宋体" w:cs="宋体"/>
          <w:b/>
          <w:bCs/>
          <w:i w:val="0"/>
          <w:iCs w:val="0"/>
          <w:color w:val="auto"/>
          <w:spacing w:val="0"/>
          <w:w w:val="100"/>
          <w:sz w:val="21"/>
          <w:szCs w:val="21"/>
          <w:highlight w:val="none"/>
          <w:vertAlign w:val="baseline"/>
          <w:lang w:val="en-US" w:eastAsia="zh-CN"/>
        </w:rPr>
        <w:t>供应商</w:t>
      </w:r>
      <w:r>
        <w:rPr>
          <w:rFonts w:hint="eastAsia" w:ascii="宋体" w:hAnsi="宋体" w:eastAsia="宋体" w:cs="宋体"/>
          <w:b/>
          <w:bCs/>
          <w:i w:val="0"/>
          <w:iCs w:val="0"/>
          <w:color w:val="auto"/>
          <w:spacing w:val="0"/>
          <w:w w:val="100"/>
          <w:sz w:val="21"/>
          <w:szCs w:val="21"/>
          <w:highlight w:val="none"/>
          <w:vertAlign w:val="baseline"/>
        </w:rPr>
        <w:t>自行承担。</w:t>
      </w:r>
    </w:p>
    <w:p w14:paraId="243275D9">
      <w:pPr>
        <w:pStyle w:val="25"/>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BCB7660">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hint="eastAsia" w:asciiTheme="minorEastAsia" w:hAnsiTheme="minorEastAsia" w:eastAsiaTheme="minorEastAsia"/>
          <w:b/>
          <w:color w:val="auto"/>
          <w:sz w:val="28"/>
          <w:highlight w:val="none"/>
        </w:rPr>
      </w:pPr>
      <w:bookmarkStart w:id="70" w:name="_Toc8668"/>
      <w:r>
        <w:rPr>
          <w:rFonts w:hint="eastAsia" w:asciiTheme="minorEastAsia" w:hAnsiTheme="minorEastAsia" w:eastAsiaTheme="minorEastAsia"/>
          <w:b/>
          <w:color w:val="auto"/>
          <w:sz w:val="28"/>
          <w:highlight w:val="none"/>
        </w:rPr>
        <w:t>第四章  评审方法和标准</w:t>
      </w:r>
      <w:bookmarkEnd w:id="70"/>
    </w:p>
    <w:p w14:paraId="4C1DABBA">
      <w:pPr>
        <w:spacing w:line="360" w:lineRule="auto"/>
        <w:ind w:firstLine="437"/>
        <w:outlineLvl w:val="1"/>
        <w:rPr>
          <w:rFonts w:asciiTheme="minorEastAsia" w:hAnsiTheme="minorEastAsia" w:eastAsiaTheme="minorEastAsia"/>
          <w:b/>
          <w:color w:val="auto"/>
          <w:sz w:val="24"/>
          <w:highlight w:val="none"/>
        </w:rPr>
      </w:pPr>
      <w:bookmarkStart w:id="71" w:name="_Toc21211"/>
      <w:bookmarkStart w:id="72" w:name="_Toc12199"/>
      <w:r>
        <w:rPr>
          <w:rFonts w:hint="eastAsia" w:asciiTheme="minorEastAsia" w:hAnsiTheme="minorEastAsia" w:eastAsiaTheme="minorEastAsia"/>
          <w:b/>
          <w:color w:val="auto"/>
          <w:sz w:val="24"/>
          <w:highlight w:val="none"/>
        </w:rPr>
        <w:t>一、总则</w:t>
      </w:r>
      <w:bookmarkEnd w:id="71"/>
      <w:bookmarkEnd w:id="72"/>
    </w:p>
    <w:p w14:paraId="63E02F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 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0A3B915D">
      <w:pPr>
        <w:spacing w:line="360" w:lineRule="auto"/>
        <w:ind w:firstLine="437"/>
        <w:outlineLvl w:val="1"/>
        <w:rPr>
          <w:rFonts w:asciiTheme="minorEastAsia" w:hAnsiTheme="minorEastAsia" w:eastAsiaTheme="minorEastAsia"/>
          <w:b/>
          <w:color w:val="auto"/>
          <w:sz w:val="24"/>
          <w:highlight w:val="none"/>
        </w:rPr>
      </w:pPr>
      <w:bookmarkStart w:id="73" w:name="_Toc13039"/>
      <w:bookmarkStart w:id="74" w:name="_Toc16885"/>
      <w:r>
        <w:rPr>
          <w:rFonts w:hint="eastAsia" w:asciiTheme="minorEastAsia" w:hAnsiTheme="minorEastAsia" w:eastAsiaTheme="minorEastAsia"/>
          <w:b/>
          <w:color w:val="auto"/>
          <w:sz w:val="24"/>
          <w:highlight w:val="none"/>
        </w:rPr>
        <w:t>二、评审方法</w:t>
      </w:r>
      <w:bookmarkEnd w:id="73"/>
      <w:bookmarkEnd w:id="74"/>
    </w:p>
    <w:p w14:paraId="5C1897C3">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14687B4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26"/>
        <w:tblW w:w="53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1858"/>
        <w:gridCol w:w="4471"/>
        <w:gridCol w:w="3233"/>
      </w:tblGrid>
      <w:tr w14:paraId="69A9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5A29EF4B">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lang w:val="en-US" w:eastAsia="zh-CN"/>
              </w:rPr>
              <w:t>初审</w:t>
            </w:r>
            <w:r>
              <w:rPr>
                <w:rFonts w:hint="eastAsia" w:ascii="宋体" w:hAnsi="宋体" w:eastAsia="宋体"/>
                <w:b/>
                <w:color w:val="auto"/>
                <w:sz w:val="24"/>
                <w:szCs w:val="22"/>
                <w:highlight w:val="none"/>
              </w:rPr>
              <w:t>表</w:t>
            </w:r>
          </w:p>
        </w:tc>
      </w:tr>
      <w:tr w14:paraId="3292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bottom w:val="single" w:color="auto" w:sz="4" w:space="0"/>
            </w:tcBorders>
            <w:vAlign w:val="center"/>
          </w:tcPr>
          <w:p w14:paraId="259F92F9">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02" w:type="pct"/>
            <w:tcBorders>
              <w:bottom w:val="single" w:color="auto" w:sz="4" w:space="0"/>
            </w:tcBorders>
            <w:vAlign w:val="center"/>
          </w:tcPr>
          <w:p w14:paraId="1471E629">
            <w:pPr>
              <w:pStyle w:val="46"/>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审查指标</w:t>
            </w:r>
          </w:p>
        </w:tc>
        <w:tc>
          <w:tcPr>
            <w:tcW w:w="2170" w:type="pct"/>
            <w:tcBorders>
              <w:bottom w:val="single" w:color="auto" w:sz="4" w:space="0"/>
            </w:tcBorders>
            <w:vAlign w:val="center"/>
          </w:tcPr>
          <w:p w14:paraId="3FA8934E">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审查标准</w:t>
            </w:r>
          </w:p>
        </w:tc>
        <w:tc>
          <w:tcPr>
            <w:tcW w:w="1567" w:type="pct"/>
            <w:tcBorders>
              <w:bottom w:val="single" w:color="auto" w:sz="4" w:space="0"/>
            </w:tcBorders>
            <w:vAlign w:val="center"/>
          </w:tcPr>
          <w:p w14:paraId="228B9EF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381D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59" w:type="pct"/>
            <w:tcBorders>
              <w:bottom w:val="single" w:color="auto" w:sz="4" w:space="0"/>
            </w:tcBorders>
            <w:vAlign w:val="center"/>
          </w:tcPr>
          <w:p w14:paraId="19040A31">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02" w:type="pct"/>
            <w:tcBorders>
              <w:bottom w:val="single" w:color="auto" w:sz="4" w:space="0"/>
            </w:tcBorders>
            <w:vAlign w:val="center"/>
          </w:tcPr>
          <w:p w14:paraId="0902EBEC">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170" w:type="pct"/>
            <w:tcBorders>
              <w:bottom w:val="single" w:color="auto" w:sz="4" w:space="0"/>
            </w:tcBorders>
            <w:vAlign w:val="center"/>
          </w:tcPr>
          <w:p w14:paraId="42E11A74">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2BC32796">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3D3D22B7">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5A42C32C">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5A2C5721">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567" w:type="pct"/>
            <w:vAlign w:val="center"/>
          </w:tcPr>
          <w:p w14:paraId="6D950524">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3B7F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59" w:type="pct"/>
            <w:tcBorders>
              <w:bottom w:val="single" w:color="auto" w:sz="4" w:space="0"/>
            </w:tcBorders>
            <w:vAlign w:val="center"/>
          </w:tcPr>
          <w:p w14:paraId="6225BBD7">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02" w:type="pct"/>
            <w:tcBorders>
              <w:bottom w:val="single" w:color="auto" w:sz="4" w:space="0"/>
            </w:tcBorders>
            <w:vAlign w:val="center"/>
          </w:tcPr>
          <w:p w14:paraId="2CF8C0E1">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供应商资格声明书</w:t>
            </w:r>
          </w:p>
        </w:tc>
        <w:tc>
          <w:tcPr>
            <w:tcW w:w="2170" w:type="pct"/>
            <w:tcBorders>
              <w:bottom w:val="single" w:color="auto" w:sz="4" w:space="0"/>
            </w:tcBorders>
            <w:vAlign w:val="center"/>
          </w:tcPr>
          <w:p w14:paraId="448E676C">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w:t>
            </w:r>
            <w:r>
              <w:rPr>
                <w:rFonts w:hint="eastAsia" w:ascii="宋体" w:hAnsi="宋体" w:eastAsia="宋体" w:cs="宋体"/>
                <w:color w:val="auto"/>
                <w:sz w:val="24"/>
                <w:szCs w:val="24"/>
                <w:highlight w:val="none"/>
                <w:lang w:val="en-US" w:eastAsia="zh-CN"/>
              </w:rPr>
              <w:t>磋商</w:t>
            </w:r>
            <w:r>
              <w:rPr>
                <w:rFonts w:ascii="宋体" w:hAnsi="宋体" w:eastAsia="宋体" w:cs="宋体"/>
                <w:color w:val="auto"/>
                <w:sz w:val="24"/>
                <w:szCs w:val="24"/>
                <w:highlight w:val="none"/>
              </w:rPr>
              <w:t>文件要求的《</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资格声明书》</w:t>
            </w:r>
            <w:r>
              <w:rPr>
                <w:rFonts w:hint="eastAsia" w:ascii="宋体" w:hAnsi="宋体" w:eastAsia="宋体" w:cs="宋体"/>
                <w:color w:val="auto"/>
                <w:sz w:val="24"/>
                <w:szCs w:val="24"/>
                <w:highlight w:val="none"/>
                <w:lang w:eastAsia="zh-CN"/>
              </w:rPr>
              <w:t>。</w:t>
            </w:r>
          </w:p>
        </w:tc>
        <w:tc>
          <w:tcPr>
            <w:tcW w:w="1567" w:type="pct"/>
            <w:vAlign w:val="center"/>
          </w:tcPr>
          <w:p w14:paraId="0CF371A0">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0F250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bottom w:val="single" w:color="auto" w:sz="4" w:space="0"/>
            </w:tcBorders>
            <w:vAlign w:val="center"/>
          </w:tcPr>
          <w:p w14:paraId="0D8939ED">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02" w:type="pct"/>
            <w:tcBorders>
              <w:bottom w:val="single" w:color="auto" w:sz="4" w:space="0"/>
            </w:tcBorders>
            <w:vAlign w:val="center"/>
          </w:tcPr>
          <w:p w14:paraId="66B82CE2">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170" w:type="pct"/>
            <w:tcBorders>
              <w:bottom w:val="single" w:color="auto" w:sz="4" w:space="0"/>
            </w:tcBorders>
            <w:vAlign w:val="center"/>
          </w:tcPr>
          <w:p w14:paraId="4C0A1038">
            <w:pPr>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不得存在</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须知正文第1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567" w:type="pct"/>
            <w:tcBorders>
              <w:bottom w:val="single" w:color="auto" w:sz="4" w:space="0"/>
            </w:tcBorders>
            <w:vAlign w:val="center"/>
          </w:tcPr>
          <w:p w14:paraId="4AEED1BA">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w:t>
            </w:r>
            <w:r>
              <w:rPr>
                <w:rFonts w:hint="eastAsia" w:ascii="宋体" w:hAnsi="宋体" w:eastAsia="宋体" w:cs="宋体"/>
                <w:color w:val="auto"/>
                <w:sz w:val="24"/>
                <w:szCs w:val="24"/>
                <w:highlight w:val="none"/>
                <w:lang w:val="en-US" w:eastAsia="zh-CN"/>
              </w:rPr>
              <w:t>供应商提</w:t>
            </w:r>
            <w:r>
              <w:rPr>
                <w:rFonts w:hint="eastAsia" w:ascii="宋体" w:hAnsi="宋体" w:eastAsia="宋体" w:cs="宋体"/>
                <w:color w:val="auto"/>
                <w:sz w:val="24"/>
                <w:szCs w:val="24"/>
                <w:highlight w:val="none"/>
              </w:rPr>
              <w:t>供，由采购人或采购代理机构查询。</w:t>
            </w:r>
          </w:p>
        </w:tc>
      </w:tr>
      <w:tr w14:paraId="0D50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bottom w:val="single" w:color="auto" w:sz="4" w:space="0"/>
            </w:tcBorders>
            <w:vAlign w:val="center"/>
          </w:tcPr>
          <w:p w14:paraId="2521AD97">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4</w:t>
            </w:r>
          </w:p>
        </w:tc>
        <w:tc>
          <w:tcPr>
            <w:tcW w:w="902" w:type="pct"/>
            <w:tcBorders>
              <w:bottom w:val="single" w:color="auto" w:sz="4" w:space="0"/>
            </w:tcBorders>
            <w:vAlign w:val="center"/>
          </w:tcPr>
          <w:p w14:paraId="7CF2F0CE">
            <w:pPr>
              <w:spacing w:after="50" w:line="360" w:lineRule="auto"/>
              <w:ind w:right="-1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供应商基本要求</w:t>
            </w:r>
          </w:p>
        </w:tc>
        <w:tc>
          <w:tcPr>
            <w:tcW w:w="2170" w:type="pct"/>
            <w:tcBorders>
              <w:bottom w:val="single" w:color="auto" w:sz="4" w:space="0"/>
            </w:tcBorders>
            <w:vAlign w:val="top"/>
          </w:tcPr>
          <w:p w14:paraId="3CEE3B8B">
            <w:pPr>
              <w:pStyle w:val="4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en-US"/>
              </w:rPr>
            </w:pPr>
            <w:r>
              <w:rPr>
                <w:rFonts w:hint="eastAsia" w:cs="@仿宋_GB2312" w:asciiTheme="minorEastAsia" w:hAnsiTheme="minorEastAsia" w:eastAsiaTheme="minorEastAsia"/>
                <w:b w:val="0"/>
                <w:bCs w:val="0"/>
                <w:color w:val="auto"/>
                <w:kern w:val="2"/>
                <w:sz w:val="24"/>
                <w:highlight w:val="none"/>
                <w:lang w:val="en-US" w:eastAsia="zh-CN" w:bidi="ar-SA"/>
              </w:rPr>
              <w:t>供应商拟派项目负责人具有环境影响评价工程师证书。</w:t>
            </w:r>
          </w:p>
        </w:tc>
        <w:tc>
          <w:tcPr>
            <w:tcW w:w="1567" w:type="pct"/>
            <w:tcBorders>
              <w:bottom w:val="single" w:color="auto" w:sz="4" w:space="0"/>
            </w:tcBorders>
            <w:vAlign w:val="center"/>
          </w:tcPr>
          <w:p w14:paraId="1F77D7BF">
            <w:pPr>
              <w:spacing w:after="50" w:line="360" w:lineRule="auto"/>
              <w:ind w:right="-1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提供对应材料材料扫描件</w:t>
            </w:r>
          </w:p>
        </w:tc>
      </w:tr>
      <w:tr w14:paraId="5AB5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Align w:val="center"/>
          </w:tcPr>
          <w:p w14:paraId="4A69FFCC">
            <w:pPr>
              <w:adjustRightInd w:val="0"/>
              <w:snapToGrid w:val="0"/>
              <w:spacing w:line="360" w:lineRule="auto"/>
              <w:ind w:right="-10" w:rightChars="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5</w:t>
            </w:r>
          </w:p>
        </w:tc>
        <w:tc>
          <w:tcPr>
            <w:tcW w:w="902" w:type="pct"/>
            <w:vAlign w:val="center"/>
          </w:tcPr>
          <w:p w14:paraId="49ECB7FC">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lang w:val="en-US" w:eastAsia="zh-CN"/>
              </w:rPr>
              <w:t>磋商响应函</w:t>
            </w:r>
          </w:p>
        </w:tc>
        <w:tc>
          <w:tcPr>
            <w:tcW w:w="2170" w:type="pct"/>
            <w:vAlign w:val="center"/>
          </w:tcPr>
          <w:p w14:paraId="442741D9">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szCs w:val="28"/>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567" w:type="pct"/>
            <w:vAlign w:val="center"/>
          </w:tcPr>
          <w:p w14:paraId="21C10CEA">
            <w:pPr>
              <w:adjustRightInd w:val="0"/>
              <w:snapToGrid w:val="0"/>
              <w:spacing w:line="360" w:lineRule="auto"/>
              <w:ind w:right="-10" w:rightChars="0"/>
              <w:jc w:val="center"/>
              <w:rPr>
                <w:rFonts w:hint="eastAsia" w:asciiTheme="minorEastAsia" w:hAnsiTheme="minorEastAsia" w:eastAsiaTheme="minorEastAsia"/>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2D06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Align w:val="center"/>
          </w:tcPr>
          <w:p w14:paraId="07D9B6E8">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6</w:t>
            </w:r>
          </w:p>
        </w:tc>
        <w:tc>
          <w:tcPr>
            <w:tcW w:w="902" w:type="pct"/>
            <w:vAlign w:val="center"/>
          </w:tcPr>
          <w:p w14:paraId="66C0086A">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授权书</w:t>
            </w:r>
          </w:p>
        </w:tc>
        <w:tc>
          <w:tcPr>
            <w:tcW w:w="2170" w:type="pct"/>
            <w:vAlign w:val="center"/>
          </w:tcPr>
          <w:p w14:paraId="615CC9DB">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格式、填写要求符合</w:t>
            </w:r>
            <w:r>
              <w:rPr>
                <w:rFonts w:hint="eastAsia" w:ascii="宋体" w:hAnsi="宋体" w:eastAsia="宋体" w:cs="宋体"/>
                <w:color w:val="auto"/>
                <w:spacing w:val="10"/>
                <w:sz w:val="24"/>
                <w:szCs w:val="24"/>
                <w:highlight w:val="none"/>
                <w:lang w:val="en-US" w:eastAsia="zh-CN"/>
              </w:rPr>
              <w:t>磋商</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567" w:type="pct"/>
            <w:vAlign w:val="center"/>
          </w:tcPr>
          <w:p w14:paraId="3DFFDAFC">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法定代表人参加</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的无需此件，提供身份证明即可。详见第六章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231E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Align w:val="center"/>
          </w:tcPr>
          <w:p w14:paraId="268BB8D5">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7</w:t>
            </w:r>
          </w:p>
        </w:tc>
        <w:tc>
          <w:tcPr>
            <w:tcW w:w="902" w:type="pct"/>
            <w:vAlign w:val="center"/>
          </w:tcPr>
          <w:p w14:paraId="1EB2D117">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报价</w:t>
            </w:r>
          </w:p>
        </w:tc>
        <w:tc>
          <w:tcPr>
            <w:tcW w:w="2170" w:type="pct"/>
            <w:vAlign w:val="center"/>
          </w:tcPr>
          <w:p w14:paraId="710F20FE">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color w:val="auto"/>
                <w:spacing w:val="10"/>
                <w:sz w:val="24"/>
                <w:szCs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highlight w:val="none"/>
              </w:rPr>
              <w:t>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567" w:type="pct"/>
            <w:vAlign w:val="center"/>
          </w:tcPr>
          <w:p w14:paraId="53E6CD4E">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6E10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Align w:val="center"/>
          </w:tcPr>
          <w:p w14:paraId="5F7EA356">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8</w:t>
            </w:r>
          </w:p>
        </w:tc>
        <w:tc>
          <w:tcPr>
            <w:tcW w:w="902" w:type="pct"/>
            <w:vAlign w:val="center"/>
          </w:tcPr>
          <w:p w14:paraId="15B477EE">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商务响应情况</w:t>
            </w:r>
          </w:p>
        </w:tc>
        <w:tc>
          <w:tcPr>
            <w:tcW w:w="2170" w:type="pct"/>
            <w:vAlign w:val="center"/>
          </w:tcPr>
          <w:p w14:paraId="6621EE44">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color w:val="auto"/>
                <w:spacing w:val="10"/>
                <w:sz w:val="24"/>
                <w:szCs w:val="24"/>
                <w:highlight w:val="none"/>
                <w:lang w:val="en-US" w:eastAsia="zh-CN"/>
              </w:rPr>
              <w:t>磋商</w:t>
            </w:r>
            <w:r>
              <w:rPr>
                <w:rFonts w:hint="eastAsia" w:asciiTheme="minorEastAsia" w:hAnsiTheme="minorEastAsia" w:eastAsiaTheme="minorEastAsia"/>
                <w:color w:val="auto"/>
                <w:sz w:val="24"/>
                <w:szCs w:val="28"/>
                <w:highlight w:val="none"/>
              </w:rPr>
              <w:t>文件采购需求中对付款方式、</w:t>
            </w:r>
            <w:r>
              <w:rPr>
                <w:rFonts w:hint="eastAsia" w:asciiTheme="minorEastAsia" w:hAnsiTheme="minorEastAsia" w:eastAsiaTheme="minorEastAsia"/>
                <w:color w:val="auto"/>
                <w:sz w:val="24"/>
                <w:szCs w:val="28"/>
                <w:highlight w:val="none"/>
                <w:lang w:val="en-US" w:eastAsia="zh-CN"/>
              </w:rPr>
              <w:t>服务地点</w:t>
            </w:r>
            <w:r>
              <w:rPr>
                <w:rFonts w:hint="eastAsia" w:asciiTheme="minorEastAsia" w:hAnsiTheme="minorEastAsia" w:eastAsiaTheme="minorEastAsia"/>
                <w:color w:val="auto"/>
                <w:sz w:val="24"/>
                <w:szCs w:val="28"/>
                <w:highlight w:val="none"/>
              </w:rPr>
              <w:t>、</w:t>
            </w:r>
            <w:r>
              <w:rPr>
                <w:rFonts w:hint="eastAsia" w:asciiTheme="minorEastAsia" w:hAnsiTheme="minorEastAsia" w:eastAsiaTheme="minorEastAsia"/>
                <w:color w:val="auto"/>
                <w:sz w:val="24"/>
                <w:szCs w:val="28"/>
                <w:highlight w:val="none"/>
                <w:lang w:val="en-US" w:eastAsia="zh-CN"/>
              </w:rPr>
              <w:t>服务期限等实质性</w:t>
            </w:r>
            <w:r>
              <w:rPr>
                <w:rFonts w:hint="eastAsia" w:asciiTheme="minorEastAsia" w:hAnsiTheme="minorEastAsia" w:eastAsiaTheme="minorEastAsia"/>
                <w:color w:val="auto"/>
                <w:sz w:val="24"/>
                <w:szCs w:val="28"/>
                <w:highlight w:val="none"/>
              </w:rPr>
              <w:t>要求</w:t>
            </w:r>
          </w:p>
        </w:tc>
        <w:tc>
          <w:tcPr>
            <w:tcW w:w="1567" w:type="pct"/>
            <w:vAlign w:val="center"/>
          </w:tcPr>
          <w:p w14:paraId="0D74B42C">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25FC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Align w:val="center"/>
          </w:tcPr>
          <w:p w14:paraId="0A859684">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9</w:t>
            </w:r>
          </w:p>
        </w:tc>
        <w:tc>
          <w:tcPr>
            <w:tcW w:w="902" w:type="pct"/>
            <w:vAlign w:val="center"/>
          </w:tcPr>
          <w:p w14:paraId="41B3A9BB">
            <w:pPr>
              <w:spacing w:line="360" w:lineRule="auto"/>
              <w:outlineLvl w:val="2"/>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lang w:val="en-US" w:eastAsia="zh-CN"/>
              </w:rPr>
              <w:t>技术</w:t>
            </w:r>
            <w:r>
              <w:rPr>
                <w:rFonts w:hint="eastAsia" w:asciiTheme="minorEastAsia" w:hAnsiTheme="minorEastAsia" w:eastAsiaTheme="minorEastAsia"/>
                <w:color w:val="auto"/>
                <w:sz w:val="24"/>
                <w:szCs w:val="28"/>
                <w:highlight w:val="none"/>
              </w:rPr>
              <w:t>响应情况</w:t>
            </w:r>
          </w:p>
        </w:tc>
        <w:tc>
          <w:tcPr>
            <w:tcW w:w="2170" w:type="pct"/>
            <w:vAlign w:val="center"/>
          </w:tcPr>
          <w:p w14:paraId="65158D84">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文件采购需求中</w:t>
            </w:r>
            <w:r>
              <w:rPr>
                <w:rFonts w:hint="eastAsia" w:asciiTheme="minorEastAsia" w:hAnsiTheme="minorEastAsia" w:eastAsiaTheme="minorEastAsia"/>
                <w:color w:val="auto"/>
                <w:sz w:val="24"/>
                <w:szCs w:val="28"/>
                <w:highlight w:val="none"/>
                <w:lang w:val="en-US" w:eastAsia="zh-CN"/>
              </w:rPr>
              <w:t>采购需求等实质性</w:t>
            </w:r>
            <w:r>
              <w:rPr>
                <w:rFonts w:hint="eastAsia" w:asciiTheme="minorEastAsia" w:hAnsiTheme="minorEastAsia" w:eastAsiaTheme="minorEastAsia"/>
                <w:color w:val="auto"/>
                <w:sz w:val="24"/>
                <w:szCs w:val="28"/>
                <w:highlight w:val="none"/>
              </w:rPr>
              <w:t>要求</w:t>
            </w:r>
          </w:p>
        </w:tc>
        <w:tc>
          <w:tcPr>
            <w:tcW w:w="1567" w:type="pct"/>
            <w:vAlign w:val="center"/>
          </w:tcPr>
          <w:p w14:paraId="1479E7B2">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1E8C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Align w:val="center"/>
          </w:tcPr>
          <w:p w14:paraId="27AB8D78">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10</w:t>
            </w:r>
          </w:p>
        </w:tc>
        <w:tc>
          <w:tcPr>
            <w:tcW w:w="902" w:type="pct"/>
            <w:vAlign w:val="center"/>
          </w:tcPr>
          <w:p w14:paraId="5CD310CC">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其他要求</w:t>
            </w:r>
          </w:p>
        </w:tc>
        <w:tc>
          <w:tcPr>
            <w:tcW w:w="2170" w:type="pct"/>
            <w:vAlign w:val="center"/>
          </w:tcPr>
          <w:p w14:paraId="1CF287E9">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符合法律、行政法规规定的其他条件或</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567" w:type="pct"/>
            <w:vAlign w:val="center"/>
          </w:tcPr>
          <w:p w14:paraId="499AF4B2">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p>
        </w:tc>
      </w:tr>
    </w:tbl>
    <w:p w14:paraId="7D15445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32C934FB">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hint="eastAsia" w:asciiTheme="minorEastAsia" w:hAnsiTheme="minorEastAsia" w:eastAsiaTheme="minorEastAsia"/>
          <w:b/>
          <w:color w:val="auto"/>
          <w:sz w:val="24"/>
          <w:highlight w:val="none"/>
        </w:rPr>
        <w:t>综合评分</w:t>
      </w:r>
    </w:p>
    <w:p w14:paraId="72ACC5B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ascii="宋体" w:hAnsi="宋体" w:eastAsia="宋体"/>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0C15846E">
      <w:pPr>
        <w:spacing w:line="360" w:lineRule="auto"/>
        <w:ind w:firstLine="435"/>
        <w:rPr>
          <w:color w:val="auto"/>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hint="eastAsia" w:asciiTheme="minorEastAsia" w:hAnsiTheme="minorEastAsia" w:eastAsiaTheme="minorEastAsia"/>
          <w:color w:val="auto"/>
          <w:sz w:val="24"/>
          <w:highlight w:val="none"/>
          <w:u w:val="single"/>
          <w:lang w:val="en-US" w:eastAsia="zh-CN"/>
        </w:rPr>
        <w:t>85</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15</w:t>
      </w:r>
      <w:r>
        <w:rPr>
          <w:rFonts w:asciiTheme="minorEastAsia" w:hAnsiTheme="minorEastAsia" w:eastAsiaTheme="minorEastAsia"/>
          <w:color w:val="auto"/>
          <w:sz w:val="24"/>
          <w:highlight w:val="none"/>
        </w:rPr>
        <w:t>%。具体评分细则如下：</w:t>
      </w:r>
    </w:p>
    <w:tbl>
      <w:tblPr>
        <w:tblStyle w:val="26"/>
        <w:tblW w:w="55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9"/>
        <w:gridCol w:w="1434"/>
        <w:gridCol w:w="6620"/>
        <w:gridCol w:w="1340"/>
      </w:tblGrid>
      <w:tr w14:paraId="0A07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03" w:type="pct"/>
            <w:tcBorders>
              <w:top w:val="single" w:color="auto" w:sz="4" w:space="0"/>
              <w:left w:val="single" w:color="auto" w:sz="4" w:space="0"/>
              <w:bottom w:val="single" w:color="auto" w:sz="4" w:space="0"/>
              <w:right w:val="single" w:color="auto" w:sz="4" w:space="0"/>
            </w:tcBorders>
            <w:vAlign w:val="center"/>
          </w:tcPr>
          <w:p w14:paraId="58BEA5DD">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类别</w:t>
            </w:r>
          </w:p>
        </w:tc>
        <w:tc>
          <w:tcPr>
            <w:tcW w:w="671" w:type="pct"/>
            <w:tcBorders>
              <w:top w:val="single" w:color="auto" w:sz="4" w:space="0"/>
              <w:left w:val="single" w:color="auto" w:sz="4" w:space="0"/>
              <w:bottom w:val="single" w:color="auto" w:sz="4" w:space="0"/>
              <w:right w:val="single" w:color="auto" w:sz="4" w:space="0"/>
            </w:tcBorders>
            <w:vAlign w:val="center"/>
          </w:tcPr>
          <w:p w14:paraId="5E953DB4">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评分内容</w:t>
            </w:r>
          </w:p>
        </w:tc>
        <w:tc>
          <w:tcPr>
            <w:tcW w:w="3098" w:type="pct"/>
            <w:tcBorders>
              <w:top w:val="single" w:color="auto" w:sz="4" w:space="0"/>
              <w:left w:val="single" w:color="auto" w:sz="4" w:space="0"/>
              <w:bottom w:val="single" w:color="auto" w:sz="4" w:space="0"/>
              <w:right w:val="single" w:color="auto" w:sz="4" w:space="0"/>
            </w:tcBorders>
            <w:vAlign w:val="center"/>
          </w:tcPr>
          <w:p w14:paraId="2F096723">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评分标准</w:t>
            </w:r>
          </w:p>
        </w:tc>
        <w:tc>
          <w:tcPr>
            <w:tcW w:w="627" w:type="pct"/>
            <w:tcBorders>
              <w:top w:val="single" w:color="auto" w:sz="4" w:space="0"/>
              <w:left w:val="single" w:color="auto" w:sz="4" w:space="0"/>
              <w:bottom w:val="single" w:color="auto" w:sz="4" w:space="0"/>
              <w:right w:val="single" w:color="auto" w:sz="4" w:space="0"/>
            </w:tcBorders>
            <w:vAlign w:val="center"/>
          </w:tcPr>
          <w:p w14:paraId="23695DC0">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分值范围</w:t>
            </w:r>
          </w:p>
        </w:tc>
      </w:tr>
      <w:tr w14:paraId="01A7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Merge w:val="restart"/>
            <w:tcBorders>
              <w:top w:val="single" w:color="auto" w:sz="4" w:space="0"/>
              <w:left w:val="single" w:color="auto" w:sz="4" w:space="0"/>
              <w:right w:val="single" w:color="auto" w:sz="4" w:space="0"/>
            </w:tcBorders>
            <w:vAlign w:val="center"/>
          </w:tcPr>
          <w:p w14:paraId="24896528">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技术资信分</w:t>
            </w:r>
          </w:p>
          <w:p w14:paraId="0AE8F60B">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lang w:val="en-US" w:eastAsia="zh-CN"/>
              </w:rPr>
              <w:t>85</w:t>
            </w:r>
            <w:r>
              <w:rPr>
                <w:rFonts w:hint="eastAsia" w:asciiTheme="minorEastAsia" w:hAnsiTheme="minorEastAsia" w:eastAsiaTheme="minorEastAsia" w:cstheme="minorEastAsia"/>
                <w:color w:val="auto"/>
                <w:sz w:val="24"/>
                <w:szCs w:val="24"/>
                <w:highlight w:val="none"/>
              </w:rPr>
              <w:t>分）</w:t>
            </w:r>
          </w:p>
        </w:tc>
        <w:tc>
          <w:tcPr>
            <w:tcW w:w="671" w:type="pct"/>
            <w:tcBorders>
              <w:top w:val="single" w:color="auto" w:sz="4" w:space="0"/>
              <w:left w:val="single" w:color="auto" w:sz="4" w:space="0"/>
              <w:bottom w:val="single" w:color="auto" w:sz="4" w:space="0"/>
              <w:right w:val="single" w:color="auto" w:sz="4" w:space="0"/>
            </w:tcBorders>
            <w:vAlign w:val="center"/>
          </w:tcPr>
          <w:p w14:paraId="35FB8D5F">
            <w:pPr>
              <w:keepNext w:val="0"/>
              <w:keepLines w:val="0"/>
              <w:pageBreakBefore w:val="0"/>
              <w:widowControl w:val="0"/>
              <w:kinsoku/>
              <w:wordWrap/>
              <w:overflowPunct/>
              <w:topLinePunct w:val="0"/>
              <w:autoSpaceDE/>
              <w:autoSpaceDN/>
              <w:bidi w:val="0"/>
              <w:spacing w:line="360" w:lineRule="auto"/>
              <w:jc w:val="center"/>
              <w:textAlignment w:val="auto"/>
              <w:rPr>
                <w:rFonts w:hint="default"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供应商业绩</w:t>
            </w:r>
          </w:p>
        </w:tc>
        <w:tc>
          <w:tcPr>
            <w:tcW w:w="3098" w:type="pct"/>
            <w:tcBorders>
              <w:top w:val="single" w:color="auto" w:sz="4" w:space="0"/>
              <w:left w:val="single" w:color="auto" w:sz="4" w:space="0"/>
              <w:bottom w:val="single" w:color="auto" w:sz="4" w:space="0"/>
              <w:right w:val="single" w:color="auto" w:sz="4" w:space="0"/>
            </w:tcBorders>
            <w:vAlign w:val="center"/>
          </w:tcPr>
          <w:p w14:paraId="312154DA">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供应商</w:t>
            </w:r>
            <w:r>
              <w:rPr>
                <w:rFonts w:hint="eastAsia" w:asciiTheme="minorEastAsia" w:hAnsiTheme="minorEastAsia" w:eastAsiaTheme="minorEastAsia" w:cstheme="minorEastAsia"/>
                <w:color w:val="auto"/>
                <w:kern w:val="0"/>
                <w:sz w:val="24"/>
                <w:szCs w:val="24"/>
                <w:highlight w:val="none"/>
              </w:rPr>
              <w:t>202</w:t>
            </w:r>
            <w:r>
              <w:rPr>
                <w:rFonts w:hint="eastAsia" w:asciiTheme="minorEastAsia" w:hAnsiTheme="minorEastAsia" w:eastAsiaTheme="minorEastAsia" w:cstheme="minorEastAsia"/>
                <w:color w:val="auto"/>
                <w:kern w:val="0"/>
                <w:sz w:val="24"/>
                <w:szCs w:val="24"/>
                <w:highlight w:val="none"/>
                <w:lang w:val="en-US" w:eastAsia="zh-CN"/>
              </w:rPr>
              <w:t>3</w:t>
            </w:r>
            <w:r>
              <w:rPr>
                <w:rFonts w:hint="eastAsia" w:asciiTheme="minorEastAsia" w:hAnsiTheme="minorEastAsia" w:eastAsiaTheme="minorEastAsia" w:cstheme="minorEastAsia"/>
                <w:color w:val="auto"/>
                <w:kern w:val="0"/>
                <w:sz w:val="24"/>
                <w:szCs w:val="24"/>
                <w:highlight w:val="none"/>
              </w:rPr>
              <w:t>年1月1日以来，</w:t>
            </w:r>
            <w:r>
              <w:rPr>
                <w:rFonts w:hint="eastAsia" w:asciiTheme="minorEastAsia" w:hAnsiTheme="minorEastAsia" w:eastAsiaTheme="minorEastAsia" w:cstheme="minorEastAsia"/>
                <w:color w:val="auto"/>
                <w:kern w:val="0"/>
                <w:sz w:val="24"/>
                <w:szCs w:val="24"/>
                <w:highlight w:val="none"/>
                <w:lang w:val="en-US" w:eastAsia="zh-CN"/>
              </w:rPr>
              <w:t>具有环境污染事件应急评估或企业环境安全风险隐患排查评估等相关业绩，每提供一个业绩</w:t>
            </w:r>
            <w:r>
              <w:rPr>
                <w:rFonts w:hint="eastAsia" w:asciiTheme="minorEastAsia" w:hAnsiTheme="minorEastAsia" w:eastAsiaTheme="minorEastAsia" w:cstheme="minorEastAsia"/>
                <w:color w:val="auto"/>
                <w:kern w:val="0"/>
                <w:sz w:val="24"/>
                <w:szCs w:val="24"/>
                <w:highlight w:val="none"/>
              </w:rPr>
              <w:t>得</w:t>
            </w: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分</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满分</w:t>
            </w:r>
            <w:r>
              <w:rPr>
                <w:rFonts w:hint="eastAsia" w:asciiTheme="minorEastAsia" w:hAnsiTheme="minorEastAsia" w:eastAsiaTheme="minorEastAsia" w:cstheme="minorEastAsia"/>
                <w:color w:val="auto"/>
                <w:kern w:val="0"/>
                <w:sz w:val="24"/>
                <w:szCs w:val="24"/>
                <w:highlight w:val="none"/>
                <w:lang w:val="en-US" w:eastAsia="zh-CN"/>
              </w:rPr>
              <w:t>10</w:t>
            </w:r>
            <w:r>
              <w:rPr>
                <w:rFonts w:hint="eastAsia" w:asciiTheme="minorEastAsia" w:hAnsiTheme="minorEastAsia" w:eastAsiaTheme="minorEastAsia" w:cstheme="minorEastAsia"/>
                <w:color w:val="auto"/>
                <w:kern w:val="0"/>
                <w:sz w:val="24"/>
                <w:szCs w:val="24"/>
                <w:highlight w:val="none"/>
              </w:rPr>
              <w:t>分</w:t>
            </w:r>
            <w:r>
              <w:rPr>
                <w:rFonts w:hint="eastAsia" w:asciiTheme="minorEastAsia" w:hAnsiTheme="minorEastAsia" w:eastAsiaTheme="minorEastAsia" w:cstheme="minorEastAsia"/>
                <w:color w:val="auto"/>
                <w:kern w:val="0"/>
                <w:sz w:val="24"/>
                <w:szCs w:val="24"/>
                <w:highlight w:val="none"/>
                <w:lang w:eastAsia="zh-CN"/>
              </w:rPr>
              <w:t>。</w:t>
            </w:r>
          </w:p>
          <w:p w14:paraId="2BDA5BFB">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rPr>
              <w:t>注：须</w:t>
            </w:r>
            <w:r>
              <w:rPr>
                <w:rFonts w:hint="eastAsia" w:asciiTheme="minorEastAsia" w:hAnsiTheme="minorEastAsia" w:eastAsiaTheme="minorEastAsia" w:cstheme="minorEastAsia"/>
                <w:b/>
                <w:bCs/>
                <w:color w:val="auto"/>
                <w:kern w:val="0"/>
                <w:sz w:val="24"/>
                <w:szCs w:val="24"/>
                <w:highlight w:val="none"/>
                <w:lang w:val="en-US" w:eastAsia="zh-CN"/>
              </w:rPr>
              <w:t>同时</w:t>
            </w:r>
            <w:r>
              <w:rPr>
                <w:rFonts w:hint="eastAsia" w:asciiTheme="minorEastAsia" w:hAnsiTheme="minorEastAsia" w:eastAsiaTheme="minorEastAsia" w:cstheme="minorEastAsia"/>
                <w:b/>
                <w:bCs/>
                <w:color w:val="auto"/>
                <w:kern w:val="0"/>
                <w:sz w:val="24"/>
                <w:szCs w:val="24"/>
                <w:highlight w:val="none"/>
              </w:rPr>
              <w:t>提供合同</w:t>
            </w:r>
            <w:r>
              <w:rPr>
                <w:rFonts w:hint="eastAsia" w:asciiTheme="minorEastAsia" w:hAnsiTheme="minorEastAsia" w:eastAsiaTheme="minorEastAsia" w:cstheme="minorEastAsia"/>
                <w:b/>
                <w:bCs/>
                <w:color w:val="auto"/>
                <w:kern w:val="0"/>
                <w:sz w:val="24"/>
                <w:szCs w:val="24"/>
                <w:highlight w:val="none"/>
                <w:lang w:val="en-US" w:eastAsia="zh-CN"/>
              </w:rPr>
              <w:t>及备案（或审批）材料扫描</w:t>
            </w:r>
            <w:r>
              <w:rPr>
                <w:rFonts w:hint="eastAsia" w:asciiTheme="minorEastAsia" w:hAnsiTheme="minorEastAsia" w:eastAsiaTheme="minorEastAsia" w:cstheme="minorEastAsia"/>
                <w:b/>
                <w:bCs/>
                <w:color w:val="auto"/>
                <w:kern w:val="0"/>
                <w:sz w:val="24"/>
                <w:szCs w:val="24"/>
                <w:highlight w:val="none"/>
              </w:rPr>
              <w:t>件以供评审，否则不得分。如合同不能反映服务</w:t>
            </w:r>
            <w:r>
              <w:rPr>
                <w:rFonts w:hint="eastAsia" w:asciiTheme="minorEastAsia" w:hAnsiTheme="minorEastAsia" w:eastAsiaTheme="minorEastAsia" w:cstheme="minorEastAsia"/>
                <w:b/>
                <w:bCs/>
                <w:color w:val="auto"/>
                <w:kern w:val="0"/>
                <w:sz w:val="24"/>
                <w:szCs w:val="24"/>
                <w:highlight w:val="none"/>
                <w:lang w:val="en-US" w:eastAsia="zh-CN"/>
              </w:rPr>
              <w:t>内容</w:t>
            </w:r>
            <w:r>
              <w:rPr>
                <w:rFonts w:hint="eastAsia" w:asciiTheme="minorEastAsia" w:hAnsiTheme="minorEastAsia" w:eastAsiaTheme="minorEastAsia" w:cstheme="minorEastAsia"/>
                <w:b/>
                <w:bCs/>
                <w:color w:val="auto"/>
                <w:kern w:val="0"/>
                <w:sz w:val="24"/>
                <w:szCs w:val="24"/>
                <w:highlight w:val="none"/>
              </w:rPr>
              <w:t>，提供业主证明材料，否则不予认可。</w:t>
            </w:r>
          </w:p>
        </w:tc>
        <w:tc>
          <w:tcPr>
            <w:tcW w:w="627" w:type="pct"/>
            <w:tcBorders>
              <w:top w:val="single" w:color="auto" w:sz="4" w:space="0"/>
              <w:left w:val="single" w:color="auto" w:sz="4" w:space="0"/>
              <w:bottom w:val="single" w:color="auto" w:sz="4" w:space="0"/>
              <w:right w:val="single" w:color="auto" w:sz="4" w:space="0"/>
            </w:tcBorders>
            <w:vAlign w:val="center"/>
          </w:tcPr>
          <w:p w14:paraId="3CCBACA4">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0-10分</w:t>
            </w:r>
          </w:p>
        </w:tc>
      </w:tr>
      <w:tr w14:paraId="78F9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Merge w:val="continue"/>
            <w:tcBorders>
              <w:left w:val="single" w:color="auto" w:sz="4" w:space="0"/>
              <w:right w:val="single" w:color="auto" w:sz="4" w:space="0"/>
            </w:tcBorders>
            <w:vAlign w:val="center"/>
          </w:tcPr>
          <w:p w14:paraId="157AF582">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color w:val="auto"/>
                <w:sz w:val="24"/>
                <w:szCs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582BF6DC">
            <w:pPr>
              <w:keepNext w:val="0"/>
              <w:keepLines w:val="0"/>
              <w:pageBreakBefore w:val="0"/>
              <w:widowControl w:val="0"/>
              <w:kinsoku/>
              <w:wordWrap/>
              <w:overflowPunct/>
              <w:topLinePunct w:val="0"/>
              <w:autoSpaceDE/>
              <w:autoSpaceDN/>
              <w:bidi w:val="0"/>
              <w:spacing w:line="360" w:lineRule="auto"/>
              <w:jc w:val="center"/>
              <w:textAlignment w:val="auto"/>
              <w:rPr>
                <w:rFonts w:hint="default"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人员配备</w:t>
            </w:r>
          </w:p>
        </w:tc>
        <w:tc>
          <w:tcPr>
            <w:tcW w:w="3098" w:type="pct"/>
            <w:tcBorders>
              <w:top w:val="single" w:color="auto" w:sz="4" w:space="0"/>
              <w:left w:val="single" w:color="auto" w:sz="4" w:space="0"/>
              <w:bottom w:val="single" w:color="auto" w:sz="4" w:space="0"/>
              <w:right w:val="single" w:color="auto" w:sz="4" w:space="0"/>
            </w:tcBorders>
            <w:vAlign w:val="center"/>
          </w:tcPr>
          <w:p w14:paraId="660F3B84">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1、项目负责人（限配备1名）（满分5分）</w:t>
            </w:r>
          </w:p>
          <w:p w14:paraId="408016F2">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供应商为本项目配备的项目负责人具有博士及以上学历或具备环境保护类相关专业正高级职称的，得5分。</w:t>
            </w:r>
          </w:p>
          <w:p w14:paraId="3005E132">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2、其他项目组人员（项目负责人除外，同一人员可以重复计分）（满分20分）</w:t>
            </w:r>
          </w:p>
          <w:p w14:paraId="247AB34B">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（1）每有1名人员具有博士及以上学历的得1分，本小项满分5分。</w:t>
            </w:r>
          </w:p>
          <w:p w14:paraId="12016572">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（2）每有1名人员具有环境保护类或化工类相关专业正高级职称得2分，共计10分；副高级职称得1分，共计5分；本小项满分15分。</w:t>
            </w:r>
          </w:p>
          <w:p w14:paraId="3C34DA96">
            <w:pPr>
              <w:keepNext w:val="0"/>
              <w:keepLines w:val="0"/>
              <w:pageBreakBefore w:val="0"/>
              <w:widowControl w:val="0"/>
              <w:kinsoku/>
              <w:wordWrap/>
              <w:overflowPunct/>
              <w:topLinePunct w:val="0"/>
              <w:autoSpaceDE/>
              <w:autoSpaceDN/>
              <w:bidi w:val="0"/>
              <w:spacing w:line="360" w:lineRule="auto"/>
              <w:textAlignment w:val="auto"/>
              <w:rPr>
                <w:rFonts w:hint="default" w:asciiTheme="minorEastAsia" w:hAnsiTheme="minorEastAsia" w:eastAsiaTheme="minorEastAsia" w:cstheme="minorEastAsia"/>
                <w:b/>
                <w:bCs/>
                <w:color w:val="auto"/>
                <w:kern w:val="0"/>
                <w:sz w:val="24"/>
                <w:szCs w:val="24"/>
                <w:highlight w:val="none"/>
                <w:lang w:val="en-US" w:eastAsia="zh-CN"/>
              </w:rPr>
            </w:pPr>
            <w:r>
              <w:rPr>
                <w:rFonts w:hint="eastAsia" w:asciiTheme="minorEastAsia" w:hAnsiTheme="minorEastAsia" w:eastAsiaTheme="minorEastAsia" w:cstheme="minorEastAsia"/>
                <w:b/>
                <w:bCs/>
                <w:color w:val="auto"/>
                <w:kern w:val="0"/>
                <w:sz w:val="24"/>
                <w:szCs w:val="24"/>
                <w:highlight w:val="none"/>
                <w:lang w:val="en-US" w:eastAsia="zh-CN"/>
              </w:rPr>
              <w:t>注：提供以上人员相关证书及自磋商响应截止日前三个月内任意1个月供应商（或供应商不具备独立法人资格的分支机构）所属社保机构为上述人员缴纳的社保缴费证明（或其他能够证明其参加社保的有效证明材料）。供应商拟派相关人员为退休人员的，应符合国家法律法规关于从业人员执业年龄的规定，同时响应文件中应提供拟派退休人员身份证、退休证及供应商聘用合同(劳务合同)。</w:t>
            </w:r>
          </w:p>
        </w:tc>
        <w:tc>
          <w:tcPr>
            <w:tcW w:w="627" w:type="pct"/>
            <w:tcBorders>
              <w:top w:val="single" w:color="auto" w:sz="4" w:space="0"/>
              <w:left w:val="single" w:color="auto" w:sz="4" w:space="0"/>
              <w:bottom w:val="single" w:color="auto" w:sz="4" w:space="0"/>
              <w:right w:val="single" w:color="auto" w:sz="4" w:space="0"/>
            </w:tcBorders>
            <w:vAlign w:val="center"/>
          </w:tcPr>
          <w:p w14:paraId="763D0508">
            <w:pPr>
              <w:keepNext w:val="0"/>
              <w:keepLines w:val="0"/>
              <w:pageBreakBefore w:val="0"/>
              <w:widowControl w:val="0"/>
              <w:kinsoku/>
              <w:wordWrap/>
              <w:overflowPunct/>
              <w:topLinePunct w:val="0"/>
              <w:autoSpaceDE/>
              <w:autoSpaceDN/>
              <w:bidi w:val="0"/>
              <w:spacing w:line="360" w:lineRule="auto"/>
              <w:jc w:val="center"/>
              <w:textAlignment w:val="auto"/>
              <w:rPr>
                <w:rFonts w:hint="default"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0-25分</w:t>
            </w:r>
          </w:p>
        </w:tc>
      </w:tr>
      <w:tr w14:paraId="5112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Merge w:val="continue"/>
            <w:tcBorders>
              <w:left w:val="single" w:color="auto" w:sz="4" w:space="0"/>
              <w:right w:val="single" w:color="auto" w:sz="4" w:space="0"/>
            </w:tcBorders>
            <w:vAlign w:val="center"/>
          </w:tcPr>
          <w:p w14:paraId="5DB12321">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color w:val="auto"/>
                <w:sz w:val="24"/>
                <w:szCs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3CD0F1AE">
            <w:pPr>
              <w:keepNext w:val="0"/>
              <w:keepLines w:val="0"/>
              <w:pageBreakBefore w:val="0"/>
              <w:widowControl w:val="0"/>
              <w:kinsoku/>
              <w:wordWrap/>
              <w:overflowPunct/>
              <w:topLinePunct w:val="0"/>
              <w:autoSpaceDE/>
              <w:autoSpaceDN/>
              <w:bidi w:val="0"/>
              <w:spacing w:line="360" w:lineRule="auto"/>
              <w:jc w:val="center"/>
              <w:textAlignment w:val="auto"/>
              <w:rPr>
                <w:rFonts w:hint="default" w:asciiTheme="minorEastAsia" w:hAnsiTheme="minorEastAsia" w:eastAsiaTheme="minorEastAsia" w:cstheme="minorEastAsia"/>
                <w:bCs/>
                <w:color w:val="auto"/>
                <w:sz w:val="24"/>
                <w:szCs w:val="24"/>
                <w:highlight w:val="none"/>
                <w:lang w:val="en-US" w:eastAsia="zh-CN"/>
              </w:rPr>
            </w:pPr>
            <w:r>
              <w:rPr>
                <w:rFonts w:hint="default" w:asciiTheme="minorEastAsia" w:hAnsiTheme="minorEastAsia" w:eastAsiaTheme="minorEastAsia" w:cstheme="minorEastAsia"/>
                <w:bCs/>
                <w:color w:val="auto"/>
                <w:sz w:val="24"/>
                <w:szCs w:val="24"/>
                <w:highlight w:val="none"/>
                <w:lang w:val="en-US" w:eastAsia="zh-CN"/>
              </w:rPr>
              <w:t>对本项目的理解与分析</w:t>
            </w:r>
          </w:p>
        </w:tc>
        <w:tc>
          <w:tcPr>
            <w:tcW w:w="3098" w:type="pct"/>
            <w:tcBorders>
              <w:top w:val="single" w:color="auto" w:sz="4" w:space="0"/>
              <w:left w:val="single" w:color="auto" w:sz="4" w:space="0"/>
              <w:bottom w:val="single" w:color="auto" w:sz="4" w:space="0"/>
              <w:right w:val="single" w:color="auto" w:sz="4" w:space="0"/>
            </w:tcBorders>
            <w:vAlign w:val="center"/>
          </w:tcPr>
          <w:p w14:paraId="26E6486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1.对项目理解分析深刻，对项目需求和目标理解分析准确，优于本项目采购需求,可行性、实用性、针对性强，得</w:t>
            </w:r>
            <w:r>
              <w:rPr>
                <w:rFonts w:hint="eastAsia" w:asciiTheme="minorEastAsia" w:hAnsiTheme="minorEastAsia" w:eastAsiaTheme="minorEastAsia" w:cstheme="minorEastAsia"/>
                <w:bCs/>
                <w:color w:val="auto"/>
                <w:sz w:val="24"/>
                <w:szCs w:val="24"/>
                <w:highlight w:val="none"/>
                <w:lang w:val="en-US" w:eastAsia="zh-CN"/>
              </w:rPr>
              <w:t>10</w:t>
            </w:r>
            <w:r>
              <w:rPr>
                <w:rFonts w:hint="eastAsia" w:asciiTheme="minorEastAsia" w:hAnsiTheme="minorEastAsia" w:eastAsiaTheme="minorEastAsia" w:cstheme="minorEastAsia"/>
                <w:bCs/>
                <w:color w:val="auto"/>
                <w:sz w:val="24"/>
                <w:szCs w:val="24"/>
                <w:highlight w:val="none"/>
              </w:rPr>
              <w:t>分；</w:t>
            </w:r>
          </w:p>
          <w:p w14:paraId="638A739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2.对项目理解和对项目需求和目标理解分析完善详细，满足本项目采购需求, 具有可行性、实用性和针对性，得</w:t>
            </w:r>
            <w:r>
              <w:rPr>
                <w:rFonts w:hint="eastAsia" w:asciiTheme="minorEastAsia" w:hAnsiTheme="minorEastAsia" w:eastAsiaTheme="minorEastAsia" w:cstheme="minorEastAsia"/>
                <w:bCs/>
                <w:color w:val="auto"/>
                <w:sz w:val="24"/>
                <w:szCs w:val="24"/>
                <w:highlight w:val="none"/>
                <w:lang w:val="en-US" w:eastAsia="zh-CN"/>
              </w:rPr>
              <w:t>8</w:t>
            </w:r>
            <w:r>
              <w:rPr>
                <w:rFonts w:hint="eastAsia" w:asciiTheme="minorEastAsia" w:hAnsiTheme="minorEastAsia" w:eastAsiaTheme="minorEastAsia" w:cstheme="minorEastAsia"/>
                <w:bCs/>
                <w:color w:val="auto"/>
                <w:sz w:val="24"/>
                <w:szCs w:val="24"/>
                <w:highlight w:val="none"/>
              </w:rPr>
              <w:t>分；</w:t>
            </w:r>
          </w:p>
          <w:p w14:paraId="52C0012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3.对项目理解和对项目需求和目标理解分析有待提升，基本满足本项目采购需求,可行性、实用性、针对性有待改善,得</w:t>
            </w:r>
            <w:r>
              <w:rPr>
                <w:rFonts w:hint="eastAsia" w:asciiTheme="minorEastAsia" w:hAnsiTheme="minorEastAsia" w:eastAsiaTheme="minorEastAsia" w:cstheme="minorEastAsia"/>
                <w:bCs/>
                <w:color w:val="auto"/>
                <w:sz w:val="24"/>
                <w:szCs w:val="24"/>
                <w:highlight w:val="none"/>
                <w:lang w:val="en-US" w:eastAsia="zh-CN"/>
              </w:rPr>
              <w:t>6</w:t>
            </w:r>
            <w:r>
              <w:rPr>
                <w:rFonts w:hint="eastAsia" w:asciiTheme="minorEastAsia" w:hAnsiTheme="minorEastAsia" w:eastAsiaTheme="minorEastAsia" w:cstheme="minorEastAsia"/>
                <w:bCs/>
                <w:color w:val="auto"/>
                <w:sz w:val="24"/>
                <w:szCs w:val="24"/>
                <w:highlight w:val="none"/>
              </w:rPr>
              <w:t>分；</w:t>
            </w:r>
          </w:p>
          <w:p w14:paraId="7FDB393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4.对本项目的理解与分析不可行或未提供的不得分。</w:t>
            </w:r>
          </w:p>
        </w:tc>
        <w:tc>
          <w:tcPr>
            <w:tcW w:w="627" w:type="pct"/>
            <w:tcBorders>
              <w:top w:val="single" w:color="auto" w:sz="4" w:space="0"/>
              <w:left w:val="single" w:color="auto" w:sz="4" w:space="0"/>
              <w:bottom w:val="single" w:color="auto" w:sz="4" w:space="0"/>
              <w:right w:val="single" w:color="auto" w:sz="4" w:space="0"/>
            </w:tcBorders>
            <w:vAlign w:val="center"/>
          </w:tcPr>
          <w:p w14:paraId="6187A753">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0-10分</w:t>
            </w:r>
          </w:p>
        </w:tc>
      </w:tr>
      <w:tr w14:paraId="1EB6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Merge w:val="continue"/>
            <w:tcBorders>
              <w:left w:val="single" w:color="auto" w:sz="4" w:space="0"/>
              <w:right w:val="single" w:color="auto" w:sz="4" w:space="0"/>
            </w:tcBorders>
            <w:vAlign w:val="center"/>
          </w:tcPr>
          <w:p w14:paraId="3C8F5122">
            <w:pPr>
              <w:keepNext w:val="0"/>
              <w:keepLines w:val="0"/>
              <w:pageBreakBefore w:val="0"/>
              <w:widowControl w:val="0"/>
              <w:kinsoku/>
              <w:wordWrap/>
              <w:overflowPunct/>
              <w:topLinePunct w:val="0"/>
              <w:autoSpaceDE/>
              <w:autoSpaceDN/>
              <w:bidi w:val="0"/>
              <w:spacing w:line="360" w:lineRule="auto"/>
              <w:ind w:firstLine="435"/>
              <w:jc w:val="center"/>
              <w:textAlignment w:val="auto"/>
              <w:rPr>
                <w:rFonts w:hint="eastAsia" w:asciiTheme="minorEastAsia" w:hAnsiTheme="minorEastAsia" w:eastAsiaTheme="minorEastAsia" w:cstheme="minorEastAsia"/>
                <w:b/>
                <w:bCs/>
                <w:color w:val="auto"/>
                <w:sz w:val="24"/>
                <w:szCs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4FAD8BBD">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对企业安全和环保风险评估项目的了解</w:t>
            </w:r>
          </w:p>
        </w:tc>
        <w:tc>
          <w:tcPr>
            <w:tcW w:w="3098" w:type="pct"/>
            <w:tcBorders>
              <w:top w:val="single" w:color="auto" w:sz="4" w:space="0"/>
              <w:left w:val="single" w:color="auto" w:sz="4" w:space="0"/>
              <w:bottom w:val="single" w:color="auto" w:sz="4" w:space="0"/>
              <w:right w:val="single" w:color="auto" w:sz="4" w:space="0"/>
            </w:tcBorders>
            <w:vAlign w:val="center"/>
          </w:tcPr>
          <w:p w14:paraId="277C9949">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1.对企业安全和环保风险评估项目的了解分析深刻，优于本项目采购需求,可行性、实用性、针对性强，得</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分；</w:t>
            </w:r>
          </w:p>
          <w:p w14:paraId="7E619601">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2.对企业安全和环保风险评估项目的了解分析完善详细，满足本项目采购需求, 具有可行性、实用性和针对性，得</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分；</w:t>
            </w:r>
          </w:p>
          <w:p w14:paraId="7850B2BC">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3.对企业安全和环保风险评估项目的了解有待提升，基本满足本项目采购需求,可行性、实用性、针对性有待改善,得</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p>
          <w:p w14:paraId="5E8820B9">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4.对企业安全和环保风险评估项目的了解不可行或未提供的不得分。</w:t>
            </w:r>
          </w:p>
        </w:tc>
        <w:tc>
          <w:tcPr>
            <w:tcW w:w="627" w:type="pct"/>
            <w:tcBorders>
              <w:top w:val="single" w:color="auto" w:sz="4" w:space="0"/>
              <w:left w:val="single" w:color="auto" w:sz="4" w:space="0"/>
              <w:bottom w:val="single" w:color="auto" w:sz="4" w:space="0"/>
              <w:right w:val="single" w:color="auto" w:sz="4" w:space="0"/>
            </w:tcBorders>
            <w:vAlign w:val="center"/>
          </w:tcPr>
          <w:p w14:paraId="50AC3B58">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0-10分</w:t>
            </w:r>
          </w:p>
        </w:tc>
      </w:tr>
      <w:tr w14:paraId="5D53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Merge w:val="continue"/>
            <w:tcBorders>
              <w:left w:val="single" w:color="auto" w:sz="4" w:space="0"/>
              <w:right w:val="single" w:color="auto" w:sz="4" w:space="0"/>
            </w:tcBorders>
            <w:vAlign w:val="center"/>
          </w:tcPr>
          <w:p w14:paraId="41DDF5F1">
            <w:pPr>
              <w:keepNext w:val="0"/>
              <w:keepLines w:val="0"/>
              <w:pageBreakBefore w:val="0"/>
              <w:widowControl w:val="0"/>
              <w:kinsoku/>
              <w:wordWrap/>
              <w:overflowPunct/>
              <w:topLinePunct w:val="0"/>
              <w:autoSpaceDE/>
              <w:autoSpaceDN/>
              <w:bidi w:val="0"/>
              <w:spacing w:line="360" w:lineRule="auto"/>
              <w:ind w:firstLine="435"/>
              <w:jc w:val="center"/>
              <w:textAlignment w:val="auto"/>
              <w:rPr>
                <w:rFonts w:hint="eastAsia" w:asciiTheme="minorEastAsia" w:hAnsiTheme="minorEastAsia" w:eastAsiaTheme="minorEastAsia" w:cstheme="minorEastAsia"/>
                <w:b/>
                <w:bCs/>
                <w:color w:val="auto"/>
                <w:sz w:val="24"/>
                <w:szCs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7E075D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对评估对象的概况分析</w:t>
            </w:r>
          </w:p>
        </w:tc>
        <w:tc>
          <w:tcPr>
            <w:tcW w:w="3098" w:type="pct"/>
            <w:tcBorders>
              <w:top w:val="single" w:color="auto" w:sz="4" w:space="0"/>
              <w:left w:val="single" w:color="auto" w:sz="4" w:space="0"/>
              <w:bottom w:val="single" w:color="auto" w:sz="4" w:space="0"/>
              <w:right w:val="single" w:color="auto" w:sz="4" w:space="0"/>
            </w:tcBorders>
            <w:vAlign w:val="center"/>
          </w:tcPr>
          <w:p w14:paraId="0E0E00D2">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1.对评估对象的概况分析深刻，优于本项目采购需求,可行性、实用性、针对性强，得8分；</w:t>
            </w:r>
          </w:p>
          <w:p w14:paraId="5FFB41BC">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2.对评估对象的概况分析完善详细，满足本项目采购需求,具有可行性、实用性和针对性，得6分；</w:t>
            </w:r>
          </w:p>
          <w:p w14:paraId="0E92A1C0">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3.对评估对象的概况分析有待提升，基本满足本项目采购需求,可行性、实用性、针对性有待改善,得4分；</w:t>
            </w:r>
          </w:p>
          <w:p w14:paraId="697F6E85">
            <w:pPr>
              <w:keepNext w:val="0"/>
              <w:keepLines w:val="0"/>
              <w:pageBreakBefore w:val="0"/>
              <w:widowControl w:val="0"/>
              <w:kinsoku/>
              <w:wordWrap/>
              <w:overflowPunct/>
              <w:topLinePunct w:val="0"/>
              <w:autoSpaceDE/>
              <w:autoSpaceDN/>
              <w:bidi w:val="0"/>
              <w:spacing w:line="360" w:lineRule="auto"/>
              <w:jc w:val="left"/>
              <w:textAlignment w:val="auto"/>
              <w:rPr>
                <w:rFonts w:hint="eastAsia"/>
                <w:color w:val="auto"/>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4.对评估对象的概况分析不可行或未提供的不得分。</w:t>
            </w:r>
          </w:p>
        </w:tc>
        <w:tc>
          <w:tcPr>
            <w:tcW w:w="627" w:type="pct"/>
            <w:tcBorders>
              <w:top w:val="single" w:color="auto" w:sz="4" w:space="0"/>
              <w:left w:val="single" w:color="auto" w:sz="4" w:space="0"/>
              <w:bottom w:val="single" w:color="auto" w:sz="4" w:space="0"/>
              <w:right w:val="single" w:color="auto" w:sz="4" w:space="0"/>
            </w:tcBorders>
            <w:vAlign w:val="center"/>
          </w:tcPr>
          <w:p w14:paraId="1759B392">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asciiTheme="minorEastAsia" w:hAnsiTheme="minorEastAsia" w:eastAsiaTheme="minorEastAsia" w:cstheme="minorEastAsia"/>
                <w:b/>
                <w:bCs/>
                <w:color w:val="auto"/>
                <w:sz w:val="24"/>
                <w:szCs w:val="24"/>
                <w:highlight w:val="none"/>
                <w:lang w:val="en-US" w:eastAsia="zh-CN"/>
              </w:rPr>
              <w:t>0-8分</w:t>
            </w:r>
          </w:p>
        </w:tc>
      </w:tr>
      <w:tr w14:paraId="2771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Merge w:val="continue"/>
            <w:tcBorders>
              <w:left w:val="single" w:color="auto" w:sz="4" w:space="0"/>
              <w:right w:val="single" w:color="auto" w:sz="4" w:space="0"/>
            </w:tcBorders>
            <w:vAlign w:val="center"/>
          </w:tcPr>
          <w:p w14:paraId="48A2192F">
            <w:pPr>
              <w:keepNext w:val="0"/>
              <w:keepLines w:val="0"/>
              <w:pageBreakBefore w:val="0"/>
              <w:widowControl w:val="0"/>
              <w:kinsoku/>
              <w:wordWrap/>
              <w:overflowPunct/>
              <w:topLinePunct w:val="0"/>
              <w:autoSpaceDE/>
              <w:autoSpaceDN/>
              <w:bidi w:val="0"/>
              <w:spacing w:line="360" w:lineRule="auto"/>
              <w:ind w:firstLine="435"/>
              <w:jc w:val="center"/>
              <w:textAlignment w:val="auto"/>
              <w:rPr>
                <w:rFonts w:hint="eastAsia" w:asciiTheme="minorEastAsia" w:hAnsiTheme="minorEastAsia" w:eastAsiaTheme="minorEastAsia" w:cstheme="minorEastAsia"/>
                <w:b/>
                <w:bCs/>
                <w:color w:val="auto"/>
                <w:sz w:val="24"/>
                <w:szCs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5A7F1B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项目的实施进度计划</w:t>
            </w:r>
          </w:p>
        </w:tc>
        <w:tc>
          <w:tcPr>
            <w:tcW w:w="3098" w:type="pct"/>
            <w:tcBorders>
              <w:top w:val="single" w:color="auto" w:sz="4" w:space="0"/>
              <w:left w:val="single" w:color="auto" w:sz="4" w:space="0"/>
              <w:bottom w:val="single" w:color="auto" w:sz="4" w:space="0"/>
              <w:right w:val="single" w:color="auto" w:sz="4" w:space="0"/>
            </w:tcBorders>
            <w:vAlign w:val="center"/>
          </w:tcPr>
          <w:p w14:paraId="324AC54D">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1.项目的实施进度计划分析深刻，优于本项目采购需求,可行性、实用性、针对性强，得6分；</w:t>
            </w:r>
          </w:p>
          <w:p w14:paraId="03501EF0">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2.项目的实施进度计划分析完善详细，满足本项目采购需求,具有可行性、实用性和针对性，得4分；</w:t>
            </w:r>
          </w:p>
          <w:p w14:paraId="38DD3CE1">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3.项目的实施进度计划有待提升，基本满足本项目采购需求,可行性、实用性、针对性有待改善,得2分；</w:t>
            </w:r>
          </w:p>
          <w:p w14:paraId="6B52DF0D">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4.项目的实施进度计划分析不可行或未提供的不得分。</w:t>
            </w:r>
          </w:p>
        </w:tc>
        <w:tc>
          <w:tcPr>
            <w:tcW w:w="627" w:type="pct"/>
            <w:tcBorders>
              <w:top w:val="single" w:color="auto" w:sz="4" w:space="0"/>
              <w:left w:val="single" w:color="auto" w:sz="4" w:space="0"/>
              <w:bottom w:val="single" w:color="auto" w:sz="4" w:space="0"/>
              <w:right w:val="single" w:color="auto" w:sz="4" w:space="0"/>
            </w:tcBorders>
            <w:vAlign w:val="center"/>
          </w:tcPr>
          <w:p w14:paraId="11B069FB">
            <w:pPr>
              <w:keepNext w:val="0"/>
              <w:keepLines w:val="0"/>
              <w:pageBreakBefore w:val="0"/>
              <w:widowControl w:val="0"/>
              <w:kinsoku/>
              <w:wordWrap/>
              <w:overflowPunct/>
              <w:topLinePunct w:val="0"/>
              <w:autoSpaceDE/>
              <w:autoSpaceDN/>
              <w:bidi w:val="0"/>
              <w:spacing w:line="360" w:lineRule="auto"/>
              <w:jc w:val="center"/>
              <w:textAlignment w:val="auto"/>
              <w:rPr>
                <w:rFonts w:hint="default"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0-6分</w:t>
            </w:r>
          </w:p>
        </w:tc>
      </w:tr>
      <w:tr w14:paraId="4DE2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Merge w:val="continue"/>
            <w:tcBorders>
              <w:left w:val="single" w:color="auto" w:sz="4" w:space="0"/>
              <w:right w:val="single" w:color="auto" w:sz="4" w:space="0"/>
            </w:tcBorders>
            <w:vAlign w:val="center"/>
          </w:tcPr>
          <w:p w14:paraId="2E12C303">
            <w:pPr>
              <w:keepNext w:val="0"/>
              <w:keepLines w:val="0"/>
              <w:pageBreakBefore w:val="0"/>
              <w:widowControl w:val="0"/>
              <w:kinsoku/>
              <w:wordWrap/>
              <w:overflowPunct/>
              <w:topLinePunct w:val="0"/>
              <w:autoSpaceDE/>
              <w:autoSpaceDN/>
              <w:bidi w:val="0"/>
              <w:spacing w:line="360" w:lineRule="auto"/>
              <w:ind w:firstLine="435"/>
              <w:jc w:val="center"/>
              <w:textAlignment w:val="auto"/>
              <w:rPr>
                <w:rFonts w:hint="eastAsia" w:asciiTheme="minorEastAsia" w:hAnsiTheme="minorEastAsia" w:eastAsiaTheme="minorEastAsia" w:cstheme="minorEastAsia"/>
                <w:b/>
                <w:bCs/>
                <w:color w:val="auto"/>
                <w:sz w:val="24"/>
                <w:szCs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60D089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服务质量控制方案</w:t>
            </w:r>
          </w:p>
        </w:tc>
        <w:tc>
          <w:tcPr>
            <w:tcW w:w="3098" w:type="pct"/>
            <w:tcBorders>
              <w:top w:val="single" w:color="auto" w:sz="4" w:space="0"/>
              <w:left w:val="single" w:color="auto" w:sz="4" w:space="0"/>
              <w:bottom w:val="single" w:color="auto" w:sz="4" w:space="0"/>
              <w:right w:val="single" w:color="auto" w:sz="4" w:space="0"/>
            </w:tcBorders>
            <w:vAlign w:val="center"/>
          </w:tcPr>
          <w:p w14:paraId="4DA16BDB">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商提供的服务质量控制方案包括但不限于：</w:t>
            </w:r>
          </w:p>
          <w:p w14:paraId="2AA75B21">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（1）供应商组织结构；</w:t>
            </w:r>
          </w:p>
          <w:p w14:paraId="43B4C246">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（2）质量管理制度；</w:t>
            </w:r>
          </w:p>
          <w:p w14:paraId="0BAD163D">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（3）公正性管理制度；</w:t>
            </w:r>
          </w:p>
          <w:p w14:paraId="1938EC75">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（4）保密管理制度。</w:t>
            </w:r>
          </w:p>
          <w:p w14:paraId="5991C871">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综合评审供应商提供的服务质量控制方案：</w:t>
            </w:r>
          </w:p>
          <w:p w14:paraId="015A3897">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（1）组织结构清晰且明确，各项制度，针对性及可行性强，完全满足采购需求，得8分；</w:t>
            </w:r>
          </w:p>
          <w:p w14:paraId="364CB6F4">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（2）组织结构较清晰，各项制度，针对性及可行性较强，能够较好满足采购需求，得6分；</w:t>
            </w:r>
          </w:p>
          <w:p w14:paraId="43CA3104">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（3）组织结构基本清晰，各项制度有待改善，具有一定可行性，基本满足采购需求，得4分；</w:t>
            </w:r>
          </w:p>
          <w:p w14:paraId="470A1A8C">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（4）未提供的不得分。</w:t>
            </w:r>
          </w:p>
        </w:tc>
        <w:tc>
          <w:tcPr>
            <w:tcW w:w="627" w:type="pct"/>
            <w:tcBorders>
              <w:top w:val="single" w:color="auto" w:sz="4" w:space="0"/>
              <w:left w:val="single" w:color="auto" w:sz="4" w:space="0"/>
              <w:bottom w:val="single" w:color="auto" w:sz="4" w:space="0"/>
              <w:right w:val="single" w:color="auto" w:sz="4" w:space="0"/>
            </w:tcBorders>
            <w:vAlign w:val="center"/>
          </w:tcPr>
          <w:p w14:paraId="447D20F4">
            <w:pPr>
              <w:keepNext w:val="0"/>
              <w:keepLines w:val="0"/>
              <w:pageBreakBefore w:val="0"/>
              <w:widowControl w:val="0"/>
              <w:kinsoku/>
              <w:wordWrap/>
              <w:overflowPunct/>
              <w:topLinePunct w:val="0"/>
              <w:autoSpaceDE/>
              <w:autoSpaceDN/>
              <w:bidi w:val="0"/>
              <w:spacing w:line="360" w:lineRule="auto"/>
              <w:jc w:val="center"/>
              <w:textAlignment w:val="auto"/>
              <w:rPr>
                <w:rFonts w:hint="default"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0-8分</w:t>
            </w:r>
          </w:p>
        </w:tc>
      </w:tr>
      <w:tr w14:paraId="6510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Merge w:val="continue"/>
            <w:tcBorders>
              <w:left w:val="single" w:color="auto" w:sz="4" w:space="0"/>
              <w:right w:val="single" w:color="auto" w:sz="4" w:space="0"/>
            </w:tcBorders>
            <w:vAlign w:val="center"/>
          </w:tcPr>
          <w:p w14:paraId="5306DEA1">
            <w:pPr>
              <w:keepNext w:val="0"/>
              <w:keepLines w:val="0"/>
              <w:pageBreakBefore w:val="0"/>
              <w:widowControl w:val="0"/>
              <w:kinsoku/>
              <w:wordWrap/>
              <w:overflowPunct/>
              <w:topLinePunct w:val="0"/>
              <w:autoSpaceDE/>
              <w:autoSpaceDN/>
              <w:bidi w:val="0"/>
              <w:spacing w:line="360" w:lineRule="auto"/>
              <w:ind w:firstLine="435"/>
              <w:jc w:val="center"/>
              <w:textAlignment w:val="auto"/>
              <w:rPr>
                <w:rFonts w:hint="eastAsia" w:asciiTheme="minorEastAsia" w:hAnsiTheme="minorEastAsia" w:eastAsiaTheme="minorEastAsia" w:cstheme="minorEastAsia"/>
                <w:b/>
                <w:bCs/>
                <w:color w:val="auto"/>
                <w:sz w:val="24"/>
                <w:szCs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4EF5D8DE">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合理化建议</w:t>
            </w:r>
          </w:p>
        </w:tc>
        <w:tc>
          <w:tcPr>
            <w:tcW w:w="3098" w:type="pct"/>
            <w:tcBorders>
              <w:top w:val="single" w:color="auto" w:sz="4" w:space="0"/>
              <w:left w:val="single" w:color="auto" w:sz="4" w:space="0"/>
              <w:bottom w:val="single" w:color="auto" w:sz="4" w:space="0"/>
              <w:right w:val="single" w:color="auto" w:sz="4" w:space="0"/>
            </w:tcBorders>
            <w:vAlign w:val="center"/>
          </w:tcPr>
          <w:p w14:paraId="07BC0926">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(1)合理化建议准确、全面、切合实际，完整详细，可行性、实用性、针对性强，得8分；</w:t>
            </w:r>
          </w:p>
          <w:p w14:paraId="2292359E">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(2)合理化建议基本准确，完整详细,具有可行性、实用性和针对性，得6分；</w:t>
            </w:r>
          </w:p>
          <w:p w14:paraId="6ED63DAE">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(3)合理化建议有待提升，可行性、实用性、针对性有待改善,得4分；</w:t>
            </w:r>
          </w:p>
          <w:p w14:paraId="689215AC">
            <w:pPr>
              <w:keepNext w:val="0"/>
              <w:keepLines w:val="0"/>
              <w:pageBreakBefore w:val="0"/>
              <w:widowControl w:val="0"/>
              <w:kinsoku/>
              <w:wordWrap/>
              <w:overflowPunct/>
              <w:topLinePunct w:val="0"/>
              <w:autoSpaceDE/>
              <w:autoSpaceDN/>
              <w:bidi w:val="0"/>
              <w:spacing w:line="360" w:lineRule="auto"/>
              <w:jc w:val="left"/>
              <w:textAlignment w:val="auto"/>
              <w:rPr>
                <w:rFonts w:hint="eastAsia"/>
                <w:color w:val="auto"/>
                <w:highlight w:val="none"/>
              </w:rPr>
            </w:pPr>
            <w:r>
              <w:rPr>
                <w:rFonts w:hint="eastAsia" w:asciiTheme="minorEastAsia" w:hAnsiTheme="minorEastAsia" w:eastAsiaTheme="minorEastAsia" w:cstheme="minorEastAsia"/>
                <w:color w:val="auto"/>
                <w:sz w:val="24"/>
                <w:szCs w:val="24"/>
                <w:highlight w:val="none"/>
                <w:lang w:val="en-US" w:eastAsia="zh-CN"/>
              </w:rPr>
              <w:t>(4)合理化建议不可行或者未提供的不得分。</w:t>
            </w:r>
          </w:p>
        </w:tc>
        <w:tc>
          <w:tcPr>
            <w:tcW w:w="627" w:type="pct"/>
            <w:tcBorders>
              <w:top w:val="single" w:color="auto" w:sz="4" w:space="0"/>
              <w:left w:val="single" w:color="auto" w:sz="4" w:space="0"/>
              <w:bottom w:val="single" w:color="auto" w:sz="4" w:space="0"/>
              <w:right w:val="single" w:color="auto" w:sz="4" w:space="0"/>
            </w:tcBorders>
            <w:vAlign w:val="center"/>
          </w:tcPr>
          <w:p w14:paraId="7C0832FB">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0-8分</w:t>
            </w:r>
          </w:p>
        </w:tc>
      </w:tr>
      <w:tr w14:paraId="24A7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tcBorders>
              <w:left w:val="single" w:color="auto" w:sz="4" w:space="0"/>
              <w:right w:val="single" w:color="auto" w:sz="4" w:space="0"/>
            </w:tcBorders>
            <w:vAlign w:val="center"/>
          </w:tcPr>
          <w:p w14:paraId="44CD8365">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价格分</w:t>
            </w:r>
          </w:p>
          <w:p w14:paraId="51ADC90D">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lang w:val="en-US" w:eastAsia="zh-CN"/>
              </w:rPr>
              <w:t>15</w:t>
            </w:r>
            <w:r>
              <w:rPr>
                <w:rFonts w:hint="eastAsia" w:asciiTheme="minorEastAsia" w:hAnsiTheme="minorEastAsia" w:eastAsiaTheme="minorEastAsia" w:cstheme="minorEastAsia"/>
                <w:color w:val="auto"/>
                <w:sz w:val="24"/>
                <w:szCs w:val="24"/>
                <w:highlight w:val="none"/>
              </w:rPr>
              <w:t>分）</w:t>
            </w:r>
          </w:p>
        </w:tc>
        <w:tc>
          <w:tcPr>
            <w:tcW w:w="4396" w:type="pct"/>
            <w:gridSpan w:val="3"/>
            <w:tcBorders>
              <w:top w:val="single" w:color="auto" w:sz="4" w:space="0"/>
              <w:left w:val="single" w:color="auto" w:sz="4" w:space="0"/>
              <w:bottom w:val="single" w:color="auto" w:sz="4" w:space="0"/>
              <w:right w:val="single" w:color="auto" w:sz="4" w:space="0"/>
            </w:tcBorders>
            <w:vAlign w:val="center"/>
          </w:tcPr>
          <w:p w14:paraId="05A7C844">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价格分统一采用低价优先法，即满足磋商文件要求且最后报价最低的供应商的价格为磋商基准价，其价格分为满分</w:t>
            </w:r>
            <w:r>
              <w:rPr>
                <w:rFonts w:hint="eastAsia" w:asciiTheme="minorEastAsia" w:hAnsiTheme="minorEastAsia" w:eastAsiaTheme="minorEastAsia" w:cstheme="minorEastAsia"/>
                <w:color w:val="auto"/>
                <w:sz w:val="24"/>
                <w:szCs w:val="24"/>
                <w:highlight w:val="none"/>
                <w:u w:val="single"/>
                <w:lang w:val="en-US" w:eastAsia="zh-CN"/>
              </w:rPr>
              <w:t>15</w:t>
            </w:r>
            <w:r>
              <w:rPr>
                <w:rFonts w:hint="eastAsia" w:asciiTheme="minorEastAsia" w:hAnsiTheme="minorEastAsia" w:eastAsiaTheme="minorEastAsia" w:cstheme="minorEastAsia"/>
                <w:color w:val="auto"/>
                <w:sz w:val="24"/>
                <w:szCs w:val="24"/>
                <w:highlight w:val="none"/>
              </w:rPr>
              <w:t>分。其他供应商的价格分统一按照下列公式计算：</w:t>
            </w:r>
          </w:p>
          <w:p w14:paraId="17928550">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rPr>
              <w:t>磋商报价得分＝（磋商基准价/最后磋商报价）×</w:t>
            </w:r>
            <w:r>
              <w:rPr>
                <w:rFonts w:hint="eastAsia" w:asciiTheme="minorEastAsia" w:hAnsiTheme="minorEastAsia" w:eastAsiaTheme="minorEastAsia" w:cstheme="minorEastAsia"/>
                <w:color w:val="auto"/>
                <w:sz w:val="24"/>
                <w:szCs w:val="24"/>
                <w:highlight w:val="none"/>
                <w:u w:val="single"/>
                <w:lang w:val="en-US" w:eastAsia="zh-CN"/>
              </w:rPr>
              <w:t>15</w:t>
            </w:r>
            <w:r>
              <w:rPr>
                <w:rFonts w:hint="eastAsia" w:asciiTheme="minorEastAsia" w:hAnsiTheme="minorEastAsia" w:eastAsiaTheme="minorEastAsia" w:cstheme="minorEastAsia"/>
                <w:color w:val="auto"/>
                <w:sz w:val="24"/>
                <w:szCs w:val="24"/>
                <w:highlight w:val="none"/>
              </w:rPr>
              <w:t>％×100</w:t>
            </w:r>
          </w:p>
        </w:tc>
      </w:tr>
    </w:tbl>
    <w:p w14:paraId="405900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1AAA19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5FCE4D3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w:t>
      </w:r>
      <w:r>
        <w:rPr>
          <w:rFonts w:hint="eastAsia" w:asciiTheme="minorEastAsia" w:hAnsiTheme="minorEastAsia" w:eastAsiaTheme="minorEastAsia"/>
          <w:color w:val="auto"/>
          <w:sz w:val="24"/>
          <w:highlight w:val="none"/>
        </w:rPr>
        <w:t>该供应商的综合总得分。</w:t>
      </w:r>
    </w:p>
    <w:p w14:paraId="6D3444FE">
      <w:pPr>
        <w:spacing w:line="360" w:lineRule="auto"/>
        <w:ind w:firstLine="435"/>
        <w:rPr>
          <w:rFonts w:ascii="宋体" w:hAnsi="宋体" w:eastAsia="宋体" w:cs="宋体"/>
          <w:b/>
          <w:color w:val="auto"/>
          <w:sz w:val="24"/>
          <w:highlight w:val="none"/>
        </w:rPr>
      </w:pPr>
      <w:r>
        <w:rPr>
          <w:rFonts w:hint="eastAsia" w:ascii="宋体" w:hAnsi="宋体" w:eastAsia="宋体" w:cs="宋体"/>
          <w:b/>
          <w:color w:val="auto"/>
          <w:sz w:val="24"/>
          <w:highlight w:val="none"/>
        </w:rPr>
        <w:t>三、无效投标条款</w:t>
      </w:r>
    </w:p>
    <w:p w14:paraId="0947C3F4">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3.1</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有下列情形之一的,其</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拒收:</w:t>
      </w:r>
    </w:p>
    <w:p w14:paraId="21352EE6">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 未在截止时间前通过网上招标投标系统递交有效电子</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的，开标系统不予接收，</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将被拒绝。</w:t>
      </w:r>
    </w:p>
    <w:p w14:paraId="1054FD6E">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接到远程解密指令后，须在规定时间内解密。因</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自身原因导致</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在规定时间内未能解密、解密失败或解密超时，</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无效；解密时间：从本项目解密程序开始时计时，至完成</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解密时间，不得超过</w:t>
      </w:r>
      <w:r>
        <w:rPr>
          <w:rFonts w:hint="eastAsia" w:ascii="宋体" w:hAnsi="宋体" w:eastAsia="宋体" w:cs="宋体"/>
          <w:color w:val="auto"/>
          <w:sz w:val="24"/>
          <w:highlight w:val="none"/>
          <w:lang w:val="en-US" w:eastAsia="zh-CN"/>
        </w:rPr>
        <w:t>30</w:t>
      </w:r>
      <w:r>
        <w:rPr>
          <w:rFonts w:hint="eastAsia" w:ascii="宋体" w:hAnsi="宋体" w:eastAsia="宋体" w:cs="宋体"/>
          <w:color w:val="auto"/>
          <w:sz w:val="24"/>
          <w:highlight w:val="none"/>
        </w:rPr>
        <w:t>分钟，否则</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将被拒绝。</w:t>
      </w:r>
    </w:p>
    <w:p w14:paraId="278B3091">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3.2</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有下列情形之一的,资格审查后其投标作无效</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处理：</w:t>
      </w:r>
    </w:p>
    <w:p w14:paraId="21D2E8B8">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为本项目提供招标代理服务的；</w:t>
      </w:r>
    </w:p>
    <w:p w14:paraId="33369D9B">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与在本项目代理机构存在相互任职或工作的；</w:t>
      </w:r>
    </w:p>
    <w:p w14:paraId="51491714">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kern w:val="0"/>
          <w:sz w:val="24"/>
          <w:szCs w:val="24"/>
          <w:highlight w:val="none"/>
          <w:lang w:bidi="ar"/>
        </w:rPr>
        <w:t>与采购人存在利害关系可能影响采购公正性的法人、其他组织或者个人；</w:t>
      </w:r>
    </w:p>
    <w:p w14:paraId="3BD3FC91">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)要求供应商以联合体形式参加采购活动，</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非联合体或者联合协议中中小企业合同金额未达到应当达到的比例；</w:t>
      </w:r>
    </w:p>
    <w:p w14:paraId="4E8D1CEB">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)要求获得采购合同的供应商向中小企业分包，</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未提供分包意向协议或者分包意向协议中中小企业合同金额未达到应当达到的比例；</w:t>
      </w:r>
    </w:p>
    <w:p w14:paraId="169B3FD6">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)评</w:t>
      </w:r>
      <w:r>
        <w:rPr>
          <w:rFonts w:hint="eastAsia" w:ascii="宋体" w:hAnsi="宋体" w:eastAsia="宋体" w:cs="宋体"/>
          <w:color w:val="auto"/>
          <w:sz w:val="24"/>
          <w:highlight w:val="none"/>
          <w:lang w:val="en-US" w:eastAsia="zh-CN"/>
        </w:rPr>
        <w:t>审小组</w:t>
      </w:r>
      <w:r>
        <w:rPr>
          <w:rFonts w:hint="eastAsia" w:ascii="宋体" w:hAnsi="宋体" w:eastAsia="宋体" w:cs="宋体"/>
          <w:color w:val="auto"/>
          <w:sz w:val="24"/>
          <w:highlight w:val="none"/>
        </w:rPr>
        <w:t>无法查看并检验电子</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中相关资料的；</w:t>
      </w:r>
    </w:p>
    <w:p w14:paraId="5CECADC3">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)联合体投标未提交联合体协议的；</w:t>
      </w:r>
    </w:p>
    <w:p w14:paraId="7ED2F471">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)责令停产停业的；</w:t>
      </w:r>
    </w:p>
    <w:p w14:paraId="7DF894C0">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)暂停或者取消参与政府采购项目资格的；</w:t>
      </w:r>
    </w:p>
    <w:p w14:paraId="446F73C6">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单位负责人为同一人或者存在直接控股、管理关系的不同单位的；</w:t>
      </w:r>
    </w:p>
    <w:p w14:paraId="02B94DAC">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基本资格条件和特定资格条件中有一项及以上不符合要求的；</w:t>
      </w:r>
    </w:p>
    <w:p w14:paraId="19E571B0">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磋商</w:t>
      </w:r>
      <w:r>
        <w:rPr>
          <w:rFonts w:hint="eastAsia" w:ascii="宋体" w:hAnsi="宋体" w:eastAsia="宋体" w:cs="宋体"/>
          <w:color w:val="auto"/>
          <w:sz w:val="24"/>
          <w:highlight w:val="none"/>
        </w:rPr>
        <w:t>时查询投标文件制作机器码、文件创建标识码及造价软件加密锁号。若存在投标文件制作机器码或创建标识码或造价软件加密锁号信息与其他</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雷同的，</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无效、进行信用信息披露，行政监管部门将依据线索依法查处；</w:t>
      </w:r>
    </w:p>
    <w:p w14:paraId="12473B3E">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)其它情形，经评</w:t>
      </w:r>
      <w:r>
        <w:rPr>
          <w:rFonts w:hint="eastAsia" w:ascii="宋体" w:hAnsi="宋体" w:eastAsia="宋体" w:cs="宋体"/>
          <w:color w:val="auto"/>
          <w:sz w:val="24"/>
          <w:highlight w:val="none"/>
          <w:lang w:val="en-US" w:eastAsia="zh-CN"/>
        </w:rPr>
        <w:t>审小组</w:t>
      </w:r>
      <w:r>
        <w:rPr>
          <w:rFonts w:hint="eastAsia" w:ascii="宋体" w:hAnsi="宋体" w:eastAsia="宋体" w:cs="宋体"/>
          <w:color w:val="auto"/>
          <w:sz w:val="24"/>
          <w:highlight w:val="none"/>
        </w:rPr>
        <w:t>提出按无效投标处理的；</w:t>
      </w:r>
    </w:p>
    <w:p w14:paraId="51B87CE2">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投标MAC地址一致，由评</w:t>
      </w:r>
      <w:r>
        <w:rPr>
          <w:rFonts w:hint="eastAsia" w:ascii="宋体" w:hAnsi="宋体" w:eastAsia="宋体" w:cs="宋体"/>
          <w:color w:val="auto"/>
          <w:sz w:val="24"/>
          <w:highlight w:val="none"/>
          <w:lang w:val="en-US" w:eastAsia="zh-CN"/>
        </w:rPr>
        <w:t>审小组</w:t>
      </w:r>
      <w:r>
        <w:rPr>
          <w:rFonts w:hint="eastAsia" w:ascii="宋体" w:hAnsi="宋体" w:eastAsia="宋体" w:cs="宋体"/>
          <w:color w:val="auto"/>
          <w:sz w:val="24"/>
          <w:highlight w:val="none"/>
        </w:rPr>
        <w:t>否决其</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w:t>
      </w:r>
    </w:p>
    <w:p w14:paraId="2D9BCF42">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(16)</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单方面出现其他</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材料的；</w:t>
      </w:r>
    </w:p>
    <w:p w14:paraId="4D6AD2B2">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(17)</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联系人或联系电话相同的，由评</w:t>
      </w:r>
      <w:r>
        <w:rPr>
          <w:rFonts w:hint="eastAsia" w:ascii="宋体" w:hAnsi="宋体" w:eastAsia="宋体" w:cs="宋体"/>
          <w:color w:val="auto"/>
          <w:sz w:val="24"/>
          <w:highlight w:val="none"/>
          <w:lang w:val="en-US" w:eastAsia="zh-CN"/>
        </w:rPr>
        <w:t>审小组</w:t>
      </w:r>
      <w:r>
        <w:rPr>
          <w:rFonts w:hint="eastAsia" w:ascii="宋体" w:hAnsi="宋体" w:eastAsia="宋体" w:cs="宋体"/>
          <w:color w:val="auto"/>
          <w:sz w:val="24"/>
          <w:highlight w:val="none"/>
        </w:rPr>
        <w:t>否决其</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w:t>
      </w:r>
    </w:p>
    <w:p w14:paraId="1621C797">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(18)</w:t>
      </w:r>
      <w:r>
        <w:rPr>
          <w:rFonts w:hint="eastAsia" w:ascii="宋体" w:hAnsi="宋体" w:eastAsia="宋体" w:cs="宋体"/>
          <w:color w:val="auto"/>
          <w:sz w:val="24"/>
          <w:highlight w:val="none"/>
          <w:lang w:val="en-US" w:eastAsia="zh-CN"/>
        </w:rPr>
        <w:t>磋商</w:t>
      </w:r>
      <w:r>
        <w:rPr>
          <w:rFonts w:hint="eastAsia" w:ascii="宋体" w:hAnsi="宋体" w:eastAsia="宋体" w:cs="宋体"/>
          <w:color w:val="auto"/>
          <w:sz w:val="24"/>
          <w:highlight w:val="none"/>
        </w:rPr>
        <w:t>公告未写明允许采购进口产品，</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所投产品为进口产品的；</w:t>
      </w:r>
    </w:p>
    <w:p w14:paraId="28F2A5ED">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(19)</w:t>
      </w:r>
      <w:r>
        <w:rPr>
          <w:rFonts w:hint="eastAsia" w:ascii="宋体" w:hAnsi="宋体" w:eastAsia="宋体" w:cs="宋体"/>
          <w:color w:val="auto"/>
          <w:sz w:val="24"/>
          <w:highlight w:val="none"/>
          <w:lang w:val="en-US" w:eastAsia="zh-CN"/>
        </w:rPr>
        <w:t>磋商</w:t>
      </w:r>
      <w:r>
        <w:rPr>
          <w:rFonts w:hint="eastAsia" w:ascii="宋体" w:hAnsi="宋体" w:eastAsia="宋体" w:cs="宋体"/>
          <w:color w:val="auto"/>
          <w:sz w:val="24"/>
          <w:highlight w:val="none"/>
        </w:rPr>
        <w:t>文件规定的其它无效</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情形。</w:t>
      </w:r>
    </w:p>
    <w:p w14:paraId="7FD4462B">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 xml:space="preserve">3.3 </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有下列情形之一的,符合性审查后其</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按无效</w:t>
      </w:r>
      <w:r>
        <w:rPr>
          <w:rFonts w:hint="eastAsia" w:ascii="宋体" w:hAnsi="宋体" w:eastAsia="宋体" w:cs="宋体"/>
          <w:color w:val="auto"/>
          <w:sz w:val="24"/>
          <w:highlight w:val="none"/>
          <w:lang w:val="en-US" w:eastAsia="zh-CN"/>
        </w:rPr>
        <w:t>标</w:t>
      </w:r>
      <w:r>
        <w:rPr>
          <w:rFonts w:hint="eastAsia" w:ascii="宋体" w:hAnsi="宋体" w:eastAsia="宋体" w:cs="宋体"/>
          <w:color w:val="auto"/>
          <w:sz w:val="24"/>
          <w:highlight w:val="none"/>
        </w:rPr>
        <w:t>处理：</w:t>
      </w:r>
    </w:p>
    <w:p w14:paraId="0D94CDFE">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签字、盖章不全，经评</w:t>
      </w:r>
      <w:r>
        <w:rPr>
          <w:rFonts w:hint="eastAsia" w:ascii="宋体" w:hAnsi="宋体" w:eastAsia="宋体" w:cs="宋体"/>
          <w:color w:val="auto"/>
          <w:sz w:val="24"/>
          <w:highlight w:val="none"/>
          <w:lang w:val="en-US" w:eastAsia="zh-CN"/>
        </w:rPr>
        <w:t>审小组</w:t>
      </w:r>
      <w:r>
        <w:rPr>
          <w:rFonts w:hint="eastAsia" w:ascii="宋体" w:hAnsi="宋体" w:eastAsia="宋体" w:cs="宋体"/>
          <w:color w:val="auto"/>
          <w:sz w:val="24"/>
          <w:highlight w:val="none"/>
        </w:rPr>
        <w:t>一致认定对</w:t>
      </w:r>
      <w:r>
        <w:rPr>
          <w:rFonts w:hint="eastAsia" w:ascii="宋体" w:hAnsi="宋体" w:eastAsia="宋体" w:cs="宋体"/>
          <w:color w:val="auto"/>
          <w:sz w:val="24"/>
          <w:highlight w:val="none"/>
          <w:lang w:val="en-US" w:eastAsia="zh-CN"/>
        </w:rPr>
        <w:t>磋商</w:t>
      </w:r>
      <w:r>
        <w:rPr>
          <w:rFonts w:hint="eastAsia" w:ascii="宋体" w:hAnsi="宋体" w:eastAsia="宋体" w:cs="宋体"/>
          <w:color w:val="auto"/>
          <w:sz w:val="24"/>
          <w:highlight w:val="none"/>
        </w:rPr>
        <w:t>内容有实质性影响的；</w:t>
      </w:r>
    </w:p>
    <w:p w14:paraId="20AF522E">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(2)未按规定的格式填写导致实质性内容不全以及实质上不响应，或者关键字迹模糊、无法辨认的；</w:t>
      </w:r>
    </w:p>
    <w:p w14:paraId="00F07E70">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(3)同一</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提交两个以上不同的</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或者报价，但</w:t>
      </w:r>
      <w:r>
        <w:rPr>
          <w:rFonts w:hint="eastAsia" w:ascii="宋体" w:hAnsi="宋体" w:eastAsia="宋体" w:cs="宋体"/>
          <w:color w:val="auto"/>
          <w:sz w:val="24"/>
          <w:highlight w:val="none"/>
          <w:lang w:val="en-US" w:eastAsia="zh-CN"/>
        </w:rPr>
        <w:t>磋商</w:t>
      </w:r>
      <w:r>
        <w:rPr>
          <w:rFonts w:hint="eastAsia" w:ascii="宋体" w:hAnsi="宋体" w:eastAsia="宋体" w:cs="宋体"/>
          <w:color w:val="auto"/>
          <w:sz w:val="24"/>
          <w:highlight w:val="none"/>
        </w:rPr>
        <w:t>文件规定提交备选方案的除外；</w:t>
      </w:r>
    </w:p>
    <w:p w14:paraId="252F4C5B">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没有对</w:t>
      </w:r>
      <w:r>
        <w:rPr>
          <w:rFonts w:hint="eastAsia" w:ascii="宋体" w:hAnsi="宋体" w:eastAsia="宋体" w:cs="宋体"/>
          <w:color w:val="auto"/>
          <w:sz w:val="24"/>
          <w:highlight w:val="none"/>
          <w:lang w:val="en-US" w:eastAsia="zh-CN"/>
        </w:rPr>
        <w:t>磋商</w:t>
      </w:r>
      <w:r>
        <w:rPr>
          <w:rFonts w:hint="eastAsia" w:ascii="宋体" w:hAnsi="宋体" w:eastAsia="宋体" w:cs="宋体"/>
          <w:color w:val="auto"/>
          <w:sz w:val="24"/>
          <w:highlight w:val="none"/>
        </w:rPr>
        <w:t>文件的实质性要求和条件作出响应;</w:t>
      </w:r>
    </w:p>
    <w:p w14:paraId="22910558">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(5)</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报价超出规定的限价或公布的采购预算的或</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的报价各项单价高于</w:t>
      </w:r>
      <w:r>
        <w:rPr>
          <w:rFonts w:hint="eastAsia" w:ascii="宋体" w:hAnsi="宋体" w:eastAsia="宋体" w:cs="宋体"/>
          <w:color w:val="auto"/>
          <w:sz w:val="24"/>
          <w:highlight w:val="none"/>
          <w:lang w:val="en-US" w:eastAsia="zh-CN"/>
        </w:rPr>
        <w:t>磋商</w:t>
      </w:r>
      <w:r>
        <w:rPr>
          <w:rFonts w:hint="eastAsia" w:ascii="宋体" w:hAnsi="宋体" w:eastAsia="宋体" w:cs="宋体"/>
          <w:color w:val="auto"/>
          <w:sz w:val="24"/>
          <w:highlight w:val="none"/>
        </w:rPr>
        <w:t>文件给定的单价最高限价；</w:t>
      </w:r>
    </w:p>
    <w:p w14:paraId="3086CE7C">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(6)不按评</w:t>
      </w:r>
      <w:r>
        <w:rPr>
          <w:rFonts w:hint="eastAsia" w:ascii="宋体" w:hAnsi="宋体" w:eastAsia="宋体" w:cs="宋体"/>
          <w:color w:val="auto"/>
          <w:sz w:val="24"/>
          <w:highlight w:val="none"/>
          <w:lang w:val="en-US" w:eastAsia="zh-CN"/>
        </w:rPr>
        <w:t>审小组</w:t>
      </w:r>
      <w:r>
        <w:rPr>
          <w:rFonts w:hint="eastAsia" w:ascii="宋体" w:hAnsi="宋体" w:eastAsia="宋体" w:cs="宋体"/>
          <w:color w:val="auto"/>
          <w:sz w:val="24"/>
          <w:highlight w:val="none"/>
        </w:rPr>
        <w:t>要求澄清、说明或补正的，或者评</w:t>
      </w:r>
      <w:r>
        <w:rPr>
          <w:rFonts w:hint="eastAsia" w:ascii="宋体" w:hAnsi="宋体" w:eastAsia="宋体" w:cs="宋体"/>
          <w:color w:val="auto"/>
          <w:sz w:val="24"/>
          <w:highlight w:val="none"/>
          <w:lang w:val="en-US" w:eastAsia="zh-CN"/>
        </w:rPr>
        <w:t>审小组</w:t>
      </w:r>
      <w:r>
        <w:rPr>
          <w:rFonts w:hint="eastAsia" w:ascii="宋体" w:hAnsi="宋体" w:eastAsia="宋体" w:cs="宋体"/>
          <w:color w:val="auto"/>
          <w:sz w:val="24"/>
          <w:highlight w:val="none"/>
        </w:rPr>
        <w:t>根据</w:t>
      </w:r>
      <w:r>
        <w:rPr>
          <w:rFonts w:hint="eastAsia" w:ascii="宋体" w:hAnsi="宋体" w:eastAsia="宋体" w:cs="宋体"/>
          <w:color w:val="auto"/>
          <w:sz w:val="24"/>
          <w:highlight w:val="none"/>
          <w:lang w:val="en-US" w:eastAsia="zh-CN"/>
        </w:rPr>
        <w:t>磋商</w:t>
      </w:r>
      <w:r>
        <w:rPr>
          <w:rFonts w:hint="eastAsia" w:ascii="宋体" w:hAnsi="宋体" w:eastAsia="宋体" w:cs="宋体"/>
          <w:color w:val="auto"/>
          <w:sz w:val="24"/>
          <w:highlight w:val="none"/>
        </w:rPr>
        <w:t>文件的规定对</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的计算错误进行修正后，</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不接受修正的报价的。</w:t>
      </w:r>
    </w:p>
    <w:p w14:paraId="3EAC2E25">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(7)其它情形，经评</w:t>
      </w:r>
      <w:r>
        <w:rPr>
          <w:rFonts w:hint="eastAsia" w:ascii="宋体" w:hAnsi="宋体" w:eastAsia="宋体" w:cs="宋体"/>
          <w:color w:val="auto"/>
          <w:sz w:val="24"/>
          <w:highlight w:val="none"/>
          <w:lang w:val="en-US" w:eastAsia="zh-CN"/>
        </w:rPr>
        <w:t>审小组</w:t>
      </w:r>
      <w:r>
        <w:rPr>
          <w:rFonts w:hint="eastAsia" w:ascii="宋体" w:hAnsi="宋体" w:eastAsia="宋体" w:cs="宋体"/>
          <w:color w:val="auto"/>
          <w:sz w:val="24"/>
          <w:highlight w:val="none"/>
        </w:rPr>
        <w:t>委提出按无效</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处理的；</w:t>
      </w:r>
    </w:p>
    <w:p w14:paraId="6E732162">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(8)</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含有采购人不能接受的附加条件的；</w:t>
      </w:r>
    </w:p>
    <w:p w14:paraId="51D4B053">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(9)</w:t>
      </w:r>
      <w:r>
        <w:rPr>
          <w:rFonts w:hint="eastAsia" w:ascii="宋体" w:hAnsi="宋体" w:eastAsia="宋体" w:cs="宋体"/>
          <w:color w:val="auto"/>
          <w:sz w:val="24"/>
          <w:highlight w:val="none"/>
          <w:lang w:val="en-US" w:eastAsia="zh-CN"/>
        </w:rPr>
        <w:t>磋商</w:t>
      </w:r>
      <w:r>
        <w:rPr>
          <w:rFonts w:hint="eastAsia" w:ascii="宋体" w:hAnsi="宋体" w:eastAsia="宋体" w:cs="宋体"/>
          <w:color w:val="auto"/>
          <w:sz w:val="24"/>
          <w:highlight w:val="none"/>
        </w:rPr>
        <w:t>文件规定的其它无效</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情形。</w:t>
      </w:r>
    </w:p>
    <w:p w14:paraId="677D4694">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 xml:space="preserve">3.4 </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有下列情形之一的, 详细评审后其</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按无效标处理：</w:t>
      </w:r>
    </w:p>
    <w:p w14:paraId="4C098138">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(1)投标产品不符合必须强制执行的国家标准的；</w:t>
      </w:r>
    </w:p>
    <w:p w14:paraId="23AF18F0">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有串通投标、弄虚作假、行贿等违法行为；</w:t>
      </w:r>
    </w:p>
    <w:p w14:paraId="0F5C6FA1">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含有违反国家法律、法规的内容，或附有采购人不能接受的条件的；</w:t>
      </w:r>
    </w:p>
    <w:p w14:paraId="68332F0E">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(4)拒不确认评</w:t>
      </w:r>
      <w:r>
        <w:rPr>
          <w:rFonts w:hint="eastAsia" w:ascii="宋体" w:hAnsi="宋体" w:eastAsia="宋体" w:cs="宋体"/>
          <w:color w:val="auto"/>
          <w:sz w:val="24"/>
          <w:highlight w:val="none"/>
          <w:lang w:val="en-US" w:eastAsia="zh-CN"/>
        </w:rPr>
        <w:t>审小组</w:t>
      </w:r>
      <w:r>
        <w:rPr>
          <w:rFonts w:hint="eastAsia" w:ascii="宋体" w:hAnsi="宋体" w:eastAsia="宋体" w:cs="宋体"/>
          <w:color w:val="auto"/>
          <w:sz w:val="24"/>
          <w:highlight w:val="none"/>
        </w:rPr>
        <w:t>评审修正的</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无效；</w:t>
      </w:r>
    </w:p>
    <w:p w14:paraId="0EA11570">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(5)其它情形，经评</w:t>
      </w:r>
      <w:r>
        <w:rPr>
          <w:rFonts w:hint="eastAsia" w:ascii="宋体" w:hAnsi="宋体" w:eastAsia="宋体" w:cs="宋体"/>
          <w:color w:val="auto"/>
          <w:sz w:val="24"/>
          <w:highlight w:val="none"/>
          <w:lang w:val="en-US" w:eastAsia="zh-CN"/>
        </w:rPr>
        <w:t>审小组</w:t>
      </w:r>
      <w:r>
        <w:rPr>
          <w:rFonts w:hint="eastAsia" w:ascii="宋体" w:hAnsi="宋体" w:eastAsia="宋体" w:cs="宋体"/>
          <w:color w:val="auto"/>
          <w:sz w:val="24"/>
          <w:highlight w:val="none"/>
        </w:rPr>
        <w:t>委提出按无效标处理的；</w:t>
      </w:r>
    </w:p>
    <w:p w14:paraId="6B40C5F6">
      <w:pPr>
        <w:spacing w:line="360" w:lineRule="auto"/>
        <w:ind w:firstLine="435"/>
        <w:rPr>
          <w:rFonts w:hint="eastAsia" w:asciiTheme="minorEastAsia" w:hAnsiTheme="minorEastAsia" w:eastAsiaTheme="minorEastAsia"/>
          <w:color w:val="auto"/>
          <w:sz w:val="24"/>
          <w:highlight w:val="none"/>
        </w:rPr>
      </w:pPr>
      <w:r>
        <w:rPr>
          <w:rFonts w:hint="eastAsia" w:ascii="宋体" w:hAnsi="宋体" w:eastAsia="宋体" w:cs="宋体"/>
          <w:color w:val="auto"/>
          <w:sz w:val="24"/>
          <w:highlight w:val="none"/>
        </w:rPr>
        <w:t>(6)</w:t>
      </w:r>
      <w:r>
        <w:rPr>
          <w:rFonts w:hint="eastAsia" w:ascii="宋体" w:hAnsi="宋体" w:eastAsia="宋体" w:cs="宋体"/>
          <w:color w:val="auto"/>
          <w:sz w:val="24"/>
          <w:highlight w:val="none"/>
          <w:lang w:val="en-US" w:eastAsia="zh-CN"/>
        </w:rPr>
        <w:t>磋商</w:t>
      </w:r>
      <w:r>
        <w:rPr>
          <w:rFonts w:hint="eastAsia" w:ascii="宋体" w:hAnsi="宋体" w:eastAsia="宋体" w:cs="宋体"/>
          <w:color w:val="auto"/>
          <w:sz w:val="24"/>
          <w:highlight w:val="none"/>
        </w:rPr>
        <w:t>文件规定的其它无效标情形。</w:t>
      </w:r>
      <w:r>
        <w:rPr>
          <w:rFonts w:hint="eastAsia" w:asciiTheme="minorEastAsia" w:hAnsiTheme="minorEastAsia" w:eastAsiaTheme="minorEastAsia"/>
          <w:color w:val="auto"/>
          <w:sz w:val="24"/>
          <w:highlight w:val="none"/>
        </w:rPr>
        <w:br w:type="page"/>
      </w:r>
    </w:p>
    <w:p w14:paraId="5C73C9AA">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hint="eastAsia" w:asciiTheme="minorEastAsia" w:hAnsiTheme="minorEastAsia" w:eastAsiaTheme="minorEastAsia"/>
          <w:b/>
          <w:color w:val="auto"/>
          <w:sz w:val="28"/>
          <w:highlight w:val="none"/>
        </w:rPr>
      </w:pPr>
      <w:bookmarkStart w:id="75" w:name="_Toc63440929"/>
      <w:bookmarkStart w:id="76" w:name="_Toc355"/>
      <w:r>
        <w:rPr>
          <w:rFonts w:hint="eastAsia" w:asciiTheme="minorEastAsia" w:hAnsiTheme="minorEastAsia" w:eastAsiaTheme="minorEastAsia"/>
          <w:b/>
          <w:color w:val="auto"/>
          <w:sz w:val="28"/>
          <w:highlight w:val="none"/>
        </w:rPr>
        <w:t>第五章  采购合同</w:t>
      </w:r>
      <w:bookmarkEnd w:id="75"/>
      <w:bookmarkEnd w:id="76"/>
    </w:p>
    <w:p w14:paraId="21D03A6D">
      <w:pPr>
        <w:widowControl/>
        <w:spacing w:line="400" w:lineRule="exact"/>
        <w:ind w:left="360"/>
        <w:jc w:val="center"/>
        <w:textAlignment w:val="baseline"/>
        <w:outlineLvl w:val="1"/>
        <w:rPr>
          <w:rFonts w:hint="eastAsia" w:ascii="宋体"/>
          <w:b/>
          <w:color w:val="auto"/>
          <w:sz w:val="30"/>
          <w:szCs w:val="30"/>
          <w:highlight w:val="none"/>
        </w:rPr>
      </w:pPr>
    </w:p>
    <w:p w14:paraId="263A4674">
      <w:pPr>
        <w:widowControl/>
        <w:spacing w:line="400" w:lineRule="exact"/>
        <w:ind w:left="360"/>
        <w:jc w:val="center"/>
        <w:textAlignment w:val="baseline"/>
        <w:outlineLvl w:val="1"/>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一</w:t>
      </w:r>
      <w:bookmarkStart w:id="77" w:name="_Toc449028946"/>
      <w:r>
        <w:rPr>
          <w:rFonts w:hint="eastAsia" w:ascii="宋体" w:hAnsi="宋体" w:eastAsia="宋体" w:cs="宋体"/>
          <w:b/>
          <w:color w:val="auto"/>
          <w:sz w:val="30"/>
          <w:szCs w:val="30"/>
          <w:highlight w:val="none"/>
        </w:rPr>
        <w:t>、合同协议书（</w:t>
      </w:r>
      <w:r>
        <w:rPr>
          <w:rFonts w:hint="eastAsia" w:ascii="宋体" w:hAnsi="宋体" w:eastAsia="宋体" w:cs="宋体"/>
          <w:b/>
          <w:color w:val="auto"/>
          <w:sz w:val="30"/>
          <w:szCs w:val="30"/>
          <w:highlight w:val="none"/>
          <w:lang w:val="en-US" w:eastAsia="zh-CN"/>
        </w:rPr>
        <w:t>参考</w:t>
      </w:r>
      <w:r>
        <w:rPr>
          <w:rFonts w:hint="eastAsia" w:ascii="宋体" w:hAnsi="宋体" w:eastAsia="宋体" w:cs="宋体"/>
          <w:b/>
          <w:color w:val="auto"/>
          <w:sz w:val="30"/>
          <w:szCs w:val="30"/>
          <w:highlight w:val="none"/>
        </w:rPr>
        <w:t>）</w:t>
      </w:r>
      <w:bookmarkEnd w:id="77"/>
    </w:p>
    <w:p w14:paraId="36D1C8B9">
      <w:pPr>
        <w:spacing w:before="120" w:line="480" w:lineRule="auto"/>
        <w:ind w:left="960"/>
        <w:rPr>
          <w:rFonts w:hint="eastAsia" w:ascii="宋体" w:hAnsi="宋体" w:eastAsia="宋体" w:cs="宋体"/>
          <w:color w:val="auto"/>
          <w:sz w:val="24"/>
          <w:highlight w:val="none"/>
        </w:rPr>
      </w:pPr>
    </w:p>
    <w:p w14:paraId="10A14175">
      <w:pPr>
        <w:spacing w:before="120" w:line="480" w:lineRule="auto"/>
        <w:ind w:left="960"/>
        <w:rPr>
          <w:rFonts w:hint="eastAsia" w:ascii="宋体" w:hAnsi="宋体" w:eastAsia="宋体" w:cs="宋体"/>
          <w:color w:val="auto"/>
          <w:sz w:val="24"/>
          <w:highlight w:val="none"/>
        </w:rPr>
      </w:pPr>
    </w:p>
    <w:p w14:paraId="7813D3F0">
      <w:pPr>
        <w:spacing w:before="120" w:line="480" w:lineRule="auto"/>
        <w:ind w:left="960"/>
        <w:rPr>
          <w:rFonts w:hint="eastAsia" w:ascii="宋体" w:hAnsi="宋体" w:eastAsia="宋体" w:cs="宋体"/>
          <w:color w:val="auto"/>
          <w:sz w:val="24"/>
          <w:highlight w:val="none"/>
        </w:rPr>
      </w:pPr>
    </w:p>
    <w:p w14:paraId="50D76BDB">
      <w:pPr>
        <w:spacing w:before="120" w:line="480" w:lineRule="auto"/>
        <w:ind w:left="960"/>
        <w:rPr>
          <w:rFonts w:hint="eastAsia" w:ascii="宋体" w:hAnsi="宋体" w:eastAsia="宋体" w:cs="宋体"/>
          <w:color w:val="auto"/>
          <w:sz w:val="24"/>
          <w:highlight w:val="none"/>
        </w:rPr>
      </w:pPr>
    </w:p>
    <w:p w14:paraId="12608565">
      <w:pPr>
        <w:spacing w:before="120" w:line="480" w:lineRule="auto"/>
        <w:ind w:left="960"/>
        <w:rPr>
          <w:rFonts w:hint="eastAsia" w:ascii="宋体" w:hAnsi="宋体" w:eastAsia="宋体" w:cs="宋体"/>
          <w:color w:val="auto"/>
          <w:sz w:val="24"/>
          <w:highlight w:val="none"/>
        </w:rPr>
      </w:pPr>
    </w:p>
    <w:p w14:paraId="3A3A30B1">
      <w:pPr>
        <w:spacing w:before="120" w:line="480" w:lineRule="auto"/>
        <w:ind w:left="96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项目名称：    </w:t>
      </w:r>
    </w:p>
    <w:p w14:paraId="05BEDDD4">
      <w:pPr>
        <w:spacing w:before="120" w:line="480" w:lineRule="auto"/>
        <w:ind w:left="96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p>
    <w:p w14:paraId="02968154">
      <w:pPr>
        <w:spacing w:before="120" w:line="480" w:lineRule="auto"/>
        <w:ind w:left="96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甲方（采购人）：</w:t>
      </w:r>
      <w:r>
        <w:rPr>
          <w:rFonts w:hint="eastAsia" w:ascii="宋体" w:hAnsi="宋体" w:eastAsia="宋体" w:cs="宋体"/>
          <w:color w:val="auto"/>
          <w:szCs w:val="21"/>
          <w:highlight w:val="none"/>
          <w:u w:val="single"/>
        </w:rPr>
        <w:t xml:space="preserve">                              </w:t>
      </w:r>
    </w:p>
    <w:p w14:paraId="28AD64F4">
      <w:pPr>
        <w:spacing w:before="120" w:line="480" w:lineRule="auto"/>
        <w:ind w:left="96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乙方（中标人）：</w:t>
      </w:r>
      <w:r>
        <w:rPr>
          <w:rFonts w:hint="eastAsia" w:ascii="宋体" w:hAnsi="宋体" w:eastAsia="宋体" w:cs="宋体"/>
          <w:color w:val="auto"/>
          <w:szCs w:val="21"/>
          <w:highlight w:val="none"/>
          <w:u w:val="single"/>
        </w:rPr>
        <w:t xml:space="preserve">                              </w:t>
      </w:r>
    </w:p>
    <w:p w14:paraId="703411D9">
      <w:pPr>
        <w:spacing w:before="120" w:line="480" w:lineRule="auto"/>
        <w:ind w:firstLine="840" w:firstLineChars="4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签订地：</w:t>
      </w:r>
      <w:r>
        <w:rPr>
          <w:rFonts w:hint="eastAsia" w:ascii="宋体" w:hAnsi="宋体" w:eastAsia="宋体" w:cs="宋体"/>
          <w:color w:val="auto"/>
          <w:szCs w:val="21"/>
          <w:highlight w:val="none"/>
          <w:u w:val="single"/>
        </w:rPr>
        <w:t xml:space="preserve">                                     </w:t>
      </w:r>
    </w:p>
    <w:p w14:paraId="3F2EB065">
      <w:pPr>
        <w:spacing w:before="120" w:line="480" w:lineRule="auto"/>
        <w:ind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5EF04CD">
      <w:pPr>
        <w:widowControl/>
        <w:jc w:val="left"/>
        <w:rPr>
          <w:rFonts w:ascii="宋体" w:hAnsi="宋体"/>
          <w:color w:val="auto"/>
          <w:szCs w:val="21"/>
          <w:highlight w:val="none"/>
        </w:rPr>
      </w:pPr>
      <w:r>
        <w:rPr>
          <w:rFonts w:ascii="宋体" w:hAnsi="宋体"/>
          <w:color w:val="auto"/>
          <w:szCs w:val="21"/>
          <w:highlight w:val="none"/>
        </w:rPr>
        <w:br w:type="page"/>
      </w:r>
    </w:p>
    <w:p w14:paraId="35DCFA0D">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i/>
          <w:iCs/>
          <w:color w:val="auto"/>
          <w:szCs w:val="21"/>
          <w:highlight w:val="none"/>
          <w:u w:val="single"/>
        </w:rPr>
        <w:t>（采购人名称）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以下简称：甲方</w:t>
      </w:r>
      <w:r>
        <w:rPr>
          <w:rFonts w:hint="eastAsia" w:ascii="宋体" w:hAnsi="宋体" w:eastAsia="宋体" w:cs="宋体"/>
          <w:color w:val="auto"/>
          <w:szCs w:val="21"/>
          <w:highlight w:val="none"/>
        </w:rPr>
        <w:t>）通过</w:t>
      </w:r>
      <w:r>
        <w:rPr>
          <w:rFonts w:hint="eastAsia" w:ascii="宋体" w:hAnsi="宋体" w:eastAsia="宋体" w:cs="宋体"/>
          <w:color w:val="auto"/>
          <w:szCs w:val="21"/>
          <w:highlight w:val="none"/>
          <w:lang w:val="en-US" w:eastAsia="zh-CN"/>
        </w:rPr>
        <w:t>竞争性磋商</w:t>
      </w:r>
      <w:r>
        <w:rPr>
          <w:rFonts w:hint="eastAsia" w:ascii="宋体" w:hAnsi="宋体" w:eastAsia="宋体" w:cs="宋体"/>
          <w:color w:val="auto"/>
          <w:szCs w:val="21"/>
          <w:highlight w:val="none"/>
        </w:rPr>
        <w:t>，经</w:t>
      </w:r>
      <w:r>
        <w:rPr>
          <w:rFonts w:hint="eastAsia" w:ascii="宋体" w:hAnsi="宋体" w:eastAsia="宋体" w:cs="宋体"/>
          <w:color w:val="auto"/>
          <w:szCs w:val="21"/>
          <w:highlight w:val="none"/>
          <w:lang w:val="en-US" w:eastAsia="zh-CN"/>
        </w:rPr>
        <w:t>评审小组</w:t>
      </w:r>
      <w:r>
        <w:rPr>
          <w:rFonts w:hint="eastAsia" w:ascii="宋体" w:hAnsi="宋体" w:eastAsia="宋体" w:cs="宋体"/>
          <w:color w:val="auto"/>
          <w:szCs w:val="21"/>
          <w:highlight w:val="none"/>
        </w:rPr>
        <w:t>评定，确定</w:t>
      </w:r>
      <w:r>
        <w:rPr>
          <w:rFonts w:hint="eastAsia" w:ascii="宋体" w:hAnsi="宋体" w:eastAsia="宋体" w:cs="宋体"/>
          <w:i/>
          <w:iCs/>
          <w:color w:val="auto"/>
          <w:szCs w:val="21"/>
          <w:highlight w:val="none"/>
          <w:u w:val="single"/>
        </w:rPr>
        <w:t>（</w:t>
      </w:r>
      <w:r>
        <w:rPr>
          <w:rFonts w:hint="eastAsia" w:ascii="宋体" w:hAnsi="宋体" w:eastAsia="宋体" w:cs="宋体"/>
          <w:i/>
          <w:iCs/>
          <w:color w:val="auto"/>
          <w:szCs w:val="21"/>
          <w:highlight w:val="none"/>
          <w:u w:val="single"/>
          <w:lang w:val="en-US" w:eastAsia="zh-CN"/>
        </w:rPr>
        <w:t>成交人</w:t>
      </w:r>
      <w:r>
        <w:rPr>
          <w:rFonts w:hint="eastAsia" w:ascii="宋体" w:hAnsi="宋体" w:eastAsia="宋体" w:cs="宋体"/>
          <w:i/>
          <w:iCs/>
          <w:color w:val="auto"/>
          <w:szCs w:val="21"/>
          <w:highlight w:val="none"/>
          <w:u w:val="single"/>
        </w:rPr>
        <w:t>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以下简称：乙方</w:t>
      </w:r>
      <w:r>
        <w:rPr>
          <w:rFonts w:hint="eastAsia" w:ascii="宋体" w:hAnsi="宋体" w:eastAsia="宋体" w:cs="宋体"/>
          <w:color w:val="auto"/>
          <w:szCs w:val="21"/>
          <w:highlight w:val="none"/>
        </w:rPr>
        <w:t>）为本项目</w:t>
      </w:r>
      <w:r>
        <w:rPr>
          <w:rFonts w:hint="eastAsia" w:ascii="宋体" w:hAnsi="宋体" w:eastAsia="宋体" w:cs="宋体"/>
          <w:color w:val="auto"/>
          <w:szCs w:val="21"/>
          <w:highlight w:val="none"/>
          <w:lang w:val="en-US" w:eastAsia="zh-CN"/>
        </w:rPr>
        <w:t>成交</w:t>
      </w:r>
      <w:r>
        <w:rPr>
          <w:rFonts w:hint="eastAsia" w:ascii="宋体" w:hAnsi="宋体" w:eastAsia="宋体" w:cs="宋体"/>
          <w:color w:val="auto"/>
          <w:szCs w:val="21"/>
          <w:highlight w:val="none"/>
        </w:rPr>
        <w:t>人，现按照</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rPr>
        <w:t>文件确定的事项签订本合同。</w:t>
      </w:r>
    </w:p>
    <w:p w14:paraId="698574E6">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根据《中华人民共和国民法典》等相关法律法规之规定，按照平等、自愿、公平和诚实信用的原则，经甲方和乙方协商一致，约定以下合同条款，以兹共同遵守、全面履行。</w:t>
      </w:r>
    </w:p>
    <w:p w14:paraId="1FEABB6D">
      <w:pPr>
        <w:keepNext w:val="0"/>
        <w:keepLines w:val="0"/>
        <w:pageBreakBefore w:val="0"/>
        <w:kinsoku/>
        <w:wordWrap/>
        <w:overflowPunct/>
        <w:topLinePunct w:val="0"/>
        <w:bidi w:val="0"/>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78" w:name="_Toc2232"/>
      <w:bookmarkStart w:id="79" w:name="_Toc24059"/>
      <w:bookmarkStart w:id="80" w:name="_Toc3029"/>
      <w:r>
        <w:rPr>
          <w:rFonts w:hint="eastAsia" w:ascii="宋体" w:hAnsi="宋体" w:eastAsia="宋体" w:cs="宋体"/>
          <w:b/>
          <w:bCs/>
          <w:color w:val="auto"/>
          <w:szCs w:val="21"/>
          <w:highlight w:val="none"/>
          <w:lang w:val="zh-CN"/>
        </w:rPr>
        <w:t>1.1 合同组成部分</w:t>
      </w:r>
      <w:bookmarkEnd w:id="78"/>
      <w:bookmarkEnd w:id="79"/>
      <w:bookmarkEnd w:id="80"/>
    </w:p>
    <w:p w14:paraId="4DADB468">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0D9114A4">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1.1.1本合同及其补充合同、变更协议；</w:t>
      </w:r>
    </w:p>
    <w:p w14:paraId="3F2C8419">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1.1.2</w:t>
      </w:r>
      <w:r>
        <w:rPr>
          <w:rFonts w:hint="eastAsia" w:ascii="宋体" w:hAnsi="宋体" w:eastAsia="宋体" w:cs="宋体"/>
          <w:color w:val="auto"/>
          <w:szCs w:val="21"/>
          <w:highlight w:val="none"/>
          <w:lang w:val="en-US" w:eastAsia="zh-CN"/>
        </w:rPr>
        <w:t>成交</w:t>
      </w:r>
      <w:r>
        <w:rPr>
          <w:rFonts w:hint="eastAsia" w:ascii="宋体" w:hAnsi="宋体" w:eastAsia="宋体" w:cs="宋体"/>
          <w:color w:val="auto"/>
          <w:szCs w:val="21"/>
          <w:highlight w:val="none"/>
          <w:lang w:val="zh-CN"/>
        </w:rPr>
        <w:t>通知书；</w:t>
      </w:r>
    </w:p>
    <w:p w14:paraId="3997AB34">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1.1.3</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lang w:val="zh-CN"/>
        </w:rPr>
        <w:t>文件（含澄清或者说明文件）；</w:t>
      </w:r>
    </w:p>
    <w:p w14:paraId="05DF941A">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1.1.4</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lang w:val="zh-CN"/>
        </w:rPr>
        <w:t>文件（含澄清或者修改文件）；</w:t>
      </w:r>
    </w:p>
    <w:p w14:paraId="47F92AD1">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1.1.5其他相关采购文件。</w:t>
      </w:r>
    </w:p>
    <w:p w14:paraId="452CD2AC">
      <w:pPr>
        <w:keepNext w:val="0"/>
        <w:keepLines w:val="0"/>
        <w:pageBreakBefore w:val="0"/>
        <w:kinsoku/>
        <w:wordWrap/>
        <w:overflowPunct/>
        <w:topLinePunct w:val="0"/>
        <w:bidi w:val="0"/>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81" w:name="_Toc2918"/>
      <w:bookmarkStart w:id="82" w:name="_Toc6773"/>
      <w:bookmarkStart w:id="83" w:name="_Toc18585"/>
      <w:bookmarkStart w:id="84" w:name="_Toc6311"/>
      <w:bookmarkStart w:id="85" w:name="_Toc22185"/>
      <w:r>
        <w:rPr>
          <w:rFonts w:hint="eastAsia" w:ascii="宋体" w:hAnsi="宋体" w:eastAsia="宋体" w:cs="宋体"/>
          <w:b/>
          <w:bCs/>
          <w:color w:val="auto"/>
          <w:szCs w:val="21"/>
          <w:highlight w:val="none"/>
          <w:lang w:val="zh-CN"/>
        </w:rPr>
        <w:t xml:space="preserve">1.2 </w:t>
      </w:r>
      <w:bookmarkEnd w:id="81"/>
      <w:bookmarkEnd w:id="82"/>
      <w:bookmarkEnd w:id="83"/>
      <w:bookmarkEnd w:id="84"/>
      <w:bookmarkEnd w:id="85"/>
      <w:r>
        <w:rPr>
          <w:rFonts w:hint="eastAsia" w:ascii="宋体" w:hAnsi="宋体" w:eastAsia="宋体" w:cs="宋体"/>
          <w:b/>
          <w:bCs/>
          <w:color w:val="auto"/>
          <w:szCs w:val="21"/>
          <w:highlight w:val="none"/>
          <w:lang w:val="zh-CN"/>
        </w:rPr>
        <w:t>服务</w:t>
      </w:r>
    </w:p>
    <w:p w14:paraId="0D1FD7DB">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1.2.1服务名称：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14CB9224">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1.2.2服务内容：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77F261EF">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1.2.3服务质量：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55789C2">
      <w:pPr>
        <w:keepNext w:val="0"/>
        <w:keepLines w:val="0"/>
        <w:pageBreakBefore w:val="0"/>
        <w:kinsoku/>
        <w:wordWrap/>
        <w:overflowPunct/>
        <w:topLinePunct w:val="0"/>
        <w:bidi w:val="0"/>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86" w:name="_Toc23292"/>
      <w:bookmarkStart w:id="87" w:name="_Toc21631"/>
      <w:bookmarkStart w:id="88" w:name="_Toc21551"/>
      <w:r>
        <w:rPr>
          <w:rFonts w:hint="eastAsia" w:ascii="宋体" w:hAnsi="宋体" w:eastAsia="宋体" w:cs="宋体"/>
          <w:b/>
          <w:bCs/>
          <w:color w:val="auto"/>
          <w:szCs w:val="21"/>
          <w:highlight w:val="none"/>
          <w:lang w:val="zh-CN"/>
        </w:rPr>
        <w:t>1.3 价款</w:t>
      </w:r>
      <w:bookmarkEnd w:id="86"/>
      <w:bookmarkEnd w:id="87"/>
      <w:bookmarkEnd w:id="88"/>
    </w:p>
    <w:p w14:paraId="05B67042">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本合同总价为：￥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元（大写：人民币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p>
    <w:p w14:paraId="42D14DF7">
      <w:pPr>
        <w:keepNext w:val="0"/>
        <w:keepLines w:val="0"/>
        <w:pageBreakBefore w:val="0"/>
        <w:kinsoku/>
        <w:wordWrap/>
        <w:overflowPunct/>
        <w:topLinePunct w:val="0"/>
        <w:bidi w:val="0"/>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89" w:name="_Toc1814"/>
      <w:bookmarkStart w:id="90" w:name="_Toc10340"/>
      <w:bookmarkStart w:id="91" w:name="_Toc22618"/>
      <w:r>
        <w:rPr>
          <w:rFonts w:hint="eastAsia" w:ascii="宋体" w:hAnsi="宋体" w:eastAsia="宋体" w:cs="宋体"/>
          <w:b/>
          <w:bCs/>
          <w:color w:val="auto"/>
          <w:szCs w:val="21"/>
          <w:highlight w:val="none"/>
          <w:lang w:val="zh-CN"/>
        </w:rPr>
        <w:t>1.4 付款方式和发票开具方式</w:t>
      </w:r>
      <w:bookmarkEnd w:id="89"/>
      <w:bookmarkEnd w:id="90"/>
      <w:bookmarkEnd w:id="91"/>
    </w:p>
    <w:p w14:paraId="1856F50C">
      <w:pPr>
        <w:pStyle w:val="78"/>
        <w:keepNext w:val="0"/>
        <w:keepLines w:val="0"/>
        <w:pageBreakBefore w:val="0"/>
        <w:kinsoku/>
        <w:wordWrap/>
        <w:overflowPunct/>
        <w:topLinePunct w:val="0"/>
        <w:bidi w:val="0"/>
        <w:snapToGrid/>
        <w:spacing w:before="0" w:beforeAutospacing="0" w:after="0" w:afterAutospacing="0" w:line="500" w:lineRule="exact"/>
        <w:ind w:firstLine="420" w:firstLineChars="200"/>
        <w:jc w:val="both"/>
        <w:textAlignment w:val="auto"/>
        <w:rPr>
          <w:rFonts w:hint="default" w:ascii="宋体" w:hAnsi="宋体" w:eastAsia="宋体" w:cs="宋体"/>
          <w:b/>
          <w:bCs/>
          <w:color w:val="auto"/>
          <w:sz w:val="21"/>
          <w:szCs w:val="21"/>
          <w:highlight w:val="none"/>
          <w:u w:val="single"/>
          <w:lang w:val="en-US" w:eastAsia="zh-CN"/>
        </w:rPr>
      </w:pPr>
      <w:r>
        <w:rPr>
          <w:rFonts w:hint="eastAsia" w:ascii="宋体" w:hAnsi="宋体" w:eastAsia="宋体" w:cs="宋体"/>
          <w:color w:val="auto"/>
          <w:sz w:val="21"/>
          <w:szCs w:val="21"/>
          <w:highlight w:val="none"/>
        </w:rPr>
        <w:t>1.4.1付款方式：</w:t>
      </w:r>
      <w:r>
        <w:rPr>
          <w:rFonts w:hint="eastAsia" w:eastAsia="宋体" w:cs="宋体"/>
          <w:b/>
          <w:bCs/>
          <w:color w:val="auto"/>
          <w:sz w:val="21"/>
          <w:szCs w:val="21"/>
          <w:highlight w:val="none"/>
          <w:u w:val="single"/>
          <w:lang w:val="en-US" w:eastAsia="zh-CN"/>
        </w:rPr>
        <w:t xml:space="preserve">                                     </w:t>
      </w:r>
    </w:p>
    <w:p w14:paraId="470F882F">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1.4.2发票开具方式：</w:t>
      </w:r>
      <w:r>
        <w:rPr>
          <w:rFonts w:hint="eastAsia" w:ascii="宋体" w:hAnsi="宋体" w:eastAsia="宋体" w:cs="宋体"/>
          <w:b/>
          <w:bCs/>
          <w:color w:val="auto"/>
          <w:sz w:val="21"/>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lang w:val="en-US" w:eastAsia="zh-CN"/>
        </w:rPr>
        <w:t xml:space="preserve"> </w:t>
      </w:r>
    </w:p>
    <w:p w14:paraId="175A7288">
      <w:pPr>
        <w:keepNext w:val="0"/>
        <w:keepLines w:val="0"/>
        <w:pageBreakBefore w:val="0"/>
        <w:kinsoku/>
        <w:wordWrap/>
        <w:overflowPunct/>
        <w:topLinePunct w:val="0"/>
        <w:bidi w:val="0"/>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92" w:name="_Toc19304"/>
      <w:bookmarkStart w:id="93" w:name="_Toc32071"/>
      <w:bookmarkStart w:id="94" w:name="_Toc2846"/>
      <w:r>
        <w:rPr>
          <w:rFonts w:hint="eastAsia" w:ascii="宋体" w:hAnsi="宋体" w:eastAsia="宋体" w:cs="宋体"/>
          <w:b/>
          <w:bCs/>
          <w:color w:val="auto"/>
          <w:szCs w:val="21"/>
          <w:highlight w:val="none"/>
          <w:lang w:val="zh-CN"/>
        </w:rPr>
        <w:t>1.5 服务期限、地点和方式</w:t>
      </w:r>
      <w:bookmarkEnd w:id="92"/>
      <w:bookmarkEnd w:id="93"/>
      <w:bookmarkEnd w:id="94"/>
    </w:p>
    <w:p w14:paraId="63775539">
      <w:pPr>
        <w:keepNext w:val="0"/>
        <w:keepLines w:val="0"/>
        <w:pageBreakBefore w:val="0"/>
        <w:kinsoku/>
        <w:wordWrap/>
        <w:overflowPunct/>
        <w:topLinePunct w:val="0"/>
        <w:bidi w:val="0"/>
        <w:snapToGrid/>
        <w:spacing w:line="500" w:lineRule="exact"/>
        <w:ind w:firstLine="435"/>
        <w:textAlignment w:val="auto"/>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1.5.1服务期限：</w:t>
      </w:r>
      <w:r>
        <w:rPr>
          <w:rFonts w:hint="eastAsia" w:ascii="宋体" w:hAnsi="宋体" w:eastAsia="宋体" w:cs="宋体"/>
          <w:color w:val="auto"/>
          <w:szCs w:val="21"/>
          <w:highlight w:val="none"/>
          <w:u w:val="single"/>
          <w:lang w:val="en-US" w:eastAsia="zh-CN"/>
        </w:rPr>
        <w:t xml:space="preserve">                                               </w:t>
      </w:r>
    </w:p>
    <w:p w14:paraId="6CC3ACE1">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1.5.2服务地点：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76FB0C43">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1.5.3服务方式：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06C96257">
      <w:pPr>
        <w:keepNext w:val="0"/>
        <w:keepLines w:val="0"/>
        <w:pageBreakBefore w:val="0"/>
        <w:kinsoku/>
        <w:wordWrap/>
        <w:overflowPunct/>
        <w:topLinePunct w:val="0"/>
        <w:bidi w:val="0"/>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95" w:name="_Toc19554"/>
      <w:bookmarkStart w:id="96" w:name="_Toc21423"/>
      <w:bookmarkStart w:id="97" w:name="_Toc27250"/>
      <w:r>
        <w:rPr>
          <w:rFonts w:hint="eastAsia" w:ascii="宋体" w:hAnsi="宋体" w:eastAsia="宋体" w:cs="宋体"/>
          <w:b/>
          <w:bCs/>
          <w:color w:val="auto"/>
          <w:szCs w:val="21"/>
          <w:highlight w:val="none"/>
          <w:lang w:val="zh-CN"/>
        </w:rPr>
        <w:t>1.6 违约责任</w:t>
      </w:r>
      <w:bookmarkEnd w:id="95"/>
      <w:bookmarkEnd w:id="96"/>
      <w:bookmarkEnd w:id="97"/>
    </w:p>
    <w:p w14:paraId="175F9DBC">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1.6.1除不可抗力外，如果乙方没有按照本合同约定的期限、地点和方式履行，那么甲方可要求乙方支付违约金，违约金按每迟延履行一日的应提供而未提供服务价格的</w:t>
      </w:r>
      <w:r>
        <w:rPr>
          <w:rFonts w:hint="eastAsia" w:ascii="宋体" w:hAnsi="宋体" w:eastAsia="宋体" w:cs="宋体"/>
          <w:color w:val="auto"/>
          <w:szCs w:val="21"/>
          <w:highlight w:val="none"/>
          <w:u w:val="single"/>
        </w:rPr>
        <w:t xml:space="preserve"> 0.1 </w:t>
      </w:r>
      <w:r>
        <w:rPr>
          <w:rFonts w:hint="eastAsia" w:ascii="宋体" w:hAnsi="宋体" w:eastAsia="宋体" w:cs="宋体"/>
          <w:color w:val="auto"/>
          <w:szCs w:val="21"/>
          <w:highlight w:val="none"/>
        </w:rPr>
        <w:t>%计算，最高限额为本合同总价的</w:t>
      </w:r>
      <w:r>
        <w:rPr>
          <w:rFonts w:hint="eastAsia" w:ascii="宋体" w:hAnsi="宋体" w:eastAsia="宋体" w:cs="宋体"/>
          <w:color w:val="auto"/>
          <w:szCs w:val="21"/>
          <w:highlight w:val="none"/>
          <w:u w:val="single"/>
        </w:rPr>
        <w:t xml:space="preserve"> 10 </w:t>
      </w:r>
      <w:r>
        <w:rPr>
          <w:rFonts w:hint="eastAsia" w:ascii="宋体" w:hAnsi="宋体" w:eastAsia="宋体" w:cs="宋体"/>
          <w:color w:val="auto"/>
          <w:szCs w:val="21"/>
          <w:highlight w:val="none"/>
        </w:rPr>
        <w:t>%；迟延履行的违约金计算数额达到前述最高限额之日起，甲方有权在要求乙方支付违约金的同时，书面通知乙方解除本合同；</w:t>
      </w:r>
    </w:p>
    <w:p w14:paraId="53489372">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1.6.2除不可抗力外，如果甲方没有按照本合同约定的付款方式付款，那么乙方可要求甲方支付违约金，违约金按每迟延付款一日的应付而未付款的</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%计算，最高限额为本合同总价的</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%；迟延付款的违约金计算数额达到前述最高限额之日起，乙方有权在要求甲方支付违约金的同时，书面通知甲方解除本合同；</w:t>
      </w:r>
    </w:p>
    <w:p w14:paraId="5739B2B1">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0C4ADF5">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19F4F3A8">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0B372B2">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4CCACF7D">
      <w:pPr>
        <w:keepNext w:val="0"/>
        <w:keepLines w:val="0"/>
        <w:pageBreakBefore w:val="0"/>
        <w:kinsoku/>
        <w:wordWrap/>
        <w:overflowPunct/>
        <w:topLinePunct w:val="0"/>
        <w:bidi w:val="0"/>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98" w:name="_Toc28375"/>
      <w:bookmarkStart w:id="99" w:name="_Toc16021"/>
      <w:bookmarkStart w:id="100" w:name="_Toc15583"/>
      <w:r>
        <w:rPr>
          <w:rFonts w:hint="eastAsia" w:ascii="宋体" w:hAnsi="宋体" w:eastAsia="宋体" w:cs="宋体"/>
          <w:b/>
          <w:bCs/>
          <w:color w:val="auto"/>
          <w:szCs w:val="21"/>
          <w:highlight w:val="none"/>
          <w:lang w:val="zh-CN"/>
        </w:rPr>
        <w:t>1.7 合同争议的解决</w:t>
      </w:r>
      <w:bookmarkEnd w:id="98"/>
      <w:bookmarkEnd w:id="99"/>
      <w:bookmarkEnd w:id="100"/>
    </w:p>
    <w:p w14:paraId="1D95672F">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本合同履行过程中发生的任何争议，双方当事人均可通过和解或者调解解决；不愿和解、调解或者和解、调解不成的，可以选择下列第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种方式解决：</w:t>
      </w:r>
    </w:p>
    <w:p w14:paraId="5449633B">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1.7.1将争议提交滁州仲裁委员会依申请仲裁时其现行有效的仲裁规则裁决；</w:t>
      </w:r>
    </w:p>
    <w:p w14:paraId="52C66CDA">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1.7.2向甲方（采购人）</w:t>
      </w:r>
      <w:r>
        <w:rPr>
          <w:rFonts w:hint="eastAsia" w:ascii="宋体" w:hAnsi="宋体" w:eastAsia="宋体" w:cs="宋体"/>
          <w:color w:val="auto"/>
          <w:szCs w:val="21"/>
          <w:highlight w:val="none"/>
          <w:u w:val="none" w:color="000000"/>
        </w:rPr>
        <w:t>所在地</w:t>
      </w:r>
      <w:r>
        <w:rPr>
          <w:rFonts w:hint="eastAsia" w:ascii="宋体" w:hAnsi="宋体" w:eastAsia="宋体" w:cs="宋体"/>
          <w:color w:val="auto"/>
          <w:szCs w:val="21"/>
          <w:highlight w:val="none"/>
        </w:rPr>
        <w:t>人民法院起诉。</w:t>
      </w:r>
    </w:p>
    <w:p w14:paraId="156E1157">
      <w:pPr>
        <w:keepNext w:val="0"/>
        <w:keepLines w:val="0"/>
        <w:pageBreakBefore w:val="0"/>
        <w:kinsoku/>
        <w:wordWrap/>
        <w:overflowPunct/>
        <w:topLinePunct w:val="0"/>
        <w:bidi w:val="0"/>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101" w:name="_Toc11173"/>
      <w:bookmarkStart w:id="102" w:name="_Toc15322"/>
      <w:bookmarkStart w:id="103" w:name="_Toc7245"/>
      <w:r>
        <w:rPr>
          <w:rFonts w:hint="eastAsia" w:ascii="宋体" w:hAnsi="宋体" w:eastAsia="宋体" w:cs="宋体"/>
          <w:b/>
          <w:bCs/>
          <w:color w:val="auto"/>
          <w:szCs w:val="21"/>
          <w:highlight w:val="none"/>
          <w:lang w:val="zh-CN"/>
        </w:rPr>
        <w:t>1.8 合同生效</w:t>
      </w:r>
      <w:bookmarkEnd w:id="101"/>
      <w:bookmarkEnd w:id="102"/>
      <w:bookmarkEnd w:id="103"/>
    </w:p>
    <w:p w14:paraId="7AD280A1">
      <w:pPr>
        <w:keepNext w:val="0"/>
        <w:keepLines w:val="0"/>
        <w:pageBreakBefore w:val="0"/>
        <w:kinsoku/>
        <w:wordWrap/>
        <w:overflowPunct/>
        <w:topLinePunct w:val="0"/>
        <w:bidi w:val="0"/>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本合同自双方当事人盖章时生效。</w:t>
      </w:r>
    </w:p>
    <w:p w14:paraId="15F27792">
      <w:pPr>
        <w:keepNext w:val="0"/>
        <w:keepLines w:val="0"/>
        <w:pageBreakBefore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color w:val="auto"/>
          <w:szCs w:val="21"/>
          <w:highlight w:val="none"/>
          <w:lang w:val="zh-CN"/>
        </w:rPr>
      </w:pPr>
    </w:p>
    <w:p w14:paraId="29F32EFD">
      <w:pPr>
        <w:keepNext w:val="0"/>
        <w:keepLines w:val="0"/>
        <w:pageBreakBefore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color w:val="auto"/>
          <w:szCs w:val="21"/>
          <w:highlight w:val="none"/>
          <w:lang w:val="zh-CN"/>
        </w:rPr>
      </w:pPr>
    </w:p>
    <w:p w14:paraId="3BF21B8C">
      <w:pPr>
        <w:keepNext w:val="0"/>
        <w:keepLines w:val="0"/>
        <w:pageBreakBefore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甲    方：</w:t>
      </w:r>
      <w:r>
        <w:rPr>
          <w:rFonts w:hint="eastAsia" w:ascii="宋体" w:hAnsi="宋体" w:eastAsia="宋体" w:cs="宋体"/>
          <w:bCs/>
          <w:color w:val="auto"/>
          <w:szCs w:val="21"/>
          <w:highlight w:val="none"/>
          <w:u w:val="single"/>
          <w:lang w:val="zh-CN"/>
        </w:rPr>
        <w:t xml:space="preserve">    （单位盖章）     </w:t>
      </w:r>
      <w:r>
        <w:rPr>
          <w:rFonts w:hint="eastAsia" w:ascii="宋体" w:hAnsi="宋体" w:eastAsia="宋体" w:cs="宋体"/>
          <w:bCs/>
          <w:color w:val="auto"/>
          <w:szCs w:val="21"/>
          <w:highlight w:val="none"/>
          <w:lang w:val="zh-CN"/>
        </w:rPr>
        <w:t xml:space="preserve">          乙</w:t>
      </w:r>
      <w:r>
        <w:rPr>
          <w:rFonts w:hint="eastAsia" w:ascii="宋体" w:hAnsi="宋体" w:eastAsia="宋体" w:cs="宋体"/>
          <w:bCs/>
          <w:color w:val="auto"/>
          <w:szCs w:val="21"/>
          <w:highlight w:val="none"/>
        </w:rPr>
        <w:t xml:space="preserve">    </w:t>
      </w:r>
      <w:r>
        <w:rPr>
          <w:rFonts w:hint="eastAsia" w:ascii="宋体" w:hAnsi="宋体" w:eastAsia="宋体" w:cs="宋体"/>
          <w:bCs/>
          <w:color w:val="auto"/>
          <w:szCs w:val="21"/>
          <w:highlight w:val="none"/>
          <w:lang w:val="zh-CN"/>
        </w:rPr>
        <w:t>方：</w:t>
      </w:r>
      <w:r>
        <w:rPr>
          <w:rFonts w:hint="eastAsia" w:ascii="宋体" w:hAnsi="宋体" w:eastAsia="宋体" w:cs="宋体"/>
          <w:bCs/>
          <w:color w:val="auto"/>
          <w:szCs w:val="21"/>
          <w:highlight w:val="none"/>
          <w:u w:val="single"/>
          <w:lang w:val="zh-CN"/>
        </w:rPr>
        <w:t xml:space="preserve">    （单位盖章）     </w:t>
      </w:r>
    </w:p>
    <w:p w14:paraId="2184BF01">
      <w:pPr>
        <w:keepNext w:val="0"/>
        <w:keepLines w:val="0"/>
        <w:pageBreakBefore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法定代表人                               法定代表人</w:t>
      </w:r>
    </w:p>
    <w:p w14:paraId="6880CB06">
      <w:pPr>
        <w:keepNext w:val="0"/>
        <w:keepLines w:val="0"/>
        <w:pageBreakBefore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或授权代表（签字）：                     或授权代表（签字）：</w:t>
      </w:r>
    </w:p>
    <w:p w14:paraId="159AC345">
      <w:pPr>
        <w:keepNext w:val="0"/>
        <w:keepLines w:val="0"/>
        <w:pageBreakBefore w:val="0"/>
        <w:widowControl/>
        <w:kinsoku/>
        <w:wordWrap/>
        <w:overflowPunct/>
        <w:topLinePunct w:val="0"/>
        <w:bidi w:val="0"/>
        <w:snapToGrid/>
        <w:spacing w:line="500" w:lineRule="exact"/>
        <w:jc w:val="left"/>
        <w:textAlignment w:val="auto"/>
        <w:rPr>
          <w:rFonts w:hint="eastAsia" w:ascii="宋体" w:hAnsi="宋体" w:eastAsia="宋体" w:cs="宋体"/>
          <w:bCs/>
          <w:color w:val="auto"/>
          <w:szCs w:val="21"/>
          <w:highlight w:val="none"/>
        </w:rPr>
      </w:pPr>
      <w:bookmarkStart w:id="104" w:name="_Toc331685783"/>
      <w:r>
        <w:rPr>
          <w:rFonts w:hint="eastAsia" w:ascii="宋体" w:hAnsi="宋体" w:eastAsia="宋体" w:cs="宋体"/>
          <w:bCs/>
          <w:color w:val="auto"/>
          <w:szCs w:val="21"/>
          <w:highlight w:val="none"/>
        </w:rPr>
        <w:t>时间：</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日               时间：</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日</w:t>
      </w:r>
    </w:p>
    <w:p w14:paraId="6C7F3480">
      <w:pPr>
        <w:widowControl/>
        <w:jc w:val="left"/>
        <w:rPr>
          <w:rFonts w:ascii="宋体" w:hAnsi="宋体"/>
          <w:b/>
          <w:color w:val="auto"/>
          <w:szCs w:val="21"/>
          <w:highlight w:val="none"/>
        </w:rPr>
      </w:pPr>
      <w:r>
        <w:rPr>
          <w:rFonts w:ascii="宋体" w:hAnsi="宋体"/>
          <w:b/>
          <w:color w:val="auto"/>
          <w:szCs w:val="21"/>
          <w:highlight w:val="none"/>
        </w:rPr>
        <w:br w:type="page"/>
      </w:r>
    </w:p>
    <w:p w14:paraId="43B46EF6">
      <w:pPr>
        <w:widowControl/>
        <w:spacing w:line="400" w:lineRule="exact"/>
        <w:ind w:left="360"/>
        <w:jc w:val="center"/>
        <w:textAlignment w:val="baseline"/>
        <w:outlineLvl w:val="1"/>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第二部分 合同一般条款</w:t>
      </w:r>
      <w:bookmarkEnd w:id="104"/>
    </w:p>
    <w:p w14:paraId="1D5CA998">
      <w:pPr>
        <w:keepNext w:val="0"/>
        <w:keepLines w:val="0"/>
        <w:pageBreakBefore w:val="0"/>
        <w:widowControl w:val="0"/>
        <w:kinsoku/>
        <w:wordWrap/>
        <w:overflowPunct/>
        <w:topLinePunct w:val="0"/>
        <w:autoSpaceDE/>
        <w:autoSpaceDN/>
        <w:bidi w:val="0"/>
        <w:adjustRightInd/>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105" w:name="_Ref467378404"/>
      <w:bookmarkStart w:id="106" w:name="_Ref467379094"/>
      <w:bookmarkStart w:id="107" w:name="_Ref467379101"/>
      <w:bookmarkStart w:id="108" w:name="_Toc259093669"/>
      <w:bookmarkStart w:id="109" w:name="_Ref467379225"/>
      <w:bookmarkStart w:id="110" w:name="_Toc19614"/>
      <w:bookmarkStart w:id="111" w:name="_Ref467378499"/>
      <w:bookmarkStart w:id="112" w:name="_Ref467379205"/>
      <w:bookmarkStart w:id="113" w:name="_Ref467379214"/>
      <w:bookmarkStart w:id="114" w:name="_Toc28763"/>
      <w:bookmarkStart w:id="115" w:name="_Ref467379195"/>
      <w:bookmarkStart w:id="116" w:name="_Ref467379109"/>
      <w:bookmarkStart w:id="117" w:name="_Toc487900349"/>
      <w:bookmarkStart w:id="118" w:name="_Toc16917"/>
      <w:bookmarkStart w:id="119" w:name="_Ref467378463"/>
      <w:bookmarkStart w:id="120" w:name="_Toc279701240"/>
      <w:r>
        <w:rPr>
          <w:rFonts w:hint="eastAsia" w:ascii="宋体" w:hAnsi="宋体" w:eastAsia="宋体" w:cs="宋体"/>
          <w:b/>
          <w:bCs/>
          <w:color w:val="auto"/>
          <w:szCs w:val="21"/>
          <w:highlight w:val="none"/>
          <w:lang w:val="zh-CN"/>
        </w:rPr>
        <w:t>2.1 定义</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15F8DC25">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本合同中的下列词语应按以下内容进行解释：</w:t>
      </w:r>
    </w:p>
    <w:p w14:paraId="696BF887">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2.1.1“合同”系指采购人和中标人签订的载明双方当事人所达成的协议，并包括所有的附件、附录和构成合同的其他文件。</w:t>
      </w:r>
    </w:p>
    <w:p w14:paraId="051B6F15">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2.1.2“合同价”系指根据合同约定，中标人在完全履行合同义务后，采购人应支付给中标人的价格。</w:t>
      </w:r>
    </w:p>
    <w:p w14:paraId="2D7AACF0">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2.1.3“服务”系指中标人根据合同约定应向采购人履行的除货物和工程以外的其他政府采购对象，包括采购人自身需要的服务和向社会公众提供的公共服务。</w:t>
      </w:r>
    </w:p>
    <w:p w14:paraId="3A6C39F7">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bookmarkStart w:id="121" w:name="_Ref467378840"/>
      <w:r>
        <w:rPr>
          <w:rFonts w:hint="eastAsia" w:ascii="宋体" w:hAnsi="宋体" w:eastAsia="宋体" w:cs="宋体"/>
          <w:color w:val="auto"/>
          <w:szCs w:val="21"/>
          <w:highlight w:val="none"/>
        </w:rPr>
        <w:t>2.1.4“甲方”系指与中标人签署合同的采购人</w:t>
      </w:r>
      <w:bookmarkEnd w:id="121"/>
      <w:r>
        <w:rPr>
          <w:rFonts w:hint="eastAsia" w:ascii="宋体" w:hAnsi="宋体" w:eastAsia="宋体" w:cs="宋体"/>
          <w:color w:val="auto"/>
          <w:szCs w:val="21"/>
          <w:highlight w:val="none"/>
        </w:rPr>
        <w:t>；采购人委托采购代理机构代表其与乙方签订合同的，采购人的授权委托书作为合同附件。</w:t>
      </w:r>
    </w:p>
    <w:p w14:paraId="1789D07B">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bookmarkStart w:id="122" w:name="_Ref467379400"/>
      <w:r>
        <w:rPr>
          <w:rFonts w:hint="eastAsia" w:ascii="宋体" w:hAnsi="宋体" w:eastAsia="宋体" w:cs="宋体"/>
          <w:color w:val="auto"/>
          <w:szCs w:val="21"/>
          <w:highlight w:val="none"/>
        </w:rPr>
        <w:t>2.1.5“乙方”系指根据合同约定提供服务的中标人</w:t>
      </w:r>
      <w:bookmarkEnd w:id="122"/>
      <w:r>
        <w:rPr>
          <w:rFonts w:hint="eastAsia" w:ascii="宋体" w:hAnsi="宋体" w:eastAsia="宋体" w:cs="宋体"/>
          <w:color w:val="auto"/>
          <w:szCs w:val="21"/>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42942D88">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bookmarkStart w:id="123" w:name="_Ref467379436"/>
      <w:r>
        <w:rPr>
          <w:rFonts w:hint="eastAsia" w:ascii="宋体" w:hAnsi="宋体" w:eastAsia="宋体" w:cs="宋体"/>
          <w:color w:val="auto"/>
          <w:szCs w:val="21"/>
          <w:highlight w:val="none"/>
        </w:rPr>
        <w:t>2.1.6“现场”系指合同约定提供服务的地点。</w:t>
      </w:r>
      <w:bookmarkEnd w:id="123"/>
    </w:p>
    <w:p w14:paraId="4B50258E">
      <w:pPr>
        <w:keepNext w:val="0"/>
        <w:keepLines w:val="0"/>
        <w:pageBreakBefore w:val="0"/>
        <w:widowControl w:val="0"/>
        <w:kinsoku/>
        <w:wordWrap/>
        <w:overflowPunct/>
        <w:topLinePunct w:val="0"/>
        <w:autoSpaceDE/>
        <w:autoSpaceDN/>
        <w:bidi w:val="0"/>
        <w:adjustRightInd/>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124" w:name="_Toc259093670"/>
      <w:bookmarkStart w:id="125" w:name="_Toc32504"/>
      <w:bookmarkStart w:id="126" w:name="_Toc27635"/>
      <w:bookmarkStart w:id="127" w:name="_Toc13336"/>
      <w:bookmarkStart w:id="128" w:name="_Toc279701241"/>
      <w:bookmarkStart w:id="129" w:name="_Toc487900350"/>
      <w:r>
        <w:rPr>
          <w:rFonts w:hint="eastAsia" w:ascii="宋体" w:hAnsi="宋体" w:eastAsia="宋体" w:cs="宋体"/>
          <w:b/>
          <w:bCs/>
          <w:color w:val="auto"/>
          <w:szCs w:val="21"/>
          <w:highlight w:val="none"/>
          <w:lang w:val="zh-CN"/>
        </w:rPr>
        <w:t>2.2 技术规范</w:t>
      </w:r>
      <w:bookmarkEnd w:id="124"/>
      <w:bookmarkEnd w:id="125"/>
      <w:bookmarkEnd w:id="126"/>
      <w:bookmarkEnd w:id="127"/>
      <w:bookmarkEnd w:id="128"/>
      <w:bookmarkEnd w:id="129"/>
    </w:p>
    <w:p w14:paraId="5C84CDD8">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09854B5">
      <w:pPr>
        <w:keepNext w:val="0"/>
        <w:keepLines w:val="0"/>
        <w:pageBreakBefore w:val="0"/>
        <w:widowControl w:val="0"/>
        <w:kinsoku/>
        <w:wordWrap/>
        <w:overflowPunct/>
        <w:topLinePunct w:val="0"/>
        <w:autoSpaceDE/>
        <w:autoSpaceDN/>
        <w:bidi w:val="0"/>
        <w:adjustRightInd/>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130" w:name="_Toc9829"/>
      <w:bookmarkStart w:id="131" w:name="_Toc27853"/>
      <w:bookmarkStart w:id="132" w:name="_Toc279701242"/>
      <w:bookmarkStart w:id="133" w:name="_Toc259093671"/>
      <w:bookmarkStart w:id="134" w:name="_Toc487900351"/>
      <w:bookmarkStart w:id="135" w:name="_Toc31634"/>
      <w:r>
        <w:rPr>
          <w:rFonts w:hint="eastAsia" w:ascii="宋体" w:hAnsi="宋体" w:eastAsia="宋体" w:cs="宋体"/>
          <w:b/>
          <w:bCs/>
          <w:color w:val="auto"/>
          <w:szCs w:val="21"/>
          <w:highlight w:val="none"/>
          <w:lang w:val="zh-CN"/>
        </w:rPr>
        <w:t>2.3 知识产权</w:t>
      </w:r>
      <w:bookmarkEnd w:id="130"/>
      <w:bookmarkEnd w:id="131"/>
      <w:bookmarkEnd w:id="132"/>
      <w:bookmarkEnd w:id="133"/>
      <w:bookmarkEnd w:id="134"/>
      <w:bookmarkEnd w:id="135"/>
    </w:p>
    <w:p w14:paraId="2E567349">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2.3.1乙方应保证其提供的服务不受任何第三方提出的侵犯其著作权、商标权、专利权等知识产权方面的起诉；如果任何第三方提出侵权指控，那么乙方须与该第三方交涉并承担由此发生的一切责任、费用和赔偿；</w:t>
      </w:r>
    </w:p>
    <w:p w14:paraId="002AE1E0">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2.3.2具有知识产权的计算机软件等货物的知识产权归属，详见</w:t>
      </w:r>
      <w:r>
        <w:rPr>
          <w:rFonts w:hint="eastAsia" w:ascii="宋体" w:hAnsi="宋体" w:eastAsia="宋体" w:cs="宋体"/>
          <w:b/>
          <w:i/>
          <w:color w:val="auto"/>
          <w:szCs w:val="21"/>
          <w:highlight w:val="none"/>
          <w:u w:val="single"/>
        </w:rPr>
        <w:t>合同专用条款</w:t>
      </w:r>
      <w:r>
        <w:rPr>
          <w:rFonts w:hint="eastAsia" w:ascii="宋体" w:hAnsi="宋体" w:eastAsia="宋体" w:cs="宋体"/>
          <w:color w:val="auto"/>
          <w:szCs w:val="21"/>
          <w:highlight w:val="none"/>
        </w:rPr>
        <w:t>。</w:t>
      </w:r>
    </w:p>
    <w:p w14:paraId="269B982A">
      <w:pPr>
        <w:keepNext w:val="0"/>
        <w:keepLines w:val="0"/>
        <w:pageBreakBefore w:val="0"/>
        <w:widowControl w:val="0"/>
        <w:kinsoku/>
        <w:wordWrap/>
        <w:overflowPunct/>
        <w:topLinePunct w:val="0"/>
        <w:autoSpaceDE/>
        <w:autoSpaceDN/>
        <w:bidi w:val="0"/>
        <w:adjustRightInd/>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136" w:name="_Ref467379536"/>
      <w:bookmarkStart w:id="137" w:name="_Ref467379527"/>
      <w:bookmarkStart w:id="138" w:name="_Ref467378591"/>
      <w:bookmarkStart w:id="139" w:name="_Toc259093674"/>
      <w:bookmarkStart w:id="140" w:name="_Ref467378541"/>
      <w:bookmarkStart w:id="141" w:name="_Ref467379542"/>
      <w:bookmarkStart w:id="142" w:name="_Toc487900354"/>
      <w:bookmarkStart w:id="143" w:name="_Toc279701245"/>
      <w:bookmarkStart w:id="144" w:name="_Toc26182"/>
      <w:bookmarkStart w:id="145" w:name="_Toc30272"/>
      <w:bookmarkStart w:id="146" w:name="_Toc19074"/>
      <w:r>
        <w:rPr>
          <w:rFonts w:hint="eastAsia" w:ascii="宋体" w:hAnsi="宋体" w:eastAsia="宋体" w:cs="宋体"/>
          <w:b/>
          <w:bCs/>
          <w:color w:val="auto"/>
          <w:szCs w:val="21"/>
          <w:highlight w:val="none"/>
          <w:lang w:val="zh-CN"/>
        </w:rPr>
        <w:t>2.</w:t>
      </w:r>
      <w:bookmarkEnd w:id="136"/>
      <w:bookmarkEnd w:id="137"/>
      <w:bookmarkEnd w:id="138"/>
      <w:bookmarkEnd w:id="139"/>
      <w:bookmarkEnd w:id="140"/>
      <w:bookmarkEnd w:id="141"/>
      <w:bookmarkEnd w:id="142"/>
      <w:bookmarkEnd w:id="143"/>
      <w:r>
        <w:rPr>
          <w:rFonts w:hint="eastAsia" w:ascii="宋体" w:hAnsi="宋体" w:eastAsia="宋体" w:cs="宋体"/>
          <w:b/>
          <w:bCs/>
          <w:color w:val="auto"/>
          <w:szCs w:val="21"/>
          <w:highlight w:val="none"/>
          <w:lang w:val="zh-CN"/>
        </w:rPr>
        <w:t>4 履约检查和问题反馈</w:t>
      </w:r>
      <w:bookmarkEnd w:id="144"/>
      <w:bookmarkEnd w:id="145"/>
      <w:bookmarkEnd w:id="146"/>
    </w:p>
    <w:p w14:paraId="5AB51724">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bookmarkStart w:id="147" w:name="_Toc186431854"/>
      <w:bookmarkStart w:id="148" w:name="_Toc279701247"/>
      <w:bookmarkStart w:id="149" w:name="_Ref467379793"/>
      <w:bookmarkStart w:id="150" w:name="_Toc259093676"/>
      <w:bookmarkStart w:id="151" w:name="_Toc487900357"/>
      <w:bookmarkStart w:id="152" w:name="_Ref467379807"/>
      <w:r>
        <w:rPr>
          <w:rFonts w:hint="eastAsia" w:ascii="宋体" w:hAnsi="宋体" w:eastAsia="宋体" w:cs="宋体"/>
          <w:color w:val="auto"/>
          <w:szCs w:val="21"/>
          <w:highlight w:val="none"/>
        </w:rPr>
        <w:t>2.4.1甲方有权在其认为必要时，对乙方是否能够按照合同约定提供服务进行履约检查，以确保乙方所提供的服务能够依约满足甲方项目需求，但不得因履约检查妨碍乙方的正常工作，乙方应予积极配合；</w:t>
      </w:r>
    </w:p>
    <w:p w14:paraId="22C9AE69">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2.4.2合同履行期间，甲方有权将履行过程中出现的问题反馈给乙方，双方当事人应以书面形式约定需要完善和改进的内容</w:t>
      </w:r>
      <w:bookmarkEnd w:id="147"/>
      <w:bookmarkStart w:id="153" w:name="_Toc186431855"/>
      <w:r>
        <w:rPr>
          <w:rFonts w:hint="eastAsia" w:ascii="宋体" w:hAnsi="宋体" w:eastAsia="宋体" w:cs="宋体"/>
          <w:color w:val="auto"/>
          <w:szCs w:val="21"/>
          <w:highlight w:val="none"/>
        </w:rPr>
        <w:t>。</w:t>
      </w:r>
    </w:p>
    <w:bookmarkEnd w:id="153"/>
    <w:p w14:paraId="7D863DFA">
      <w:pPr>
        <w:keepNext w:val="0"/>
        <w:keepLines w:val="0"/>
        <w:pageBreakBefore w:val="0"/>
        <w:widowControl w:val="0"/>
        <w:kinsoku/>
        <w:wordWrap/>
        <w:overflowPunct/>
        <w:topLinePunct w:val="0"/>
        <w:autoSpaceDE/>
        <w:autoSpaceDN/>
        <w:bidi w:val="0"/>
        <w:adjustRightInd/>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154" w:name="_Toc19219"/>
      <w:bookmarkStart w:id="155" w:name="_Toc7836"/>
      <w:bookmarkStart w:id="156" w:name="_Toc28451"/>
      <w:r>
        <w:rPr>
          <w:rFonts w:hint="eastAsia" w:ascii="宋体" w:hAnsi="宋体" w:eastAsia="宋体" w:cs="宋体"/>
          <w:b/>
          <w:bCs/>
          <w:color w:val="auto"/>
          <w:szCs w:val="21"/>
          <w:highlight w:val="none"/>
          <w:lang w:val="zh-CN"/>
        </w:rPr>
        <w:t>2.5 结算方式和付款条件</w:t>
      </w:r>
      <w:bookmarkEnd w:id="148"/>
      <w:bookmarkEnd w:id="149"/>
      <w:bookmarkEnd w:id="150"/>
      <w:bookmarkEnd w:id="151"/>
      <w:bookmarkEnd w:id="152"/>
      <w:bookmarkEnd w:id="154"/>
      <w:bookmarkEnd w:id="155"/>
      <w:bookmarkEnd w:id="156"/>
    </w:p>
    <w:p w14:paraId="44580452">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本项目采用总价合同。</w:t>
      </w:r>
    </w:p>
    <w:p w14:paraId="1A2D9B5F">
      <w:pPr>
        <w:keepNext w:val="0"/>
        <w:keepLines w:val="0"/>
        <w:pageBreakBefore w:val="0"/>
        <w:widowControl w:val="0"/>
        <w:kinsoku/>
        <w:wordWrap/>
        <w:overflowPunct/>
        <w:topLinePunct w:val="0"/>
        <w:autoSpaceDE/>
        <w:autoSpaceDN/>
        <w:bidi w:val="0"/>
        <w:adjustRightInd/>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157" w:name="_Ref467379923"/>
      <w:bookmarkStart w:id="158" w:name="_Ref467379863"/>
      <w:bookmarkStart w:id="159" w:name="_Ref467379852"/>
      <w:bookmarkStart w:id="160" w:name="_Toc259093677"/>
      <w:bookmarkStart w:id="161" w:name="_Toc487900358"/>
      <w:bookmarkStart w:id="162" w:name="_Toc279701248"/>
      <w:bookmarkStart w:id="163" w:name="_Toc3225"/>
      <w:bookmarkStart w:id="164" w:name="_Toc774"/>
      <w:bookmarkStart w:id="165" w:name="_Toc16110"/>
      <w:r>
        <w:rPr>
          <w:rFonts w:hint="eastAsia" w:ascii="宋体" w:hAnsi="宋体" w:eastAsia="宋体" w:cs="宋体"/>
          <w:b/>
          <w:bCs/>
          <w:color w:val="auto"/>
          <w:szCs w:val="21"/>
          <w:highlight w:val="none"/>
          <w:lang w:val="zh-CN"/>
        </w:rPr>
        <w:t>2.6 技术资料</w:t>
      </w:r>
      <w:bookmarkEnd w:id="157"/>
      <w:bookmarkEnd w:id="158"/>
      <w:bookmarkEnd w:id="159"/>
      <w:bookmarkEnd w:id="160"/>
      <w:bookmarkEnd w:id="161"/>
      <w:bookmarkEnd w:id="162"/>
      <w:r>
        <w:rPr>
          <w:rFonts w:hint="eastAsia" w:ascii="宋体" w:hAnsi="宋体" w:eastAsia="宋体" w:cs="宋体"/>
          <w:b/>
          <w:bCs/>
          <w:color w:val="auto"/>
          <w:szCs w:val="21"/>
          <w:highlight w:val="none"/>
          <w:lang w:val="zh-CN"/>
        </w:rPr>
        <w:t>和保密义务</w:t>
      </w:r>
      <w:bookmarkEnd w:id="163"/>
      <w:bookmarkEnd w:id="164"/>
      <w:bookmarkEnd w:id="165"/>
    </w:p>
    <w:p w14:paraId="456C6F66">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2.6.1乙方有权依据合同约定和项目需要，向甲方了解有关情况，调阅有关资料等，甲方应予积极配合；</w:t>
      </w:r>
    </w:p>
    <w:p w14:paraId="4B5EF09E">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2.6.2乙方有义务妥善保管和保护由甲方提供的前款信息和资料等；</w:t>
      </w:r>
    </w:p>
    <w:p w14:paraId="67E86AAD">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2.6.3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41BAA7E3">
      <w:pPr>
        <w:keepNext w:val="0"/>
        <w:keepLines w:val="0"/>
        <w:pageBreakBefore w:val="0"/>
        <w:widowControl w:val="0"/>
        <w:kinsoku/>
        <w:wordWrap/>
        <w:overflowPunct/>
        <w:topLinePunct w:val="0"/>
        <w:autoSpaceDE/>
        <w:autoSpaceDN/>
        <w:bidi w:val="0"/>
        <w:adjustRightInd/>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166" w:name="_Toc7860"/>
      <w:r>
        <w:rPr>
          <w:rFonts w:hint="eastAsia" w:ascii="宋体" w:hAnsi="宋体" w:eastAsia="宋体" w:cs="宋体"/>
          <w:b/>
          <w:bCs/>
          <w:color w:val="auto"/>
          <w:szCs w:val="21"/>
          <w:highlight w:val="none"/>
          <w:lang w:val="zh-CN"/>
        </w:rPr>
        <w:t>2.7 质量保证</w:t>
      </w:r>
      <w:bookmarkEnd w:id="166"/>
    </w:p>
    <w:p w14:paraId="59F9FA69">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2.7.1乙方应建立和完善履行合同的内部质量保证体系，并提供相关内部规章制度给甲方，以便甲方进行监督检查；</w:t>
      </w:r>
    </w:p>
    <w:p w14:paraId="3ABB1307">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2.7.2乙方应保证履行合同的人员数量和素质、软件和硬件设备的配置、场地、环境和设施等满足全面履行合同的要求，并应接受甲方的监督检查。</w:t>
      </w:r>
    </w:p>
    <w:p w14:paraId="63C201D8">
      <w:pPr>
        <w:keepNext w:val="0"/>
        <w:keepLines w:val="0"/>
        <w:pageBreakBefore w:val="0"/>
        <w:widowControl w:val="0"/>
        <w:kinsoku/>
        <w:wordWrap/>
        <w:overflowPunct/>
        <w:topLinePunct w:val="0"/>
        <w:autoSpaceDE/>
        <w:autoSpaceDN/>
        <w:bidi w:val="0"/>
        <w:adjustRightInd/>
        <w:snapToGrid/>
        <w:spacing w:line="500" w:lineRule="exact"/>
        <w:ind w:firstLine="437"/>
        <w:textAlignment w:val="auto"/>
        <w:outlineLvl w:val="3"/>
        <w:rPr>
          <w:rFonts w:hint="eastAsia" w:ascii="宋体" w:hAnsi="宋体" w:eastAsia="宋体" w:cs="宋体"/>
          <w:b/>
          <w:color w:val="auto"/>
          <w:szCs w:val="21"/>
          <w:highlight w:val="none"/>
        </w:rPr>
      </w:pPr>
      <w:bookmarkStart w:id="167" w:name="_Toc22267"/>
      <w:r>
        <w:rPr>
          <w:rFonts w:hint="eastAsia" w:ascii="宋体" w:hAnsi="宋体" w:eastAsia="宋体" w:cs="宋体"/>
          <w:b/>
          <w:color w:val="auto"/>
          <w:szCs w:val="21"/>
          <w:highlight w:val="none"/>
        </w:rPr>
        <w:t>2.8 延迟履行</w:t>
      </w:r>
      <w:bookmarkEnd w:id="167"/>
    </w:p>
    <w:p w14:paraId="57CE92E3">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07744C15">
      <w:pPr>
        <w:keepNext w:val="0"/>
        <w:keepLines w:val="0"/>
        <w:pageBreakBefore w:val="0"/>
        <w:widowControl w:val="0"/>
        <w:kinsoku/>
        <w:wordWrap/>
        <w:overflowPunct/>
        <w:topLinePunct w:val="0"/>
        <w:autoSpaceDE/>
        <w:autoSpaceDN/>
        <w:bidi w:val="0"/>
        <w:adjustRightInd/>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168" w:name="_Toc7502"/>
      <w:bookmarkStart w:id="169" w:name="_Ref467378121"/>
      <w:bookmarkStart w:id="170" w:name="_Toc487900364"/>
      <w:bookmarkStart w:id="171" w:name="_Toc259093683"/>
      <w:bookmarkStart w:id="172" w:name="_Toc279701254"/>
      <w:r>
        <w:rPr>
          <w:rFonts w:hint="eastAsia" w:ascii="宋体" w:hAnsi="宋体" w:eastAsia="宋体" w:cs="宋体"/>
          <w:b/>
          <w:bCs/>
          <w:color w:val="auto"/>
          <w:szCs w:val="21"/>
          <w:highlight w:val="none"/>
          <w:lang w:val="zh-CN"/>
        </w:rPr>
        <w:t>2.9 合同变更</w:t>
      </w:r>
      <w:bookmarkEnd w:id="168"/>
    </w:p>
    <w:p w14:paraId="5F1CAFFE">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2.9.1双方当事人协商一致，可以签订书面补充合同的形式变更合同，但不得违背采购文件确定的事项；</w:t>
      </w:r>
    </w:p>
    <w:p w14:paraId="3FAEA6BE">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2.9.2合同继续履行将损害国家利益和社会公共利益的，双方当事人应当以书面形式变更合同。有过错的一方应当承担赔偿责任，双方当事人都有过错的，各自承担相应的责任。</w:t>
      </w:r>
      <w:bookmarkStart w:id="173" w:name="_Toc487900369"/>
      <w:bookmarkStart w:id="174" w:name="_Toc279701259"/>
      <w:bookmarkStart w:id="175" w:name="_Toc259093688"/>
    </w:p>
    <w:p w14:paraId="51F58C74">
      <w:pPr>
        <w:keepNext w:val="0"/>
        <w:keepLines w:val="0"/>
        <w:pageBreakBefore w:val="0"/>
        <w:widowControl w:val="0"/>
        <w:kinsoku/>
        <w:wordWrap/>
        <w:overflowPunct/>
        <w:topLinePunct w:val="0"/>
        <w:autoSpaceDE/>
        <w:autoSpaceDN/>
        <w:bidi w:val="0"/>
        <w:adjustRightInd/>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176" w:name="_Toc10366"/>
      <w:bookmarkStart w:id="177" w:name="_Toc15237"/>
      <w:bookmarkStart w:id="178" w:name="_Toc22955"/>
      <w:r>
        <w:rPr>
          <w:rFonts w:hint="eastAsia" w:ascii="宋体" w:hAnsi="宋体" w:eastAsia="宋体" w:cs="宋体"/>
          <w:b/>
          <w:bCs/>
          <w:color w:val="auto"/>
          <w:szCs w:val="21"/>
          <w:highlight w:val="none"/>
          <w:lang w:val="zh-CN"/>
        </w:rPr>
        <w:t>2.10 合同转让</w:t>
      </w:r>
      <w:bookmarkEnd w:id="173"/>
      <w:bookmarkEnd w:id="174"/>
      <w:bookmarkEnd w:id="175"/>
      <w:r>
        <w:rPr>
          <w:rFonts w:hint="eastAsia" w:ascii="宋体" w:hAnsi="宋体" w:eastAsia="宋体" w:cs="宋体"/>
          <w:b/>
          <w:bCs/>
          <w:color w:val="auto"/>
          <w:szCs w:val="21"/>
          <w:highlight w:val="none"/>
          <w:lang w:val="zh-CN"/>
        </w:rPr>
        <w:t>和分包</w:t>
      </w:r>
      <w:bookmarkEnd w:id="176"/>
      <w:bookmarkEnd w:id="177"/>
      <w:bookmarkEnd w:id="178"/>
    </w:p>
    <w:p w14:paraId="4AE4CB1E">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61CC6489">
      <w:pPr>
        <w:keepNext w:val="0"/>
        <w:keepLines w:val="0"/>
        <w:pageBreakBefore w:val="0"/>
        <w:widowControl w:val="0"/>
        <w:kinsoku/>
        <w:wordWrap/>
        <w:overflowPunct/>
        <w:topLinePunct w:val="0"/>
        <w:autoSpaceDE/>
        <w:autoSpaceDN/>
        <w:bidi w:val="0"/>
        <w:adjustRightInd/>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179" w:name="_Toc13566"/>
      <w:bookmarkStart w:id="180" w:name="_Toc14066"/>
      <w:bookmarkStart w:id="181" w:name="_Toc16508"/>
      <w:r>
        <w:rPr>
          <w:rFonts w:hint="eastAsia" w:ascii="宋体" w:hAnsi="宋体" w:eastAsia="宋体" w:cs="宋体"/>
          <w:b/>
          <w:bCs/>
          <w:color w:val="auto"/>
          <w:szCs w:val="21"/>
          <w:highlight w:val="none"/>
          <w:lang w:val="zh-CN"/>
        </w:rPr>
        <w:t>2.11 不可抗力</w:t>
      </w:r>
      <w:bookmarkEnd w:id="179"/>
      <w:bookmarkEnd w:id="180"/>
      <w:bookmarkEnd w:id="181"/>
    </w:p>
    <w:p w14:paraId="1FCA2CDA">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2.11.1如果任何一方遭遇法律规定的不可抗力，致使合同履行受阻时，履行合同的期限应予延长，延长的期限应相当于不可抗力所影响的时间；</w:t>
      </w:r>
    </w:p>
    <w:p w14:paraId="3E451750">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2.11.2因不可抗力致使不能实现合同目的的，当事人可以解除合同；</w:t>
      </w:r>
    </w:p>
    <w:p w14:paraId="1381A241">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2.11.3因不可抗力致使合同有变更必要的，双方当事人应在</w:t>
      </w:r>
      <w:r>
        <w:rPr>
          <w:rFonts w:hint="eastAsia" w:ascii="宋体" w:hAnsi="宋体" w:eastAsia="宋体" w:cs="宋体"/>
          <w:b/>
          <w:i/>
          <w:color w:val="auto"/>
          <w:szCs w:val="21"/>
          <w:highlight w:val="none"/>
          <w:u w:val="single"/>
        </w:rPr>
        <w:t>合同专用条款</w:t>
      </w:r>
      <w:r>
        <w:rPr>
          <w:rFonts w:hint="eastAsia" w:ascii="宋体" w:hAnsi="宋体" w:eastAsia="宋体" w:cs="宋体"/>
          <w:color w:val="auto"/>
          <w:szCs w:val="21"/>
          <w:highlight w:val="none"/>
        </w:rPr>
        <w:t>约定时间内以书面形式变更合同；</w:t>
      </w:r>
    </w:p>
    <w:p w14:paraId="33C599F4">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2.11.4受不可抗力影响的一方在不可抗力发生后，应在</w:t>
      </w:r>
      <w:r>
        <w:rPr>
          <w:rFonts w:hint="eastAsia" w:ascii="宋体" w:hAnsi="宋体" w:eastAsia="宋体" w:cs="宋体"/>
          <w:b/>
          <w:i/>
          <w:color w:val="auto"/>
          <w:szCs w:val="21"/>
          <w:highlight w:val="none"/>
          <w:u w:val="single"/>
        </w:rPr>
        <w:t>合同专用条款</w:t>
      </w:r>
      <w:r>
        <w:rPr>
          <w:rFonts w:hint="eastAsia" w:ascii="宋体" w:hAnsi="宋体" w:eastAsia="宋体" w:cs="宋体"/>
          <w:color w:val="auto"/>
          <w:szCs w:val="21"/>
          <w:highlight w:val="none"/>
        </w:rPr>
        <w:t>约定时间内以书面形式通知对方当事人，并在</w:t>
      </w:r>
      <w:r>
        <w:rPr>
          <w:rFonts w:hint="eastAsia" w:ascii="宋体" w:hAnsi="宋体" w:eastAsia="宋体" w:cs="宋体"/>
          <w:b/>
          <w:i/>
          <w:color w:val="auto"/>
          <w:szCs w:val="21"/>
          <w:highlight w:val="none"/>
          <w:u w:val="single"/>
        </w:rPr>
        <w:t>合同专用条款</w:t>
      </w:r>
      <w:r>
        <w:rPr>
          <w:rFonts w:hint="eastAsia" w:ascii="宋体" w:hAnsi="宋体" w:eastAsia="宋体" w:cs="宋体"/>
          <w:color w:val="auto"/>
          <w:szCs w:val="21"/>
          <w:highlight w:val="none"/>
        </w:rPr>
        <w:t>约定时间内，将有关部门出具的证明文件送达对方当事人。</w:t>
      </w:r>
    </w:p>
    <w:p w14:paraId="0F409FC5">
      <w:pPr>
        <w:keepNext w:val="0"/>
        <w:keepLines w:val="0"/>
        <w:pageBreakBefore w:val="0"/>
        <w:widowControl w:val="0"/>
        <w:kinsoku/>
        <w:wordWrap/>
        <w:overflowPunct/>
        <w:topLinePunct w:val="0"/>
        <w:autoSpaceDE/>
        <w:autoSpaceDN/>
        <w:bidi w:val="0"/>
        <w:adjustRightInd/>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182" w:name="_Toc259093684"/>
      <w:bookmarkStart w:id="183" w:name="_Toc30676"/>
      <w:bookmarkStart w:id="184" w:name="_Toc279701255"/>
      <w:bookmarkStart w:id="185" w:name="_Toc6969"/>
      <w:bookmarkStart w:id="186" w:name="_Toc689"/>
      <w:bookmarkStart w:id="187" w:name="_Toc487900365"/>
      <w:r>
        <w:rPr>
          <w:rFonts w:hint="eastAsia" w:ascii="宋体" w:hAnsi="宋体" w:eastAsia="宋体" w:cs="宋体"/>
          <w:b/>
          <w:bCs/>
          <w:color w:val="auto"/>
          <w:szCs w:val="21"/>
          <w:highlight w:val="none"/>
          <w:lang w:val="zh-CN"/>
        </w:rPr>
        <w:t>2.12 税费</w:t>
      </w:r>
      <w:bookmarkEnd w:id="182"/>
      <w:bookmarkEnd w:id="183"/>
      <w:bookmarkEnd w:id="184"/>
      <w:bookmarkEnd w:id="185"/>
      <w:bookmarkEnd w:id="186"/>
      <w:bookmarkEnd w:id="187"/>
    </w:p>
    <w:p w14:paraId="5BB3C853">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与合同有关的一切税费，均按照中华人民共和国法律的相关规定缴纳。</w:t>
      </w:r>
    </w:p>
    <w:p w14:paraId="101DDF08">
      <w:pPr>
        <w:keepNext w:val="0"/>
        <w:keepLines w:val="0"/>
        <w:pageBreakBefore w:val="0"/>
        <w:widowControl w:val="0"/>
        <w:kinsoku/>
        <w:wordWrap/>
        <w:overflowPunct/>
        <w:topLinePunct w:val="0"/>
        <w:autoSpaceDE/>
        <w:autoSpaceDN/>
        <w:bidi w:val="0"/>
        <w:adjustRightInd/>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188" w:name="_Toc487900368"/>
      <w:bookmarkStart w:id="189" w:name="_Toc259093687"/>
      <w:bookmarkStart w:id="190" w:name="_Toc7102"/>
      <w:bookmarkStart w:id="191" w:name="_Toc8298"/>
      <w:bookmarkStart w:id="192" w:name="_Toc16959"/>
      <w:bookmarkStart w:id="193" w:name="_Toc279701258"/>
      <w:r>
        <w:rPr>
          <w:rFonts w:hint="eastAsia" w:ascii="宋体" w:hAnsi="宋体" w:eastAsia="宋体" w:cs="宋体"/>
          <w:b/>
          <w:bCs/>
          <w:color w:val="auto"/>
          <w:szCs w:val="21"/>
          <w:highlight w:val="none"/>
          <w:lang w:val="zh-CN"/>
        </w:rPr>
        <w:t>2.13 乙方破产</w:t>
      </w:r>
      <w:bookmarkEnd w:id="188"/>
      <w:bookmarkEnd w:id="189"/>
      <w:bookmarkEnd w:id="190"/>
      <w:bookmarkEnd w:id="191"/>
      <w:bookmarkEnd w:id="192"/>
      <w:bookmarkEnd w:id="193"/>
    </w:p>
    <w:p w14:paraId="286C2B69">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D66DF07">
      <w:pPr>
        <w:keepNext w:val="0"/>
        <w:keepLines w:val="0"/>
        <w:pageBreakBefore w:val="0"/>
        <w:widowControl w:val="0"/>
        <w:kinsoku/>
        <w:wordWrap/>
        <w:overflowPunct/>
        <w:topLinePunct w:val="0"/>
        <w:autoSpaceDE/>
        <w:autoSpaceDN/>
        <w:bidi w:val="0"/>
        <w:adjustRightInd/>
        <w:snapToGrid/>
        <w:spacing w:line="500" w:lineRule="exact"/>
        <w:ind w:firstLine="437"/>
        <w:textAlignment w:val="auto"/>
        <w:outlineLvl w:val="3"/>
        <w:rPr>
          <w:rFonts w:hint="eastAsia" w:ascii="宋体" w:hAnsi="宋体" w:eastAsia="宋体" w:cs="宋体"/>
          <w:b/>
          <w:color w:val="auto"/>
          <w:szCs w:val="21"/>
          <w:highlight w:val="none"/>
        </w:rPr>
      </w:pPr>
      <w:bookmarkStart w:id="194" w:name="_Toc29333"/>
      <w:bookmarkStart w:id="195" w:name="_Toc6134"/>
      <w:bookmarkStart w:id="196" w:name="_Toc15387"/>
      <w:r>
        <w:rPr>
          <w:rFonts w:hint="eastAsia" w:ascii="宋体" w:hAnsi="宋体" w:eastAsia="宋体" w:cs="宋体"/>
          <w:b/>
          <w:bCs/>
          <w:color w:val="auto"/>
          <w:szCs w:val="21"/>
          <w:highlight w:val="none"/>
          <w:lang w:val="zh-CN"/>
        </w:rPr>
        <w:t>2.14 合同中止、终止</w:t>
      </w:r>
      <w:bookmarkEnd w:id="194"/>
      <w:bookmarkEnd w:id="195"/>
      <w:bookmarkEnd w:id="196"/>
    </w:p>
    <w:p w14:paraId="3122AC03">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2.14.1双方当事人不得擅自中止或者终止合同；</w:t>
      </w:r>
    </w:p>
    <w:p w14:paraId="6C581324">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2.14.2合同继续履行将损害国家利益和社会公共利益的，双方当事人应当中止或者终止合同。有过错的一方应当承担赔偿责任，双方当事人都有过错的，各自承担相应的责任。</w:t>
      </w:r>
    </w:p>
    <w:p w14:paraId="0FC8D375">
      <w:pPr>
        <w:keepNext w:val="0"/>
        <w:keepLines w:val="0"/>
        <w:pageBreakBefore w:val="0"/>
        <w:widowControl w:val="0"/>
        <w:kinsoku/>
        <w:wordWrap/>
        <w:overflowPunct/>
        <w:topLinePunct w:val="0"/>
        <w:autoSpaceDE/>
        <w:autoSpaceDN/>
        <w:bidi w:val="0"/>
        <w:adjustRightInd/>
        <w:snapToGrid/>
        <w:spacing w:line="500" w:lineRule="exact"/>
        <w:ind w:firstLine="437"/>
        <w:textAlignment w:val="auto"/>
        <w:outlineLvl w:val="3"/>
        <w:rPr>
          <w:rFonts w:hint="eastAsia" w:ascii="宋体" w:hAnsi="宋体" w:eastAsia="宋体" w:cs="宋体"/>
          <w:b/>
          <w:bCs/>
          <w:color w:val="auto"/>
          <w:szCs w:val="21"/>
          <w:highlight w:val="none"/>
          <w:lang w:val="zh-CN"/>
        </w:rPr>
      </w:pPr>
      <w:bookmarkStart w:id="197" w:name="_Toc1125"/>
      <w:bookmarkStart w:id="198" w:name="_Toc14563"/>
      <w:bookmarkStart w:id="199" w:name="_Toc6596"/>
      <w:r>
        <w:rPr>
          <w:rFonts w:hint="eastAsia" w:ascii="宋体" w:hAnsi="宋体" w:eastAsia="宋体" w:cs="宋体"/>
          <w:b/>
          <w:bCs/>
          <w:color w:val="auto"/>
          <w:szCs w:val="21"/>
          <w:highlight w:val="none"/>
          <w:lang w:val="zh-CN"/>
        </w:rPr>
        <w:t>2.15 检验和验收</w:t>
      </w:r>
      <w:bookmarkEnd w:id="197"/>
      <w:bookmarkEnd w:id="198"/>
      <w:bookmarkEnd w:id="199"/>
    </w:p>
    <w:p w14:paraId="1AF88D07">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2.15.1乙方按照</w:t>
      </w:r>
      <w:r>
        <w:rPr>
          <w:rFonts w:hint="eastAsia" w:ascii="宋体" w:hAnsi="宋体" w:eastAsia="宋体" w:cs="宋体"/>
          <w:b/>
          <w:i/>
          <w:color w:val="auto"/>
          <w:szCs w:val="21"/>
          <w:highlight w:val="none"/>
          <w:u w:val="single"/>
        </w:rPr>
        <w:t>合同专用条款</w:t>
      </w:r>
      <w:r>
        <w:rPr>
          <w:rFonts w:hint="eastAsia" w:ascii="宋体" w:hAnsi="宋体" w:eastAsia="宋体" w:cs="宋体"/>
          <w:color w:val="auto"/>
          <w:szCs w:val="21"/>
          <w:highlight w:val="none"/>
        </w:rPr>
        <w:t>的约定，定期提交服务报告，甲方按照</w:t>
      </w:r>
      <w:r>
        <w:rPr>
          <w:rFonts w:hint="eastAsia" w:ascii="宋体" w:hAnsi="宋体" w:eastAsia="宋体" w:cs="宋体"/>
          <w:b/>
          <w:i/>
          <w:color w:val="auto"/>
          <w:szCs w:val="21"/>
          <w:highlight w:val="none"/>
          <w:u w:val="single"/>
        </w:rPr>
        <w:t>合同专用条款</w:t>
      </w:r>
      <w:r>
        <w:rPr>
          <w:rFonts w:hint="eastAsia" w:ascii="宋体" w:hAnsi="宋体" w:eastAsia="宋体" w:cs="宋体"/>
          <w:color w:val="auto"/>
          <w:szCs w:val="21"/>
          <w:highlight w:val="none"/>
        </w:rPr>
        <w:t>的约定进行定期验收；</w:t>
      </w:r>
    </w:p>
    <w:p w14:paraId="5A7AA827">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27446281">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2.15.3检验和验收标准、程序等具体内容以及前述验收书的效力详见</w:t>
      </w:r>
      <w:r>
        <w:rPr>
          <w:rFonts w:hint="eastAsia" w:ascii="宋体" w:hAnsi="宋体" w:eastAsia="宋体" w:cs="宋体"/>
          <w:b/>
          <w:i/>
          <w:color w:val="auto"/>
          <w:szCs w:val="21"/>
          <w:highlight w:val="none"/>
          <w:u w:val="single"/>
        </w:rPr>
        <w:t>合同专用条款</w:t>
      </w:r>
      <w:r>
        <w:rPr>
          <w:rFonts w:hint="eastAsia" w:ascii="宋体" w:hAnsi="宋体" w:eastAsia="宋体" w:cs="宋体"/>
          <w:i/>
          <w:color w:val="auto"/>
          <w:szCs w:val="21"/>
          <w:highlight w:val="none"/>
        </w:rPr>
        <w:t>。</w:t>
      </w:r>
    </w:p>
    <w:bookmarkEnd w:id="169"/>
    <w:bookmarkEnd w:id="170"/>
    <w:bookmarkEnd w:id="171"/>
    <w:bookmarkEnd w:id="172"/>
    <w:p w14:paraId="5F0E1522">
      <w:pPr>
        <w:keepNext w:val="0"/>
        <w:keepLines w:val="0"/>
        <w:pageBreakBefore w:val="0"/>
        <w:widowControl w:val="0"/>
        <w:kinsoku/>
        <w:wordWrap/>
        <w:overflowPunct/>
        <w:topLinePunct w:val="0"/>
        <w:autoSpaceDE/>
        <w:autoSpaceDN/>
        <w:bidi w:val="0"/>
        <w:adjustRightInd/>
        <w:snapToGrid/>
        <w:spacing w:line="500" w:lineRule="exact"/>
        <w:ind w:firstLine="437"/>
        <w:textAlignment w:val="auto"/>
        <w:outlineLvl w:val="3"/>
        <w:rPr>
          <w:rFonts w:hint="eastAsia" w:ascii="宋体" w:hAnsi="宋体" w:eastAsia="宋体" w:cs="宋体"/>
          <w:b/>
          <w:bCs/>
          <w:color w:val="auto"/>
          <w:szCs w:val="21"/>
          <w:highlight w:val="none"/>
        </w:rPr>
      </w:pPr>
      <w:bookmarkStart w:id="200" w:name="_Toc12773"/>
      <w:bookmarkStart w:id="201" w:name="_Toc259093692"/>
      <w:bookmarkStart w:id="202" w:name="_Toc18567"/>
      <w:bookmarkStart w:id="203" w:name="_Toc10330"/>
      <w:bookmarkStart w:id="204" w:name="_Toc487900373"/>
      <w:bookmarkStart w:id="205" w:name="_Toc279701263"/>
      <w:r>
        <w:rPr>
          <w:rFonts w:hint="eastAsia" w:ascii="宋体" w:hAnsi="宋体" w:eastAsia="宋体" w:cs="宋体"/>
          <w:b/>
          <w:bCs/>
          <w:color w:val="auto"/>
          <w:szCs w:val="21"/>
          <w:highlight w:val="none"/>
        </w:rPr>
        <w:t xml:space="preserve">2.16 </w:t>
      </w:r>
      <w:r>
        <w:rPr>
          <w:rFonts w:hint="eastAsia" w:ascii="宋体" w:hAnsi="宋体" w:eastAsia="宋体" w:cs="宋体"/>
          <w:b/>
          <w:bCs/>
          <w:color w:val="auto"/>
          <w:szCs w:val="21"/>
          <w:highlight w:val="none"/>
          <w:lang w:val="zh-CN"/>
        </w:rPr>
        <w:t>合同使用的文字和适用的法律</w:t>
      </w:r>
      <w:bookmarkEnd w:id="200"/>
      <w:bookmarkEnd w:id="201"/>
      <w:bookmarkEnd w:id="202"/>
      <w:bookmarkEnd w:id="203"/>
      <w:bookmarkEnd w:id="204"/>
      <w:bookmarkEnd w:id="205"/>
    </w:p>
    <w:p w14:paraId="10602439">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2.16.1合同使用汉语进行书写、变更和解释；</w:t>
      </w:r>
    </w:p>
    <w:p w14:paraId="37717B16">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2.16.2合同适用中华人民共和国法律。</w:t>
      </w:r>
    </w:p>
    <w:p w14:paraId="662D56B8">
      <w:pPr>
        <w:keepNext w:val="0"/>
        <w:keepLines w:val="0"/>
        <w:pageBreakBefore w:val="0"/>
        <w:widowControl w:val="0"/>
        <w:kinsoku/>
        <w:wordWrap/>
        <w:overflowPunct/>
        <w:topLinePunct w:val="0"/>
        <w:autoSpaceDE/>
        <w:autoSpaceDN/>
        <w:bidi w:val="0"/>
        <w:adjustRightInd/>
        <w:snapToGrid/>
        <w:spacing w:line="500" w:lineRule="exact"/>
        <w:ind w:firstLine="437"/>
        <w:textAlignment w:val="auto"/>
        <w:outlineLvl w:val="3"/>
        <w:rPr>
          <w:rFonts w:hint="eastAsia" w:ascii="宋体" w:hAnsi="宋体" w:eastAsia="宋体" w:cs="宋体"/>
          <w:b/>
          <w:color w:val="auto"/>
          <w:szCs w:val="21"/>
          <w:highlight w:val="none"/>
        </w:rPr>
      </w:pPr>
      <w:bookmarkStart w:id="206" w:name="_Toc6885"/>
      <w:bookmarkStart w:id="207" w:name="_Toc14001"/>
      <w:bookmarkStart w:id="208" w:name="_Toc19890"/>
      <w:r>
        <w:rPr>
          <w:rFonts w:hint="eastAsia" w:ascii="宋体" w:hAnsi="宋体" w:eastAsia="宋体" w:cs="宋体"/>
          <w:b/>
          <w:bCs/>
          <w:color w:val="auto"/>
          <w:szCs w:val="21"/>
          <w:highlight w:val="none"/>
          <w:lang w:val="zh-CN"/>
        </w:rPr>
        <w:t>2.1</w:t>
      </w:r>
      <w:r>
        <w:rPr>
          <w:rFonts w:hint="eastAsia" w:ascii="宋体" w:hAnsi="宋体" w:eastAsia="宋体" w:cs="宋体"/>
          <w:b/>
          <w:bCs/>
          <w:color w:val="auto"/>
          <w:szCs w:val="21"/>
          <w:highlight w:val="none"/>
        </w:rPr>
        <w:t>7</w:t>
      </w:r>
      <w:r>
        <w:rPr>
          <w:rFonts w:hint="eastAsia" w:ascii="宋体" w:hAnsi="宋体" w:eastAsia="宋体" w:cs="宋体"/>
          <w:b/>
          <w:bCs/>
          <w:color w:val="auto"/>
          <w:szCs w:val="21"/>
          <w:highlight w:val="none"/>
          <w:lang w:val="zh-CN"/>
        </w:rPr>
        <w:t xml:space="preserve"> 合同份数</w:t>
      </w:r>
      <w:bookmarkEnd w:id="206"/>
      <w:bookmarkEnd w:id="207"/>
      <w:bookmarkEnd w:id="208"/>
    </w:p>
    <w:p w14:paraId="687946BC">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合同份数按</w:t>
      </w:r>
      <w:r>
        <w:rPr>
          <w:rFonts w:hint="eastAsia" w:ascii="宋体" w:hAnsi="宋体" w:eastAsia="宋体" w:cs="宋体"/>
          <w:b/>
          <w:i/>
          <w:color w:val="auto"/>
          <w:szCs w:val="21"/>
          <w:highlight w:val="none"/>
          <w:u w:val="single"/>
        </w:rPr>
        <w:t>合同专用条款</w:t>
      </w:r>
      <w:r>
        <w:rPr>
          <w:rFonts w:hint="eastAsia" w:ascii="宋体" w:hAnsi="宋体" w:eastAsia="宋体" w:cs="宋体"/>
          <w:color w:val="auto"/>
          <w:szCs w:val="21"/>
          <w:highlight w:val="none"/>
        </w:rPr>
        <w:t>规定，每份均具有同等法律效力。</w:t>
      </w:r>
    </w:p>
    <w:p w14:paraId="64B58207">
      <w:pPr>
        <w:rPr>
          <w:rFonts w:hint="eastAsia" w:ascii="宋体" w:hAnsi="宋体" w:eastAsia="宋体" w:cs="宋体"/>
          <w:b/>
          <w:color w:val="auto"/>
          <w:sz w:val="30"/>
          <w:szCs w:val="30"/>
          <w:highlight w:val="none"/>
        </w:rPr>
      </w:pPr>
      <w:bookmarkStart w:id="209" w:name="_Toc331685784"/>
      <w:r>
        <w:rPr>
          <w:rFonts w:hint="eastAsia" w:ascii="宋体" w:hAnsi="宋体" w:eastAsia="宋体" w:cs="宋体"/>
          <w:b/>
          <w:color w:val="auto"/>
          <w:sz w:val="30"/>
          <w:szCs w:val="30"/>
          <w:highlight w:val="none"/>
        </w:rPr>
        <w:br w:type="page"/>
      </w:r>
    </w:p>
    <w:p w14:paraId="6391B754">
      <w:pPr>
        <w:widowControl/>
        <w:spacing w:line="400" w:lineRule="exact"/>
        <w:ind w:left="360"/>
        <w:jc w:val="center"/>
        <w:textAlignment w:val="baseline"/>
        <w:outlineLvl w:val="1"/>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第三部分 合同专用条款</w:t>
      </w:r>
      <w:bookmarkEnd w:id="209"/>
    </w:p>
    <w:p w14:paraId="596742D6">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3"/>
        <w:gridCol w:w="7569"/>
      </w:tblGrid>
      <w:tr w14:paraId="7B3F19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3" w:type="dxa"/>
            <w:tcBorders>
              <w:left w:val="single" w:color="auto" w:sz="4" w:space="0"/>
            </w:tcBorders>
            <w:noWrap w:val="0"/>
            <w:vAlign w:val="center"/>
          </w:tcPr>
          <w:p w14:paraId="0AECA76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7569" w:type="dxa"/>
            <w:noWrap w:val="0"/>
            <w:vAlign w:val="center"/>
          </w:tcPr>
          <w:p w14:paraId="1748032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约定内容</w:t>
            </w:r>
          </w:p>
        </w:tc>
      </w:tr>
      <w:tr w14:paraId="12FCC6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3" w:type="dxa"/>
            <w:tcBorders>
              <w:left w:val="single" w:color="auto" w:sz="4" w:space="0"/>
            </w:tcBorders>
            <w:noWrap w:val="0"/>
            <w:vAlign w:val="center"/>
          </w:tcPr>
          <w:p w14:paraId="66AB942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7569" w:type="dxa"/>
            <w:noWrap w:val="0"/>
            <w:vAlign w:val="center"/>
          </w:tcPr>
          <w:p w14:paraId="1CDFBE8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r>
      <w:tr w14:paraId="3EFDF2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14:paraId="3222217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7569" w:type="dxa"/>
            <w:noWrap w:val="0"/>
            <w:vAlign w:val="center"/>
          </w:tcPr>
          <w:p w14:paraId="6E49C69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r>
      <w:tr w14:paraId="31EE83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14:paraId="4137598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7569" w:type="dxa"/>
            <w:noWrap w:val="0"/>
            <w:vAlign w:val="center"/>
          </w:tcPr>
          <w:p w14:paraId="5595136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r>
      <w:tr w14:paraId="5B6CD4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14:paraId="5486260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7569" w:type="dxa"/>
            <w:noWrap w:val="0"/>
            <w:vAlign w:val="center"/>
          </w:tcPr>
          <w:p w14:paraId="0A0AE0A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r>
      <w:tr w14:paraId="1C608B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5AEEC47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7569" w:type="dxa"/>
            <w:noWrap w:val="0"/>
            <w:vAlign w:val="center"/>
          </w:tcPr>
          <w:p w14:paraId="03752D1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u w:val="single"/>
              </w:rPr>
            </w:pPr>
          </w:p>
        </w:tc>
      </w:tr>
      <w:tr w14:paraId="6DB864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0F66D13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7569" w:type="dxa"/>
            <w:noWrap w:val="0"/>
            <w:vAlign w:val="center"/>
          </w:tcPr>
          <w:p w14:paraId="1FDD845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r>
      <w:tr w14:paraId="776664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14:paraId="658DB5B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7569" w:type="dxa"/>
            <w:noWrap w:val="0"/>
            <w:vAlign w:val="center"/>
          </w:tcPr>
          <w:p w14:paraId="6F49902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u w:val="single"/>
              </w:rPr>
            </w:pPr>
          </w:p>
        </w:tc>
      </w:tr>
      <w:tr w14:paraId="688A52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4CC7427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7569" w:type="dxa"/>
            <w:noWrap w:val="0"/>
            <w:vAlign w:val="center"/>
          </w:tcPr>
          <w:p w14:paraId="4B2E193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r>
      <w:tr w14:paraId="38302F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44A0305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7569" w:type="dxa"/>
            <w:noWrap w:val="0"/>
            <w:vAlign w:val="center"/>
          </w:tcPr>
          <w:p w14:paraId="5EE0E10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r>
      <w:tr w14:paraId="174B3C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0F3D52E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7569" w:type="dxa"/>
            <w:noWrap w:val="0"/>
            <w:vAlign w:val="center"/>
          </w:tcPr>
          <w:p w14:paraId="13AE441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r>
      <w:tr w14:paraId="44FD1D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10F10A6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7569" w:type="dxa"/>
            <w:tcBorders>
              <w:top w:val="single" w:color="auto" w:sz="6" w:space="0"/>
              <w:left w:val="single" w:color="auto" w:sz="6" w:space="0"/>
              <w:bottom w:val="single" w:color="auto" w:sz="6" w:space="0"/>
              <w:right w:val="single" w:color="auto" w:sz="6" w:space="0"/>
            </w:tcBorders>
            <w:noWrap w:val="0"/>
            <w:vAlign w:val="center"/>
          </w:tcPr>
          <w:p w14:paraId="00344BD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r>
      <w:tr w14:paraId="6EB2F8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66773F6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c>
          <w:tcPr>
            <w:tcW w:w="7569" w:type="dxa"/>
            <w:tcBorders>
              <w:top w:val="single" w:color="auto" w:sz="6" w:space="0"/>
              <w:left w:val="single" w:color="auto" w:sz="6" w:space="0"/>
              <w:bottom w:val="single" w:color="auto" w:sz="6" w:space="0"/>
              <w:right w:val="single" w:color="auto" w:sz="6" w:space="0"/>
            </w:tcBorders>
            <w:noWrap w:val="0"/>
            <w:vAlign w:val="center"/>
          </w:tcPr>
          <w:p w14:paraId="04A50ED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rPr>
            </w:pPr>
          </w:p>
        </w:tc>
      </w:tr>
    </w:tbl>
    <w:p w14:paraId="2446CEFB">
      <w:pPr>
        <w:spacing w:line="360" w:lineRule="auto"/>
        <w:ind w:firstLine="560" w:firstLineChars="200"/>
        <w:rPr>
          <w:rFonts w:asciiTheme="minorEastAsia" w:hAnsiTheme="minorEastAsia" w:eastAsiaTheme="minorEastAsia" w:cstheme="minorEastAsia"/>
          <w:color w:val="auto"/>
          <w:sz w:val="28"/>
          <w:szCs w:val="27"/>
          <w:highlight w:val="none"/>
        </w:rPr>
      </w:pPr>
    </w:p>
    <w:p w14:paraId="5384EFE5">
      <w:pPr>
        <w:rPr>
          <w:rFonts w:hint="eastAsia" w:asciiTheme="minorEastAsia" w:hAnsiTheme="minorEastAsia" w:eastAsiaTheme="minorEastAsia"/>
          <w:b/>
          <w:color w:val="auto"/>
          <w:sz w:val="28"/>
          <w:highlight w:val="none"/>
        </w:rPr>
      </w:pPr>
      <w:bookmarkStart w:id="210" w:name="_Toc25148"/>
      <w:bookmarkStart w:id="211" w:name="_Toc2430"/>
      <w:r>
        <w:rPr>
          <w:rFonts w:hint="eastAsia" w:asciiTheme="minorEastAsia" w:hAnsiTheme="minorEastAsia" w:eastAsiaTheme="minorEastAsia"/>
          <w:b/>
          <w:color w:val="auto"/>
          <w:sz w:val="28"/>
          <w:highlight w:val="none"/>
        </w:rPr>
        <w:br w:type="page"/>
      </w:r>
    </w:p>
    <w:p w14:paraId="6F3A3D55">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hint="eastAsia"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第六章  响应文件格式</w:t>
      </w:r>
      <w:bookmarkEnd w:id="210"/>
      <w:bookmarkEnd w:id="211"/>
    </w:p>
    <w:p w14:paraId="3D169DF0">
      <w:pPr>
        <w:spacing w:line="900" w:lineRule="exact"/>
        <w:jc w:val="center"/>
        <w:rPr>
          <w:rFonts w:asciiTheme="minorEastAsia" w:hAnsiTheme="minorEastAsia" w:eastAsiaTheme="minorEastAsia"/>
          <w:b/>
          <w:color w:val="auto"/>
          <w:sz w:val="72"/>
          <w:highlight w:val="none"/>
        </w:rPr>
      </w:pPr>
    </w:p>
    <w:p w14:paraId="512DD135">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32821098">
      <w:pPr>
        <w:spacing w:line="900" w:lineRule="exact"/>
        <w:jc w:val="center"/>
        <w:rPr>
          <w:rFonts w:asciiTheme="minorEastAsia" w:hAnsiTheme="minorEastAsia" w:eastAsiaTheme="minorEastAsia"/>
          <w:b/>
          <w:color w:val="auto"/>
          <w:sz w:val="72"/>
          <w:highlight w:val="none"/>
        </w:rPr>
      </w:pPr>
    </w:p>
    <w:p w14:paraId="395BD88C">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29FFCBC3">
      <w:pPr>
        <w:spacing w:line="900" w:lineRule="exact"/>
        <w:jc w:val="center"/>
        <w:rPr>
          <w:rFonts w:asciiTheme="minorEastAsia" w:hAnsiTheme="minorEastAsia" w:eastAsiaTheme="minorEastAsia"/>
          <w:b/>
          <w:color w:val="auto"/>
          <w:sz w:val="72"/>
          <w:highlight w:val="none"/>
        </w:rPr>
      </w:pPr>
    </w:p>
    <w:p w14:paraId="718416FD">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2AC718D8">
      <w:pPr>
        <w:spacing w:line="900" w:lineRule="exact"/>
        <w:jc w:val="center"/>
        <w:rPr>
          <w:rFonts w:asciiTheme="minorEastAsia" w:hAnsiTheme="minorEastAsia" w:eastAsiaTheme="minorEastAsia"/>
          <w:b/>
          <w:color w:val="auto"/>
          <w:sz w:val="72"/>
          <w:highlight w:val="none"/>
        </w:rPr>
      </w:pPr>
    </w:p>
    <w:p w14:paraId="6AE0C3FD">
      <w:pPr>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15EFDF93">
      <w:pPr>
        <w:spacing w:after="156" w:afterLines="50"/>
        <w:jc w:val="center"/>
        <w:rPr>
          <w:rFonts w:asciiTheme="minorEastAsia" w:hAnsiTheme="minorEastAsia" w:eastAsiaTheme="minorEastAsia"/>
          <w:b/>
          <w:color w:val="auto"/>
          <w:sz w:val="72"/>
          <w:highlight w:val="none"/>
        </w:rPr>
      </w:pPr>
    </w:p>
    <w:p w14:paraId="072AC3EB">
      <w:pPr>
        <w:spacing w:after="156" w:afterLines="50" w:line="500" w:lineRule="exact"/>
        <w:jc w:val="both"/>
        <w:rPr>
          <w:rFonts w:asciiTheme="minorEastAsia" w:hAnsiTheme="minorEastAsia" w:eastAsiaTheme="minorEastAsia"/>
          <w:b/>
          <w:color w:val="auto"/>
          <w:sz w:val="72"/>
          <w:highlight w:val="none"/>
        </w:rPr>
      </w:pPr>
    </w:p>
    <w:p w14:paraId="5A5F9775">
      <w:pPr>
        <w:spacing w:after="156" w:afterLines="50" w:line="500" w:lineRule="exact"/>
        <w:jc w:val="center"/>
        <w:rPr>
          <w:rFonts w:asciiTheme="minorEastAsia" w:hAnsiTheme="minorEastAsia" w:eastAsiaTheme="minorEastAsia"/>
          <w:b/>
          <w:color w:val="auto"/>
          <w:sz w:val="28"/>
          <w:szCs w:val="28"/>
          <w:highlight w:val="none"/>
        </w:rPr>
      </w:pPr>
    </w:p>
    <w:p w14:paraId="2AB49F37">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22DA54D">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D9E2EA1">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16E29AD">
      <w:pPr>
        <w:spacing w:after="156" w:afterLines="50" w:line="500" w:lineRule="exact"/>
        <w:jc w:val="center"/>
        <w:outlineLvl w:val="9"/>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212"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212"/>
    </w:p>
    <w:p w14:paraId="5CCF07F5">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5F700229">
      <w:pPr>
        <w:spacing w:line="360" w:lineRule="auto"/>
        <w:jc w:val="center"/>
        <w:outlineLvl w:val="1"/>
        <w:rPr>
          <w:rFonts w:asciiTheme="minorEastAsia" w:hAnsiTheme="minorEastAsia" w:eastAsiaTheme="minorEastAsia"/>
          <w:b/>
          <w:color w:val="auto"/>
          <w:sz w:val="24"/>
          <w:highlight w:val="none"/>
        </w:rPr>
      </w:pPr>
      <w:bookmarkStart w:id="213" w:name="_Toc461053086"/>
      <w:bookmarkStart w:id="214" w:name="_Toc461056631"/>
      <w:bookmarkStart w:id="215" w:name="_Toc520983587"/>
      <w:bookmarkStart w:id="216" w:name="_Toc26791"/>
      <w:bookmarkStart w:id="217" w:name="_Toc5881"/>
      <w:r>
        <w:rPr>
          <w:rFonts w:hint="eastAsia" w:asciiTheme="minorEastAsia" w:hAnsiTheme="minorEastAsia" w:eastAsiaTheme="minorEastAsia"/>
          <w:b/>
          <w:color w:val="auto"/>
          <w:sz w:val="24"/>
          <w:highlight w:val="none"/>
        </w:rPr>
        <w:t>一</w:t>
      </w:r>
      <w:bookmarkEnd w:id="213"/>
      <w:bookmarkEnd w:id="214"/>
      <w:r>
        <w:rPr>
          <w:rFonts w:hint="eastAsia" w:asciiTheme="minorEastAsia" w:hAnsiTheme="minorEastAsia" w:eastAsiaTheme="minorEastAsia"/>
          <w:b/>
          <w:color w:val="auto"/>
          <w:sz w:val="24"/>
          <w:highlight w:val="none"/>
        </w:rPr>
        <w:t>、报价表格式</w:t>
      </w:r>
      <w:bookmarkEnd w:id="215"/>
      <w:bookmarkEnd w:id="216"/>
      <w:bookmarkEnd w:id="217"/>
    </w:p>
    <w:p w14:paraId="0A79C375">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459BEB3B">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1716051F">
      <w:pPr>
        <w:snapToGrid w:val="0"/>
        <w:spacing w:after="156"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9"/>
        <w:gridCol w:w="6849"/>
      </w:tblGrid>
      <w:tr w14:paraId="1431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0C47D6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3763A7DB">
            <w:pPr>
              <w:spacing w:line="360" w:lineRule="auto"/>
              <w:rPr>
                <w:rFonts w:ascii="宋体" w:hAnsi="宋体" w:eastAsia="宋体"/>
                <w:b/>
                <w:color w:val="auto"/>
                <w:sz w:val="24"/>
                <w:highlight w:val="none"/>
              </w:rPr>
            </w:pPr>
          </w:p>
        </w:tc>
      </w:tr>
      <w:tr w14:paraId="5FB5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E607055">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磋商范围</w:t>
            </w:r>
          </w:p>
        </w:tc>
        <w:tc>
          <w:tcPr>
            <w:tcW w:w="3557" w:type="pct"/>
            <w:tcBorders>
              <w:left w:val="single" w:color="auto" w:sz="4" w:space="0"/>
            </w:tcBorders>
            <w:vAlign w:val="center"/>
          </w:tcPr>
          <w:p w14:paraId="0077FA76">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15F7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4B5145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64BB70EA">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62D8627A">
            <w:pPr>
              <w:snapToGrid w:val="0"/>
              <w:spacing w:line="360" w:lineRule="auto"/>
              <w:rPr>
                <w:rFonts w:ascii="宋体" w:hAnsi="宋体" w:eastAsia="宋体"/>
                <w:color w:val="auto"/>
                <w:sz w:val="24"/>
                <w:szCs w:val="28"/>
                <w:highlight w:val="none"/>
              </w:rPr>
            </w:pPr>
          </w:p>
          <w:p w14:paraId="20AFE38C">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2B55E8C0">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371B3D14">
            <w:pPr>
              <w:snapToGrid w:val="0"/>
              <w:spacing w:line="360" w:lineRule="auto"/>
              <w:rPr>
                <w:rFonts w:ascii="宋体" w:hAnsi="宋体" w:eastAsia="宋体"/>
                <w:b/>
                <w:color w:val="auto"/>
                <w:sz w:val="24"/>
                <w:highlight w:val="none"/>
              </w:rPr>
            </w:pPr>
          </w:p>
        </w:tc>
      </w:tr>
      <w:tr w14:paraId="59E46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559CB518">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49160AF1">
            <w:pPr>
              <w:spacing w:line="360" w:lineRule="auto"/>
              <w:rPr>
                <w:rFonts w:ascii="宋体" w:hAnsi="宋体" w:eastAsia="宋体"/>
                <w:b/>
                <w:color w:val="auto"/>
                <w:sz w:val="24"/>
                <w:highlight w:val="none"/>
              </w:rPr>
            </w:pPr>
          </w:p>
        </w:tc>
      </w:tr>
    </w:tbl>
    <w:p w14:paraId="40A21985">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p>
    <w:p w14:paraId="185FD307">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2D7F7DB4">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15175DB0">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1.本表内容根据磋商文件要求包括了服务及其配套服务</w:t>
      </w:r>
      <w:r>
        <w:rPr>
          <w:rFonts w:hint="eastAsia" w:ascii="宋体" w:hAnsi="宋体" w:eastAsia="宋体"/>
          <w:b/>
          <w:bCs/>
          <w:color w:val="auto"/>
          <w:sz w:val="24"/>
          <w:szCs w:val="28"/>
          <w:highlight w:val="none"/>
          <w:lang w:eastAsia="zh-CN"/>
        </w:rPr>
        <w:t>、</w:t>
      </w:r>
      <w:r>
        <w:rPr>
          <w:rFonts w:hint="eastAsia" w:ascii="宋体" w:hAnsi="宋体" w:eastAsia="宋体"/>
          <w:b/>
          <w:bCs/>
          <w:color w:val="auto"/>
          <w:sz w:val="24"/>
          <w:szCs w:val="28"/>
          <w:highlight w:val="none"/>
        </w:rPr>
        <w:t>售后服务保障等所有费用。</w:t>
      </w:r>
    </w:p>
    <w:p w14:paraId="51B87B1D">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23E7D18A">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698B4338">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127BDBEA">
      <w:pPr>
        <w:spacing w:line="360" w:lineRule="auto"/>
        <w:jc w:val="center"/>
        <w:outlineLvl w:val="1"/>
        <w:rPr>
          <w:rFonts w:asciiTheme="minorEastAsia" w:hAnsiTheme="minorEastAsia" w:eastAsiaTheme="minorEastAsia"/>
          <w:b/>
          <w:color w:val="auto"/>
          <w:sz w:val="24"/>
          <w:highlight w:val="none"/>
        </w:rPr>
      </w:pPr>
      <w:bookmarkStart w:id="218" w:name="_Toc461053087"/>
      <w:bookmarkStart w:id="219" w:name="_Toc461056632"/>
      <w:bookmarkStart w:id="220" w:name="_Toc28695"/>
      <w:bookmarkStart w:id="221" w:name="_Toc520983588"/>
      <w:bookmarkStart w:id="222" w:name="_Toc32436"/>
      <w:r>
        <w:rPr>
          <w:rFonts w:hint="eastAsia" w:asciiTheme="minorEastAsia" w:hAnsiTheme="minorEastAsia" w:eastAsiaTheme="minorEastAsia"/>
          <w:b/>
          <w:color w:val="auto"/>
          <w:sz w:val="24"/>
          <w:highlight w:val="none"/>
        </w:rPr>
        <w:t>二</w:t>
      </w:r>
      <w:bookmarkEnd w:id="218"/>
      <w:bookmarkEnd w:id="219"/>
      <w:r>
        <w:rPr>
          <w:rFonts w:hint="eastAsia" w:asciiTheme="minorEastAsia" w:hAnsiTheme="minorEastAsia" w:eastAsiaTheme="minorEastAsia"/>
          <w:b/>
          <w:color w:val="auto"/>
          <w:sz w:val="24"/>
          <w:highlight w:val="none"/>
        </w:rPr>
        <w:t>、最后承诺报价表</w:t>
      </w:r>
      <w:bookmarkEnd w:id="220"/>
      <w:bookmarkEnd w:id="221"/>
      <w:bookmarkEnd w:id="222"/>
    </w:p>
    <w:p w14:paraId="75982D36">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742539CD">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64065900">
      <w:pPr>
        <w:snapToGrid w:val="0"/>
        <w:spacing w:after="156" w:afterLines="50" w:line="360" w:lineRule="auto"/>
        <w:jc w:val="left"/>
        <w:rPr>
          <w:rFonts w:ascii="宋体" w:hAnsi="宋体" w:eastAsia="宋体"/>
          <w:b/>
          <w:bCs/>
          <w:color w:val="auto"/>
          <w:sz w:val="24"/>
          <w:szCs w:val="28"/>
          <w:highlight w:val="non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9"/>
        <w:gridCol w:w="6849"/>
      </w:tblGrid>
      <w:tr w14:paraId="7A2D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D92E063">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03F4937A">
            <w:pPr>
              <w:spacing w:line="360" w:lineRule="auto"/>
              <w:rPr>
                <w:rFonts w:ascii="宋体" w:hAnsi="宋体" w:eastAsia="宋体"/>
                <w:b/>
                <w:color w:val="auto"/>
                <w:sz w:val="24"/>
                <w:highlight w:val="none"/>
              </w:rPr>
            </w:pPr>
          </w:p>
        </w:tc>
      </w:tr>
      <w:tr w14:paraId="620A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5BBE8F19">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w:t>
            </w:r>
            <w:r>
              <w:rPr>
                <w:rFonts w:hint="eastAsia" w:ascii="宋体" w:hAnsi="宋体" w:eastAsia="宋体"/>
                <w:b/>
                <w:color w:val="auto"/>
                <w:sz w:val="24"/>
                <w:highlight w:val="none"/>
              </w:rPr>
              <w:t>范围</w:t>
            </w:r>
          </w:p>
        </w:tc>
        <w:tc>
          <w:tcPr>
            <w:tcW w:w="3557" w:type="pct"/>
            <w:tcBorders>
              <w:left w:val="single" w:color="auto" w:sz="4" w:space="0"/>
            </w:tcBorders>
            <w:vAlign w:val="center"/>
          </w:tcPr>
          <w:p w14:paraId="271A1A1B">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0A9C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4831DCB">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5060C5A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691B13C0">
            <w:pPr>
              <w:snapToGrid w:val="0"/>
              <w:spacing w:line="360" w:lineRule="auto"/>
              <w:rPr>
                <w:rFonts w:ascii="宋体" w:hAnsi="宋体" w:eastAsia="宋体"/>
                <w:color w:val="auto"/>
                <w:sz w:val="24"/>
                <w:szCs w:val="28"/>
                <w:highlight w:val="none"/>
              </w:rPr>
            </w:pPr>
          </w:p>
          <w:p w14:paraId="565C778C">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B58125A">
            <w:pPr>
              <w:spacing w:line="360" w:lineRule="auto"/>
              <w:ind w:right="-670"/>
              <w:rPr>
                <w:rFonts w:ascii="宋体" w:hAnsi="宋体" w:eastAsia="宋体"/>
                <w:b/>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5C41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4C52E414">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14CDE244">
            <w:pPr>
              <w:spacing w:line="360" w:lineRule="auto"/>
              <w:rPr>
                <w:rFonts w:ascii="宋体" w:hAnsi="宋体" w:eastAsia="宋体"/>
                <w:b/>
                <w:color w:val="auto"/>
                <w:sz w:val="24"/>
                <w:highlight w:val="none"/>
              </w:rPr>
            </w:pPr>
            <w:r>
              <w:rPr>
                <w:rFonts w:hint="eastAsia" w:ascii="宋体" w:hAnsi="宋体" w:eastAsia="宋体"/>
                <w:b/>
                <w:i/>
                <w:color w:val="auto"/>
                <w:sz w:val="24"/>
                <w:highlight w:val="none"/>
              </w:rPr>
              <w:t>（此处可补充磋商小组根据与供应商磋商情况变动的磋商文件的内容，包括采购需求中的技术、服务要求以及合同草案条款。）</w:t>
            </w:r>
          </w:p>
        </w:tc>
      </w:tr>
      <w:tr w14:paraId="736B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443" w:type="pct"/>
            <w:vAlign w:val="center"/>
          </w:tcPr>
          <w:p w14:paraId="48C255D9">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磋商小组</w:t>
            </w:r>
            <w:r>
              <w:rPr>
                <w:rFonts w:ascii="宋体" w:hAnsi="宋体" w:eastAsia="宋体"/>
                <w:b/>
                <w:bCs/>
                <w:color w:val="auto"/>
                <w:sz w:val="24"/>
                <w:szCs w:val="28"/>
                <w:highlight w:val="none"/>
              </w:rPr>
              <w:t>签字</w:t>
            </w:r>
          </w:p>
        </w:tc>
        <w:tc>
          <w:tcPr>
            <w:tcW w:w="3557" w:type="pct"/>
          </w:tcPr>
          <w:p w14:paraId="18B4847F">
            <w:pPr>
              <w:spacing w:line="360" w:lineRule="auto"/>
              <w:rPr>
                <w:rFonts w:ascii="宋体" w:hAnsi="宋体" w:eastAsia="宋体"/>
                <w:b/>
                <w:color w:val="auto"/>
                <w:sz w:val="24"/>
                <w:highlight w:val="none"/>
              </w:rPr>
            </w:pPr>
          </w:p>
        </w:tc>
      </w:tr>
    </w:tbl>
    <w:p w14:paraId="5729D293">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10199A9F">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3AB51F63">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42BD0B55">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本页《报价表》由供应商在接到报价通知后依据磋商情况填写,并在规定时间内提交。</w:t>
      </w:r>
      <w:r>
        <w:rPr>
          <w:rFonts w:hint="eastAsia" w:ascii="宋体" w:hAnsi="宋体" w:eastAsia="宋体"/>
          <w:color w:val="auto"/>
          <w:sz w:val="24"/>
          <w:highlight w:val="none"/>
        </w:rPr>
        <w:t>考虑磋商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78D4A855">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eastAsia="宋体"/>
          <w:bCs/>
          <w:color w:val="auto"/>
          <w:sz w:val="24"/>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r>
        <w:rPr>
          <w:rFonts w:ascii="宋体" w:hAnsi="宋体" w:eastAsia="宋体"/>
          <w:bCs/>
          <w:color w:val="auto"/>
          <w:sz w:val="24"/>
          <w:highlight w:val="none"/>
        </w:rPr>
        <w:br w:type="page"/>
      </w:r>
    </w:p>
    <w:p w14:paraId="2D982F47">
      <w:pPr>
        <w:spacing w:line="360" w:lineRule="auto"/>
        <w:jc w:val="center"/>
        <w:outlineLvl w:val="1"/>
        <w:rPr>
          <w:rFonts w:asciiTheme="minorEastAsia" w:hAnsiTheme="minorEastAsia" w:eastAsiaTheme="minorEastAsia"/>
          <w:b/>
          <w:color w:val="auto"/>
          <w:sz w:val="24"/>
          <w:highlight w:val="none"/>
        </w:rPr>
      </w:pPr>
      <w:bookmarkStart w:id="223" w:name="_Toc32385"/>
      <w:bookmarkStart w:id="224" w:name="_Toc520983591"/>
      <w:bookmarkStart w:id="225" w:name="_Toc11500"/>
      <w:r>
        <w:rPr>
          <w:rFonts w:hint="eastAsia" w:asciiTheme="minorEastAsia" w:hAnsiTheme="minorEastAsia" w:eastAsiaTheme="minorEastAsia"/>
          <w:b/>
          <w:color w:val="auto"/>
          <w:sz w:val="24"/>
          <w:highlight w:val="none"/>
        </w:rPr>
        <w:t>三、磋商响应函</w:t>
      </w:r>
      <w:bookmarkEnd w:id="223"/>
      <w:bookmarkEnd w:id="224"/>
      <w:bookmarkEnd w:id="225"/>
    </w:p>
    <w:p w14:paraId="00CB0B8C">
      <w:pPr>
        <w:pStyle w:val="15"/>
        <w:spacing w:line="360" w:lineRule="auto"/>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lang w:val="en-US" w:eastAsia="zh-CN"/>
        </w:rPr>
        <w:t>采购人</w:t>
      </w:r>
    </w:p>
    <w:p w14:paraId="4371A421">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226" w:name="_Hlk44287543"/>
      <w:r>
        <w:rPr>
          <w:rFonts w:hint="eastAsia" w:ascii="宋体" w:hAnsi="宋体" w:eastAsia="宋体"/>
          <w:color w:val="auto"/>
          <w:sz w:val="24"/>
          <w:highlight w:val="none"/>
        </w:rPr>
        <w:t>竞争性磋商公告和磋商邀请</w:t>
      </w:r>
      <w:bookmarkEnd w:id="226"/>
      <w:r>
        <w:rPr>
          <w:rFonts w:hint="eastAsia" w:ascii="宋体" w:hAnsi="宋体" w:eastAsia="宋体"/>
          <w:color w:val="auto"/>
          <w:sz w:val="24"/>
          <w:highlight w:val="none"/>
        </w:rPr>
        <w:t>，我方兹宣布同意如下：</w:t>
      </w:r>
    </w:p>
    <w:p w14:paraId="32D0E6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文件的规定，严格履行合同的责任和义务,并保证于买方要求的日期内完成，并通过买方验收。</w:t>
      </w:r>
    </w:p>
    <w:p w14:paraId="1440735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文件各项条款、规定及要求均无异议。</w:t>
      </w:r>
    </w:p>
    <w:p w14:paraId="14BB35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有效期之前均具有约束力。</w:t>
      </w:r>
    </w:p>
    <w:p w14:paraId="79AF9C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有关的任何证据、数据或资料。</w:t>
      </w:r>
    </w:p>
    <w:p w14:paraId="05E818C5">
      <w:pPr>
        <w:spacing w:line="360" w:lineRule="auto"/>
        <w:ind w:firstLine="480" w:firstLineChars="200"/>
        <w:rPr>
          <w:rFonts w:ascii="宋体" w:hAnsi="宋体" w:eastAsia="宋体"/>
          <w:color w:val="auto"/>
          <w:sz w:val="24"/>
          <w:highlight w:val="none"/>
        </w:rPr>
      </w:pPr>
    </w:p>
    <w:p w14:paraId="77EE4F8B">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p>
    <w:p w14:paraId="6072EE28">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1413A126">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3418F147">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27" w:name="_Toc21328"/>
      <w:r>
        <w:rPr>
          <w:rFonts w:hint="eastAsia" w:asciiTheme="minorEastAsia" w:hAnsiTheme="minorEastAsia" w:eastAsiaTheme="minorEastAsia"/>
          <w:b/>
          <w:color w:val="auto"/>
          <w:sz w:val="24"/>
          <w:highlight w:val="none"/>
          <w:lang w:val="en-US" w:eastAsia="zh-CN"/>
        </w:rPr>
        <w:t>四、供应商资格声明书</w:t>
      </w:r>
      <w:bookmarkEnd w:id="227"/>
    </w:p>
    <w:p w14:paraId="0EF14A21">
      <w:pPr>
        <w:pStyle w:val="15"/>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val="en-US" w:eastAsia="zh-CN"/>
        </w:rPr>
        <w:t>采购人</w:t>
      </w:r>
    </w:p>
    <w:p w14:paraId="0594E0A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在参与本次项目磋商中，我单位承诺：</w:t>
      </w:r>
    </w:p>
    <w:p w14:paraId="35AFB5D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53B7E16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4480525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15B8111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6D25978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3921330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4501"/>
        <w:gridCol w:w="2681"/>
      </w:tblGrid>
      <w:tr w14:paraId="23F9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34" w:type="dxa"/>
          </w:tcPr>
          <w:p w14:paraId="2F5964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4501" w:type="dxa"/>
          </w:tcPr>
          <w:p w14:paraId="57C46F3E">
            <w:pPr>
              <w:pStyle w:val="10"/>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681" w:type="dxa"/>
          </w:tcPr>
          <w:p w14:paraId="57768423">
            <w:pPr>
              <w:pStyle w:val="10"/>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2639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085E64FC">
            <w:pPr>
              <w:pStyle w:val="10"/>
              <w:jc w:val="center"/>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4501" w:type="dxa"/>
          </w:tcPr>
          <w:p w14:paraId="2919F0CC">
            <w:pPr>
              <w:pStyle w:val="10"/>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681" w:type="dxa"/>
          </w:tcPr>
          <w:p w14:paraId="13E139C3">
            <w:pPr>
              <w:pStyle w:val="10"/>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26AB0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1B28F485">
            <w:pPr>
              <w:pStyle w:val="10"/>
              <w:jc w:val="center"/>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4501" w:type="dxa"/>
          </w:tcPr>
          <w:p w14:paraId="230F4EF0">
            <w:pPr>
              <w:pStyle w:val="10"/>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681" w:type="dxa"/>
          </w:tcPr>
          <w:p w14:paraId="27A8C9F6">
            <w:pPr>
              <w:pStyle w:val="10"/>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51C5D5E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0110ED6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1AE583C">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36146823">
      <w:pPr>
        <w:spacing w:line="440" w:lineRule="exact"/>
        <w:ind w:firstLine="4800" w:firstLineChars="2000"/>
        <w:rPr>
          <w:rFonts w:ascii="宋体" w:hAnsi="宋体" w:eastAsia="宋体"/>
          <w:color w:val="auto"/>
          <w:sz w:val="24"/>
          <w:szCs w:val="24"/>
          <w:highlight w:val="none"/>
          <w:u w:val="single"/>
        </w:rPr>
      </w:pPr>
    </w:p>
    <w:p w14:paraId="262DE98E">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7A8F2C8F">
      <w:pPr>
        <w:spacing w:line="360" w:lineRule="auto"/>
        <w:jc w:val="center"/>
        <w:outlineLvl w:val="1"/>
        <w:rPr>
          <w:rFonts w:asciiTheme="minorEastAsia" w:hAnsiTheme="minorEastAsia" w:eastAsiaTheme="minorEastAsia"/>
          <w:b/>
          <w:color w:val="auto"/>
          <w:sz w:val="24"/>
          <w:highlight w:val="none"/>
        </w:rPr>
      </w:pPr>
      <w:bookmarkStart w:id="228" w:name="_Toc204594911"/>
      <w:bookmarkStart w:id="229" w:name="_Toc31518"/>
      <w:bookmarkStart w:id="230" w:name="_Toc516969106"/>
      <w:bookmarkStart w:id="231" w:name="_Toc121626298"/>
      <w:bookmarkStart w:id="232" w:name="_Toc26922"/>
      <w:bookmarkStart w:id="233" w:name="_Toc520983594"/>
      <w:r>
        <w:rPr>
          <w:rFonts w:hint="eastAsia" w:asciiTheme="minorEastAsia" w:hAnsiTheme="minorEastAsia" w:eastAsiaTheme="minorEastAsia"/>
          <w:b/>
          <w:color w:val="auto"/>
          <w:sz w:val="24"/>
          <w:highlight w:val="none"/>
        </w:rPr>
        <w:t>五、授权书</w:t>
      </w:r>
      <w:bookmarkEnd w:id="228"/>
      <w:bookmarkEnd w:id="229"/>
      <w:bookmarkEnd w:id="230"/>
      <w:bookmarkEnd w:id="231"/>
      <w:bookmarkEnd w:id="232"/>
      <w:bookmarkEnd w:id="233"/>
    </w:p>
    <w:p w14:paraId="7E8FCE94">
      <w:pPr>
        <w:spacing w:line="360" w:lineRule="auto"/>
        <w:jc w:val="center"/>
        <w:rPr>
          <w:rFonts w:asciiTheme="minorEastAsia" w:hAnsiTheme="minorEastAsia" w:eastAsiaTheme="minorEastAsia"/>
          <w:b/>
          <w:color w:val="auto"/>
          <w:sz w:val="24"/>
          <w:highlight w:val="none"/>
        </w:rPr>
      </w:pPr>
    </w:p>
    <w:p w14:paraId="4BE3FE62">
      <w:pPr>
        <w:pStyle w:val="14"/>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2BEBD69B">
      <w:pPr>
        <w:pStyle w:val="14"/>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28C93F1">
      <w:pPr>
        <w:pStyle w:val="14"/>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3F8263DA">
      <w:pPr>
        <w:pStyle w:val="14"/>
        <w:snapToGrid w:val="0"/>
        <w:spacing w:line="360" w:lineRule="auto"/>
        <w:ind w:firstLine="480" w:firstLineChars="200"/>
        <w:jc w:val="left"/>
        <w:rPr>
          <w:rFonts w:hAnsi="宋体" w:eastAsia="宋体"/>
          <w:color w:val="auto"/>
          <w:sz w:val="24"/>
          <w:highlight w:val="none"/>
        </w:rPr>
      </w:pPr>
    </w:p>
    <w:p w14:paraId="4C22E569">
      <w:pPr>
        <w:pStyle w:val="14"/>
        <w:snapToGrid w:val="0"/>
        <w:spacing w:line="360" w:lineRule="auto"/>
        <w:ind w:firstLine="480" w:firstLineChars="200"/>
        <w:jc w:val="left"/>
        <w:rPr>
          <w:rFonts w:hAnsi="宋体" w:eastAsia="宋体"/>
          <w:color w:val="auto"/>
          <w:sz w:val="24"/>
          <w:highlight w:val="none"/>
        </w:rPr>
      </w:pPr>
    </w:p>
    <w:p w14:paraId="4B1BD0B0">
      <w:pPr>
        <w:pStyle w:val="14"/>
        <w:snapToGrid w:val="0"/>
        <w:spacing w:line="360" w:lineRule="auto"/>
        <w:ind w:firstLine="480" w:firstLineChars="200"/>
        <w:jc w:val="left"/>
        <w:rPr>
          <w:rFonts w:hAnsi="宋体" w:eastAsia="宋体"/>
          <w:color w:val="auto"/>
          <w:sz w:val="24"/>
          <w:highlight w:val="none"/>
        </w:rPr>
      </w:pPr>
    </w:p>
    <w:p w14:paraId="2F8AA598">
      <w:pPr>
        <w:pStyle w:val="14"/>
        <w:snapToGrid w:val="0"/>
        <w:spacing w:line="360" w:lineRule="auto"/>
        <w:ind w:firstLine="480" w:firstLineChars="200"/>
        <w:jc w:val="left"/>
        <w:rPr>
          <w:rFonts w:hAnsi="宋体" w:eastAsia="宋体"/>
          <w:color w:val="auto"/>
          <w:sz w:val="24"/>
          <w:highlight w:val="none"/>
        </w:rPr>
      </w:pPr>
    </w:p>
    <w:p w14:paraId="12AFB188">
      <w:pPr>
        <w:pStyle w:val="14"/>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5FD12433">
      <w:pPr>
        <w:pStyle w:val="14"/>
        <w:snapToGrid w:val="0"/>
        <w:spacing w:line="360" w:lineRule="auto"/>
        <w:ind w:firstLine="480" w:firstLineChars="200"/>
        <w:jc w:val="left"/>
        <w:rPr>
          <w:rFonts w:hAnsi="宋体" w:eastAsia="宋体"/>
          <w:color w:val="auto"/>
          <w:sz w:val="24"/>
          <w:szCs w:val="28"/>
          <w:highlight w:val="none"/>
        </w:rPr>
      </w:pPr>
    </w:p>
    <w:p w14:paraId="1479A5E6">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59605DEC">
      <w:pPr>
        <w:spacing w:line="360" w:lineRule="auto"/>
        <w:rPr>
          <w:rFonts w:ascii="宋体" w:hAnsi="宋体" w:eastAsia="宋体"/>
          <w:color w:val="auto"/>
          <w:sz w:val="24"/>
          <w:szCs w:val="28"/>
          <w:highlight w:val="none"/>
        </w:rPr>
      </w:pPr>
    </w:p>
    <w:p w14:paraId="03395A1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B977B21">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4A4D41F">
      <w:pPr>
        <w:spacing w:line="360" w:lineRule="auto"/>
        <w:rPr>
          <w:rFonts w:ascii="宋体" w:hAnsi="宋体" w:eastAsia="宋体"/>
          <w:color w:val="auto"/>
          <w:sz w:val="24"/>
          <w:szCs w:val="28"/>
          <w:highlight w:val="none"/>
        </w:rPr>
      </w:pPr>
    </w:p>
    <w:p w14:paraId="29720E5E">
      <w:pPr>
        <w:spacing w:line="360" w:lineRule="auto"/>
        <w:rPr>
          <w:rFonts w:ascii="宋体" w:hAnsi="宋体" w:eastAsia="宋体"/>
          <w:color w:val="auto"/>
          <w:sz w:val="24"/>
          <w:szCs w:val="28"/>
          <w:highlight w:val="none"/>
        </w:rPr>
      </w:pPr>
    </w:p>
    <w:p w14:paraId="162A1284">
      <w:pPr>
        <w:pStyle w:val="14"/>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3220939B">
      <w:pPr>
        <w:pStyle w:val="14"/>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29A6F001">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2.法定代表人参加磋商的无需提供授权书，仅提供身份证明扫描件。</w:t>
      </w:r>
    </w:p>
    <w:p w14:paraId="382916DC">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69852BE6">
      <w:pPr>
        <w:spacing w:line="360" w:lineRule="auto"/>
        <w:jc w:val="center"/>
        <w:outlineLvl w:val="1"/>
        <w:rPr>
          <w:rFonts w:asciiTheme="minorEastAsia" w:hAnsiTheme="minorEastAsia" w:eastAsiaTheme="minorEastAsia"/>
          <w:b/>
          <w:color w:val="auto"/>
          <w:sz w:val="24"/>
          <w:highlight w:val="none"/>
        </w:rPr>
      </w:pPr>
      <w:bookmarkStart w:id="234" w:name="_Toc22233"/>
      <w:bookmarkStart w:id="235" w:name="_Toc28033"/>
      <w:r>
        <w:rPr>
          <w:rFonts w:hint="eastAsia" w:asciiTheme="minorEastAsia" w:hAnsiTheme="minorEastAsia" w:eastAsiaTheme="minorEastAsia"/>
          <w:b/>
          <w:color w:val="auto"/>
          <w:sz w:val="24"/>
          <w:highlight w:val="none"/>
        </w:rPr>
        <w:t>六、</w:t>
      </w:r>
      <w:r>
        <w:rPr>
          <w:rFonts w:hint="eastAsia" w:asciiTheme="minorEastAsia" w:hAnsiTheme="minorEastAsia" w:eastAsiaTheme="minorEastAsia"/>
          <w:b/>
          <w:color w:val="auto"/>
          <w:sz w:val="24"/>
          <w:highlight w:val="none"/>
          <w:lang w:val="en-US" w:eastAsia="zh-CN"/>
        </w:rPr>
        <w:t>磋商</w:t>
      </w:r>
      <w:r>
        <w:rPr>
          <w:rFonts w:hint="eastAsia" w:asciiTheme="minorEastAsia" w:hAnsiTheme="minorEastAsia" w:eastAsiaTheme="minorEastAsia"/>
          <w:b/>
          <w:color w:val="auto"/>
          <w:sz w:val="24"/>
          <w:highlight w:val="none"/>
        </w:rPr>
        <w:t>响应表</w:t>
      </w:r>
      <w:bookmarkEnd w:id="234"/>
      <w:bookmarkEnd w:id="235"/>
    </w:p>
    <w:p w14:paraId="7FAFE40F">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165"/>
        <w:gridCol w:w="2822"/>
        <w:gridCol w:w="2909"/>
        <w:gridCol w:w="915"/>
      </w:tblGrid>
      <w:tr w14:paraId="299D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507A7EB5">
            <w:pPr>
              <w:pStyle w:val="1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7998FC50">
            <w:pPr>
              <w:pStyle w:val="14"/>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3B3FC803">
            <w:pPr>
              <w:pStyle w:val="1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磋商文件</w:t>
            </w:r>
            <w:r>
              <w:rPr>
                <w:rFonts w:hint="eastAsia" w:cs="Wingdings" w:asciiTheme="minorEastAsia" w:hAnsiTheme="minorEastAsia"/>
                <w:b/>
                <w:color w:val="auto"/>
                <w:sz w:val="24"/>
                <w:highlight w:val="none"/>
              </w:rPr>
              <w:t>要求</w:t>
            </w:r>
          </w:p>
        </w:tc>
        <w:tc>
          <w:tcPr>
            <w:tcW w:w="1510" w:type="pct"/>
            <w:vAlign w:val="center"/>
          </w:tcPr>
          <w:p w14:paraId="135DC64F">
            <w:pPr>
              <w:pStyle w:val="1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475" w:type="pct"/>
            <w:vAlign w:val="center"/>
          </w:tcPr>
          <w:p w14:paraId="69AD3BF8">
            <w:pPr>
              <w:pStyle w:val="1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81C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BF59518">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5CAC157C">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2F697220">
            <w:pPr>
              <w:jc w:val="center"/>
              <w:rPr>
                <w:rFonts w:asciiTheme="minorEastAsia" w:hAnsiTheme="minorEastAsia" w:eastAsiaTheme="minorEastAsia"/>
                <w:color w:val="auto"/>
                <w:sz w:val="24"/>
                <w:highlight w:val="none"/>
              </w:rPr>
            </w:pPr>
          </w:p>
        </w:tc>
        <w:tc>
          <w:tcPr>
            <w:tcW w:w="1510" w:type="pct"/>
            <w:vAlign w:val="center"/>
          </w:tcPr>
          <w:p w14:paraId="26F2D9DC">
            <w:pPr>
              <w:jc w:val="center"/>
              <w:rPr>
                <w:rFonts w:asciiTheme="minorEastAsia" w:hAnsiTheme="minorEastAsia" w:eastAsiaTheme="minorEastAsia"/>
                <w:color w:val="auto"/>
                <w:sz w:val="24"/>
                <w:highlight w:val="none"/>
              </w:rPr>
            </w:pPr>
          </w:p>
        </w:tc>
        <w:tc>
          <w:tcPr>
            <w:tcW w:w="475" w:type="pct"/>
            <w:vAlign w:val="center"/>
          </w:tcPr>
          <w:p w14:paraId="39989FD3">
            <w:pPr>
              <w:jc w:val="center"/>
              <w:rPr>
                <w:rFonts w:asciiTheme="minorEastAsia" w:hAnsiTheme="minorEastAsia" w:eastAsiaTheme="minorEastAsia"/>
                <w:color w:val="auto"/>
                <w:sz w:val="24"/>
                <w:highlight w:val="none"/>
              </w:rPr>
            </w:pPr>
          </w:p>
        </w:tc>
      </w:tr>
      <w:tr w14:paraId="4E6A9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6C0AF3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4AC5D06A">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52742AAF">
            <w:pPr>
              <w:jc w:val="center"/>
              <w:rPr>
                <w:rFonts w:asciiTheme="minorEastAsia" w:hAnsiTheme="minorEastAsia" w:eastAsiaTheme="minorEastAsia"/>
                <w:color w:val="auto"/>
                <w:sz w:val="24"/>
                <w:highlight w:val="none"/>
              </w:rPr>
            </w:pPr>
          </w:p>
        </w:tc>
        <w:tc>
          <w:tcPr>
            <w:tcW w:w="1510" w:type="pct"/>
            <w:vAlign w:val="center"/>
          </w:tcPr>
          <w:p w14:paraId="3E1D7F7B">
            <w:pPr>
              <w:jc w:val="center"/>
              <w:rPr>
                <w:rFonts w:asciiTheme="minorEastAsia" w:hAnsiTheme="minorEastAsia" w:eastAsiaTheme="minorEastAsia"/>
                <w:color w:val="auto"/>
                <w:sz w:val="24"/>
                <w:highlight w:val="none"/>
              </w:rPr>
            </w:pPr>
          </w:p>
        </w:tc>
        <w:tc>
          <w:tcPr>
            <w:tcW w:w="475" w:type="pct"/>
            <w:vAlign w:val="center"/>
          </w:tcPr>
          <w:p w14:paraId="6A0982CF">
            <w:pPr>
              <w:jc w:val="center"/>
              <w:rPr>
                <w:rFonts w:asciiTheme="minorEastAsia" w:hAnsiTheme="minorEastAsia" w:eastAsiaTheme="minorEastAsia"/>
                <w:color w:val="auto"/>
                <w:sz w:val="24"/>
                <w:highlight w:val="none"/>
              </w:rPr>
            </w:pPr>
          </w:p>
        </w:tc>
      </w:tr>
      <w:tr w14:paraId="0F3A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2DFA8C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775724D2">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73895162">
            <w:pPr>
              <w:jc w:val="center"/>
              <w:rPr>
                <w:rFonts w:asciiTheme="minorEastAsia" w:hAnsiTheme="minorEastAsia" w:eastAsiaTheme="minorEastAsia"/>
                <w:color w:val="auto"/>
                <w:sz w:val="24"/>
                <w:highlight w:val="none"/>
              </w:rPr>
            </w:pPr>
          </w:p>
        </w:tc>
        <w:tc>
          <w:tcPr>
            <w:tcW w:w="1510" w:type="pct"/>
            <w:vAlign w:val="center"/>
          </w:tcPr>
          <w:p w14:paraId="31C77712">
            <w:pPr>
              <w:pStyle w:val="53"/>
              <w:jc w:val="center"/>
              <w:rPr>
                <w:rFonts w:asciiTheme="minorEastAsia" w:hAnsiTheme="minorEastAsia" w:eastAsiaTheme="minorEastAsia"/>
                <w:color w:val="auto"/>
                <w:highlight w:val="none"/>
              </w:rPr>
            </w:pPr>
          </w:p>
        </w:tc>
        <w:tc>
          <w:tcPr>
            <w:tcW w:w="475" w:type="pct"/>
            <w:vAlign w:val="center"/>
          </w:tcPr>
          <w:p w14:paraId="21F36FDA">
            <w:pPr>
              <w:jc w:val="center"/>
              <w:rPr>
                <w:rFonts w:asciiTheme="minorEastAsia" w:hAnsiTheme="minorEastAsia" w:eastAsiaTheme="minorEastAsia"/>
                <w:color w:val="auto"/>
                <w:sz w:val="24"/>
                <w:highlight w:val="none"/>
              </w:rPr>
            </w:pPr>
          </w:p>
        </w:tc>
      </w:tr>
      <w:tr w14:paraId="0319E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EE29F9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290BECA8">
            <w:pPr>
              <w:jc w:val="center"/>
              <w:rPr>
                <w:rFonts w:ascii="宋体" w:hAnsi="宋体" w:eastAsia="宋体"/>
                <w:color w:val="auto"/>
                <w:sz w:val="24"/>
                <w:highlight w:val="none"/>
              </w:rPr>
            </w:pPr>
          </w:p>
        </w:tc>
        <w:tc>
          <w:tcPr>
            <w:tcW w:w="1465" w:type="pct"/>
            <w:vAlign w:val="center"/>
          </w:tcPr>
          <w:p w14:paraId="1D810460">
            <w:pPr>
              <w:jc w:val="center"/>
              <w:rPr>
                <w:rFonts w:asciiTheme="minorEastAsia" w:hAnsiTheme="minorEastAsia" w:eastAsiaTheme="minorEastAsia"/>
                <w:color w:val="auto"/>
                <w:sz w:val="24"/>
                <w:highlight w:val="none"/>
              </w:rPr>
            </w:pPr>
          </w:p>
        </w:tc>
        <w:tc>
          <w:tcPr>
            <w:tcW w:w="1510" w:type="pct"/>
            <w:vAlign w:val="center"/>
          </w:tcPr>
          <w:p w14:paraId="20AFDDCF">
            <w:pPr>
              <w:jc w:val="center"/>
              <w:rPr>
                <w:rFonts w:asciiTheme="minorEastAsia" w:hAnsiTheme="minorEastAsia" w:eastAsiaTheme="minorEastAsia"/>
                <w:color w:val="auto"/>
                <w:sz w:val="24"/>
                <w:highlight w:val="none"/>
              </w:rPr>
            </w:pPr>
          </w:p>
        </w:tc>
        <w:tc>
          <w:tcPr>
            <w:tcW w:w="475" w:type="pct"/>
            <w:vAlign w:val="center"/>
          </w:tcPr>
          <w:p w14:paraId="633F1139">
            <w:pPr>
              <w:jc w:val="center"/>
              <w:rPr>
                <w:rFonts w:asciiTheme="minorEastAsia" w:hAnsiTheme="minorEastAsia" w:eastAsiaTheme="minorEastAsia"/>
                <w:color w:val="auto"/>
                <w:sz w:val="24"/>
                <w:highlight w:val="none"/>
              </w:rPr>
            </w:pPr>
          </w:p>
        </w:tc>
      </w:tr>
    </w:tbl>
    <w:p w14:paraId="223EAA57">
      <w:pPr>
        <w:pStyle w:val="15"/>
        <w:spacing w:line="360" w:lineRule="auto"/>
        <w:rPr>
          <w:rFonts w:asciiTheme="minorEastAsia" w:hAnsiTheme="minorEastAsia" w:eastAsiaTheme="minorEastAsia"/>
          <w:b/>
          <w:color w:val="auto"/>
          <w:sz w:val="24"/>
          <w:highlight w:val="none"/>
        </w:rPr>
      </w:pPr>
      <w:r>
        <w:rPr>
          <w:rFonts w:asciiTheme="minorEastAsia" w:hAnsiTheme="minorEastAsia" w:eastAsiaTheme="minorEastAsia"/>
          <w:color w:val="auto"/>
          <w:sz w:val="24"/>
          <w:highlight w:val="none"/>
        </w:rPr>
        <w:br w:type="page"/>
      </w:r>
    </w:p>
    <w:p w14:paraId="24902D8A">
      <w:pPr>
        <w:spacing w:line="360" w:lineRule="auto"/>
        <w:jc w:val="center"/>
        <w:outlineLvl w:val="1"/>
        <w:rPr>
          <w:rFonts w:asciiTheme="minorEastAsia" w:hAnsiTheme="minorEastAsia" w:eastAsiaTheme="minorEastAsia"/>
          <w:b/>
          <w:color w:val="auto"/>
          <w:sz w:val="24"/>
          <w:highlight w:val="none"/>
        </w:rPr>
      </w:pPr>
      <w:bookmarkStart w:id="236" w:name="_Toc2278"/>
      <w:bookmarkStart w:id="237" w:name="_Toc20592"/>
      <w:bookmarkStart w:id="238" w:name="_Hlk44283088"/>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236"/>
      <w:bookmarkEnd w:id="237"/>
    </w:p>
    <w:p w14:paraId="23B3AC9B">
      <w:pPr>
        <w:spacing w:line="360" w:lineRule="auto"/>
        <w:rPr>
          <w:rFonts w:asciiTheme="minorEastAsia" w:hAnsiTheme="minorEastAsia" w:eastAsiaTheme="minorEastAsia"/>
          <w:b/>
          <w:bCs/>
          <w:color w:val="auto"/>
          <w:sz w:val="24"/>
          <w:highlight w:val="none"/>
        </w:rPr>
      </w:pPr>
    </w:p>
    <w:p w14:paraId="2D9172AB">
      <w:pPr>
        <w:spacing w:line="360" w:lineRule="auto"/>
        <w:rPr>
          <w:rFonts w:hint="eastAsia"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lang w:val="en-US" w:eastAsia="zh-CN"/>
        </w:rPr>
        <w:t>采购人</w:t>
      </w:r>
    </w:p>
    <w:p w14:paraId="681FA82E">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25405DA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623DF74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7E05EC8E">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539109D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3579504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03C87D2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679E73C">
      <w:pPr>
        <w:spacing w:line="360" w:lineRule="auto"/>
        <w:rPr>
          <w:rFonts w:asciiTheme="minorEastAsia" w:hAnsiTheme="minorEastAsia" w:eastAsiaTheme="minorEastAsia"/>
          <w:bCs/>
          <w:color w:val="auto"/>
          <w:sz w:val="24"/>
          <w:highlight w:val="none"/>
        </w:rPr>
      </w:pPr>
    </w:p>
    <w:p w14:paraId="3AC189B1">
      <w:pPr>
        <w:spacing w:line="360" w:lineRule="auto"/>
        <w:rPr>
          <w:rFonts w:asciiTheme="minorEastAsia" w:hAnsiTheme="minorEastAsia" w:eastAsiaTheme="minorEastAsia"/>
          <w:bCs/>
          <w:color w:val="auto"/>
          <w:sz w:val="24"/>
          <w:highlight w:val="none"/>
        </w:rPr>
      </w:pPr>
    </w:p>
    <w:p w14:paraId="2DC5E467">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40E61E76">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5C04C4F2">
      <w:pPr>
        <w:jc w:val="center"/>
        <w:rPr>
          <w:rFonts w:ascii="宋体" w:hAnsi="宋体" w:eastAsia="宋体"/>
          <w:b/>
          <w:color w:val="auto"/>
          <w:sz w:val="24"/>
          <w:szCs w:val="24"/>
          <w:highlight w:val="none"/>
        </w:rPr>
      </w:pPr>
      <w:r>
        <w:rPr>
          <w:rFonts w:asciiTheme="minorEastAsia" w:hAnsiTheme="minorEastAsia" w:eastAsiaTheme="minorEastAsia"/>
          <w:b/>
          <w:color w:val="auto"/>
          <w:sz w:val="24"/>
          <w:highlight w:val="none"/>
        </w:rPr>
        <w:br w:type="page"/>
      </w:r>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w:t>
      </w:r>
      <w:r>
        <w:rPr>
          <w:rFonts w:hint="eastAsia" w:ascii="宋体" w:hAnsi="宋体" w:eastAsia="宋体" w:cs="宋体"/>
          <w:b/>
          <w:color w:val="auto"/>
          <w:sz w:val="24"/>
          <w:szCs w:val="24"/>
          <w:highlight w:val="none"/>
          <w:lang w:bidi="ar"/>
        </w:rPr>
        <w:t>诚信</w:t>
      </w:r>
      <w:r>
        <w:rPr>
          <w:rFonts w:hint="eastAsia" w:ascii="宋体" w:hAnsi="宋体" w:eastAsia="宋体" w:cs="宋体"/>
          <w:b/>
          <w:color w:val="auto"/>
          <w:sz w:val="24"/>
          <w:szCs w:val="24"/>
          <w:highlight w:val="none"/>
          <w:lang w:val="en-US" w:eastAsia="zh-CN" w:bidi="ar"/>
        </w:rPr>
        <w:t>响应</w:t>
      </w:r>
      <w:r>
        <w:rPr>
          <w:rFonts w:hint="eastAsia" w:ascii="宋体" w:hAnsi="宋体" w:eastAsia="宋体" w:cs="宋体"/>
          <w:b/>
          <w:color w:val="auto"/>
          <w:sz w:val="24"/>
          <w:szCs w:val="24"/>
          <w:highlight w:val="none"/>
          <w:lang w:bidi="ar"/>
        </w:rPr>
        <w:t>承诺书</w:t>
      </w:r>
    </w:p>
    <w:p w14:paraId="3E046516">
      <w:pPr>
        <w:spacing w:line="500" w:lineRule="exact"/>
        <w:rPr>
          <w:rFonts w:ascii="宋体" w:hAnsi="宋体" w:eastAsia="宋体" w:cs="宋体"/>
          <w:color w:val="auto"/>
          <w:szCs w:val="21"/>
          <w:highlight w:val="none"/>
        </w:rPr>
      </w:pPr>
      <w:r>
        <w:rPr>
          <w:rFonts w:hint="eastAsia" w:ascii="宋体" w:hAnsi="宋体" w:eastAsia="宋体" w:cs="宋体"/>
          <w:color w:val="auto"/>
          <w:szCs w:val="21"/>
          <w:highlight w:val="none"/>
          <w:lang w:bidi="ar"/>
        </w:rPr>
        <w:t>本人以企业法定代表人的身份郑重承诺：</w:t>
      </w:r>
    </w:p>
    <w:p w14:paraId="49A6D70E">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一、将遵循公开、公正和诚实信用的原则自愿参加</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项目的</w:t>
      </w:r>
      <w:r>
        <w:rPr>
          <w:rFonts w:hint="eastAsia" w:ascii="宋体" w:hAnsi="宋体" w:eastAsia="宋体" w:cs="宋体"/>
          <w:color w:val="auto"/>
          <w:szCs w:val="21"/>
          <w:highlight w:val="none"/>
          <w:lang w:val="en-US" w:eastAsia="zh-CN" w:bidi="ar"/>
        </w:rPr>
        <w:t>响应</w:t>
      </w:r>
      <w:r>
        <w:rPr>
          <w:rFonts w:hint="eastAsia" w:ascii="宋体" w:hAnsi="宋体" w:eastAsia="宋体" w:cs="宋体"/>
          <w:color w:val="auto"/>
          <w:szCs w:val="21"/>
          <w:highlight w:val="none"/>
          <w:lang w:bidi="ar"/>
        </w:rPr>
        <w:t>，所提供的一切材料都是真实、有效、合法的；</w:t>
      </w:r>
    </w:p>
    <w:p w14:paraId="20951AA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二、本单位郑重声明，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132CB8C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三、不出借、转让资质证书，不让他人挂靠投标，不以他人名义投标或者以其他方式弄虚作假，骗取中标；</w:t>
      </w:r>
    </w:p>
    <w:p w14:paraId="35B9C65F">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四、不与其他投标人相互串通投标报价，不排挤其他投标人的公平竞争、损害招标人的合法权益；</w:t>
      </w:r>
    </w:p>
    <w:p w14:paraId="32FBEBB3">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五、不与招标人、招标代理机构或其他投标人串通投标，损害国家利益、社会公共利益或者他人的合法权益；</w:t>
      </w:r>
    </w:p>
    <w:p w14:paraId="058E0CEB">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六、</w:t>
      </w:r>
      <w:r>
        <w:rPr>
          <w:rFonts w:hint="eastAsia" w:ascii="宋体" w:hAnsi="宋体" w:eastAsia="宋体" w:cs="宋体"/>
          <w:color w:val="auto"/>
          <w:szCs w:val="21"/>
          <w:highlight w:val="none"/>
          <w:u w:val="single"/>
          <w:lang w:bidi="ar"/>
        </w:rPr>
        <w:t xml:space="preserve">       （企业名称）</w:t>
      </w:r>
      <w:r>
        <w:rPr>
          <w:rFonts w:hint="eastAsia" w:ascii="宋体" w:hAnsi="宋体" w:eastAsia="宋体" w:cs="宋体"/>
          <w:color w:val="auto"/>
          <w:szCs w:val="21"/>
          <w:highlight w:val="none"/>
          <w:lang w:bidi="ar"/>
        </w:rPr>
        <w:t>或</w:t>
      </w:r>
      <w:r>
        <w:rPr>
          <w:rFonts w:hint="eastAsia" w:ascii="宋体" w:hAnsi="宋体" w:eastAsia="宋体" w:cs="宋体"/>
          <w:color w:val="auto"/>
          <w:szCs w:val="21"/>
          <w:highlight w:val="none"/>
          <w:u w:val="single"/>
          <w:lang w:bidi="ar"/>
        </w:rPr>
        <w:t xml:space="preserve">       （企业名称）</w:t>
      </w:r>
      <w:r>
        <w:rPr>
          <w:rFonts w:hint="eastAsia" w:ascii="宋体" w:hAnsi="宋体" w:eastAsia="宋体" w:cs="宋体"/>
          <w:color w:val="auto"/>
          <w:szCs w:val="21"/>
          <w:highlight w:val="none"/>
          <w:lang w:bidi="ar"/>
        </w:rPr>
        <w:t>法定代表人或拟派项目经理（负责人）没有下列情形：①被列入“信用中国”网站“失信被执行人”的；②被列入“信用中国”网站“重大税收违法失信主体”的；③被列入“信用中国”网站 “严重失信主体名单”的；④在“信用中国”网站上披露的仍在公示期的严重失信行为(具体行为类别及判定依据见“信用中国”查询的严重失信行为类别及判定依据)的。⑤被列入国家企业信用信息公示系统网站“经营异常名录”或者“严重违法失信名单”的。⑥被列入中国政府采购网站“政府采购严重违法失信行为信息记录”的。⑦前三年有行贿犯罪行为的单位和个人。（若采购文件对投标人所属分公司、办事处等分支机构有上述1-7项信誉要求，在此一并承诺我公司所属分公司、办事处等分支机构没有上述1-7项情形）</w:t>
      </w:r>
    </w:p>
    <w:p w14:paraId="35925383">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七、严格遵守开标现场纪律，服从监管人员管理；</w:t>
      </w:r>
    </w:p>
    <w:p w14:paraId="499A8EA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八、保证中标后不转包，若有分包征得招标人同意；</w:t>
      </w:r>
    </w:p>
    <w:p w14:paraId="495F49C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九、保证中标之后，按照投标文件要求提供相关后续服务；</w:t>
      </w:r>
    </w:p>
    <w:p w14:paraId="679E181B">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十、保证企业及所属相关人员在本次投标中无行贿等犯罪行为；</w:t>
      </w:r>
    </w:p>
    <w:p w14:paraId="370FA23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6DCF131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以上内容我已仔细阅读，本公司若有违反承诺内容的行为，自愿接受取消投标或者中标（成交）资格、中标（成交）无效、记入不良行为记录等有关处理，愿意承担法律责任，给招标人造成损失的，依法承担赔偿责任。</w:t>
      </w:r>
    </w:p>
    <w:p w14:paraId="3C1C1D8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 </w:t>
      </w:r>
    </w:p>
    <w:p w14:paraId="1DA61C5D">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开户银行：                      基本账户：</w:t>
      </w:r>
    </w:p>
    <w:p w14:paraId="089ADE7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投标单位（签章）：               法定代表人（签章）：</w:t>
      </w:r>
    </w:p>
    <w:p w14:paraId="385594C2">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 </w:t>
      </w:r>
    </w:p>
    <w:p w14:paraId="4638B749">
      <w:pPr>
        <w:spacing w:line="560" w:lineRule="exact"/>
        <w:jc w:val="right"/>
        <w:rPr>
          <w:rFonts w:ascii="仿宋_GB2312" w:eastAsia="仿宋_GB2312" w:cs="仿宋_GB2312"/>
          <w:color w:val="auto"/>
          <w:sz w:val="32"/>
          <w:szCs w:val="32"/>
          <w:highlight w:val="none"/>
        </w:rPr>
      </w:pPr>
      <w:r>
        <w:rPr>
          <w:rFonts w:hint="eastAsia" w:ascii="宋体" w:hAnsi="宋体" w:eastAsia="宋体" w:cs="宋体"/>
          <w:color w:val="auto"/>
          <w:szCs w:val="21"/>
          <w:highlight w:val="none"/>
          <w:lang w:bidi="ar"/>
        </w:rPr>
        <w:t>日期：</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年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月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日</w:t>
      </w:r>
    </w:p>
    <w:p w14:paraId="703F8B0D">
      <w:pPr>
        <w:pStyle w:val="3"/>
        <w:rPr>
          <w:color w:val="auto"/>
          <w:highlight w:val="none"/>
        </w:rPr>
      </w:pPr>
    </w:p>
    <w:bookmarkEnd w:id="238"/>
    <w:p w14:paraId="74785897">
      <w:pPr>
        <w:spacing w:line="360" w:lineRule="auto"/>
        <w:jc w:val="center"/>
        <w:outlineLvl w:val="1"/>
        <w:rPr>
          <w:rFonts w:asciiTheme="minorEastAsia" w:hAnsiTheme="minorEastAsia" w:eastAsiaTheme="minorEastAsia"/>
          <w:b/>
          <w:color w:val="auto"/>
          <w:sz w:val="24"/>
          <w:highlight w:val="none"/>
        </w:rPr>
      </w:pPr>
      <w:bookmarkStart w:id="239" w:name="_Toc3826"/>
      <w:bookmarkStart w:id="240" w:name="_Toc7807"/>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、其他相关证明材料</w:t>
      </w:r>
      <w:bookmarkEnd w:id="239"/>
      <w:bookmarkEnd w:id="240"/>
    </w:p>
    <w:p w14:paraId="2B12EE2F">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提供符合磋商邀请、采购需求及评审方法和标准规定的相关证明文件。</w:t>
      </w:r>
    </w:p>
    <w:p w14:paraId="2B791AD4">
      <w:pPr>
        <w:spacing w:line="360" w:lineRule="auto"/>
        <w:ind w:firstLine="435"/>
        <w:rPr>
          <w:rFonts w:asciiTheme="minorEastAsia" w:hAnsiTheme="minorEastAsia" w:eastAsiaTheme="minorEastAsia"/>
          <w:color w:val="auto"/>
          <w:sz w:val="24"/>
          <w:highlight w:val="none"/>
        </w:rPr>
      </w:pPr>
    </w:p>
    <w:p w14:paraId="17D392CA">
      <w:pPr>
        <w:spacing w:line="360" w:lineRule="auto"/>
        <w:ind w:firstLine="480" w:firstLineChars="200"/>
        <w:rPr>
          <w:rFonts w:asciiTheme="minorEastAsia" w:hAnsiTheme="minorEastAsia" w:eastAsiaTheme="minorEastAsia"/>
          <w:color w:val="auto"/>
          <w:sz w:val="24"/>
          <w:highlight w:val="none"/>
        </w:rPr>
      </w:pPr>
    </w:p>
    <w:p w14:paraId="43969D9B">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72DBBA7F">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供应商在响应文件制作时可在此栏内上传磋商文件要求上传的证明资料，如营业执照</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证书等，应将上述证明材料制作成扫描件上传。</w:t>
      </w:r>
    </w:p>
    <w:p w14:paraId="6107DC36">
      <w:pPr>
        <w:spacing w:line="360" w:lineRule="auto"/>
        <w:jc w:val="center"/>
        <w:rPr>
          <w:rFonts w:asciiTheme="minorEastAsia" w:hAnsiTheme="minorEastAsia" w:eastAsiaTheme="minorEastAsia"/>
          <w:b/>
          <w:color w:val="auto"/>
          <w:sz w:val="24"/>
          <w:highlight w:val="none"/>
        </w:rPr>
      </w:pPr>
    </w:p>
    <w:p w14:paraId="6BB24053">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65BA3DAD">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hint="eastAsia" w:asciiTheme="minorEastAsia" w:hAnsiTheme="minorEastAsia" w:eastAsiaTheme="minorEastAsia"/>
          <w:b/>
          <w:color w:val="auto"/>
          <w:sz w:val="28"/>
          <w:highlight w:val="none"/>
        </w:rPr>
      </w:pPr>
      <w:bookmarkStart w:id="241" w:name="_Toc63440924"/>
      <w:bookmarkStart w:id="242" w:name="_Toc19418"/>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  采购</w:t>
      </w:r>
      <w:bookmarkEnd w:id="241"/>
      <w:r>
        <w:rPr>
          <w:rFonts w:hint="eastAsia" w:asciiTheme="minorEastAsia" w:hAnsiTheme="minorEastAsia" w:eastAsiaTheme="minorEastAsia"/>
          <w:b/>
          <w:color w:val="auto"/>
          <w:sz w:val="28"/>
          <w:highlight w:val="none"/>
        </w:rPr>
        <w:t>供应商询问函和质疑函范本</w:t>
      </w:r>
      <w:bookmarkEnd w:id="242"/>
    </w:p>
    <w:p w14:paraId="41AC0A3E">
      <w:pPr>
        <w:spacing w:line="360" w:lineRule="auto"/>
        <w:jc w:val="center"/>
        <w:outlineLvl w:val="1"/>
        <w:rPr>
          <w:rFonts w:ascii="仿宋" w:hAnsi="仿宋" w:eastAsia="仿宋" w:cs="仿宋"/>
          <w:b/>
          <w:bCs/>
          <w:color w:val="auto"/>
          <w:sz w:val="32"/>
          <w:szCs w:val="44"/>
          <w:highlight w:val="none"/>
        </w:rPr>
      </w:pPr>
      <w:bookmarkStart w:id="243" w:name="_Toc2142"/>
      <w:bookmarkStart w:id="244" w:name="_Toc8735"/>
      <w:r>
        <w:rPr>
          <w:rFonts w:hint="eastAsia" w:ascii="仿宋" w:hAnsi="仿宋" w:eastAsia="仿宋" w:cs="仿宋"/>
          <w:b/>
          <w:bCs/>
          <w:color w:val="auto"/>
          <w:sz w:val="32"/>
          <w:szCs w:val="44"/>
          <w:highlight w:val="none"/>
        </w:rPr>
        <w:t>询问函范本</w:t>
      </w:r>
      <w:bookmarkEnd w:id="243"/>
      <w:bookmarkEnd w:id="244"/>
    </w:p>
    <w:p w14:paraId="55C1565A">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059C198A">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518A330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7EABB7A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245" w:name="_Toc26386"/>
      <w:bookmarkStart w:id="246" w:name="_Toc9092"/>
      <w:r>
        <w:rPr>
          <w:rFonts w:hint="eastAsia" w:cs="仿宋" w:asciiTheme="minorEastAsia" w:hAnsiTheme="minorEastAsia" w:eastAsiaTheme="minorEastAsia"/>
          <w:color w:val="auto"/>
          <w:sz w:val="24"/>
          <w:szCs w:val="24"/>
          <w:highlight w:val="none"/>
        </w:rPr>
        <w:t>一、(事项一)</w:t>
      </w:r>
      <w:bookmarkEnd w:id="245"/>
      <w:bookmarkEnd w:id="246"/>
    </w:p>
    <w:p w14:paraId="0AB7D1D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3DC16B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890A4B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62A8DFE1">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247" w:name="_Toc9273"/>
      <w:bookmarkStart w:id="248" w:name="_Toc17582"/>
      <w:r>
        <w:rPr>
          <w:rFonts w:hint="eastAsia" w:cs="仿宋" w:asciiTheme="minorEastAsia" w:hAnsiTheme="minorEastAsia" w:eastAsiaTheme="minorEastAsia"/>
          <w:color w:val="auto"/>
          <w:sz w:val="24"/>
          <w:szCs w:val="24"/>
          <w:highlight w:val="none"/>
        </w:rPr>
        <w:t>二、(事项二)</w:t>
      </w:r>
      <w:bookmarkEnd w:id="247"/>
      <w:bookmarkEnd w:id="248"/>
    </w:p>
    <w:p w14:paraId="409BA10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95E469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218CBD34">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60BBB516">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03A13DDE">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291220EF">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5853935">
      <w:pPr>
        <w:jc w:val="center"/>
        <w:outlineLvl w:val="1"/>
        <w:rPr>
          <w:rFonts w:ascii="仿宋" w:hAnsi="仿宋" w:eastAsia="仿宋" w:cs="仿宋"/>
          <w:b/>
          <w:bCs/>
          <w:color w:val="auto"/>
          <w:sz w:val="32"/>
          <w:szCs w:val="44"/>
          <w:highlight w:val="none"/>
        </w:rPr>
      </w:pPr>
      <w:bookmarkStart w:id="249" w:name="_Toc26673"/>
      <w:bookmarkStart w:id="250" w:name="_Toc6990"/>
      <w:r>
        <w:rPr>
          <w:rFonts w:hint="eastAsia" w:ascii="仿宋" w:hAnsi="仿宋" w:eastAsia="仿宋" w:cs="仿宋"/>
          <w:b/>
          <w:bCs/>
          <w:color w:val="auto"/>
          <w:sz w:val="32"/>
          <w:szCs w:val="44"/>
          <w:highlight w:val="none"/>
        </w:rPr>
        <w:t>质疑函范本</w:t>
      </w:r>
      <w:bookmarkEnd w:id="249"/>
      <w:bookmarkEnd w:id="250"/>
    </w:p>
    <w:p w14:paraId="4816DA33">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251" w:name="_Toc29510"/>
      <w:bookmarkStart w:id="252" w:name="_Toc2994"/>
      <w:r>
        <w:rPr>
          <w:rFonts w:hint="eastAsia" w:cs="仿宋" w:asciiTheme="minorEastAsia" w:hAnsiTheme="minorEastAsia" w:eastAsiaTheme="minorEastAsia"/>
          <w:b/>
          <w:bCs/>
          <w:color w:val="auto"/>
          <w:sz w:val="24"/>
          <w:szCs w:val="24"/>
          <w:highlight w:val="none"/>
        </w:rPr>
        <w:t>一、质疑供应商基本信息</w:t>
      </w:r>
      <w:bookmarkEnd w:id="251"/>
      <w:bookmarkEnd w:id="252"/>
    </w:p>
    <w:p w14:paraId="538C887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55DFF28C">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C73F5D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618CF7E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0A5B3FC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2FEDE0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2942020">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53" w:name="_Toc31042"/>
      <w:bookmarkStart w:id="254" w:name="_Toc28130"/>
      <w:r>
        <w:rPr>
          <w:rFonts w:hint="eastAsia" w:cs="仿宋" w:asciiTheme="minorEastAsia" w:hAnsiTheme="minorEastAsia" w:eastAsiaTheme="minorEastAsia"/>
          <w:b/>
          <w:bCs/>
          <w:color w:val="auto"/>
          <w:sz w:val="24"/>
          <w:szCs w:val="24"/>
          <w:highlight w:val="none"/>
        </w:rPr>
        <w:t>二、质疑项目基本情况</w:t>
      </w:r>
      <w:bookmarkEnd w:id="253"/>
      <w:bookmarkEnd w:id="254"/>
    </w:p>
    <w:p w14:paraId="4A96F37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7CDD9DC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5A9D74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5A34ACC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61EDE1B1">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55" w:name="_Toc20587"/>
      <w:bookmarkStart w:id="256" w:name="_Toc6486"/>
      <w:r>
        <w:rPr>
          <w:rFonts w:hint="eastAsia" w:cs="仿宋" w:asciiTheme="minorEastAsia" w:hAnsiTheme="minorEastAsia" w:eastAsiaTheme="minorEastAsia"/>
          <w:b/>
          <w:bCs/>
          <w:color w:val="auto"/>
          <w:sz w:val="24"/>
          <w:szCs w:val="24"/>
          <w:highlight w:val="none"/>
        </w:rPr>
        <w:t>三、质疑事项具体内容</w:t>
      </w:r>
      <w:bookmarkEnd w:id="255"/>
      <w:bookmarkEnd w:id="256"/>
    </w:p>
    <w:p w14:paraId="1F6CE43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523BD85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30C27C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7036EE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7BCE2D1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99FEF1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DB8814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224FF52B">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57" w:name="_Toc32755"/>
      <w:bookmarkStart w:id="258" w:name="_Toc20470"/>
      <w:r>
        <w:rPr>
          <w:rFonts w:hint="eastAsia" w:cs="仿宋" w:asciiTheme="minorEastAsia" w:hAnsiTheme="minorEastAsia" w:eastAsiaTheme="minorEastAsia"/>
          <w:b/>
          <w:bCs/>
          <w:color w:val="auto"/>
          <w:sz w:val="24"/>
          <w:szCs w:val="24"/>
          <w:highlight w:val="none"/>
        </w:rPr>
        <w:t>四、与质疑事项相关的质疑请求</w:t>
      </w:r>
      <w:bookmarkEnd w:id="257"/>
      <w:bookmarkEnd w:id="258"/>
    </w:p>
    <w:p w14:paraId="05572A4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471BB607">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3812CE06">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5A153234">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04DD1C85">
      <w:pPr>
        <w:outlineLvl w:val="0"/>
        <w:rPr>
          <w:rFonts w:asciiTheme="minorEastAsia" w:hAnsiTheme="minorEastAsia" w:eastAsiaTheme="minorEastAsia"/>
          <w:b/>
          <w:color w:val="auto"/>
          <w:sz w:val="28"/>
          <w:szCs w:val="32"/>
          <w:highlight w:val="none"/>
        </w:rPr>
      </w:pPr>
      <w:bookmarkStart w:id="259" w:name="_Toc21667"/>
      <w:bookmarkStart w:id="260" w:name="_Toc8368"/>
      <w:r>
        <w:rPr>
          <w:rFonts w:hint="eastAsia" w:asciiTheme="minorEastAsia" w:hAnsiTheme="minorEastAsia" w:eastAsiaTheme="minorEastAsia"/>
          <w:b/>
          <w:color w:val="auto"/>
          <w:sz w:val="28"/>
          <w:szCs w:val="32"/>
          <w:highlight w:val="none"/>
        </w:rPr>
        <w:t>质疑函制作说明：</w:t>
      </w:r>
      <w:bookmarkEnd w:id="259"/>
      <w:bookmarkEnd w:id="260"/>
    </w:p>
    <w:p w14:paraId="3A90EEB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19E608B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6BA82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B475C0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018517E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EFDF91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5" w:type="default"/>
      <w:footerReference r:id="rId6" w:type="default"/>
      <w:pgSz w:w="11906" w:h="16838"/>
      <w:pgMar w:top="1247" w:right="1247" w:bottom="1247" w:left="1247" w:header="851" w:footer="992" w:gutter="0"/>
      <w:pgNumType w:fmt="decimal"/>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EF20BEB-D95B-4C3B-BB0F-FAA05F2E9663}"/>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C9B2A2F5-44B4-43A6-A3AD-C192A0E3EE85}"/>
  </w:font>
  <w:font w:name="仿宋">
    <w:panose1 w:val="02010609060101010101"/>
    <w:charset w:val="86"/>
    <w:family w:val="modern"/>
    <w:pitch w:val="default"/>
    <w:sig w:usb0="800002BF" w:usb1="38CF7CFA" w:usb2="00000016" w:usb3="00000000" w:csb0="00040001" w:csb1="00000000"/>
    <w:embedRegular r:id="rId3" w:fontKey="{62CC0D78-AA69-4CE1-A582-F248D31470C7}"/>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BatangChe">
    <w:altName w:val="Malgun Gothic"/>
    <w:panose1 w:val="0203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modern"/>
    <w:pitch w:val="default"/>
    <w:sig w:usb0="00000000" w:usb1="00000000" w:usb2="00000000" w:usb3="00000000" w:csb0="00040000" w:csb1="00000000"/>
    <w:embedRegular r:id="rId4" w:fontKey="{F3713DC3-EBE6-4ED5-BD20-9490595B0C7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24CB3">
    <w:pPr>
      <w:pStyle w:val="1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FFB6A">
    <w:pPr>
      <w:pStyle w:val="18"/>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448AD">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02448AD">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C659B">
    <w:pPr>
      <w:pStyle w:val="19"/>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D7E8B">
    <w:pPr>
      <w:pStyle w:val="19"/>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服务类</w:t>
    </w:r>
    <w:r>
      <w:rPr>
        <w:rFonts w:hint="eastAsia" w:asciiTheme="minorEastAsia" w:hAnsiTheme="minorEastAsia" w:eastAsiaTheme="minorEastAsia"/>
        <w:lang w:eastAsia="zh-C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jMjNhOGFiZDlmMmFjZDZlMWZjN2IzMmRmNzQ3NDcifQ=="/>
  </w:docVars>
  <w:rsids>
    <w:rsidRoot w:val="00276BA1"/>
    <w:rsid w:val="0000043F"/>
    <w:rsid w:val="000037F9"/>
    <w:rsid w:val="000049DA"/>
    <w:rsid w:val="00005403"/>
    <w:rsid w:val="000056B7"/>
    <w:rsid w:val="00007D87"/>
    <w:rsid w:val="000131F7"/>
    <w:rsid w:val="00014039"/>
    <w:rsid w:val="00016B6C"/>
    <w:rsid w:val="00020B57"/>
    <w:rsid w:val="00020B6D"/>
    <w:rsid w:val="000323E2"/>
    <w:rsid w:val="00040C25"/>
    <w:rsid w:val="00042139"/>
    <w:rsid w:val="00042B14"/>
    <w:rsid w:val="00044F49"/>
    <w:rsid w:val="000450C3"/>
    <w:rsid w:val="00050A3F"/>
    <w:rsid w:val="00052F95"/>
    <w:rsid w:val="00054AA3"/>
    <w:rsid w:val="00056ECB"/>
    <w:rsid w:val="00057B40"/>
    <w:rsid w:val="000648D2"/>
    <w:rsid w:val="00070E0E"/>
    <w:rsid w:val="0007146E"/>
    <w:rsid w:val="00076DB7"/>
    <w:rsid w:val="00080FEB"/>
    <w:rsid w:val="00094D41"/>
    <w:rsid w:val="00097CB9"/>
    <w:rsid w:val="000A0161"/>
    <w:rsid w:val="000A10A9"/>
    <w:rsid w:val="000A6693"/>
    <w:rsid w:val="000A7970"/>
    <w:rsid w:val="000A7D94"/>
    <w:rsid w:val="000B1511"/>
    <w:rsid w:val="000B6249"/>
    <w:rsid w:val="000C1DB1"/>
    <w:rsid w:val="000D19EC"/>
    <w:rsid w:val="000D3F37"/>
    <w:rsid w:val="000E3C74"/>
    <w:rsid w:val="000E3F9B"/>
    <w:rsid w:val="000E478E"/>
    <w:rsid w:val="000E668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30601"/>
    <w:rsid w:val="00132F4D"/>
    <w:rsid w:val="00133EA0"/>
    <w:rsid w:val="00137249"/>
    <w:rsid w:val="00140687"/>
    <w:rsid w:val="00146421"/>
    <w:rsid w:val="00153B20"/>
    <w:rsid w:val="00155F64"/>
    <w:rsid w:val="00157856"/>
    <w:rsid w:val="00160729"/>
    <w:rsid w:val="0016455F"/>
    <w:rsid w:val="00165398"/>
    <w:rsid w:val="00166794"/>
    <w:rsid w:val="00166ED8"/>
    <w:rsid w:val="001714C9"/>
    <w:rsid w:val="00171515"/>
    <w:rsid w:val="00172B93"/>
    <w:rsid w:val="001768BC"/>
    <w:rsid w:val="0018119B"/>
    <w:rsid w:val="001844AB"/>
    <w:rsid w:val="001853C7"/>
    <w:rsid w:val="00192879"/>
    <w:rsid w:val="001944B8"/>
    <w:rsid w:val="001967D2"/>
    <w:rsid w:val="00196DA3"/>
    <w:rsid w:val="001970C3"/>
    <w:rsid w:val="001971E5"/>
    <w:rsid w:val="001A0C0F"/>
    <w:rsid w:val="001A68E5"/>
    <w:rsid w:val="001B2A54"/>
    <w:rsid w:val="001B2BA4"/>
    <w:rsid w:val="001B5014"/>
    <w:rsid w:val="001B7327"/>
    <w:rsid w:val="001C2A15"/>
    <w:rsid w:val="001D22EA"/>
    <w:rsid w:val="001D53B4"/>
    <w:rsid w:val="001E1835"/>
    <w:rsid w:val="001F28D2"/>
    <w:rsid w:val="001F2F45"/>
    <w:rsid w:val="001F3023"/>
    <w:rsid w:val="001F35F6"/>
    <w:rsid w:val="001F4AAF"/>
    <w:rsid w:val="001F74CA"/>
    <w:rsid w:val="001F7590"/>
    <w:rsid w:val="002003B6"/>
    <w:rsid w:val="0020244A"/>
    <w:rsid w:val="002049B4"/>
    <w:rsid w:val="0020520B"/>
    <w:rsid w:val="002076AD"/>
    <w:rsid w:val="00213C55"/>
    <w:rsid w:val="00223CF4"/>
    <w:rsid w:val="00224B69"/>
    <w:rsid w:val="00224C4A"/>
    <w:rsid w:val="00231187"/>
    <w:rsid w:val="0023407E"/>
    <w:rsid w:val="00240B40"/>
    <w:rsid w:val="00244182"/>
    <w:rsid w:val="002544A1"/>
    <w:rsid w:val="00257ECE"/>
    <w:rsid w:val="00260382"/>
    <w:rsid w:val="00260B94"/>
    <w:rsid w:val="00264F2E"/>
    <w:rsid w:val="00271245"/>
    <w:rsid w:val="00272BD6"/>
    <w:rsid w:val="00273F66"/>
    <w:rsid w:val="00274A9E"/>
    <w:rsid w:val="00276BA1"/>
    <w:rsid w:val="00280984"/>
    <w:rsid w:val="002832CF"/>
    <w:rsid w:val="00283599"/>
    <w:rsid w:val="002835E3"/>
    <w:rsid w:val="00284542"/>
    <w:rsid w:val="002A14D1"/>
    <w:rsid w:val="002A1A1D"/>
    <w:rsid w:val="002A28AD"/>
    <w:rsid w:val="002B04FD"/>
    <w:rsid w:val="002B5318"/>
    <w:rsid w:val="002B6D27"/>
    <w:rsid w:val="002B7A09"/>
    <w:rsid w:val="002C060C"/>
    <w:rsid w:val="002C078A"/>
    <w:rsid w:val="002D05DD"/>
    <w:rsid w:val="002D0E4D"/>
    <w:rsid w:val="002D2965"/>
    <w:rsid w:val="002D3D02"/>
    <w:rsid w:val="002D4CB5"/>
    <w:rsid w:val="002D5900"/>
    <w:rsid w:val="002D684B"/>
    <w:rsid w:val="002E2D3A"/>
    <w:rsid w:val="002E3B26"/>
    <w:rsid w:val="002E4AB8"/>
    <w:rsid w:val="002E7FC4"/>
    <w:rsid w:val="00310070"/>
    <w:rsid w:val="0031081B"/>
    <w:rsid w:val="003110EC"/>
    <w:rsid w:val="00314289"/>
    <w:rsid w:val="003206A6"/>
    <w:rsid w:val="0032560D"/>
    <w:rsid w:val="00327C92"/>
    <w:rsid w:val="00333292"/>
    <w:rsid w:val="003344E7"/>
    <w:rsid w:val="0033580B"/>
    <w:rsid w:val="003365E7"/>
    <w:rsid w:val="003378D5"/>
    <w:rsid w:val="003473D7"/>
    <w:rsid w:val="00351995"/>
    <w:rsid w:val="00351AC8"/>
    <w:rsid w:val="00353075"/>
    <w:rsid w:val="00363E02"/>
    <w:rsid w:val="00373A96"/>
    <w:rsid w:val="003826C2"/>
    <w:rsid w:val="00383728"/>
    <w:rsid w:val="00384B9C"/>
    <w:rsid w:val="00384E57"/>
    <w:rsid w:val="003903BB"/>
    <w:rsid w:val="0039195E"/>
    <w:rsid w:val="00392627"/>
    <w:rsid w:val="00394128"/>
    <w:rsid w:val="00394ADC"/>
    <w:rsid w:val="00395235"/>
    <w:rsid w:val="0039561A"/>
    <w:rsid w:val="00397C7D"/>
    <w:rsid w:val="003A004F"/>
    <w:rsid w:val="003A2158"/>
    <w:rsid w:val="003A3AC4"/>
    <w:rsid w:val="003B25A5"/>
    <w:rsid w:val="003B4130"/>
    <w:rsid w:val="003B6FA1"/>
    <w:rsid w:val="003B715B"/>
    <w:rsid w:val="003C2C62"/>
    <w:rsid w:val="003C5566"/>
    <w:rsid w:val="003C577A"/>
    <w:rsid w:val="003C7C74"/>
    <w:rsid w:val="003D1D14"/>
    <w:rsid w:val="003D6C7C"/>
    <w:rsid w:val="003D6EFB"/>
    <w:rsid w:val="003D7E52"/>
    <w:rsid w:val="003E25C6"/>
    <w:rsid w:val="003F7528"/>
    <w:rsid w:val="004011AA"/>
    <w:rsid w:val="0040202C"/>
    <w:rsid w:val="00404A8F"/>
    <w:rsid w:val="00406508"/>
    <w:rsid w:val="004110F6"/>
    <w:rsid w:val="004134F8"/>
    <w:rsid w:val="0041456E"/>
    <w:rsid w:val="004148E3"/>
    <w:rsid w:val="00414F7E"/>
    <w:rsid w:val="004164F8"/>
    <w:rsid w:val="00422224"/>
    <w:rsid w:val="00426F05"/>
    <w:rsid w:val="004328E1"/>
    <w:rsid w:val="004427B7"/>
    <w:rsid w:val="0044349F"/>
    <w:rsid w:val="00445F1F"/>
    <w:rsid w:val="00447862"/>
    <w:rsid w:val="00451F60"/>
    <w:rsid w:val="00452BB2"/>
    <w:rsid w:val="00456054"/>
    <w:rsid w:val="0045656D"/>
    <w:rsid w:val="00462D98"/>
    <w:rsid w:val="00463E7D"/>
    <w:rsid w:val="00472A44"/>
    <w:rsid w:val="00473A89"/>
    <w:rsid w:val="00475899"/>
    <w:rsid w:val="00482C78"/>
    <w:rsid w:val="00483ABC"/>
    <w:rsid w:val="0048634A"/>
    <w:rsid w:val="004874AE"/>
    <w:rsid w:val="0049056F"/>
    <w:rsid w:val="00492217"/>
    <w:rsid w:val="00494D24"/>
    <w:rsid w:val="004951D1"/>
    <w:rsid w:val="004960BB"/>
    <w:rsid w:val="004A1BA3"/>
    <w:rsid w:val="004A27D0"/>
    <w:rsid w:val="004A4D67"/>
    <w:rsid w:val="004B7E79"/>
    <w:rsid w:val="004C13CB"/>
    <w:rsid w:val="004C1AAB"/>
    <w:rsid w:val="004C5B90"/>
    <w:rsid w:val="004D3D4B"/>
    <w:rsid w:val="004D5498"/>
    <w:rsid w:val="004D66A5"/>
    <w:rsid w:val="004D6B00"/>
    <w:rsid w:val="004E1D50"/>
    <w:rsid w:val="004E3266"/>
    <w:rsid w:val="004E38BA"/>
    <w:rsid w:val="004E50CA"/>
    <w:rsid w:val="004F27A0"/>
    <w:rsid w:val="0050027D"/>
    <w:rsid w:val="00501382"/>
    <w:rsid w:val="005048FB"/>
    <w:rsid w:val="00510563"/>
    <w:rsid w:val="00510798"/>
    <w:rsid w:val="005119B5"/>
    <w:rsid w:val="005125F1"/>
    <w:rsid w:val="00524A11"/>
    <w:rsid w:val="00527768"/>
    <w:rsid w:val="00530EA4"/>
    <w:rsid w:val="005327FB"/>
    <w:rsid w:val="00533251"/>
    <w:rsid w:val="00533FCA"/>
    <w:rsid w:val="005346EF"/>
    <w:rsid w:val="00542F0C"/>
    <w:rsid w:val="005470D4"/>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571E"/>
    <w:rsid w:val="005C1D52"/>
    <w:rsid w:val="005C46AC"/>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3DE2"/>
    <w:rsid w:val="00627601"/>
    <w:rsid w:val="006300D0"/>
    <w:rsid w:val="00632012"/>
    <w:rsid w:val="00634694"/>
    <w:rsid w:val="00636517"/>
    <w:rsid w:val="00636EE7"/>
    <w:rsid w:val="00637690"/>
    <w:rsid w:val="00640E1E"/>
    <w:rsid w:val="00640F3C"/>
    <w:rsid w:val="0064389A"/>
    <w:rsid w:val="00645442"/>
    <w:rsid w:val="006525CD"/>
    <w:rsid w:val="00653F7F"/>
    <w:rsid w:val="00662DCD"/>
    <w:rsid w:val="00662EE8"/>
    <w:rsid w:val="00663813"/>
    <w:rsid w:val="00664AFD"/>
    <w:rsid w:val="00667567"/>
    <w:rsid w:val="0067391A"/>
    <w:rsid w:val="00674173"/>
    <w:rsid w:val="0067534F"/>
    <w:rsid w:val="00677D87"/>
    <w:rsid w:val="006834FA"/>
    <w:rsid w:val="00690DB1"/>
    <w:rsid w:val="00693404"/>
    <w:rsid w:val="006953D9"/>
    <w:rsid w:val="006A1269"/>
    <w:rsid w:val="006A5803"/>
    <w:rsid w:val="006A69C3"/>
    <w:rsid w:val="006A7C15"/>
    <w:rsid w:val="006B1242"/>
    <w:rsid w:val="006B1DBC"/>
    <w:rsid w:val="006B3712"/>
    <w:rsid w:val="006B7D9A"/>
    <w:rsid w:val="006C06D9"/>
    <w:rsid w:val="006C3E22"/>
    <w:rsid w:val="006C5716"/>
    <w:rsid w:val="006C64B2"/>
    <w:rsid w:val="006C74A9"/>
    <w:rsid w:val="006D07DE"/>
    <w:rsid w:val="006D361A"/>
    <w:rsid w:val="006D6A81"/>
    <w:rsid w:val="006E06D9"/>
    <w:rsid w:val="006E1D40"/>
    <w:rsid w:val="006E2E1F"/>
    <w:rsid w:val="006E5059"/>
    <w:rsid w:val="006F5F03"/>
    <w:rsid w:val="006F5FFF"/>
    <w:rsid w:val="00710804"/>
    <w:rsid w:val="00711FC6"/>
    <w:rsid w:val="00712952"/>
    <w:rsid w:val="007130B1"/>
    <w:rsid w:val="00713487"/>
    <w:rsid w:val="00715071"/>
    <w:rsid w:val="007231E9"/>
    <w:rsid w:val="00724F0E"/>
    <w:rsid w:val="007270A6"/>
    <w:rsid w:val="00727C59"/>
    <w:rsid w:val="00733730"/>
    <w:rsid w:val="00734E5D"/>
    <w:rsid w:val="00736013"/>
    <w:rsid w:val="00737BF8"/>
    <w:rsid w:val="0074339B"/>
    <w:rsid w:val="0074478E"/>
    <w:rsid w:val="00750B60"/>
    <w:rsid w:val="00756245"/>
    <w:rsid w:val="00761662"/>
    <w:rsid w:val="00764043"/>
    <w:rsid w:val="00766A36"/>
    <w:rsid w:val="007757CF"/>
    <w:rsid w:val="007769F6"/>
    <w:rsid w:val="00780F9D"/>
    <w:rsid w:val="0078128F"/>
    <w:rsid w:val="007819D9"/>
    <w:rsid w:val="0078683C"/>
    <w:rsid w:val="00790EDB"/>
    <w:rsid w:val="00791538"/>
    <w:rsid w:val="0079326E"/>
    <w:rsid w:val="00796EDE"/>
    <w:rsid w:val="007A5A58"/>
    <w:rsid w:val="007B1C56"/>
    <w:rsid w:val="007B2EDC"/>
    <w:rsid w:val="007C1DD7"/>
    <w:rsid w:val="007C3CD5"/>
    <w:rsid w:val="007C4756"/>
    <w:rsid w:val="007C5E88"/>
    <w:rsid w:val="007C61EF"/>
    <w:rsid w:val="007C6783"/>
    <w:rsid w:val="007D03DE"/>
    <w:rsid w:val="007D1C0D"/>
    <w:rsid w:val="007D2D23"/>
    <w:rsid w:val="007E1AE9"/>
    <w:rsid w:val="007E27D6"/>
    <w:rsid w:val="007E3921"/>
    <w:rsid w:val="00801028"/>
    <w:rsid w:val="00803793"/>
    <w:rsid w:val="00804000"/>
    <w:rsid w:val="008101A2"/>
    <w:rsid w:val="00817A01"/>
    <w:rsid w:val="00820937"/>
    <w:rsid w:val="00825E35"/>
    <w:rsid w:val="00830A4E"/>
    <w:rsid w:val="008334F8"/>
    <w:rsid w:val="00835FFD"/>
    <w:rsid w:val="0084381F"/>
    <w:rsid w:val="00843E35"/>
    <w:rsid w:val="008524CE"/>
    <w:rsid w:val="00857633"/>
    <w:rsid w:val="0086440C"/>
    <w:rsid w:val="008674ED"/>
    <w:rsid w:val="00874EE6"/>
    <w:rsid w:val="00876659"/>
    <w:rsid w:val="0087734C"/>
    <w:rsid w:val="00882141"/>
    <w:rsid w:val="00886BD4"/>
    <w:rsid w:val="008876EC"/>
    <w:rsid w:val="008922A8"/>
    <w:rsid w:val="00895BD5"/>
    <w:rsid w:val="008A16C4"/>
    <w:rsid w:val="008A4A27"/>
    <w:rsid w:val="008A649F"/>
    <w:rsid w:val="008A6FED"/>
    <w:rsid w:val="008B39C5"/>
    <w:rsid w:val="008B51AA"/>
    <w:rsid w:val="008C67F2"/>
    <w:rsid w:val="008D064A"/>
    <w:rsid w:val="008D2537"/>
    <w:rsid w:val="008D2B0F"/>
    <w:rsid w:val="008D633C"/>
    <w:rsid w:val="008E449E"/>
    <w:rsid w:val="008E4BDD"/>
    <w:rsid w:val="008E770C"/>
    <w:rsid w:val="008F187F"/>
    <w:rsid w:val="008F402F"/>
    <w:rsid w:val="008F76E8"/>
    <w:rsid w:val="00904508"/>
    <w:rsid w:val="009078A1"/>
    <w:rsid w:val="00911E9C"/>
    <w:rsid w:val="00917405"/>
    <w:rsid w:val="00920C1F"/>
    <w:rsid w:val="00920F7C"/>
    <w:rsid w:val="00922718"/>
    <w:rsid w:val="00924743"/>
    <w:rsid w:val="00932A87"/>
    <w:rsid w:val="00934CAE"/>
    <w:rsid w:val="0093560E"/>
    <w:rsid w:val="0094257D"/>
    <w:rsid w:val="009443B6"/>
    <w:rsid w:val="00946F68"/>
    <w:rsid w:val="0095467C"/>
    <w:rsid w:val="00954A61"/>
    <w:rsid w:val="00955C6F"/>
    <w:rsid w:val="00966C7B"/>
    <w:rsid w:val="009701DC"/>
    <w:rsid w:val="009715D8"/>
    <w:rsid w:val="009811A8"/>
    <w:rsid w:val="00991460"/>
    <w:rsid w:val="00995BF9"/>
    <w:rsid w:val="009975CC"/>
    <w:rsid w:val="009A0CAF"/>
    <w:rsid w:val="009A2207"/>
    <w:rsid w:val="009A2D34"/>
    <w:rsid w:val="009A6565"/>
    <w:rsid w:val="009B0EDA"/>
    <w:rsid w:val="009B6C42"/>
    <w:rsid w:val="009D2998"/>
    <w:rsid w:val="009D31F7"/>
    <w:rsid w:val="009D32C2"/>
    <w:rsid w:val="009D50DB"/>
    <w:rsid w:val="009E2932"/>
    <w:rsid w:val="009E3A0A"/>
    <w:rsid w:val="009F1936"/>
    <w:rsid w:val="009F3E91"/>
    <w:rsid w:val="00A008DA"/>
    <w:rsid w:val="00A00C93"/>
    <w:rsid w:val="00A0571E"/>
    <w:rsid w:val="00A13A27"/>
    <w:rsid w:val="00A1499B"/>
    <w:rsid w:val="00A170D8"/>
    <w:rsid w:val="00A30A1B"/>
    <w:rsid w:val="00A311AD"/>
    <w:rsid w:val="00A314C2"/>
    <w:rsid w:val="00A501BF"/>
    <w:rsid w:val="00A519A0"/>
    <w:rsid w:val="00A5274A"/>
    <w:rsid w:val="00A62A2E"/>
    <w:rsid w:val="00A63A4D"/>
    <w:rsid w:val="00A63E86"/>
    <w:rsid w:val="00A67AF7"/>
    <w:rsid w:val="00A75185"/>
    <w:rsid w:val="00A754A0"/>
    <w:rsid w:val="00A757C3"/>
    <w:rsid w:val="00A75E5B"/>
    <w:rsid w:val="00A75F4B"/>
    <w:rsid w:val="00A7684A"/>
    <w:rsid w:val="00A83B69"/>
    <w:rsid w:val="00A86533"/>
    <w:rsid w:val="00A91CA2"/>
    <w:rsid w:val="00A92FB8"/>
    <w:rsid w:val="00A948F1"/>
    <w:rsid w:val="00AA0BE3"/>
    <w:rsid w:val="00AA18F9"/>
    <w:rsid w:val="00AA1D7D"/>
    <w:rsid w:val="00AA2790"/>
    <w:rsid w:val="00AA3806"/>
    <w:rsid w:val="00AB139D"/>
    <w:rsid w:val="00AB2A35"/>
    <w:rsid w:val="00AB2D05"/>
    <w:rsid w:val="00AB3EFB"/>
    <w:rsid w:val="00AC0B05"/>
    <w:rsid w:val="00AC1962"/>
    <w:rsid w:val="00AC7F9D"/>
    <w:rsid w:val="00AD079A"/>
    <w:rsid w:val="00AD1890"/>
    <w:rsid w:val="00AE2149"/>
    <w:rsid w:val="00AE2BF3"/>
    <w:rsid w:val="00AE33AE"/>
    <w:rsid w:val="00AE3986"/>
    <w:rsid w:val="00AE3F91"/>
    <w:rsid w:val="00AF5B63"/>
    <w:rsid w:val="00B0053D"/>
    <w:rsid w:val="00B01176"/>
    <w:rsid w:val="00B039E3"/>
    <w:rsid w:val="00B06D36"/>
    <w:rsid w:val="00B12BC4"/>
    <w:rsid w:val="00B22838"/>
    <w:rsid w:val="00B33E8F"/>
    <w:rsid w:val="00B33E95"/>
    <w:rsid w:val="00B3720B"/>
    <w:rsid w:val="00B45D0B"/>
    <w:rsid w:val="00B52FA0"/>
    <w:rsid w:val="00B5558A"/>
    <w:rsid w:val="00B56513"/>
    <w:rsid w:val="00B61B64"/>
    <w:rsid w:val="00B631E4"/>
    <w:rsid w:val="00B64376"/>
    <w:rsid w:val="00B6570C"/>
    <w:rsid w:val="00B6790B"/>
    <w:rsid w:val="00B7401F"/>
    <w:rsid w:val="00B769CF"/>
    <w:rsid w:val="00B806C3"/>
    <w:rsid w:val="00B80D6F"/>
    <w:rsid w:val="00B84FCA"/>
    <w:rsid w:val="00B9089F"/>
    <w:rsid w:val="00B91826"/>
    <w:rsid w:val="00B91AEE"/>
    <w:rsid w:val="00B95F5A"/>
    <w:rsid w:val="00B96EAD"/>
    <w:rsid w:val="00BA4962"/>
    <w:rsid w:val="00BA4B7C"/>
    <w:rsid w:val="00BA79F5"/>
    <w:rsid w:val="00BA7EA7"/>
    <w:rsid w:val="00BB2E28"/>
    <w:rsid w:val="00BB3AB6"/>
    <w:rsid w:val="00BB766D"/>
    <w:rsid w:val="00BC007B"/>
    <w:rsid w:val="00BC1715"/>
    <w:rsid w:val="00BC26BA"/>
    <w:rsid w:val="00BC35F8"/>
    <w:rsid w:val="00BC481B"/>
    <w:rsid w:val="00BD08DF"/>
    <w:rsid w:val="00BD2D29"/>
    <w:rsid w:val="00BD617C"/>
    <w:rsid w:val="00BE782C"/>
    <w:rsid w:val="00BF376F"/>
    <w:rsid w:val="00BF46A6"/>
    <w:rsid w:val="00BF6CAD"/>
    <w:rsid w:val="00BF71FB"/>
    <w:rsid w:val="00C04DBF"/>
    <w:rsid w:val="00C05E4C"/>
    <w:rsid w:val="00C06545"/>
    <w:rsid w:val="00C134AF"/>
    <w:rsid w:val="00C220FC"/>
    <w:rsid w:val="00C24DFA"/>
    <w:rsid w:val="00C24F9D"/>
    <w:rsid w:val="00C30182"/>
    <w:rsid w:val="00C31FC9"/>
    <w:rsid w:val="00C37A63"/>
    <w:rsid w:val="00C42248"/>
    <w:rsid w:val="00C46A36"/>
    <w:rsid w:val="00C47037"/>
    <w:rsid w:val="00C50235"/>
    <w:rsid w:val="00C509E3"/>
    <w:rsid w:val="00C53625"/>
    <w:rsid w:val="00C548BA"/>
    <w:rsid w:val="00C5679D"/>
    <w:rsid w:val="00C57784"/>
    <w:rsid w:val="00C602C1"/>
    <w:rsid w:val="00C63FC0"/>
    <w:rsid w:val="00C66392"/>
    <w:rsid w:val="00C7075D"/>
    <w:rsid w:val="00C73D09"/>
    <w:rsid w:val="00C74895"/>
    <w:rsid w:val="00C74C5E"/>
    <w:rsid w:val="00C82558"/>
    <w:rsid w:val="00C827A2"/>
    <w:rsid w:val="00C82B69"/>
    <w:rsid w:val="00C82C8E"/>
    <w:rsid w:val="00C82CB3"/>
    <w:rsid w:val="00C91B28"/>
    <w:rsid w:val="00C91F3A"/>
    <w:rsid w:val="00C93590"/>
    <w:rsid w:val="00CA31EA"/>
    <w:rsid w:val="00CA5446"/>
    <w:rsid w:val="00CB14E5"/>
    <w:rsid w:val="00CB218D"/>
    <w:rsid w:val="00CB5625"/>
    <w:rsid w:val="00CB5797"/>
    <w:rsid w:val="00CC1C17"/>
    <w:rsid w:val="00CC4F7F"/>
    <w:rsid w:val="00CC5D70"/>
    <w:rsid w:val="00CD09E1"/>
    <w:rsid w:val="00CE1780"/>
    <w:rsid w:val="00CE4913"/>
    <w:rsid w:val="00CE66BD"/>
    <w:rsid w:val="00CF0671"/>
    <w:rsid w:val="00CF247A"/>
    <w:rsid w:val="00CF44AD"/>
    <w:rsid w:val="00CF4D7C"/>
    <w:rsid w:val="00CF4FC0"/>
    <w:rsid w:val="00CF7486"/>
    <w:rsid w:val="00D00637"/>
    <w:rsid w:val="00D1072F"/>
    <w:rsid w:val="00D108A5"/>
    <w:rsid w:val="00D14585"/>
    <w:rsid w:val="00D153C8"/>
    <w:rsid w:val="00D17F98"/>
    <w:rsid w:val="00D20EFF"/>
    <w:rsid w:val="00D215B9"/>
    <w:rsid w:val="00D31324"/>
    <w:rsid w:val="00D4386E"/>
    <w:rsid w:val="00D51432"/>
    <w:rsid w:val="00D53ED8"/>
    <w:rsid w:val="00D541A0"/>
    <w:rsid w:val="00D64857"/>
    <w:rsid w:val="00D6493A"/>
    <w:rsid w:val="00D649A5"/>
    <w:rsid w:val="00D66833"/>
    <w:rsid w:val="00D67875"/>
    <w:rsid w:val="00D71E86"/>
    <w:rsid w:val="00D731C6"/>
    <w:rsid w:val="00D745C5"/>
    <w:rsid w:val="00D75327"/>
    <w:rsid w:val="00D77D6B"/>
    <w:rsid w:val="00D80C36"/>
    <w:rsid w:val="00D81A32"/>
    <w:rsid w:val="00D86EE1"/>
    <w:rsid w:val="00D95E90"/>
    <w:rsid w:val="00D96126"/>
    <w:rsid w:val="00DA2FD5"/>
    <w:rsid w:val="00DB4B1C"/>
    <w:rsid w:val="00DB5085"/>
    <w:rsid w:val="00DB619F"/>
    <w:rsid w:val="00DB7211"/>
    <w:rsid w:val="00DC1062"/>
    <w:rsid w:val="00DC132C"/>
    <w:rsid w:val="00DC181A"/>
    <w:rsid w:val="00DC5727"/>
    <w:rsid w:val="00DD43F0"/>
    <w:rsid w:val="00DD44DE"/>
    <w:rsid w:val="00DE09AB"/>
    <w:rsid w:val="00DE1DCC"/>
    <w:rsid w:val="00DE352F"/>
    <w:rsid w:val="00DE4A3F"/>
    <w:rsid w:val="00DE5A99"/>
    <w:rsid w:val="00DF4367"/>
    <w:rsid w:val="00DF7291"/>
    <w:rsid w:val="00E0574A"/>
    <w:rsid w:val="00E1243D"/>
    <w:rsid w:val="00E12742"/>
    <w:rsid w:val="00E146D4"/>
    <w:rsid w:val="00E14815"/>
    <w:rsid w:val="00E21D37"/>
    <w:rsid w:val="00E220ED"/>
    <w:rsid w:val="00E22B44"/>
    <w:rsid w:val="00E30ACD"/>
    <w:rsid w:val="00E32735"/>
    <w:rsid w:val="00E34236"/>
    <w:rsid w:val="00E44B88"/>
    <w:rsid w:val="00E60DDB"/>
    <w:rsid w:val="00E65AD9"/>
    <w:rsid w:val="00E66E36"/>
    <w:rsid w:val="00E67F21"/>
    <w:rsid w:val="00E702ED"/>
    <w:rsid w:val="00E709A4"/>
    <w:rsid w:val="00E75917"/>
    <w:rsid w:val="00E772DB"/>
    <w:rsid w:val="00E86012"/>
    <w:rsid w:val="00E860CA"/>
    <w:rsid w:val="00E86BAB"/>
    <w:rsid w:val="00E92962"/>
    <w:rsid w:val="00E94E10"/>
    <w:rsid w:val="00E96743"/>
    <w:rsid w:val="00E96A42"/>
    <w:rsid w:val="00E97497"/>
    <w:rsid w:val="00EA16D5"/>
    <w:rsid w:val="00EA49C5"/>
    <w:rsid w:val="00EA6279"/>
    <w:rsid w:val="00EB5027"/>
    <w:rsid w:val="00EB6C87"/>
    <w:rsid w:val="00EC1836"/>
    <w:rsid w:val="00EC2F6E"/>
    <w:rsid w:val="00EC3990"/>
    <w:rsid w:val="00EC484B"/>
    <w:rsid w:val="00EC7E58"/>
    <w:rsid w:val="00ED15FA"/>
    <w:rsid w:val="00ED5C9F"/>
    <w:rsid w:val="00EE050C"/>
    <w:rsid w:val="00EE2113"/>
    <w:rsid w:val="00EE5730"/>
    <w:rsid w:val="00EE6E9A"/>
    <w:rsid w:val="00EF2AC4"/>
    <w:rsid w:val="00EF397E"/>
    <w:rsid w:val="00F0340C"/>
    <w:rsid w:val="00F06F68"/>
    <w:rsid w:val="00F11241"/>
    <w:rsid w:val="00F15E9D"/>
    <w:rsid w:val="00F23FA7"/>
    <w:rsid w:val="00F24C2D"/>
    <w:rsid w:val="00F27BEC"/>
    <w:rsid w:val="00F27D59"/>
    <w:rsid w:val="00F316E1"/>
    <w:rsid w:val="00F32155"/>
    <w:rsid w:val="00F32A81"/>
    <w:rsid w:val="00F40C82"/>
    <w:rsid w:val="00F4197F"/>
    <w:rsid w:val="00F46998"/>
    <w:rsid w:val="00F5382D"/>
    <w:rsid w:val="00F53D9C"/>
    <w:rsid w:val="00F54195"/>
    <w:rsid w:val="00F5462B"/>
    <w:rsid w:val="00F54653"/>
    <w:rsid w:val="00F54FAC"/>
    <w:rsid w:val="00F569DE"/>
    <w:rsid w:val="00F57205"/>
    <w:rsid w:val="00F634AD"/>
    <w:rsid w:val="00F63677"/>
    <w:rsid w:val="00F70658"/>
    <w:rsid w:val="00F7417E"/>
    <w:rsid w:val="00F75B81"/>
    <w:rsid w:val="00F761CA"/>
    <w:rsid w:val="00F804C4"/>
    <w:rsid w:val="00F80C7E"/>
    <w:rsid w:val="00F82F83"/>
    <w:rsid w:val="00F86097"/>
    <w:rsid w:val="00F90C64"/>
    <w:rsid w:val="00F9210C"/>
    <w:rsid w:val="00F92B30"/>
    <w:rsid w:val="00F933B9"/>
    <w:rsid w:val="00F94674"/>
    <w:rsid w:val="00F94919"/>
    <w:rsid w:val="00F94A59"/>
    <w:rsid w:val="00FA25B6"/>
    <w:rsid w:val="00FA2FAF"/>
    <w:rsid w:val="00FA54F6"/>
    <w:rsid w:val="00FA64B1"/>
    <w:rsid w:val="00FA70F3"/>
    <w:rsid w:val="00FA71CD"/>
    <w:rsid w:val="00FB0453"/>
    <w:rsid w:val="00FB0C07"/>
    <w:rsid w:val="00FB205F"/>
    <w:rsid w:val="00FB298D"/>
    <w:rsid w:val="00FB3171"/>
    <w:rsid w:val="00FB444E"/>
    <w:rsid w:val="00FC1439"/>
    <w:rsid w:val="00FC3F65"/>
    <w:rsid w:val="00FC5007"/>
    <w:rsid w:val="00FC70AD"/>
    <w:rsid w:val="00FC724B"/>
    <w:rsid w:val="00FC7910"/>
    <w:rsid w:val="00FD01E0"/>
    <w:rsid w:val="00FD50FC"/>
    <w:rsid w:val="00FE1627"/>
    <w:rsid w:val="00FE2D4E"/>
    <w:rsid w:val="00FE3F22"/>
    <w:rsid w:val="00FF092F"/>
    <w:rsid w:val="00FF0DA7"/>
    <w:rsid w:val="00FF2B09"/>
    <w:rsid w:val="00FF44E0"/>
    <w:rsid w:val="00FF6C72"/>
    <w:rsid w:val="01722E9F"/>
    <w:rsid w:val="01915CC2"/>
    <w:rsid w:val="02EB0203"/>
    <w:rsid w:val="03483348"/>
    <w:rsid w:val="061B09E7"/>
    <w:rsid w:val="06AE129F"/>
    <w:rsid w:val="072D20A4"/>
    <w:rsid w:val="073B420D"/>
    <w:rsid w:val="07FF390C"/>
    <w:rsid w:val="087A654B"/>
    <w:rsid w:val="09A909AA"/>
    <w:rsid w:val="09DF22A4"/>
    <w:rsid w:val="0A3D35AB"/>
    <w:rsid w:val="0A424F95"/>
    <w:rsid w:val="0A542106"/>
    <w:rsid w:val="0A6C4667"/>
    <w:rsid w:val="0BBE711B"/>
    <w:rsid w:val="0BD47173"/>
    <w:rsid w:val="0C1B47F2"/>
    <w:rsid w:val="0C4264AA"/>
    <w:rsid w:val="0C6157E5"/>
    <w:rsid w:val="0DB63633"/>
    <w:rsid w:val="10607C4F"/>
    <w:rsid w:val="106E6418"/>
    <w:rsid w:val="11323C4E"/>
    <w:rsid w:val="12D71D5F"/>
    <w:rsid w:val="12E44576"/>
    <w:rsid w:val="138E2FF9"/>
    <w:rsid w:val="151B7FB7"/>
    <w:rsid w:val="1582093B"/>
    <w:rsid w:val="15866126"/>
    <w:rsid w:val="163E2706"/>
    <w:rsid w:val="16534086"/>
    <w:rsid w:val="167B6427"/>
    <w:rsid w:val="16B27D38"/>
    <w:rsid w:val="16CD3E38"/>
    <w:rsid w:val="1930691F"/>
    <w:rsid w:val="1A6528FE"/>
    <w:rsid w:val="1A835004"/>
    <w:rsid w:val="1B0D6EF9"/>
    <w:rsid w:val="1BA61F6F"/>
    <w:rsid w:val="1C1E5DF5"/>
    <w:rsid w:val="1C63029E"/>
    <w:rsid w:val="1C715A71"/>
    <w:rsid w:val="1CC921E7"/>
    <w:rsid w:val="1D1C4205"/>
    <w:rsid w:val="1D444EB6"/>
    <w:rsid w:val="1DA840EB"/>
    <w:rsid w:val="1DCE3BD5"/>
    <w:rsid w:val="1DCF0FA3"/>
    <w:rsid w:val="1EB4768C"/>
    <w:rsid w:val="1FC11A1F"/>
    <w:rsid w:val="1FE0288F"/>
    <w:rsid w:val="20C16461"/>
    <w:rsid w:val="20FF5536"/>
    <w:rsid w:val="21051305"/>
    <w:rsid w:val="226F2197"/>
    <w:rsid w:val="230A4932"/>
    <w:rsid w:val="23146520"/>
    <w:rsid w:val="23585502"/>
    <w:rsid w:val="23596C26"/>
    <w:rsid w:val="23780CBF"/>
    <w:rsid w:val="23D41AC5"/>
    <w:rsid w:val="24577437"/>
    <w:rsid w:val="246C13AA"/>
    <w:rsid w:val="24741BE3"/>
    <w:rsid w:val="247E191F"/>
    <w:rsid w:val="25757B75"/>
    <w:rsid w:val="262D78EB"/>
    <w:rsid w:val="27CA60F4"/>
    <w:rsid w:val="27E85AF1"/>
    <w:rsid w:val="27F460A8"/>
    <w:rsid w:val="28C929C1"/>
    <w:rsid w:val="295220BC"/>
    <w:rsid w:val="29DA6B0B"/>
    <w:rsid w:val="2A093B18"/>
    <w:rsid w:val="2A1418FA"/>
    <w:rsid w:val="2A8D7B4E"/>
    <w:rsid w:val="2ABD245A"/>
    <w:rsid w:val="2AEE0AE3"/>
    <w:rsid w:val="2B412386"/>
    <w:rsid w:val="2BB34FD2"/>
    <w:rsid w:val="2BEB5297"/>
    <w:rsid w:val="2C300E8E"/>
    <w:rsid w:val="2CAE7E10"/>
    <w:rsid w:val="2CEA687B"/>
    <w:rsid w:val="2D1633EB"/>
    <w:rsid w:val="2DE16C1F"/>
    <w:rsid w:val="2E1B2EA1"/>
    <w:rsid w:val="2E63511A"/>
    <w:rsid w:val="2EB35320"/>
    <w:rsid w:val="2EBD433B"/>
    <w:rsid w:val="2F111D48"/>
    <w:rsid w:val="2F317872"/>
    <w:rsid w:val="2F3F0C54"/>
    <w:rsid w:val="2F4615DA"/>
    <w:rsid w:val="2FAC7749"/>
    <w:rsid w:val="30ED2B9B"/>
    <w:rsid w:val="31197749"/>
    <w:rsid w:val="32382656"/>
    <w:rsid w:val="32691053"/>
    <w:rsid w:val="32A538A5"/>
    <w:rsid w:val="330E360D"/>
    <w:rsid w:val="33B37D2E"/>
    <w:rsid w:val="341669C7"/>
    <w:rsid w:val="352620DC"/>
    <w:rsid w:val="35E13004"/>
    <w:rsid w:val="35E5310F"/>
    <w:rsid w:val="3661430F"/>
    <w:rsid w:val="36921BD2"/>
    <w:rsid w:val="369D587E"/>
    <w:rsid w:val="36CF1D5D"/>
    <w:rsid w:val="370F3BF6"/>
    <w:rsid w:val="3881462B"/>
    <w:rsid w:val="38AD0855"/>
    <w:rsid w:val="390935D1"/>
    <w:rsid w:val="39293004"/>
    <w:rsid w:val="393D67A4"/>
    <w:rsid w:val="39882115"/>
    <w:rsid w:val="39E10D60"/>
    <w:rsid w:val="39F942C0"/>
    <w:rsid w:val="3A174713"/>
    <w:rsid w:val="3ACC6031"/>
    <w:rsid w:val="3B3170C8"/>
    <w:rsid w:val="3BC431AC"/>
    <w:rsid w:val="3BFC5E74"/>
    <w:rsid w:val="3C0059BB"/>
    <w:rsid w:val="3C5F3E33"/>
    <w:rsid w:val="3E7A3FF6"/>
    <w:rsid w:val="3F4A39C9"/>
    <w:rsid w:val="3F5E4365"/>
    <w:rsid w:val="403B54BB"/>
    <w:rsid w:val="40412C5A"/>
    <w:rsid w:val="40D20119"/>
    <w:rsid w:val="415470E2"/>
    <w:rsid w:val="41AF5742"/>
    <w:rsid w:val="41B94E35"/>
    <w:rsid w:val="41BB759E"/>
    <w:rsid w:val="41FF6CEC"/>
    <w:rsid w:val="42B740A7"/>
    <w:rsid w:val="4353477A"/>
    <w:rsid w:val="43783307"/>
    <w:rsid w:val="43C05511"/>
    <w:rsid w:val="43CD57A6"/>
    <w:rsid w:val="43DB72E5"/>
    <w:rsid w:val="446B6021"/>
    <w:rsid w:val="44CE57BC"/>
    <w:rsid w:val="44E87F0C"/>
    <w:rsid w:val="45FC7108"/>
    <w:rsid w:val="46E22739"/>
    <w:rsid w:val="473A7BED"/>
    <w:rsid w:val="47863A67"/>
    <w:rsid w:val="478F71C4"/>
    <w:rsid w:val="4821786A"/>
    <w:rsid w:val="4825146D"/>
    <w:rsid w:val="482B373E"/>
    <w:rsid w:val="49A71CC6"/>
    <w:rsid w:val="4A6169D0"/>
    <w:rsid w:val="4B014864"/>
    <w:rsid w:val="4B1B26BD"/>
    <w:rsid w:val="4B954E7C"/>
    <w:rsid w:val="4D523D1B"/>
    <w:rsid w:val="4E6B046C"/>
    <w:rsid w:val="4E707289"/>
    <w:rsid w:val="4E920EE8"/>
    <w:rsid w:val="4E9E4717"/>
    <w:rsid w:val="4EEA3D40"/>
    <w:rsid w:val="4F00728A"/>
    <w:rsid w:val="4F3F6AB1"/>
    <w:rsid w:val="4F5D071B"/>
    <w:rsid w:val="4F9B688F"/>
    <w:rsid w:val="505B1306"/>
    <w:rsid w:val="50926F7D"/>
    <w:rsid w:val="518E54EE"/>
    <w:rsid w:val="52EA4B52"/>
    <w:rsid w:val="53C40687"/>
    <w:rsid w:val="53DF3D8C"/>
    <w:rsid w:val="54087D99"/>
    <w:rsid w:val="54A72003"/>
    <w:rsid w:val="56023921"/>
    <w:rsid w:val="5809250B"/>
    <w:rsid w:val="584A135A"/>
    <w:rsid w:val="58CB5722"/>
    <w:rsid w:val="59392054"/>
    <w:rsid w:val="5A156B40"/>
    <w:rsid w:val="5A3617D9"/>
    <w:rsid w:val="5A7F6B6C"/>
    <w:rsid w:val="5ABE7EC5"/>
    <w:rsid w:val="5AFB613D"/>
    <w:rsid w:val="5B884B20"/>
    <w:rsid w:val="5BA5225B"/>
    <w:rsid w:val="5BC0556E"/>
    <w:rsid w:val="5BC81C40"/>
    <w:rsid w:val="5C221AFD"/>
    <w:rsid w:val="5D740137"/>
    <w:rsid w:val="5D792AAE"/>
    <w:rsid w:val="5DA327CA"/>
    <w:rsid w:val="5DA42FD5"/>
    <w:rsid w:val="5E0B036F"/>
    <w:rsid w:val="5E6C3469"/>
    <w:rsid w:val="5FD74633"/>
    <w:rsid w:val="60947504"/>
    <w:rsid w:val="60E412C0"/>
    <w:rsid w:val="616044A2"/>
    <w:rsid w:val="61E323AE"/>
    <w:rsid w:val="62092E18"/>
    <w:rsid w:val="623331AC"/>
    <w:rsid w:val="625772C4"/>
    <w:rsid w:val="62F53596"/>
    <w:rsid w:val="636F3034"/>
    <w:rsid w:val="63ED29F1"/>
    <w:rsid w:val="650516A8"/>
    <w:rsid w:val="65330581"/>
    <w:rsid w:val="657472BF"/>
    <w:rsid w:val="65830E72"/>
    <w:rsid w:val="66E81280"/>
    <w:rsid w:val="67281F92"/>
    <w:rsid w:val="688E1539"/>
    <w:rsid w:val="69110DD3"/>
    <w:rsid w:val="691D526F"/>
    <w:rsid w:val="69676D3F"/>
    <w:rsid w:val="6A2E3597"/>
    <w:rsid w:val="6A6E7B31"/>
    <w:rsid w:val="6AD62B21"/>
    <w:rsid w:val="6B9F6CC6"/>
    <w:rsid w:val="6C1F5711"/>
    <w:rsid w:val="6C8639E2"/>
    <w:rsid w:val="6C8D150C"/>
    <w:rsid w:val="6CE35249"/>
    <w:rsid w:val="6DE91597"/>
    <w:rsid w:val="6E39711A"/>
    <w:rsid w:val="6E997D6C"/>
    <w:rsid w:val="6EF616F6"/>
    <w:rsid w:val="6F5D575B"/>
    <w:rsid w:val="705619F8"/>
    <w:rsid w:val="71467526"/>
    <w:rsid w:val="71FF67DD"/>
    <w:rsid w:val="73EF28AB"/>
    <w:rsid w:val="74B231F1"/>
    <w:rsid w:val="74FC2405"/>
    <w:rsid w:val="754058DD"/>
    <w:rsid w:val="75971777"/>
    <w:rsid w:val="771A04F8"/>
    <w:rsid w:val="77995421"/>
    <w:rsid w:val="77AB254F"/>
    <w:rsid w:val="781C344D"/>
    <w:rsid w:val="784A4B73"/>
    <w:rsid w:val="786924FD"/>
    <w:rsid w:val="789518CC"/>
    <w:rsid w:val="79404F19"/>
    <w:rsid w:val="79887AE4"/>
    <w:rsid w:val="799B26EC"/>
    <w:rsid w:val="79EB346F"/>
    <w:rsid w:val="7A5B3FA8"/>
    <w:rsid w:val="7AFD20F5"/>
    <w:rsid w:val="7BA174E1"/>
    <w:rsid w:val="7BC04FC3"/>
    <w:rsid w:val="7BD14F61"/>
    <w:rsid w:val="7C9C0693"/>
    <w:rsid w:val="7CA72746"/>
    <w:rsid w:val="7DC33C3F"/>
    <w:rsid w:val="7E5A6A7D"/>
    <w:rsid w:val="7E86415F"/>
    <w:rsid w:val="7EA81A90"/>
    <w:rsid w:val="7F2B1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6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3"/>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8"/>
    <w:qFormat/>
    <w:uiPriority w:val="0"/>
    <w:pPr>
      <w:keepNext/>
      <w:keepLines/>
      <w:spacing w:before="280" w:after="290" w:line="376" w:lineRule="auto"/>
      <w:outlineLvl w:val="3"/>
    </w:pPr>
    <w:rPr>
      <w:b/>
      <w:bCs/>
      <w:sz w:val="28"/>
      <w:szCs w:val="28"/>
    </w:rPr>
  </w:style>
  <w:style w:type="paragraph" w:styleId="6">
    <w:name w:val="heading 5"/>
    <w:basedOn w:val="1"/>
    <w:next w:val="1"/>
    <w:qFormat/>
    <w:uiPriority w:val="0"/>
    <w:pPr>
      <w:keepNext/>
      <w:keepLines/>
      <w:spacing w:before="280" w:beforeLines="0" w:after="290" w:afterLines="0" w:line="372" w:lineRule="auto"/>
      <w:outlineLvl w:val="4"/>
    </w:pPr>
    <w:rPr>
      <w:b/>
      <w:bCs/>
      <w:kern w:val="2"/>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qFormat/>
    <w:uiPriority w:val="39"/>
    <w:pPr>
      <w:ind w:left="1260"/>
      <w:jc w:val="left"/>
    </w:pPr>
    <w:rPr>
      <w:sz w:val="18"/>
      <w:szCs w:val="18"/>
    </w:rPr>
  </w:style>
  <w:style w:type="paragraph" w:styleId="8">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9">
    <w:name w:val="annotation text"/>
    <w:basedOn w:val="1"/>
    <w:link w:val="60"/>
    <w:qFormat/>
    <w:uiPriority w:val="0"/>
    <w:pPr>
      <w:jc w:val="left"/>
    </w:pPr>
    <w:rPr>
      <w:rFonts w:ascii="Arial" w:hAnsi="Arial" w:eastAsia="黑体" w:cs="Arial"/>
    </w:rPr>
  </w:style>
  <w:style w:type="paragraph" w:styleId="10">
    <w:name w:val="Body Text"/>
    <w:basedOn w:val="1"/>
    <w:link w:val="69"/>
    <w:qFormat/>
    <w:uiPriority w:val="0"/>
    <w:pPr>
      <w:spacing w:after="120"/>
    </w:pPr>
    <w:rPr>
      <w:rFonts w:ascii="@微软简标宋" w:hAnsi="@微软简标宋" w:eastAsia="@微软简标宋" w:cs="@微软简标宋"/>
      <w:szCs w:val="24"/>
      <w:lang w:val="zh-CN"/>
    </w:rPr>
  </w:style>
  <w:style w:type="paragraph" w:styleId="11">
    <w:name w:val="Body Text Indent"/>
    <w:basedOn w:val="1"/>
    <w:next w:val="12"/>
    <w:qFormat/>
    <w:uiPriority w:val="0"/>
    <w:pPr>
      <w:spacing w:after="120" w:afterLines="0"/>
      <w:ind w:left="420" w:leftChars="200"/>
    </w:pPr>
    <w:rPr>
      <w:rFonts w:ascii="Times New Roman" w:hAnsi="Times New Roman" w:eastAsia="宋体" w:cs="Times New Roman"/>
      <w:szCs w:val="24"/>
    </w:rPr>
  </w:style>
  <w:style w:type="paragraph" w:styleId="12">
    <w:name w:val="envelope return"/>
    <w:basedOn w:val="1"/>
    <w:next w:val="7"/>
    <w:qFormat/>
    <w:uiPriority w:val="0"/>
    <w:pPr>
      <w:wordWrap w:val="0"/>
      <w:adjustRightInd w:val="0"/>
      <w:snapToGrid w:val="0"/>
      <w:spacing w:line="360" w:lineRule="atLeast"/>
      <w:textAlignment w:val="baseline"/>
    </w:pPr>
    <w:rPr>
      <w:rFonts w:ascii="Arial" w:hAnsi="Arial" w:eastAsia="BatangChe"/>
      <w:kern w:val="0"/>
      <w:sz w:val="20"/>
      <w:lang w:eastAsia="ko-KR"/>
    </w:rPr>
  </w:style>
  <w:style w:type="paragraph" w:styleId="13">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4">
    <w:name w:val="Plain Text"/>
    <w:basedOn w:val="1"/>
    <w:link w:val="49"/>
    <w:qFormat/>
    <w:uiPriority w:val="99"/>
    <w:rPr>
      <w:rFonts w:ascii="宋体" w:hAnsi="Courier New" w:eastAsiaTheme="minorEastAsia" w:cstheme="minorBidi"/>
      <w:szCs w:val="22"/>
    </w:rPr>
  </w:style>
  <w:style w:type="paragraph" w:styleId="15">
    <w:name w:val="Date"/>
    <w:basedOn w:val="1"/>
    <w:next w:val="1"/>
    <w:link w:val="56"/>
    <w:qFormat/>
    <w:uiPriority w:val="0"/>
    <w:rPr>
      <w:rFonts w:ascii="Arial" w:hAnsi="Arial" w:eastAsia="宋体" w:cs="Arial"/>
      <w:b/>
      <w:sz w:val="28"/>
    </w:rPr>
  </w:style>
  <w:style w:type="paragraph" w:styleId="16">
    <w:name w:val="Body Text Indent 2"/>
    <w:basedOn w:val="1"/>
    <w:qFormat/>
    <w:uiPriority w:val="0"/>
    <w:pPr>
      <w:spacing w:line="360" w:lineRule="exact"/>
      <w:ind w:firstLine="600" w:firstLineChars="250"/>
      <w:jc w:val="left"/>
    </w:pPr>
    <w:rPr>
      <w:sz w:val="24"/>
    </w:rPr>
  </w:style>
  <w:style w:type="paragraph" w:styleId="17">
    <w:name w:val="Balloon Text"/>
    <w:basedOn w:val="1"/>
    <w:link w:val="43"/>
    <w:semiHidden/>
    <w:unhideWhenUsed/>
    <w:qFormat/>
    <w:uiPriority w:val="99"/>
    <w:rPr>
      <w:sz w:val="18"/>
      <w:szCs w:val="18"/>
    </w:rPr>
  </w:style>
  <w:style w:type="paragraph" w:styleId="18">
    <w:name w:val="footer"/>
    <w:basedOn w:val="1"/>
    <w:link w:val="48"/>
    <w:unhideWhenUsed/>
    <w:qFormat/>
    <w:uiPriority w:val="99"/>
    <w:pPr>
      <w:tabs>
        <w:tab w:val="center" w:pos="4153"/>
        <w:tab w:val="right" w:pos="8306"/>
      </w:tabs>
      <w:snapToGrid w:val="0"/>
      <w:jc w:val="left"/>
    </w:pPr>
    <w:rPr>
      <w:sz w:val="18"/>
      <w:szCs w:val="18"/>
    </w:rPr>
  </w:style>
  <w:style w:type="paragraph" w:styleId="19">
    <w:name w:val="header"/>
    <w:basedOn w:val="1"/>
    <w:link w:val="47"/>
    <w:unhideWhenUsed/>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2">
    <w:name w:val="Normal (Web)"/>
    <w:basedOn w:val="1"/>
    <w:qFormat/>
    <w:uiPriority w:val="0"/>
    <w:pPr>
      <w:spacing w:before="100" w:beforeAutospacing="1" w:after="100" w:afterAutospacing="1"/>
      <w:jc w:val="left"/>
    </w:pPr>
    <w:rPr>
      <w:rFonts w:cs="Times New Roman"/>
      <w:kern w:val="0"/>
      <w:sz w:val="24"/>
    </w:rPr>
  </w:style>
  <w:style w:type="paragraph" w:styleId="23">
    <w:name w:val="index 1"/>
    <w:basedOn w:val="1"/>
    <w:next w:val="1"/>
    <w:qFormat/>
    <w:uiPriority w:val="0"/>
    <w:pPr>
      <w:jc w:val="center"/>
    </w:pPr>
    <w:rPr>
      <w:rFonts w:ascii="Arial" w:hAnsi="Arial" w:eastAsia="Arial" w:cs="Arial"/>
      <w:b/>
      <w:bCs/>
      <w:sz w:val="28"/>
    </w:rPr>
  </w:style>
  <w:style w:type="paragraph" w:styleId="24">
    <w:name w:val="Body Text First Indent"/>
    <w:basedOn w:val="10"/>
    <w:unhideWhenUsed/>
    <w:qFormat/>
    <w:uiPriority w:val="99"/>
    <w:pPr>
      <w:ind w:firstLine="420" w:firstLineChars="100"/>
    </w:pPr>
  </w:style>
  <w:style w:type="paragraph" w:styleId="25">
    <w:name w:val="Body Text First Indent 2"/>
    <w:basedOn w:val="11"/>
    <w:next w:val="1"/>
    <w:qFormat/>
    <w:uiPriority w:val="0"/>
    <w:pPr>
      <w:tabs>
        <w:tab w:val="left" w:pos="1176"/>
      </w:tabs>
      <w:ind w:firstLine="200" w:firstLineChars="200"/>
    </w:pPr>
  </w:style>
  <w:style w:type="table" w:styleId="27">
    <w:name w:val="Table Grid"/>
    <w:basedOn w:val="26"/>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qFormat/>
    <w:uiPriority w:val="0"/>
    <w:rPr>
      <w:b/>
      <w:bCs/>
    </w:rPr>
  </w:style>
  <w:style w:type="character" w:styleId="30">
    <w:name w:val="page number"/>
    <w:qFormat/>
    <w:uiPriority w:val="0"/>
  </w:style>
  <w:style w:type="character" w:styleId="31">
    <w:name w:val="FollowedHyperlink"/>
    <w:basedOn w:val="28"/>
    <w:semiHidden/>
    <w:unhideWhenUsed/>
    <w:qFormat/>
    <w:uiPriority w:val="99"/>
    <w:rPr>
      <w:color w:val="800080"/>
      <w:u w:val="none"/>
    </w:rPr>
  </w:style>
  <w:style w:type="character" w:styleId="32">
    <w:name w:val="Emphasis"/>
    <w:basedOn w:val="28"/>
    <w:qFormat/>
    <w:uiPriority w:val="20"/>
    <w:rPr>
      <w:b/>
      <w:bCs/>
    </w:rPr>
  </w:style>
  <w:style w:type="character" w:styleId="33">
    <w:name w:val="HTML Definition"/>
    <w:basedOn w:val="28"/>
    <w:semiHidden/>
    <w:unhideWhenUsed/>
    <w:qFormat/>
    <w:uiPriority w:val="99"/>
  </w:style>
  <w:style w:type="character" w:styleId="34">
    <w:name w:val="HTML Typewriter"/>
    <w:basedOn w:val="28"/>
    <w:semiHidden/>
    <w:unhideWhenUsed/>
    <w:qFormat/>
    <w:uiPriority w:val="99"/>
    <w:rPr>
      <w:rFonts w:hint="default" w:ascii="monospace" w:hAnsi="monospace" w:eastAsia="monospace" w:cs="monospace"/>
      <w:sz w:val="20"/>
    </w:rPr>
  </w:style>
  <w:style w:type="character" w:styleId="35">
    <w:name w:val="HTML Acronym"/>
    <w:basedOn w:val="28"/>
    <w:semiHidden/>
    <w:unhideWhenUsed/>
    <w:qFormat/>
    <w:uiPriority w:val="99"/>
  </w:style>
  <w:style w:type="character" w:styleId="36">
    <w:name w:val="HTML Variable"/>
    <w:basedOn w:val="28"/>
    <w:semiHidden/>
    <w:unhideWhenUsed/>
    <w:qFormat/>
    <w:uiPriority w:val="99"/>
  </w:style>
  <w:style w:type="character" w:styleId="37">
    <w:name w:val="Hyperlink"/>
    <w:basedOn w:val="28"/>
    <w:unhideWhenUsed/>
    <w:qFormat/>
    <w:uiPriority w:val="99"/>
    <w:rPr>
      <w:color w:val="0000FF" w:themeColor="hyperlink"/>
      <w:u w:val="single"/>
      <w14:textFill>
        <w14:solidFill>
          <w14:schemeClr w14:val="hlink"/>
        </w14:solidFill>
      </w14:textFill>
    </w:rPr>
  </w:style>
  <w:style w:type="character" w:styleId="38">
    <w:name w:val="HTML Code"/>
    <w:basedOn w:val="28"/>
    <w:semiHidden/>
    <w:unhideWhenUsed/>
    <w:qFormat/>
    <w:uiPriority w:val="99"/>
    <w:rPr>
      <w:rFonts w:ascii="monospace" w:hAnsi="monospace" w:eastAsia="monospace" w:cs="monospace"/>
      <w:sz w:val="20"/>
    </w:rPr>
  </w:style>
  <w:style w:type="character" w:styleId="39">
    <w:name w:val="HTML Cite"/>
    <w:basedOn w:val="28"/>
    <w:semiHidden/>
    <w:unhideWhenUsed/>
    <w:qFormat/>
    <w:uiPriority w:val="99"/>
  </w:style>
  <w:style w:type="character" w:styleId="40">
    <w:name w:val="HTML Keyboard"/>
    <w:basedOn w:val="28"/>
    <w:semiHidden/>
    <w:unhideWhenUsed/>
    <w:qFormat/>
    <w:uiPriority w:val="99"/>
    <w:rPr>
      <w:rFonts w:hint="default" w:ascii="monospace" w:hAnsi="monospace" w:eastAsia="monospace" w:cs="monospace"/>
      <w:sz w:val="20"/>
    </w:rPr>
  </w:style>
  <w:style w:type="character" w:styleId="41">
    <w:name w:val="HTML Sample"/>
    <w:basedOn w:val="28"/>
    <w:semiHidden/>
    <w:unhideWhenUsed/>
    <w:qFormat/>
    <w:uiPriority w:val="99"/>
    <w:rPr>
      <w:rFonts w:hint="default" w:ascii="monospace" w:hAnsi="monospace" w:eastAsia="monospace" w:cs="monospace"/>
    </w:rPr>
  </w:style>
  <w:style w:type="paragraph" w:customStyle="1" w:styleId="42">
    <w:name w:val="一级标题"/>
    <w:basedOn w:val="1"/>
    <w:next w:val="10"/>
    <w:qFormat/>
    <w:uiPriority w:val="0"/>
    <w:pPr>
      <w:outlineLvl w:val="0"/>
    </w:pPr>
    <w:rPr>
      <w:b/>
      <w:bCs/>
      <w:sz w:val="32"/>
    </w:rPr>
  </w:style>
  <w:style w:type="character" w:customStyle="1" w:styleId="43">
    <w:name w:val="批注框文本 Char"/>
    <w:basedOn w:val="28"/>
    <w:link w:val="17"/>
    <w:semiHidden/>
    <w:qFormat/>
    <w:uiPriority w:val="99"/>
    <w:rPr>
      <w:rFonts w:ascii="@仿宋_GB2312" w:hAnsi="@仿宋_GB2312" w:eastAsia="@仿宋_GB2312" w:cs="@仿宋_GB2312"/>
      <w:sz w:val="18"/>
      <w:szCs w:val="18"/>
    </w:rPr>
  </w:style>
  <w:style w:type="paragraph" w:customStyle="1" w:styleId="44">
    <w:name w:val="正文（缩进）"/>
    <w:basedOn w:val="1"/>
    <w:qFormat/>
    <w:uiPriority w:val="0"/>
    <w:pPr>
      <w:widowControl/>
      <w:spacing w:before="156" w:after="156"/>
      <w:ind w:firstLine="480" w:firstLineChars="200"/>
      <w:jc w:val="left"/>
    </w:pPr>
    <w:rPr>
      <w:kern w:val="0"/>
      <w:sz w:val="24"/>
      <w:szCs w:val="24"/>
    </w:rPr>
  </w:style>
  <w:style w:type="paragraph" w:customStyle="1" w:styleId="45">
    <w:name w:val="xl31"/>
    <w:basedOn w:val="1"/>
    <w:qFormat/>
    <w:uiPriority w:val="0"/>
    <w:pPr>
      <w:widowControl/>
      <w:spacing w:before="100" w:beforeAutospacing="1" w:after="100" w:afterAutospacing="1"/>
      <w:jc w:val="center"/>
    </w:pPr>
    <w:rPr>
      <w:b/>
      <w:bCs/>
      <w:kern w:val="0"/>
      <w:sz w:val="28"/>
      <w:szCs w:val="28"/>
    </w:rPr>
  </w:style>
  <w:style w:type="paragraph" w:customStyle="1" w:styleId="46">
    <w:name w:val="D&amp;L"/>
    <w:basedOn w:val="19"/>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7">
    <w:name w:val="页眉 Char"/>
    <w:basedOn w:val="28"/>
    <w:link w:val="19"/>
    <w:qFormat/>
    <w:uiPriority w:val="0"/>
    <w:rPr>
      <w:rFonts w:ascii="@仿宋_GB2312" w:hAnsi="@仿宋_GB2312" w:eastAsia="@仿宋_GB2312" w:cs="@仿宋_GB2312"/>
      <w:sz w:val="18"/>
      <w:szCs w:val="18"/>
    </w:rPr>
  </w:style>
  <w:style w:type="character" w:customStyle="1" w:styleId="48">
    <w:name w:val="页脚 Char"/>
    <w:basedOn w:val="28"/>
    <w:link w:val="18"/>
    <w:qFormat/>
    <w:uiPriority w:val="99"/>
    <w:rPr>
      <w:rFonts w:ascii="@仿宋_GB2312" w:hAnsi="@仿宋_GB2312" w:eastAsia="@仿宋_GB2312" w:cs="@仿宋_GB2312"/>
      <w:sz w:val="18"/>
      <w:szCs w:val="18"/>
    </w:rPr>
  </w:style>
  <w:style w:type="character" w:customStyle="1" w:styleId="49">
    <w:name w:val="纯文本 Char"/>
    <w:link w:val="14"/>
    <w:qFormat/>
    <w:uiPriority w:val="0"/>
    <w:rPr>
      <w:rFonts w:ascii="宋体" w:hAnsi="Courier New"/>
    </w:rPr>
  </w:style>
  <w:style w:type="character" w:customStyle="1" w:styleId="50">
    <w:name w:val="纯文本 字符1"/>
    <w:basedOn w:val="28"/>
    <w:semiHidden/>
    <w:qFormat/>
    <w:uiPriority w:val="99"/>
    <w:rPr>
      <w:rFonts w:hAnsi="Courier New" w:cs="Courier New" w:asciiTheme="minorEastAsia"/>
      <w:szCs w:val="20"/>
    </w:rPr>
  </w:style>
  <w:style w:type="character" w:customStyle="1" w:styleId="51">
    <w:name w:val="未处理的提及1"/>
    <w:basedOn w:val="28"/>
    <w:semiHidden/>
    <w:unhideWhenUsed/>
    <w:qFormat/>
    <w:uiPriority w:val="99"/>
    <w:rPr>
      <w:color w:val="605E5C"/>
      <w:shd w:val="clear" w:color="auto" w:fill="E1DFDD"/>
    </w:rPr>
  </w:style>
  <w:style w:type="paragraph" w:styleId="52">
    <w:name w:val="List Paragraph"/>
    <w:basedOn w:val="1"/>
    <w:qFormat/>
    <w:uiPriority w:val="34"/>
    <w:pPr>
      <w:ind w:firstLine="420" w:firstLineChars="200"/>
    </w:pPr>
  </w:style>
  <w:style w:type="paragraph" w:customStyle="1" w:styleId="53">
    <w:name w:val="Char Char Char Char Char Char Char1 Char"/>
    <w:basedOn w:val="1"/>
    <w:qFormat/>
    <w:uiPriority w:val="0"/>
    <w:rPr>
      <w:rFonts w:ascii="Arial" w:hAnsi="Arial" w:eastAsia="宋体" w:cs="Arial"/>
      <w:sz w:val="24"/>
    </w:rPr>
  </w:style>
  <w:style w:type="table" w:customStyle="1" w:styleId="54">
    <w:name w:val="网格表 1 浅色1"/>
    <w:basedOn w:val="26"/>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5">
    <w:name w:val="日期 字符"/>
    <w:basedOn w:val="28"/>
    <w:semiHidden/>
    <w:qFormat/>
    <w:uiPriority w:val="99"/>
    <w:rPr>
      <w:rFonts w:ascii="@仿宋_GB2312" w:hAnsi="@仿宋_GB2312" w:eastAsia="@仿宋_GB2312" w:cs="@仿宋_GB2312"/>
      <w:szCs w:val="20"/>
    </w:rPr>
  </w:style>
  <w:style w:type="character" w:customStyle="1" w:styleId="56">
    <w:name w:val="日期 Char"/>
    <w:link w:val="15"/>
    <w:qFormat/>
    <w:uiPriority w:val="0"/>
    <w:rPr>
      <w:rFonts w:ascii="Arial" w:hAnsi="Arial" w:eastAsia="宋体" w:cs="Arial"/>
      <w:b/>
      <w:sz w:val="28"/>
      <w:szCs w:val="20"/>
    </w:rPr>
  </w:style>
  <w:style w:type="character" w:customStyle="1" w:styleId="57">
    <w:name w:val="纯文本 Char1"/>
    <w:link w:val="58"/>
    <w:qFormat/>
    <w:locked/>
    <w:uiPriority w:val="0"/>
    <w:rPr>
      <w:rFonts w:ascii="Arial" w:hAnsi="Arial" w:eastAsia="Arial"/>
      <w:kern w:val="2"/>
      <w:sz w:val="21"/>
      <w:lang w:val="en-US" w:eastAsia="zh-CN" w:bidi="ar-SA"/>
    </w:rPr>
  </w:style>
  <w:style w:type="paragraph" w:customStyle="1" w:styleId="58">
    <w:name w:val="纯文本1"/>
    <w:basedOn w:val="1"/>
    <w:link w:val="57"/>
    <w:qFormat/>
    <w:uiPriority w:val="0"/>
    <w:rPr>
      <w:rFonts w:ascii="Arial" w:hAnsi="Arial" w:eastAsia="Arial" w:cstheme="minorBidi"/>
    </w:rPr>
  </w:style>
  <w:style w:type="character" w:customStyle="1" w:styleId="59">
    <w:name w:val="批注文字 Char"/>
    <w:basedOn w:val="28"/>
    <w:semiHidden/>
    <w:qFormat/>
    <w:uiPriority w:val="99"/>
    <w:rPr>
      <w:rFonts w:ascii="@仿宋_GB2312" w:hAnsi="@仿宋_GB2312" w:eastAsia="@仿宋_GB2312" w:cs="@仿宋_GB2312"/>
      <w:szCs w:val="20"/>
    </w:rPr>
  </w:style>
  <w:style w:type="character" w:customStyle="1" w:styleId="60">
    <w:name w:val="批注文字 Char1"/>
    <w:link w:val="9"/>
    <w:qFormat/>
    <w:uiPriority w:val="0"/>
    <w:rPr>
      <w:rFonts w:ascii="Arial" w:hAnsi="Arial" w:eastAsia="黑体" w:cs="Arial"/>
      <w:szCs w:val="20"/>
    </w:rPr>
  </w:style>
  <w:style w:type="character" w:customStyle="1" w:styleId="61">
    <w:name w:val="标题 1 Char"/>
    <w:basedOn w:val="28"/>
    <w:link w:val="2"/>
    <w:qFormat/>
    <w:uiPriority w:val="9"/>
    <w:rPr>
      <w:rFonts w:ascii="@仿宋_GB2312" w:hAnsi="@仿宋_GB2312" w:eastAsia="@仿宋_GB2312" w:cs="@仿宋_GB2312"/>
      <w:b/>
      <w:bCs/>
      <w:kern w:val="44"/>
      <w:sz w:val="44"/>
      <w:szCs w:val="44"/>
    </w:rPr>
  </w:style>
  <w:style w:type="paragraph" w:customStyle="1" w:styleId="62">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3">
    <w:name w:val="标题 3 Char"/>
    <w:basedOn w:val="28"/>
    <w:link w:val="4"/>
    <w:semiHidden/>
    <w:qFormat/>
    <w:uiPriority w:val="9"/>
    <w:rPr>
      <w:rFonts w:ascii="@仿宋_GB2312" w:hAnsi="@仿宋_GB2312" w:eastAsia="@仿宋_GB2312" w:cs="@仿宋_GB2312"/>
      <w:b/>
      <w:bCs/>
      <w:sz w:val="32"/>
      <w:szCs w:val="32"/>
    </w:rPr>
  </w:style>
  <w:style w:type="character" w:customStyle="1" w:styleId="64">
    <w:name w:val="fontstyle01"/>
    <w:basedOn w:val="28"/>
    <w:qFormat/>
    <w:uiPriority w:val="0"/>
    <w:rPr>
      <w:rFonts w:hint="eastAsia" w:ascii="宋体" w:hAnsi="宋体" w:eastAsia="宋体"/>
      <w:color w:val="000000"/>
      <w:sz w:val="22"/>
      <w:szCs w:val="22"/>
    </w:rPr>
  </w:style>
  <w:style w:type="character" w:customStyle="1" w:styleId="65">
    <w:name w:val="fontstyle21"/>
    <w:basedOn w:val="28"/>
    <w:qFormat/>
    <w:uiPriority w:val="0"/>
    <w:rPr>
      <w:rFonts w:hint="default" w:ascii="TimesNewRomanPSMT" w:hAnsi="TimesNewRomanPSMT"/>
      <w:color w:val="000000"/>
      <w:sz w:val="22"/>
      <w:szCs w:val="22"/>
    </w:rPr>
  </w:style>
  <w:style w:type="character" w:customStyle="1" w:styleId="66">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7">
    <w:name w:val="标题 4 字符"/>
    <w:basedOn w:val="28"/>
    <w:semiHidden/>
    <w:qFormat/>
    <w:uiPriority w:val="9"/>
    <w:rPr>
      <w:rFonts w:asciiTheme="majorHAnsi" w:hAnsiTheme="majorHAnsi" w:eastAsiaTheme="majorEastAsia" w:cstheme="majorBidi"/>
      <w:b/>
      <w:bCs/>
      <w:sz w:val="28"/>
      <w:szCs w:val="28"/>
    </w:rPr>
  </w:style>
  <w:style w:type="character" w:customStyle="1" w:styleId="68">
    <w:name w:val="标题 4 Char"/>
    <w:link w:val="5"/>
    <w:qFormat/>
    <w:uiPriority w:val="0"/>
    <w:rPr>
      <w:rFonts w:ascii="@仿宋_GB2312" w:hAnsi="@仿宋_GB2312" w:eastAsia="@仿宋_GB2312" w:cs="@仿宋_GB2312"/>
      <w:b/>
      <w:bCs/>
      <w:sz w:val="28"/>
      <w:szCs w:val="28"/>
    </w:rPr>
  </w:style>
  <w:style w:type="character" w:customStyle="1" w:styleId="69">
    <w:name w:val="正文文本 Char"/>
    <w:basedOn w:val="28"/>
    <w:link w:val="10"/>
    <w:qFormat/>
    <w:uiPriority w:val="0"/>
    <w:rPr>
      <w:rFonts w:ascii="@微软简标宋" w:hAnsi="@微软简标宋" w:eastAsia="@微软简标宋" w:cs="@微软简标宋"/>
      <w:szCs w:val="24"/>
      <w:lang w:val="zh-CN" w:eastAsia="zh-CN"/>
    </w:rPr>
  </w:style>
  <w:style w:type="table" w:customStyle="1" w:styleId="70">
    <w:name w:val="网格型1"/>
    <w:basedOn w:val="26"/>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
    <w:name w:val="Table Normal"/>
    <w:semiHidden/>
    <w:unhideWhenUsed/>
    <w:qFormat/>
    <w:uiPriority w:val="0"/>
    <w:tblPr>
      <w:tblCellMar>
        <w:top w:w="0" w:type="dxa"/>
        <w:left w:w="0" w:type="dxa"/>
        <w:bottom w:w="0" w:type="dxa"/>
        <w:right w:w="0" w:type="dxa"/>
      </w:tblCellMar>
    </w:tblPr>
  </w:style>
  <w:style w:type="paragraph" w:customStyle="1" w:styleId="72">
    <w:name w:val="Table Text"/>
    <w:basedOn w:val="1"/>
    <w:semiHidden/>
    <w:qFormat/>
    <w:uiPriority w:val="0"/>
    <w:rPr>
      <w:rFonts w:ascii="Arial" w:hAnsi="Arial" w:eastAsia="Arial" w:cs="Arial"/>
      <w:sz w:val="21"/>
      <w:szCs w:val="21"/>
      <w:lang w:val="en-US" w:eastAsia="en-US" w:bidi="ar-SA"/>
    </w:rPr>
  </w:style>
  <w:style w:type="paragraph" w:customStyle="1" w:styleId="73">
    <w:name w:val="列出段落1"/>
    <w:basedOn w:val="1"/>
    <w:qFormat/>
    <w:uiPriority w:val="0"/>
    <w:pPr>
      <w:ind w:firstLine="420" w:firstLineChars="200"/>
    </w:pPr>
    <w:rPr>
      <w:szCs w:val="24"/>
    </w:rPr>
  </w:style>
  <w:style w:type="paragraph" w:customStyle="1" w:styleId="74">
    <w:name w:val="_Style 10"/>
    <w:basedOn w:val="2"/>
    <w:next w:val="1"/>
    <w:qFormat/>
    <w:uiPriority w:val="0"/>
    <w:pPr>
      <w:outlineLvl w:val="9"/>
    </w:pPr>
  </w:style>
  <w:style w:type="character" w:customStyle="1" w:styleId="75">
    <w:name w:val="last-child"/>
    <w:basedOn w:val="28"/>
    <w:qFormat/>
    <w:uiPriority w:val="0"/>
  </w:style>
  <w:style w:type="character" w:customStyle="1" w:styleId="76">
    <w:name w:val="first-child1"/>
    <w:basedOn w:val="28"/>
    <w:qFormat/>
    <w:uiPriority w:val="0"/>
  </w:style>
  <w:style w:type="character" w:customStyle="1" w:styleId="77">
    <w:name w:val="first-child"/>
    <w:basedOn w:val="28"/>
    <w:qFormat/>
    <w:uiPriority w:val="0"/>
  </w:style>
  <w:style w:type="paragraph" w:customStyle="1" w:styleId="78">
    <w:name w:val="text-tag1"/>
    <w:basedOn w:val="1"/>
    <w:qFormat/>
    <w:uiPriority w:val="0"/>
    <w:pPr>
      <w:widowControl/>
      <w:spacing w:before="100" w:beforeAutospacing="1" w:after="100" w:afterAutospacing="1"/>
      <w:jc w:val="left"/>
    </w:pPr>
    <w:rPr>
      <w:rFonts w:ascii="宋体" w:hAnsi="宋体" w:cs="宋体"/>
      <w:kern w:val="0"/>
      <w:sz w:val="24"/>
    </w:rPr>
  </w:style>
  <w:style w:type="character" w:customStyle="1" w:styleId="79">
    <w:name w:val="time"/>
    <w:basedOn w:val="28"/>
    <w:qFormat/>
    <w:uiPriority w:val="0"/>
  </w:style>
  <w:style w:type="character" w:customStyle="1" w:styleId="80">
    <w:name w:val="status"/>
    <w:basedOn w:val="28"/>
    <w:qFormat/>
    <w:uiPriority w:val="0"/>
    <w:rPr>
      <w:color w:val="0776DD"/>
    </w:rPr>
  </w:style>
  <w:style w:type="character" w:customStyle="1" w:styleId="81">
    <w:name w:val="mini-outputtext1"/>
    <w:basedOn w:val="28"/>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5351A8-48F5-4B18-AF42-26053916CB99}">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46</Pages>
  <Words>1893</Words>
  <Characters>2334</Characters>
  <Lines>208</Lines>
  <Paragraphs>58</Paragraphs>
  <TotalTime>69</TotalTime>
  <ScaleCrop>false</ScaleCrop>
  <LinksUpToDate>false</LinksUpToDate>
  <CharactersWithSpaces>2391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韦韦</cp:lastModifiedBy>
  <cp:lastPrinted>2019-12-07T15:20:00Z</cp:lastPrinted>
  <dcterms:modified xsi:type="dcterms:W3CDTF">2026-08-15T03:49:47Z</dcterms:modified>
  <cp:revision>443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094B051C9DB8462892C98D0D4A053D81_13</vt:lpwstr>
  </property>
  <property fmtid="{D5CDD505-2E9C-101B-9397-08002B2CF9AE}" pid="4" name="KSOTemplateDocerSaveRecord">
    <vt:lpwstr>eyJoZGlkIjoiZmQ5MGI3YTdkMjVkZTZjM2ZjZTQ5YjMxYTJjZjRlOWEiLCJ1c2VySWQiOiIzNjE4MjQ5In0=</vt:lpwstr>
  </property>
</Properties>
</file>