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A126">
      <w:pPr>
        <w:rPr>
          <w:rFonts w:hint="eastAsia"/>
          <w:color w:val="auto"/>
          <w:highlight w:val="none"/>
        </w:rPr>
      </w:pPr>
      <w:bookmarkStart w:id="0" w:name="OLE_LINK1"/>
    </w:p>
    <w:p w14:paraId="6E337A0F">
      <w:pPr>
        <w:keepNext w:val="0"/>
        <w:keepLines w:val="0"/>
        <w:pageBreakBefore w:val="0"/>
        <w:widowControl w:val="0"/>
        <w:kinsoku/>
        <w:wordWrap/>
        <w:overflowPunct/>
        <w:topLinePunct w:val="0"/>
        <w:autoSpaceDE/>
        <w:autoSpaceDN/>
        <w:bidi w:val="0"/>
        <w:adjustRightInd/>
        <w:snapToGrid/>
        <w:spacing w:after="156" w:afterLines="50" w:line="920" w:lineRule="exact"/>
        <w:ind w:left="-850" w:leftChars="-405" w:right="-624"/>
        <w:jc w:val="center"/>
        <w:textAlignment w:val="auto"/>
        <w:rPr>
          <w:rFonts w:hint="eastAsia"/>
          <w:color w:val="auto"/>
          <w:sz w:val="24"/>
          <w:highlight w:val="none"/>
        </w:rPr>
      </w:pPr>
      <w:r>
        <w:rPr>
          <w:rFonts w:hint="eastAsia" w:ascii="宋体" w:hAnsi="宋体" w:cs="宋体"/>
          <w:b/>
          <w:bCs/>
          <w:color w:val="auto"/>
          <w:w w:val="85"/>
          <w:sz w:val="48"/>
          <w:szCs w:val="48"/>
          <w:highlight w:val="none"/>
          <w:lang w:val="en-US" w:eastAsia="zh-CN"/>
        </w:rPr>
        <w:t>人工智能产业园B5厂房装修项目</w:t>
      </w:r>
      <w:r>
        <w:rPr>
          <w:rFonts w:hint="eastAsia" w:ascii="宋体" w:hAnsi="宋体" w:cs="宋体"/>
          <w:b/>
          <w:bCs/>
          <w:color w:val="auto"/>
          <w:w w:val="85"/>
          <w:sz w:val="48"/>
          <w:szCs w:val="48"/>
          <w:highlight w:val="none"/>
          <w:lang w:eastAsia="zh-CN"/>
        </w:rPr>
        <w:t xml:space="preserve">工程量清单及最高投标限价编制服务项目 </w:t>
      </w:r>
    </w:p>
    <w:p w14:paraId="7AD5EE92">
      <w:pPr>
        <w:rPr>
          <w:rFonts w:hint="eastAsia" w:ascii="宋体"/>
          <w:bCs/>
          <w:color w:val="auto"/>
          <w:szCs w:val="21"/>
          <w:highlight w:val="none"/>
        </w:rPr>
      </w:pPr>
    </w:p>
    <w:p w14:paraId="0CDC5DC4">
      <w:pPr>
        <w:rPr>
          <w:rFonts w:hint="eastAsia" w:ascii="宋体"/>
          <w:bCs/>
          <w:color w:val="auto"/>
          <w:szCs w:val="21"/>
          <w:highlight w:val="none"/>
        </w:rPr>
      </w:pPr>
    </w:p>
    <w:p w14:paraId="732B09F0">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36A72FF8">
      <w:pPr>
        <w:rPr>
          <w:rFonts w:hint="eastAsia" w:ascii="宋体" w:hAnsi="宋体"/>
          <w:b/>
          <w:color w:val="auto"/>
          <w:sz w:val="84"/>
          <w:szCs w:val="84"/>
          <w:highlight w:val="none"/>
        </w:rPr>
      </w:pPr>
    </w:p>
    <w:p w14:paraId="6F9B41F8">
      <w:pPr>
        <w:pStyle w:val="34"/>
        <w:rPr>
          <w:rFonts w:hint="eastAsia"/>
          <w:color w:val="auto"/>
          <w:highlight w:val="none"/>
        </w:rPr>
      </w:pPr>
    </w:p>
    <w:p w14:paraId="0B7E0817">
      <w:pPr>
        <w:rPr>
          <w:rFonts w:hint="eastAsia"/>
          <w:color w:val="auto"/>
          <w:highlight w:val="none"/>
        </w:rPr>
      </w:pPr>
    </w:p>
    <w:p w14:paraId="31447BF3">
      <w:pPr>
        <w:rPr>
          <w:rFonts w:hint="eastAsia" w:ascii="宋体"/>
          <w:color w:val="auto"/>
          <w:sz w:val="28"/>
          <w:szCs w:val="28"/>
          <w:highlight w:val="none"/>
        </w:rPr>
      </w:pPr>
    </w:p>
    <w:p w14:paraId="4A9B6B37">
      <w:pPr>
        <w:pStyle w:val="20"/>
        <w:rPr>
          <w:rFonts w:hint="eastAsia"/>
          <w:color w:val="auto"/>
          <w:highlight w:val="none"/>
        </w:rPr>
      </w:pPr>
    </w:p>
    <w:p w14:paraId="71737E66">
      <w:pPr>
        <w:rPr>
          <w:rFonts w:hint="eastAsia" w:ascii="宋体"/>
          <w:b/>
          <w:color w:val="auto"/>
          <w:sz w:val="32"/>
          <w:szCs w:val="32"/>
          <w:highlight w:val="none"/>
        </w:rPr>
      </w:pPr>
    </w:p>
    <w:p w14:paraId="355D03DC">
      <w:pPr>
        <w:pStyle w:val="34"/>
        <w:rPr>
          <w:rFonts w:hint="eastAsia"/>
          <w:color w:val="auto"/>
          <w:highlight w:val="none"/>
        </w:rPr>
      </w:pPr>
    </w:p>
    <w:p w14:paraId="2D977D99">
      <w:pPr>
        <w:pStyle w:val="26"/>
        <w:rPr>
          <w:rFonts w:hint="eastAsia"/>
          <w:color w:val="auto"/>
          <w:highlight w:val="none"/>
        </w:rPr>
      </w:pPr>
    </w:p>
    <w:p w14:paraId="7D5BD9FA">
      <w:pPr>
        <w:pStyle w:val="26"/>
        <w:rPr>
          <w:rFonts w:hint="eastAsia"/>
          <w:color w:val="auto"/>
          <w:highlight w:val="none"/>
        </w:rPr>
      </w:pPr>
    </w:p>
    <w:p w14:paraId="7CA20BB5">
      <w:pPr>
        <w:pStyle w:val="26"/>
        <w:rPr>
          <w:rFonts w:hint="eastAsia"/>
          <w:color w:val="auto"/>
          <w:highlight w:val="none"/>
        </w:rPr>
      </w:pPr>
    </w:p>
    <w:p w14:paraId="5F66AD2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标</w:t>
      </w:r>
      <w:r>
        <w:rPr>
          <w:rFonts w:hint="eastAsia" w:ascii="宋体"/>
          <w:b/>
          <w:color w:val="auto"/>
          <w:sz w:val="32"/>
          <w:szCs w:val="32"/>
          <w:highlight w:val="none"/>
        </w:rPr>
        <w:t xml:space="preserve"> 人</w:t>
      </w:r>
      <w:r>
        <w:rPr>
          <w:rFonts w:hint="eastAsia" w:ascii="宋体"/>
          <w:b/>
          <w:color w:val="auto"/>
          <w:sz w:val="32"/>
          <w:szCs w:val="32"/>
          <w:highlight w:val="none"/>
          <w:u w:val="none"/>
          <w:lang w:eastAsia="zh-CN"/>
        </w:rPr>
        <w:t>：</w:t>
      </w:r>
      <w:r>
        <w:rPr>
          <w:rFonts w:hint="eastAsia" w:ascii="宋体"/>
          <w:b/>
          <w:color w:val="auto"/>
          <w:sz w:val="32"/>
          <w:szCs w:val="32"/>
          <w:highlight w:val="none"/>
          <w:u w:val="single"/>
          <w:lang w:eastAsia="zh-CN"/>
        </w:rPr>
        <w:t>滁州市中新苏滁建设发展集团有限公司</w:t>
      </w:r>
      <w:r>
        <w:rPr>
          <w:rFonts w:hint="eastAsia" w:ascii="宋体"/>
          <w:b/>
          <w:color w:val="auto"/>
          <w:sz w:val="32"/>
          <w:szCs w:val="32"/>
          <w:highlight w:val="none"/>
        </w:rPr>
        <w:t>（盖单位章）</w:t>
      </w:r>
    </w:p>
    <w:p w14:paraId="18961C30">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1FD2D27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23C5652D">
      <w:pPr>
        <w:spacing w:line="360" w:lineRule="exact"/>
        <w:jc w:val="both"/>
        <w:rPr>
          <w:rFonts w:hint="eastAsia"/>
          <w:b/>
          <w:color w:val="auto"/>
          <w:sz w:val="36"/>
          <w:highlight w:val="none"/>
        </w:rPr>
      </w:pPr>
      <w:r>
        <w:rPr>
          <w:rFonts w:hint="eastAsia"/>
          <w:b/>
          <w:color w:val="auto"/>
          <w:sz w:val="36"/>
          <w:highlight w:val="none"/>
        </w:rPr>
        <w:br w:type="page"/>
      </w:r>
    </w:p>
    <w:p w14:paraId="0387D298">
      <w:pPr>
        <w:spacing w:line="360" w:lineRule="exact"/>
        <w:jc w:val="center"/>
        <w:rPr>
          <w:rFonts w:hint="eastAsia"/>
          <w:b/>
          <w:color w:val="auto"/>
          <w:sz w:val="36"/>
          <w:highlight w:val="none"/>
        </w:rPr>
      </w:pPr>
      <w:r>
        <w:rPr>
          <w:rFonts w:hint="eastAsia"/>
          <w:b/>
          <w:color w:val="auto"/>
          <w:sz w:val="36"/>
          <w:highlight w:val="none"/>
        </w:rPr>
        <w:t>目  录</w:t>
      </w:r>
    </w:p>
    <w:p w14:paraId="63D2CA29">
      <w:pPr>
        <w:spacing w:line="360" w:lineRule="exact"/>
        <w:jc w:val="center"/>
        <w:rPr>
          <w:rFonts w:hint="eastAsia"/>
          <w:b/>
          <w:color w:val="auto"/>
          <w:sz w:val="36"/>
          <w:highlight w:val="none"/>
        </w:rPr>
      </w:pPr>
    </w:p>
    <w:p w14:paraId="581F4B1A">
      <w:pPr>
        <w:pStyle w:val="24"/>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4978DF48">
      <w:pPr>
        <w:pStyle w:val="24"/>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5</w:t>
      </w:r>
    </w:p>
    <w:p w14:paraId="6AB8532C">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第三章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19</w:t>
      </w:r>
    </w:p>
    <w:p w14:paraId="16E13669">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第四章 合同格式</w:t>
      </w:r>
      <w:r>
        <w:rPr>
          <w:rFonts w:ascii="宋体" w:hAnsi="宋体"/>
          <w:b/>
          <w:color w:val="auto"/>
          <w:sz w:val="24"/>
          <w:highlight w:val="none"/>
        </w:rPr>
        <w:tab/>
      </w:r>
      <w:r>
        <w:rPr>
          <w:rFonts w:hint="eastAsia" w:ascii="宋体" w:hAnsi="宋体"/>
          <w:b/>
          <w:color w:val="auto"/>
          <w:sz w:val="24"/>
          <w:highlight w:val="none"/>
          <w:lang w:val="en-US" w:eastAsia="zh-CN"/>
        </w:rPr>
        <w:t>27</w:t>
      </w:r>
    </w:p>
    <w:p w14:paraId="6850A267">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w:t>
      </w:r>
      <w:r>
        <w:rPr>
          <w:rStyle w:val="46"/>
          <w:rFonts w:hint="eastAsia" w:ascii="宋体" w:hAnsi="宋体"/>
          <w:b/>
          <w:color w:val="auto"/>
          <w:sz w:val="24"/>
          <w:highlight w:val="none"/>
          <w:lang w:val="en-US" w:eastAsia="zh-CN"/>
        </w:rPr>
        <w:t>五</w:t>
      </w:r>
      <w:r>
        <w:rPr>
          <w:rStyle w:val="46"/>
          <w:rFonts w:hint="eastAsia" w:ascii="宋体" w:hAnsi="宋体"/>
          <w:b/>
          <w:color w:val="auto"/>
          <w:sz w:val="24"/>
          <w:highlight w:val="none"/>
        </w:rPr>
        <w:t>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46</w:t>
      </w:r>
    </w:p>
    <w:p w14:paraId="364B1684">
      <w:pPr>
        <w:pStyle w:val="24"/>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5A88F254">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45ED2E4C">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5017AA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人工智能产业园B5厂房装修项目工程量清单及最高投标限价编制服务项目</w:t>
      </w:r>
      <w:r>
        <w:rPr>
          <w:rFonts w:hint="eastAsia" w:ascii="仿宋" w:hAnsi="仿宋" w:eastAsia="仿宋" w:cs="仿宋"/>
          <w:color w:val="auto"/>
          <w:sz w:val="28"/>
          <w:szCs w:val="28"/>
          <w:highlight w:val="none"/>
          <w:u w:val="none"/>
        </w:rPr>
        <w:t>招标项目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lang w:val="en-US" w:eastAsia="zh-CN"/>
        </w:rPr>
        <w:t>中新苏滁高新技术产业开发区（https://scp.chuzhou.gov.cn/index.html）、滁州市城投工程咨询管理有限公司网站（https://www.czctgczx.com/）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02EEB9A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12BE7AB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color w:val="auto"/>
          <w:sz w:val="28"/>
          <w:szCs w:val="28"/>
          <w:highlight w:val="none"/>
          <w:shd w:val="clear" w:color="auto" w:fill="auto"/>
          <w:lang w:val="en-US" w:eastAsia="zh-CN"/>
        </w:rPr>
        <w:t xml:space="preserve">人工智能产业园B5厂房装修项目工程量清单及最高投标限价编制服务项目 </w:t>
      </w:r>
    </w:p>
    <w:p w14:paraId="4ADFF288">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本项目建安费约2126.04万元，编制服务费约4.91万元</w:t>
      </w:r>
    </w:p>
    <w:p w14:paraId="45F5CEE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费率）</w:t>
      </w: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val="en-US" w:eastAsia="zh-CN"/>
        </w:rPr>
        <w:t>2.31‰</w:t>
      </w:r>
    </w:p>
    <w:p w14:paraId="364BA877">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w:t>
      </w:r>
      <w:r>
        <w:rPr>
          <w:rFonts w:hint="eastAsia" w:ascii="仿宋" w:hAnsi="仿宋" w:eastAsia="仿宋" w:cs="仿宋"/>
          <w:color w:val="auto"/>
          <w:sz w:val="28"/>
          <w:szCs w:val="28"/>
          <w:highlight w:val="none"/>
          <w:shd w:val="clear" w:color="auto" w:fill="auto"/>
          <w:lang w:val="en-US" w:eastAsia="zh-CN"/>
        </w:rPr>
        <w:t>编制人工智能产业园B5厂房装修项目工程量清单及最高投标限价</w:t>
      </w:r>
      <w:bookmarkStart w:id="216" w:name="_GoBack"/>
      <w:bookmarkEnd w:id="216"/>
    </w:p>
    <w:p w14:paraId="7428063B">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合同履行期限：收到招标人提供的全套施工图后</w:t>
      </w:r>
      <w:r>
        <w:rPr>
          <w:rFonts w:hint="eastAsia" w:ascii="仿宋" w:hAnsi="仿宋" w:eastAsia="仿宋" w:cs="仿宋"/>
          <w:color w:val="auto"/>
          <w:sz w:val="28"/>
          <w:szCs w:val="28"/>
          <w:highlight w:val="none"/>
          <w:shd w:val="clear" w:color="auto" w:fill="auto"/>
          <w:lang w:val="en-US" w:eastAsia="zh-CN"/>
        </w:rPr>
        <w:t>15</w:t>
      </w:r>
      <w:r>
        <w:rPr>
          <w:rFonts w:hint="eastAsia" w:ascii="仿宋" w:hAnsi="仿宋" w:eastAsia="仿宋" w:cs="仿宋"/>
          <w:color w:val="auto"/>
          <w:sz w:val="28"/>
          <w:szCs w:val="28"/>
          <w:highlight w:val="none"/>
          <w:shd w:val="clear" w:color="auto" w:fill="auto"/>
        </w:rPr>
        <w:t>个日历天内出具工程造价咨询报告初稿，中标人收到招标人最终答复后</w:t>
      </w:r>
      <w:r>
        <w:rPr>
          <w:rFonts w:hint="eastAsia" w:ascii="仿宋" w:hAnsi="仿宋" w:eastAsia="仿宋" w:cs="仿宋"/>
          <w:color w:val="auto"/>
          <w:sz w:val="28"/>
          <w:szCs w:val="28"/>
          <w:highlight w:val="none"/>
          <w:shd w:val="clear" w:color="auto" w:fill="auto"/>
          <w:lang w:val="en-US" w:eastAsia="zh-CN"/>
        </w:rPr>
        <w:t>3</w:t>
      </w:r>
      <w:r>
        <w:rPr>
          <w:rFonts w:hint="eastAsia" w:ascii="仿宋" w:hAnsi="仿宋" w:eastAsia="仿宋" w:cs="仿宋"/>
          <w:color w:val="auto"/>
          <w:sz w:val="28"/>
          <w:szCs w:val="28"/>
          <w:highlight w:val="none"/>
          <w:shd w:val="clear" w:color="auto" w:fill="auto"/>
        </w:rPr>
        <w:t>个日历天内出具正式造价咨询报告并完成网上备案。</w:t>
      </w:r>
    </w:p>
    <w:p w14:paraId="022551FF">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14:paraId="4CBFF0C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35393622"/>
      <w:bookmarkStart w:id="4" w:name="_Toc35393791"/>
      <w:bookmarkStart w:id="5" w:name="_Toc28359080"/>
      <w:bookmarkStart w:id="6" w:name="_Toc28359003"/>
      <w:r>
        <w:rPr>
          <w:rFonts w:hint="eastAsia" w:ascii="黑体" w:hAnsi="黑体" w:eastAsia="黑体" w:cs="黑体"/>
          <w:color w:val="auto"/>
          <w:sz w:val="28"/>
          <w:szCs w:val="28"/>
          <w:highlight w:val="none"/>
        </w:rPr>
        <w:t>二、申请人的资格要求</w:t>
      </w:r>
      <w:bookmarkEnd w:id="3"/>
      <w:bookmarkEnd w:id="4"/>
      <w:bookmarkEnd w:id="5"/>
      <w:bookmarkEnd w:id="6"/>
    </w:p>
    <w:p w14:paraId="3AA719F6">
      <w:pPr>
        <w:ind w:right="-313" w:rightChars="-149" w:firstLine="560" w:firstLineChars="200"/>
        <w:rPr>
          <w:rFonts w:hint="eastAsia" w:ascii="仿宋" w:hAnsi="仿宋" w:eastAsia="仿宋"/>
          <w:color w:val="auto"/>
          <w:sz w:val="28"/>
          <w:szCs w:val="28"/>
          <w:highlight w:val="none"/>
          <w:lang w:val="en-US" w:eastAsia="zh-CN"/>
        </w:rPr>
      </w:pPr>
      <w:bookmarkStart w:id="7" w:name="_Toc28359081"/>
      <w:bookmarkStart w:id="8" w:name="_Toc35393623"/>
      <w:bookmarkStart w:id="9" w:name="_Toc28359004"/>
      <w:bookmarkStart w:id="10" w:name="_Toc35393792"/>
      <w:r>
        <w:rPr>
          <w:rFonts w:hint="eastAsia" w:ascii="仿宋" w:hAnsi="仿宋" w:eastAsia="仿宋"/>
          <w:color w:val="auto"/>
          <w:sz w:val="28"/>
          <w:szCs w:val="28"/>
          <w:highlight w:val="none"/>
          <w:lang w:val="en-US" w:eastAsia="zh-CN"/>
        </w:rPr>
        <w:t>1.企业要求：具有独立承担民事责任能力并有相应服务能力的企业；</w:t>
      </w:r>
    </w:p>
    <w:p w14:paraId="67A16787">
      <w:pPr>
        <w:pStyle w:val="28"/>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2.项目负责人要求：具有中华人民共和国住房和城乡建设部颁发且在本单位注册的造价工程师【土木建筑工程专业】注册证书；</w:t>
      </w:r>
    </w:p>
    <w:p w14:paraId="38E91381">
      <w:pPr>
        <w:pStyle w:val="28"/>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3.项目组人员配置要求：项目组成员（不含项目负责人）不少于2人，均需具有造价员或二级造价师或全国注册造价师证书（其中土木建筑工程专业不少于1人，安装工程专业不少于1人）。</w:t>
      </w:r>
    </w:p>
    <w:p w14:paraId="3C49B49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5944036F">
      <w:pPr>
        <w:ind w:firstLine="540"/>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p>
    <w:p w14:paraId="0997B67D">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EDDFFB2">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43121A92">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624"/>
      <w:bookmarkStart w:id="14" w:name="_Toc35393793"/>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3B2694F0">
      <w:pPr>
        <w:ind w:firstLine="560" w:firstLineChars="200"/>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5</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72EE8B47">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地点：新点电子交易平台【滁州专区】</w:t>
      </w:r>
    </w:p>
    <w:p w14:paraId="25B4CBF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1424E71A">
      <w:pPr>
        <w:pStyle w:val="127"/>
        <w:rPr>
          <w:color w:val="auto"/>
          <w:highlight w:val="none"/>
        </w:rPr>
      </w:pPr>
      <w:bookmarkStart w:id="15" w:name="_Toc35393795"/>
      <w:bookmarkStart w:id="16" w:name="_Toc35393626"/>
      <w:r>
        <w:rPr>
          <w:color w:val="auto"/>
          <w:highlight w:val="none"/>
        </w:rPr>
        <w:t>窗体顶端</w:t>
      </w:r>
    </w:p>
    <w:p w14:paraId="5F4E68C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p>
    <w:p w14:paraId="0DAC3816">
      <w:pPr>
        <w:pStyle w:val="128"/>
        <w:rPr>
          <w:color w:val="auto"/>
          <w:highlight w:val="none"/>
        </w:rPr>
      </w:pPr>
      <w:r>
        <w:rPr>
          <w:color w:val="auto"/>
          <w:highlight w:val="none"/>
        </w:rPr>
        <w:t>窗体底端</w:t>
      </w:r>
    </w:p>
    <w:bookmarkEnd w:id="15"/>
    <w:bookmarkEnd w:id="16"/>
    <w:p w14:paraId="054AED3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5C37F2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投标人从滁州市城投工程咨询管理有限公司（https://www.czctgczx.com/）下载。投标人自行承担因未按要求获取招标文件导致无法上传电子投标文件的风险。</w:t>
      </w:r>
    </w:p>
    <w:p w14:paraId="2CDB365A">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C4303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投标人登录新点电子交易平台【滁州专区】获取询价文件及其它资料（含澄清和补充说明等）。如在招标文件获取过程中遇到系统问题，请拨打技术支持服务热线0512-58151515（工作日）5或者网站首页在线客服。</w:t>
      </w:r>
    </w:p>
    <w:p w14:paraId="1EF2986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2.招标文件及相关资料售价：人民币0元/套。</w:t>
      </w:r>
    </w:p>
    <w:p w14:paraId="7862F86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0D1CC19">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4.本项目采用不见面开标，投标人登录滁州市城投工程咨询有限公司不见面开标系统参与网上开标（网址：http://js.etrading.cn/EpointBidOpening/bidopeninghallaction/hall/login）。</w:t>
      </w:r>
    </w:p>
    <w:p w14:paraId="22D42C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投标人应在投标截止时间之前，登录新点电子交易平台【滁州专区】上传投标文件</w:t>
      </w:r>
    </w:p>
    <w:p w14:paraId="625CCB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5.本项目仅接受加密电子投标文件投标人在投标截止时间前通过新点电子交易平台后在【滁州专区】</w:t>
      </w:r>
    </w:p>
    <w:p w14:paraId="712DCAF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（https://www.etrading.cn/BREpointSSO/login/oauth2login?regioncode=DQ_ChuZhou）交易系统递交电子投标文件。</w:t>
      </w:r>
    </w:p>
    <w:p w14:paraId="7570B9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投标软件制作工具下载：</w:t>
      </w:r>
    </w:p>
    <w:p w14:paraId="6B421E9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https://download.bqpoint.com/download/downloaddetail.html?SourceFrom=Ztb&amp;ZtbSoftXiaQuCode=0128&amp;ZtbSoftType=tballinclusive</w:t>
      </w:r>
    </w:p>
    <w:p w14:paraId="3D3E748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307E47C">
      <w:pPr>
        <w:pStyle w:val="3"/>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604ADC35">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滁州市中新苏滁建设发展集团有限公司</w:t>
      </w:r>
    </w:p>
    <w:p w14:paraId="4191A14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滁州市徽州南路1999号苏滁商务中心</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lang w:eastAsia="zh-CN"/>
        </w:rPr>
        <w:t>楼</w:t>
      </w:r>
    </w:p>
    <w:p w14:paraId="22A045A5">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0550-3026900</w:t>
      </w:r>
    </w:p>
    <w:p w14:paraId="46F6CDF9">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503ED29">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AB9D21A">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335066C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787AA301">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0DF41EB">
      <w:pPr>
        <w:pStyle w:val="17"/>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李工、</w:t>
      </w:r>
      <w:r>
        <w:rPr>
          <w:rFonts w:hint="eastAsia" w:ascii="仿宋" w:hAnsi="仿宋" w:eastAsia="仿宋" w:cs="仿宋"/>
          <w:color w:val="auto"/>
          <w:sz w:val="28"/>
          <w:szCs w:val="28"/>
          <w:highlight w:val="none"/>
          <w:u w:val="single" w:color="auto"/>
        </w:rPr>
        <w:t>杨韦</w:t>
      </w:r>
    </w:p>
    <w:p w14:paraId="42608EA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0550-3026900</w:t>
      </w:r>
      <w:r>
        <w:rPr>
          <w:rFonts w:hint="eastAsia" w:ascii="仿宋" w:hAnsi="仿宋" w:eastAsia="仿宋" w:cs="仿宋"/>
          <w:color w:val="auto"/>
          <w:sz w:val="28"/>
          <w:szCs w:val="28"/>
          <w:highlight w:val="none"/>
          <w:u w:val="single" w:color="auto"/>
          <w:lang w:val="en-US" w:eastAsia="zh-CN"/>
        </w:rPr>
        <w:t>、</w:t>
      </w:r>
      <w:r>
        <w:rPr>
          <w:rFonts w:hint="eastAsia" w:ascii="仿宋" w:hAnsi="仿宋" w:eastAsia="仿宋" w:cs="仿宋"/>
          <w:color w:val="auto"/>
          <w:sz w:val="28"/>
          <w:szCs w:val="28"/>
          <w:highlight w:val="none"/>
          <w:u w:val="single" w:color="auto"/>
        </w:rPr>
        <w:t>0</w:t>
      </w:r>
      <w:r>
        <w:rPr>
          <w:rFonts w:hint="eastAsia" w:ascii="仿宋" w:hAnsi="仿宋" w:eastAsia="仿宋" w:cs="仿宋"/>
          <w:color w:val="auto"/>
          <w:sz w:val="28"/>
          <w:szCs w:val="28"/>
          <w:highlight w:val="none"/>
          <w:u w:val="single"/>
        </w:rPr>
        <w:t xml:space="preserve">550-3519590 </w:t>
      </w:r>
    </w:p>
    <w:p w14:paraId="29FC2FC7">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355FA043">
      <w:pPr>
        <w:snapToGrid w:val="0"/>
        <w:spacing w:line="500" w:lineRule="exact"/>
        <w:jc w:val="center"/>
        <w:outlineLvl w:val="1"/>
        <w:rPr>
          <w:rFonts w:hint="eastAsia" w:ascii="宋体"/>
          <w:b/>
          <w:color w:val="auto"/>
          <w:sz w:val="28"/>
          <w:szCs w:val="28"/>
          <w:highlight w:val="none"/>
        </w:rPr>
      </w:pPr>
      <w:bookmarkStart w:id="17" w:name="_Toc58430314"/>
      <w:bookmarkStart w:id="1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1351"/>
        <w:gridCol w:w="1005"/>
        <w:gridCol w:w="6824"/>
      </w:tblGrid>
      <w:tr w14:paraId="09490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62DF8FF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56" w:type="dxa"/>
            <w:gridSpan w:val="2"/>
            <w:noWrap w:val="0"/>
            <w:vAlign w:val="center"/>
          </w:tcPr>
          <w:p w14:paraId="1626C36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24" w:type="dxa"/>
            <w:noWrap w:val="0"/>
            <w:vAlign w:val="center"/>
          </w:tcPr>
          <w:p w14:paraId="25E8DE9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64F3E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020" w:type="dxa"/>
            <w:noWrap w:val="0"/>
            <w:vAlign w:val="center"/>
          </w:tcPr>
          <w:p w14:paraId="13A7E25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497CC02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24" w:type="dxa"/>
            <w:noWrap w:val="0"/>
            <w:vAlign w:val="center"/>
          </w:tcPr>
          <w:p w14:paraId="230E47C3">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人工智能产业园B5厂房装修项目工程量清单及最高投标限价编制服务项目</w:t>
            </w:r>
          </w:p>
        </w:tc>
      </w:tr>
      <w:tr w14:paraId="7E18C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7BDC3FD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076C073A">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24" w:type="dxa"/>
            <w:noWrap w:val="0"/>
            <w:vAlign w:val="center"/>
          </w:tcPr>
          <w:p w14:paraId="29327E8C">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收到招标人提供的全套施工图后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个日历天内出具工程造价咨询报告初稿，中标人收到招标人最终答复后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个日历天内出具正式造价咨询报告并完成网上备案。</w:t>
            </w:r>
          </w:p>
        </w:tc>
      </w:tr>
      <w:tr w14:paraId="1CA3C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020" w:type="dxa"/>
            <w:noWrap w:val="0"/>
            <w:vAlign w:val="center"/>
          </w:tcPr>
          <w:p w14:paraId="1689B3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66546174">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24" w:type="dxa"/>
            <w:noWrap w:val="0"/>
            <w:vAlign w:val="center"/>
          </w:tcPr>
          <w:p w14:paraId="49BFE41F">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中新苏滁</w:t>
            </w:r>
            <w:r>
              <w:rPr>
                <w:rFonts w:hint="eastAsia" w:hAnsi="宋体" w:cs="宋体"/>
                <w:color w:val="auto"/>
                <w:sz w:val="21"/>
                <w:szCs w:val="21"/>
                <w:highlight w:val="none"/>
                <w:lang w:val="en-US" w:eastAsia="zh-CN"/>
              </w:rPr>
              <w:t>高新区内</w:t>
            </w:r>
          </w:p>
        </w:tc>
      </w:tr>
      <w:tr w14:paraId="0A4C2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20" w:type="dxa"/>
            <w:noWrap w:val="0"/>
            <w:vAlign w:val="center"/>
          </w:tcPr>
          <w:p w14:paraId="7266B7D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1CC5A0D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24" w:type="dxa"/>
            <w:noWrap w:val="0"/>
            <w:vAlign w:val="center"/>
          </w:tcPr>
          <w:p w14:paraId="2FEDBC9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李工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0550-302690</w:t>
            </w:r>
            <w:r>
              <w:rPr>
                <w:rFonts w:hint="eastAsia" w:hAnsi="宋体" w:cs="宋体"/>
                <w:color w:val="auto"/>
                <w:sz w:val="21"/>
                <w:szCs w:val="21"/>
                <w:highlight w:val="none"/>
                <w:lang w:val="en-US" w:eastAsia="zh-CN"/>
              </w:rPr>
              <w:t>0</w:t>
            </w:r>
          </w:p>
        </w:tc>
      </w:tr>
      <w:tr w14:paraId="53C8D2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20" w:type="dxa"/>
            <w:noWrap w:val="0"/>
            <w:vAlign w:val="center"/>
          </w:tcPr>
          <w:p w14:paraId="7C37C4F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7849B6B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24" w:type="dxa"/>
            <w:noWrap w:val="0"/>
            <w:vAlign w:val="center"/>
          </w:tcPr>
          <w:p w14:paraId="3EEC10F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联系人：杨韦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358A5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020" w:type="dxa"/>
            <w:noWrap w:val="0"/>
            <w:vAlign w:val="center"/>
          </w:tcPr>
          <w:p w14:paraId="5B535AE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356" w:type="dxa"/>
            <w:gridSpan w:val="2"/>
            <w:noWrap w:val="0"/>
            <w:vAlign w:val="center"/>
          </w:tcPr>
          <w:p w14:paraId="43474B4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824" w:type="dxa"/>
            <w:noWrap w:val="0"/>
            <w:vAlign w:val="center"/>
          </w:tcPr>
          <w:p w14:paraId="051DE1C6">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1825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20" w:type="dxa"/>
            <w:noWrap w:val="0"/>
            <w:vAlign w:val="center"/>
          </w:tcPr>
          <w:p w14:paraId="25FDD47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356" w:type="dxa"/>
            <w:gridSpan w:val="2"/>
            <w:noWrap w:val="0"/>
            <w:vAlign w:val="center"/>
          </w:tcPr>
          <w:p w14:paraId="587006A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24" w:type="dxa"/>
            <w:noWrap w:val="0"/>
            <w:vAlign w:val="center"/>
          </w:tcPr>
          <w:p w14:paraId="271872F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本项目建安费约2126.04万元，编制服务费约4.91万元</w:t>
            </w:r>
          </w:p>
        </w:tc>
      </w:tr>
      <w:tr w14:paraId="633F1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1C3159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356" w:type="dxa"/>
            <w:gridSpan w:val="2"/>
            <w:noWrap w:val="0"/>
            <w:vAlign w:val="center"/>
          </w:tcPr>
          <w:p w14:paraId="386764A9">
            <w:pPr>
              <w:pStyle w:val="17"/>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费率）</w:t>
            </w:r>
          </w:p>
        </w:tc>
        <w:tc>
          <w:tcPr>
            <w:tcW w:w="6824" w:type="dxa"/>
            <w:noWrap w:val="0"/>
            <w:vAlign w:val="center"/>
          </w:tcPr>
          <w:p w14:paraId="144BC83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本项目最高限价（费率）为</w:t>
            </w:r>
            <w:r>
              <w:rPr>
                <w:rFonts w:hint="eastAsia" w:hAnsi="宋体" w:cs="宋体"/>
                <w:color w:val="auto"/>
                <w:sz w:val="21"/>
                <w:szCs w:val="21"/>
                <w:highlight w:val="none"/>
                <w:lang w:val="en-US" w:eastAsia="zh-CN"/>
              </w:rPr>
              <w:t>2.31</w:t>
            </w:r>
            <w:r>
              <w:rPr>
                <w:rFonts w:hint="eastAsia" w:ascii="宋体" w:hAnsi="宋体" w:eastAsia="宋体" w:cs="宋体"/>
                <w:color w:val="auto"/>
                <w:sz w:val="21"/>
                <w:szCs w:val="21"/>
                <w:highlight w:val="none"/>
                <w:lang w:val="en-US" w:eastAsia="zh-CN"/>
              </w:rPr>
              <w:t>‰，投标报价均不得高于最高限价，否则将作为无效投标处理。</w:t>
            </w:r>
            <w:r>
              <w:rPr>
                <w:rFonts w:hint="eastAsia" w:hAnsi="宋体" w:cs="宋体"/>
                <w:color w:val="auto"/>
                <w:sz w:val="21"/>
                <w:szCs w:val="21"/>
                <w:highlight w:val="none"/>
                <w:lang w:val="en-US" w:eastAsia="zh-CN"/>
              </w:rPr>
              <w:t>报价‰前保留三位小数点，第四位四舍五入。</w:t>
            </w:r>
          </w:p>
          <w:p w14:paraId="1A8FFAC9">
            <w:pPr>
              <w:pStyle w:val="17"/>
              <w:keepNext w:val="0"/>
              <w:keepLines w:val="0"/>
              <w:pageBreakBefore w:val="0"/>
              <w:kinsoku/>
              <w:overflowPunct/>
              <w:topLinePunct w:val="0"/>
              <w:autoSpaceDE/>
              <w:autoSpaceDN/>
              <w:bidi w:val="0"/>
              <w:adjustRightInd/>
              <w:spacing w:line="500" w:lineRule="exact"/>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2.本项目编制服务费=（</w:t>
            </w:r>
            <w:r>
              <w:rPr>
                <w:rFonts w:hint="eastAsia" w:hAnsi="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施工中标价-暂列金额</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）×中标费率。项目结算时中标费率不予调整。</w:t>
            </w:r>
            <w:r>
              <w:rPr>
                <w:rFonts w:hint="eastAsia" w:hAnsi="宋体" w:cs="宋体"/>
                <w:color w:val="auto"/>
                <w:sz w:val="21"/>
                <w:szCs w:val="21"/>
                <w:highlight w:val="none"/>
                <w:lang w:val="en-US" w:eastAsia="zh-CN"/>
              </w:rPr>
              <w:t>本项目编制服务费</w:t>
            </w:r>
            <w:r>
              <w:rPr>
                <w:rFonts w:hint="eastAsia" w:hAnsi="宋体" w:cs="宋体"/>
                <w:color w:val="auto"/>
                <w:sz w:val="21"/>
                <w:szCs w:val="21"/>
                <w:highlight w:val="none"/>
                <w:lang w:val="en-US" w:eastAsia="zh-CN"/>
              </w:rPr>
              <w:t>用若超过4.91万元，以4.91万元计入。</w:t>
            </w:r>
          </w:p>
        </w:tc>
      </w:tr>
      <w:tr w14:paraId="60778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CA7CFB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356" w:type="dxa"/>
            <w:gridSpan w:val="2"/>
            <w:noWrap w:val="0"/>
            <w:vAlign w:val="center"/>
          </w:tcPr>
          <w:p w14:paraId="3F08F91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24" w:type="dxa"/>
            <w:noWrap w:val="0"/>
            <w:vAlign w:val="center"/>
          </w:tcPr>
          <w:p w14:paraId="313C1060">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依据招标人提供的全套设计施工图纸进行本项目的工程量清单及最高投标限价的编制，并完成网上备案工作，向招标人提交造价成果及最高限价备案表。</w:t>
            </w:r>
          </w:p>
          <w:p w14:paraId="25820C3D">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对本项目的最高投标限价提供清单交底相关服务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tc>
      </w:tr>
      <w:tr w14:paraId="7DCF0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1020" w:type="dxa"/>
            <w:noWrap w:val="0"/>
            <w:vAlign w:val="center"/>
          </w:tcPr>
          <w:p w14:paraId="1A0E67D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356" w:type="dxa"/>
            <w:gridSpan w:val="2"/>
            <w:noWrap w:val="0"/>
            <w:vAlign w:val="center"/>
          </w:tcPr>
          <w:p w14:paraId="56631A72">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24" w:type="dxa"/>
            <w:noWrap w:val="0"/>
            <w:vAlign w:val="center"/>
          </w:tcPr>
          <w:p w14:paraId="32FADC1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4FD90F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020" w:type="dxa"/>
            <w:noWrap w:val="0"/>
            <w:vAlign w:val="center"/>
          </w:tcPr>
          <w:p w14:paraId="3E46C7A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356" w:type="dxa"/>
            <w:gridSpan w:val="2"/>
            <w:noWrap w:val="0"/>
            <w:vAlign w:val="center"/>
          </w:tcPr>
          <w:p w14:paraId="5BAC495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24" w:type="dxa"/>
            <w:noWrap w:val="0"/>
            <w:vAlign w:val="center"/>
          </w:tcPr>
          <w:p w14:paraId="6BA5C1C0">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F01E7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020" w:type="dxa"/>
            <w:noWrap w:val="0"/>
            <w:vAlign w:val="center"/>
          </w:tcPr>
          <w:p w14:paraId="3E12EAF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56" w:type="dxa"/>
            <w:gridSpan w:val="2"/>
            <w:noWrap w:val="0"/>
            <w:vAlign w:val="center"/>
          </w:tcPr>
          <w:p w14:paraId="576874A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824" w:type="dxa"/>
            <w:noWrap w:val="0"/>
            <w:vAlign w:val="center"/>
          </w:tcPr>
          <w:p w14:paraId="1A8B0DFE">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20491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190AD7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356" w:type="dxa"/>
            <w:gridSpan w:val="2"/>
            <w:noWrap w:val="0"/>
            <w:vAlign w:val="center"/>
          </w:tcPr>
          <w:p w14:paraId="37EBE7D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24" w:type="dxa"/>
            <w:noWrap w:val="0"/>
            <w:vAlign w:val="center"/>
          </w:tcPr>
          <w:p w14:paraId="08DBD487">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70B87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1EECDC1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356" w:type="dxa"/>
            <w:gridSpan w:val="2"/>
            <w:noWrap w:val="0"/>
            <w:vAlign w:val="center"/>
          </w:tcPr>
          <w:p w14:paraId="25E7B32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24" w:type="dxa"/>
            <w:noWrap w:val="0"/>
            <w:vAlign w:val="center"/>
          </w:tcPr>
          <w:p w14:paraId="6F65784E">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EE0AE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1020" w:type="dxa"/>
            <w:noWrap w:val="0"/>
            <w:vAlign w:val="center"/>
          </w:tcPr>
          <w:p w14:paraId="6C5B4A3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356" w:type="dxa"/>
            <w:gridSpan w:val="2"/>
            <w:noWrap w:val="0"/>
            <w:vAlign w:val="center"/>
          </w:tcPr>
          <w:p w14:paraId="10D1D6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24" w:type="dxa"/>
            <w:noWrap w:val="0"/>
            <w:vAlign w:val="center"/>
          </w:tcPr>
          <w:p w14:paraId="3ECA2BC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3CDF02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1020" w:type="dxa"/>
            <w:noWrap w:val="0"/>
            <w:vAlign w:val="center"/>
          </w:tcPr>
          <w:p w14:paraId="701C422D">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356" w:type="dxa"/>
            <w:gridSpan w:val="2"/>
            <w:noWrap w:val="0"/>
            <w:vAlign w:val="center"/>
          </w:tcPr>
          <w:p w14:paraId="05BFC0F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24" w:type="dxa"/>
            <w:noWrap w:val="0"/>
            <w:vAlign w:val="center"/>
          </w:tcPr>
          <w:p w14:paraId="2A8F499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费用以实际发生费用为准。</w:t>
            </w:r>
          </w:p>
          <w:p w14:paraId="51FE684A">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14:paraId="2FF637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0D0EB9D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2356" w:type="dxa"/>
            <w:gridSpan w:val="2"/>
            <w:noWrap w:val="0"/>
            <w:vAlign w:val="center"/>
          </w:tcPr>
          <w:p w14:paraId="4925A65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24" w:type="dxa"/>
            <w:noWrap w:val="0"/>
            <w:vAlign w:val="center"/>
          </w:tcPr>
          <w:p w14:paraId="5393634A">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w:t>
            </w:r>
            <w:r>
              <w:rPr>
                <w:rFonts w:hint="eastAsia" w:ascii="宋体" w:hAnsi="宋体" w:cs="宋体"/>
                <w:color w:val="auto"/>
                <w:sz w:val="21"/>
                <w:szCs w:val="21"/>
                <w:highlight w:val="none"/>
                <w:lang w:val="en-US" w:eastAsia="zh-CN"/>
              </w:rPr>
              <w:t>中新苏滁高新技术产业开发区（https://scp.chuzhou.gov.cn/index.html）、滁州市城投工程咨询管理有限公司网站（https://www.czctgczx.com/）</w:t>
            </w:r>
            <w:r>
              <w:rPr>
                <w:rFonts w:hint="eastAsia" w:ascii="宋体" w:hAnsi="宋体" w:eastAsia="宋体" w:cs="宋体"/>
                <w:color w:val="auto"/>
                <w:sz w:val="21"/>
                <w:szCs w:val="21"/>
                <w:highlight w:val="none"/>
                <w:lang w:val="en-US" w:eastAsia="zh-CN"/>
              </w:rPr>
              <w:t>予以公布。</w:t>
            </w:r>
          </w:p>
        </w:tc>
      </w:tr>
      <w:tr w14:paraId="5281A2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46C8136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356" w:type="dxa"/>
            <w:gridSpan w:val="2"/>
            <w:noWrap w:val="0"/>
            <w:vAlign w:val="center"/>
          </w:tcPr>
          <w:p w14:paraId="1860036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24" w:type="dxa"/>
            <w:noWrap w:val="0"/>
            <w:vAlign w:val="center"/>
          </w:tcPr>
          <w:p w14:paraId="399376C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493B3B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4BC4FB0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356" w:type="dxa"/>
            <w:gridSpan w:val="2"/>
            <w:noWrap w:val="0"/>
            <w:vAlign w:val="center"/>
          </w:tcPr>
          <w:p w14:paraId="1051690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24" w:type="dxa"/>
            <w:noWrap w:val="0"/>
            <w:vAlign w:val="top"/>
          </w:tcPr>
          <w:p w14:paraId="3B55E0DA">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749D7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5" w:hRule="atLeast"/>
          <w:jc w:val="center"/>
        </w:trPr>
        <w:tc>
          <w:tcPr>
            <w:tcW w:w="1020" w:type="dxa"/>
            <w:noWrap w:val="0"/>
            <w:vAlign w:val="center"/>
          </w:tcPr>
          <w:p w14:paraId="673B3D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2356" w:type="dxa"/>
            <w:gridSpan w:val="2"/>
            <w:noWrap w:val="0"/>
            <w:vAlign w:val="center"/>
          </w:tcPr>
          <w:p w14:paraId="6A3448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hAnsi="宋体" w:cs="宋体"/>
                <w:color w:val="auto"/>
                <w:sz w:val="21"/>
                <w:szCs w:val="21"/>
                <w:highlight w:val="none"/>
                <w:lang w:val="en-US" w:eastAsia="zh-CN"/>
              </w:rPr>
              <w:t>份数</w:t>
            </w:r>
          </w:p>
        </w:tc>
        <w:tc>
          <w:tcPr>
            <w:tcW w:w="6824" w:type="dxa"/>
            <w:noWrap w:val="0"/>
            <w:vAlign w:val="center"/>
          </w:tcPr>
          <w:p w14:paraId="6147BFCA">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加密电子投标文件供应商应在投标截止时间前通过新点电子交易平台后在【滁州专区】</w:t>
            </w:r>
          </w:p>
          <w:p w14:paraId="3995E74C">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66A92907">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投标人中标</w:t>
            </w:r>
            <w:r>
              <w:rPr>
                <w:rFonts w:hint="eastAsia" w:ascii="宋体" w:hAnsi="宋体" w:eastAsia="宋体" w:cs="宋体"/>
                <w:color w:val="auto"/>
                <w:sz w:val="21"/>
                <w:szCs w:val="21"/>
                <w:highlight w:val="none"/>
                <w:lang w:val="en-US" w:eastAsia="zh-CN"/>
              </w:rPr>
              <w:t>后须递交与网上电子投标文件完全一致的纸质版</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文件，并按要求加盖单位章；份数：正本1份，副本1份；</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领取</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通知书时，一并递交给代理机构）</w:t>
            </w:r>
          </w:p>
        </w:tc>
      </w:tr>
      <w:tr w14:paraId="01707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5FEA48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2356" w:type="dxa"/>
            <w:gridSpan w:val="2"/>
            <w:noWrap w:val="0"/>
            <w:vAlign w:val="center"/>
          </w:tcPr>
          <w:p w14:paraId="63E3E5A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24" w:type="dxa"/>
            <w:noWrap w:val="0"/>
            <w:vAlign w:val="center"/>
          </w:tcPr>
          <w:p w14:paraId="3FC1CA67">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1EF6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020" w:type="dxa"/>
            <w:noWrap w:val="0"/>
            <w:vAlign w:val="center"/>
          </w:tcPr>
          <w:p w14:paraId="512EFE0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356" w:type="dxa"/>
            <w:gridSpan w:val="2"/>
            <w:noWrap w:val="0"/>
            <w:vAlign w:val="center"/>
          </w:tcPr>
          <w:p w14:paraId="0726E870">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投标文件提交截止时间</w:t>
            </w:r>
            <w:r>
              <w:rPr>
                <w:rFonts w:hint="eastAsia" w:ascii="宋体" w:hAnsi="宋体" w:cs="宋体"/>
                <w:color w:val="auto"/>
                <w:sz w:val="21"/>
                <w:szCs w:val="21"/>
                <w:highlight w:val="none"/>
                <w:lang w:val="en-US" w:eastAsia="zh-CN"/>
              </w:rPr>
              <w:t>及地点</w:t>
            </w:r>
          </w:p>
        </w:tc>
        <w:tc>
          <w:tcPr>
            <w:tcW w:w="6824" w:type="dxa"/>
            <w:noWrap w:val="0"/>
            <w:vAlign w:val="center"/>
          </w:tcPr>
          <w:p w14:paraId="6FE98E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26</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139084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地点：通过新点电子交易平台后在【滁州专区】（https://www.etrading.cn/BREpointSSO/login/oauth2login?regioncode=DQ_ChuZhou）交易系统递交加密电子投标文件。</w:t>
            </w:r>
          </w:p>
        </w:tc>
      </w:tr>
      <w:tr w14:paraId="66B28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20" w:type="dxa"/>
            <w:noWrap w:val="0"/>
            <w:vAlign w:val="center"/>
          </w:tcPr>
          <w:p w14:paraId="199D89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356" w:type="dxa"/>
            <w:gridSpan w:val="2"/>
            <w:noWrap w:val="0"/>
            <w:vAlign w:val="center"/>
          </w:tcPr>
          <w:p w14:paraId="75E01BD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824" w:type="dxa"/>
            <w:noWrap w:val="0"/>
            <w:vAlign w:val="center"/>
          </w:tcPr>
          <w:p w14:paraId="4CEA9BF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F3826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6F2EE86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2356" w:type="dxa"/>
            <w:gridSpan w:val="2"/>
            <w:noWrap w:val="0"/>
            <w:vAlign w:val="center"/>
          </w:tcPr>
          <w:p w14:paraId="4DF99F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824" w:type="dxa"/>
            <w:noWrap w:val="0"/>
            <w:vAlign w:val="center"/>
          </w:tcPr>
          <w:p w14:paraId="2E7E26E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4362D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77B4048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356" w:type="dxa"/>
            <w:gridSpan w:val="2"/>
            <w:noWrap w:val="0"/>
            <w:vAlign w:val="center"/>
          </w:tcPr>
          <w:p w14:paraId="1C2EA34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24" w:type="dxa"/>
            <w:noWrap w:val="0"/>
            <w:vAlign w:val="center"/>
          </w:tcPr>
          <w:p w14:paraId="612FECC3">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解密时间：解密程序开始后</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分钟内（以电子交易系统解密倒计时为准），解密时间为202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5</w:t>
            </w:r>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26</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00</w:t>
            </w:r>
            <w:r>
              <w:rPr>
                <w:rFonts w:hint="eastAsia" w:ascii="宋体" w:hAnsi="宋体" w:cs="宋体"/>
                <w:color w:val="auto"/>
                <w:spacing w:val="-4"/>
                <w:kern w:val="0"/>
                <w:szCs w:val="21"/>
                <w:highlight w:val="none"/>
              </w:rPr>
              <w:t>分至202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5</w:t>
            </w:r>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26</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w:t>
            </w:r>
          </w:p>
          <w:p w14:paraId="400808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lang w:val="en-US" w:eastAsia="zh-CN"/>
              </w:rPr>
              <w:t>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评审。</w:t>
            </w:r>
          </w:p>
        </w:tc>
      </w:tr>
      <w:tr w14:paraId="7EECF8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338EA4D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356" w:type="dxa"/>
            <w:gridSpan w:val="2"/>
            <w:noWrap w:val="0"/>
            <w:vAlign w:val="center"/>
          </w:tcPr>
          <w:p w14:paraId="5F1041A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24" w:type="dxa"/>
            <w:noWrap w:val="0"/>
            <w:vAlign w:val="top"/>
          </w:tcPr>
          <w:p w14:paraId="25283D63">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3664F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20" w:type="dxa"/>
            <w:noWrap w:val="0"/>
            <w:vAlign w:val="center"/>
          </w:tcPr>
          <w:p w14:paraId="39C113B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w:t>
            </w:r>
          </w:p>
        </w:tc>
        <w:tc>
          <w:tcPr>
            <w:tcW w:w="2356" w:type="dxa"/>
            <w:gridSpan w:val="2"/>
            <w:noWrap w:val="0"/>
            <w:vAlign w:val="center"/>
          </w:tcPr>
          <w:p w14:paraId="18DAF9A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24" w:type="dxa"/>
            <w:noWrap w:val="0"/>
            <w:vAlign w:val="center"/>
          </w:tcPr>
          <w:p w14:paraId="70B2677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5129A1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7AA5E14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2356" w:type="dxa"/>
            <w:gridSpan w:val="2"/>
            <w:noWrap w:val="0"/>
            <w:vAlign w:val="center"/>
          </w:tcPr>
          <w:p w14:paraId="54EDD3E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24" w:type="dxa"/>
            <w:noWrap w:val="0"/>
            <w:vAlign w:val="center"/>
          </w:tcPr>
          <w:p w14:paraId="7AB3A22F">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7E805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1020" w:type="dxa"/>
            <w:noWrap w:val="0"/>
            <w:vAlign w:val="center"/>
          </w:tcPr>
          <w:p w14:paraId="632D810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356" w:type="dxa"/>
            <w:gridSpan w:val="2"/>
            <w:noWrap w:val="0"/>
            <w:vAlign w:val="center"/>
          </w:tcPr>
          <w:p w14:paraId="2973429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24" w:type="dxa"/>
            <w:noWrap w:val="0"/>
            <w:vAlign w:val="center"/>
          </w:tcPr>
          <w:p w14:paraId="4CD25D4B">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11FB73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21B303E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2356" w:type="dxa"/>
            <w:gridSpan w:val="2"/>
            <w:noWrap w:val="0"/>
            <w:vAlign w:val="center"/>
          </w:tcPr>
          <w:p w14:paraId="135098F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24" w:type="dxa"/>
            <w:noWrap w:val="0"/>
            <w:vAlign w:val="center"/>
          </w:tcPr>
          <w:p w14:paraId="26E992C2">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如投标人对招标文件有质疑，可以于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时将疑问内容通过登录新点电子交易平台【滁州专区】线上提出异议。</w:t>
            </w:r>
            <w:r>
              <w:rPr>
                <w:rFonts w:hint="eastAsia" w:ascii="宋体" w:hAnsi="宋体" w:eastAsia="宋体" w:cs="宋体"/>
                <w:color w:val="auto"/>
                <w:sz w:val="21"/>
                <w:szCs w:val="21"/>
                <w:highlight w:val="none"/>
                <w:lang w:val="en-US" w:eastAsia="zh-CN"/>
              </w:rPr>
              <w:t xml:space="preserve">招标人不再集中召开招标答疑会；投标人自行组织勘察现场。  </w:t>
            </w:r>
          </w:p>
        </w:tc>
      </w:tr>
      <w:tr w14:paraId="59A01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08CBBC3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2356" w:type="dxa"/>
            <w:gridSpan w:val="2"/>
            <w:noWrap w:val="0"/>
            <w:vAlign w:val="center"/>
          </w:tcPr>
          <w:p w14:paraId="0940287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824" w:type="dxa"/>
            <w:noWrap w:val="0"/>
            <w:vAlign w:val="center"/>
          </w:tcPr>
          <w:p w14:paraId="257C5C58">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澄清的方式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5757C0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371" w:type="dxa"/>
            <w:gridSpan w:val="2"/>
            <w:noWrap w:val="0"/>
            <w:vAlign w:val="center"/>
          </w:tcPr>
          <w:p w14:paraId="66621BB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829" w:type="dxa"/>
            <w:gridSpan w:val="2"/>
            <w:noWrap w:val="0"/>
            <w:vAlign w:val="center"/>
          </w:tcPr>
          <w:p w14:paraId="1E91BF5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招标人</w:t>
            </w:r>
            <w:r>
              <w:rPr>
                <w:rFonts w:hint="eastAsia" w:ascii="Times New Roman" w:hAnsi="宋体" w:eastAsia="宋体" w:cs="宋体"/>
                <w:color w:val="auto"/>
                <w:sz w:val="21"/>
                <w:szCs w:val="21"/>
                <w:highlight w:val="none"/>
                <w:lang w:val="en-US" w:eastAsia="zh-CN"/>
              </w:rPr>
              <w:t>确定施工中标单位后，付至编制费用的70%，竣工验收合格后一次性付清余款。</w:t>
            </w:r>
          </w:p>
          <w:p w14:paraId="0C239EA8">
            <w:pPr>
              <w:pStyle w:val="28"/>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注：编制服务费=（施工中标价-暂列金额</w:t>
            </w:r>
            <w:r>
              <w:rPr>
                <w:rFonts w:hint="eastAsia" w:ascii="宋体" w:hAnsi="宋体" w:cs="宋体"/>
                <w:b/>
                <w:bCs/>
                <w:color w:val="auto"/>
                <w:sz w:val="21"/>
                <w:szCs w:val="21"/>
                <w:highlight w:val="none"/>
                <w:lang w:val="en-US" w:eastAsia="zh-CN"/>
              </w:rPr>
              <w:t>（含税）</w:t>
            </w:r>
            <w:r>
              <w:rPr>
                <w:rFonts w:hint="eastAsia" w:ascii="宋体" w:hAnsi="宋体" w:eastAsia="宋体" w:cs="宋体"/>
                <w:b/>
                <w:bCs/>
                <w:color w:val="auto"/>
                <w:sz w:val="21"/>
                <w:szCs w:val="21"/>
                <w:highlight w:val="none"/>
                <w:lang w:val="en-US" w:eastAsia="zh-CN"/>
              </w:rPr>
              <w:t>-暂估价（含税））×中标费率。项目结算时中标费率不予调整。</w:t>
            </w:r>
          </w:p>
        </w:tc>
      </w:tr>
      <w:tr w14:paraId="616707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2371" w:type="dxa"/>
            <w:gridSpan w:val="2"/>
            <w:noWrap w:val="0"/>
            <w:vAlign w:val="center"/>
          </w:tcPr>
          <w:p w14:paraId="292441FC">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bookmarkStart w:id="19" w:name="_Toc449028866"/>
            <w:bookmarkStart w:id="20" w:name="_Toc58430315"/>
            <w:r>
              <w:rPr>
                <w:rFonts w:hint="eastAsia" w:ascii="宋体" w:hAnsi="宋体" w:cs="宋体"/>
                <w:color w:val="auto"/>
                <w:sz w:val="21"/>
                <w:szCs w:val="21"/>
                <w:highlight w:val="none"/>
                <w:lang w:val="en-US" w:eastAsia="zh-CN"/>
              </w:rPr>
              <w:t>其他要求</w:t>
            </w:r>
          </w:p>
        </w:tc>
        <w:tc>
          <w:tcPr>
            <w:tcW w:w="7829" w:type="dxa"/>
            <w:gridSpan w:val="2"/>
            <w:noWrap w:val="0"/>
            <w:vAlign w:val="center"/>
          </w:tcPr>
          <w:p w14:paraId="3B499DA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1.中标人须为本项目预留足够人员并驻场服务，确保服务质量及不耽误项目建设进度。中标人中标后须按照招标人要求及时完成工程量清单及最高限价编制，并积极配合招标人开展工程的招投标工作。</w:t>
            </w:r>
          </w:p>
          <w:p w14:paraId="660182D4">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程量清单最高投标限价编制及复核过程中，中标人应与招标人充分及时沟通，及时踏勘项目现场，以使清单项目特征描述尽可能详尽,满足招标人要求。工程量清单最高投标限价编制及复核过程中须要常驻建设单位办公地点进行办公，如有一次项目负责人及编制人员不到场，项目负责人处以10000元/次违约金，其他人员每一次处以5000元违约金。</w:t>
            </w:r>
          </w:p>
          <w:p w14:paraId="3CC9B26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3.当完成工程量清单及最高投标限价编制及复核时，中标人根据自己的工作经验向招标人提出有关造价及工作管理等方面的建议性意见。</w:t>
            </w:r>
          </w:p>
          <w:p w14:paraId="6A420D58">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询价单里须有报价截图或加盖公章的报价单），咨询品牌不应少于3家。</w:t>
            </w:r>
          </w:p>
          <w:p w14:paraId="7AE0779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5.招标人安排的其他合理事项，中标人应予以配合完成；中标人有错、漏项的必须及时配合补充编制、复审。</w:t>
            </w:r>
          </w:p>
          <w:p w14:paraId="6FD669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6.根据招标人安排，通知中标单位项目负责人及编制人员到场开会，如有一次项目负责人及编制人员不到场，项目负责人处以10000元/次违约金，其他人员处以5000元</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lang w:val="en-US" w:eastAsia="zh-CN"/>
              </w:rPr>
              <w:t>违约金。</w:t>
            </w:r>
          </w:p>
          <w:p w14:paraId="5AEE75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7.本项目在实施过程中可能存在减少（或增加）导致的编制工作量减少（或增加）时，中标人须无条件配合工作。</w:t>
            </w:r>
          </w:p>
        </w:tc>
      </w:tr>
    </w:tbl>
    <w:p w14:paraId="367AAA42">
      <w:pPr>
        <w:pageBreakBefore/>
        <w:spacing w:before="312" w:beforeLines="100" w:after="312" w:afterLines="100" w:line="440" w:lineRule="exact"/>
        <w:jc w:val="center"/>
        <w:outlineLvl w:val="1"/>
        <w:rPr>
          <w:rFonts w:hint="eastAsia" w:ascii="宋体" w:hAnsi="宋体" w:cs="宋体"/>
          <w:b/>
          <w:color w:val="auto"/>
          <w:sz w:val="28"/>
          <w:szCs w:val="32"/>
          <w:highlight w:val="none"/>
        </w:rPr>
      </w:pPr>
      <w:r>
        <w:rPr>
          <w:rFonts w:hint="eastAsia" w:ascii="宋体" w:hAnsi="宋体" w:cs="宋体"/>
          <w:b/>
          <w:color w:val="auto"/>
          <w:sz w:val="28"/>
          <w:szCs w:val="28"/>
          <w:highlight w:val="none"/>
        </w:rPr>
        <w:t>二、投标人须知</w:t>
      </w:r>
      <w:bookmarkEnd w:id="19"/>
      <w:bookmarkEnd w:id="20"/>
    </w:p>
    <w:p w14:paraId="71C5E524">
      <w:pPr>
        <w:spacing w:line="440" w:lineRule="exact"/>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6751CB15">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2794C4BA">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5F0FC197">
      <w:pPr>
        <w:snapToGrid w:val="0"/>
        <w:spacing w:line="44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6C4DA563">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342C6A91">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14:paraId="357F27A4">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4992A507">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见投标人须知前附表。</w:t>
      </w:r>
    </w:p>
    <w:p w14:paraId="0C184FFA">
      <w:pPr>
        <w:snapToGrid w:val="0"/>
        <w:spacing w:line="44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 xml:space="preserve">  代理机构及联系人: 见投标人须知前附表。</w:t>
      </w:r>
    </w:p>
    <w:p w14:paraId="188B78C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313A93F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4DB87F7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72B7BF8">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983D489">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260899ED">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470692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6AB9D787">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62FC656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00F9DE79">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2CE3412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固定费率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76A9A77C">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4128FE8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综合评分法</w:t>
      </w:r>
      <w:r>
        <w:rPr>
          <w:rFonts w:hint="eastAsia" w:ascii="宋体" w:hAnsi="宋体" w:cs="宋体"/>
          <w:color w:val="auto"/>
          <w:szCs w:val="21"/>
          <w:highlight w:val="none"/>
        </w:rPr>
        <w:t>（详见第三章评标办法）</w:t>
      </w:r>
    </w:p>
    <w:p w14:paraId="2165EE83">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7691ED36">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6E10BC6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948CC2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2BCAF23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152045539"/>
      <w:bookmarkStart w:id="23" w:name="_Toc144974507"/>
      <w:bookmarkStart w:id="24" w:name="_Toc247527563"/>
      <w:bookmarkStart w:id="25" w:name="_Toc296602429"/>
      <w:bookmarkStart w:id="26" w:name="_Toc247513962"/>
      <w:bookmarkStart w:id="27" w:name="_Toc247592876"/>
      <w:bookmarkStart w:id="28" w:name="_Toc152042315"/>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75C9E8AA">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 xml:space="preserve">按投标人须知前附表规定的时间、地点组织投标人踏勘项目现场。 </w:t>
      </w:r>
    </w:p>
    <w:p w14:paraId="285F926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23FA28D6">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的原因外，投标人自行负责在踏勘现场中所发生的人员伤亡和财产损失。</w:t>
      </w:r>
    </w:p>
    <w:p w14:paraId="36C87362">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不对投标人据此作出的判断和决策负责。</w:t>
      </w:r>
      <w:bookmarkStart w:id="29" w:name="_Toc247592877"/>
      <w:bookmarkStart w:id="30" w:name="_Toc144974508"/>
      <w:bookmarkStart w:id="31" w:name="_Toc152042316"/>
      <w:bookmarkStart w:id="32" w:name="_Toc247527564"/>
      <w:bookmarkStart w:id="33" w:name="_Toc152045540"/>
      <w:bookmarkStart w:id="34" w:name="_Toc296602430"/>
      <w:bookmarkStart w:id="35" w:name="_Toc247513963"/>
    </w:p>
    <w:p w14:paraId="72301C1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51E551C">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10.1投标人须知前附表规定召开投标预备会的，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按投标人须知前附表规定的时间和地点召开投标预备会，澄清投标人提出的问题。</w:t>
      </w:r>
    </w:p>
    <w:p w14:paraId="1711C381">
      <w:pPr>
        <w:numPr>
          <w:ilvl w:val="0"/>
          <w:numId w:val="8"/>
        </w:num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5E4C1394">
      <w:pPr>
        <w:numPr>
          <w:ilvl w:val="0"/>
          <w:numId w:val="0"/>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11.1两个以上投标人可以组成一个投标联合体，以一个投标人的身份投标。以联合体形式参加投标的，联合体各方均应当符合《</w:t>
      </w:r>
      <w:r>
        <w:rPr>
          <w:rFonts w:hint="eastAsia" w:ascii="宋体" w:hAnsi="宋体" w:cs="宋体"/>
          <w:color w:val="auto"/>
          <w:highlight w:val="none"/>
        </w:rPr>
        <w:t>中华人民共和国政府采购法</w:t>
      </w:r>
      <w:r>
        <w:rPr>
          <w:rFonts w:hint="eastAsia" w:ascii="宋体" w:hAnsi="宋体" w:cs="宋体"/>
          <w:color w:val="auto"/>
          <w:szCs w:val="21"/>
          <w:highlight w:val="none"/>
        </w:rPr>
        <w:t>》第二十二条规定的条件。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规定的特定条件。</w:t>
      </w:r>
    </w:p>
    <w:p w14:paraId="4E3E8685">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。联合体各方签订共同投标协议后，不得再以自己名义单独在同一项目中投标，也不得组成新的联合体参加同一项目投标。</w:t>
      </w:r>
    </w:p>
    <w:p w14:paraId="4632889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11.3 联合体应当确定其中一个单位为投标的全权代表，负责参加投标的一切事务，并承担投标及履约中应承担的全部责任与义务。</w:t>
      </w:r>
    </w:p>
    <w:p w14:paraId="2B079823">
      <w:pPr>
        <w:spacing w:line="44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11.4 联合体各方应当共同与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签订采购合同，就采购合同约定的事项对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承担连带责任。</w:t>
      </w:r>
    </w:p>
    <w:p w14:paraId="0552FA5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11.5 联合体中有同类资质的供应商按照联合体分工承担相同工作的，应当按照资质等级较低的供应商确定资质等级。</w:t>
      </w:r>
    </w:p>
    <w:p w14:paraId="58FD39DE">
      <w:pPr>
        <w:pStyle w:val="34"/>
        <w:spacing w:after="0" w:line="440" w:lineRule="exact"/>
        <w:ind w:left="0" w:leftChars="0"/>
        <w:rPr>
          <w:rFonts w:hint="eastAsia" w:ascii="宋体" w:hAnsi="宋体" w:cs="宋体"/>
          <w:b/>
          <w:color w:val="auto"/>
          <w:szCs w:val="21"/>
          <w:highlight w:val="none"/>
        </w:rPr>
      </w:pPr>
      <w:r>
        <w:rPr>
          <w:rFonts w:hint="eastAsia" w:ascii="宋体" w:hAnsi="宋体" w:cs="宋体"/>
          <w:color w:val="auto"/>
          <w:szCs w:val="21"/>
          <w:highlight w:val="none"/>
        </w:rPr>
        <w:t>11.6 非专门面向中小企业采购项目是否允许大中型企业向一家或者多家小微企业分包见投标人须知前附表。</w:t>
      </w:r>
    </w:p>
    <w:p w14:paraId="73F505EE">
      <w:pPr>
        <w:spacing w:line="440" w:lineRule="exact"/>
        <w:ind w:firstLine="413" w:firstLineChars="196"/>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29DF70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1210020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2ECE2C1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06171C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和要求等必须</w:t>
      </w:r>
      <w:r>
        <w:rPr>
          <w:rFonts w:hint="eastAsia" w:ascii="宋体" w:hAnsi="宋体" w:cs="宋体"/>
          <w:color w:val="auto"/>
          <w:szCs w:val="21"/>
          <w:highlight w:val="none"/>
          <w:lang w:val="en-US" w:eastAsia="zh-CN"/>
        </w:rPr>
        <w:t>响应或优于</w:t>
      </w:r>
      <w:r>
        <w:rPr>
          <w:rFonts w:hint="eastAsia" w:ascii="宋体" w:hAnsi="宋体" w:cs="宋体"/>
          <w:color w:val="auto"/>
          <w:szCs w:val="21"/>
          <w:highlight w:val="none"/>
        </w:rPr>
        <w:t>招标文件的相关要求。</w:t>
      </w:r>
    </w:p>
    <w:p w14:paraId="50220D8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BBE4780">
      <w:pPr>
        <w:spacing w:line="440" w:lineRule="exact"/>
        <w:ind w:firstLine="417" w:firstLineChars="199"/>
        <w:jc w:val="left"/>
        <w:rPr>
          <w:rFonts w:hint="eastAsia" w:ascii="宋体" w:hAnsi="宋体" w:cs="宋体"/>
          <w:color w:val="auto"/>
          <w:szCs w:val="21"/>
          <w:highlight w:val="none"/>
        </w:rPr>
      </w:pPr>
      <w:r>
        <w:rPr>
          <w:rFonts w:hint="eastAsia" w:ascii="宋体" w:hAnsi="宋体" w:cs="宋体"/>
          <w:color w:val="auto"/>
          <w:szCs w:val="21"/>
          <w:highlight w:val="none"/>
        </w:rPr>
        <w:t>13.5 投标人被视为充分熟悉本招标项目所在地的与履行合同有关的各种情况，包括但不限于：</w:t>
      </w:r>
    </w:p>
    <w:p w14:paraId="3DCA8395">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35AE652D">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544402F9">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4F80E724">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709FD34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701428F5">
      <w:pPr>
        <w:spacing w:before="312" w:beforeLines="100" w:after="312" w:afterLines="100" w:line="440" w:lineRule="exact"/>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22B409E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22DC08B7">
      <w:pPr>
        <w:spacing w:line="440" w:lineRule="exact"/>
        <w:ind w:firstLine="420" w:firstLineChars="200"/>
        <w:rPr>
          <w:rFonts w:hint="eastAsia" w:ascii="宋体"/>
          <w:color w:val="auto"/>
          <w:spacing w:val="-2"/>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相关法律法规和规章及部、省、市级规范性文件的规定，编制本招标文件。</w:t>
      </w:r>
    </w:p>
    <w:p w14:paraId="025B44A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6E6227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58CAF91F">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A8A5114">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5BF394C0">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6C7325F0">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合同格式</w:t>
      </w:r>
    </w:p>
    <w:p w14:paraId="29C022FF">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p>
    <w:p w14:paraId="0E9C480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0A3D104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60DA9C6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投标人可以通过</w:t>
      </w:r>
      <w:r>
        <w:rPr>
          <w:rFonts w:hint="eastAsia" w:ascii="宋体" w:hAnsi="宋体" w:cs="宋体"/>
          <w:color w:val="auto"/>
          <w:szCs w:val="21"/>
          <w:highlight w:val="none"/>
          <w:lang w:val="en-US" w:eastAsia="zh-CN"/>
        </w:rPr>
        <w:t>电子邮箱</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，但不指明澄清问题的来源。如果澄清内容影响投标文件编制的，将相应延长投标截止时间。</w:t>
      </w:r>
    </w:p>
    <w:p w14:paraId="63F69C71">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619B55D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65BFCBEB">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招标文件的解释</w:t>
      </w:r>
    </w:p>
    <w:p w14:paraId="14C616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17.1</w:t>
      </w:r>
      <w:r>
        <w:rPr>
          <w:rFonts w:hint="eastAsia" w:ascii="宋体" w:hAnsi="宋体" w:cs="宋体"/>
          <w:color w:val="auto"/>
          <w:szCs w:val="21"/>
          <w:highlight w:val="none"/>
        </w:rPr>
        <w:t>构成本招标文件的各个组成文件应互为解释，互为说明；</w:t>
      </w:r>
    </w:p>
    <w:p w14:paraId="44DCD2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同一组成文件中就同一事项的规定或约定不一致的，以编排顺序在后者为准；</w:t>
      </w:r>
    </w:p>
    <w:p w14:paraId="7C663F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如有不明确或不一致，构成合同文件组成内容的，以合同文件约定内容为准，且以专用合同条款约定的合同文件优先顺序解释；</w:t>
      </w:r>
    </w:p>
    <w:p w14:paraId="24334E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37CB6FC">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 招标文件的发出</w:t>
      </w:r>
    </w:p>
    <w:p w14:paraId="3E48E06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.1招标文件、招标文件的澄清、修改、补充及招标答疑等均应</w:t>
      </w:r>
      <w:r>
        <w:rPr>
          <w:rFonts w:hint="eastAsia" w:ascii="宋体" w:hAnsi="宋体" w:cs="宋体"/>
          <w:color w:val="auto"/>
          <w:szCs w:val="21"/>
          <w:highlight w:val="none"/>
          <w:lang w:val="en-US" w:eastAsia="zh-CN"/>
        </w:rPr>
        <w:t>招标人确认</w:t>
      </w:r>
      <w:r>
        <w:rPr>
          <w:rFonts w:hint="eastAsia" w:ascii="宋体" w:hAnsi="宋体" w:cs="宋体"/>
          <w:color w:val="auto"/>
          <w:szCs w:val="21"/>
          <w:highlight w:val="none"/>
        </w:rPr>
        <w:t>后，方可发出。</w:t>
      </w:r>
    </w:p>
    <w:p w14:paraId="087E6BAC">
      <w:pPr>
        <w:spacing w:before="312" w:beforeLines="100" w:after="312" w:afterLines="100" w:line="440" w:lineRule="exact"/>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65D2CF94">
      <w:pPr>
        <w:spacing w:line="440" w:lineRule="exact"/>
        <w:ind w:firstLine="306" w:firstLineChars="145"/>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5666AB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1A721E07">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14:paraId="0EEAD9A7">
      <w:pPr>
        <w:spacing w:line="440" w:lineRule="exact"/>
        <w:ind w:firstLine="207" w:firstLineChars="98"/>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14:paraId="60580E6B">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14:paraId="1FCC55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14:paraId="1361D8CC">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14:paraId="1365148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14:paraId="5675E8F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投标文件应当对招标文件有关服务期限、投标有效期、质量要求、技术标准和要求、招标范围等实质性内容作出响应。</w:t>
      </w:r>
    </w:p>
    <w:p w14:paraId="71D12E53">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投标文件由投标人使用电子交易系统提供的“新点电子交易平台专用投标文件制作软件”制作生成。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4C4487C7">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76B1B23D">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投标人中标后须递交与网上电子响应文件完全一致的纸质版投标文件，在领取中标通知书时，一并递交给代理机构。</w:t>
      </w:r>
    </w:p>
    <w:p w14:paraId="65A30418">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0545F5F">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本项目采用费率报价</w:t>
      </w:r>
      <w:r>
        <w:rPr>
          <w:rFonts w:hint="eastAsia" w:ascii="宋体" w:hAnsi="宋体" w:cs="宋体"/>
          <w:color w:val="auto"/>
          <w:szCs w:val="21"/>
          <w:highlight w:val="none"/>
        </w:rPr>
        <w:t>。投标人的报价应含有服务（货物）、利润、税金、政策性文件规定及合同包含的所有风险、责任、义务等，即为完成招标文件要求的服务（货物）内容所包含的一切应有费用，</w:t>
      </w:r>
      <w:r>
        <w:rPr>
          <w:rFonts w:hint="eastAsia" w:ascii="宋体" w:hAnsi="宋体" w:cs="宋体"/>
          <w:color w:val="auto"/>
          <w:szCs w:val="21"/>
          <w:highlight w:val="none"/>
          <w:lang w:val="en-US" w:eastAsia="zh-CN"/>
        </w:rPr>
        <w:t>中标费率</w:t>
      </w:r>
      <w:r>
        <w:rPr>
          <w:rFonts w:hint="eastAsia" w:ascii="宋体" w:hAnsi="宋体" w:cs="宋体"/>
          <w:color w:val="auto"/>
          <w:szCs w:val="21"/>
          <w:highlight w:val="none"/>
        </w:rPr>
        <w:t>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自行考虑投标风险。</w:t>
      </w:r>
    </w:p>
    <w:p w14:paraId="4B5688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14:paraId="56263A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082C64E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4</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7AC7708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总投标价中不得包含招标文件要求以外的内容，否则，在评标时不予核减，但在授予合同时，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有权将这部分价格从其中标价格中扣除。</w:t>
      </w:r>
    </w:p>
    <w:p w14:paraId="31EE4337">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1B1907D">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0EB2C5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22.1投标有效期见投标人须知前附表。</w:t>
      </w:r>
    </w:p>
    <w:p w14:paraId="028F237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14:paraId="108AF3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1D034C2E">
      <w:pPr>
        <w:spacing w:line="440" w:lineRule="exact"/>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F2A595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23.1本项目不缴纳投标保证金。</w:t>
      </w:r>
    </w:p>
    <w:p w14:paraId="1724861B">
      <w:pPr>
        <w:spacing w:before="312" w:beforeLines="100" w:after="312" w:afterLines="100" w:line="440" w:lineRule="exact"/>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14:paraId="651B01A6">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24.投标文件的份数和签署</w:t>
      </w:r>
    </w:p>
    <w:p w14:paraId="1CCF219C">
      <w:pPr>
        <w:spacing w:line="440" w:lineRule="exact"/>
        <w:ind w:firstLine="420" w:firstLineChars="200"/>
        <w:rPr>
          <w:rFonts w:hint="eastAsia" w:ascii="宋体" w:hAnsi="宋体" w:cs="宋体"/>
          <w:color w:val="auto"/>
          <w:szCs w:val="21"/>
          <w:highlight w:val="none"/>
        </w:rPr>
      </w:pPr>
      <w:bookmarkStart w:id="39" w:name="_Toc449028871"/>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1投标人中标后须递交与网上电子投标文件完全一致的纸质版投标文件，并按要求加盖单位章；份数：正本1份，副本1份；中标人领取中标通知书时，一并递交给代理机构。</w:t>
      </w:r>
    </w:p>
    <w:p w14:paraId="3D7843B5">
      <w:pPr>
        <w:spacing w:line="440" w:lineRule="exact"/>
        <w:ind w:firstLine="312" w:firstLineChars="148"/>
        <w:jc w:val="left"/>
        <w:rPr>
          <w:rFonts w:hint="eastAsia" w:ascii="宋体" w:hAnsi="宋体" w:cs="宋体"/>
          <w:b/>
          <w:color w:val="auto"/>
          <w:szCs w:val="21"/>
          <w:highlight w:val="none"/>
        </w:rPr>
      </w:pPr>
      <w:r>
        <w:rPr>
          <w:rFonts w:hint="eastAsia" w:ascii="宋体" w:hAnsi="宋体" w:cs="宋体"/>
          <w:b/>
          <w:color w:val="auto"/>
          <w:szCs w:val="21"/>
          <w:highlight w:val="none"/>
        </w:rPr>
        <w:t>25.投标文件的提交</w:t>
      </w:r>
    </w:p>
    <w:p w14:paraId="0DEF7F48">
      <w:pPr>
        <w:spacing w:line="440" w:lineRule="exact"/>
        <w:ind w:firstLine="310" w:firstLineChars="148"/>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25.1投标人应在投标人须知前附表规定的投标递交时间内在网上递交投标文件。将加密投标文件上传至电子交易系统。未在递交时间内上传投标文件的，不予接收，投标将被拒绝。</w:t>
      </w:r>
    </w:p>
    <w:p w14:paraId="35B17B0B">
      <w:pPr>
        <w:spacing w:line="440" w:lineRule="exact"/>
        <w:ind w:firstLine="314" w:firstLineChars="149"/>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14:paraId="4D57C942">
      <w:pPr>
        <w:spacing w:line="440" w:lineRule="exact"/>
        <w:ind w:firstLine="310" w:firstLineChars="148"/>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eastAsia="宋体" w:cs="宋体"/>
          <w:b w:val="0"/>
          <w:bCs w:val="0"/>
          <w:color w:val="auto"/>
          <w:szCs w:val="21"/>
          <w:highlight w:val="none"/>
        </w:rPr>
        <w:t>在第一章“招标公告”规定的投标截止时间前，投标人可以自行从网上开评标系统撤回已递交的投标文件，并可修改后重新加密上传，开标时以开标截止时间前供应商最终上传的</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文件为准。</w:t>
      </w:r>
    </w:p>
    <w:p w14:paraId="13CF36C7">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1D9DFDEC">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27.开标</w:t>
      </w:r>
    </w:p>
    <w:p w14:paraId="3B1ADD3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463FECB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按招标公告中的开标时间和地点公开开标，并邀请所有投标人参加。</w:t>
      </w:r>
    </w:p>
    <w:p w14:paraId="7E09DECC">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5516DCCD">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highlight w:val="none"/>
          <w:lang w:eastAsia="zh-CN"/>
        </w:rPr>
        <w:t>招标人</w:t>
      </w:r>
      <w:r>
        <w:rPr>
          <w:rFonts w:hint="eastAsia" w:ascii="宋体" w:hAnsi="宋体" w:cs="宋体"/>
          <w:color w:val="auto"/>
          <w:highlight w:val="none"/>
        </w:rPr>
        <w:t>可以邀请相关监管部门参加</w:t>
      </w:r>
      <w:r>
        <w:rPr>
          <w:rFonts w:hint="eastAsia" w:ascii="宋体" w:hAnsi="宋体" w:cs="宋体"/>
          <w:color w:val="auto"/>
          <w:szCs w:val="21"/>
          <w:highlight w:val="none"/>
        </w:rPr>
        <w:t>。</w:t>
      </w:r>
    </w:p>
    <w:p w14:paraId="0062CDD2">
      <w:pPr>
        <w:adjustRightInd w:val="0"/>
        <w:snapToGrid w:val="0"/>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1B09DAD5">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7856B94A">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26C3C7B9">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2A0037D5">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（3）公布投标截止时间前，系统递交加密投标文件的投标人名称情况等； </w:t>
      </w:r>
    </w:p>
    <w:p w14:paraId="3BE49EB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5959A4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（5）公布投标人投标报价、质量目标、工期及其他内容，并记录在案；</w:t>
      </w:r>
    </w:p>
    <w:p w14:paraId="6A4D3C4C">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14:paraId="5146B014">
      <w:pPr>
        <w:spacing w:line="440" w:lineRule="exact"/>
        <w:ind w:right="-155" w:rightChars="-74"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 27.4开标疑义</w:t>
      </w:r>
    </w:p>
    <w:p w14:paraId="44028A3B">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投标人代表对开标过程和开标记录有疑义，以及认为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、采购代理机构相关工作人员有需要回避的情形的，应当场提出询问或者回避申请。</w:t>
      </w:r>
    </w:p>
    <w:p w14:paraId="7D67594E">
      <w:pPr>
        <w:spacing w:line="440" w:lineRule="exact"/>
        <w:ind w:firstLine="421"/>
        <w:jc w:val="left"/>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13810358">
      <w:pPr>
        <w:spacing w:line="420" w:lineRule="exact"/>
        <w:ind w:firstLine="420" w:firstLineChars="200"/>
        <w:jc w:val="left"/>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43ECA6">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7606EF8B">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DB4ABE1">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8B1484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EF40F9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3CE528A">
      <w:pPr>
        <w:spacing w:line="42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8EA169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6279A94D">
      <w:pPr>
        <w:spacing w:line="420" w:lineRule="exact"/>
        <w:ind w:firstLine="421"/>
        <w:jc w:val="left"/>
        <w:rPr>
          <w:rFonts w:hint="eastAsia" w:ascii="宋体"/>
          <w:b/>
          <w:color w:val="auto"/>
          <w:szCs w:val="21"/>
          <w:highlight w:val="none"/>
        </w:rPr>
      </w:pPr>
      <w:bookmarkStart w:id="40" w:name="_Toc449028873"/>
      <w:r>
        <w:rPr>
          <w:rFonts w:hint="eastAsia" w:ascii="宋体"/>
          <w:b/>
          <w:color w:val="auto"/>
          <w:szCs w:val="21"/>
          <w:highlight w:val="none"/>
          <w:lang w:val="en-US" w:eastAsia="zh-CN"/>
        </w:rPr>
        <w:t>29</w:t>
      </w:r>
      <w:r>
        <w:rPr>
          <w:rFonts w:hint="eastAsia" w:ascii="宋体"/>
          <w:b/>
          <w:color w:val="auto"/>
          <w:szCs w:val="21"/>
          <w:highlight w:val="none"/>
        </w:rPr>
        <w:t>.评标</w:t>
      </w:r>
    </w:p>
    <w:p w14:paraId="2071270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45C4A5A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14:paraId="0C07A47D">
      <w:pPr>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2336DC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.4投标文件的澄清</w:t>
      </w:r>
    </w:p>
    <w:p w14:paraId="6F0C216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.4.1在评标过程中，评标委员会认为需要，在</w:t>
      </w:r>
      <w:r>
        <w:rPr>
          <w:rFonts w:hint="eastAsia" w:ascii="宋体"/>
          <w:color w:val="auto"/>
          <w:szCs w:val="21"/>
          <w:highlight w:val="none"/>
          <w:lang w:val="en-US" w:eastAsia="zh-CN"/>
        </w:rPr>
        <w:t>招标人</w:t>
      </w:r>
      <w:r>
        <w:rPr>
          <w:rFonts w:hint="eastAsia" w:ascii="宋体"/>
          <w:color w:val="auto"/>
          <w:szCs w:val="21"/>
          <w:highlight w:val="none"/>
        </w:rPr>
        <w:t>的监督下，可要求投标人对投标文件中的有关问题进行澄清或提供补充说明及有关资料，投标人应做出书面答复。</w:t>
      </w:r>
    </w:p>
    <w:p w14:paraId="3AF1449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.4.2书面答复须经投标人法定代表人或其委托代理人签字或盖章，签字或盖章的书面答复将被视为投标文件的组成部分。</w:t>
      </w:r>
    </w:p>
    <w:p w14:paraId="4776B253">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57CD62B5">
      <w:pPr>
        <w:spacing w:line="42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7CF53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5F4FED1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98CCD7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（2）招标投标当事人对评标结果提出异议或者投诉，</w:t>
      </w:r>
      <w:r>
        <w:rPr>
          <w:rFonts w:hint="eastAsia" w:ascii="宋体"/>
          <w:color w:val="auto"/>
          <w:szCs w:val="21"/>
          <w:highlight w:val="none"/>
          <w:lang w:val="en-US" w:eastAsia="zh-CN"/>
        </w:rPr>
        <w:t>招标人</w:t>
      </w:r>
      <w:r>
        <w:rPr>
          <w:rFonts w:hint="eastAsia" w:ascii="宋体"/>
          <w:color w:val="auto"/>
          <w:szCs w:val="21"/>
          <w:highlight w:val="none"/>
        </w:rPr>
        <w:t>认为需要重新进行评标的，评标委员会成员应当按照</w:t>
      </w:r>
      <w:r>
        <w:rPr>
          <w:rFonts w:hint="eastAsia" w:ascii="宋体"/>
          <w:color w:val="auto"/>
          <w:szCs w:val="21"/>
          <w:highlight w:val="none"/>
          <w:lang w:val="en-US" w:eastAsia="zh-CN"/>
        </w:rPr>
        <w:t>招标人</w:t>
      </w:r>
      <w:r>
        <w:rPr>
          <w:rFonts w:hint="eastAsia" w:ascii="宋体"/>
          <w:color w:val="auto"/>
          <w:szCs w:val="21"/>
          <w:highlight w:val="none"/>
        </w:rPr>
        <w:t>要求重新评标。</w:t>
      </w:r>
    </w:p>
    <w:p w14:paraId="154DB6B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689BF34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671444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2B262BF">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AA034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7F5EC5AC">
      <w:pPr>
        <w:tabs>
          <w:tab w:val="left" w:pos="720"/>
        </w:tabs>
        <w:spacing w:line="420" w:lineRule="exact"/>
        <w:ind w:right="-313" w:rightChars="-149" w:firstLine="420" w:firstLineChars="200"/>
        <w:jc w:val="left"/>
        <w:rPr>
          <w:color w:val="auto"/>
          <w:highlight w:val="none"/>
        </w:rPr>
      </w:pPr>
      <w:r>
        <w:rPr>
          <w:rFonts w:hint="eastAsia" w:ascii="宋体"/>
          <w:color w:val="auto"/>
          <w:szCs w:val="21"/>
          <w:highlight w:val="none"/>
        </w:rPr>
        <w:t>招标人应将中标人的情况在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上予以公告，公告期为3日。投标人或其他利害关系人对评标结果有异议的，应在中标候选人公示期内提出。招标人将在收到异议之日起</w:t>
      </w:r>
      <w:r>
        <w:rPr>
          <w:rFonts w:hint="eastAsia" w:ascii="宋体"/>
          <w:color w:val="auto"/>
          <w:szCs w:val="21"/>
          <w:highlight w:val="none"/>
          <w:lang w:val="en-US" w:eastAsia="zh-CN"/>
        </w:rPr>
        <w:t>3</w:t>
      </w:r>
      <w:r>
        <w:rPr>
          <w:rFonts w:hint="eastAsia" w:ascii="宋体"/>
          <w:color w:val="auto"/>
          <w:szCs w:val="21"/>
          <w:highlight w:val="none"/>
        </w:rPr>
        <w:t>日内作出答复；作出答复前，将暂停招标投标活动。</w:t>
      </w:r>
    </w:p>
    <w:p w14:paraId="1285831F">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.定标</w:t>
      </w:r>
    </w:p>
    <w:p w14:paraId="485F0B1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 中标人的确定</w:t>
      </w:r>
    </w:p>
    <w:p w14:paraId="0D8141F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.1.1招标人确定</w:t>
      </w:r>
      <w:r>
        <w:rPr>
          <w:rFonts w:hint="eastAsia" w:ascii="宋体"/>
          <w:color w:val="auto"/>
          <w:szCs w:val="21"/>
          <w:highlight w:val="none"/>
          <w:lang w:val="en-US" w:eastAsia="zh-CN"/>
        </w:rPr>
        <w:t>排名第一的中标候选人为</w:t>
      </w:r>
      <w:r>
        <w:rPr>
          <w:rFonts w:hint="eastAsia" w:ascii="宋体"/>
          <w:color w:val="auto"/>
          <w:szCs w:val="21"/>
          <w:highlight w:val="none"/>
        </w:rPr>
        <w:t>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B847F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.1.2中标人确定后，招标人应将中标信息在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上公告。</w:t>
      </w:r>
    </w:p>
    <w:p w14:paraId="36630B2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 中标通知书</w:t>
      </w:r>
    </w:p>
    <w:p w14:paraId="3D955D1F">
      <w:pPr>
        <w:tabs>
          <w:tab w:val="left" w:pos="720"/>
        </w:tabs>
        <w:spacing w:line="420" w:lineRule="exact"/>
        <w:ind w:firstLine="420" w:firstLineChars="200"/>
        <w:jc w:val="left"/>
        <w:rPr>
          <w:rFonts w:hint="eastAsia" w:ascii="宋体"/>
          <w:color w:val="auto"/>
          <w:szCs w:val="21"/>
          <w:highlight w:val="none"/>
          <w:lang w:val="en-US" w:eastAsia="zh-CN"/>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.2.1招标人或代理机构应在中标人确定之日起2个工作日内，在</w:t>
      </w:r>
      <w:r>
        <w:rPr>
          <w:rFonts w:hint="eastAsia" w:ascii="宋体"/>
          <w:color w:val="auto"/>
          <w:szCs w:val="21"/>
          <w:highlight w:val="none"/>
          <w:lang w:val="en-US" w:eastAsia="zh-CN"/>
        </w:rPr>
        <w:t>中新苏滁高新技术产业开发区（https://scp.chuzhou.gov.cn/index.html）、</w:t>
      </w:r>
    </w:p>
    <w:p w14:paraId="20C30054">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滁州市城投工程咨询管理有限公司网站（https://www.czctgczx.com/）公告中标结果并同时向中标人发出中标通知书。</w:t>
      </w:r>
    </w:p>
    <w:p w14:paraId="3FEA5E8A">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.2.2中标通知书须加盖招标人、代理机构公章后，方可发出。</w:t>
      </w:r>
    </w:p>
    <w:p w14:paraId="27F2400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.2.3招标人将在发出中标通知书的同时，向未通过资格审查的投标人告知其未通过的原因。</w:t>
      </w:r>
    </w:p>
    <w:p w14:paraId="06B4880B">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.开评标异常情况处理</w:t>
      </w:r>
    </w:p>
    <w:p w14:paraId="21213BD7">
      <w:pPr>
        <w:spacing w:line="420" w:lineRule="exact"/>
        <w:ind w:firstLine="421"/>
        <w:jc w:val="left"/>
        <w:rPr>
          <w:rFonts w:hint="eastAsia" w:ascii="宋体"/>
          <w:b/>
          <w:bCs/>
          <w:color w:val="auto"/>
          <w:szCs w:val="21"/>
          <w:highlight w:val="none"/>
        </w:rPr>
      </w:pPr>
      <w:r>
        <w:rPr>
          <w:rFonts w:hint="eastAsia" w:ascii="宋体"/>
          <w:b/>
          <w:bCs/>
          <w:color w:val="auto"/>
          <w:kern w:val="10"/>
          <w:szCs w:val="21"/>
          <w:highlight w:val="none"/>
        </w:rPr>
        <w:t>3</w:t>
      </w:r>
      <w:r>
        <w:rPr>
          <w:rFonts w:hint="eastAsia" w:ascii="宋体"/>
          <w:b/>
          <w:bCs/>
          <w:color w:val="auto"/>
          <w:kern w:val="10"/>
          <w:szCs w:val="21"/>
          <w:highlight w:val="none"/>
          <w:lang w:val="en-US" w:eastAsia="zh-CN"/>
        </w:rPr>
        <w:t>1</w:t>
      </w:r>
      <w:r>
        <w:rPr>
          <w:rFonts w:hint="eastAsia" w:ascii="宋体"/>
          <w:b/>
          <w:bCs/>
          <w:color w:val="auto"/>
          <w:kern w:val="10"/>
          <w:szCs w:val="21"/>
          <w:highlight w:val="none"/>
        </w:rPr>
        <w:t>.1</w:t>
      </w:r>
      <w:r>
        <w:rPr>
          <w:rFonts w:hint="eastAsia" w:ascii="宋体"/>
          <w:b/>
          <w:bCs/>
          <w:color w:val="auto"/>
          <w:szCs w:val="21"/>
          <w:highlight w:val="none"/>
        </w:rPr>
        <w:t xml:space="preserve">重新招标 </w:t>
      </w:r>
    </w:p>
    <w:p w14:paraId="31A5D01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项目有下列情形之一的，招标人将重新招标：</w:t>
      </w:r>
    </w:p>
    <w:p w14:paraId="61AA2F3A">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04C25708">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5B0F175">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14:paraId="1EA8BFE1">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14:paraId="747198F9">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w:t>
      </w:r>
      <w:r>
        <w:rPr>
          <w:rFonts w:hint="eastAsia" w:ascii="宋体"/>
          <w:color w:val="auto"/>
          <w:kern w:val="10"/>
          <w:szCs w:val="21"/>
          <w:highlight w:val="none"/>
          <w:lang w:val="en-US" w:eastAsia="zh-CN"/>
        </w:rPr>
        <w:t>5</w:t>
      </w:r>
      <w:r>
        <w:rPr>
          <w:rFonts w:hint="eastAsia" w:ascii="宋体"/>
          <w:color w:val="auto"/>
          <w:kern w:val="10"/>
          <w:szCs w:val="21"/>
          <w:highlight w:val="none"/>
        </w:rPr>
        <w:t>)因重大变故，采购任务取消的。</w:t>
      </w:r>
    </w:p>
    <w:p w14:paraId="191876E3">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4884662A">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32.合同授予标准</w:t>
      </w:r>
    </w:p>
    <w:p w14:paraId="434236C3">
      <w:pPr>
        <w:adjustRightInd w:val="0"/>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32.1本招标项目的合同将授予按本投标须知第30条规定所确定的中标人。 </w:t>
      </w:r>
    </w:p>
    <w:p w14:paraId="635DC074">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33.合同协议书的签订</w:t>
      </w:r>
    </w:p>
    <w:p w14:paraId="4DB0191D">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给招标人造成的损失的，中标人还应当予以赔偿。</w:t>
      </w:r>
    </w:p>
    <w:p w14:paraId="5EC2A393">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33.2发出中标通知书后，招标人无正当理由拒签合同的，给中标人造成损失的，还应当赔偿损失。</w:t>
      </w:r>
    </w:p>
    <w:p w14:paraId="5D88ED25">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依法必须进行招标的项目，除中标人以外的其他投标人存在串通投标、弄虚作假、行贿情形且在评标过程中未被发现的，视为对中标结果没有造成实质性影响，招标人可以依法继续开展招标活动。</w:t>
      </w:r>
    </w:p>
    <w:p w14:paraId="288371C3">
      <w:pPr>
        <w:spacing w:line="440" w:lineRule="exac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559919D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3FA9EC0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2845F2C2">
      <w:pPr>
        <w:spacing w:before="312" w:beforeLines="100" w:after="312" w:afterLines="100" w:line="440" w:lineRule="exact"/>
        <w:jc w:val="center"/>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5090B799">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4C7F1D7A">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693F0AF3">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14:paraId="2542ABBD">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23CB9A1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39EC1424">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0510A183">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7E56DAA">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57AC920">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6F9FE4">
      <w:pPr>
        <w:spacing w:before="312" w:beforeLines="100" w:after="312" w:afterLines="100" w:line="440" w:lineRule="exact"/>
        <w:jc w:val="center"/>
        <w:rPr>
          <w:rFonts w:hint="eastAsia" w:ascii="宋体" w:hAnsi="宋体" w:eastAsia="宋体" w:cs="宋体"/>
          <w:b/>
          <w:color w:val="auto"/>
          <w:sz w:val="28"/>
          <w:szCs w:val="28"/>
          <w:highlight w:val="none"/>
          <w:lang w:eastAsia="zh-CN"/>
        </w:rPr>
      </w:pPr>
      <w:bookmarkStart w:id="43" w:name="_Toc449028875"/>
      <w:r>
        <w:rPr>
          <w:rFonts w:hint="eastAsia" w:ascii="宋体" w:hAnsi="宋体" w:eastAsia="宋体" w:cs="宋体"/>
          <w:b/>
          <w:color w:val="auto"/>
          <w:sz w:val="28"/>
          <w:szCs w:val="28"/>
          <w:highlight w:val="none"/>
        </w:rPr>
        <w:t>（八）</w:t>
      </w:r>
      <w:bookmarkEnd w:id="43"/>
      <w:r>
        <w:rPr>
          <w:rFonts w:hint="eastAsia" w:ascii="宋体" w:hAnsi="宋体" w:cs="宋体"/>
          <w:b/>
          <w:color w:val="auto"/>
          <w:sz w:val="28"/>
          <w:szCs w:val="28"/>
          <w:highlight w:val="none"/>
          <w:lang w:val="en-US" w:eastAsia="zh-CN"/>
        </w:rPr>
        <w:t>投诉</w:t>
      </w:r>
    </w:p>
    <w:p w14:paraId="539744AE">
      <w:pPr>
        <w:spacing w:line="440" w:lineRule="exact"/>
        <w:ind w:firstLine="314" w:firstLineChars="149"/>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39. </w:t>
      </w:r>
      <w:r>
        <w:rPr>
          <w:rFonts w:hint="eastAsia" w:ascii="宋体" w:hAnsi="宋体" w:cs="宋体"/>
          <w:b/>
          <w:color w:val="auto"/>
          <w:szCs w:val="21"/>
          <w:highlight w:val="none"/>
          <w:lang w:val="en-US" w:eastAsia="zh-CN"/>
        </w:rPr>
        <w:t>投诉</w:t>
      </w:r>
    </w:p>
    <w:p w14:paraId="1CA6CD96">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bookmarkStart w:id="44" w:name="_Toc58430316"/>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38576950">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.2投标人和其他利害关系人对招标文件、开标和评标结果事项投诉的，应当按照投标人须知的规定先向招标人提出异议。异议答复期间不计算在规定的期限内。</w:t>
      </w:r>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4"/>
    </w:p>
    <w:p w14:paraId="77B91577">
      <w:pPr>
        <w:spacing w:before="156" w:beforeLines="50" w:after="156" w:afterLines="50" w:line="440" w:lineRule="exact"/>
        <w:jc w:val="center"/>
        <w:outlineLvl w:val="1"/>
        <w:rPr>
          <w:rFonts w:hint="eastAsia" w:ascii="宋体"/>
          <w:b/>
          <w:color w:val="auto"/>
          <w:sz w:val="28"/>
          <w:szCs w:val="28"/>
          <w:highlight w:val="none"/>
        </w:rPr>
      </w:pPr>
      <w:bookmarkStart w:id="45" w:name="_Toc449028877"/>
      <w:bookmarkStart w:id="46" w:name="_Toc362983801"/>
      <w:bookmarkStart w:id="47" w:name="_Toc58430317"/>
      <w:bookmarkStart w:id="48" w:name="_Toc267320058"/>
      <w:bookmarkStart w:id="49" w:name="_Toc363135205"/>
      <w:r>
        <w:rPr>
          <w:rFonts w:hint="eastAsia" w:ascii="宋体"/>
          <w:b/>
          <w:color w:val="auto"/>
          <w:sz w:val="28"/>
          <w:szCs w:val="28"/>
          <w:highlight w:val="none"/>
        </w:rPr>
        <w:t>一、总则</w:t>
      </w:r>
      <w:bookmarkEnd w:id="45"/>
      <w:bookmarkEnd w:id="46"/>
      <w:bookmarkEnd w:id="47"/>
    </w:p>
    <w:p w14:paraId="4DA06D06">
      <w:pPr>
        <w:spacing w:line="440" w:lineRule="exact"/>
        <w:ind w:firstLine="316" w:firstLineChars="150"/>
        <w:jc w:val="left"/>
        <w:rPr>
          <w:rFonts w:hint="eastAsia" w:ascii="宋体"/>
          <w:b/>
          <w:color w:val="auto"/>
          <w:szCs w:val="21"/>
          <w:highlight w:val="none"/>
        </w:rPr>
      </w:pPr>
      <w:bookmarkStart w:id="50" w:name="_Toc449028878"/>
      <w:bookmarkStart w:id="51" w:name="_Toc362983802"/>
      <w:bookmarkStart w:id="52" w:name="_Toc58430318"/>
      <w:r>
        <w:rPr>
          <w:rFonts w:hint="eastAsia" w:ascii="宋体"/>
          <w:b/>
          <w:color w:val="auto"/>
          <w:szCs w:val="21"/>
          <w:highlight w:val="none"/>
        </w:rPr>
        <w:t xml:space="preserve"> 1. 本次评标采用综合评分法</w:t>
      </w:r>
    </w:p>
    <w:p w14:paraId="5DD2B3C0">
      <w:pPr>
        <w:spacing w:line="440" w:lineRule="exact"/>
        <w:ind w:firstLine="420" w:firstLineChars="200"/>
        <w:jc w:val="left"/>
        <w:rPr>
          <w:rFonts w:hint="eastAsia"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0594B1C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1.2综合评分法一般适用于较为复杂、评价指标难以量化且价格为非主要因素的非标准定制商品和非通用服务项目的项目评审。</w:t>
      </w:r>
    </w:p>
    <w:p w14:paraId="7C53964E">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26AB7B8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2.1投标文件的初审</w:t>
      </w:r>
    </w:p>
    <w:p w14:paraId="0CD1CC5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2.2投标文件的澄清</w:t>
      </w:r>
    </w:p>
    <w:p w14:paraId="5665DDD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2.3比较与评价</w:t>
      </w:r>
    </w:p>
    <w:p w14:paraId="5BD7217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2.4推荐中标候选人名单</w:t>
      </w:r>
    </w:p>
    <w:p w14:paraId="110BD1D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spacing w:line="440" w:lineRule="exact"/>
        <w:ind w:firstLine="420" w:firstLineChars="200"/>
        <w:jc w:val="left"/>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jc w:val="center"/>
        <w:outlineLvl w:val="1"/>
        <w:rPr>
          <w:rFonts w:hint="eastAsia" w:ascii="宋体"/>
          <w:b/>
          <w:color w:val="auto"/>
          <w:sz w:val="28"/>
          <w:szCs w:val="28"/>
          <w:highlight w:val="none"/>
        </w:rPr>
      </w:pPr>
      <w:r>
        <w:rPr>
          <w:rFonts w:hint="eastAsia" w:ascii="宋体"/>
          <w:b/>
          <w:color w:val="auto"/>
          <w:sz w:val="28"/>
          <w:szCs w:val="28"/>
          <w:highlight w:val="none"/>
        </w:rPr>
        <w:t>二、投标文件初审</w:t>
      </w:r>
      <w:bookmarkEnd w:id="50"/>
      <w:bookmarkEnd w:id="51"/>
      <w:bookmarkEnd w:id="52"/>
    </w:p>
    <w:p w14:paraId="51BB9995">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3368"/>
        <w:gridCol w:w="4492"/>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734" w:type="dxa"/>
            <w:gridSpan w:val="2"/>
            <w:noWrap w:val="0"/>
            <w:vAlign w:val="center"/>
          </w:tcPr>
          <w:p w14:paraId="317DFDD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14:paraId="12EF048E">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14:paraId="308A1E8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14:paraId="4B0BE00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16220CB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6" w:type="dxa"/>
            <w:vMerge w:val="restart"/>
            <w:noWrap w:val="0"/>
            <w:vAlign w:val="center"/>
          </w:tcPr>
          <w:p w14:paraId="4C55880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14:paraId="0F7F305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4492" w:type="dxa"/>
            <w:noWrap w:val="0"/>
            <w:vAlign w:val="center"/>
          </w:tcPr>
          <w:p w14:paraId="041A0B6D">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70F38C35">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w:t>
            </w:r>
          </w:p>
        </w:tc>
      </w:tr>
      <w:tr w14:paraId="7D0D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continue"/>
            <w:noWrap w:val="0"/>
            <w:vAlign w:val="center"/>
          </w:tcPr>
          <w:p w14:paraId="300C4B1D">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26F174B5">
            <w:pPr>
              <w:spacing w:line="440" w:lineRule="exact"/>
              <w:rPr>
                <w:rFonts w:hint="eastAsia" w:ascii="宋体" w:hAnsi="宋体" w:cs="宋体"/>
                <w:color w:val="auto"/>
                <w:szCs w:val="21"/>
                <w:highlight w:val="none"/>
              </w:rPr>
            </w:pPr>
          </w:p>
        </w:tc>
        <w:tc>
          <w:tcPr>
            <w:tcW w:w="3368" w:type="dxa"/>
            <w:noWrap w:val="0"/>
            <w:vAlign w:val="center"/>
          </w:tcPr>
          <w:p w14:paraId="7D2C227A">
            <w:pPr>
              <w:spacing w:line="500" w:lineRule="exact"/>
              <w:jc w:val="left"/>
              <w:rPr>
                <w:rFonts w:hint="eastAsia" w:ascii="宋体" w:hAnsi="宋体" w:cs="宋体"/>
                <w:color w:val="auto"/>
                <w:szCs w:val="21"/>
                <w:highlight w:val="none"/>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tc>
        <w:tc>
          <w:tcPr>
            <w:tcW w:w="4492" w:type="dxa"/>
            <w:noWrap w:val="0"/>
            <w:vAlign w:val="center"/>
          </w:tcPr>
          <w:p w14:paraId="084AF5EA">
            <w:pPr>
              <w:spacing w:line="440" w:lineRule="exact"/>
              <w:rPr>
                <w:rFonts w:hint="eastAsia" w:ascii="宋体"/>
                <w:color w:val="auto"/>
                <w:szCs w:val="21"/>
                <w:highlight w:val="none"/>
                <w:lang w:val="en-US" w:eastAsia="zh-CN"/>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2F4F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continue"/>
            <w:noWrap w:val="0"/>
            <w:vAlign w:val="center"/>
          </w:tcPr>
          <w:p w14:paraId="79701A2E">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17333C13">
            <w:pPr>
              <w:spacing w:line="440" w:lineRule="exact"/>
              <w:rPr>
                <w:rFonts w:hint="eastAsia" w:ascii="宋体" w:hAnsi="宋体" w:cs="宋体"/>
                <w:color w:val="auto"/>
                <w:szCs w:val="21"/>
                <w:highlight w:val="none"/>
              </w:rPr>
            </w:pPr>
          </w:p>
        </w:tc>
        <w:tc>
          <w:tcPr>
            <w:tcW w:w="3368" w:type="dxa"/>
            <w:noWrap w:val="0"/>
            <w:vAlign w:val="center"/>
          </w:tcPr>
          <w:p w14:paraId="1715D55D">
            <w:pPr>
              <w:spacing w:line="500" w:lineRule="exact"/>
              <w:jc w:val="left"/>
              <w:rPr>
                <w:rFonts w:hint="eastAsia" w:ascii="宋体" w:hAnsi="宋体" w:cs="宋体"/>
                <w:color w:val="auto"/>
                <w:szCs w:val="21"/>
                <w:highlight w:val="none"/>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tc>
        <w:tc>
          <w:tcPr>
            <w:tcW w:w="4492" w:type="dxa"/>
            <w:noWrap w:val="0"/>
            <w:vAlign w:val="center"/>
          </w:tcPr>
          <w:p w14:paraId="09CAF989">
            <w:pPr>
              <w:spacing w:line="440" w:lineRule="exact"/>
              <w:rPr>
                <w:rFonts w:hint="eastAsia" w:ascii="宋体"/>
                <w:color w:val="auto"/>
                <w:szCs w:val="21"/>
                <w:highlight w:val="none"/>
                <w:lang w:val="en-US" w:eastAsia="zh-CN"/>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69DC65DE">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788A23E8">
            <w:pPr>
              <w:spacing w:line="440" w:lineRule="exact"/>
              <w:rPr>
                <w:rFonts w:hint="eastAsia" w:ascii="宋体" w:hAnsi="宋体" w:cs="宋体"/>
                <w:color w:val="auto"/>
                <w:szCs w:val="21"/>
                <w:highlight w:val="none"/>
              </w:rPr>
            </w:pPr>
          </w:p>
        </w:tc>
        <w:tc>
          <w:tcPr>
            <w:tcW w:w="3368" w:type="dxa"/>
            <w:noWrap w:val="0"/>
            <w:vAlign w:val="top"/>
          </w:tcPr>
          <w:p w14:paraId="60066964">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）诚信投标承诺书</w:t>
            </w:r>
          </w:p>
        </w:tc>
        <w:tc>
          <w:tcPr>
            <w:tcW w:w="4492" w:type="dxa"/>
            <w:noWrap w:val="0"/>
            <w:vAlign w:val="top"/>
          </w:tcPr>
          <w:p w14:paraId="3EDC332C">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bl>
    <w:p w14:paraId="4BC832D8">
      <w:pPr>
        <w:spacing w:line="440" w:lineRule="exact"/>
        <w:ind w:firstLine="508" w:firstLineChars="241"/>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spacing w:line="440" w:lineRule="exact"/>
              <w:rPr>
                <w:rFonts w:hint="eastAsia" w:ascii="宋体" w:hAnsi="宋体" w:cs="宋体"/>
                <w:color w:val="auto"/>
                <w:szCs w:val="21"/>
                <w:highlight w:val="none"/>
              </w:rPr>
            </w:pPr>
          </w:p>
        </w:tc>
        <w:tc>
          <w:tcPr>
            <w:tcW w:w="1204" w:type="dxa"/>
            <w:vMerge w:val="continue"/>
            <w:noWrap w:val="0"/>
            <w:vAlign w:val="center"/>
          </w:tcPr>
          <w:p w14:paraId="14A50888">
            <w:pPr>
              <w:spacing w:line="440" w:lineRule="exact"/>
              <w:rPr>
                <w:rFonts w:hint="eastAsia" w:ascii="宋体" w:hAnsi="宋体" w:cs="宋体"/>
                <w:color w:val="auto"/>
                <w:szCs w:val="21"/>
                <w:highlight w:val="none"/>
              </w:rPr>
            </w:pPr>
          </w:p>
        </w:tc>
        <w:tc>
          <w:tcPr>
            <w:tcW w:w="2931" w:type="dxa"/>
            <w:noWrap w:val="0"/>
            <w:vAlign w:val="center"/>
          </w:tcPr>
          <w:p w14:paraId="0999086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spacing w:line="440" w:lineRule="exact"/>
              <w:rPr>
                <w:rFonts w:hint="eastAsia" w:ascii="宋体" w:hAnsi="宋体" w:cs="宋体"/>
                <w:color w:val="auto"/>
                <w:szCs w:val="21"/>
                <w:highlight w:val="none"/>
              </w:rPr>
            </w:pPr>
          </w:p>
        </w:tc>
        <w:tc>
          <w:tcPr>
            <w:tcW w:w="1204" w:type="dxa"/>
            <w:vMerge w:val="continue"/>
            <w:noWrap w:val="0"/>
            <w:vAlign w:val="center"/>
          </w:tcPr>
          <w:p w14:paraId="06E85D35">
            <w:pPr>
              <w:spacing w:line="440" w:lineRule="exact"/>
              <w:rPr>
                <w:rFonts w:hint="eastAsia" w:ascii="宋体" w:hAnsi="宋体" w:cs="宋体"/>
                <w:color w:val="auto"/>
                <w:szCs w:val="21"/>
                <w:highlight w:val="none"/>
              </w:rPr>
            </w:pPr>
          </w:p>
        </w:tc>
        <w:tc>
          <w:tcPr>
            <w:tcW w:w="2931" w:type="dxa"/>
            <w:noWrap w:val="0"/>
            <w:vAlign w:val="center"/>
          </w:tcPr>
          <w:p w14:paraId="26DCF9F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spacing w:line="440" w:lineRule="exact"/>
              <w:rPr>
                <w:rFonts w:hint="eastAsia" w:ascii="宋体" w:hAnsi="宋体" w:cs="宋体"/>
                <w:color w:val="auto"/>
                <w:szCs w:val="21"/>
                <w:highlight w:val="none"/>
              </w:rPr>
            </w:pPr>
          </w:p>
        </w:tc>
        <w:tc>
          <w:tcPr>
            <w:tcW w:w="1204" w:type="dxa"/>
            <w:vMerge w:val="continue"/>
            <w:noWrap w:val="0"/>
            <w:vAlign w:val="center"/>
          </w:tcPr>
          <w:p w14:paraId="5F181361">
            <w:pPr>
              <w:spacing w:line="440" w:lineRule="exact"/>
              <w:rPr>
                <w:rFonts w:hint="eastAsia" w:ascii="宋体" w:hAnsi="宋体" w:cs="宋体"/>
                <w:color w:val="auto"/>
                <w:szCs w:val="21"/>
                <w:highlight w:val="none"/>
              </w:rPr>
            </w:pPr>
          </w:p>
        </w:tc>
        <w:tc>
          <w:tcPr>
            <w:tcW w:w="2931" w:type="dxa"/>
            <w:noWrap w:val="0"/>
            <w:vAlign w:val="center"/>
          </w:tcPr>
          <w:p w14:paraId="4F2754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网上递交一份</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spacing w:line="440" w:lineRule="exact"/>
              <w:rPr>
                <w:rFonts w:hint="eastAsia" w:ascii="宋体" w:hAnsi="宋体" w:cs="宋体"/>
                <w:color w:val="auto"/>
                <w:szCs w:val="21"/>
                <w:highlight w:val="none"/>
              </w:rPr>
            </w:pPr>
          </w:p>
        </w:tc>
        <w:tc>
          <w:tcPr>
            <w:tcW w:w="1204" w:type="dxa"/>
            <w:vMerge w:val="continue"/>
            <w:noWrap w:val="0"/>
            <w:vAlign w:val="center"/>
          </w:tcPr>
          <w:p w14:paraId="6A942C3C">
            <w:pPr>
              <w:spacing w:line="440" w:lineRule="exact"/>
              <w:rPr>
                <w:rFonts w:hint="eastAsia" w:ascii="宋体" w:hAnsi="宋体" w:cs="宋体"/>
                <w:color w:val="auto"/>
                <w:szCs w:val="21"/>
                <w:highlight w:val="none"/>
              </w:rPr>
            </w:pPr>
          </w:p>
        </w:tc>
        <w:tc>
          <w:tcPr>
            <w:tcW w:w="2931" w:type="dxa"/>
            <w:noWrap w:val="0"/>
            <w:vAlign w:val="center"/>
          </w:tcPr>
          <w:p w14:paraId="6F3AA6E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spacing w:line="440" w:lineRule="exact"/>
              <w:rPr>
                <w:rFonts w:hint="eastAsia" w:ascii="宋体" w:hAnsi="宋体" w:cs="宋体"/>
                <w:color w:val="auto"/>
                <w:szCs w:val="21"/>
                <w:highlight w:val="none"/>
              </w:rPr>
            </w:pPr>
          </w:p>
        </w:tc>
        <w:tc>
          <w:tcPr>
            <w:tcW w:w="1204" w:type="dxa"/>
            <w:vMerge w:val="continue"/>
            <w:noWrap w:val="0"/>
            <w:vAlign w:val="center"/>
          </w:tcPr>
          <w:p w14:paraId="6258B2F9">
            <w:pPr>
              <w:spacing w:line="440" w:lineRule="exact"/>
              <w:rPr>
                <w:rFonts w:hint="eastAsia" w:ascii="宋体" w:hAnsi="宋体" w:cs="宋体"/>
                <w:color w:val="auto"/>
                <w:szCs w:val="21"/>
                <w:highlight w:val="none"/>
              </w:rPr>
            </w:pPr>
          </w:p>
        </w:tc>
        <w:tc>
          <w:tcPr>
            <w:tcW w:w="2931" w:type="dxa"/>
            <w:noWrap w:val="0"/>
            <w:vAlign w:val="center"/>
          </w:tcPr>
          <w:p w14:paraId="5998BA8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jc w:val="center"/>
        <w:outlineLvl w:val="1"/>
        <w:rPr>
          <w:rFonts w:hint="eastAsia" w:ascii="宋体" w:hAnsi="Times New Roman" w:eastAsia="宋体" w:cs="Times New Roman"/>
          <w:b/>
          <w:color w:val="auto"/>
          <w:sz w:val="28"/>
          <w:szCs w:val="28"/>
          <w:highlight w:val="none"/>
        </w:rPr>
      </w:pPr>
      <w:bookmarkStart w:id="53" w:name="_Toc58430319"/>
      <w:bookmarkStart w:id="54" w:name="_Toc449028879"/>
      <w:bookmarkStart w:id="55" w:name="_Toc362983803"/>
      <w:r>
        <w:rPr>
          <w:rFonts w:hint="eastAsia" w:ascii="宋体" w:hAnsi="Times New Roman" w:eastAsia="宋体" w:cs="Times New Roman"/>
          <w:b/>
          <w:color w:val="auto"/>
          <w:sz w:val="28"/>
          <w:szCs w:val="28"/>
          <w:highlight w:val="none"/>
        </w:rPr>
        <w:t>三、投标文件的澄清和补正</w:t>
      </w:r>
      <w:bookmarkEnd w:id="53"/>
      <w:bookmarkEnd w:id="54"/>
      <w:bookmarkEnd w:id="55"/>
    </w:p>
    <w:p w14:paraId="3228516B">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4125A76F">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spacing w:line="440" w:lineRule="exact"/>
        <w:ind w:firstLine="403" w:firstLineChars="192"/>
        <w:jc w:val="left"/>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56" w:name="_Toc449028880"/>
      <w:bookmarkStart w:id="57" w:name="_Toc58430320"/>
    </w:p>
    <w:p w14:paraId="4E078817">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56"/>
      <w:bookmarkEnd w:id="57"/>
    </w:p>
    <w:p w14:paraId="117055AF">
      <w:pPr>
        <w:spacing w:line="440" w:lineRule="exact"/>
        <w:ind w:right="36" w:rightChars="17" w:firstLine="417" w:firstLineChars="198"/>
        <w:jc w:val="left"/>
        <w:rPr>
          <w:rFonts w:ascii="宋体" w:hAnsi="宋体" w:cs="宋体"/>
          <w:b/>
          <w:color w:val="auto"/>
          <w:szCs w:val="21"/>
          <w:highlight w:val="none"/>
        </w:rPr>
      </w:pPr>
      <w:r>
        <w:rPr>
          <w:rFonts w:hint="eastAsia" w:ascii="宋体" w:hAnsi="宋体" w:eastAsia="宋体" w:cs="宋体"/>
          <w:b/>
          <w:color w:val="auto"/>
          <w:sz w:val="21"/>
          <w:szCs w:val="21"/>
          <w:highlight w:val="none"/>
        </w:rPr>
        <w:t xml:space="preserve"> </w:t>
      </w:r>
      <w:bookmarkStart w:id="58" w:name="_Toc362983805"/>
      <w:bookmarkStart w:id="59" w:name="_Toc449028881"/>
      <w:r>
        <w:rPr>
          <w:rFonts w:hint="eastAsia" w:ascii="宋体" w:hAnsi="宋体" w:cs="宋体"/>
          <w:b/>
          <w:color w:val="auto"/>
          <w:szCs w:val="21"/>
          <w:highlight w:val="none"/>
        </w:rPr>
        <w:t>6.详细评审即按招标文件中规定的评标方法和标准，评标委员会将对通过初审的投标文件，进行综合比较与评价。</w:t>
      </w:r>
    </w:p>
    <w:tbl>
      <w:tblPr>
        <w:tblStyle w:val="35"/>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11A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2984BB7B">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bookmarkStart w:id="60" w:name="_Toc58430321"/>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6D65D728">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70D6E3F2">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08548695">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5FB3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3F9AB7C0">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1</w:t>
            </w:r>
          </w:p>
        </w:tc>
        <w:tc>
          <w:tcPr>
            <w:tcW w:w="1078" w:type="dxa"/>
            <w:shd w:val="clear" w:color="auto" w:fill="auto"/>
            <w:noWrap/>
            <w:vAlign w:val="center"/>
          </w:tcPr>
          <w:p w14:paraId="1EF9EED4">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项目负责人</w:t>
            </w:r>
            <w:r>
              <w:rPr>
                <w:rFonts w:hint="eastAsia" w:ascii="宋体" w:hAnsi="宋体" w:eastAsia="宋体" w:cs="宋体"/>
                <w:b w:val="0"/>
                <w:bCs w:val="0"/>
                <w:color w:val="auto"/>
                <w:sz w:val="21"/>
                <w:szCs w:val="21"/>
                <w:highlight w:val="none"/>
                <w:lang w:val="zh-CN"/>
              </w:rPr>
              <w:t>业绩</w:t>
            </w:r>
          </w:p>
        </w:tc>
        <w:tc>
          <w:tcPr>
            <w:tcW w:w="840" w:type="dxa"/>
            <w:shd w:val="clear" w:color="auto" w:fill="auto"/>
            <w:noWrap/>
            <w:vAlign w:val="center"/>
          </w:tcPr>
          <w:p w14:paraId="6BC10564">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5分</w:t>
            </w:r>
          </w:p>
        </w:tc>
        <w:tc>
          <w:tcPr>
            <w:tcW w:w="7217" w:type="dxa"/>
            <w:shd w:val="clear" w:color="auto" w:fill="auto"/>
            <w:noWrap/>
            <w:vAlign w:val="center"/>
          </w:tcPr>
          <w:p w14:paraId="4AAB3569">
            <w:pPr>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拟派项目负责人</w:t>
            </w:r>
            <w:r>
              <w:rPr>
                <w:rFonts w:hint="eastAsia" w:ascii="宋体" w:hAnsi="宋体" w:eastAsia="宋体" w:cs="宋体"/>
                <w:b w:val="0"/>
                <w:bCs w:val="0"/>
                <w:color w:val="auto"/>
                <w:sz w:val="21"/>
                <w:szCs w:val="21"/>
                <w:highlight w:val="none"/>
                <w:lang w:val="en-US" w:eastAsia="zh-CN"/>
              </w:rPr>
              <w:t>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年1月1日至投标截止日完成过金额不低于</w:t>
            </w:r>
            <w:r>
              <w:rPr>
                <w:rFonts w:hint="eastAsia" w:ascii="宋体" w:hAnsi="宋体" w:cs="宋体"/>
                <w:b w:val="0"/>
                <w:bCs w:val="0"/>
                <w:color w:val="auto"/>
                <w:sz w:val="21"/>
                <w:szCs w:val="21"/>
                <w:highlight w:val="none"/>
                <w:lang w:val="en-US" w:eastAsia="zh-CN"/>
              </w:rPr>
              <w:t>1700</w:t>
            </w:r>
            <w:r>
              <w:rPr>
                <w:rFonts w:hint="eastAsia" w:ascii="宋体" w:hAnsi="宋体" w:eastAsia="宋体" w:cs="宋体"/>
                <w:b w:val="0"/>
                <w:bCs w:val="0"/>
                <w:color w:val="auto"/>
                <w:sz w:val="21"/>
                <w:szCs w:val="21"/>
                <w:highlight w:val="none"/>
                <w:lang w:val="en-US" w:eastAsia="zh-CN"/>
              </w:rPr>
              <w:t>万元</w:t>
            </w:r>
            <w:r>
              <w:rPr>
                <w:rFonts w:hint="eastAsia" w:ascii="宋体" w:hAnsi="宋体" w:cs="宋体"/>
                <w:b w:val="0"/>
                <w:bCs w:val="0"/>
                <w:color w:val="auto"/>
                <w:sz w:val="21"/>
                <w:szCs w:val="21"/>
                <w:highlight w:val="none"/>
                <w:lang w:val="en-US" w:eastAsia="zh-CN"/>
              </w:rPr>
              <w:t>装饰装修项目最高投标限价编制</w:t>
            </w:r>
            <w:r>
              <w:rPr>
                <w:rFonts w:hint="eastAsia" w:ascii="宋体" w:hAnsi="宋体" w:eastAsia="宋体" w:cs="宋体"/>
                <w:b w:val="0"/>
                <w:bCs w:val="0"/>
                <w:color w:val="auto"/>
                <w:sz w:val="21"/>
                <w:szCs w:val="21"/>
                <w:highlight w:val="none"/>
                <w:lang w:val="en-US" w:eastAsia="zh-CN"/>
              </w:rPr>
              <w:t>的得5分，本项满分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790EA825">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注：须同时提供</w:t>
            </w:r>
            <w:r>
              <w:rPr>
                <w:rFonts w:hint="eastAsia" w:ascii="宋体" w:hAnsi="宋体" w:eastAsia="宋体" w:cs="宋体"/>
                <w:b/>
                <w:bCs/>
                <w:color w:val="auto"/>
                <w:sz w:val="21"/>
                <w:szCs w:val="21"/>
                <w:highlight w:val="none"/>
                <w:lang w:val="en-US" w:eastAsia="zh-CN"/>
              </w:rPr>
              <w:t>下列材料</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rPr>
              <w:t>①中标通知书（</w:t>
            </w:r>
            <w:r>
              <w:rPr>
                <w:rFonts w:hint="eastAsia" w:ascii="宋体" w:hAnsi="宋体" w:eastAsia="宋体" w:cs="宋体"/>
                <w:b/>
                <w:bCs/>
                <w:color w:val="auto"/>
                <w:kern w:val="0"/>
                <w:sz w:val="21"/>
                <w:szCs w:val="21"/>
                <w:highlight w:val="none"/>
              </w:rPr>
              <w:t>无中标通知书的项目，提供通知书</w:t>
            </w:r>
            <w:r>
              <w:rPr>
                <w:rFonts w:hint="eastAsia" w:ascii="宋体" w:hAnsi="宋体" w:eastAsia="宋体" w:cs="宋体"/>
                <w:b/>
                <w:bCs/>
                <w:color w:val="auto"/>
                <w:kern w:val="0"/>
                <w:sz w:val="21"/>
                <w:szCs w:val="21"/>
                <w:highlight w:val="none"/>
                <w:lang w:val="en-US" w:eastAsia="zh-CN"/>
              </w:rPr>
              <w:t>或委托书</w:t>
            </w:r>
            <w:r>
              <w:rPr>
                <w:rFonts w:hint="eastAsia" w:ascii="宋体" w:hAnsi="宋体" w:eastAsia="宋体" w:cs="宋体"/>
                <w:b/>
                <w:bCs/>
                <w:color w:val="auto"/>
                <w:kern w:val="0"/>
                <w:sz w:val="21"/>
                <w:szCs w:val="21"/>
                <w:highlight w:val="none"/>
              </w:rPr>
              <w:t>或委托单位的证明材料并加盖委托单位公章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②咨询</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合同</w:t>
            </w:r>
            <w:r>
              <w:rPr>
                <w:rFonts w:hint="eastAsia" w:hAnsi="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rPr>
              <w:t>若咨询服务合同为</w:t>
            </w:r>
            <w:r>
              <w:rPr>
                <w:rFonts w:hint="eastAsia" w:ascii="宋体" w:hAnsi="宋体" w:eastAsia="宋体" w:cs="宋体"/>
                <w:b/>
                <w:bCs/>
                <w:color w:val="auto"/>
                <w:kern w:val="0"/>
                <w:sz w:val="21"/>
                <w:szCs w:val="21"/>
                <w:highlight w:val="none"/>
                <w:lang w:eastAsia="zh-CN"/>
              </w:rPr>
              <w:t>框架合同，应同时提供</w:t>
            </w:r>
            <w:r>
              <w:rPr>
                <w:rFonts w:hint="eastAsia" w:ascii="宋体" w:hAnsi="宋体" w:eastAsia="宋体" w:cs="宋体"/>
                <w:b/>
                <w:bCs/>
                <w:color w:val="auto"/>
                <w:kern w:val="0"/>
                <w:sz w:val="21"/>
                <w:szCs w:val="21"/>
                <w:highlight w:val="none"/>
                <w:lang w:val="en-US" w:eastAsia="zh-CN"/>
              </w:rPr>
              <w:t>委托单位</w:t>
            </w:r>
            <w:r>
              <w:rPr>
                <w:rFonts w:hint="eastAsia" w:ascii="宋体" w:hAnsi="宋体" w:eastAsia="宋体" w:cs="宋体"/>
                <w:b/>
                <w:bCs/>
                <w:color w:val="auto"/>
                <w:kern w:val="0"/>
                <w:sz w:val="21"/>
                <w:szCs w:val="21"/>
                <w:highlight w:val="none"/>
                <w:lang w:eastAsia="zh-CN"/>
              </w:rPr>
              <w:t>出具的任务分配证明）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③咨询成果报告（文件），咨询成果报告（文件）是指</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作为</w:t>
            </w:r>
            <w:r>
              <w:rPr>
                <w:rFonts w:hint="eastAsia" w:hAnsi="宋体" w:cs="宋体"/>
                <w:b/>
                <w:bCs/>
                <w:color w:val="auto"/>
                <w:sz w:val="21"/>
                <w:szCs w:val="21"/>
                <w:highlight w:val="none"/>
                <w:lang w:val="en-US" w:eastAsia="zh-CN"/>
              </w:rPr>
              <w:t>最高投标限价编制（或</w:t>
            </w:r>
            <w:r>
              <w:rPr>
                <w:rFonts w:hint="eastAsia" w:ascii="宋体" w:hAnsi="宋体" w:eastAsia="宋体" w:cs="宋体"/>
                <w:b/>
                <w:bCs/>
                <w:color w:val="auto"/>
                <w:sz w:val="21"/>
                <w:szCs w:val="21"/>
                <w:highlight w:val="none"/>
              </w:rPr>
              <w:t>全过程造价管理咨询</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单位出具的经建设单位认可的</w:t>
            </w:r>
            <w:r>
              <w:rPr>
                <w:rFonts w:hint="eastAsia" w:ascii="宋体" w:hAnsi="宋体" w:eastAsia="宋体" w:cs="宋体"/>
                <w:b/>
                <w:bCs/>
                <w:color w:val="auto"/>
                <w:sz w:val="21"/>
                <w:szCs w:val="21"/>
                <w:highlight w:val="none"/>
                <w:lang w:val="en-US" w:eastAsia="zh-CN"/>
              </w:rPr>
              <w:t>成果文件</w:t>
            </w:r>
            <w:r>
              <w:rPr>
                <w:rFonts w:hint="eastAsia" w:ascii="宋体" w:hAnsi="宋体" w:eastAsia="宋体" w:cs="宋体"/>
                <w:b/>
                <w:bCs/>
                <w:color w:val="auto"/>
                <w:sz w:val="21"/>
                <w:szCs w:val="21"/>
                <w:highlight w:val="none"/>
              </w:rPr>
              <w:t>主要页面</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时间以咨询成果报告（文件）出具时间为准，金额以咨询成果报告（文件）中载明的金额为准。若上述证明材料不能明确反映项目类型、项目规模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项目负责人姓名</w:t>
            </w:r>
            <w:r>
              <w:rPr>
                <w:rFonts w:hint="eastAsia" w:ascii="宋体" w:hAnsi="宋体" w:eastAsia="宋体" w:cs="宋体"/>
                <w:b/>
                <w:bCs/>
                <w:color w:val="auto"/>
                <w:sz w:val="21"/>
                <w:szCs w:val="21"/>
                <w:highlight w:val="none"/>
              </w:rPr>
              <w:t>等内容的，应另行提供委托单位出具并加盖其公章的证明材料。</w:t>
            </w:r>
          </w:p>
        </w:tc>
      </w:tr>
      <w:tr w14:paraId="020A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4D9BA3B0">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18A24063">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企业荣誉</w:t>
            </w:r>
          </w:p>
        </w:tc>
        <w:tc>
          <w:tcPr>
            <w:tcW w:w="840" w:type="dxa"/>
            <w:shd w:val="clear" w:color="auto" w:fill="auto"/>
            <w:noWrap/>
            <w:vAlign w:val="center"/>
          </w:tcPr>
          <w:p w14:paraId="649FB851">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6分</w:t>
            </w:r>
          </w:p>
        </w:tc>
        <w:tc>
          <w:tcPr>
            <w:tcW w:w="7217" w:type="dxa"/>
            <w:shd w:val="clear" w:color="auto" w:fill="auto"/>
            <w:noWrap/>
            <w:vAlign w:val="center"/>
          </w:tcPr>
          <w:p w14:paraId="4387F78D">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w:t>
            </w:r>
            <w:r>
              <w:rPr>
                <w:rFonts w:hint="eastAsia"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w:t>
            </w:r>
            <w:r>
              <w:rPr>
                <w:rFonts w:hint="eastAsia" w:hAnsi="宋体" w:cs="宋体"/>
                <w:b w:val="0"/>
                <w:bCs w:val="0"/>
                <w:color w:val="auto"/>
                <w:sz w:val="21"/>
                <w:szCs w:val="21"/>
                <w:highlight w:val="none"/>
                <w:lang w:val="en-US" w:eastAsia="zh-CN"/>
              </w:rPr>
              <w:t>，具有市级及以上造价主管部门（或协会）颁发的企业荣誉证书的得6分，本项满分6分。</w:t>
            </w:r>
            <w:r>
              <w:rPr>
                <w:rFonts w:hint="eastAsia" w:hAnsi="宋体" w:cs="宋体"/>
                <w:b/>
                <w:bCs/>
                <w:color w:val="auto"/>
                <w:sz w:val="21"/>
                <w:szCs w:val="21"/>
                <w:highlight w:val="none"/>
                <w:lang w:val="en-US" w:eastAsia="zh-CN"/>
              </w:rPr>
              <w:br w:type="textWrapping"/>
            </w:r>
            <w:r>
              <w:rPr>
                <w:rFonts w:hint="eastAsia" w:ascii="Times New Roman" w:hAnsi="宋体" w:eastAsia="宋体" w:cs="宋体"/>
                <w:b/>
                <w:bCs/>
                <w:color w:val="auto"/>
                <w:sz w:val="21"/>
                <w:szCs w:val="21"/>
                <w:highlight w:val="none"/>
                <w:lang w:val="en-US" w:eastAsia="zh-CN"/>
              </w:rPr>
              <w:t>注：1.提供荣誉证书（时间以证书颁发时间为准）或网站公示截图（以网站公示时间为准）。</w:t>
            </w:r>
          </w:p>
          <w:p w14:paraId="5817E2CC">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2.如为造价相关协会（或学会）颁发的，还应符合下列要求:</w:t>
            </w:r>
          </w:p>
          <w:p w14:paraId="435D6AD6">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 xml:space="preserve">2.1“国内依法登记注册”以中国社会组织政务服务平台中“全国社会组织信用信息公示平台（试运行）”查询结果为准。针对国内依法登记注册的行业协会（或学会）颁发的奖项、荣誉，投标文件中须另行提供该协会在中国社会组织政务服务平台中“全国社会组织信用信息公示平台（试运行）”查询结果截图。 </w:t>
            </w:r>
          </w:p>
          <w:p w14:paraId="2747536B">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Times New Roman" w:hAnsi="宋体" w:eastAsia="宋体" w:cs="宋体"/>
                <w:b/>
                <w:bCs/>
                <w:color w:val="auto"/>
                <w:sz w:val="21"/>
                <w:szCs w:val="21"/>
                <w:highlight w:val="none"/>
                <w:lang w:val="en-US" w:eastAsia="zh-CN"/>
              </w:rPr>
              <w:t xml:space="preserve">2.2民政部公布的“离岸社团”、“山寨社团”或中国社会组织政务服务平台中“全国社会组织信用信息公示平台（试运行）”公示的“涉嫌非法社会组织”颁发的荣誉、奖励均无效。 </w:t>
            </w:r>
          </w:p>
        </w:tc>
      </w:tr>
      <w:tr w14:paraId="7E6A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0E38869C">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170D1625">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项目人员配备</w:t>
            </w:r>
          </w:p>
        </w:tc>
        <w:tc>
          <w:tcPr>
            <w:tcW w:w="840" w:type="dxa"/>
            <w:shd w:val="clear" w:color="auto" w:fill="auto"/>
            <w:noWrap/>
            <w:vAlign w:val="center"/>
          </w:tcPr>
          <w:p w14:paraId="5148B56A">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14分</w:t>
            </w:r>
          </w:p>
        </w:tc>
        <w:tc>
          <w:tcPr>
            <w:tcW w:w="7217" w:type="dxa"/>
            <w:shd w:val="clear" w:color="auto" w:fill="auto"/>
            <w:noWrap/>
            <w:vAlign w:val="center"/>
          </w:tcPr>
          <w:p w14:paraId="2E02B6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1.人员配备（4分）：</w:t>
            </w:r>
          </w:p>
          <w:p w14:paraId="07C8911C">
            <w:pPr>
              <w:pStyle w:val="1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所配备的注册造价工程师中（含项目负责人），同时具有工程或工程经济类高级职称（社会化评审）或建筑工程类其他专业一级（国家级）注册资格（如注册建筑师、注册建造师、注册监理工程师等）的，每1人加</w:t>
            </w:r>
            <w:r>
              <w:rPr>
                <w:rFonts w:hint="eastAsia" w:hAnsi="宋体" w:cs="宋体"/>
                <w:b w:val="0"/>
                <w:bCs w:val="0"/>
                <w:color w:val="auto"/>
                <w:kern w:val="2"/>
                <w:sz w:val="21"/>
                <w:szCs w:val="21"/>
                <w:highlight w:val="none"/>
                <w:lang w:val="en-US" w:eastAsia="zh-CN" w:bidi="ar-SA"/>
              </w:rPr>
              <w:t>2</w:t>
            </w:r>
            <w:r>
              <w:rPr>
                <w:rFonts w:hint="eastAsia" w:ascii="Times New Roman" w:hAnsi="宋体" w:eastAsia="宋体" w:cs="宋体"/>
                <w:b w:val="0"/>
                <w:bCs w:val="0"/>
                <w:color w:val="auto"/>
                <w:kern w:val="2"/>
                <w:sz w:val="21"/>
                <w:szCs w:val="21"/>
                <w:highlight w:val="none"/>
                <w:lang w:val="en-US" w:eastAsia="zh-CN" w:bidi="ar-SA"/>
              </w:rPr>
              <w:t xml:space="preserve">分，满分4分。 </w:t>
            </w:r>
          </w:p>
          <w:p w14:paraId="0DC829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2.人员社保（退休人员除外）缴纳时间（10分）：</w:t>
            </w:r>
          </w:p>
          <w:p w14:paraId="588D04E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2.1项目所配全部人员在投标企业连续缴纳6个月社保的，得基本分6分；</w:t>
            </w:r>
          </w:p>
          <w:p w14:paraId="5F63618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2.2项目所配全部人员在投标企业连续缴纳9个月社保的，另加2分；</w:t>
            </w:r>
          </w:p>
          <w:p w14:paraId="1C9EADB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2.3项目所配全部人员在投标企业连续缴纳12个月社保的，再另加2分。</w:t>
            </w:r>
          </w:p>
          <w:p w14:paraId="076ABA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三个打分层级，有一人不满足某层级条件的，该层级不得分。</w:t>
            </w:r>
          </w:p>
          <w:p w14:paraId="2E27805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注：（1）社保缴纳时间自202</w:t>
            </w:r>
            <w:r>
              <w:rPr>
                <w:rFonts w:hint="eastAsia" w:hAnsi="宋体" w:cs="宋体"/>
                <w:b w:val="0"/>
                <w:bCs w:val="0"/>
                <w:color w:val="auto"/>
                <w:kern w:val="2"/>
                <w:sz w:val="21"/>
                <w:szCs w:val="21"/>
                <w:highlight w:val="none"/>
                <w:lang w:val="en-US" w:eastAsia="zh-CN" w:bidi="ar-SA"/>
              </w:rPr>
              <w:t>6</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4</w:t>
            </w:r>
            <w:r>
              <w:rPr>
                <w:rFonts w:hint="eastAsia" w:ascii="Times New Roman" w:hAnsi="宋体" w:eastAsia="宋体" w:cs="宋体"/>
                <w:b w:val="0"/>
                <w:bCs w:val="0"/>
                <w:color w:val="auto"/>
                <w:kern w:val="2"/>
                <w:sz w:val="21"/>
                <w:szCs w:val="21"/>
                <w:highlight w:val="none"/>
                <w:lang w:val="en-US" w:eastAsia="zh-CN" w:bidi="ar-SA"/>
              </w:rPr>
              <w:t>月起往前连续计算，6个月社保算至202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11</w:t>
            </w:r>
            <w:r>
              <w:rPr>
                <w:rFonts w:hint="eastAsia" w:ascii="Times New Roman" w:hAnsi="宋体" w:eastAsia="宋体" w:cs="宋体"/>
                <w:b w:val="0"/>
                <w:bCs w:val="0"/>
                <w:color w:val="auto"/>
                <w:kern w:val="2"/>
                <w:sz w:val="21"/>
                <w:szCs w:val="21"/>
                <w:highlight w:val="none"/>
                <w:lang w:val="en-US" w:eastAsia="zh-CN" w:bidi="ar-SA"/>
              </w:rPr>
              <w:t>月止；9个月社保算至202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8</w:t>
            </w:r>
            <w:r>
              <w:rPr>
                <w:rFonts w:hint="eastAsia" w:ascii="Times New Roman" w:hAnsi="宋体" w:eastAsia="宋体" w:cs="宋体"/>
                <w:b w:val="0"/>
                <w:bCs w:val="0"/>
                <w:color w:val="auto"/>
                <w:kern w:val="2"/>
                <w:sz w:val="21"/>
                <w:szCs w:val="21"/>
                <w:highlight w:val="none"/>
                <w:lang w:val="en-US" w:eastAsia="zh-CN" w:bidi="ar-SA"/>
              </w:rPr>
              <w:t>月止；12个月社保算至202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月止；</w:t>
            </w:r>
          </w:p>
          <w:p w14:paraId="160EF488">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Times New Roman" w:hAnsi="宋体" w:eastAsia="宋体" w:cs="宋体"/>
                <w:b w:val="0"/>
                <w:bCs w:val="0"/>
                <w:color w:val="auto"/>
                <w:kern w:val="2"/>
                <w:sz w:val="21"/>
                <w:szCs w:val="21"/>
                <w:highlight w:val="none"/>
                <w:lang w:val="en-US" w:eastAsia="zh-CN" w:bidi="ar-SA"/>
              </w:rPr>
              <w:t>（2）退休人员需提供身份证、人社部门颁发的离退休证和与企业签订的劳动合同，退休人员数量超过项目所配备总人数五分之一的，扣除基本分6分。</w:t>
            </w:r>
          </w:p>
        </w:tc>
      </w:tr>
      <w:tr w14:paraId="3F3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52" w:type="dxa"/>
            <w:shd w:val="clear" w:color="auto" w:fill="auto"/>
            <w:noWrap/>
            <w:vAlign w:val="center"/>
          </w:tcPr>
          <w:p w14:paraId="3DDE33A7">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71981CC3">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w:t>
            </w:r>
          </w:p>
        </w:tc>
        <w:tc>
          <w:tcPr>
            <w:tcW w:w="840" w:type="dxa"/>
            <w:shd w:val="clear" w:color="auto" w:fill="auto"/>
            <w:noWrap/>
            <w:vAlign w:val="center"/>
          </w:tcPr>
          <w:p w14:paraId="1628F88E">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75分</w:t>
            </w:r>
          </w:p>
        </w:tc>
        <w:tc>
          <w:tcPr>
            <w:tcW w:w="7217" w:type="dxa"/>
            <w:shd w:val="clear" w:color="auto" w:fill="auto"/>
            <w:noWrap/>
            <w:vAlign w:val="center"/>
          </w:tcPr>
          <w:p w14:paraId="095B6F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1.评标基准价计算方法：</w:t>
            </w:r>
          </w:p>
          <w:p w14:paraId="21734A1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（1）投标报价不得高于最高投标限价，高于最高投标限价的为无效标；</w:t>
            </w:r>
          </w:p>
          <w:p w14:paraId="096FC67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通过资格审查且投标报价不高于最高投标限价的所有投标报价平均值（A1）乘以0.90得到修正值（B1），低于B1值（不含B1值）的报价视为可能影响合同履行的异常低价，异常低价按无效投标处理，其投标报价不参与评标基准价及平均值等的计算；</w:t>
            </w:r>
          </w:p>
          <w:p w14:paraId="1547983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去除无效投标报价的各有效投标人的投标报价算术平均值（A2），大于A2值的所有有效投标报价为一组，计算该组报价的算术平均值（A3）；低于A2值（含A2值）的所有有效投标报价为另一组，计算该组报价的算术平均值（A4）。评标基准价J值按下列公式计算：</w:t>
            </w:r>
          </w:p>
          <w:p w14:paraId="5DD38A1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J=最高投标限价×K1+A3×K2+A4×K3</w:t>
            </w:r>
          </w:p>
          <w:p w14:paraId="603CCDB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注：K1取30%-40%任一百分号前整数值，K2取30%-40%任一百分号前整数值，K3=1-K1-K2；K1、K2值开标现场随机抽取产生。</w:t>
            </w:r>
          </w:p>
          <w:p w14:paraId="20D69032">
            <w:pPr>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highlight w:val="none"/>
                <w:lang w:val="en-US" w:eastAsia="zh-CN"/>
              </w:rPr>
              <w:t>根据各有效投标人的投标报价与评标基准价的差别进行评分：</w:t>
            </w:r>
          </w:p>
          <w:p w14:paraId="664BF225">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（1）投标人报价不高于最高投标限价且不低于修正值（B1）的得20分，否则不得分；</w:t>
            </w:r>
          </w:p>
          <w:p w14:paraId="0D2EF43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（2）当投标人报价高于评标基准价，每高0.1‰扣0.2分（计算公式为</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val="en-US" w:eastAsia="zh-CN"/>
              </w:rPr>
              <w:t>-（投标报价-评标基准价）×0.2×10000），扣完为止。</w:t>
            </w:r>
          </w:p>
          <w:p w14:paraId="5BB8721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当投标人报价低于评标基准价，每低0.1‰扣0.2分（计算公式为</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val="en-US" w:eastAsia="zh-CN"/>
              </w:rPr>
              <w:t>（评标基准价-投标报价）×0.2×10000），扣完为止。</w:t>
            </w:r>
          </w:p>
          <w:p w14:paraId="15B7A86C">
            <w:pPr>
              <w:keepNext w:val="0"/>
              <w:keepLines w:val="0"/>
              <w:pageBreakBefore w:val="0"/>
              <w:kinsoku/>
              <w:wordWrap/>
              <w:overflowPunct/>
              <w:topLinePunct w:val="0"/>
              <w:autoSpaceDE/>
              <w:autoSpaceDN/>
              <w:bidi w:val="0"/>
              <w:adjustRightInd/>
              <w:spacing w:line="44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上述计算过程中不保留，仅最终计算得出的分值保留两位小数点，第三位四舍五入。</w:t>
            </w:r>
          </w:p>
        </w:tc>
      </w:tr>
    </w:tbl>
    <w:p w14:paraId="3800892F">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58"/>
      <w:bookmarkEnd w:id="59"/>
      <w:bookmarkEnd w:id="60"/>
    </w:p>
    <w:bookmarkEnd w:id="48"/>
    <w:p w14:paraId="2F62E0BE">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7.评标委员会按得分之和从高到低按顺序，推荐3名中标候选人。 </w:t>
      </w:r>
    </w:p>
    <w:p w14:paraId="59A643FB">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w:t>
      </w:r>
      <w:r>
        <w:rPr>
          <w:rFonts w:hint="eastAsia" w:ascii="宋体" w:hAnsi="宋体" w:cs="宋体"/>
          <w:color w:val="auto"/>
          <w:szCs w:val="21"/>
          <w:highlight w:val="none"/>
          <w:lang w:val="en-US" w:eastAsia="zh-CN"/>
        </w:rPr>
        <w:t>招标人</w:t>
      </w:r>
      <w:r>
        <w:rPr>
          <w:rFonts w:hint="eastAsia" w:ascii="宋体" w:hAnsi="宋体" w:cs="宋体"/>
          <w:color w:val="auto"/>
          <w:kern w:val="0"/>
          <w:sz w:val="21"/>
          <w:szCs w:val="21"/>
          <w:highlight w:val="none"/>
          <w:lang w:val="en-US" w:eastAsia="zh-CN" w:bidi="ar-SA"/>
        </w:rPr>
        <w:t>或评标委员会主任</w:t>
      </w:r>
      <w:r>
        <w:rPr>
          <w:rFonts w:hint="eastAsia" w:ascii="宋体" w:hAnsi="宋体" w:cs="宋体"/>
          <w:color w:val="auto"/>
          <w:szCs w:val="21"/>
          <w:highlight w:val="none"/>
        </w:rPr>
        <w:t>现场采取随机摇号的方式确定中标候选人。</w:t>
      </w:r>
    </w:p>
    <w:p w14:paraId="252BC8E5">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标人可以按照评标委员会提出的中标候选人名单排序依次确定其他中标候选人为中标人，也可以重新招标。</w:t>
      </w:r>
    </w:p>
    <w:p w14:paraId="6DFDF3F9">
      <w:pPr>
        <w:snapToGrid w:val="0"/>
        <w:spacing w:line="440" w:lineRule="exact"/>
        <w:ind w:left="0" w:leftChars="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0617F08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0B0D8921">
      <w:pPr>
        <w:snapToGrid w:val="0"/>
        <w:spacing w:line="44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（1）未在开标截止时间前通过网上招标投标系统递交有效电子投标文件的，开标系统不予接收，投标将被拒绝。</w:t>
      </w:r>
    </w:p>
    <w:p w14:paraId="4639F7C3">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172C2E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snapToGrid w:val="0"/>
        <w:spacing w:line="440" w:lineRule="exact"/>
        <w:ind w:left="0" w:leftChars="0" w:firstLine="420" w:firstLineChars="20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D63D24D">
      <w:pPr>
        <w:snapToGrid w:val="0"/>
        <w:spacing w:line="440" w:lineRule="exact"/>
        <w:ind w:left="0" w:leftChars="0" w:firstLine="420" w:firstLineChars="200"/>
        <w:jc w:val="left"/>
        <w:rPr>
          <w:rFonts w:hint="eastAsia" w:ascii="仿宋" w:hAnsi="仿宋" w:eastAsia="仿宋" w:cs="仿宋"/>
          <w:b/>
          <w:bCs/>
          <w:i w:val="0"/>
          <w:iCs w:val="0"/>
          <w:color w:val="auto"/>
          <w:kern w:val="0"/>
          <w:sz w:val="22"/>
          <w:szCs w:val="22"/>
          <w:highlight w:val="none"/>
          <w:u w:val="none"/>
          <w:lang w:val="en-US" w:eastAsia="zh-CN" w:bidi="ar"/>
        </w:rPr>
        <w:sectPr>
          <w:footerReference r:id="rId8"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9"/>
      <w:bookmarkEnd w:id="61"/>
      <w:bookmarkStart w:id="62" w:name="_Toc58430329"/>
      <w:bookmarkStart w:id="63" w:name="_Toc449028945"/>
    </w:p>
    <w:p w14:paraId="5EAC221E">
      <w:pPr>
        <w:numPr>
          <w:ilvl w:val="0"/>
          <w:numId w:val="0"/>
        </w:numPr>
        <w:spacing w:before="156" w:beforeLines="50" w:after="156" w:afterLines="50"/>
        <w:jc w:val="center"/>
        <w:outlineLvl w:val="0"/>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 xml:space="preserve">第四章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合同格式（参考）</w:t>
      </w:r>
    </w:p>
    <w:p w14:paraId="71B9B9B1">
      <w:pPr>
        <w:widowControl/>
        <w:spacing w:line="400" w:lineRule="exact"/>
        <w:ind w:left="360"/>
        <w:jc w:val="center"/>
        <w:textAlignment w:val="baseline"/>
        <w:outlineLvl w:val="1"/>
        <w:rPr>
          <w:rFonts w:hint="eastAsia" w:ascii="宋体"/>
          <w:b/>
          <w:color w:val="auto"/>
          <w:sz w:val="30"/>
          <w:szCs w:val="30"/>
          <w:highlight w:val="none"/>
        </w:rPr>
      </w:pPr>
    </w:p>
    <w:p w14:paraId="16BA1E64">
      <w:pPr>
        <w:widowControl/>
        <w:spacing w:line="400" w:lineRule="exact"/>
        <w:ind w:left="360"/>
        <w:jc w:val="center"/>
        <w:textAlignment w:val="baseline"/>
        <w:outlineLvl w:val="1"/>
        <w:rPr>
          <w:rFonts w:hint="eastAsia" w:ascii="宋体"/>
          <w:b/>
          <w:color w:val="auto"/>
          <w:sz w:val="30"/>
          <w:szCs w:val="30"/>
          <w:highlight w:val="none"/>
        </w:rPr>
      </w:pPr>
    </w:p>
    <w:p w14:paraId="4B04CB64">
      <w:pPr>
        <w:spacing w:line="360" w:lineRule="auto"/>
        <w:jc w:val="left"/>
        <w:rPr>
          <w:rFonts w:hint="eastAsia" w:ascii="宋体" w:hAnsi="宋体" w:eastAsia="宋体" w:cs="宋体"/>
          <w:bCs/>
          <w:color w:val="auto"/>
          <w:sz w:val="28"/>
          <w:szCs w:val="28"/>
          <w:highlight w:val="none"/>
        </w:rPr>
      </w:pPr>
      <w:bookmarkStart w:id="64" w:name="_Toc331685784"/>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ＷＦ－2014－05</w:t>
      </w:r>
      <w:r>
        <w:rPr>
          <w:rFonts w:hint="eastAsia" w:ascii="宋体" w:hAnsi="宋体" w:eastAsia="宋体" w:cs="宋体"/>
          <w:bCs/>
          <w:color w:val="auto"/>
          <w:sz w:val="28"/>
          <w:szCs w:val="28"/>
          <w:highlight w:val="none"/>
        </w:rPr>
        <w:t>）</w:t>
      </w:r>
    </w:p>
    <w:p w14:paraId="25ED3895">
      <w:pPr>
        <w:spacing w:line="360" w:lineRule="auto"/>
        <w:jc w:val="both"/>
        <w:rPr>
          <w:rFonts w:hint="eastAsia" w:ascii="宋体" w:hAnsi="宋体" w:eastAsia="宋体" w:cs="宋体"/>
          <w:b/>
          <w:color w:val="auto"/>
          <w:sz w:val="28"/>
          <w:szCs w:val="28"/>
          <w:highlight w:val="none"/>
        </w:rPr>
      </w:pPr>
    </w:p>
    <w:p w14:paraId="0886FDC8">
      <w:pPr>
        <w:pStyle w:val="34"/>
        <w:rPr>
          <w:rFonts w:hint="eastAsia"/>
          <w:color w:val="auto"/>
          <w:highlight w:val="none"/>
        </w:rPr>
      </w:pPr>
    </w:p>
    <w:p w14:paraId="0D179295">
      <w:pPr>
        <w:spacing w:line="360" w:lineRule="auto"/>
        <w:jc w:val="center"/>
        <w:rPr>
          <w:rFonts w:hint="eastAsia" w:ascii="宋体" w:hAnsi="宋体" w:eastAsia="宋体" w:cs="宋体"/>
          <w:b/>
          <w:color w:val="auto"/>
          <w:sz w:val="28"/>
          <w:szCs w:val="28"/>
          <w:highlight w:val="none"/>
        </w:rPr>
      </w:pPr>
    </w:p>
    <w:p w14:paraId="1CE59DB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auto"/>
          <w:w w:val="90"/>
          <w:sz w:val="40"/>
          <w:szCs w:val="40"/>
          <w:highlight w:val="none"/>
        </w:rPr>
      </w:pPr>
      <w:r>
        <w:rPr>
          <w:rFonts w:hint="eastAsia" w:ascii="宋体" w:hAnsi="宋体" w:eastAsia="宋体" w:cs="宋体"/>
          <w:b/>
          <w:color w:val="auto"/>
          <w:w w:val="90"/>
          <w:sz w:val="40"/>
          <w:szCs w:val="40"/>
          <w:highlight w:val="none"/>
        </w:rPr>
        <w:t>安徽省建设工程造价咨询合同</w:t>
      </w:r>
    </w:p>
    <w:p w14:paraId="70105E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（示范文本）</w:t>
      </w:r>
    </w:p>
    <w:p w14:paraId="177099DE">
      <w:pPr>
        <w:spacing w:line="360" w:lineRule="auto"/>
        <w:jc w:val="center"/>
        <w:rPr>
          <w:rFonts w:hint="eastAsia" w:ascii="宋体" w:hAnsi="宋体" w:eastAsia="宋体" w:cs="宋体"/>
          <w:b/>
          <w:color w:val="auto"/>
          <w:sz w:val="28"/>
          <w:szCs w:val="28"/>
          <w:highlight w:val="none"/>
        </w:rPr>
      </w:pPr>
    </w:p>
    <w:p w14:paraId="1969A808">
      <w:pPr>
        <w:spacing w:line="360" w:lineRule="auto"/>
        <w:rPr>
          <w:rFonts w:hint="eastAsia" w:ascii="宋体" w:hAnsi="宋体" w:eastAsia="宋体" w:cs="宋体"/>
          <w:b/>
          <w:color w:val="auto"/>
          <w:sz w:val="28"/>
          <w:szCs w:val="28"/>
          <w:highlight w:val="none"/>
        </w:rPr>
      </w:pPr>
    </w:p>
    <w:p w14:paraId="037CA51E">
      <w:pPr>
        <w:pStyle w:val="34"/>
        <w:ind w:left="0" w:leftChars="0" w:firstLine="0" w:firstLineChars="0"/>
        <w:rPr>
          <w:rFonts w:hint="eastAsia"/>
          <w:color w:val="auto"/>
          <w:highlight w:val="none"/>
        </w:rPr>
      </w:pPr>
    </w:p>
    <w:p w14:paraId="2851A144">
      <w:pPr>
        <w:spacing w:line="360" w:lineRule="auto"/>
        <w:jc w:val="center"/>
        <w:rPr>
          <w:rFonts w:hint="eastAsia" w:ascii="宋体" w:hAnsi="宋体" w:eastAsia="宋体" w:cs="宋体"/>
          <w:b/>
          <w:color w:val="auto"/>
          <w:sz w:val="28"/>
          <w:szCs w:val="28"/>
          <w:highlight w:val="none"/>
        </w:rPr>
      </w:pPr>
    </w:p>
    <w:p w14:paraId="0365B2A4">
      <w:pPr>
        <w:pStyle w:val="34"/>
        <w:ind w:left="0" w:leftChars="0" w:firstLine="0" w:firstLineChars="0"/>
        <w:rPr>
          <w:rFonts w:hint="eastAsia"/>
          <w:color w:val="auto"/>
          <w:highlight w:val="none"/>
        </w:rPr>
      </w:pPr>
    </w:p>
    <w:p w14:paraId="48A1104E">
      <w:pPr>
        <w:pStyle w:val="34"/>
        <w:rPr>
          <w:rFonts w:hint="eastAsia"/>
          <w:color w:val="auto"/>
          <w:highlight w:val="none"/>
        </w:rPr>
      </w:pPr>
    </w:p>
    <w:p w14:paraId="2C4EE230">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p>
    <w:p w14:paraId="3C4C32C4">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项目名称：</w:t>
      </w:r>
      <w:r>
        <w:rPr>
          <w:rFonts w:hint="eastAsia" w:ascii="宋体" w:hAnsi="宋体" w:cs="宋体"/>
          <w:b/>
          <w:color w:val="auto"/>
          <w:sz w:val="28"/>
          <w:szCs w:val="28"/>
          <w:highlight w:val="none"/>
          <w:u w:val="single"/>
          <w:lang w:eastAsia="zh-CN"/>
        </w:rPr>
        <w:t>人工智能产业园B5厂房装修项目工程量清单及最高投标限价编制服务项目</w:t>
      </w:r>
      <w:r>
        <w:rPr>
          <w:rFonts w:hint="eastAsia" w:ascii="宋体" w:hAnsi="宋体" w:eastAsia="宋体" w:cs="宋体"/>
          <w:b/>
          <w:color w:val="auto"/>
          <w:kern w:val="2"/>
          <w:sz w:val="28"/>
          <w:szCs w:val="28"/>
          <w:highlight w:val="none"/>
          <w:u w:val="single"/>
          <w:lang w:val="en-US" w:eastAsia="zh-CN" w:bidi="ar-SA"/>
        </w:rPr>
        <w:t xml:space="preserve"> </w:t>
      </w:r>
      <w:r>
        <w:rPr>
          <w:rFonts w:hint="eastAsia" w:ascii="宋体" w:hAnsi="宋体" w:cs="宋体"/>
          <w:b/>
          <w:color w:val="auto"/>
          <w:sz w:val="28"/>
          <w:szCs w:val="28"/>
          <w:highlight w:val="none"/>
          <w:u w:val="single"/>
          <w:lang w:val="en-US" w:eastAsia="zh-CN"/>
        </w:rPr>
        <w:t xml:space="preserve">    </w:t>
      </w:r>
    </w:p>
    <w:p w14:paraId="58350A6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签订地点：</w:t>
      </w:r>
      <w:r>
        <w:rPr>
          <w:rFonts w:hint="eastAsia" w:ascii="宋体" w:hAnsi="宋体" w:eastAsia="宋体" w:cs="宋体"/>
          <w:b/>
          <w:color w:val="auto"/>
          <w:sz w:val="28"/>
          <w:szCs w:val="28"/>
          <w:highlight w:val="none"/>
          <w:u w:val="single"/>
          <w:lang w:val="en-US" w:eastAsia="zh-CN"/>
        </w:rPr>
        <w:t xml:space="preserve">    中新苏滁高新区               </w:t>
      </w:r>
      <w:r>
        <w:rPr>
          <w:rFonts w:hint="eastAsia" w:ascii="宋体" w:hAnsi="宋体" w:eastAsia="宋体" w:cs="宋体"/>
          <w:b/>
          <w:color w:val="auto"/>
          <w:sz w:val="28"/>
          <w:szCs w:val="28"/>
          <w:highlight w:val="none"/>
          <w:u w:val="single"/>
        </w:rPr>
        <w:t xml:space="preserve"> </w:t>
      </w:r>
    </w:p>
    <w:p w14:paraId="3AAD869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签订时间：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5060A073">
      <w:pPr>
        <w:widowControl/>
        <w:spacing w:beforeAutospacing="1" w:afterAutospacing="1" w:line="360" w:lineRule="auto"/>
        <w:jc w:val="left"/>
        <w:rPr>
          <w:rFonts w:hint="eastAsia" w:ascii="宋体" w:hAnsi="宋体" w:eastAsia="宋体" w:cs="宋体"/>
          <w:color w:val="auto"/>
          <w:spacing w:val="20"/>
          <w:kern w:val="0"/>
          <w:sz w:val="28"/>
          <w:szCs w:val="28"/>
          <w:highlight w:val="none"/>
        </w:rPr>
        <w:sectPr>
          <w:footerReference r:id="rId9" w:type="default"/>
          <w:pgSz w:w="11906" w:h="16838"/>
          <w:pgMar w:top="1418" w:right="1106" w:bottom="1418" w:left="1418" w:header="851" w:footer="907" w:gutter="0"/>
          <w:pgNumType w:fmt="decimal"/>
          <w:cols w:space="720" w:num="1"/>
          <w:docGrid w:type="lines" w:linePitch="312" w:charSpace="0"/>
        </w:sectPr>
      </w:pPr>
    </w:p>
    <w:p w14:paraId="6146B7B8">
      <w:pPr>
        <w:pStyle w:val="2"/>
        <w:keepNext/>
        <w:keepLines/>
        <w:pageBreakBefore w:val="0"/>
        <w:widowControl w:val="0"/>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4"/>
          <w:szCs w:val="24"/>
          <w:highlight w:val="none"/>
        </w:rPr>
      </w:pPr>
      <w:bookmarkStart w:id="65" w:name="_Toc407261892"/>
      <w:r>
        <w:rPr>
          <w:rFonts w:hint="eastAsia" w:ascii="宋体" w:hAnsi="宋体" w:eastAsia="宋体" w:cs="宋体"/>
          <w:color w:val="auto"/>
          <w:sz w:val="24"/>
          <w:szCs w:val="24"/>
          <w:highlight w:val="none"/>
        </w:rPr>
        <w:t>第一部分合同协议书</w:t>
      </w:r>
      <w:bookmarkEnd w:id="65"/>
    </w:p>
    <w:p w14:paraId="355AF1FF">
      <w:pPr>
        <w:keepNext w:val="0"/>
        <w:keepLines w:val="0"/>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委托人（全称）：</w:t>
      </w:r>
      <w:r>
        <w:rPr>
          <w:rFonts w:hint="eastAsia" w:ascii="宋体" w:hAnsi="宋体" w:cs="宋体"/>
          <w:b/>
          <w:color w:val="auto"/>
          <w:sz w:val="21"/>
          <w:szCs w:val="21"/>
          <w:highlight w:val="none"/>
          <w:u w:val="single"/>
          <w:lang w:val="en-US" w:eastAsia="zh-CN"/>
        </w:rPr>
        <w:t xml:space="preserve">滁州市中新苏滁建设发展集团有限公司 </w:t>
      </w:r>
      <w:r>
        <w:rPr>
          <w:rFonts w:hint="eastAsia" w:ascii="宋体" w:hAnsi="宋体" w:eastAsia="宋体" w:cs="宋体"/>
          <w:b/>
          <w:color w:val="auto"/>
          <w:sz w:val="21"/>
          <w:szCs w:val="21"/>
          <w:highlight w:val="none"/>
          <w:u w:val="single"/>
          <w:lang w:eastAsia="zh-CN"/>
        </w:rPr>
        <w:t xml:space="preserve"> </w:t>
      </w:r>
    </w:p>
    <w:p w14:paraId="4329DE80">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p>
    <w:p w14:paraId="19A0686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人工智能产业园B5厂房装修项目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工</w:t>
      </w:r>
      <w:r>
        <w:rPr>
          <w:rFonts w:hint="eastAsia" w:ascii="宋体" w:hAnsi="宋体" w:eastAsia="宋体" w:cs="宋体"/>
          <w:color w:val="auto"/>
          <w:sz w:val="21"/>
          <w:szCs w:val="21"/>
          <w:highlight w:val="none"/>
        </w:rPr>
        <w:t>程造价咨询及有关事项协商一致，共同达成如下协议：</w:t>
      </w:r>
    </w:p>
    <w:p w14:paraId="40B67E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C962FD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eastAsia="zh-CN"/>
        </w:rPr>
        <w:t>人工智能产业园B5厂房装修项目工程量清单及最高投标限价编制服务项目</w:t>
      </w:r>
      <w:r>
        <w:rPr>
          <w:rFonts w:hint="eastAsia" w:ascii="宋体" w:hAnsi="宋体" w:cs="宋体"/>
          <w:color w:val="auto"/>
          <w:sz w:val="21"/>
          <w:szCs w:val="21"/>
          <w:highlight w:val="none"/>
          <w:u w:val="single"/>
          <w:lang w:val="en-US" w:eastAsia="zh-CN"/>
        </w:rPr>
        <w:t xml:space="preserve"> </w:t>
      </w:r>
    </w:p>
    <w:p w14:paraId="47CE04C0">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bCs/>
          <w:color w:val="auto"/>
          <w:sz w:val="21"/>
          <w:szCs w:val="21"/>
          <w:highlight w:val="none"/>
          <w:u w:val="single"/>
        </w:rPr>
        <w:t>中新苏滁高新区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14:paraId="5D32A60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rPr>
        <w:t>3. 工程规模：</w:t>
      </w:r>
      <w:r>
        <w:rPr>
          <w:rFonts w:hint="eastAsia" w:ascii="宋体" w:hAnsi="宋体" w:cs="宋体"/>
          <w:color w:val="auto"/>
          <w:sz w:val="21"/>
          <w:szCs w:val="21"/>
          <w:highlight w:val="none"/>
          <w:u w:val="single"/>
          <w:lang w:val="en-US" w:eastAsia="zh-CN"/>
        </w:rPr>
        <w:t xml:space="preserve">投资约2126.04万元     </w:t>
      </w:r>
      <w:r>
        <w:rPr>
          <w:rFonts w:hint="eastAsia" w:ascii="宋体" w:hAnsi="宋体" w:eastAsia="宋体" w:cs="宋体"/>
          <w:color w:val="auto"/>
          <w:sz w:val="21"/>
          <w:szCs w:val="21"/>
          <w:highlight w:val="none"/>
          <w:u w:val="single"/>
          <w:lang w:val="en-US" w:eastAsia="zh-CN"/>
        </w:rPr>
        <w:t xml:space="preserve">    </w:t>
      </w:r>
    </w:p>
    <w:p w14:paraId="3D15D3E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1986D5E3">
      <w:pPr>
        <w:pStyle w:val="17"/>
        <w:keepNext w:val="0"/>
        <w:keepLines w:val="0"/>
        <w:pageBreakBefore w:val="0"/>
        <w:numPr>
          <w:ilvl w:val="0"/>
          <w:numId w:val="0"/>
        </w:numPr>
        <w:kinsoku/>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w:t>
      </w:r>
      <w:r>
        <w:rPr>
          <w:rFonts w:hint="default" w:ascii="宋体" w:hAnsi="宋体" w:eastAsia="宋体" w:cs="宋体"/>
          <w:color w:val="auto"/>
          <w:kern w:val="2"/>
          <w:sz w:val="21"/>
          <w:szCs w:val="21"/>
          <w:highlight w:val="none"/>
          <w:u w:val="none"/>
          <w:lang w:val="en-US" w:eastAsia="zh-CN" w:bidi="ar-SA"/>
        </w:rPr>
        <w:t>依据招标人提供的全套设计施工图纸进行本项目的工程量清单及最高投标限价的编制，并完成网上备案工作，向招标人提交造价成果及最高限价备案表。</w:t>
      </w:r>
    </w:p>
    <w:p w14:paraId="578579CD">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对本项目的最高投标限价提供清单交底相关服务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p w14:paraId="3783FD4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770DC7B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计划开始日期：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日。（以收到项目完整造价资料日为起始日）</w:t>
      </w:r>
    </w:p>
    <w:p w14:paraId="09925983">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计划结束日期：</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日。(按照项目招标进度及委托人要求。</w:t>
      </w:r>
    </w:p>
    <w:p w14:paraId="2B34374F">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bCs/>
          <w:color w:val="auto"/>
          <w:sz w:val="21"/>
          <w:szCs w:val="21"/>
          <w:highlight w:val="none"/>
        </w:rPr>
        <w:t>其中造价咨</w:t>
      </w:r>
      <w:r>
        <w:rPr>
          <w:rFonts w:hint="eastAsia" w:ascii="宋体" w:hAnsi="宋体" w:eastAsia="宋体" w:cs="宋体"/>
          <w:color w:val="auto"/>
          <w:kern w:val="2"/>
          <w:sz w:val="21"/>
          <w:szCs w:val="21"/>
          <w:highlight w:val="none"/>
          <w:u w:val="none" w:color="000000"/>
          <w:lang w:val="en-US" w:eastAsia="zh-CN" w:bidi="ar-SA"/>
        </w:rPr>
        <w:t>询报告出具日期为：收到招标人提供的全套施工图后</w:t>
      </w:r>
      <w:r>
        <w:rPr>
          <w:rFonts w:hint="eastAsia" w:ascii="宋体" w:hAnsi="宋体" w:cs="宋体"/>
          <w:color w:val="auto"/>
          <w:kern w:val="2"/>
          <w:sz w:val="21"/>
          <w:szCs w:val="21"/>
          <w:highlight w:val="none"/>
          <w:u w:val="none" w:color="000000"/>
          <w:lang w:val="en-US" w:eastAsia="zh-CN" w:bidi="ar-SA"/>
        </w:rPr>
        <w:t>15</w:t>
      </w:r>
      <w:r>
        <w:rPr>
          <w:rFonts w:hint="eastAsia" w:ascii="宋体" w:hAnsi="宋体" w:eastAsia="宋体" w:cs="宋体"/>
          <w:color w:val="auto"/>
          <w:kern w:val="2"/>
          <w:sz w:val="21"/>
          <w:szCs w:val="21"/>
          <w:highlight w:val="none"/>
          <w:u w:val="none" w:color="000000"/>
          <w:lang w:val="en-US" w:eastAsia="zh-CN" w:bidi="ar-SA"/>
        </w:rPr>
        <w:t>个日历天内出具工程造价咨询报告初稿，中标人收到招标人最终答复后</w:t>
      </w:r>
      <w:r>
        <w:rPr>
          <w:rFonts w:hint="eastAsia" w:ascii="宋体" w:hAnsi="宋体" w:cs="宋体"/>
          <w:color w:val="auto"/>
          <w:kern w:val="2"/>
          <w:sz w:val="21"/>
          <w:szCs w:val="21"/>
          <w:highlight w:val="none"/>
          <w:u w:val="none" w:color="000000"/>
          <w:lang w:val="en-US" w:eastAsia="zh-CN" w:bidi="ar-SA"/>
        </w:rPr>
        <w:t>3</w:t>
      </w:r>
      <w:r>
        <w:rPr>
          <w:rFonts w:hint="eastAsia" w:ascii="宋体" w:hAnsi="宋体" w:eastAsia="宋体" w:cs="宋体"/>
          <w:color w:val="auto"/>
          <w:kern w:val="2"/>
          <w:sz w:val="21"/>
          <w:szCs w:val="21"/>
          <w:highlight w:val="none"/>
          <w:u w:val="none" w:color="000000"/>
          <w:lang w:val="en-US" w:eastAsia="zh-CN" w:bidi="ar-SA"/>
        </w:rPr>
        <w:t>个日历天内出具正式造价咨询报告并完成网上备案。</w:t>
      </w:r>
    </w:p>
    <w:p w14:paraId="0F49AE08">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01F153D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工程造价咨询成果文件质量应符合现行国家或行业工程计价有关规定、标准、规范的要求并完成网上备案工作。</w:t>
      </w:r>
    </w:p>
    <w:p w14:paraId="29E4125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五、咨询酬金</w:t>
      </w:r>
    </w:p>
    <w:p w14:paraId="712D443E">
      <w:pPr>
        <w:keepNext w:val="0"/>
        <w:keepLines w:val="0"/>
        <w:pageBreakBefore w:val="0"/>
        <w:widowControl w:val="0"/>
        <w:kinsoku/>
        <w:wordWrap/>
        <w:overflowPunct/>
        <w:topLinePunct w:val="0"/>
        <w:autoSpaceDE/>
        <w:autoSpaceDN/>
        <w:bidi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   </w:t>
      </w:r>
      <w:r>
        <w:rPr>
          <w:rFonts w:hint="eastAsia" w:ascii="宋体" w:hAnsi="宋体" w:cs="宋体"/>
          <w:color w:val="auto"/>
          <w:kern w:val="0"/>
          <w:sz w:val="21"/>
          <w:szCs w:val="21"/>
          <w:highlight w:val="none"/>
          <w:lang w:val="en-US" w:eastAsia="zh-CN"/>
        </w:rPr>
        <w:t>本项目固定费率为</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编制服务费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本项目施工中标价-暂列金额</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中标费率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项目结算时中标费率不予调整。</w:t>
      </w:r>
      <w:r>
        <w:rPr>
          <w:rFonts w:hint="eastAsia" w:hAnsi="宋体" w:cs="宋体"/>
          <w:color w:val="auto"/>
          <w:sz w:val="21"/>
          <w:szCs w:val="21"/>
          <w:highlight w:val="none"/>
          <w:lang w:val="en-US" w:eastAsia="zh-CN"/>
        </w:rPr>
        <w:t>本项目编制服务费用若</w:t>
      </w:r>
      <w:r>
        <w:rPr>
          <w:rFonts w:hint="eastAsia" w:ascii="宋体" w:hAnsi="宋体" w:eastAsia="宋体" w:cs="宋体"/>
          <w:color w:val="auto"/>
          <w:sz w:val="21"/>
          <w:szCs w:val="21"/>
          <w:highlight w:val="none"/>
          <w:lang w:val="en-US" w:eastAsia="zh-CN"/>
        </w:rPr>
        <w:t>超过</w:t>
      </w:r>
      <w:r>
        <w:rPr>
          <w:rFonts w:hint="eastAsia" w:ascii="宋体" w:hAnsi="宋体" w:cs="宋体"/>
          <w:color w:val="auto"/>
          <w:sz w:val="21"/>
          <w:szCs w:val="21"/>
          <w:highlight w:val="none"/>
          <w:lang w:val="en-US" w:eastAsia="zh-CN"/>
        </w:rPr>
        <w:t>4.91</w:t>
      </w:r>
      <w:r>
        <w:rPr>
          <w:rFonts w:hint="eastAsia" w:ascii="宋体" w:hAnsi="宋体" w:eastAsia="宋体" w:cs="宋体"/>
          <w:color w:val="auto"/>
          <w:sz w:val="21"/>
          <w:szCs w:val="21"/>
          <w:highlight w:val="none"/>
          <w:lang w:val="en-US" w:eastAsia="zh-CN"/>
        </w:rPr>
        <w:t>元，以</w:t>
      </w:r>
      <w:r>
        <w:rPr>
          <w:rFonts w:hint="eastAsia" w:ascii="宋体" w:hAnsi="宋体" w:cs="宋体"/>
          <w:color w:val="auto"/>
          <w:sz w:val="21"/>
          <w:szCs w:val="21"/>
          <w:highlight w:val="none"/>
          <w:lang w:val="en-US" w:eastAsia="zh-CN"/>
        </w:rPr>
        <w:t>4.91</w:t>
      </w:r>
      <w:r>
        <w:rPr>
          <w:rFonts w:hint="eastAsia" w:ascii="宋体" w:hAnsi="宋体" w:eastAsia="宋体" w:cs="宋体"/>
          <w:color w:val="auto"/>
          <w:sz w:val="21"/>
          <w:szCs w:val="21"/>
          <w:highlight w:val="none"/>
          <w:lang w:val="en-US" w:eastAsia="zh-CN"/>
        </w:rPr>
        <w:t>元计入</w:t>
      </w:r>
      <w:r>
        <w:rPr>
          <w:rFonts w:hint="eastAsia" w:hAnsi="宋体" w:cs="宋体"/>
          <w:color w:val="auto"/>
          <w:sz w:val="21"/>
          <w:szCs w:val="21"/>
          <w:highlight w:val="none"/>
          <w:lang w:val="en-US" w:eastAsia="zh-CN"/>
        </w:rPr>
        <w:t>。</w:t>
      </w:r>
    </w:p>
    <w:p w14:paraId="2EE32FA1">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6849FD0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3274152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6E33DEB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投标函及其附录（如果有）；</w:t>
      </w:r>
    </w:p>
    <w:p w14:paraId="516275B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63540D5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272379EC">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01FA139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5FE171F3">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七、词语含义</w:t>
      </w:r>
    </w:p>
    <w:p w14:paraId="78A7C05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42A57B32">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八、签订时间</w:t>
      </w:r>
    </w:p>
    <w:p w14:paraId="51F68C9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5B965FD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九、签订地点</w:t>
      </w:r>
    </w:p>
    <w:p w14:paraId="4587205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中新苏滁高新区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w:t>
      </w:r>
    </w:p>
    <w:p w14:paraId="2B7D10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14:paraId="2B9DBB8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3609C06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十一、合同生效</w:t>
      </w:r>
    </w:p>
    <w:p w14:paraId="150B578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双方签字或盖章后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生效。</w:t>
      </w:r>
    </w:p>
    <w:p w14:paraId="1721678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十二、合同份数</w:t>
      </w:r>
    </w:p>
    <w:p w14:paraId="7DAE20C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六</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w:t>
      </w:r>
    </w:p>
    <w:p w14:paraId="6AC38345">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6FF6B6">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290C3D">
      <w:pPr>
        <w:keepNext w:val="0"/>
        <w:keepLines w:val="0"/>
        <w:pageBreakBefore w:val="0"/>
        <w:widowControl w:val="0"/>
        <w:tabs>
          <w:tab w:val="left" w:pos="4830"/>
        </w:tabs>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委托人：  (公章)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咨询人：  (公章)</w:t>
      </w:r>
    </w:p>
    <w:p w14:paraId="0152B3C9">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0254AE7D">
      <w:pPr>
        <w:keepNext w:val="0"/>
        <w:keepLines w:val="0"/>
        <w:pageBreakBefore w:val="0"/>
        <w:widowControl w:val="0"/>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（签字或盖章）</w:t>
      </w:r>
    </w:p>
    <w:p w14:paraId="589F666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6161B2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4DCE5D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p>
    <w:p w14:paraId="27D8F47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p>
    <w:p w14:paraId="062061E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p>
    <w:p w14:paraId="549F020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w:t>
      </w:r>
    </w:p>
    <w:p w14:paraId="26F60B4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w:t>
      </w:r>
    </w:p>
    <w:p w14:paraId="42018BB4">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br w:type="page"/>
      </w:r>
      <w:bookmarkStart w:id="66" w:name="_Toc407261893"/>
      <w:r>
        <w:rPr>
          <w:rFonts w:hint="eastAsia" w:ascii="宋体" w:hAnsi="宋体" w:eastAsia="宋体" w:cs="宋体"/>
          <w:b/>
          <w:bCs/>
          <w:color w:val="auto"/>
          <w:kern w:val="44"/>
          <w:sz w:val="24"/>
          <w:szCs w:val="24"/>
          <w:highlight w:val="none"/>
          <w:lang w:val="en-US" w:eastAsia="zh-CN" w:bidi="ar-SA"/>
        </w:rPr>
        <w:t>第二部分通用合同条款</w:t>
      </w:r>
      <w:bookmarkEnd w:id="66"/>
      <w:bookmarkStart w:id="67" w:name="_Toc407261894"/>
    </w:p>
    <w:p w14:paraId="4FD637B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68" w:name="_Toc303538973"/>
      <w:bookmarkEnd w:id="68"/>
      <w:bookmarkStart w:id="69" w:name="_Toc303538976"/>
      <w:bookmarkEnd w:id="69"/>
      <w:bookmarkStart w:id="70" w:name="_Toc303538972"/>
      <w:bookmarkEnd w:id="70"/>
      <w:bookmarkStart w:id="71" w:name="_Toc303538975"/>
      <w:bookmarkEnd w:id="71"/>
      <w:bookmarkStart w:id="72" w:name="_Toc303538974"/>
      <w:bookmarkEnd w:id="72"/>
      <w:bookmarkStart w:id="73" w:name="_Toc296503027"/>
      <w:bookmarkStart w:id="74" w:name="_Toc296346528"/>
      <w:r>
        <w:rPr>
          <w:rFonts w:hint="eastAsia" w:ascii="宋体" w:hAnsi="宋体" w:eastAsia="宋体" w:cs="宋体"/>
          <w:b/>
          <w:bCs w:val="0"/>
          <w:color w:val="auto"/>
          <w:sz w:val="21"/>
          <w:szCs w:val="21"/>
          <w:highlight w:val="none"/>
        </w:rPr>
        <w:t>一般约定</w:t>
      </w:r>
      <w:bookmarkEnd w:id="67"/>
      <w:bookmarkEnd w:id="73"/>
      <w:bookmarkEnd w:id="74"/>
    </w:p>
    <w:p w14:paraId="28ABF90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5" w:name="_Toc296503028"/>
      <w:bookmarkStart w:id="76" w:name="_Toc337558728"/>
      <w:bookmarkStart w:id="77" w:name="_Toc296346529"/>
      <w:bookmarkStart w:id="78" w:name="_Toc407261895"/>
      <w:r>
        <w:rPr>
          <w:rFonts w:hint="eastAsia" w:ascii="宋体" w:hAnsi="宋体" w:eastAsia="宋体" w:cs="宋体"/>
          <w:b/>
          <w:bCs w:val="0"/>
          <w:color w:val="auto"/>
          <w:sz w:val="21"/>
          <w:szCs w:val="21"/>
          <w:highlight w:val="none"/>
        </w:rPr>
        <w:t>1.1 词语定义</w:t>
      </w:r>
      <w:bookmarkEnd w:id="75"/>
      <w:bookmarkEnd w:id="76"/>
      <w:bookmarkEnd w:id="77"/>
      <w:r>
        <w:rPr>
          <w:rFonts w:hint="eastAsia" w:ascii="宋体" w:hAnsi="宋体" w:eastAsia="宋体" w:cs="宋体"/>
          <w:b/>
          <w:bCs w:val="0"/>
          <w:color w:val="auto"/>
          <w:sz w:val="21"/>
          <w:szCs w:val="21"/>
          <w:highlight w:val="none"/>
        </w:rPr>
        <w:t>与解释</w:t>
      </w:r>
      <w:bookmarkEnd w:id="78"/>
    </w:p>
    <w:p w14:paraId="7C4D7F2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合同协议书、通用合同条款、专用合同条款中的下列词语具有本款所赋予的含义：</w:t>
      </w:r>
    </w:p>
    <w:p w14:paraId="6A1A7D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委托人：是指与咨询人签订合同协议书的当事人及取得该当事人资格的合法继承人。</w:t>
      </w:r>
    </w:p>
    <w:p w14:paraId="5D14318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咨询人：是指与委托人签订合同协议书的，具有相应工程造价咨询资质的当事人及取得该当事人资格的合法继承人。</w:t>
      </w:r>
    </w:p>
    <w:p w14:paraId="3BEF9E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第三人：是指除委托人、咨询人以外与本咨询业务有关的当事人。</w:t>
      </w:r>
    </w:p>
    <w:p w14:paraId="3C030FA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工程造价咨询：是指咨询人接受委托人的委托，运用工程造价的专业技能，为建设项目决策、设计、交易、实施、结算等各个阶段工程计价和工程造价管理提供的有偿服务。</w:t>
      </w:r>
    </w:p>
    <w:p w14:paraId="2DD6A1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w:t>
      </w:r>
    </w:p>
    <w:p w14:paraId="2447B67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综合误差率：是指工程造价咨询成果文件中审查出的编制错误的累计金额与最终修正后造价总额的比率。</w:t>
      </w:r>
    </w:p>
    <w:p w14:paraId="434B66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酬金：是指咨询人履行本合同义务，委托人按照本合同约定给付咨询人的金额。</w:t>
      </w:r>
    </w:p>
    <w:p w14:paraId="2556FF1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 费用：是指不包含在酬金之内应由委托人承担的经济支出。</w:t>
      </w:r>
    </w:p>
    <w:p w14:paraId="49E9B9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 书面形式：是指合同书、信件和数据电文等可以有形地表现所载内容的形式。</w:t>
      </w:r>
    </w:p>
    <w:p w14:paraId="7DCEE91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9" w:name="_Toc407261896"/>
      <w:bookmarkStart w:id="80" w:name="_Toc296503029"/>
      <w:bookmarkStart w:id="81" w:name="_Toc296346530"/>
      <w:bookmarkStart w:id="82" w:name="_Toc337558729"/>
      <w:r>
        <w:rPr>
          <w:rFonts w:hint="eastAsia" w:ascii="宋体" w:hAnsi="宋体" w:eastAsia="宋体" w:cs="宋体"/>
          <w:b/>
          <w:bCs w:val="0"/>
          <w:color w:val="auto"/>
          <w:sz w:val="21"/>
          <w:szCs w:val="21"/>
          <w:highlight w:val="none"/>
        </w:rPr>
        <w:t>1.2 语言文字</w:t>
      </w:r>
      <w:bookmarkEnd w:id="79"/>
      <w:bookmarkEnd w:id="80"/>
      <w:bookmarkEnd w:id="81"/>
      <w:bookmarkEnd w:id="82"/>
    </w:p>
    <w:p w14:paraId="6FA730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合同以中国的汉语简体文字编写、解释和说明。合同当事人在专用合同条款中约定使用两种以上语言时，汉语为优先解释和说明合同的语言。</w:t>
      </w:r>
    </w:p>
    <w:p w14:paraId="6B6EF8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3" w:name="_Toc337558730"/>
      <w:bookmarkStart w:id="84" w:name="_Toc296346531"/>
      <w:bookmarkStart w:id="85" w:name="_Toc407261897"/>
      <w:bookmarkStart w:id="86" w:name="_Toc296503030"/>
      <w:r>
        <w:rPr>
          <w:rFonts w:hint="eastAsia" w:ascii="宋体" w:hAnsi="宋体" w:eastAsia="宋体" w:cs="宋体"/>
          <w:b/>
          <w:bCs w:val="0"/>
          <w:color w:val="auto"/>
          <w:sz w:val="21"/>
          <w:szCs w:val="21"/>
          <w:highlight w:val="none"/>
        </w:rPr>
        <w:t>1.3 法律</w:t>
      </w:r>
      <w:bookmarkEnd w:id="83"/>
      <w:bookmarkEnd w:id="84"/>
      <w:bookmarkEnd w:id="85"/>
      <w:bookmarkEnd w:id="86"/>
    </w:p>
    <w:p w14:paraId="158F94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合同所称法律是指中华人民共和国法律、行政法规、部门规章，以及本省地方性法规、规章等。</w:t>
      </w:r>
    </w:p>
    <w:p w14:paraId="1A259A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合同当事人可以在专用合同条款中约定合同适用的其他规范性文件。</w:t>
      </w:r>
    </w:p>
    <w:p w14:paraId="5256F9A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7" w:name="_Toc407261898"/>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.4 标准和规范</w:t>
      </w:r>
      <w:bookmarkEnd w:id="87"/>
    </w:p>
    <w:p w14:paraId="17134D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适用于工程造价咨询的国家标准、行业标准、本省地方性标准，以及相应的规范、规程等，合同当事人有特别要求的，应在专用合同条款中约定。</w:t>
      </w:r>
    </w:p>
    <w:p w14:paraId="333ED78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8" w:name="_Toc407261899"/>
      <w:r>
        <w:rPr>
          <w:rFonts w:hint="eastAsia" w:ascii="宋体" w:hAnsi="宋体" w:eastAsia="宋体" w:cs="宋体"/>
          <w:b/>
          <w:bCs w:val="0"/>
          <w:color w:val="auto"/>
          <w:sz w:val="21"/>
          <w:szCs w:val="21"/>
          <w:highlight w:val="none"/>
        </w:rPr>
        <w:t>1</w:t>
      </w:r>
      <w:bookmarkStart w:id="89" w:name="_Toc296503031"/>
      <w:bookmarkStart w:id="90" w:name="_Toc296346532"/>
      <w:bookmarkStart w:id="91" w:name="_Toc337558731"/>
      <w:r>
        <w:rPr>
          <w:rFonts w:hint="eastAsia" w:ascii="宋体" w:hAnsi="宋体" w:eastAsia="宋体" w:cs="宋体"/>
          <w:b/>
          <w:bCs w:val="0"/>
          <w:color w:val="auto"/>
          <w:sz w:val="21"/>
          <w:szCs w:val="21"/>
          <w:highlight w:val="none"/>
        </w:rPr>
        <w:t>.5 合同文件的优先顺序</w:t>
      </w:r>
      <w:bookmarkEnd w:id="88"/>
    </w:p>
    <w:bookmarkEnd w:id="89"/>
    <w:bookmarkEnd w:id="90"/>
    <w:bookmarkEnd w:id="91"/>
    <w:p w14:paraId="0ACD435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14:paraId="704AA6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合同协议书；</w:t>
      </w:r>
    </w:p>
    <w:p w14:paraId="30C1F3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中标通知书（如果有）；</w:t>
      </w:r>
    </w:p>
    <w:p w14:paraId="6B7CB5F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投标函及其附录（如果有）；</w:t>
      </w:r>
    </w:p>
    <w:p w14:paraId="3AA66E1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3B4339D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通用合同条款。</w:t>
      </w:r>
    </w:p>
    <w:p w14:paraId="5550B1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3751B8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63FED95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2" w:name="_Toc407261900"/>
      <w:bookmarkStart w:id="93" w:name="_Toc351203502"/>
      <w:r>
        <w:rPr>
          <w:rFonts w:hint="eastAsia" w:ascii="宋体" w:hAnsi="宋体" w:eastAsia="宋体" w:cs="宋体"/>
          <w:b/>
          <w:bCs w:val="0"/>
          <w:color w:val="auto"/>
          <w:sz w:val="21"/>
          <w:szCs w:val="21"/>
          <w:highlight w:val="none"/>
        </w:rPr>
        <w:t>1</w:t>
      </w:r>
      <w:bookmarkStart w:id="94" w:name="_Toc337558733"/>
      <w:bookmarkStart w:id="95" w:name="_Toc296503033"/>
      <w:bookmarkStart w:id="96" w:name="_Toc296346534"/>
      <w:r>
        <w:rPr>
          <w:rFonts w:hint="eastAsia" w:ascii="宋体" w:hAnsi="宋体" w:eastAsia="宋体" w:cs="宋体"/>
          <w:b/>
          <w:bCs w:val="0"/>
          <w:color w:val="auto"/>
          <w:sz w:val="21"/>
          <w:szCs w:val="21"/>
          <w:highlight w:val="none"/>
        </w:rPr>
        <w:t>.6 联络</w:t>
      </w:r>
      <w:bookmarkEnd w:id="92"/>
      <w:bookmarkEnd w:id="93"/>
    </w:p>
    <w:bookmarkEnd w:id="94"/>
    <w:bookmarkEnd w:id="95"/>
    <w:bookmarkEnd w:id="96"/>
    <w:p w14:paraId="1EE42493">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1.6.1</w:t>
      </w:r>
      <w:r>
        <w:rPr>
          <w:rFonts w:hint="eastAsia" w:ascii="宋体" w:hAnsi="宋体" w:eastAsia="宋体" w:cs="宋体"/>
          <w:color w:val="auto"/>
          <w:kern w:val="0"/>
          <w:sz w:val="21"/>
          <w:szCs w:val="21"/>
          <w:highlight w:val="none"/>
        </w:rPr>
        <w:t>与合同有关的通知、批准、证明、证书、指示、指令、要求、请求、同意、意见、确定和决定等，均应采用书面形式，并应在合同约定的期限内送达接收人和送达地点。</w:t>
      </w:r>
    </w:p>
    <w:p w14:paraId="581E26CE">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1.6.2</w:t>
      </w:r>
      <w:r>
        <w:rPr>
          <w:rFonts w:hint="eastAsia" w:ascii="宋体" w:hAnsi="宋体" w:eastAsia="宋体" w:cs="宋体"/>
          <w:color w:val="auto"/>
          <w:kern w:val="0"/>
          <w:sz w:val="21"/>
          <w:szCs w:val="21"/>
          <w:highlight w:val="none"/>
        </w:rPr>
        <w:t>委托人和咨询人应在专用合同条款中约定各自的送达接收人、送达地点、电子邮箱。任何一方合同当事人指定的接收人或送达地点或电子邮箱发生变动的，应提前3天以书面形式通知对方。</w:t>
      </w:r>
    </w:p>
    <w:p w14:paraId="1F15C88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r>
        <w:rPr>
          <w:rFonts w:hint="eastAsia" w:ascii="宋体" w:hAnsi="宋体" w:eastAsia="宋体" w:cs="宋体"/>
          <w:color w:val="auto"/>
          <w:kern w:val="0"/>
          <w:sz w:val="21"/>
          <w:szCs w:val="21"/>
          <w:highlight w:val="none"/>
        </w:rPr>
        <w:t>委托人和咨询人应当及时签收另一方送达至送达地点和指定接收人的来往信函。拒不签收的，由此增加的费用和延误的咨询期限由拒绝接收一方承担。</w:t>
      </w:r>
    </w:p>
    <w:p w14:paraId="52EEA64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7" w:name="_Toc407261901"/>
      <w:r>
        <w:rPr>
          <w:rFonts w:hint="eastAsia" w:ascii="宋体" w:hAnsi="宋体" w:eastAsia="宋体" w:cs="宋体"/>
          <w:b/>
          <w:bCs w:val="0"/>
          <w:color w:val="auto"/>
          <w:sz w:val="21"/>
          <w:szCs w:val="21"/>
          <w:highlight w:val="none"/>
        </w:rPr>
        <w:t>1.7 守法诚信</w:t>
      </w:r>
      <w:bookmarkEnd w:id="97"/>
    </w:p>
    <w:p w14:paraId="28FCB2B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1C6D5D6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8" w:name="_Toc407261902"/>
      <w:r>
        <w:rPr>
          <w:rFonts w:hint="eastAsia" w:ascii="宋体" w:hAnsi="宋体" w:eastAsia="宋体" w:cs="宋体"/>
          <w:b/>
          <w:bCs w:val="0"/>
          <w:color w:val="auto"/>
          <w:sz w:val="21"/>
          <w:szCs w:val="21"/>
          <w:highlight w:val="none"/>
        </w:rPr>
        <w:t>1.8 保密</w:t>
      </w:r>
      <w:bookmarkEnd w:id="98"/>
    </w:p>
    <w:p w14:paraId="4223CA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双方不得泄露对方申明的保密资料，亦不得泄露与实施工程造价咨询业务有关的第三人所提供的保密资料，保密事项在专用合同条款中约定。</w:t>
      </w:r>
    </w:p>
    <w:p w14:paraId="6F537D9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9" w:name="_Toc407261903"/>
      <w:r>
        <w:rPr>
          <w:rFonts w:hint="eastAsia" w:ascii="宋体" w:hAnsi="宋体" w:eastAsia="宋体" w:cs="宋体"/>
          <w:b/>
          <w:bCs w:val="0"/>
          <w:color w:val="auto"/>
          <w:sz w:val="21"/>
          <w:szCs w:val="21"/>
          <w:highlight w:val="none"/>
        </w:rPr>
        <w:t>2. 委托人</w:t>
      </w:r>
      <w:bookmarkEnd w:id="99"/>
    </w:p>
    <w:p w14:paraId="671CEE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0" w:name="_Toc407261904"/>
      <w:r>
        <w:rPr>
          <w:rFonts w:hint="eastAsia" w:ascii="宋体" w:hAnsi="宋体" w:eastAsia="宋体" w:cs="宋体"/>
          <w:b/>
          <w:bCs w:val="0"/>
          <w:color w:val="auto"/>
          <w:sz w:val="21"/>
          <w:szCs w:val="21"/>
          <w:highlight w:val="none"/>
        </w:rPr>
        <w:t>2.1 委托人代表</w:t>
      </w:r>
      <w:bookmarkEnd w:id="100"/>
    </w:p>
    <w:p w14:paraId="4EB00EC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6910E30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1" w:name="_Toc407261905"/>
      <w:r>
        <w:rPr>
          <w:rFonts w:hint="eastAsia" w:ascii="宋体" w:hAnsi="宋体" w:eastAsia="宋体" w:cs="宋体"/>
          <w:b/>
          <w:bCs w:val="0"/>
          <w:color w:val="auto"/>
          <w:sz w:val="21"/>
          <w:szCs w:val="21"/>
          <w:highlight w:val="none"/>
        </w:rPr>
        <w:t>2.2 提供资料</w:t>
      </w:r>
      <w:bookmarkEnd w:id="101"/>
    </w:p>
    <w:p w14:paraId="732C9FB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委托人向咨询人提供的工程造价咨询所需要的资料名称及提供时间在专用合同条款中约定，委托人对其提供资料的真实性、准确性和完整性负责。</w:t>
      </w:r>
    </w:p>
    <w:p w14:paraId="31C381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F76E7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委托人未能按合同约定及时向咨询人提供咨询资料的，由委托人承担由此增加的费用和延误的咨询期限。</w:t>
      </w:r>
    </w:p>
    <w:p w14:paraId="6E5B660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2" w:name="_Toc407261906"/>
      <w:r>
        <w:rPr>
          <w:rFonts w:hint="eastAsia" w:ascii="宋体" w:hAnsi="宋体" w:eastAsia="宋体" w:cs="宋体"/>
          <w:b/>
          <w:bCs w:val="0"/>
          <w:color w:val="auto"/>
          <w:sz w:val="21"/>
          <w:szCs w:val="21"/>
          <w:highlight w:val="none"/>
        </w:rPr>
        <w:t>2.3 提供工作条件</w:t>
      </w:r>
      <w:bookmarkEnd w:id="102"/>
    </w:p>
    <w:p w14:paraId="2CA6E15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委托人应负责与本工程造价咨询业务有关的第三人的协调，为咨询人履行本合同提供必要的外部条件。</w:t>
      </w:r>
    </w:p>
    <w:p w14:paraId="26EBC7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咨询人接受委托实施施工阶段全过程造价管理咨询工作的，委托人应当在施工现场为咨询人提供必要的办公用房、办公家具，供咨询人使用。</w:t>
      </w:r>
    </w:p>
    <w:p w14:paraId="3577C37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3" w:name="_Toc407261907"/>
      <w:r>
        <w:rPr>
          <w:rFonts w:hint="eastAsia" w:ascii="宋体" w:hAnsi="宋体" w:eastAsia="宋体" w:cs="宋体"/>
          <w:b/>
          <w:bCs w:val="0"/>
          <w:color w:val="auto"/>
          <w:sz w:val="21"/>
          <w:szCs w:val="21"/>
          <w:highlight w:val="none"/>
        </w:rPr>
        <w:t>2.4 答复</w:t>
      </w:r>
      <w:bookmarkEnd w:id="103"/>
    </w:p>
    <w:p w14:paraId="554E711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404B26E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2E53BB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4" w:name="_Toc407261908"/>
      <w:r>
        <w:rPr>
          <w:rFonts w:hint="eastAsia" w:ascii="宋体" w:hAnsi="宋体" w:eastAsia="宋体" w:cs="宋体"/>
          <w:b/>
          <w:bCs w:val="0"/>
          <w:color w:val="auto"/>
          <w:sz w:val="21"/>
          <w:szCs w:val="21"/>
          <w:highlight w:val="none"/>
        </w:rPr>
        <w:t>2.5 支付酬金</w:t>
      </w:r>
      <w:bookmarkEnd w:id="104"/>
    </w:p>
    <w:p w14:paraId="15729ED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委托人应按合同约定，向咨询人支付酬金。</w:t>
      </w:r>
    </w:p>
    <w:p w14:paraId="7F9A0A3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5" w:name="_Toc407261909"/>
      <w:r>
        <w:rPr>
          <w:rFonts w:hint="eastAsia" w:ascii="宋体" w:hAnsi="宋体" w:eastAsia="宋体" w:cs="宋体"/>
          <w:b/>
          <w:bCs w:val="0"/>
          <w:color w:val="auto"/>
          <w:sz w:val="21"/>
          <w:szCs w:val="21"/>
          <w:highlight w:val="none"/>
        </w:rPr>
        <w:t>3. 咨询人</w:t>
      </w:r>
      <w:bookmarkEnd w:id="105"/>
    </w:p>
    <w:p w14:paraId="7E336A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6" w:name="_Toc384026373"/>
      <w:bookmarkStart w:id="107" w:name="_Toc389663475"/>
      <w:bookmarkStart w:id="108" w:name="_Toc389602818"/>
      <w:bookmarkStart w:id="109" w:name="_Toc384137544"/>
      <w:bookmarkStart w:id="110" w:name="_Toc383940899"/>
      <w:bookmarkStart w:id="111" w:name="_Toc407261910"/>
      <w:r>
        <w:rPr>
          <w:rFonts w:hint="eastAsia" w:ascii="宋体" w:hAnsi="宋体" w:eastAsia="宋体" w:cs="宋体"/>
          <w:b/>
          <w:bCs w:val="0"/>
          <w:color w:val="auto"/>
          <w:sz w:val="21"/>
          <w:szCs w:val="21"/>
          <w:highlight w:val="none"/>
        </w:rPr>
        <w:t>3.1 咨询人的一般义务</w:t>
      </w:r>
      <w:bookmarkEnd w:id="106"/>
      <w:bookmarkEnd w:id="107"/>
      <w:bookmarkEnd w:id="108"/>
      <w:bookmarkEnd w:id="109"/>
      <w:bookmarkEnd w:id="110"/>
      <w:bookmarkEnd w:id="111"/>
    </w:p>
    <w:p w14:paraId="0C6DF02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3.1.1向委托人提供与工程造价咨询业务有关的资料，包括承担本合同咨询业务的工程造价专业人员任命文件、工程造价咨询实施方案等。</w:t>
      </w:r>
    </w:p>
    <w:p w14:paraId="645A7FD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3.1.2踏勘现场，了解情况，收集、整理工程造价咨询项目有关的基础资料和编制依据，进行有效性、合规性核对，保证工程计价基础资料和编制依据的全面性、真实性和有效性。</w:t>
      </w:r>
    </w:p>
    <w:p w14:paraId="427C1C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3.1.3按照咨询合同约定的工作范围和内容，编制、审核、审定工程造价咨询成果文件，并在专用合同条款约定的时间内，向委托人提交符合国家、行业规定及合同约定的工程造价咨询成果文件。</w:t>
      </w:r>
    </w:p>
    <w:p w14:paraId="3216B3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3.1.4组织咨询服务回访，听取委托人对服务质量的评价意见，及时进行总结，提出相应的改进措施。</w:t>
      </w:r>
    </w:p>
    <w:p w14:paraId="6BEA2DC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3.1.5收集工程造价咨询业务中形成的工程造价咨询过程文件和工程造价咨询成果文件，整理立卷后建立档案。</w:t>
      </w:r>
    </w:p>
    <w:p w14:paraId="6F304FE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2" w:name="_Toc407261911"/>
      <w:r>
        <w:rPr>
          <w:rFonts w:hint="eastAsia" w:ascii="宋体" w:hAnsi="宋体" w:eastAsia="宋体" w:cs="宋体"/>
          <w:b/>
          <w:bCs w:val="0"/>
          <w:color w:val="auto"/>
          <w:sz w:val="21"/>
          <w:szCs w:val="21"/>
          <w:highlight w:val="none"/>
        </w:rPr>
        <w:t>3.2 项目负责人</w:t>
      </w:r>
      <w:bookmarkEnd w:id="112"/>
    </w:p>
    <w:p w14:paraId="60B6038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3F3D281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3" w:name="_Toc384137546"/>
      <w:bookmarkStart w:id="114" w:name="_Toc383940901"/>
      <w:bookmarkStart w:id="115" w:name="_Toc384026375"/>
      <w:bookmarkStart w:id="116" w:name="_Toc389602820"/>
      <w:bookmarkStart w:id="117" w:name="_Toc389663477"/>
      <w:bookmarkStart w:id="118" w:name="_Toc407261912"/>
      <w:r>
        <w:rPr>
          <w:rFonts w:hint="eastAsia" w:ascii="宋体" w:hAnsi="宋体" w:eastAsia="宋体" w:cs="宋体"/>
          <w:b/>
          <w:bCs w:val="0"/>
          <w:color w:val="auto"/>
          <w:sz w:val="21"/>
          <w:szCs w:val="21"/>
          <w:highlight w:val="none"/>
        </w:rPr>
        <w:t>3.3 工程造价专业人员</w:t>
      </w:r>
      <w:bookmarkEnd w:id="113"/>
      <w:bookmarkEnd w:id="114"/>
      <w:bookmarkEnd w:id="115"/>
      <w:bookmarkEnd w:id="116"/>
      <w:bookmarkEnd w:id="117"/>
      <w:bookmarkEnd w:id="118"/>
    </w:p>
    <w:p w14:paraId="0D55F50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4D463B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29A853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1"/>
          <w:szCs w:val="21"/>
          <w:highlight w:val="none"/>
        </w:rPr>
        <w:t>确需离开施工现场时，应征得委托人同意。</w:t>
      </w:r>
      <w:r>
        <w:rPr>
          <w:rFonts w:hint="eastAsia" w:ascii="宋体" w:hAnsi="宋体" w:eastAsia="宋体" w:cs="宋体"/>
          <w:color w:val="auto"/>
          <w:sz w:val="21"/>
          <w:szCs w:val="21"/>
          <w:highlight w:val="none"/>
        </w:rPr>
        <w:t>咨询人违反约定的，应按照专用合同条款的约定，承担违约责任。</w:t>
      </w:r>
    </w:p>
    <w:p w14:paraId="458B5FE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委托人要求咨询人撤换不能按照合同约定履行职责及义务的工程造价专业人员的，咨询人应当撤换。咨询人无正当理由拒绝撤换的，应按照专用合同条款的约定，承担违约责任。</w:t>
      </w:r>
    </w:p>
    <w:p w14:paraId="5CAFBDF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9" w:name="_Toc407261913"/>
      <w:r>
        <w:rPr>
          <w:rFonts w:hint="eastAsia" w:ascii="宋体" w:hAnsi="宋体" w:eastAsia="宋体" w:cs="宋体"/>
          <w:b/>
          <w:bCs w:val="0"/>
          <w:color w:val="auto"/>
          <w:sz w:val="21"/>
          <w:szCs w:val="21"/>
          <w:highlight w:val="none"/>
        </w:rPr>
        <w:t>4. 咨询业务范围和工作内容</w:t>
      </w:r>
      <w:bookmarkEnd w:id="119"/>
    </w:p>
    <w:p w14:paraId="09266D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0" w:name="_Toc407261914"/>
      <w:r>
        <w:rPr>
          <w:rFonts w:hint="eastAsia" w:ascii="宋体" w:hAnsi="宋体" w:eastAsia="宋体" w:cs="宋体"/>
          <w:b/>
          <w:bCs w:val="0"/>
          <w:color w:val="auto"/>
          <w:sz w:val="21"/>
          <w:szCs w:val="21"/>
          <w:highlight w:val="none"/>
        </w:rPr>
        <w:t>4.1 咨询业务范围</w:t>
      </w:r>
      <w:bookmarkEnd w:id="120"/>
    </w:p>
    <w:p w14:paraId="20278C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合同当事人应在合同协议书中约定选择下列工程造价咨询业务中的一项或数项业务，并可在合同协议书中约定其他工程造价咨询业务。</w:t>
      </w:r>
    </w:p>
    <w:p w14:paraId="08EAE54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投资估算的编制或审核；</w:t>
      </w:r>
    </w:p>
    <w:p w14:paraId="762C6C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设计概算的编制或审核；</w:t>
      </w:r>
    </w:p>
    <w:p w14:paraId="541FCF7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施工图预算的编制或审核；</w:t>
      </w:r>
    </w:p>
    <w:p w14:paraId="2529659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工程量清单的编制或审核；</w:t>
      </w:r>
    </w:p>
    <w:p w14:paraId="1B2061F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招标控制价的编制或审核；</w:t>
      </w:r>
    </w:p>
    <w:p w14:paraId="7E7BA3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投标报价的编制；</w:t>
      </w:r>
    </w:p>
    <w:p w14:paraId="1AF3477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sz w:val="21"/>
          <w:szCs w:val="21"/>
          <w:highlight w:val="none"/>
        </w:rPr>
        <w:t>工程结算的编制或审核；</w:t>
      </w:r>
    </w:p>
    <w:p w14:paraId="362230B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sz w:val="21"/>
          <w:szCs w:val="21"/>
          <w:highlight w:val="none"/>
        </w:rPr>
        <w:t>竣工决算的编制或审核；</w:t>
      </w:r>
    </w:p>
    <w:p w14:paraId="6B43A5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施工阶段全过程造价管理咨询；</w:t>
      </w:r>
    </w:p>
    <w:p w14:paraId="1A7542E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sz w:val="21"/>
          <w:szCs w:val="21"/>
          <w:highlight w:val="none"/>
        </w:rPr>
        <w:t>工程造价鉴定。</w:t>
      </w:r>
    </w:p>
    <w:p w14:paraId="7FECC2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1" w:name="_Toc407261915"/>
      <w:r>
        <w:rPr>
          <w:rFonts w:hint="eastAsia" w:ascii="宋体" w:hAnsi="宋体" w:eastAsia="宋体" w:cs="宋体"/>
          <w:b/>
          <w:bCs w:val="0"/>
          <w:color w:val="auto"/>
          <w:sz w:val="21"/>
          <w:szCs w:val="21"/>
          <w:highlight w:val="none"/>
        </w:rPr>
        <w:t>4.2 咨询工作内容</w:t>
      </w:r>
      <w:bookmarkEnd w:id="121"/>
    </w:p>
    <w:p w14:paraId="28D26B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工程造价咨询工作内容，由合同当事人在专用合同条款中约定。</w:t>
      </w:r>
    </w:p>
    <w:p w14:paraId="68B5CF8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2" w:name="_Toc407261916"/>
      <w:bookmarkStart w:id="123" w:name="_Toc296346574"/>
      <w:bookmarkStart w:id="124" w:name="_Toc337558772"/>
      <w:bookmarkStart w:id="125" w:name="_Toc296503073"/>
      <w:r>
        <w:rPr>
          <w:rFonts w:hint="eastAsia" w:ascii="宋体" w:hAnsi="宋体" w:eastAsia="宋体" w:cs="宋体"/>
          <w:b/>
          <w:bCs w:val="0"/>
          <w:color w:val="auto"/>
          <w:sz w:val="21"/>
          <w:szCs w:val="21"/>
          <w:highlight w:val="none"/>
        </w:rPr>
        <w:t>5. 咨询期限</w:t>
      </w:r>
      <w:bookmarkEnd w:id="122"/>
    </w:p>
    <w:bookmarkEnd w:id="123"/>
    <w:bookmarkEnd w:id="124"/>
    <w:bookmarkEnd w:id="125"/>
    <w:p w14:paraId="3E16172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6" w:name="_Toc407261917"/>
      <w:r>
        <w:rPr>
          <w:rFonts w:hint="eastAsia" w:ascii="宋体" w:hAnsi="宋体" w:eastAsia="宋体" w:cs="宋体"/>
          <w:b/>
          <w:bCs w:val="0"/>
          <w:color w:val="auto"/>
          <w:sz w:val="21"/>
          <w:szCs w:val="21"/>
          <w:highlight w:val="none"/>
        </w:rPr>
        <w:t>5.1 咨询期限开始</w:t>
      </w:r>
      <w:bookmarkEnd w:id="126"/>
    </w:p>
    <w:p w14:paraId="4207D66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咨询人应按照合同约定的时间开展咨询工作，因委托人提供咨询资料延后等原因，导致咨询工作未能按照计划开始日期开展的，咨询开始日期和结束日期相应顺延。</w:t>
      </w:r>
    </w:p>
    <w:p w14:paraId="1E72092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7" w:name="_Toc407261918"/>
      <w:r>
        <w:rPr>
          <w:rFonts w:hint="eastAsia" w:ascii="宋体" w:hAnsi="宋体" w:eastAsia="宋体" w:cs="宋体"/>
          <w:b/>
          <w:bCs w:val="0"/>
          <w:color w:val="auto"/>
          <w:sz w:val="21"/>
          <w:szCs w:val="21"/>
          <w:highlight w:val="none"/>
        </w:rPr>
        <w:t>5.2 咨询期限延误</w:t>
      </w:r>
      <w:bookmarkEnd w:id="127"/>
    </w:p>
    <w:p w14:paraId="0FB3924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因委托人原因导致咨询期限延误</w:t>
      </w:r>
    </w:p>
    <w:p w14:paraId="77EA4E8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7BDD976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委托人未能按合同约定向咨询人提供工程造价咨询所需要的资料或所提供咨询资料不符合合同约定的；</w:t>
      </w:r>
    </w:p>
    <w:p w14:paraId="1FEBF7F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委托人未能按合同约定提供咨询工作条件，影响咨询工作正常开展的；</w:t>
      </w:r>
    </w:p>
    <w:p w14:paraId="05C55BB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委托人未能在合理期限内对咨询人以书面形式提交并要求作出决定的事宜，给予书面答复，影响咨询工作正常开展的；</w:t>
      </w:r>
    </w:p>
    <w:p w14:paraId="1CEDA3B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委托人未能按合同约定分段支付酬金的；</w:t>
      </w:r>
    </w:p>
    <w:p w14:paraId="3D3A36E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工程暂停施工或工期延误，影响咨询工作正常开展的；</w:t>
      </w:r>
    </w:p>
    <w:p w14:paraId="34551A3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专用合同条款中约定的其他情形。</w:t>
      </w:r>
    </w:p>
    <w:p w14:paraId="45564E8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因咨询人原因导致咨询期限延误</w:t>
      </w:r>
    </w:p>
    <w:p w14:paraId="5C8871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28" w:name="_Toc296346577"/>
      <w:bookmarkStart w:id="129" w:name="_Toc296503076"/>
      <w:r>
        <w:rPr>
          <w:rFonts w:hint="eastAsia" w:ascii="宋体" w:hAnsi="宋体" w:eastAsia="宋体" w:cs="宋体"/>
          <w:color w:val="auto"/>
          <w:sz w:val="21"/>
          <w:szCs w:val="21"/>
          <w:highlight w:val="none"/>
        </w:rPr>
        <w:t>因</w:t>
      </w:r>
      <w:bookmarkEnd w:id="128"/>
      <w:bookmarkEnd w:id="129"/>
      <w:r>
        <w:rPr>
          <w:rFonts w:hint="eastAsia" w:ascii="宋体" w:hAnsi="宋体" w:eastAsia="宋体" w:cs="宋体"/>
          <w:color w:val="auto"/>
          <w:sz w:val="21"/>
          <w:szCs w:val="21"/>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1F84DA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 因第三人原因导致咨询期限延误</w:t>
      </w:r>
    </w:p>
    <w:p w14:paraId="5481061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1CC164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第三人未能在合理期限内提供工程造价咨询所需要的资料或所提供咨询资料不符合合同约定的；</w:t>
      </w:r>
    </w:p>
    <w:p w14:paraId="6AE462B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第三人未能在合理期限内对咨询人以书面形式提交并要求作出决定的事宜，给予书面答复，影响咨询工作正常开展的；</w:t>
      </w:r>
    </w:p>
    <w:p w14:paraId="5DF5037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专用合同条款中约定的其他情形。</w:t>
      </w:r>
    </w:p>
    <w:p w14:paraId="0B11F94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0" w:name="_Toc407261919"/>
      <w:r>
        <w:rPr>
          <w:rFonts w:hint="eastAsia" w:ascii="宋体" w:hAnsi="宋体" w:eastAsia="宋体" w:cs="宋体"/>
          <w:b/>
          <w:bCs w:val="0"/>
          <w:color w:val="auto"/>
          <w:sz w:val="21"/>
          <w:szCs w:val="21"/>
          <w:highlight w:val="none"/>
        </w:rPr>
        <w:t>5.3 工程造价咨询成果文件交付期限</w:t>
      </w:r>
      <w:bookmarkEnd w:id="130"/>
    </w:p>
    <w:p w14:paraId="0D27ED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135B0B2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在施工阶段全过程造价管理咨询工作中，因咨询人原因未能在合理的期限内完成工程计量与支付、合同价款调整等文件编制或审核，给委托人造成损失的，应按照专用合同条款的约定，承担违约责任。</w:t>
      </w:r>
    </w:p>
    <w:p w14:paraId="28D475C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5.3.3</w:t>
      </w:r>
      <w:r>
        <w:rPr>
          <w:rFonts w:hint="eastAsia" w:ascii="宋体" w:hAnsi="宋体" w:eastAsia="宋体" w:cs="宋体"/>
          <w:color w:val="auto"/>
          <w:sz w:val="21"/>
          <w:szCs w:val="21"/>
          <w:highlight w:val="none"/>
        </w:rPr>
        <w:t>咨询人提交的工程造价咨询成果文件需要第三人共同确认的，确因特殊原因不能共同签署时，咨询人应单独出具工程造价咨询成果文件，并承担相应法律责任。</w:t>
      </w:r>
    </w:p>
    <w:p w14:paraId="04B4285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1" w:name="_Toc407261920"/>
      <w:r>
        <w:rPr>
          <w:rFonts w:hint="eastAsia" w:ascii="宋体" w:hAnsi="宋体" w:eastAsia="宋体" w:cs="宋体"/>
          <w:b/>
          <w:bCs w:val="0"/>
          <w:color w:val="auto"/>
          <w:sz w:val="21"/>
          <w:szCs w:val="21"/>
          <w:highlight w:val="none"/>
        </w:rPr>
        <w:t>6. 咨询质量</w:t>
      </w:r>
      <w:bookmarkEnd w:id="131"/>
    </w:p>
    <w:p w14:paraId="35BFD06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2" w:name="_Toc407261921"/>
      <w:r>
        <w:rPr>
          <w:rFonts w:hint="eastAsia" w:ascii="宋体" w:hAnsi="宋体" w:eastAsia="宋体" w:cs="宋体"/>
          <w:b/>
          <w:bCs w:val="0"/>
          <w:color w:val="auto"/>
          <w:sz w:val="21"/>
          <w:szCs w:val="21"/>
          <w:highlight w:val="none"/>
        </w:rPr>
        <w:t>6.1 质量要求</w:t>
      </w:r>
      <w:bookmarkEnd w:id="132"/>
    </w:p>
    <w:p w14:paraId="22D95AF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33" w:name="_Toc337558760"/>
      <w:r>
        <w:rPr>
          <w:rFonts w:hint="eastAsia" w:ascii="宋体" w:hAnsi="宋体" w:eastAsia="宋体" w:cs="宋体"/>
          <w:color w:val="auto"/>
          <w:sz w:val="21"/>
          <w:szCs w:val="21"/>
          <w:highlight w:val="none"/>
        </w:rPr>
        <w:t>咨询人出具的工程造价咨询成果文件质量应符合现行国家或行业工程计价有关规定、标准、规范的要求。</w:t>
      </w:r>
    </w:p>
    <w:p w14:paraId="043856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委托人要求的工程造价咨询成果文件质量标准高于现行国家或行业标准的，应在专用合同条款中约定具体的质量标准，并相应增加咨询酬金。</w:t>
      </w:r>
    </w:p>
    <w:p w14:paraId="523B5F1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4" w:name="_Toc407261922"/>
      <w:r>
        <w:rPr>
          <w:rFonts w:hint="eastAsia" w:ascii="宋体" w:hAnsi="宋体" w:eastAsia="宋体" w:cs="宋体"/>
          <w:b/>
          <w:bCs w:val="0"/>
          <w:color w:val="auto"/>
          <w:sz w:val="21"/>
          <w:szCs w:val="21"/>
          <w:highlight w:val="none"/>
        </w:rPr>
        <w:t>6.2 质量保证措施</w:t>
      </w:r>
      <w:bookmarkEnd w:id="134"/>
    </w:p>
    <w:bookmarkEnd w:id="133"/>
    <w:p w14:paraId="76E39E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咨询人应建立相应的质量管理体系，并通过计划管理、流程控制保证工程造价咨询成果文件质量。</w:t>
      </w:r>
    </w:p>
    <w:p w14:paraId="659A285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5" w:name="_Toc407261923"/>
      <w:r>
        <w:rPr>
          <w:rFonts w:hint="eastAsia" w:ascii="宋体" w:hAnsi="宋体" w:eastAsia="宋体" w:cs="宋体"/>
          <w:b/>
          <w:bCs w:val="0"/>
          <w:color w:val="auto"/>
          <w:sz w:val="21"/>
          <w:szCs w:val="21"/>
          <w:highlight w:val="none"/>
        </w:rPr>
        <w:t>6.3 质量不合格处理</w:t>
      </w:r>
      <w:bookmarkEnd w:id="135"/>
    </w:p>
    <w:p w14:paraId="292F60E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2B0CDAB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6165CF8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6" w:name="_Toc407261924"/>
      <w:r>
        <w:rPr>
          <w:rFonts w:hint="eastAsia" w:ascii="宋体" w:hAnsi="宋体" w:eastAsia="宋体" w:cs="宋体"/>
          <w:b/>
          <w:bCs w:val="0"/>
          <w:color w:val="auto"/>
          <w:sz w:val="21"/>
          <w:szCs w:val="21"/>
          <w:highlight w:val="none"/>
        </w:rPr>
        <w:t>7. 咨询酬金</w:t>
      </w:r>
      <w:bookmarkEnd w:id="136"/>
    </w:p>
    <w:p w14:paraId="26A9F94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7" w:name="_Toc407261925"/>
      <w:r>
        <w:rPr>
          <w:rFonts w:hint="eastAsia" w:ascii="宋体" w:hAnsi="宋体" w:eastAsia="宋体" w:cs="宋体"/>
          <w:b/>
          <w:bCs w:val="0"/>
          <w:color w:val="auto"/>
          <w:sz w:val="21"/>
          <w:szCs w:val="21"/>
          <w:highlight w:val="none"/>
        </w:rPr>
        <w:t>7.1 酬金计算方式</w:t>
      </w:r>
      <w:bookmarkEnd w:id="137"/>
    </w:p>
    <w:p w14:paraId="3E25D36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除专用合同条款另有约定外，合同当事人应在</w:t>
      </w:r>
      <w:r>
        <w:rPr>
          <w:rFonts w:hint="eastAsia" w:ascii="宋体" w:hAnsi="宋体" w:eastAsia="宋体" w:cs="宋体"/>
          <w:color w:val="auto"/>
          <w:kern w:val="0"/>
          <w:sz w:val="21"/>
          <w:szCs w:val="21"/>
          <w:highlight w:val="none"/>
        </w:rPr>
        <w:t>合同协议书或</w:t>
      </w:r>
      <w:r>
        <w:rPr>
          <w:rFonts w:hint="eastAsia" w:ascii="宋体" w:hAnsi="宋体" w:eastAsia="宋体" w:cs="宋体"/>
          <w:color w:val="auto"/>
          <w:sz w:val="21"/>
          <w:szCs w:val="21"/>
          <w:highlight w:val="none"/>
        </w:rPr>
        <w:t>专用合同条款</w:t>
      </w:r>
      <w:r>
        <w:rPr>
          <w:rFonts w:hint="eastAsia" w:ascii="宋体" w:hAnsi="宋体" w:eastAsia="宋体" w:cs="宋体"/>
          <w:color w:val="auto"/>
          <w:kern w:val="0"/>
          <w:sz w:val="21"/>
          <w:szCs w:val="21"/>
          <w:highlight w:val="none"/>
        </w:rPr>
        <w:t>中选择下列</w:t>
      </w:r>
      <w:r>
        <w:rPr>
          <w:rFonts w:hint="eastAsia" w:ascii="宋体" w:hAnsi="宋体" w:eastAsia="宋体" w:cs="宋体"/>
          <w:color w:val="auto"/>
          <w:sz w:val="21"/>
          <w:szCs w:val="21"/>
          <w:highlight w:val="none"/>
        </w:rPr>
        <w:t>酬金计算方式之一：</w:t>
      </w:r>
    </w:p>
    <w:p w14:paraId="70A7DFC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7.1.1 固定酬金</w:t>
      </w:r>
    </w:p>
    <w:p w14:paraId="1B755A3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合同当事人在合同协议书中约定咨询酬金金额。</w:t>
      </w:r>
    </w:p>
    <w:p w14:paraId="2F1C14B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基本酬金加绩效酬金</w:t>
      </w:r>
    </w:p>
    <w:p w14:paraId="36E1692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合同当事人可以在专用合同条款中约定按以下计算方式确定委托人支付给咨询人的基本酬金和绩效酬金金额：</w:t>
      </w:r>
    </w:p>
    <w:p w14:paraId="1A7C16F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以施工单位编报的结算总价为基数，乘以专用合同条款约定的基本酬金比例，计算确定基本酬金金额。</w:t>
      </w:r>
    </w:p>
    <w:p w14:paraId="1121E52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（2）委托人除支付咨询人基本酬金外，如咨询人审核的工程造价成果文件有审减（增）额的，可以审减（增）额为基数，乘以专用合同条款约定的绩效酬金比例，计算确定绩效酬金金额。</w:t>
      </w:r>
    </w:p>
    <w:p w14:paraId="3B461C3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8" w:name="_Toc407261926"/>
      <w:r>
        <w:rPr>
          <w:rFonts w:hint="eastAsia" w:ascii="宋体" w:hAnsi="宋体" w:eastAsia="宋体" w:cs="宋体"/>
          <w:b/>
          <w:bCs w:val="0"/>
          <w:color w:val="auto"/>
          <w:sz w:val="21"/>
          <w:szCs w:val="21"/>
          <w:highlight w:val="none"/>
        </w:rPr>
        <w:t>7.2 预付酬金</w:t>
      </w:r>
      <w:bookmarkEnd w:id="138"/>
    </w:p>
    <w:p w14:paraId="6C50D1D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6B88C27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9" w:name="_Toc407261927"/>
      <w:r>
        <w:rPr>
          <w:rFonts w:hint="eastAsia" w:ascii="宋体" w:hAnsi="宋体" w:eastAsia="宋体" w:cs="宋体"/>
          <w:b/>
          <w:bCs w:val="0"/>
          <w:color w:val="auto"/>
          <w:sz w:val="21"/>
          <w:szCs w:val="21"/>
          <w:highlight w:val="none"/>
        </w:rPr>
        <w:t>7.3 酬金分段结算与支付</w:t>
      </w:r>
      <w:bookmarkEnd w:id="139"/>
    </w:p>
    <w:p w14:paraId="21600F8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7.3.1合同当事人应在</w:t>
      </w:r>
      <w:r>
        <w:rPr>
          <w:rFonts w:hint="eastAsia" w:ascii="宋体" w:hAnsi="宋体" w:eastAsia="宋体" w:cs="宋体"/>
          <w:color w:val="auto"/>
          <w:kern w:val="0"/>
          <w:sz w:val="21"/>
          <w:szCs w:val="21"/>
          <w:highlight w:val="none"/>
        </w:rPr>
        <w:t>专用合同条款中约定</w:t>
      </w:r>
      <w:r>
        <w:rPr>
          <w:rFonts w:hint="eastAsia" w:ascii="宋体" w:hAnsi="宋体" w:eastAsia="宋体" w:cs="宋体"/>
          <w:color w:val="auto"/>
          <w:sz w:val="21"/>
          <w:szCs w:val="21"/>
          <w:highlight w:val="none"/>
        </w:rPr>
        <w:t>酬金分段结算与支付的比例或金额。咨询人应</w:t>
      </w:r>
      <w:r>
        <w:rPr>
          <w:rFonts w:hint="eastAsia" w:ascii="宋体" w:hAnsi="宋体" w:eastAsia="宋体" w:cs="宋体"/>
          <w:color w:val="auto"/>
          <w:kern w:val="0"/>
          <w:sz w:val="21"/>
          <w:szCs w:val="21"/>
          <w:highlight w:val="none"/>
        </w:rPr>
        <w:t>按照专用合同条款约定的</w:t>
      </w:r>
      <w:r>
        <w:rPr>
          <w:rFonts w:hint="eastAsia" w:ascii="宋体" w:hAnsi="宋体" w:eastAsia="宋体" w:cs="宋体"/>
          <w:color w:val="auto"/>
          <w:sz w:val="21"/>
          <w:szCs w:val="21"/>
          <w:highlight w:val="none"/>
        </w:rPr>
        <w:t>期限或咨询业务进度节点向委托人提交酬金分段结算与支付申请书。</w:t>
      </w:r>
    </w:p>
    <w:p w14:paraId="2258417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7.3.2 </w:t>
      </w: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委托人应自收到咨询人提交的酬金分段结算与支付申请书之日起14天内审核确认，</w:t>
      </w:r>
      <w:r>
        <w:rPr>
          <w:rFonts w:hint="eastAsia" w:ascii="宋体" w:hAnsi="宋体" w:eastAsia="宋体" w:cs="宋体"/>
          <w:color w:val="auto"/>
          <w:kern w:val="0"/>
          <w:sz w:val="21"/>
          <w:szCs w:val="21"/>
          <w:highlight w:val="none"/>
        </w:rPr>
        <w:t>并完成支付。委托人逾期支付的，按照中国人民银行发布的同期同类贷款基准利率支付违约金。</w:t>
      </w:r>
    </w:p>
    <w:p w14:paraId="3B0D10F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0" w:name="_Toc407261928"/>
      <w:r>
        <w:rPr>
          <w:rFonts w:hint="eastAsia" w:ascii="宋体" w:hAnsi="宋体" w:eastAsia="宋体" w:cs="宋体"/>
          <w:b/>
          <w:bCs w:val="0"/>
          <w:color w:val="auto"/>
          <w:sz w:val="21"/>
          <w:szCs w:val="21"/>
          <w:highlight w:val="none"/>
        </w:rPr>
        <w:t>7.4 酬金结清与支付</w:t>
      </w:r>
      <w:bookmarkEnd w:id="140"/>
    </w:p>
    <w:p w14:paraId="63B8940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除专用合同条款另有约定外，咨询人应自提交的工程造价咨询成果文件经委托人确认后14天内，向委托人提交酬金结清与支付申请书。</w:t>
      </w:r>
    </w:p>
    <w:p w14:paraId="6E4564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1CE963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7.4.3 除专用合同条款另有约定外，委托人应自审核确认酬金结清与支付申请书之日起14天内</w:t>
      </w:r>
      <w:r>
        <w:rPr>
          <w:rFonts w:hint="eastAsia" w:ascii="宋体" w:hAnsi="宋体" w:eastAsia="宋体" w:cs="宋体"/>
          <w:color w:val="auto"/>
          <w:kern w:val="0"/>
          <w:sz w:val="21"/>
          <w:szCs w:val="21"/>
          <w:highlight w:val="none"/>
        </w:rPr>
        <w:t>将结清未支付的酬金一次性支付给咨询人。委托人逾期支付的，按照中国人民银行发布的同期同类贷款基准利率支付违约金。</w:t>
      </w:r>
    </w:p>
    <w:p w14:paraId="5F442B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71FA62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1" w:name="_Toc407261929"/>
      <w:r>
        <w:rPr>
          <w:rFonts w:hint="eastAsia" w:ascii="宋体" w:hAnsi="宋体" w:eastAsia="宋体" w:cs="宋体"/>
          <w:b/>
          <w:bCs w:val="0"/>
          <w:color w:val="auto"/>
          <w:sz w:val="21"/>
          <w:szCs w:val="21"/>
          <w:highlight w:val="none"/>
        </w:rPr>
        <w:t>7.5 费用支付</w:t>
      </w:r>
      <w:bookmarkEnd w:id="141"/>
    </w:p>
    <w:p w14:paraId="08A11F2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因工程建设需要，由咨询人配合委托人组织的外出询价、考察以及聘请相关专家等发生的费用由委托人支付。</w:t>
      </w:r>
    </w:p>
    <w:p w14:paraId="215F03B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2" w:name="_Toc407261930"/>
      <w:r>
        <w:rPr>
          <w:rFonts w:hint="eastAsia" w:ascii="宋体" w:hAnsi="宋体" w:eastAsia="宋体" w:cs="宋体"/>
          <w:b/>
          <w:bCs w:val="0"/>
          <w:color w:val="auto"/>
          <w:sz w:val="21"/>
          <w:szCs w:val="21"/>
          <w:highlight w:val="none"/>
        </w:rPr>
        <w:t>8. 变更</w:t>
      </w:r>
      <w:bookmarkEnd w:id="142"/>
    </w:p>
    <w:p w14:paraId="658356E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3" w:name="_Toc407261931"/>
      <w:bookmarkStart w:id="144" w:name="_Toc296346585"/>
      <w:bookmarkStart w:id="145" w:name="_Toc337558788"/>
      <w:bookmarkStart w:id="146" w:name="_Toc296503084"/>
      <w:r>
        <w:rPr>
          <w:rFonts w:hint="eastAsia" w:ascii="宋体" w:hAnsi="宋体" w:eastAsia="宋体" w:cs="宋体"/>
          <w:b/>
          <w:bCs w:val="0"/>
          <w:color w:val="auto"/>
          <w:sz w:val="21"/>
          <w:szCs w:val="21"/>
          <w:highlight w:val="none"/>
        </w:rPr>
        <w:t>8.1 变更的范围</w:t>
      </w:r>
      <w:bookmarkEnd w:id="143"/>
    </w:p>
    <w:bookmarkEnd w:id="144"/>
    <w:bookmarkEnd w:id="145"/>
    <w:bookmarkEnd w:id="146"/>
    <w:p w14:paraId="7AEA00E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合同履行过程中发生以下情形的，应按照本条约定进行变更：</w:t>
      </w:r>
    </w:p>
    <w:p w14:paraId="13B4A8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扩大或缩小工程规模的；</w:t>
      </w:r>
    </w:p>
    <w:p w14:paraId="59B5C12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增加或减少咨询业务范围和工作内容的；</w:t>
      </w:r>
    </w:p>
    <w:p w14:paraId="7E6FBF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提高或降低咨询质量标准的；</w:t>
      </w:r>
    </w:p>
    <w:p w14:paraId="0E3012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专用合同条款中约定的其他情形。</w:t>
      </w:r>
    </w:p>
    <w:p w14:paraId="4F06273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7" w:name="_Toc407261932"/>
      <w:r>
        <w:rPr>
          <w:rFonts w:hint="eastAsia" w:ascii="宋体" w:hAnsi="宋体" w:eastAsia="宋体" w:cs="宋体"/>
          <w:b/>
          <w:bCs w:val="0"/>
          <w:color w:val="auto"/>
          <w:sz w:val="21"/>
          <w:szCs w:val="21"/>
          <w:highlight w:val="none"/>
        </w:rPr>
        <w:t>8.2 变更引起的咨询酬金和期限调整</w:t>
      </w:r>
      <w:bookmarkEnd w:id="147"/>
    </w:p>
    <w:p w14:paraId="3C9ECCF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48" w:name="_Toc407261933"/>
      <w:r>
        <w:rPr>
          <w:rFonts w:hint="eastAsia" w:ascii="宋体" w:hAnsi="宋体" w:eastAsia="宋体" w:cs="宋体"/>
          <w:color w:val="auto"/>
          <w:sz w:val="21"/>
          <w:szCs w:val="21"/>
          <w:highlight w:val="none"/>
        </w:rPr>
        <w:t>本项目采用固定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，任何原因（包含但不限于设计图纸变更等）导致的项目期限延长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编制</w:t>
      </w:r>
      <w:r>
        <w:rPr>
          <w:rFonts w:hint="eastAsia" w:ascii="宋体" w:hAnsi="宋体" w:cs="宋体"/>
          <w:color w:val="auto"/>
          <w:sz w:val="21"/>
          <w:szCs w:val="21"/>
          <w:highlight w:val="none"/>
          <w:lang w:val="en-US" w:eastAsia="zh-CN"/>
        </w:rPr>
        <w:t>费率均</w:t>
      </w:r>
      <w:r>
        <w:rPr>
          <w:rFonts w:hint="eastAsia" w:ascii="宋体" w:hAnsi="宋体" w:eastAsia="宋体" w:cs="宋体"/>
          <w:color w:val="auto"/>
          <w:sz w:val="21"/>
          <w:szCs w:val="21"/>
          <w:highlight w:val="none"/>
        </w:rPr>
        <w:t>不予调整。</w:t>
      </w:r>
    </w:p>
    <w:p w14:paraId="2CA21C4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bookmarkEnd w:id="148"/>
    </w:p>
    <w:p w14:paraId="0651836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咨询人可以向委托人提出合理化建议并说明实施该建议对工程造价和工期的影响。</w:t>
      </w:r>
    </w:p>
    <w:p w14:paraId="49918A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7282560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9" w:name="_Toc407261934"/>
      <w:r>
        <w:rPr>
          <w:rFonts w:hint="eastAsia" w:ascii="宋体" w:hAnsi="宋体" w:eastAsia="宋体" w:cs="宋体"/>
          <w:b/>
          <w:bCs w:val="0"/>
          <w:color w:val="auto"/>
          <w:sz w:val="21"/>
          <w:szCs w:val="21"/>
          <w:highlight w:val="none"/>
        </w:rPr>
        <w:t>9. 违约</w:t>
      </w:r>
      <w:bookmarkEnd w:id="149"/>
    </w:p>
    <w:p w14:paraId="36D4A75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0" w:name="_Toc407261935"/>
      <w:r>
        <w:rPr>
          <w:rFonts w:hint="eastAsia" w:ascii="宋体" w:hAnsi="宋体" w:eastAsia="宋体" w:cs="宋体"/>
          <w:b/>
          <w:bCs w:val="0"/>
          <w:color w:val="auto"/>
          <w:sz w:val="21"/>
          <w:szCs w:val="21"/>
          <w:highlight w:val="none"/>
        </w:rPr>
        <w:t>9.1 委托人违约</w:t>
      </w:r>
      <w:bookmarkEnd w:id="150"/>
    </w:p>
    <w:p w14:paraId="286B5C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558E69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30FD9F0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1" w:name="_Toc407261936"/>
      <w:r>
        <w:rPr>
          <w:rFonts w:hint="eastAsia" w:ascii="宋体" w:hAnsi="宋体" w:eastAsia="宋体" w:cs="宋体"/>
          <w:b/>
          <w:bCs w:val="0"/>
          <w:color w:val="auto"/>
          <w:sz w:val="21"/>
          <w:szCs w:val="21"/>
          <w:highlight w:val="none"/>
        </w:rPr>
        <w:t>9.2 咨询人违约</w:t>
      </w:r>
      <w:bookmarkEnd w:id="151"/>
    </w:p>
    <w:p w14:paraId="4DEB66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2843D86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AC0C90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2" w:name="_Toc407261937"/>
      <w:r>
        <w:rPr>
          <w:rFonts w:hint="eastAsia" w:ascii="宋体" w:hAnsi="宋体" w:eastAsia="宋体" w:cs="宋体"/>
          <w:b/>
          <w:bCs w:val="0"/>
          <w:color w:val="auto"/>
          <w:sz w:val="21"/>
          <w:szCs w:val="21"/>
          <w:highlight w:val="none"/>
        </w:rPr>
        <w:t>9.3 第三人造成的违约</w:t>
      </w:r>
      <w:bookmarkEnd w:id="152"/>
    </w:p>
    <w:p w14:paraId="7583C4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在合同履行过程中，一方当事人因第三人的原因造成违约的，应当向对方当事人承担违约责任。一方当事人和第三人之间的纠纷，依照法律规定或者按照约定解决。</w:t>
      </w:r>
    </w:p>
    <w:p w14:paraId="3E6EC9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3" w:name="_Toc407261938"/>
      <w:r>
        <w:rPr>
          <w:rFonts w:hint="eastAsia" w:ascii="宋体" w:hAnsi="宋体" w:eastAsia="宋体" w:cs="宋体"/>
          <w:b/>
          <w:bCs w:val="0"/>
          <w:color w:val="auto"/>
          <w:sz w:val="21"/>
          <w:szCs w:val="21"/>
          <w:highlight w:val="none"/>
        </w:rPr>
        <w:t>10. 争议解决</w:t>
      </w:r>
      <w:bookmarkEnd w:id="153"/>
    </w:p>
    <w:p w14:paraId="156E52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4" w:name="_Toc407261939"/>
      <w:bookmarkStart w:id="155" w:name="_Toc296346648"/>
      <w:bookmarkStart w:id="156" w:name="_Toc337558841"/>
      <w:bookmarkStart w:id="157" w:name="_Toc296503147"/>
      <w:r>
        <w:rPr>
          <w:rFonts w:hint="eastAsia" w:ascii="宋体" w:hAnsi="宋体" w:eastAsia="宋体" w:cs="宋体"/>
          <w:b/>
          <w:bCs w:val="0"/>
          <w:color w:val="auto"/>
          <w:sz w:val="21"/>
          <w:szCs w:val="21"/>
          <w:highlight w:val="none"/>
        </w:rPr>
        <w:t>10.1 和解</w:t>
      </w:r>
      <w:bookmarkEnd w:id="154"/>
    </w:p>
    <w:bookmarkEnd w:id="155"/>
    <w:bookmarkEnd w:id="156"/>
    <w:bookmarkEnd w:id="157"/>
    <w:p w14:paraId="1A50F44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合同当事人可以就争议自行和解，自行和解达成协议的经双方签字并盖章后作为合同补充文件，双方均应遵照执行。</w:t>
      </w:r>
    </w:p>
    <w:p w14:paraId="38CC37D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8" w:name="_Toc407261940"/>
      <w:r>
        <w:rPr>
          <w:rFonts w:hint="eastAsia" w:ascii="宋体" w:hAnsi="宋体" w:eastAsia="宋体" w:cs="宋体"/>
          <w:b/>
          <w:bCs w:val="0"/>
          <w:color w:val="auto"/>
          <w:sz w:val="21"/>
          <w:szCs w:val="21"/>
          <w:highlight w:val="none"/>
        </w:rPr>
        <w:t>10</w:t>
      </w:r>
      <w:bookmarkStart w:id="159" w:name="_Toc337558842"/>
      <w:bookmarkStart w:id="160" w:name="_Toc296503148"/>
      <w:bookmarkStart w:id="161" w:name="_Toc296346649"/>
      <w:r>
        <w:rPr>
          <w:rFonts w:hint="eastAsia" w:ascii="宋体" w:hAnsi="宋体" w:eastAsia="宋体" w:cs="宋体"/>
          <w:b/>
          <w:bCs w:val="0"/>
          <w:color w:val="auto"/>
          <w:sz w:val="21"/>
          <w:szCs w:val="21"/>
          <w:highlight w:val="none"/>
        </w:rPr>
        <w:t>.2 调解</w:t>
      </w:r>
      <w:bookmarkEnd w:id="158"/>
    </w:p>
    <w:bookmarkEnd w:id="159"/>
    <w:bookmarkEnd w:id="160"/>
    <w:bookmarkEnd w:id="161"/>
    <w:p w14:paraId="0C4D0B1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合同当事人可以就争议请求工程造价管理部门、行业协会或其他第三方进行调解，调解达成协议的，经双方签字并盖章后作为合同补充文件，双方均应遵照执行。</w:t>
      </w:r>
    </w:p>
    <w:p w14:paraId="6556509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2" w:name="_Toc407261941"/>
      <w:r>
        <w:rPr>
          <w:rFonts w:hint="eastAsia" w:ascii="宋体" w:hAnsi="宋体" w:eastAsia="宋体" w:cs="宋体"/>
          <w:b/>
          <w:bCs w:val="0"/>
          <w:color w:val="auto"/>
          <w:sz w:val="21"/>
          <w:szCs w:val="21"/>
          <w:highlight w:val="none"/>
        </w:rPr>
        <w:t>10.3 仲裁或诉讼</w:t>
      </w:r>
      <w:bookmarkEnd w:id="162"/>
    </w:p>
    <w:p w14:paraId="1CF348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因合同及合同有关事项产生的争议，合同当事人可以在专用合同条款中约定下列任意一种方式解决争议：</w:t>
      </w:r>
    </w:p>
    <w:p w14:paraId="574031C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向约定的仲裁委员会申请仲裁；</w:t>
      </w:r>
    </w:p>
    <w:p w14:paraId="2069B5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向有管辖权的人民法院起诉。</w:t>
      </w:r>
    </w:p>
    <w:p w14:paraId="7F38F15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3" w:name="_Toc407261942"/>
      <w:r>
        <w:rPr>
          <w:rFonts w:hint="eastAsia" w:ascii="宋体" w:hAnsi="宋体" w:eastAsia="宋体" w:cs="宋体"/>
          <w:b/>
          <w:bCs w:val="0"/>
          <w:color w:val="auto"/>
          <w:sz w:val="21"/>
          <w:szCs w:val="21"/>
          <w:highlight w:val="none"/>
        </w:rPr>
        <w:t>10.4 争议解决条款效力</w:t>
      </w:r>
      <w:bookmarkEnd w:id="163"/>
    </w:p>
    <w:p w14:paraId="5752C29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合同有关争议解决的条款独立存在，合同的变更、解除、终止、无效或者被撤销均不影响其效力。</w:t>
      </w:r>
    </w:p>
    <w:p w14:paraId="1115B9B1">
      <w:pPr>
        <w:spacing w:line="360" w:lineRule="auto"/>
        <w:ind w:firstLine="420" w:firstLineChars="200"/>
        <w:rPr>
          <w:rFonts w:hint="eastAsia" w:ascii="宋体" w:hAnsi="宋体" w:eastAsia="宋体" w:cs="宋体"/>
          <w:color w:val="auto"/>
          <w:sz w:val="21"/>
          <w:szCs w:val="21"/>
          <w:highlight w:val="none"/>
        </w:rPr>
      </w:pPr>
    </w:p>
    <w:p w14:paraId="0972EC9C">
      <w:pPr>
        <w:spacing w:line="360" w:lineRule="auto"/>
        <w:ind w:firstLine="420" w:firstLineChars="200"/>
        <w:rPr>
          <w:rFonts w:hint="eastAsia" w:ascii="宋体" w:hAnsi="宋体" w:eastAsia="宋体" w:cs="宋体"/>
          <w:color w:val="auto"/>
          <w:sz w:val="21"/>
          <w:szCs w:val="21"/>
          <w:highlight w:val="none"/>
        </w:rPr>
      </w:pPr>
    </w:p>
    <w:p w14:paraId="57DF0C90">
      <w:pPr>
        <w:spacing w:line="360" w:lineRule="auto"/>
        <w:ind w:firstLine="420" w:firstLineChars="200"/>
        <w:rPr>
          <w:rFonts w:hint="eastAsia" w:ascii="宋体" w:hAnsi="宋体" w:eastAsia="宋体" w:cs="宋体"/>
          <w:color w:val="auto"/>
          <w:sz w:val="21"/>
          <w:szCs w:val="21"/>
          <w:highlight w:val="none"/>
        </w:rPr>
      </w:pPr>
    </w:p>
    <w:p w14:paraId="552B942B">
      <w:pPr>
        <w:spacing w:line="360" w:lineRule="auto"/>
        <w:ind w:firstLine="420" w:firstLineChars="200"/>
        <w:rPr>
          <w:rFonts w:hint="eastAsia" w:ascii="宋体" w:hAnsi="宋体" w:eastAsia="宋体" w:cs="宋体"/>
          <w:color w:val="auto"/>
          <w:sz w:val="21"/>
          <w:szCs w:val="21"/>
          <w:highlight w:val="none"/>
        </w:rPr>
      </w:pPr>
    </w:p>
    <w:p w14:paraId="5BC73368">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164" w:name="_Toc407261943"/>
      <w:r>
        <w:rPr>
          <w:rFonts w:hint="eastAsia" w:ascii="宋体" w:hAnsi="宋体" w:eastAsia="宋体" w:cs="宋体"/>
          <w:b/>
          <w:bCs/>
          <w:color w:val="auto"/>
          <w:kern w:val="44"/>
          <w:sz w:val="24"/>
          <w:szCs w:val="24"/>
          <w:highlight w:val="none"/>
          <w:lang w:val="en-US" w:eastAsia="zh-CN" w:bidi="ar-SA"/>
        </w:rPr>
        <w:t>第三部分专用合同条款</w:t>
      </w:r>
      <w:bookmarkEnd w:id="164"/>
      <w:bookmarkStart w:id="165" w:name="_Toc407261944"/>
      <w:bookmarkStart w:id="166" w:name="_Toc351203633"/>
    </w:p>
    <w:p w14:paraId="411A5B4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167" w:name="_Toc296503156"/>
      <w:bookmarkStart w:id="168" w:name="_Toc297048342"/>
      <w:bookmarkStart w:id="169" w:name="_Toc296346657"/>
      <w:bookmarkStart w:id="170" w:name="_Toc296891196"/>
      <w:bookmarkStart w:id="171" w:name="_Toc292559361"/>
      <w:bookmarkStart w:id="172" w:name="_Toc297120456"/>
      <w:bookmarkStart w:id="173" w:name="_Toc296347155"/>
      <w:bookmarkStart w:id="174" w:name="_Toc296944495"/>
      <w:bookmarkStart w:id="175" w:name="_Toc296890984"/>
      <w:bookmarkStart w:id="176" w:name="_Toc292559866"/>
      <w:r>
        <w:rPr>
          <w:rFonts w:hint="eastAsia" w:ascii="宋体" w:hAnsi="宋体" w:eastAsia="宋体" w:cs="宋体"/>
          <w:b/>
          <w:bCs w:val="0"/>
          <w:color w:val="auto"/>
          <w:sz w:val="21"/>
          <w:szCs w:val="21"/>
          <w:highlight w:val="none"/>
        </w:rPr>
        <w:t>. 一般约定</w:t>
      </w:r>
      <w:bookmarkEnd w:id="165"/>
      <w:bookmarkEnd w:id="166"/>
    </w:p>
    <w:bookmarkEnd w:id="167"/>
    <w:bookmarkEnd w:id="168"/>
    <w:bookmarkEnd w:id="169"/>
    <w:bookmarkEnd w:id="170"/>
    <w:bookmarkEnd w:id="171"/>
    <w:bookmarkEnd w:id="172"/>
    <w:bookmarkEnd w:id="173"/>
    <w:bookmarkEnd w:id="174"/>
    <w:bookmarkEnd w:id="175"/>
    <w:bookmarkEnd w:id="176"/>
    <w:p w14:paraId="305FB0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1.3法律</w:t>
      </w:r>
    </w:p>
    <w:p w14:paraId="7286F94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kern w:val="0"/>
          <w:sz w:val="21"/>
          <w:szCs w:val="21"/>
          <w:highlight w:val="none"/>
          <w:u w:val="single"/>
        </w:rPr>
        <w:t>国家现行相关法律法规及现行安徽省工程造价计价办法和规定等 </w:t>
      </w:r>
      <w:r>
        <w:rPr>
          <w:rFonts w:hint="eastAsia" w:ascii="宋体" w:hAnsi="宋体" w:eastAsia="宋体" w:cs="宋体"/>
          <w:color w:val="auto"/>
          <w:sz w:val="21"/>
          <w:szCs w:val="21"/>
          <w:highlight w:val="none"/>
        </w:rPr>
        <w:t>。</w:t>
      </w:r>
    </w:p>
    <w:p w14:paraId="774C25C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1.4 标准和规范</w:t>
      </w:r>
    </w:p>
    <w:p w14:paraId="0D406F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《建设工程工程量清单计价规范》</w:t>
      </w:r>
      <w:r>
        <w:rPr>
          <w:rFonts w:hint="eastAsia" w:ascii="宋体" w:hAnsi="宋体" w:cs="宋体"/>
          <w:color w:val="auto"/>
          <w:sz w:val="21"/>
          <w:szCs w:val="21"/>
          <w:highlight w:val="none"/>
          <w:u w:val="single"/>
          <w:lang w:val="en-US" w:eastAsia="zh-CN"/>
        </w:rPr>
        <w:t>等</w:t>
      </w:r>
      <w:r>
        <w:rPr>
          <w:rFonts w:hint="eastAsia" w:ascii="宋体" w:hAnsi="宋体" w:eastAsia="宋体" w:cs="宋体"/>
          <w:color w:val="auto"/>
          <w:sz w:val="21"/>
          <w:szCs w:val="21"/>
          <w:highlight w:val="none"/>
        </w:rPr>
        <w:t>。</w:t>
      </w:r>
    </w:p>
    <w:p w14:paraId="6130A1D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1.5 合同文件的优先顺序</w:t>
      </w:r>
    </w:p>
    <w:p w14:paraId="0D6B6A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11E094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1.6 联络</w:t>
      </w:r>
    </w:p>
    <w:p w14:paraId="5D82E8A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B955CD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委托人接收文件的地点：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3EE2CB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32634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A83F1F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2FE06CA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490D36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353F1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77" w:name="_Toc351203634"/>
      <w:bookmarkStart w:id="178" w:name="_Toc407261945"/>
      <w:r>
        <w:rPr>
          <w:rFonts w:hint="eastAsia" w:ascii="宋体" w:hAnsi="宋体" w:eastAsia="宋体" w:cs="宋体"/>
          <w:b/>
          <w:bCs w:val="0"/>
          <w:color w:val="auto"/>
          <w:sz w:val="21"/>
          <w:szCs w:val="21"/>
          <w:highlight w:val="none"/>
        </w:rPr>
        <w:t>2</w:t>
      </w:r>
      <w:bookmarkStart w:id="179" w:name="_Toc296347156"/>
      <w:bookmarkStart w:id="180" w:name="_Toc296891197"/>
      <w:bookmarkStart w:id="181" w:name="_Toc296944496"/>
      <w:bookmarkStart w:id="182" w:name="_Toc297048343"/>
      <w:bookmarkStart w:id="183" w:name="_Toc296890985"/>
      <w:bookmarkStart w:id="184" w:name="_Toc296503157"/>
      <w:bookmarkStart w:id="185" w:name="_Toc296346658"/>
      <w:bookmarkStart w:id="186" w:name="_Toc292559867"/>
      <w:bookmarkStart w:id="187" w:name="_Toc292559362"/>
      <w:bookmarkStart w:id="188" w:name="_Toc297120457"/>
      <w:r>
        <w:rPr>
          <w:rFonts w:hint="eastAsia" w:ascii="宋体" w:hAnsi="宋体" w:eastAsia="宋体" w:cs="宋体"/>
          <w:b/>
          <w:bCs w:val="0"/>
          <w:color w:val="auto"/>
          <w:sz w:val="21"/>
          <w:szCs w:val="21"/>
          <w:highlight w:val="none"/>
        </w:rPr>
        <w:t>. 委托人</w:t>
      </w:r>
      <w:bookmarkEnd w:id="177"/>
      <w:bookmarkEnd w:id="178"/>
    </w:p>
    <w:bookmarkEnd w:id="179"/>
    <w:bookmarkEnd w:id="180"/>
    <w:bookmarkEnd w:id="181"/>
    <w:bookmarkEnd w:id="182"/>
    <w:bookmarkEnd w:id="183"/>
    <w:bookmarkEnd w:id="184"/>
    <w:bookmarkEnd w:id="185"/>
    <w:bookmarkEnd w:id="186"/>
    <w:bookmarkEnd w:id="187"/>
    <w:bookmarkEnd w:id="188"/>
    <w:p w14:paraId="64C5B8A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2.1 委托人代表</w:t>
      </w:r>
    </w:p>
    <w:p w14:paraId="45838F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24DA24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5255E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72D57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63195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FC642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4D09E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68E8FE">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CFBF9F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2.2 提供资料</w:t>
      </w:r>
    </w:p>
    <w:p w14:paraId="63FBA960">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另行交接</w:t>
      </w:r>
      <w:r>
        <w:rPr>
          <w:rFonts w:hint="eastAsia" w:ascii="宋体" w:hAnsi="宋体" w:eastAsia="宋体" w:cs="宋体"/>
          <w:color w:val="auto"/>
          <w:sz w:val="21"/>
          <w:szCs w:val="21"/>
          <w:highlight w:val="none"/>
        </w:rPr>
        <w:t>。</w:t>
      </w:r>
    </w:p>
    <w:p w14:paraId="000843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E7569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A564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2.4 答复</w:t>
      </w:r>
    </w:p>
    <w:p w14:paraId="062755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3天</w:t>
      </w:r>
      <w:r>
        <w:rPr>
          <w:rFonts w:hint="eastAsia" w:ascii="宋体" w:hAnsi="宋体" w:eastAsia="宋体" w:cs="宋体"/>
          <w:color w:val="auto"/>
          <w:sz w:val="21"/>
          <w:szCs w:val="21"/>
          <w:highlight w:val="none"/>
        </w:rPr>
        <w:t>。</w:t>
      </w:r>
    </w:p>
    <w:p w14:paraId="0A67A4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DA392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89" w:name="_Toc407261946"/>
      <w:r>
        <w:rPr>
          <w:rFonts w:hint="eastAsia" w:ascii="宋体" w:hAnsi="宋体" w:eastAsia="宋体" w:cs="宋体"/>
          <w:b/>
          <w:bCs w:val="0"/>
          <w:color w:val="auto"/>
          <w:sz w:val="21"/>
          <w:szCs w:val="21"/>
          <w:highlight w:val="none"/>
        </w:rPr>
        <w:t>3. 咨询人</w:t>
      </w:r>
      <w:bookmarkEnd w:id="189"/>
    </w:p>
    <w:p w14:paraId="1F4EDDF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3.2 项目负责人</w:t>
      </w:r>
    </w:p>
    <w:p w14:paraId="263BB6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A4845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182D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11D1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302A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03E70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6EA06E5">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负责本项目所有事务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8515BB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3.3 工程造价专业人员</w:t>
      </w:r>
    </w:p>
    <w:p w14:paraId="267A3D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689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rPr>
        <w:t>。</w:t>
      </w:r>
    </w:p>
    <w:p w14:paraId="67C71C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E43FB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咨询人安排的工程造价专业人员</w:t>
      </w:r>
      <w:r>
        <w:rPr>
          <w:rFonts w:hint="eastAsia" w:ascii="宋体" w:hAnsi="宋体" w:eastAsia="宋体" w:cs="宋体"/>
          <w:color w:val="auto"/>
          <w:kern w:val="0"/>
          <w:sz w:val="21"/>
          <w:szCs w:val="21"/>
          <w:highlight w:val="none"/>
        </w:rPr>
        <w:t>每月在施工现场的时间要求：</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E027AF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05932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咨询人无正当理由拒绝撤换工程造价专业人员的违约责任：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A72A2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0" w:name="_Toc407261947"/>
      <w:r>
        <w:rPr>
          <w:rFonts w:hint="eastAsia" w:ascii="宋体" w:hAnsi="宋体" w:eastAsia="宋体" w:cs="宋体"/>
          <w:b/>
          <w:bCs w:val="0"/>
          <w:color w:val="auto"/>
          <w:sz w:val="21"/>
          <w:szCs w:val="21"/>
          <w:highlight w:val="none"/>
        </w:rPr>
        <w:t>4. 咨询业务范围和工作内容</w:t>
      </w:r>
      <w:bookmarkEnd w:id="190"/>
    </w:p>
    <w:p w14:paraId="585CCC6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4.2 咨询工作内容</w:t>
      </w:r>
    </w:p>
    <w:p w14:paraId="7DFE1F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工程造价咨询工作内容包括：</w:t>
      </w:r>
      <w:r>
        <w:rPr>
          <w:rFonts w:hint="eastAsia" w:ascii="宋体" w:hAnsi="宋体" w:eastAsia="宋体" w:cs="宋体"/>
          <w:color w:val="auto"/>
          <w:sz w:val="21"/>
          <w:szCs w:val="21"/>
          <w:highlight w:val="none"/>
          <w:u w:val="single"/>
        </w:rPr>
        <w:t>清单、最高投标限价的编制及网上备案工作，并向</w:t>
      </w:r>
      <w:r>
        <w:rPr>
          <w:rFonts w:hint="eastAsia" w:ascii="宋体" w:hAnsi="宋体" w:eastAsia="宋体" w:cs="宋体"/>
          <w:color w:val="auto"/>
          <w:sz w:val="21"/>
          <w:szCs w:val="21"/>
          <w:highlight w:val="none"/>
          <w:u w:val="single"/>
          <w:lang w:val="en-US" w:eastAsia="zh-CN"/>
        </w:rPr>
        <w:t>招标人</w:t>
      </w:r>
      <w:r>
        <w:rPr>
          <w:rFonts w:hint="eastAsia" w:ascii="宋体" w:hAnsi="宋体" w:eastAsia="宋体" w:cs="宋体"/>
          <w:color w:val="auto"/>
          <w:sz w:val="21"/>
          <w:szCs w:val="21"/>
          <w:highlight w:val="none"/>
          <w:u w:val="single"/>
        </w:rPr>
        <w:t>提交造价成果及最高限价备案表</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施工单位进场后，中标人须根据招标人要求对本项目的最高投标限价提供清单交底相关服务。未按要求提供服务，每发现一次扣除1000元违约金，直接从服务费中扣除。</w:t>
      </w:r>
    </w:p>
    <w:p w14:paraId="1808B7E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1" w:name="_Toc407261948"/>
      <w:r>
        <w:rPr>
          <w:rFonts w:hint="eastAsia" w:ascii="宋体" w:hAnsi="宋体" w:eastAsia="宋体" w:cs="宋体"/>
          <w:b/>
          <w:bCs w:val="0"/>
          <w:color w:val="auto"/>
          <w:sz w:val="21"/>
          <w:szCs w:val="21"/>
          <w:highlight w:val="none"/>
        </w:rPr>
        <w:t>5. 咨询期限</w:t>
      </w:r>
      <w:bookmarkEnd w:id="191"/>
    </w:p>
    <w:p w14:paraId="42DD2CD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5.2 咨询期限延误</w:t>
      </w:r>
    </w:p>
    <w:p w14:paraId="674EC7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因委托人原因导致咨询期限延误</w:t>
      </w:r>
    </w:p>
    <w:p w14:paraId="21C4DA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顺延    </w:t>
      </w:r>
      <w:r>
        <w:rPr>
          <w:rFonts w:hint="eastAsia" w:ascii="宋体" w:hAnsi="宋体" w:eastAsia="宋体" w:cs="宋体"/>
          <w:color w:val="auto"/>
          <w:sz w:val="21"/>
          <w:szCs w:val="21"/>
          <w:highlight w:val="none"/>
        </w:rPr>
        <w:t>。</w:t>
      </w:r>
    </w:p>
    <w:p w14:paraId="50A2186D">
      <w:pPr>
        <w:spacing w:line="360" w:lineRule="auto"/>
        <w:ind w:firstLine="420" w:firstLineChars="200"/>
        <w:rPr>
          <w:rFonts w:hint="eastAsia" w:ascii="宋体" w:hAnsi="宋体" w:eastAsia="宋体" w:cs="宋体"/>
          <w:color w:val="auto"/>
          <w:sz w:val="21"/>
          <w:szCs w:val="21"/>
          <w:highlight w:val="none"/>
        </w:rPr>
      </w:pPr>
      <w:bookmarkStart w:id="192" w:name="_Toc300934970"/>
      <w:bookmarkStart w:id="193" w:name="_Toc304295548"/>
      <w:bookmarkStart w:id="194" w:name="_Toc303539127"/>
      <w:bookmarkStart w:id="195" w:name="_Toc297216177"/>
      <w:bookmarkStart w:id="196" w:name="_Toc297123518"/>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因咨询人原因导致咨询期限延误</w:t>
      </w:r>
    </w:p>
    <w:p w14:paraId="1908C7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197" w:name="_Toc318581170"/>
      <w:bookmarkStart w:id="198" w:name="_Toc312678013"/>
      <w:bookmarkStart w:id="199" w:name="_Toc312677487"/>
      <w:r>
        <w:rPr>
          <w:rFonts w:hint="eastAsia" w:ascii="宋体" w:hAnsi="宋体" w:eastAsia="宋体" w:cs="宋体"/>
          <w:color w:val="auto"/>
          <w:sz w:val="21"/>
          <w:szCs w:val="21"/>
          <w:highlight w:val="none"/>
        </w:rPr>
        <w:t>咨询人原因造成咨询期限延误，逾期完成咨询业务违约金的计算方法为：因咨询人原因造成咨询期限延误，逾期完成咨询业务违约金的计算方法为：</w:t>
      </w:r>
      <w:r>
        <w:rPr>
          <w:rFonts w:hint="eastAsia" w:ascii="宋体" w:hAnsi="宋体" w:eastAsia="宋体" w:cs="宋体"/>
          <w:color w:val="auto"/>
          <w:sz w:val="21"/>
          <w:szCs w:val="21"/>
          <w:highlight w:val="none"/>
          <w:u w:val="single"/>
        </w:rPr>
        <w:t xml:space="preserve"> 工程造价咨询成果文件延期一天，造价咨询费用顺延一个月支付。</w:t>
      </w:r>
    </w:p>
    <w:bookmarkEnd w:id="192"/>
    <w:bookmarkEnd w:id="193"/>
    <w:bookmarkEnd w:id="194"/>
    <w:bookmarkEnd w:id="195"/>
    <w:bookmarkEnd w:id="196"/>
    <w:bookmarkEnd w:id="197"/>
    <w:bookmarkEnd w:id="198"/>
    <w:bookmarkEnd w:id="199"/>
    <w:p w14:paraId="5759B9A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200" w:name="_Toc318581171"/>
      <w:bookmarkStart w:id="201" w:name="_Toc312678014"/>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200"/>
    <w:bookmarkEnd w:id="201"/>
    <w:p w14:paraId="10EA79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因第三人原因导致咨询期限延误</w:t>
      </w:r>
    </w:p>
    <w:p w14:paraId="4E4ABD7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11ABFC1">
      <w:pPr>
        <w:pStyle w:val="3"/>
        <w:keepNext/>
        <w:keepLines/>
        <w:pageBreakBefore w:val="0"/>
        <w:widowControl w:val="0"/>
        <w:numPr>
          <w:ilvl w:val="1"/>
          <w:numId w:val="0"/>
        </w:numPr>
        <w:kinsoku/>
        <w:wordWrap/>
        <w:overflowPunct/>
        <w:topLinePunct w:val="0"/>
        <w:autoSpaceDE/>
        <w:autoSpaceDN/>
        <w:bidi w:val="0"/>
        <w:adjustRightInd/>
        <w:snapToGrid/>
        <w:spacing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5.3 工程造价咨询成果文件交付期限</w:t>
      </w:r>
    </w:p>
    <w:p w14:paraId="561E6A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五</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具体以满足委托人需求为准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FDF1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F973F7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30A05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2" w:name="_Toc407261949"/>
      <w:r>
        <w:rPr>
          <w:rFonts w:hint="eastAsia" w:ascii="宋体" w:hAnsi="宋体" w:eastAsia="宋体" w:cs="宋体"/>
          <w:b/>
          <w:bCs w:val="0"/>
          <w:color w:val="auto"/>
          <w:sz w:val="21"/>
          <w:szCs w:val="21"/>
          <w:highlight w:val="none"/>
        </w:rPr>
        <w:t>6. 咨询质量</w:t>
      </w:r>
      <w:bookmarkEnd w:id="202"/>
    </w:p>
    <w:p w14:paraId="5F63A7E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6.1 质量要求</w:t>
      </w:r>
    </w:p>
    <w:p w14:paraId="358AA8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工程造价咨询成果文件质量应符合现行国家或行业工程计价有关规定、标准、规范的要求并完成网上备案工作。</w:t>
      </w:r>
    </w:p>
    <w:p w14:paraId="673EC71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6.3 质量不合格处理</w:t>
      </w:r>
    </w:p>
    <w:p w14:paraId="0A4CDBE9">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p>
    <w:p w14:paraId="71DFE943">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因</w:t>
      </w:r>
      <w:r>
        <w:rPr>
          <w:rFonts w:hint="eastAsia" w:ascii="宋体" w:hAnsi="宋体" w:cs="宋体"/>
          <w:color w:val="auto"/>
          <w:sz w:val="21"/>
          <w:szCs w:val="21"/>
          <w:highlight w:val="none"/>
          <w:u w:val="single"/>
          <w:lang w:val="en-US" w:eastAsia="zh-CN"/>
        </w:rPr>
        <w:t>编制单位</w:t>
      </w:r>
      <w:r>
        <w:rPr>
          <w:rFonts w:hint="eastAsia" w:ascii="宋体" w:hAnsi="宋体" w:eastAsia="宋体" w:cs="宋体"/>
          <w:color w:val="auto"/>
          <w:sz w:val="21"/>
          <w:szCs w:val="21"/>
          <w:highlight w:val="none"/>
          <w:u w:val="single"/>
          <w:lang w:val="en-US" w:eastAsia="zh-CN"/>
        </w:rPr>
        <w:t>编制的工程量清单控制价文本缺项、漏项、错误引起的工程费用增加，每发生5次及以上（含5次）3～20万的变更扣除编制单位合同编制费用的5%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次及以上20万元以上50万元以下（含20万）变更扣除编制单位合同编制费用的5%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次50万元以上100万元以下（含50万）的变更扣除编制单位合同编制费用的10%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次100万元以上的变更扣除编制单位合同编制费用的20%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w:t>
      </w:r>
      <w:bookmarkStart w:id="203" w:name="_Toc407261950"/>
    </w:p>
    <w:p w14:paraId="4373A4A5">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 咨询酬金</w:t>
      </w:r>
      <w:bookmarkEnd w:id="203"/>
    </w:p>
    <w:p w14:paraId="7CB244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 酬金计算方式</w:t>
      </w:r>
    </w:p>
    <w:p w14:paraId="3838BC22">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咨询酬金其他计算方式：</w:t>
      </w:r>
      <w:r>
        <w:rPr>
          <w:rFonts w:hint="eastAsia" w:ascii="宋体" w:hAnsi="宋体" w:eastAsia="宋体" w:cs="宋体"/>
          <w:color w:val="auto"/>
          <w:sz w:val="21"/>
          <w:szCs w:val="21"/>
          <w:highlight w:val="none"/>
          <w:lang w:val="en-US" w:eastAsia="zh-CN"/>
        </w:rPr>
        <w:t>采用固定费率结算，编制服务费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本项目施工中标价-暂列金额-暂估价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中标费率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项目结算时中标费率不予调整。</w:t>
      </w:r>
    </w:p>
    <w:p w14:paraId="0AE3257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7.2 预付酬金</w:t>
      </w:r>
    </w:p>
    <w:p w14:paraId="70B871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8EA95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866DB2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FEC090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7.3 酬金分段结算与支付</w:t>
      </w:r>
    </w:p>
    <w:p w14:paraId="2C7966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酬金分段结算与支付的比例或金额：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14377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48B3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委托人审核确认酬金分段结算与支付申请书并完成酬金支付的期限：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1A10C2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7.4 酬金结清与支付</w:t>
      </w:r>
    </w:p>
    <w:p w14:paraId="30D6B6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咨询人提交酬金结清与支付申请书的期限：</w:t>
      </w:r>
      <w:r>
        <w:rPr>
          <w:rFonts w:hint="eastAsia" w:ascii="宋体" w:hAnsi="宋体" w:eastAsia="宋体" w:cs="宋体"/>
          <w:color w:val="auto"/>
          <w:sz w:val="21"/>
          <w:szCs w:val="21"/>
          <w:highlight w:val="none"/>
          <w:u w:val="single"/>
        </w:rPr>
        <w:t>招标工作结束后30日</w:t>
      </w:r>
      <w:r>
        <w:rPr>
          <w:rFonts w:hint="eastAsia" w:ascii="宋体" w:hAnsi="宋体" w:eastAsia="宋体" w:cs="宋体"/>
          <w:color w:val="auto"/>
          <w:sz w:val="21"/>
          <w:szCs w:val="21"/>
          <w:highlight w:val="none"/>
        </w:rPr>
        <w:t>。</w:t>
      </w:r>
    </w:p>
    <w:p w14:paraId="087825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委托人审核确认酬金结清与支付申请书的期限：</w:t>
      </w:r>
      <w:r>
        <w:rPr>
          <w:rFonts w:hint="eastAsia" w:ascii="宋体" w:hAnsi="宋体" w:eastAsia="宋体" w:cs="宋体"/>
          <w:color w:val="auto"/>
          <w:sz w:val="21"/>
          <w:szCs w:val="21"/>
          <w:highlight w:val="none"/>
          <w:u w:val="single"/>
        </w:rPr>
        <w:t xml:space="preserve">接到支付申请后30内  </w:t>
      </w:r>
      <w:r>
        <w:rPr>
          <w:rFonts w:hint="eastAsia" w:ascii="宋体" w:hAnsi="宋体" w:eastAsia="宋体" w:cs="宋体"/>
          <w:color w:val="auto"/>
          <w:sz w:val="21"/>
          <w:szCs w:val="21"/>
          <w:highlight w:val="none"/>
        </w:rPr>
        <w:t>。</w:t>
      </w:r>
    </w:p>
    <w:p w14:paraId="7A68344D">
      <w:pPr>
        <w:spacing w:line="360" w:lineRule="auto"/>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7.4.3 委托人完成酬金支付的期限：</w:t>
      </w:r>
      <w:r>
        <w:rPr>
          <w:rFonts w:hint="eastAsia" w:ascii="宋体" w:hAnsi="宋体" w:eastAsia="宋体" w:cs="宋体"/>
          <w:b/>
          <w:bCs/>
          <w:color w:val="auto"/>
          <w:sz w:val="21"/>
          <w:szCs w:val="21"/>
          <w:highlight w:val="none"/>
          <w:u w:val="single"/>
          <w:lang w:val="en-US" w:eastAsia="zh-CN"/>
        </w:rPr>
        <w:t>招标人确定施工中标单位后，付至编制费用的70%，竣工验收合格后一次性付清余款。注：编制服务费=（施工中标价-暂列金额-暂估价（含税））×中标费率。项目结算时中标费率不予调整。</w:t>
      </w:r>
    </w:p>
    <w:p w14:paraId="401E6EC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4" w:name="_Toc407261951"/>
      <w:r>
        <w:rPr>
          <w:rFonts w:hint="eastAsia" w:ascii="宋体" w:hAnsi="宋体" w:eastAsia="宋体" w:cs="宋体"/>
          <w:b/>
          <w:bCs w:val="0"/>
          <w:color w:val="auto"/>
          <w:sz w:val="21"/>
          <w:szCs w:val="21"/>
          <w:highlight w:val="none"/>
        </w:rPr>
        <w:t>8. 变更</w:t>
      </w:r>
      <w:bookmarkEnd w:id="204"/>
    </w:p>
    <w:p w14:paraId="21A836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8.1 变更的范围</w:t>
      </w:r>
    </w:p>
    <w:p w14:paraId="6FB52D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sz w:val="21"/>
          <w:szCs w:val="21"/>
          <w:highlight w:val="none"/>
        </w:rPr>
        <w:t>。</w:t>
      </w:r>
    </w:p>
    <w:p w14:paraId="148F20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8.2 变更引起的咨询酬金和期限调整</w:t>
      </w:r>
    </w:p>
    <w:p w14:paraId="0E40638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 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14D15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5A2C3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p>
    <w:p w14:paraId="558CE5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2436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C58B1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5" w:name="_Toc407261952"/>
      <w:r>
        <w:rPr>
          <w:rFonts w:hint="eastAsia" w:ascii="宋体" w:hAnsi="宋体" w:eastAsia="宋体" w:cs="宋体"/>
          <w:b/>
          <w:bCs w:val="0"/>
          <w:color w:val="auto"/>
          <w:sz w:val="21"/>
          <w:szCs w:val="21"/>
          <w:highlight w:val="none"/>
        </w:rPr>
        <w:t>9. 违约</w:t>
      </w:r>
      <w:bookmarkEnd w:id="205"/>
    </w:p>
    <w:p w14:paraId="51C00A6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 委托人违约</w:t>
      </w:r>
    </w:p>
    <w:p w14:paraId="658BBEC7">
      <w:pPr>
        <w:spacing w:before="120" w:after="120"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53F5C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因委托人违约解除合同的，关于已完咨询业务酬金结算和付款的约定：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6C488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9.2 咨询人违约</w:t>
      </w:r>
    </w:p>
    <w:p w14:paraId="2C16C4A6">
      <w:pPr>
        <w:spacing w:before="120" w:after="120"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关于咨询人违约解除合同的特别约定：</w:t>
      </w:r>
    </w:p>
    <w:p w14:paraId="1B6A43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不予结算</w:t>
      </w:r>
      <w:r>
        <w:rPr>
          <w:rFonts w:hint="eastAsia" w:ascii="宋体" w:hAnsi="宋体" w:eastAsia="宋体" w:cs="宋体"/>
          <w:color w:val="auto"/>
          <w:sz w:val="21"/>
          <w:szCs w:val="21"/>
          <w:highlight w:val="none"/>
        </w:rPr>
        <w:t>。</w:t>
      </w:r>
    </w:p>
    <w:p w14:paraId="35375D8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6" w:name="_Toc407261953"/>
      <w:r>
        <w:rPr>
          <w:rFonts w:hint="eastAsia" w:ascii="宋体" w:hAnsi="宋体" w:eastAsia="宋体" w:cs="宋体"/>
          <w:b/>
          <w:bCs w:val="0"/>
          <w:color w:val="auto"/>
          <w:sz w:val="21"/>
          <w:szCs w:val="21"/>
          <w:highlight w:val="none"/>
        </w:rPr>
        <w:t>10. 争议解决</w:t>
      </w:r>
      <w:bookmarkEnd w:id="206"/>
    </w:p>
    <w:p w14:paraId="654884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10.3 仲裁或诉讼</w:t>
      </w:r>
    </w:p>
    <w:p w14:paraId="142B5CE3">
      <w:pPr>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01BD45F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cs="宋体"/>
          <w:color w:val="auto"/>
          <w:kern w:val="0"/>
          <w:sz w:val="21"/>
          <w:szCs w:val="21"/>
          <w:highlight w:val="none"/>
          <w:u w:val="single"/>
          <w:lang w:val="en-US" w:eastAsia="zh-CN"/>
        </w:rPr>
        <w:t xml:space="preserve">  滁州  </w:t>
      </w:r>
      <w:r>
        <w:rPr>
          <w:rFonts w:hint="eastAsia" w:ascii="宋体" w:hAnsi="宋体" w:eastAsia="宋体" w:cs="宋体"/>
          <w:color w:val="auto"/>
          <w:kern w:val="0"/>
          <w:sz w:val="21"/>
          <w:szCs w:val="21"/>
          <w:highlight w:val="none"/>
        </w:rPr>
        <w:t>仲裁委员会申请仲裁；</w:t>
      </w:r>
    </w:p>
    <w:p w14:paraId="77B19F5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滁州市南谯区</w:t>
      </w:r>
      <w:r>
        <w:rPr>
          <w:rFonts w:hint="eastAsia" w:ascii="宋体" w:hAnsi="宋体" w:eastAsia="宋体" w:cs="宋体"/>
          <w:color w:val="auto"/>
          <w:kern w:val="0"/>
          <w:sz w:val="21"/>
          <w:szCs w:val="21"/>
          <w:highlight w:val="none"/>
        </w:rPr>
        <w:t>人民法院起诉。</w:t>
      </w:r>
    </w:p>
    <w:p w14:paraId="435D45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7" w:name="_Toc407261954"/>
      <w:r>
        <w:rPr>
          <w:rFonts w:hint="eastAsia" w:ascii="宋体" w:hAnsi="宋体" w:eastAsia="宋体" w:cs="宋体"/>
          <w:b/>
          <w:bCs w:val="0"/>
          <w:color w:val="auto"/>
          <w:sz w:val="21"/>
          <w:szCs w:val="21"/>
          <w:highlight w:val="none"/>
        </w:rPr>
        <w:t>11. 补充条款</w:t>
      </w:r>
      <w:bookmarkEnd w:id="207"/>
    </w:p>
    <w:p w14:paraId="322A05C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10.1</w:t>
      </w:r>
      <w:r>
        <w:rPr>
          <w:rFonts w:hint="eastAsia" w:ascii="宋体" w:hAnsi="宋体" w:eastAsia="宋体" w:cs="宋体"/>
          <w:color w:val="auto"/>
          <w:kern w:val="0"/>
          <w:sz w:val="21"/>
          <w:szCs w:val="21"/>
          <w:highlight w:val="none"/>
        </w:rPr>
        <w:t>咨询人须为本项目预留足够人员并驻场服务，确保服务质量及不耽误项目建设进度。咨询人中标后须按照委托人要求及时完成工程量清单及最高限价编制，并积极配合委托人开展工程的招投标工作。</w:t>
      </w:r>
    </w:p>
    <w:p w14:paraId="63C70466">
      <w:pPr>
        <w:spacing w:line="360" w:lineRule="auto"/>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10.2</w:t>
      </w:r>
      <w:r>
        <w:rPr>
          <w:rFonts w:hint="eastAsia" w:ascii="宋体" w:hAnsi="宋体" w:eastAsia="宋体" w:cs="宋体"/>
          <w:color w:val="auto"/>
          <w:kern w:val="0"/>
          <w:sz w:val="21"/>
          <w:szCs w:val="21"/>
          <w:highlight w:val="none"/>
        </w:rPr>
        <w:t>工程量清单最高投标限价编制及复核过程中，咨询人应与委托人充分及时沟通，及时踏勘项目现场，以使清单项目特征描述尽可能详尽,满足委托人要求。工程量清单最高投标限价编制及复核过程中</w:t>
      </w:r>
      <w:r>
        <w:rPr>
          <w:rFonts w:hint="eastAsia" w:ascii="宋体" w:hAnsi="宋体" w:eastAsia="宋体" w:cs="宋体"/>
          <w:color w:val="auto"/>
          <w:kern w:val="0"/>
          <w:sz w:val="21"/>
          <w:szCs w:val="21"/>
          <w:highlight w:val="none"/>
          <w:lang w:val="en-US" w:eastAsia="zh-CN"/>
        </w:rPr>
        <w:t>须要常驻建设单位办公地点进行办公，</w:t>
      </w:r>
      <w:r>
        <w:rPr>
          <w:rFonts w:hint="eastAsia" w:ascii="宋体" w:hAnsi="宋体" w:eastAsia="宋体" w:cs="宋体"/>
          <w:color w:val="auto"/>
          <w:kern w:val="0"/>
          <w:sz w:val="21"/>
          <w:szCs w:val="21"/>
          <w:highlight w:val="none"/>
        </w:rPr>
        <w:t>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每一次处以5000元违约金。</w:t>
      </w:r>
    </w:p>
    <w:p w14:paraId="0937B44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10.3</w:t>
      </w:r>
      <w:r>
        <w:rPr>
          <w:rFonts w:hint="eastAsia" w:ascii="宋体" w:hAnsi="宋体" w:eastAsia="宋体" w:cs="宋体"/>
          <w:color w:val="auto"/>
          <w:kern w:val="0"/>
          <w:sz w:val="21"/>
          <w:szCs w:val="21"/>
          <w:highlight w:val="none"/>
        </w:rPr>
        <w:t>当完成工程量清单及最高投标限价编制及复核时，</w:t>
      </w:r>
      <w:r>
        <w:rPr>
          <w:rFonts w:hint="eastAsia" w:ascii="宋体" w:hAnsi="宋体" w:eastAsia="宋体" w:cs="宋体"/>
          <w:color w:val="auto"/>
          <w:kern w:val="0"/>
          <w:sz w:val="21"/>
          <w:szCs w:val="21"/>
          <w:highlight w:val="none"/>
          <w:lang w:val="en-US" w:eastAsia="zh-CN"/>
        </w:rPr>
        <w:t>咨询人</w:t>
      </w:r>
      <w:r>
        <w:rPr>
          <w:rFonts w:hint="eastAsia" w:ascii="宋体" w:hAnsi="宋体" w:eastAsia="宋体" w:cs="宋体"/>
          <w:color w:val="auto"/>
          <w:kern w:val="0"/>
          <w:sz w:val="21"/>
          <w:szCs w:val="21"/>
          <w:highlight w:val="none"/>
        </w:rPr>
        <w:t>根据自己的工作经验向委托人提出有关造价及工作管理等方面的建议性意见。</w:t>
      </w:r>
    </w:p>
    <w:p w14:paraId="6620BFF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10.4</w:t>
      </w:r>
      <w:r>
        <w:rPr>
          <w:rFonts w:hint="eastAsia" w:ascii="宋体" w:hAnsi="宋体" w:eastAsia="宋体" w:cs="宋体"/>
          <w:color w:val="auto"/>
          <w:kern w:val="0"/>
          <w:sz w:val="21"/>
          <w:szCs w:val="21"/>
          <w:highlight w:val="none"/>
        </w:rPr>
        <w:t>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询价单里须有报价截图或加盖公章的报价单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，咨询品牌不应少于3家。</w:t>
      </w:r>
    </w:p>
    <w:p w14:paraId="6BB9CB3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10.5</w:t>
      </w:r>
      <w:r>
        <w:rPr>
          <w:rFonts w:hint="eastAsia" w:ascii="宋体" w:hAnsi="宋体" w:eastAsia="宋体" w:cs="宋体"/>
          <w:color w:val="auto"/>
          <w:kern w:val="0"/>
          <w:sz w:val="21"/>
          <w:szCs w:val="21"/>
          <w:highlight w:val="none"/>
        </w:rPr>
        <w:t>委托人安排的其他合理事项，咨询人应予以配合完成；咨询人有错、漏项的必须及时配合补充编制、复审。</w:t>
      </w:r>
    </w:p>
    <w:p w14:paraId="1A658EB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10.6</w:t>
      </w:r>
      <w:r>
        <w:rPr>
          <w:rFonts w:hint="eastAsia" w:ascii="宋体" w:hAnsi="宋体" w:eastAsia="宋体" w:cs="宋体"/>
          <w:color w:val="auto"/>
          <w:kern w:val="0"/>
          <w:sz w:val="21"/>
          <w:szCs w:val="21"/>
          <w:highlight w:val="none"/>
        </w:rPr>
        <w:t>根据委托人安排，通知中标单位项目负责人及编制人员到场开会，如有一次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处以5000元</w:t>
      </w:r>
      <w:r>
        <w:rPr>
          <w:rFonts w:hint="eastAsia" w:ascii="宋体" w:hAnsi="宋体" w:cs="宋体"/>
          <w:color w:val="auto"/>
          <w:kern w:val="0"/>
          <w:sz w:val="21"/>
          <w:szCs w:val="21"/>
          <w:highlight w:val="none"/>
          <w:lang w:val="en-US" w:eastAsia="zh-CN"/>
        </w:rPr>
        <w:t>/次</w:t>
      </w:r>
      <w:r>
        <w:rPr>
          <w:rFonts w:hint="eastAsia" w:ascii="宋体" w:hAnsi="宋体" w:eastAsia="宋体" w:cs="宋体"/>
          <w:color w:val="auto"/>
          <w:kern w:val="0"/>
          <w:sz w:val="21"/>
          <w:szCs w:val="21"/>
          <w:highlight w:val="none"/>
        </w:rPr>
        <w:t>违约金。</w:t>
      </w:r>
    </w:p>
    <w:p w14:paraId="5099F96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10.7</w:t>
      </w:r>
      <w:r>
        <w:rPr>
          <w:rFonts w:hint="eastAsia" w:ascii="宋体" w:hAnsi="宋体" w:eastAsia="宋体" w:cs="宋体"/>
          <w:color w:val="auto"/>
          <w:kern w:val="0"/>
          <w:sz w:val="21"/>
          <w:szCs w:val="21"/>
          <w:highlight w:val="none"/>
        </w:rPr>
        <w:t>本项目在实施过程中可能存在减少（或增加）导致的编制工作量减少（或增加）时，咨询人须无条件配合工作。</w:t>
      </w:r>
    </w:p>
    <w:p w14:paraId="5ECCD338">
      <w:pPr>
        <w:rPr>
          <w:rFonts w:hint="eastAsia" w:ascii="宋体" w:hAnsi="宋体"/>
          <w:b/>
          <w:color w:val="auto"/>
          <w:szCs w:val="21"/>
          <w:highlight w:val="none"/>
        </w:rPr>
      </w:pPr>
    </w:p>
    <w:bookmarkEnd w:id="64"/>
    <w:p w14:paraId="5542FB6B">
      <w:pPr>
        <w:rPr>
          <w:rFonts w:hint="eastAsia" w:ascii="宋体"/>
          <w:b/>
          <w:color w:val="auto"/>
          <w:sz w:val="32"/>
          <w:szCs w:val="32"/>
          <w:highlight w:val="none"/>
        </w:rPr>
      </w:pPr>
    </w:p>
    <w:p w14:paraId="6A31B2FE">
      <w:pPr>
        <w:rPr>
          <w:rFonts w:hint="eastAsia" w:ascii="宋体"/>
          <w:b/>
          <w:color w:val="auto"/>
          <w:sz w:val="32"/>
          <w:szCs w:val="32"/>
          <w:highlight w:val="none"/>
        </w:rPr>
      </w:pPr>
      <w:r>
        <w:rPr>
          <w:rFonts w:hint="eastAsia" w:ascii="宋体"/>
          <w:b/>
          <w:color w:val="auto"/>
          <w:sz w:val="32"/>
          <w:szCs w:val="32"/>
          <w:highlight w:val="none"/>
        </w:rPr>
        <w:br w:type="page"/>
      </w:r>
    </w:p>
    <w:p w14:paraId="6E698501">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50187447">
      <w:pPr>
        <w:jc w:val="center"/>
        <w:rPr>
          <w:rFonts w:hint="eastAsia" w:eastAsia="黑体"/>
          <w:color w:val="auto"/>
          <w:sz w:val="20"/>
          <w:highlight w:val="none"/>
        </w:rPr>
      </w:pPr>
    </w:p>
    <w:p w14:paraId="2A05EDCE">
      <w:pPr>
        <w:rPr>
          <w:rFonts w:hint="eastAsia" w:eastAsia="黑体"/>
          <w:color w:val="auto"/>
          <w:sz w:val="20"/>
          <w:highlight w:val="none"/>
        </w:rPr>
      </w:pPr>
    </w:p>
    <w:p w14:paraId="43327C74">
      <w:pPr>
        <w:rPr>
          <w:rFonts w:hint="eastAsia" w:eastAsia="黑体"/>
          <w:color w:val="auto"/>
          <w:sz w:val="20"/>
          <w:highlight w:val="none"/>
        </w:rPr>
      </w:pPr>
    </w:p>
    <w:p w14:paraId="50C1D7A8">
      <w:pPr>
        <w:rPr>
          <w:rFonts w:hint="eastAsia" w:eastAsia="黑体"/>
          <w:color w:val="auto"/>
          <w:sz w:val="20"/>
          <w:highlight w:val="none"/>
        </w:rPr>
      </w:pPr>
    </w:p>
    <w:p w14:paraId="7672EDBC">
      <w:pPr>
        <w:jc w:val="center"/>
        <w:rPr>
          <w:rFonts w:hint="eastAsia" w:ascii="宋体"/>
          <w:b/>
          <w:color w:val="auto"/>
          <w:sz w:val="44"/>
          <w:szCs w:val="44"/>
          <w:highlight w:val="none"/>
        </w:rPr>
      </w:pPr>
      <w:bookmarkStart w:id="208" w:name="_Toc350698753"/>
      <w:bookmarkStart w:id="209" w:name="_Toc449028949"/>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208"/>
      <w:bookmarkEnd w:id="209"/>
    </w:p>
    <w:p w14:paraId="5F0F4C41">
      <w:pPr>
        <w:jc w:val="center"/>
        <w:rPr>
          <w:rFonts w:hint="eastAsia" w:eastAsia="黑体"/>
          <w:color w:val="auto"/>
          <w:sz w:val="44"/>
          <w:szCs w:val="44"/>
          <w:highlight w:val="none"/>
        </w:rPr>
      </w:pPr>
    </w:p>
    <w:p w14:paraId="6295494C">
      <w:pPr>
        <w:jc w:val="center"/>
        <w:rPr>
          <w:rFonts w:hint="eastAsia" w:eastAsia="黑体"/>
          <w:color w:val="auto"/>
          <w:sz w:val="44"/>
          <w:szCs w:val="44"/>
          <w:highlight w:val="none"/>
        </w:rPr>
      </w:pPr>
    </w:p>
    <w:p w14:paraId="1D0816D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E78CC73">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BB06E75">
      <w:pPr>
        <w:rPr>
          <w:rFonts w:hint="eastAsia" w:ascii="宋体"/>
          <w:color w:val="auto"/>
          <w:sz w:val="28"/>
          <w:szCs w:val="28"/>
          <w:highlight w:val="none"/>
        </w:rPr>
      </w:pPr>
    </w:p>
    <w:p w14:paraId="309E9F1C">
      <w:pPr>
        <w:rPr>
          <w:rFonts w:hint="eastAsia" w:ascii="宋体"/>
          <w:color w:val="auto"/>
          <w:sz w:val="28"/>
          <w:szCs w:val="28"/>
          <w:highlight w:val="none"/>
        </w:rPr>
      </w:pPr>
    </w:p>
    <w:p w14:paraId="3E137C7D">
      <w:pPr>
        <w:rPr>
          <w:rFonts w:hint="eastAsia" w:ascii="宋体"/>
          <w:color w:val="auto"/>
          <w:sz w:val="28"/>
          <w:szCs w:val="28"/>
          <w:highlight w:val="none"/>
        </w:rPr>
      </w:pPr>
    </w:p>
    <w:p w14:paraId="13D25D07">
      <w:pPr>
        <w:rPr>
          <w:rFonts w:hint="eastAsia" w:ascii="宋体"/>
          <w:color w:val="auto"/>
          <w:sz w:val="28"/>
          <w:szCs w:val="28"/>
          <w:highlight w:val="none"/>
        </w:rPr>
      </w:pPr>
    </w:p>
    <w:p w14:paraId="1EB524F1">
      <w:pPr>
        <w:rPr>
          <w:rFonts w:hint="eastAsia" w:ascii="宋体"/>
          <w:color w:val="auto"/>
          <w:sz w:val="28"/>
          <w:szCs w:val="28"/>
          <w:highlight w:val="none"/>
        </w:rPr>
      </w:pPr>
    </w:p>
    <w:p w14:paraId="5ACE49DD">
      <w:pPr>
        <w:rPr>
          <w:rFonts w:hint="eastAsia" w:ascii="宋体"/>
          <w:color w:val="auto"/>
          <w:sz w:val="28"/>
          <w:szCs w:val="28"/>
          <w:highlight w:val="none"/>
        </w:rPr>
      </w:pPr>
    </w:p>
    <w:p w14:paraId="25C5C5E6">
      <w:pPr>
        <w:rPr>
          <w:rFonts w:hint="eastAsia" w:ascii="宋体"/>
          <w:color w:val="auto"/>
          <w:sz w:val="28"/>
          <w:szCs w:val="28"/>
          <w:highlight w:val="none"/>
        </w:rPr>
      </w:pPr>
    </w:p>
    <w:p w14:paraId="787FD766">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561284B">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75FE166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D822820">
      <w:pPr>
        <w:spacing w:line="720" w:lineRule="auto"/>
        <w:jc w:val="center"/>
        <w:rPr>
          <w:rFonts w:hint="eastAsia" w:ascii="宋体"/>
          <w:b/>
          <w:color w:val="auto"/>
          <w:sz w:val="36"/>
          <w:szCs w:val="36"/>
          <w:highlight w:val="none"/>
        </w:rPr>
      </w:pPr>
    </w:p>
    <w:p w14:paraId="3B7FC3EE">
      <w:pPr>
        <w:spacing w:line="400" w:lineRule="exact"/>
        <w:ind w:firstLine="4130" w:firstLineChars="935"/>
        <w:rPr>
          <w:rFonts w:hint="eastAsia"/>
          <w:b/>
          <w:color w:val="auto"/>
          <w:sz w:val="44"/>
          <w:szCs w:val="44"/>
          <w:highlight w:val="none"/>
        </w:rPr>
      </w:pPr>
    </w:p>
    <w:p w14:paraId="692DC988">
      <w:pPr>
        <w:spacing w:line="400" w:lineRule="exact"/>
        <w:ind w:firstLine="4130" w:firstLineChars="935"/>
        <w:rPr>
          <w:rFonts w:hint="eastAsia"/>
          <w:b/>
          <w:color w:val="auto"/>
          <w:sz w:val="44"/>
          <w:szCs w:val="44"/>
          <w:highlight w:val="none"/>
        </w:rPr>
      </w:pPr>
    </w:p>
    <w:p w14:paraId="5746488A">
      <w:pPr>
        <w:spacing w:line="400" w:lineRule="exact"/>
        <w:ind w:firstLine="4130" w:firstLineChars="935"/>
        <w:rPr>
          <w:rFonts w:hint="eastAsia"/>
          <w:b/>
          <w:color w:val="auto"/>
          <w:sz w:val="44"/>
          <w:szCs w:val="44"/>
          <w:highlight w:val="none"/>
        </w:rPr>
      </w:pPr>
    </w:p>
    <w:p w14:paraId="1026DC8D">
      <w:pPr>
        <w:jc w:val="center"/>
        <w:rPr>
          <w:rFonts w:hint="eastAsia"/>
          <w:b/>
          <w:color w:val="auto"/>
          <w:sz w:val="44"/>
          <w:szCs w:val="44"/>
          <w:highlight w:val="none"/>
        </w:rPr>
      </w:pPr>
      <w:r>
        <w:rPr>
          <w:rFonts w:hint="eastAsia"/>
          <w:b/>
          <w:color w:val="auto"/>
          <w:sz w:val="36"/>
          <w:szCs w:val="36"/>
          <w:highlight w:val="none"/>
        </w:rPr>
        <w:t>目   录</w:t>
      </w:r>
    </w:p>
    <w:p w14:paraId="66A8ACC8">
      <w:pPr>
        <w:spacing w:line="400" w:lineRule="exact"/>
        <w:ind w:firstLine="562" w:firstLineChars="200"/>
        <w:rPr>
          <w:rFonts w:hint="eastAsia"/>
          <w:b/>
          <w:color w:val="auto"/>
          <w:sz w:val="28"/>
          <w:szCs w:val="28"/>
          <w:highlight w:val="none"/>
        </w:rPr>
      </w:pPr>
    </w:p>
    <w:p w14:paraId="261FB3A2">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0418CEE">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4EB04C2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p w14:paraId="63323ABE">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p w14:paraId="72E58AC2">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12FBC190">
      <w:pPr>
        <w:spacing w:line="500" w:lineRule="exact"/>
        <w:ind w:firstLine="420" w:firstLineChars="200"/>
        <w:jc w:val="left"/>
        <w:rPr>
          <w:rFonts w:hint="eastAsia" w:ascii="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6）服务承诺书</w:t>
      </w:r>
      <w:r>
        <w:rPr>
          <w:rFonts w:hint="eastAsia" w:ascii="宋体"/>
          <w:color w:val="auto"/>
          <w:szCs w:val="21"/>
          <w:highlight w:val="none"/>
        </w:rPr>
        <w:t>（格式见附件）；</w:t>
      </w:r>
    </w:p>
    <w:p w14:paraId="358C999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7</w:t>
      </w:r>
      <w:r>
        <w:rPr>
          <w:rFonts w:hint="eastAsia" w:ascii="宋体" w:eastAsia="宋体"/>
          <w:color w:val="auto"/>
          <w:szCs w:val="21"/>
          <w:highlight w:val="none"/>
        </w:rPr>
        <w:t>）开标一览表（格式见附件）；</w:t>
      </w:r>
    </w:p>
    <w:p w14:paraId="4B5FC9B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8</w:t>
      </w:r>
      <w:r>
        <w:rPr>
          <w:rFonts w:hint="eastAsia" w:ascii="宋体" w:eastAsia="宋体"/>
          <w:color w:val="auto"/>
          <w:szCs w:val="21"/>
          <w:highlight w:val="none"/>
        </w:rPr>
        <w:t>）投标函（格式见附件）；</w:t>
      </w:r>
    </w:p>
    <w:p w14:paraId="4B9F1141">
      <w:pPr>
        <w:spacing w:line="440" w:lineRule="exact"/>
        <w:ind w:left="420"/>
        <w:rPr>
          <w:rFonts w:hint="default" w:ascii="宋体" w:eastAsia="宋体"/>
          <w:color w:val="auto"/>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eastAsia="宋体"/>
          <w:color w:val="auto"/>
          <w:szCs w:val="21"/>
          <w:highlight w:val="none"/>
          <w:lang w:eastAsia="zh-CN"/>
        </w:rPr>
        <w:t>（</w:t>
      </w:r>
      <w:r>
        <w:rPr>
          <w:rFonts w:hint="eastAsia" w:ascii="宋体"/>
          <w:color w:val="auto"/>
          <w:szCs w:val="21"/>
          <w:highlight w:val="none"/>
          <w:lang w:val="en-US" w:eastAsia="zh-CN"/>
        </w:rPr>
        <w:t>9</w:t>
      </w:r>
      <w:r>
        <w:rPr>
          <w:rFonts w:hint="eastAsia" w:ascii="宋体" w:eastAsia="宋体"/>
          <w:color w:val="auto"/>
          <w:szCs w:val="21"/>
          <w:highlight w:val="none"/>
          <w:lang w:val="en-US" w:eastAsia="zh-CN"/>
        </w:rPr>
        <w:t>）</w:t>
      </w:r>
      <w:r>
        <w:rPr>
          <w:rFonts w:hint="eastAsia" w:ascii="宋体"/>
          <w:color w:val="auto"/>
          <w:szCs w:val="21"/>
          <w:highlight w:val="none"/>
          <w:lang w:val="en-US" w:eastAsia="zh-CN"/>
        </w:rPr>
        <w:t>招标文件中评分细则所需提供的证明材料。</w:t>
      </w:r>
    </w:p>
    <w:p w14:paraId="12A309E3">
      <w:pPr>
        <w:spacing w:line="360" w:lineRule="auto"/>
        <w:rPr>
          <w:rFonts w:hint="eastAsia"/>
          <w:b/>
          <w:color w:val="auto"/>
          <w:sz w:val="28"/>
          <w:szCs w:val="28"/>
          <w:highlight w:val="none"/>
        </w:rPr>
      </w:pPr>
      <w:r>
        <w:rPr>
          <w:rFonts w:hint="eastAsia"/>
          <w:b/>
          <w:color w:val="auto"/>
          <w:sz w:val="28"/>
          <w:szCs w:val="28"/>
          <w:highlight w:val="none"/>
        </w:rPr>
        <w:t>附件1</w:t>
      </w:r>
    </w:p>
    <w:p w14:paraId="0297AD0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83D3138">
      <w:pPr>
        <w:pStyle w:val="12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753793">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019663A">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B5DF85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B1CBFB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DA2303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2BB6CD85">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B53ECF3">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3DC411F5">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43A445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6726C062">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3F1660A">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D691DB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23EFD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B3C3182">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6F2C4FEE">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F2B62F9">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2F96CCFC">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1CCB353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3DFB8282">
      <w:pPr>
        <w:spacing w:line="360" w:lineRule="exact"/>
        <w:ind w:firstLine="413" w:firstLineChars="147"/>
        <w:rPr>
          <w:rFonts w:hint="eastAsia"/>
          <w:b/>
          <w:color w:val="auto"/>
          <w:sz w:val="28"/>
          <w:szCs w:val="28"/>
          <w:highlight w:val="none"/>
          <w:u w:val="single"/>
        </w:rPr>
      </w:pPr>
    </w:p>
    <w:p w14:paraId="454DA86A">
      <w:pPr>
        <w:spacing w:line="360" w:lineRule="exact"/>
        <w:ind w:firstLine="413" w:firstLineChars="147"/>
        <w:rPr>
          <w:rFonts w:hint="eastAsia"/>
          <w:b/>
          <w:color w:val="auto"/>
          <w:sz w:val="28"/>
          <w:szCs w:val="28"/>
          <w:highlight w:val="none"/>
          <w:u w:val="single"/>
        </w:rPr>
      </w:pPr>
    </w:p>
    <w:p w14:paraId="5D81EF35">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66A28F69">
      <w:pPr>
        <w:spacing w:line="360" w:lineRule="auto"/>
        <w:jc w:val="center"/>
        <w:rPr>
          <w:rFonts w:hint="eastAsia"/>
          <w:b/>
          <w:color w:val="auto"/>
          <w:sz w:val="28"/>
          <w:szCs w:val="28"/>
          <w:highlight w:val="none"/>
        </w:rPr>
      </w:pPr>
      <w:bookmarkStart w:id="210" w:name="_Toc440443268"/>
      <w:bookmarkStart w:id="211" w:name="_Toc449028950"/>
      <w:r>
        <w:rPr>
          <w:rFonts w:hint="eastAsia"/>
          <w:b/>
          <w:color w:val="auto"/>
          <w:sz w:val="28"/>
          <w:szCs w:val="28"/>
          <w:highlight w:val="none"/>
        </w:rPr>
        <w:t>诚信投标承诺书 </w:t>
      </w:r>
    </w:p>
    <w:p w14:paraId="3B4959A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17BEDF1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250ACD7">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591544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988BD8D">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AA7A7B">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6455B08">
      <w:pPr>
        <w:keepNext w:val="0"/>
        <w:keepLines w:val="0"/>
        <w:pageBreakBefore w:val="0"/>
        <w:widowControl w:val="0"/>
        <w:kinsoku/>
        <w:wordWrap/>
        <w:overflowPunct/>
        <w:topLinePunct w:val="0"/>
        <w:autoSpaceDE/>
        <w:autoSpaceDN/>
        <w:bidi w:val="0"/>
        <w:adjustRightInd w:val="0"/>
        <w:snapToGrid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212" w:name="OLE_LINK134"/>
      <w:bookmarkStart w:id="213" w:name="OLE_LINK133"/>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w:t>
      </w:r>
      <w:r>
        <w:rPr>
          <w:rFonts w:hint="eastAsia"/>
          <w:color w:val="auto"/>
          <w:szCs w:val="21"/>
          <w:highlight w:val="none"/>
        </w:rPr>
        <w:t>（</w:t>
      </w:r>
      <w:bookmarkEnd w:id="212"/>
      <w:bookmarkEnd w:id="213"/>
      <w:r>
        <w:rPr>
          <w:rFonts w:hint="eastAsia"/>
          <w:color w:val="auto"/>
          <w:szCs w:val="21"/>
          <w:highlight w:val="none"/>
        </w:rPr>
        <w:t>若招标文件对投标人所属分公司、办事处等分支机构有上述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项信誉要求，在此一并承诺我公司所属分公司、办事处等分支机构没有上述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项情形）</w:t>
      </w:r>
    </w:p>
    <w:p w14:paraId="20CDDA7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77F25EE6">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17199933">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2E01290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6D1E74">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5912448">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BF6B4A5">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 </w:t>
      </w:r>
    </w:p>
    <w:p w14:paraId="3C713C1E">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560E290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410B759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p>
    <w:p w14:paraId="02DBA31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69AF867">
      <w:pPr>
        <w:spacing w:line="360" w:lineRule="auto"/>
        <w:jc w:val="center"/>
        <w:rPr>
          <w:rFonts w:hint="eastAsia"/>
          <w:b/>
          <w:color w:val="auto"/>
          <w:sz w:val="28"/>
          <w:szCs w:val="28"/>
          <w:highlight w:val="none"/>
        </w:rPr>
      </w:pPr>
    </w:p>
    <w:p w14:paraId="330836B9">
      <w:pPr>
        <w:spacing w:line="360" w:lineRule="exact"/>
        <w:ind w:firstLine="443" w:firstLineChars="147"/>
        <w:rPr>
          <w:rFonts w:hint="eastAsia" w:ascii="宋体"/>
          <w:b/>
          <w:color w:val="auto"/>
          <w:sz w:val="30"/>
          <w:szCs w:val="30"/>
          <w:highlight w:val="none"/>
        </w:rPr>
      </w:pPr>
    </w:p>
    <w:p w14:paraId="3A5E1A1C">
      <w:pPr>
        <w:spacing w:line="360" w:lineRule="exact"/>
        <w:ind w:firstLine="443" w:firstLineChars="147"/>
        <w:rPr>
          <w:rFonts w:hint="eastAsia" w:ascii="宋体"/>
          <w:b/>
          <w:color w:val="auto"/>
          <w:sz w:val="30"/>
          <w:szCs w:val="30"/>
          <w:highlight w:val="none"/>
        </w:rPr>
      </w:pPr>
    </w:p>
    <w:p w14:paraId="75C0279C">
      <w:pPr>
        <w:spacing w:line="360" w:lineRule="exact"/>
        <w:ind w:firstLine="443" w:firstLineChars="147"/>
        <w:rPr>
          <w:rFonts w:hint="eastAsia" w:ascii="宋体"/>
          <w:b/>
          <w:color w:val="auto"/>
          <w:sz w:val="30"/>
          <w:szCs w:val="30"/>
          <w:highlight w:val="none"/>
        </w:rPr>
      </w:pPr>
    </w:p>
    <w:p w14:paraId="2C30AD6E">
      <w:pPr>
        <w:spacing w:line="360" w:lineRule="exact"/>
        <w:ind w:firstLine="443" w:firstLineChars="147"/>
        <w:rPr>
          <w:rFonts w:hint="eastAsia" w:ascii="宋体"/>
          <w:b/>
          <w:color w:val="auto"/>
          <w:sz w:val="30"/>
          <w:szCs w:val="30"/>
          <w:highlight w:val="none"/>
        </w:rPr>
      </w:pPr>
    </w:p>
    <w:p w14:paraId="5EB60544">
      <w:pPr>
        <w:spacing w:line="360" w:lineRule="exact"/>
        <w:ind w:firstLine="443" w:firstLineChars="147"/>
        <w:rPr>
          <w:rFonts w:hint="eastAsia" w:ascii="宋体"/>
          <w:b/>
          <w:color w:val="auto"/>
          <w:sz w:val="30"/>
          <w:szCs w:val="30"/>
          <w:highlight w:val="none"/>
        </w:rPr>
      </w:pPr>
    </w:p>
    <w:p w14:paraId="5B74BB13">
      <w:pPr>
        <w:spacing w:line="360" w:lineRule="exact"/>
        <w:ind w:firstLine="443" w:firstLineChars="147"/>
        <w:rPr>
          <w:rFonts w:hint="eastAsia" w:ascii="宋体"/>
          <w:b/>
          <w:color w:val="auto"/>
          <w:sz w:val="30"/>
          <w:szCs w:val="30"/>
          <w:highlight w:val="none"/>
        </w:rPr>
      </w:pPr>
    </w:p>
    <w:p w14:paraId="43D732B4">
      <w:pPr>
        <w:spacing w:line="360" w:lineRule="exact"/>
        <w:ind w:firstLine="443" w:firstLineChars="147"/>
        <w:rPr>
          <w:rFonts w:hint="eastAsia" w:ascii="宋体"/>
          <w:b/>
          <w:color w:val="auto"/>
          <w:sz w:val="30"/>
          <w:szCs w:val="30"/>
          <w:highlight w:val="none"/>
        </w:rPr>
      </w:pPr>
    </w:p>
    <w:p w14:paraId="1C046224">
      <w:pPr>
        <w:spacing w:line="360" w:lineRule="exact"/>
        <w:ind w:firstLine="443" w:firstLineChars="147"/>
        <w:rPr>
          <w:rFonts w:hint="eastAsia" w:ascii="宋体"/>
          <w:b/>
          <w:color w:val="auto"/>
          <w:sz w:val="30"/>
          <w:szCs w:val="30"/>
          <w:highlight w:val="none"/>
        </w:rPr>
      </w:pPr>
    </w:p>
    <w:p w14:paraId="3FB6AE73">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p w14:paraId="039EADB3">
      <w:pPr>
        <w:spacing w:line="360" w:lineRule="exact"/>
        <w:rPr>
          <w:rFonts w:hint="eastAsia" w:ascii="宋体"/>
          <w:b/>
          <w:color w:val="auto"/>
          <w:sz w:val="30"/>
          <w:szCs w:val="30"/>
          <w:highlight w:val="none"/>
        </w:rPr>
      </w:pPr>
    </w:p>
    <w:bookmarkEnd w:id="210"/>
    <w:bookmarkEnd w:id="211"/>
    <w:p w14:paraId="63A73FBD">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3</w:t>
      </w:r>
    </w:p>
    <w:p w14:paraId="4372AF6B">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4EF38558">
      <w:pPr>
        <w:ind w:firstLine="480" w:firstLineChars="200"/>
        <w:rPr>
          <w:rFonts w:hint="eastAsia" w:ascii="宋体"/>
          <w:color w:val="auto"/>
          <w:sz w:val="24"/>
          <w:highlight w:val="none"/>
        </w:rPr>
      </w:pPr>
    </w:p>
    <w:p w14:paraId="3D773E43">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75567643">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786272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50D0C2D">
      <w:pPr>
        <w:spacing w:line="600" w:lineRule="exact"/>
        <w:rPr>
          <w:rFonts w:hint="eastAsia" w:ascii="宋体"/>
          <w:color w:val="auto"/>
          <w:sz w:val="24"/>
          <w:highlight w:val="none"/>
        </w:rPr>
      </w:pPr>
      <w:r>
        <w:rPr>
          <w:rFonts w:hint="eastAsia" w:ascii="宋体"/>
          <w:color w:val="auto"/>
          <w:sz w:val="24"/>
          <w:highlight w:val="none"/>
        </w:rPr>
        <w:t> </w:t>
      </w:r>
    </w:p>
    <w:p w14:paraId="2B82BB2D">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2CCD3DE">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2DB5FF85">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00CDC893">
      <w:pPr>
        <w:pStyle w:val="13"/>
        <w:rPr>
          <w:color w:val="auto"/>
          <w:highlight w:val="none"/>
        </w:rPr>
      </w:pPr>
    </w:p>
    <w:p w14:paraId="29454810">
      <w:pPr>
        <w:spacing w:line="400" w:lineRule="exact"/>
        <w:ind w:firstLine="562" w:firstLineChars="200"/>
        <w:rPr>
          <w:rFonts w:hint="eastAsia"/>
          <w:b/>
          <w:color w:val="auto"/>
          <w:sz w:val="28"/>
          <w:szCs w:val="28"/>
          <w:highlight w:val="none"/>
        </w:rPr>
      </w:pPr>
    </w:p>
    <w:p w14:paraId="4C709C56">
      <w:pPr>
        <w:spacing w:line="400" w:lineRule="exact"/>
        <w:ind w:firstLine="562" w:firstLineChars="200"/>
        <w:rPr>
          <w:rFonts w:hint="eastAsia"/>
          <w:b/>
          <w:color w:val="auto"/>
          <w:sz w:val="28"/>
          <w:szCs w:val="28"/>
          <w:highlight w:val="none"/>
        </w:rPr>
      </w:pPr>
    </w:p>
    <w:p w14:paraId="164AFB4D">
      <w:pPr>
        <w:spacing w:line="400" w:lineRule="exact"/>
        <w:ind w:firstLine="562" w:firstLineChars="200"/>
        <w:rPr>
          <w:rFonts w:hint="eastAsia"/>
          <w:b/>
          <w:color w:val="auto"/>
          <w:sz w:val="28"/>
          <w:szCs w:val="28"/>
          <w:highlight w:val="none"/>
        </w:rPr>
      </w:pPr>
    </w:p>
    <w:p w14:paraId="007E467B">
      <w:pPr>
        <w:spacing w:line="400" w:lineRule="exact"/>
        <w:ind w:firstLine="562" w:firstLineChars="200"/>
        <w:rPr>
          <w:rFonts w:hint="eastAsia"/>
          <w:b/>
          <w:color w:val="auto"/>
          <w:sz w:val="28"/>
          <w:szCs w:val="28"/>
          <w:highlight w:val="none"/>
        </w:rPr>
      </w:pPr>
    </w:p>
    <w:p w14:paraId="3D4B71C3">
      <w:pPr>
        <w:spacing w:line="400" w:lineRule="exact"/>
        <w:ind w:firstLine="562" w:firstLineChars="200"/>
        <w:rPr>
          <w:rFonts w:hint="eastAsia"/>
          <w:b/>
          <w:color w:val="auto"/>
          <w:sz w:val="28"/>
          <w:szCs w:val="28"/>
          <w:highlight w:val="none"/>
        </w:rPr>
      </w:pPr>
    </w:p>
    <w:p w14:paraId="526AA94C">
      <w:pPr>
        <w:spacing w:line="400" w:lineRule="exact"/>
        <w:ind w:firstLine="562" w:firstLineChars="200"/>
        <w:rPr>
          <w:rFonts w:hint="eastAsia"/>
          <w:b/>
          <w:color w:val="auto"/>
          <w:sz w:val="28"/>
          <w:szCs w:val="28"/>
          <w:highlight w:val="none"/>
        </w:rPr>
      </w:pPr>
    </w:p>
    <w:p w14:paraId="27246F98">
      <w:pPr>
        <w:spacing w:line="400" w:lineRule="exact"/>
        <w:ind w:firstLine="562" w:firstLineChars="200"/>
        <w:rPr>
          <w:rFonts w:hint="eastAsia"/>
          <w:b/>
          <w:color w:val="auto"/>
          <w:sz w:val="28"/>
          <w:szCs w:val="28"/>
          <w:highlight w:val="none"/>
        </w:rPr>
      </w:pPr>
    </w:p>
    <w:p w14:paraId="73164738">
      <w:pPr>
        <w:spacing w:line="400" w:lineRule="exact"/>
        <w:ind w:firstLine="562" w:firstLineChars="200"/>
        <w:rPr>
          <w:rFonts w:hint="eastAsia"/>
          <w:b/>
          <w:color w:val="auto"/>
          <w:sz w:val="28"/>
          <w:szCs w:val="28"/>
          <w:highlight w:val="none"/>
        </w:rPr>
      </w:pPr>
    </w:p>
    <w:p w14:paraId="75908629">
      <w:pPr>
        <w:spacing w:line="400" w:lineRule="exact"/>
        <w:rPr>
          <w:b/>
          <w:color w:val="auto"/>
          <w:sz w:val="28"/>
          <w:szCs w:val="28"/>
          <w:highlight w:val="none"/>
        </w:rPr>
      </w:pPr>
    </w:p>
    <w:p w14:paraId="00EFC75B">
      <w:pPr>
        <w:pStyle w:val="34"/>
        <w:rPr>
          <w:color w:val="auto"/>
          <w:highlight w:val="none"/>
        </w:rPr>
      </w:pPr>
    </w:p>
    <w:p w14:paraId="1574F26B">
      <w:pPr>
        <w:spacing w:line="400" w:lineRule="exact"/>
        <w:ind w:firstLine="562" w:firstLineChars="200"/>
        <w:rPr>
          <w:rFonts w:hint="eastAsia"/>
          <w:b/>
          <w:color w:val="auto"/>
          <w:sz w:val="28"/>
          <w:szCs w:val="28"/>
          <w:highlight w:val="none"/>
        </w:rPr>
      </w:pPr>
    </w:p>
    <w:p w14:paraId="7E31D460">
      <w:pPr>
        <w:spacing w:line="440" w:lineRule="exact"/>
        <w:ind w:left="420"/>
        <w:rPr>
          <w:rFonts w:hint="eastAsia" w:ascii="宋体" w:eastAsia="宋体"/>
          <w:color w:val="auto"/>
          <w:szCs w:val="21"/>
          <w:highlight w:val="none"/>
        </w:rPr>
      </w:pPr>
    </w:p>
    <w:p w14:paraId="7FEE9387">
      <w:pPr>
        <w:spacing w:line="360" w:lineRule="exact"/>
        <w:ind w:firstLine="443" w:firstLineChars="147"/>
        <w:rPr>
          <w:rFonts w:hint="eastAsia" w:ascii="宋体" w:hAnsi="宋体"/>
          <w:b/>
          <w:color w:val="auto"/>
          <w:sz w:val="30"/>
          <w:szCs w:val="30"/>
          <w:highlight w:val="none"/>
        </w:rPr>
      </w:pPr>
    </w:p>
    <w:p w14:paraId="3DC8E2CE">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006DC35">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F1A3774">
      <w:pPr>
        <w:spacing w:line="360" w:lineRule="exact"/>
        <w:ind w:firstLine="472" w:firstLineChars="147"/>
        <w:jc w:val="center"/>
        <w:rPr>
          <w:rFonts w:hint="eastAsia" w:ascii="宋体"/>
          <w:b/>
          <w:color w:val="auto"/>
          <w:sz w:val="32"/>
          <w:szCs w:val="32"/>
          <w:highlight w:val="none"/>
        </w:rPr>
      </w:pPr>
    </w:p>
    <w:p w14:paraId="6FDF845A">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40256D9B">
      <w:pPr>
        <w:spacing w:line="360" w:lineRule="exact"/>
        <w:ind w:firstLine="354" w:firstLineChars="147"/>
        <w:rPr>
          <w:rFonts w:hint="eastAsia" w:ascii="宋体"/>
          <w:b/>
          <w:color w:val="auto"/>
          <w:sz w:val="24"/>
          <w:highlight w:val="none"/>
        </w:rPr>
      </w:pPr>
    </w:p>
    <w:p w14:paraId="6375EEC0">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14:paraId="001861F0">
      <w:pPr>
        <w:snapToGrid w:val="0"/>
        <w:spacing w:line="460" w:lineRule="exact"/>
        <w:ind w:left="2940" w:leftChars="1400" w:firstLine="720" w:firstLineChars="300"/>
        <w:rPr>
          <w:rFonts w:hint="eastAsia" w:ascii="宋体"/>
          <w:color w:val="auto"/>
          <w:sz w:val="24"/>
          <w:highlight w:val="none"/>
        </w:rPr>
      </w:pP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62DD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744BEB63">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B233629">
            <w:pPr>
              <w:spacing w:line="360" w:lineRule="auto"/>
              <w:jc w:val="left"/>
              <w:rPr>
                <w:rFonts w:hint="eastAsia"/>
                <w:color w:val="auto"/>
                <w:sz w:val="24"/>
                <w:highlight w:val="none"/>
              </w:rPr>
            </w:pPr>
            <w:r>
              <w:rPr>
                <w:rFonts w:hint="eastAsia"/>
                <w:color w:val="auto"/>
                <w:sz w:val="24"/>
                <w:highlight w:val="none"/>
              </w:rPr>
              <w:t xml:space="preserve">         </w:t>
            </w:r>
          </w:p>
        </w:tc>
      </w:tr>
      <w:tr w14:paraId="17F76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3FEE16EF">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D40CC81">
            <w:pPr>
              <w:rPr>
                <w:rFonts w:hint="eastAsia" w:ascii="宋体"/>
                <w:color w:val="auto"/>
                <w:sz w:val="24"/>
                <w:highlight w:val="none"/>
              </w:rPr>
            </w:pPr>
          </w:p>
        </w:tc>
      </w:tr>
      <w:tr w14:paraId="7DC25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12325141">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4284BE6">
            <w:pPr>
              <w:pStyle w:val="18"/>
              <w:spacing w:line="460" w:lineRule="exact"/>
              <w:ind w:left="86" w:leftChars="41"/>
              <w:rPr>
                <w:rFonts w:hint="eastAsia" w:ascii="宋体" w:eastAsia="宋体"/>
                <w:color w:val="auto"/>
                <w:sz w:val="24"/>
                <w:szCs w:val="24"/>
                <w:highlight w:val="none"/>
              </w:rPr>
            </w:pPr>
          </w:p>
        </w:tc>
      </w:tr>
      <w:tr w14:paraId="71682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295EC245">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5DCC4EAC">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rPr>
              <w:t>；</w:t>
            </w:r>
          </w:p>
          <w:p w14:paraId="62CE92A6">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w:t>
            </w:r>
          </w:p>
          <w:p w14:paraId="5BA702FC">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color w:val="auto"/>
                <w:sz w:val="24"/>
                <w:highlight w:val="none"/>
                <w:lang w:val="en-US"/>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hAnsi="Times New Roman" w:eastAsia="宋体" w:cs="Times New Roman"/>
                <w:color w:val="auto"/>
                <w:sz w:val="24"/>
                <w:highlight w:val="none"/>
                <w:lang w:val="en-US" w:eastAsia="zh-CN"/>
              </w:rPr>
              <w:t>响应招标文件要求。</w:t>
            </w:r>
          </w:p>
        </w:tc>
      </w:tr>
    </w:tbl>
    <w:p w14:paraId="3BF1DAD6">
      <w:pPr>
        <w:snapToGrid w:val="0"/>
        <w:spacing w:line="460" w:lineRule="exact"/>
        <w:ind w:left="2940" w:leftChars="1400" w:firstLine="723" w:firstLineChars="300"/>
        <w:rPr>
          <w:rFonts w:hint="eastAsia" w:ascii="宋体"/>
          <w:b/>
          <w:color w:val="auto"/>
          <w:sz w:val="24"/>
          <w:highlight w:val="none"/>
        </w:rPr>
      </w:pPr>
    </w:p>
    <w:p w14:paraId="67881A06">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14:paraId="7AF07014">
      <w:pPr>
        <w:snapToGrid w:val="0"/>
        <w:spacing w:before="312" w:beforeLines="100" w:after="312" w:afterLines="100" w:line="360" w:lineRule="auto"/>
        <w:jc w:val="center"/>
        <w:rPr>
          <w:rFonts w:cs="Arial"/>
          <w:b/>
          <w:bCs/>
          <w:color w:val="auto"/>
          <w:sz w:val="30"/>
          <w:szCs w:val="30"/>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p>
    <w:p w14:paraId="373B0AB5">
      <w:pPr>
        <w:spacing w:line="360" w:lineRule="exact"/>
        <w:rPr>
          <w:rFonts w:hint="eastAsia" w:ascii="宋体"/>
          <w:b/>
          <w:color w:val="auto"/>
          <w:sz w:val="30"/>
          <w:szCs w:val="30"/>
          <w:highlight w:val="none"/>
        </w:rPr>
      </w:pPr>
    </w:p>
    <w:p w14:paraId="3A59290A">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5</w:t>
      </w:r>
    </w:p>
    <w:p w14:paraId="674CCC9D">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34B5E12F">
      <w:pPr>
        <w:spacing w:line="440" w:lineRule="exact"/>
        <w:rPr>
          <w:rFonts w:hint="eastAsia" w:ascii="宋体"/>
          <w:color w:val="auto"/>
          <w:sz w:val="24"/>
          <w:highlight w:val="none"/>
        </w:rPr>
      </w:pPr>
    </w:p>
    <w:p w14:paraId="486EFF8C">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BF2BE95">
      <w:pPr>
        <w:spacing w:line="440" w:lineRule="exact"/>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w:t>
      </w:r>
      <w:r>
        <w:rPr>
          <w:rFonts w:hint="eastAsia" w:ascii="宋体" w:hAnsi="宋体" w:cs="宋体"/>
          <w:color w:val="auto"/>
          <w:sz w:val="24"/>
          <w:highlight w:val="none"/>
          <w:lang w:val="en-US" w:eastAsia="zh-CN"/>
        </w:rPr>
        <w:t>报价（费率）</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‰（保留三位小数点），项目负责人为            。</w:t>
      </w:r>
      <w:r>
        <w:rPr>
          <w:rFonts w:hint="eastAsia" w:ascii="宋体" w:hAnsi="宋体" w:cs="宋体"/>
          <w:color w:val="auto"/>
          <w:sz w:val="24"/>
          <w:highlight w:val="none"/>
          <w:lang w:val="en-US" w:eastAsia="zh-CN"/>
        </w:rPr>
        <w:t xml:space="preserve"> </w:t>
      </w:r>
    </w:p>
    <w:p w14:paraId="657C3C0D">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22358BF9">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1F5EF4E">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77B6606">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05B0664D">
      <w:pPr>
        <w:spacing w:line="440" w:lineRule="exact"/>
        <w:rPr>
          <w:rFonts w:hint="eastAsia" w:ascii="宋体"/>
          <w:color w:val="auto"/>
          <w:sz w:val="24"/>
          <w:highlight w:val="none"/>
        </w:rPr>
      </w:pPr>
      <w:r>
        <w:rPr>
          <w:rFonts w:hint="eastAsia" w:ascii="宋体"/>
          <w:color w:val="auto"/>
          <w:sz w:val="24"/>
          <w:highlight w:val="none"/>
        </w:rPr>
        <w:t> </w:t>
      </w:r>
    </w:p>
    <w:p w14:paraId="07124A4B">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4B1AD082">
      <w:pPr>
        <w:spacing w:line="440" w:lineRule="exact"/>
        <w:jc w:val="right"/>
        <w:rPr>
          <w:rFonts w:hint="eastAsia" w:ascii="宋体"/>
          <w:color w:val="auto"/>
          <w:sz w:val="24"/>
          <w:highlight w:val="none"/>
        </w:rPr>
      </w:pPr>
    </w:p>
    <w:p w14:paraId="3299D3FC">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730476D7">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BBA1D05">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0C05209A">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72591FD6">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462BBD4">
      <w:pPr>
        <w:spacing w:line="360" w:lineRule="exact"/>
        <w:rPr>
          <w:rFonts w:hint="eastAsia" w:ascii="宋体"/>
          <w:b/>
          <w:color w:val="auto"/>
          <w:sz w:val="28"/>
          <w:szCs w:val="28"/>
          <w:highlight w:val="none"/>
        </w:rPr>
      </w:pPr>
    </w:p>
    <w:p w14:paraId="15D7A257">
      <w:pPr>
        <w:rPr>
          <w:rFonts w:hint="eastAsia" w:ascii="宋体"/>
          <w:b/>
          <w:color w:val="auto"/>
          <w:sz w:val="32"/>
          <w:szCs w:val="32"/>
          <w:highlight w:val="none"/>
        </w:rPr>
      </w:pPr>
      <w:r>
        <w:rPr>
          <w:rFonts w:hint="eastAsia" w:ascii="宋体"/>
          <w:b/>
          <w:color w:val="auto"/>
          <w:sz w:val="32"/>
          <w:szCs w:val="32"/>
          <w:highlight w:val="none"/>
        </w:rPr>
        <w:br w:type="page"/>
      </w:r>
    </w:p>
    <w:p w14:paraId="3648DADC">
      <w:pPr>
        <w:spacing w:line="360" w:lineRule="exact"/>
        <w:ind w:firstLine="443" w:firstLineChars="147"/>
        <w:rPr>
          <w:rFonts w:hint="eastAsia" w:ascii="宋体" w:hAnsi="宋体"/>
          <w:b/>
          <w:color w:val="auto"/>
          <w:sz w:val="30"/>
          <w:szCs w:val="30"/>
          <w:highlight w:val="none"/>
        </w:rPr>
        <w:sectPr>
          <w:headerReference r:id="rId12" w:type="default"/>
          <w:footerReference r:id="rId13" w:type="default"/>
          <w:pgSz w:w="11906" w:h="16838"/>
          <w:pgMar w:top="1440" w:right="1800" w:bottom="1440" w:left="1600" w:header="851" w:footer="992" w:gutter="0"/>
          <w:pgNumType w:fmt="decimal"/>
          <w:cols w:space="720" w:num="1"/>
          <w:docGrid w:type="lines" w:linePitch="312" w:charSpace="0"/>
        </w:sectPr>
      </w:pPr>
    </w:p>
    <w:bookmarkEnd w:id="62"/>
    <w:bookmarkEnd w:id="63"/>
    <w:p w14:paraId="59C5F8C7">
      <w:pPr>
        <w:spacing w:line="440" w:lineRule="exact"/>
        <w:jc w:val="center"/>
        <w:outlineLvl w:val="0"/>
        <w:rPr>
          <w:rFonts w:hint="eastAsia" w:ascii="宋体"/>
          <w:b/>
          <w:color w:val="auto"/>
          <w:sz w:val="32"/>
          <w:szCs w:val="32"/>
          <w:highlight w:val="none"/>
        </w:rPr>
      </w:pPr>
      <w:bookmarkStart w:id="214" w:name="_Toc449028957"/>
      <w:bookmarkStart w:id="215" w:name="_Toc58430333"/>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214"/>
      <w:bookmarkEnd w:id="215"/>
    </w:p>
    <w:p w14:paraId="4A117D56">
      <w:pPr>
        <w:spacing w:line="440" w:lineRule="exact"/>
        <w:rPr>
          <w:rFonts w:hint="eastAsia" w:ascii="宋体"/>
          <w:color w:val="auto"/>
          <w:sz w:val="24"/>
          <w:highlight w:val="none"/>
          <w:u w:val="single"/>
        </w:rPr>
      </w:pPr>
    </w:p>
    <w:tbl>
      <w:tblPr>
        <w:tblStyle w:val="35"/>
        <w:tblW w:w="0" w:type="auto"/>
        <w:jc w:val="center"/>
        <w:tblLayout w:type="fixed"/>
        <w:tblCellMar>
          <w:top w:w="0" w:type="dxa"/>
          <w:left w:w="108" w:type="dxa"/>
          <w:bottom w:w="0" w:type="dxa"/>
          <w:right w:w="108" w:type="dxa"/>
        </w:tblCellMar>
      </w:tblPr>
      <w:tblGrid>
        <w:gridCol w:w="9374"/>
      </w:tblGrid>
      <w:tr w14:paraId="1EC1C46D">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009B1F59">
            <w:pPr>
              <w:spacing w:line="440" w:lineRule="exact"/>
              <w:ind w:firstLine="560" w:firstLineChars="200"/>
              <w:rPr>
                <w:rFonts w:hint="eastAsia" w:ascii="宋体" w:cs="宋体"/>
                <w:color w:val="auto"/>
                <w:sz w:val="28"/>
                <w:szCs w:val="28"/>
                <w:highlight w:val="none"/>
              </w:rPr>
            </w:pPr>
          </w:p>
          <w:p w14:paraId="2559CCFF">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eastAsia="zh-CN"/>
              </w:rPr>
              <w:t>人工智能产业园B5厂房装修项目工程量清单及最高投标限价编制服务项目</w:t>
            </w:r>
            <w:r>
              <w:rPr>
                <w:rFonts w:hint="eastAsia" w:ascii="宋体" w:cs="宋体"/>
                <w:color w:val="auto"/>
                <w:sz w:val="28"/>
                <w:szCs w:val="28"/>
                <w:highlight w:val="none"/>
              </w:rPr>
              <w:t>的招标文件进行确认。</w:t>
            </w:r>
          </w:p>
          <w:p w14:paraId="01C2810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滁州市中新苏滁建设发展集团有限公司</w:t>
            </w:r>
          </w:p>
          <w:p w14:paraId="282E17B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李工</w:t>
            </w:r>
          </w:p>
          <w:p w14:paraId="03FA0A4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0550-3026900</w:t>
            </w:r>
          </w:p>
          <w:p w14:paraId="08C7D105">
            <w:pPr>
              <w:spacing w:line="540" w:lineRule="exact"/>
              <w:ind w:firstLine="7140" w:firstLineChars="2550"/>
              <w:rPr>
                <w:rFonts w:hint="eastAsia" w:ascii="宋体" w:cs="宋体"/>
                <w:color w:val="auto"/>
                <w:sz w:val="28"/>
                <w:szCs w:val="28"/>
                <w:highlight w:val="none"/>
              </w:rPr>
            </w:pPr>
          </w:p>
          <w:p w14:paraId="4B439C7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E60DF71">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r w14:paraId="25ABA1CD">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4A946AEB">
            <w:pPr>
              <w:spacing w:line="440" w:lineRule="exact"/>
              <w:rPr>
                <w:rFonts w:hint="eastAsia" w:ascii="宋体" w:cs="宋体"/>
                <w:color w:val="auto"/>
                <w:sz w:val="28"/>
                <w:szCs w:val="28"/>
                <w:highlight w:val="none"/>
              </w:rPr>
            </w:pPr>
          </w:p>
          <w:p w14:paraId="19E55761">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E53E8F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033529C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348145A">
            <w:pPr>
              <w:spacing w:line="520" w:lineRule="exact"/>
              <w:ind w:firstLine="6300" w:firstLineChars="2250"/>
              <w:rPr>
                <w:rFonts w:hint="eastAsia" w:ascii="宋体" w:cs="宋体"/>
                <w:color w:val="auto"/>
                <w:sz w:val="28"/>
                <w:szCs w:val="28"/>
                <w:highlight w:val="none"/>
              </w:rPr>
            </w:pPr>
          </w:p>
          <w:p w14:paraId="0F0721F1">
            <w:pPr>
              <w:pStyle w:val="34"/>
              <w:rPr>
                <w:rFonts w:hint="eastAsia"/>
                <w:color w:val="auto"/>
                <w:highlight w:val="none"/>
              </w:rPr>
            </w:pPr>
          </w:p>
          <w:p w14:paraId="6927545C">
            <w:pPr>
              <w:spacing w:line="520" w:lineRule="exact"/>
              <w:ind w:firstLine="6580" w:firstLineChars="2350"/>
              <w:rPr>
                <w:rFonts w:hint="eastAsia" w:ascii="宋体" w:cs="宋体"/>
                <w:color w:val="auto"/>
                <w:sz w:val="28"/>
                <w:szCs w:val="28"/>
                <w:highlight w:val="none"/>
              </w:rPr>
            </w:pPr>
          </w:p>
          <w:p w14:paraId="60BFBA44">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5E5BB42">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bookmarkEnd w:id="0"/>
    </w:tbl>
    <w:p w14:paraId="122B3745">
      <w:pPr>
        <w:rPr>
          <w:color w:val="auto"/>
          <w:highlight w:val="none"/>
        </w:rPr>
      </w:pPr>
    </w:p>
    <w:sectPr>
      <w:pgSz w:w="11906" w:h="16838"/>
      <w:pgMar w:top="1440" w:right="1800"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1052">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2DF4">
    <w:pPr>
      <w:pStyle w:val="22"/>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324148DB">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1C08">
    <w:pPr>
      <w:pStyle w:val="22"/>
      <w:framePr w:wrap="around" w:vAnchor="text" w:hAnchor="margin" w:xAlign="center" w:y="1"/>
      <w:tabs>
        <w:tab w:val="clear" w:pos="4153"/>
        <w:tab w:val="clear" w:pos="8306"/>
      </w:tabs>
      <w:rPr>
        <w:rStyle w:val="39"/>
        <w:rFonts w:hint="eastAsia"/>
      </w:rPr>
    </w:pPr>
  </w:p>
  <w:p w14:paraId="7F1FF381">
    <w:pPr>
      <w:pStyle w:val="22"/>
      <w:tabs>
        <w:tab w:val="clear" w:pos="4153"/>
        <w:tab w:val="clear" w:pos="8306"/>
      </w:tabs>
      <w:rPr>
        <w:rFonts w:hint="eastAsia"/>
        <w:szCs w:val="21"/>
      </w:rPr>
    </w:pPr>
  </w:p>
  <w:p w14:paraId="56EDCA8C">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049F1">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049F1">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2EF9">
    <w:pPr>
      <w:pStyle w:val="22"/>
      <w:rPr>
        <w:rStyle w:val="39"/>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8131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68131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BCCB1CB">
    <w:pPr>
      <w:pStyle w:val="22"/>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9C866FC"/>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9C866FC"/>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8F8E">
    <w:pPr>
      <w:pStyle w:val="22"/>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A7C8C">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0A7C8C">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2A2F">
    <w:pPr>
      <w:pStyle w:val="22"/>
      <w:tabs>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D17E">
                          <w:pPr>
                            <w:pStyle w:val="2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05D17E">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742E">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192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7927">
    <w:pPr>
      <w:pStyle w:val="23"/>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0A64">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GRkMjg0ZWRjZjM1MTM4OGNiMGViY2YyN2VjZjU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267"/>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4F42"/>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5BC8"/>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23584C"/>
    <w:rsid w:val="01317BAC"/>
    <w:rsid w:val="0156352C"/>
    <w:rsid w:val="0160078A"/>
    <w:rsid w:val="016025FC"/>
    <w:rsid w:val="01727AD4"/>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F0F02"/>
    <w:rsid w:val="02AB3F80"/>
    <w:rsid w:val="02CD5A6F"/>
    <w:rsid w:val="02D50DC8"/>
    <w:rsid w:val="02F92D08"/>
    <w:rsid w:val="02FF011F"/>
    <w:rsid w:val="0306625F"/>
    <w:rsid w:val="0314369E"/>
    <w:rsid w:val="032B6C3A"/>
    <w:rsid w:val="03433F84"/>
    <w:rsid w:val="034D095E"/>
    <w:rsid w:val="034D4E02"/>
    <w:rsid w:val="03636F78"/>
    <w:rsid w:val="038E49F0"/>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6416"/>
    <w:rsid w:val="05072DB3"/>
    <w:rsid w:val="051D0A23"/>
    <w:rsid w:val="05584639"/>
    <w:rsid w:val="05713E65"/>
    <w:rsid w:val="05724A1A"/>
    <w:rsid w:val="05777F14"/>
    <w:rsid w:val="057F7413"/>
    <w:rsid w:val="059302F0"/>
    <w:rsid w:val="05B55DC4"/>
    <w:rsid w:val="05C56ED2"/>
    <w:rsid w:val="05EB7E30"/>
    <w:rsid w:val="0600615C"/>
    <w:rsid w:val="0619721E"/>
    <w:rsid w:val="06235109"/>
    <w:rsid w:val="062459A5"/>
    <w:rsid w:val="062478E7"/>
    <w:rsid w:val="06304C93"/>
    <w:rsid w:val="064510DB"/>
    <w:rsid w:val="06581AF4"/>
    <w:rsid w:val="06620B3A"/>
    <w:rsid w:val="066E7569"/>
    <w:rsid w:val="06954AF6"/>
    <w:rsid w:val="069717B9"/>
    <w:rsid w:val="06D0451E"/>
    <w:rsid w:val="06DA6FC6"/>
    <w:rsid w:val="06EB6E0C"/>
    <w:rsid w:val="06F10417"/>
    <w:rsid w:val="06F34B4B"/>
    <w:rsid w:val="06FF299A"/>
    <w:rsid w:val="070A729C"/>
    <w:rsid w:val="07342561"/>
    <w:rsid w:val="073C599D"/>
    <w:rsid w:val="073E5575"/>
    <w:rsid w:val="074128B0"/>
    <w:rsid w:val="07453193"/>
    <w:rsid w:val="074A10F8"/>
    <w:rsid w:val="074D3623"/>
    <w:rsid w:val="0761194E"/>
    <w:rsid w:val="076432D3"/>
    <w:rsid w:val="0781151E"/>
    <w:rsid w:val="07B54D24"/>
    <w:rsid w:val="07B63215"/>
    <w:rsid w:val="07B77A9C"/>
    <w:rsid w:val="07BC624E"/>
    <w:rsid w:val="07D63618"/>
    <w:rsid w:val="07DC7A53"/>
    <w:rsid w:val="08000695"/>
    <w:rsid w:val="08081FA5"/>
    <w:rsid w:val="080B7557"/>
    <w:rsid w:val="08181E21"/>
    <w:rsid w:val="08184EC7"/>
    <w:rsid w:val="081C0B89"/>
    <w:rsid w:val="082B48A9"/>
    <w:rsid w:val="082D6348"/>
    <w:rsid w:val="084F5179"/>
    <w:rsid w:val="085264A2"/>
    <w:rsid w:val="0858227F"/>
    <w:rsid w:val="085D7896"/>
    <w:rsid w:val="08684A24"/>
    <w:rsid w:val="0878647D"/>
    <w:rsid w:val="08924472"/>
    <w:rsid w:val="08A62997"/>
    <w:rsid w:val="08A969C4"/>
    <w:rsid w:val="08AA2A59"/>
    <w:rsid w:val="08AF6108"/>
    <w:rsid w:val="08B001C4"/>
    <w:rsid w:val="08D00FFA"/>
    <w:rsid w:val="08EF5F46"/>
    <w:rsid w:val="090441B5"/>
    <w:rsid w:val="09086D86"/>
    <w:rsid w:val="090F12E9"/>
    <w:rsid w:val="09367BAA"/>
    <w:rsid w:val="09381D73"/>
    <w:rsid w:val="09473B2C"/>
    <w:rsid w:val="096A3477"/>
    <w:rsid w:val="097C361B"/>
    <w:rsid w:val="09866978"/>
    <w:rsid w:val="09AB5942"/>
    <w:rsid w:val="09B064D1"/>
    <w:rsid w:val="09BF2ED7"/>
    <w:rsid w:val="09BF7674"/>
    <w:rsid w:val="09F45FD8"/>
    <w:rsid w:val="09F806A3"/>
    <w:rsid w:val="0A0B50CF"/>
    <w:rsid w:val="0A0D1190"/>
    <w:rsid w:val="0A2456C5"/>
    <w:rsid w:val="0A2543E3"/>
    <w:rsid w:val="0A474057"/>
    <w:rsid w:val="0A53598C"/>
    <w:rsid w:val="0A641E3D"/>
    <w:rsid w:val="0A697CBD"/>
    <w:rsid w:val="0AA34B1B"/>
    <w:rsid w:val="0AAD7CD9"/>
    <w:rsid w:val="0AB6328D"/>
    <w:rsid w:val="0ABD15CE"/>
    <w:rsid w:val="0ABF263A"/>
    <w:rsid w:val="0AD12B8F"/>
    <w:rsid w:val="0AF618DB"/>
    <w:rsid w:val="0B0A6314"/>
    <w:rsid w:val="0B183F48"/>
    <w:rsid w:val="0B330D82"/>
    <w:rsid w:val="0B335CF7"/>
    <w:rsid w:val="0B5C5BE2"/>
    <w:rsid w:val="0B6B051B"/>
    <w:rsid w:val="0B6E6353"/>
    <w:rsid w:val="0B7B2E88"/>
    <w:rsid w:val="0B8415DD"/>
    <w:rsid w:val="0B842ECF"/>
    <w:rsid w:val="0BA53A0C"/>
    <w:rsid w:val="0BA8462C"/>
    <w:rsid w:val="0BAA1044"/>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64762A"/>
    <w:rsid w:val="0C782EF0"/>
    <w:rsid w:val="0C7B0EF4"/>
    <w:rsid w:val="0C825B1D"/>
    <w:rsid w:val="0C8E44C1"/>
    <w:rsid w:val="0C9C7EE1"/>
    <w:rsid w:val="0C9F66CF"/>
    <w:rsid w:val="0CA20839"/>
    <w:rsid w:val="0CA21D1B"/>
    <w:rsid w:val="0CB14648"/>
    <w:rsid w:val="0CB21A52"/>
    <w:rsid w:val="0CB63A18"/>
    <w:rsid w:val="0CBD3A66"/>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110D22"/>
    <w:rsid w:val="0E193424"/>
    <w:rsid w:val="0E554C8F"/>
    <w:rsid w:val="0E574D87"/>
    <w:rsid w:val="0E5A2C39"/>
    <w:rsid w:val="0E736B11"/>
    <w:rsid w:val="0E7F3562"/>
    <w:rsid w:val="0E8E126E"/>
    <w:rsid w:val="0E9E6512"/>
    <w:rsid w:val="0EAC6E81"/>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21F8C"/>
    <w:rsid w:val="0F7936CC"/>
    <w:rsid w:val="0F882744"/>
    <w:rsid w:val="0F8F3081"/>
    <w:rsid w:val="0FA5195F"/>
    <w:rsid w:val="0FAD4701"/>
    <w:rsid w:val="0FC621C4"/>
    <w:rsid w:val="0FE825FD"/>
    <w:rsid w:val="0FF61E2B"/>
    <w:rsid w:val="10260FB8"/>
    <w:rsid w:val="10280789"/>
    <w:rsid w:val="104D6442"/>
    <w:rsid w:val="106F4618"/>
    <w:rsid w:val="10735462"/>
    <w:rsid w:val="10760938"/>
    <w:rsid w:val="10771710"/>
    <w:rsid w:val="107A6B0B"/>
    <w:rsid w:val="10934AB9"/>
    <w:rsid w:val="109E4EEF"/>
    <w:rsid w:val="10B64B12"/>
    <w:rsid w:val="10B7072A"/>
    <w:rsid w:val="10B93AD7"/>
    <w:rsid w:val="10C04E65"/>
    <w:rsid w:val="10C34956"/>
    <w:rsid w:val="10D57578"/>
    <w:rsid w:val="10D73F5D"/>
    <w:rsid w:val="10E83584"/>
    <w:rsid w:val="10F245C8"/>
    <w:rsid w:val="10FD18AA"/>
    <w:rsid w:val="11136BE5"/>
    <w:rsid w:val="112244C7"/>
    <w:rsid w:val="113E38BD"/>
    <w:rsid w:val="114E06C3"/>
    <w:rsid w:val="11531836"/>
    <w:rsid w:val="11633A20"/>
    <w:rsid w:val="116F23E8"/>
    <w:rsid w:val="11700B96"/>
    <w:rsid w:val="117A7D9D"/>
    <w:rsid w:val="117B6FDE"/>
    <w:rsid w:val="117D1895"/>
    <w:rsid w:val="1189681F"/>
    <w:rsid w:val="118D065E"/>
    <w:rsid w:val="119111DD"/>
    <w:rsid w:val="119D0D92"/>
    <w:rsid w:val="11B01C7F"/>
    <w:rsid w:val="11C049F1"/>
    <w:rsid w:val="11C72224"/>
    <w:rsid w:val="11D16BFE"/>
    <w:rsid w:val="11E20E0C"/>
    <w:rsid w:val="11EB5F12"/>
    <w:rsid w:val="11F63B39"/>
    <w:rsid w:val="11F811A4"/>
    <w:rsid w:val="121534BC"/>
    <w:rsid w:val="12303925"/>
    <w:rsid w:val="12321755"/>
    <w:rsid w:val="12392DC6"/>
    <w:rsid w:val="123A0C48"/>
    <w:rsid w:val="125735A8"/>
    <w:rsid w:val="125C6E10"/>
    <w:rsid w:val="125E4649"/>
    <w:rsid w:val="12653E6A"/>
    <w:rsid w:val="127658D7"/>
    <w:rsid w:val="12864FA7"/>
    <w:rsid w:val="12957C2C"/>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9022F"/>
    <w:rsid w:val="13EB044B"/>
    <w:rsid w:val="13F53078"/>
    <w:rsid w:val="13FD017F"/>
    <w:rsid w:val="1400703C"/>
    <w:rsid w:val="14024E31"/>
    <w:rsid w:val="142F0857"/>
    <w:rsid w:val="1436652A"/>
    <w:rsid w:val="1437543F"/>
    <w:rsid w:val="1444680B"/>
    <w:rsid w:val="14473B09"/>
    <w:rsid w:val="14526E7B"/>
    <w:rsid w:val="145853B5"/>
    <w:rsid w:val="147246C9"/>
    <w:rsid w:val="14834C84"/>
    <w:rsid w:val="14840D97"/>
    <w:rsid w:val="14861F22"/>
    <w:rsid w:val="148D4AEF"/>
    <w:rsid w:val="1493647B"/>
    <w:rsid w:val="14A32AD4"/>
    <w:rsid w:val="14CA62B3"/>
    <w:rsid w:val="14CF3D47"/>
    <w:rsid w:val="14D94AE9"/>
    <w:rsid w:val="14EB2AE0"/>
    <w:rsid w:val="14F50E56"/>
    <w:rsid w:val="14F7288F"/>
    <w:rsid w:val="14F751FA"/>
    <w:rsid w:val="14FC59FF"/>
    <w:rsid w:val="15063688"/>
    <w:rsid w:val="151E65FF"/>
    <w:rsid w:val="15336151"/>
    <w:rsid w:val="155251A4"/>
    <w:rsid w:val="156275CE"/>
    <w:rsid w:val="156F3D9C"/>
    <w:rsid w:val="15724254"/>
    <w:rsid w:val="157952EA"/>
    <w:rsid w:val="157B75AD"/>
    <w:rsid w:val="15876E40"/>
    <w:rsid w:val="158C2DC7"/>
    <w:rsid w:val="15A718D7"/>
    <w:rsid w:val="15BF64B6"/>
    <w:rsid w:val="15D373E9"/>
    <w:rsid w:val="15D975F0"/>
    <w:rsid w:val="15EC6D9F"/>
    <w:rsid w:val="15F64207"/>
    <w:rsid w:val="15FB6C69"/>
    <w:rsid w:val="16016360"/>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B26FFE"/>
    <w:rsid w:val="16B86283"/>
    <w:rsid w:val="16BB08D6"/>
    <w:rsid w:val="16C33CD0"/>
    <w:rsid w:val="16C86EEE"/>
    <w:rsid w:val="16CF74AC"/>
    <w:rsid w:val="16D62899"/>
    <w:rsid w:val="16D86AD9"/>
    <w:rsid w:val="16DC407B"/>
    <w:rsid w:val="16E24DAF"/>
    <w:rsid w:val="16E478E9"/>
    <w:rsid w:val="16E86EC4"/>
    <w:rsid w:val="16F21AF1"/>
    <w:rsid w:val="16F45869"/>
    <w:rsid w:val="17025136"/>
    <w:rsid w:val="17080CB3"/>
    <w:rsid w:val="17104E33"/>
    <w:rsid w:val="172779EC"/>
    <w:rsid w:val="172C5003"/>
    <w:rsid w:val="17435B9A"/>
    <w:rsid w:val="17481711"/>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07C10"/>
    <w:rsid w:val="18D95C4B"/>
    <w:rsid w:val="18E33521"/>
    <w:rsid w:val="18EB67F8"/>
    <w:rsid w:val="18FA4C8D"/>
    <w:rsid w:val="18FF7748"/>
    <w:rsid w:val="19133920"/>
    <w:rsid w:val="19296091"/>
    <w:rsid w:val="193C34F7"/>
    <w:rsid w:val="19526877"/>
    <w:rsid w:val="196C36C2"/>
    <w:rsid w:val="19733208"/>
    <w:rsid w:val="1978271D"/>
    <w:rsid w:val="197E7B00"/>
    <w:rsid w:val="19933B34"/>
    <w:rsid w:val="19C96DDB"/>
    <w:rsid w:val="19CD084B"/>
    <w:rsid w:val="19CF01B9"/>
    <w:rsid w:val="19DC46F7"/>
    <w:rsid w:val="19DE34A8"/>
    <w:rsid w:val="19E52623"/>
    <w:rsid w:val="19EF2318"/>
    <w:rsid w:val="19FA6457"/>
    <w:rsid w:val="19FB3754"/>
    <w:rsid w:val="1A09162B"/>
    <w:rsid w:val="1A0B2274"/>
    <w:rsid w:val="1A187AC0"/>
    <w:rsid w:val="1A393B90"/>
    <w:rsid w:val="1A4E703E"/>
    <w:rsid w:val="1A535B25"/>
    <w:rsid w:val="1A7208D9"/>
    <w:rsid w:val="1A764FB0"/>
    <w:rsid w:val="1A767F97"/>
    <w:rsid w:val="1A8C60A2"/>
    <w:rsid w:val="1A932C82"/>
    <w:rsid w:val="1A9D1D74"/>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BFD529F"/>
    <w:rsid w:val="1C044843"/>
    <w:rsid w:val="1C165429"/>
    <w:rsid w:val="1C4C7B54"/>
    <w:rsid w:val="1C6D30D8"/>
    <w:rsid w:val="1C7911F1"/>
    <w:rsid w:val="1C7B60E4"/>
    <w:rsid w:val="1CCB47C0"/>
    <w:rsid w:val="1CE27F12"/>
    <w:rsid w:val="1CF3330B"/>
    <w:rsid w:val="1D0B3F40"/>
    <w:rsid w:val="1D0C2883"/>
    <w:rsid w:val="1D1F4CC2"/>
    <w:rsid w:val="1D3B1144"/>
    <w:rsid w:val="1D44297A"/>
    <w:rsid w:val="1D4E4561"/>
    <w:rsid w:val="1D703128"/>
    <w:rsid w:val="1D7C5FBA"/>
    <w:rsid w:val="1D81336E"/>
    <w:rsid w:val="1D8B67FB"/>
    <w:rsid w:val="1D9F19C4"/>
    <w:rsid w:val="1DA575B0"/>
    <w:rsid w:val="1DAF24EA"/>
    <w:rsid w:val="1DB375C5"/>
    <w:rsid w:val="1DB46449"/>
    <w:rsid w:val="1DBC69B5"/>
    <w:rsid w:val="1DC332DD"/>
    <w:rsid w:val="1DDB0E18"/>
    <w:rsid w:val="1DE80C95"/>
    <w:rsid w:val="1DEF6D8A"/>
    <w:rsid w:val="1E061E25"/>
    <w:rsid w:val="1E226345"/>
    <w:rsid w:val="1E37428D"/>
    <w:rsid w:val="1E384EE7"/>
    <w:rsid w:val="1E3A6C06"/>
    <w:rsid w:val="1E424E8A"/>
    <w:rsid w:val="1E6C5E06"/>
    <w:rsid w:val="1E736290"/>
    <w:rsid w:val="1E8C6387"/>
    <w:rsid w:val="1E8F5E77"/>
    <w:rsid w:val="1E9A6CF6"/>
    <w:rsid w:val="1EAA4A5F"/>
    <w:rsid w:val="1EB06519"/>
    <w:rsid w:val="1EB458DE"/>
    <w:rsid w:val="1EC00497"/>
    <w:rsid w:val="1EDA5344"/>
    <w:rsid w:val="1EE613D0"/>
    <w:rsid w:val="1EF1268E"/>
    <w:rsid w:val="1EF21855"/>
    <w:rsid w:val="1EF501D6"/>
    <w:rsid w:val="1EF80AEE"/>
    <w:rsid w:val="1F1830CB"/>
    <w:rsid w:val="1F1D4CEA"/>
    <w:rsid w:val="1F3431EF"/>
    <w:rsid w:val="1F412ACD"/>
    <w:rsid w:val="1F703EFB"/>
    <w:rsid w:val="1F717B90"/>
    <w:rsid w:val="1F896D6A"/>
    <w:rsid w:val="1FA51C58"/>
    <w:rsid w:val="1FA7649E"/>
    <w:rsid w:val="1FBE7B22"/>
    <w:rsid w:val="1FCD4EA9"/>
    <w:rsid w:val="1FF02C39"/>
    <w:rsid w:val="20061562"/>
    <w:rsid w:val="200A7EAB"/>
    <w:rsid w:val="2017317A"/>
    <w:rsid w:val="201D0468"/>
    <w:rsid w:val="202857A9"/>
    <w:rsid w:val="202D76F6"/>
    <w:rsid w:val="203D7B26"/>
    <w:rsid w:val="20A749AE"/>
    <w:rsid w:val="20B10327"/>
    <w:rsid w:val="20B15A28"/>
    <w:rsid w:val="20C655D1"/>
    <w:rsid w:val="20C77B4A"/>
    <w:rsid w:val="20C92795"/>
    <w:rsid w:val="20D65FDF"/>
    <w:rsid w:val="20DB0CE4"/>
    <w:rsid w:val="20E961FA"/>
    <w:rsid w:val="20EE6F43"/>
    <w:rsid w:val="20F66313"/>
    <w:rsid w:val="211A14D6"/>
    <w:rsid w:val="211F34E2"/>
    <w:rsid w:val="2132735C"/>
    <w:rsid w:val="21380A48"/>
    <w:rsid w:val="21564CC5"/>
    <w:rsid w:val="21725E20"/>
    <w:rsid w:val="217F21D3"/>
    <w:rsid w:val="21894835"/>
    <w:rsid w:val="219F6403"/>
    <w:rsid w:val="21A148C9"/>
    <w:rsid w:val="21A84B20"/>
    <w:rsid w:val="21A97250"/>
    <w:rsid w:val="21C347B6"/>
    <w:rsid w:val="21D06ED2"/>
    <w:rsid w:val="21D122B0"/>
    <w:rsid w:val="21D547D9"/>
    <w:rsid w:val="21E36C06"/>
    <w:rsid w:val="21F841CB"/>
    <w:rsid w:val="22094970"/>
    <w:rsid w:val="220A4192"/>
    <w:rsid w:val="2224426F"/>
    <w:rsid w:val="224551CB"/>
    <w:rsid w:val="224C10D0"/>
    <w:rsid w:val="225222AD"/>
    <w:rsid w:val="22541289"/>
    <w:rsid w:val="22560474"/>
    <w:rsid w:val="225C24EF"/>
    <w:rsid w:val="226433E0"/>
    <w:rsid w:val="22685BE4"/>
    <w:rsid w:val="22786DC6"/>
    <w:rsid w:val="228F018F"/>
    <w:rsid w:val="22951269"/>
    <w:rsid w:val="22952C4B"/>
    <w:rsid w:val="22A07A2E"/>
    <w:rsid w:val="22AE1FD7"/>
    <w:rsid w:val="22B00DA9"/>
    <w:rsid w:val="22B1460E"/>
    <w:rsid w:val="22B81E40"/>
    <w:rsid w:val="22DF73CD"/>
    <w:rsid w:val="22F10EAE"/>
    <w:rsid w:val="2305495A"/>
    <w:rsid w:val="230D3F37"/>
    <w:rsid w:val="231128EB"/>
    <w:rsid w:val="23130BB1"/>
    <w:rsid w:val="23151041"/>
    <w:rsid w:val="23307C29"/>
    <w:rsid w:val="233415C5"/>
    <w:rsid w:val="234C07DB"/>
    <w:rsid w:val="23566F63"/>
    <w:rsid w:val="2362143C"/>
    <w:rsid w:val="23645B24"/>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237319"/>
    <w:rsid w:val="25276E09"/>
    <w:rsid w:val="253311F6"/>
    <w:rsid w:val="253B3193"/>
    <w:rsid w:val="25552E9E"/>
    <w:rsid w:val="255866F6"/>
    <w:rsid w:val="25654FC9"/>
    <w:rsid w:val="25851E17"/>
    <w:rsid w:val="2586379D"/>
    <w:rsid w:val="25A91F14"/>
    <w:rsid w:val="25DF1492"/>
    <w:rsid w:val="25EB1207"/>
    <w:rsid w:val="25F723E2"/>
    <w:rsid w:val="26377520"/>
    <w:rsid w:val="263C274B"/>
    <w:rsid w:val="264B7744"/>
    <w:rsid w:val="2651082C"/>
    <w:rsid w:val="267E7EE2"/>
    <w:rsid w:val="26A804CA"/>
    <w:rsid w:val="26C66AA9"/>
    <w:rsid w:val="26CD578F"/>
    <w:rsid w:val="26CF59AB"/>
    <w:rsid w:val="26DB434F"/>
    <w:rsid w:val="26DD1E76"/>
    <w:rsid w:val="26F64CE5"/>
    <w:rsid w:val="26F87EF2"/>
    <w:rsid w:val="271138CD"/>
    <w:rsid w:val="271703C5"/>
    <w:rsid w:val="27351CB2"/>
    <w:rsid w:val="27361586"/>
    <w:rsid w:val="27392E24"/>
    <w:rsid w:val="27483067"/>
    <w:rsid w:val="275163C0"/>
    <w:rsid w:val="2753038A"/>
    <w:rsid w:val="275B5309"/>
    <w:rsid w:val="27675BE3"/>
    <w:rsid w:val="277D1B2D"/>
    <w:rsid w:val="27835FFC"/>
    <w:rsid w:val="27914A0E"/>
    <w:rsid w:val="2794279E"/>
    <w:rsid w:val="279E7050"/>
    <w:rsid w:val="27A466B8"/>
    <w:rsid w:val="27AF6D80"/>
    <w:rsid w:val="27B0198F"/>
    <w:rsid w:val="27B92AB7"/>
    <w:rsid w:val="27D43FB1"/>
    <w:rsid w:val="27DE552A"/>
    <w:rsid w:val="27E022D4"/>
    <w:rsid w:val="27F84A8D"/>
    <w:rsid w:val="27FC3AE4"/>
    <w:rsid w:val="2800288E"/>
    <w:rsid w:val="28065AFB"/>
    <w:rsid w:val="280C4E96"/>
    <w:rsid w:val="281B7D88"/>
    <w:rsid w:val="282E4FCE"/>
    <w:rsid w:val="28342B35"/>
    <w:rsid w:val="2834568E"/>
    <w:rsid w:val="283F0442"/>
    <w:rsid w:val="28497097"/>
    <w:rsid w:val="284E32AF"/>
    <w:rsid w:val="286D1F27"/>
    <w:rsid w:val="287E1436"/>
    <w:rsid w:val="28924EE2"/>
    <w:rsid w:val="28975940"/>
    <w:rsid w:val="28A2738B"/>
    <w:rsid w:val="28A86838"/>
    <w:rsid w:val="28C4031B"/>
    <w:rsid w:val="28CB6760"/>
    <w:rsid w:val="28DA7C9C"/>
    <w:rsid w:val="28EC71CA"/>
    <w:rsid w:val="290B259E"/>
    <w:rsid w:val="291D0C4F"/>
    <w:rsid w:val="2924258A"/>
    <w:rsid w:val="29274E04"/>
    <w:rsid w:val="293F46A3"/>
    <w:rsid w:val="296D1EE4"/>
    <w:rsid w:val="298B44EB"/>
    <w:rsid w:val="29944EB8"/>
    <w:rsid w:val="299C4433"/>
    <w:rsid w:val="29DB4666"/>
    <w:rsid w:val="29E4351B"/>
    <w:rsid w:val="29E736D3"/>
    <w:rsid w:val="29EC0622"/>
    <w:rsid w:val="29FB1FE8"/>
    <w:rsid w:val="29FE68AE"/>
    <w:rsid w:val="2A031B89"/>
    <w:rsid w:val="2A070C32"/>
    <w:rsid w:val="2A0B0AA8"/>
    <w:rsid w:val="2A1C2CB5"/>
    <w:rsid w:val="2A1F6D8E"/>
    <w:rsid w:val="2A32072A"/>
    <w:rsid w:val="2A3C5105"/>
    <w:rsid w:val="2A444271"/>
    <w:rsid w:val="2A491993"/>
    <w:rsid w:val="2A567D20"/>
    <w:rsid w:val="2A6F4131"/>
    <w:rsid w:val="2A782154"/>
    <w:rsid w:val="2A821832"/>
    <w:rsid w:val="2A8C2357"/>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1529D1"/>
    <w:rsid w:val="2C3B319A"/>
    <w:rsid w:val="2C3C1A6A"/>
    <w:rsid w:val="2C540D91"/>
    <w:rsid w:val="2C6537E2"/>
    <w:rsid w:val="2C6C7279"/>
    <w:rsid w:val="2C8965FC"/>
    <w:rsid w:val="2C903C46"/>
    <w:rsid w:val="2CA14AE9"/>
    <w:rsid w:val="2CAB6572"/>
    <w:rsid w:val="2CAC2D20"/>
    <w:rsid w:val="2CBC42DB"/>
    <w:rsid w:val="2CC10625"/>
    <w:rsid w:val="2CC47634"/>
    <w:rsid w:val="2CD326FB"/>
    <w:rsid w:val="2CD33D72"/>
    <w:rsid w:val="2CDD2170"/>
    <w:rsid w:val="2CEA7FC6"/>
    <w:rsid w:val="2CEF46B1"/>
    <w:rsid w:val="2CF220D0"/>
    <w:rsid w:val="2CF241A1"/>
    <w:rsid w:val="2D032370"/>
    <w:rsid w:val="2D056154"/>
    <w:rsid w:val="2D094BEA"/>
    <w:rsid w:val="2D2A52C6"/>
    <w:rsid w:val="2D4D7629"/>
    <w:rsid w:val="2D880661"/>
    <w:rsid w:val="2D8F1DD6"/>
    <w:rsid w:val="2D915A33"/>
    <w:rsid w:val="2D954534"/>
    <w:rsid w:val="2D9800A5"/>
    <w:rsid w:val="2DC3712A"/>
    <w:rsid w:val="2DE171DF"/>
    <w:rsid w:val="2DEF1551"/>
    <w:rsid w:val="2E0200C9"/>
    <w:rsid w:val="2E3507E9"/>
    <w:rsid w:val="2E3C6ABB"/>
    <w:rsid w:val="2E4345B4"/>
    <w:rsid w:val="2E5A3DAC"/>
    <w:rsid w:val="2E5D53FD"/>
    <w:rsid w:val="2E61599C"/>
    <w:rsid w:val="2E6332CF"/>
    <w:rsid w:val="2E6E7857"/>
    <w:rsid w:val="2E7D7A9A"/>
    <w:rsid w:val="2EA63495"/>
    <w:rsid w:val="2EBA0298"/>
    <w:rsid w:val="2EBF09B3"/>
    <w:rsid w:val="2ED22F7C"/>
    <w:rsid w:val="2ED73784"/>
    <w:rsid w:val="2EDF3673"/>
    <w:rsid w:val="2EE213C2"/>
    <w:rsid w:val="2EFC30B5"/>
    <w:rsid w:val="2F0529C7"/>
    <w:rsid w:val="2F486989"/>
    <w:rsid w:val="2F4C403D"/>
    <w:rsid w:val="2F653004"/>
    <w:rsid w:val="2F684953"/>
    <w:rsid w:val="2F8135BA"/>
    <w:rsid w:val="2F8D622E"/>
    <w:rsid w:val="2F9037FD"/>
    <w:rsid w:val="2F917CA1"/>
    <w:rsid w:val="2F982E42"/>
    <w:rsid w:val="2FCB7EDC"/>
    <w:rsid w:val="2FD951A4"/>
    <w:rsid w:val="2FDB7940"/>
    <w:rsid w:val="2FE60F0B"/>
    <w:rsid w:val="2FFE3400"/>
    <w:rsid w:val="301B0290"/>
    <w:rsid w:val="303C4D07"/>
    <w:rsid w:val="306461F7"/>
    <w:rsid w:val="30647164"/>
    <w:rsid w:val="306C3ED5"/>
    <w:rsid w:val="306C6C6A"/>
    <w:rsid w:val="306D3F93"/>
    <w:rsid w:val="30711C4D"/>
    <w:rsid w:val="30801AC4"/>
    <w:rsid w:val="308A649E"/>
    <w:rsid w:val="308E5A68"/>
    <w:rsid w:val="30A2226B"/>
    <w:rsid w:val="30BB2AFC"/>
    <w:rsid w:val="30C22649"/>
    <w:rsid w:val="30DC08E6"/>
    <w:rsid w:val="30E81B43"/>
    <w:rsid w:val="30E97669"/>
    <w:rsid w:val="312E022B"/>
    <w:rsid w:val="314221E6"/>
    <w:rsid w:val="314A45AB"/>
    <w:rsid w:val="314D7BF8"/>
    <w:rsid w:val="31534D0D"/>
    <w:rsid w:val="317118EE"/>
    <w:rsid w:val="318555E4"/>
    <w:rsid w:val="318A3760"/>
    <w:rsid w:val="31C64FD5"/>
    <w:rsid w:val="31C84C92"/>
    <w:rsid w:val="31D163B5"/>
    <w:rsid w:val="31D976DD"/>
    <w:rsid w:val="31DE4220"/>
    <w:rsid w:val="3201528F"/>
    <w:rsid w:val="320E382B"/>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482D6D"/>
    <w:rsid w:val="335E1849"/>
    <w:rsid w:val="335F4F26"/>
    <w:rsid w:val="33625BED"/>
    <w:rsid w:val="336C5691"/>
    <w:rsid w:val="337F6063"/>
    <w:rsid w:val="3380392C"/>
    <w:rsid w:val="3381627F"/>
    <w:rsid w:val="339935C8"/>
    <w:rsid w:val="33A37FA3"/>
    <w:rsid w:val="33B73A4E"/>
    <w:rsid w:val="33B946F2"/>
    <w:rsid w:val="33B95A18"/>
    <w:rsid w:val="33D4718D"/>
    <w:rsid w:val="33DC0716"/>
    <w:rsid w:val="33E54418"/>
    <w:rsid w:val="33F07509"/>
    <w:rsid w:val="33F627C9"/>
    <w:rsid w:val="340C0FA6"/>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A7F15"/>
    <w:rsid w:val="34FB24F0"/>
    <w:rsid w:val="352930DB"/>
    <w:rsid w:val="353B59DD"/>
    <w:rsid w:val="35534E88"/>
    <w:rsid w:val="355A32BB"/>
    <w:rsid w:val="35633752"/>
    <w:rsid w:val="3569521C"/>
    <w:rsid w:val="35823489"/>
    <w:rsid w:val="35897E8C"/>
    <w:rsid w:val="35953A4C"/>
    <w:rsid w:val="35A66D4C"/>
    <w:rsid w:val="35B53FBD"/>
    <w:rsid w:val="35B5404A"/>
    <w:rsid w:val="35CA6E6E"/>
    <w:rsid w:val="35F950CF"/>
    <w:rsid w:val="35FA1CB2"/>
    <w:rsid w:val="36050AA1"/>
    <w:rsid w:val="360B0081"/>
    <w:rsid w:val="361E1B63"/>
    <w:rsid w:val="361E6D32"/>
    <w:rsid w:val="36301896"/>
    <w:rsid w:val="36320657"/>
    <w:rsid w:val="36321AB2"/>
    <w:rsid w:val="365C2A91"/>
    <w:rsid w:val="36673AC2"/>
    <w:rsid w:val="367E2EED"/>
    <w:rsid w:val="3683401A"/>
    <w:rsid w:val="369D7707"/>
    <w:rsid w:val="36AB2FBA"/>
    <w:rsid w:val="36C3270A"/>
    <w:rsid w:val="3701395E"/>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B16CBE"/>
    <w:rsid w:val="38C95821"/>
    <w:rsid w:val="38F02478"/>
    <w:rsid w:val="390239BE"/>
    <w:rsid w:val="39180C1C"/>
    <w:rsid w:val="392A1B36"/>
    <w:rsid w:val="392A34F7"/>
    <w:rsid w:val="392A4E38"/>
    <w:rsid w:val="393A6E69"/>
    <w:rsid w:val="39675500"/>
    <w:rsid w:val="396B1563"/>
    <w:rsid w:val="39754190"/>
    <w:rsid w:val="399B0348"/>
    <w:rsid w:val="39BF57BB"/>
    <w:rsid w:val="39CD2DB0"/>
    <w:rsid w:val="39D92970"/>
    <w:rsid w:val="39DB0D6F"/>
    <w:rsid w:val="39FE7012"/>
    <w:rsid w:val="3A0D5454"/>
    <w:rsid w:val="3A1172F4"/>
    <w:rsid w:val="3A23599A"/>
    <w:rsid w:val="3A255086"/>
    <w:rsid w:val="3A2E4C8D"/>
    <w:rsid w:val="3A35147E"/>
    <w:rsid w:val="3A377636"/>
    <w:rsid w:val="3A446EBF"/>
    <w:rsid w:val="3A4B4EF0"/>
    <w:rsid w:val="3A514258"/>
    <w:rsid w:val="3A6802CC"/>
    <w:rsid w:val="3A684F47"/>
    <w:rsid w:val="3A6A4A9F"/>
    <w:rsid w:val="3A7D77A0"/>
    <w:rsid w:val="3A810023"/>
    <w:rsid w:val="3A860F49"/>
    <w:rsid w:val="3A9D05C4"/>
    <w:rsid w:val="3AA1177A"/>
    <w:rsid w:val="3ABC194A"/>
    <w:rsid w:val="3AD2116E"/>
    <w:rsid w:val="3AF37A62"/>
    <w:rsid w:val="3AF61300"/>
    <w:rsid w:val="3AFB6916"/>
    <w:rsid w:val="3AFD73E8"/>
    <w:rsid w:val="3B381919"/>
    <w:rsid w:val="3B615DAA"/>
    <w:rsid w:val="3B944458"/>
    <w:rsid w:val="3B954675"/>
    <w:rsid w:val="3B9823B7"/>
    <w:rsid w:val="3BAF7463"/>
    <w:rsid w:val="3BB271C7"/>
    <w:rsid w:val="3BB557AB"/>
    <w:rsid w:val="3BBF5B96"/>
    <w:rsid w:val="3BC744EA"/>
    <w:rsid w:val="3BCE135D"/>
    <w:rsid w:val="3BD60968"/>
    <w:rsid w:val="3BFA4E77"/>
    <w:rsid w:val="3C1C08F2"/>
    <w:rsid w:val="3C4414D2"/>
    <w:rsid w:val="3C595B04"/>
    <w:rsid w:val="3C5C17D2"/>
    <w:rsid w:val="3C5F42F8"/>
    <w:rsid w:val="3C6C0F9B"/>
    <w:rsid w:val="3C7301F1"/>
    <w:rsid w:val="3C7356FA"/>
    <w:rsid w:val="3C860462"/>
    <w:rsid w:val="3CA1704A"/>
    <w:rsid w:val="3CC86CCC"/>
    <w:rsid w:val="3CD4741F"/>
    <w:rsid w:val="3CFB3A43"/>
    <w:rsid w:val="3CFB661F"/>
    <w:rsid w:val="3D0B626C"/>
    <w:rsid w:val="3D0F4D1C"/>
    <w:rsid w:val="3D167A38"/>
    <w:rsid w:val="3D487A50"/>
    <w:rsid w:val="3D5139EC"/>
    <w:rsid w:val="3D687B67"/>
    <w:rsid w:val="3D7A6218"/>
    <w:rsid w:val="3D7C3859"/>
    <w:rsid w:val="3D8552FA"/>
    <w:rsid w:val="3D8C367A"/>
    <w:rsid w:val="3DA908AC"/>
    <w:rsid w:val="3DB039E8"/>
    <w:rsid w:val="3DCF2188"/>
    <w:rsid w:val="3DD1570D"/>
    <w:rsid w:val="3DDE7492"/>
    <w:rsid w:val="3DF2026B"/>
    <w:rsid w:val="3DF80EEB"/>
    <w:rsid w:val="3DFA1107"/>
    <w:rsid w:val="3DFF04CC"/>
    <w:rsid w:val="3E0E6961"/>
    <w:rsid w:val="3E1321C9"/>
    <w:rsid w:val="3E24689A"/>
    <w:rsid w:val="3E557A55"/>
    <w:rsid w:val="3E5D2794"/>
    <w:rsid w:val="3E612F34"/>
    <w:rsid w:val="3E8134BC"/>
    <w:rsid w:val="3E864749"/>
    <w:rsid w:val="3E8D1F7B"/>
    <w:rsid w:val="3E9073D3"/>
    <w:rsid w:val="3EAC582F"/>
    <w:rsid w:val="3EC80F65"/>
    <w:rsid w:val="3ED35D96"/>
    <w:rsid w:val="3EE0310F"/>
    <w:rsid w:val="3F192FDE"/>
    <w:rsid w:val="3F21764F"/>
    <w:rsid w:val="3F270382"/>
    <w:rsid w:val="3F4D34B9"/>
    <w:rsid w:val="3F5C61BC"/>
    <w:rsid w:val="3F7E18C4"/>
    <w:rsid w:val="3F821E5A"/>
    <w:rsid w:val="3F826617"/>
    <w:rsid w:val="3F882148"/>
    <w:rsid w:val="3FAD5B09"/>
    <w:rsid w:val="3FAF5707"/>
    <w:rsid w:val="3FD61700"/>
    <w:rsid w:val="3FD85683"/>
    <w:rsid w:val="3FF130F6"/>
    <w:rsid w:val="3FF878C8"/>
    <w:rsid w:val="3FFA5B87"/>
    <w:rsid w:val="3FFF6096"/>
    <w:rsid w:val="40044B90"/>
    <w:rsid w:val="40153FD6"/>
    <w:rsid w:val="402042D4"/>
    <w:rsid w:val="40273D0A"/>
    <w:rsid w:val="40310071"/>
    <w:rsid w:val="4045485F"/>
    <w:rsid w:val="405640FA"/>
    <w:rsid w:val="4081166C"/>
    <w:rsid w:val="40975D69"/>
    <w:rsid w:val="40A01D3A"/>
    <w:rsid w:val="40C652D1"/>
    <w:rsid w:val="40C92CD2"/>
    <w:rsid w:val="40EE1315"/>
    <w:rsid w:val="410B7187"/>
    <w:rsid w:val="411249BA"/>
    <w:rsid w:val="41166258"/>
    <w:rsid w:val="414172BF"/>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B0183"/>
    <w:rsid w:val="424C228D"/>
    <w:rsid w:val="424E40FE"/>
    <w:rsid w:val="427E4A81"/>
    <w:rsid w:val="428C524B"/>
    <w:rsid w:val="42927D62"/>
    <w:rsid w:val="429B3874"/>
    <w:rsid w:val="429F5DD9"/>
    <w:rsid w:val="42AD499A"/>
    <w:rsid w:val="42B61086"/>
    <w:rsid w:val="42C26869"/>
    <w:rsid w:val="42DD6902"/>
    <w:rsid w:val="42E3216A"/>
    <w:rsid w:val="42ED02B3"/>
    <w:rsid w:val="42FE6FA4"/>
    <w:rsid w:val="43040332"/>
    <w:rsid w:val="430F518E"/>
    <w:rsid w:val="43152860"/>
    <w:rsid w:val="43162488"/>
    <w:rsid w:val="431762B8"/>
    <w:rsid w:val="431A4176"/>
    <w:rsid w:val="431B17D2"/>
    <w:rsid w:val="434370AD"/>
    <w:rsid w:val="434A043B"/>
    <w:rsid w:val="43560B8E"/>
    <w:rsid w:val="43607C5E"/>
    <w:rsid w:val="436F7EA2"/>
    <w:rsid w:val="43772A58"/>
    <w:rsid w:val="438761B4"/>
    <w:rsid w:val="4389474A"/>
    <w:rsid w:val="438F3327"/>
    <w:rsid w:val="43923B90"/>
    <w:rsid w:val="43A4707C"/>
    <w:rsid w:val="43D67B4D"/>
    <w:rsid w:val="43DF0926"/>
    <w:rsid w:val="43F15324"/>
    <w:rsid w:val="440B706C"/>
    <w:rsid w:val="44110F59"/>
    <w:rsid w:val="441A605F"/>
    <w:rsid w:val="441D70DF"/>
    <w:rsid w:val="441E176A"/>
    <w:rsid w:val="441F5424"/>
    <w:rsid w:val="44292D63"/>
    <w:rsid w:val="443B0E5E"/>
    <w:rsid w:val="44426C0E"/>
    <w:rsid w:val="4445330B"/>
    <w:rsid w:val="44484B78"/>
    <w:rsid w:val="44550816"/>
    <w:rsid w:val="445826E4"/>
    <w:rsid w:val="44592AFA"/>
    <w:rsid w:val="445C06B9"/>
    <w:rsid w:val="445F3A72"/>
    <w:rsid w:val="446077EA"/>
    <w:rsid w:val="44665E49"/>
    <w:rsid w:val="446C618F"/>
    <w:rsid w:val="448E3562"/>
    <w:rsid w:val="448F024A"/>
    <w:rsid w:val="44B26298"/>
    <w:rsid w:val="44BE2E8F"/>
    <w:rsid w:val="44C86593"/>
    <w:rsid w:val="44D02189"/>
    <w:rsid w:val="44D73F50"/>
    <w:rsid w:val="44FC1D24"/>
    <w:rsid w:val="44FE1514"/>
    <w:rsid w:val="451008C2"/>
    <w:rsid w:val="451277B0"/>
    <w:rsid w:val="45246F22"/>
    <w:rsid w:val="452470E5"/>
    <w:rsid w:val="45280308"/>
    <w:rsid w:val="45435142"/>
    <w:rsid w:val="45464C32"/>
    <w:rsid w:val="45492AC0"/>
    <w:rsid w:val="4550785F"/>
    <w:rsid w:val="45513D03"/>
    <w:rsid w:val="45675331"/>
    <w:rsid w:val="45801494"/>
    <w:rsid w:val="458021A9"/>
    <w:rsid w:val="45834749"/>
    <w:rsid w:val="458D7ACD"/>
    <w:rsid w:val="45AB63C3"/>
    <w:rsid w:val="45CD7101"/>
    <w:rsid w:val="45D73ADC"/>
    <w:rsid w:val="45D93CF8"/>
    <w:rsid w:val="45DB537A"/>
    <w:rsid w:val="45F20395"/>
    <w:rsid w:val="45F27684"/>
    <w:rsid w:val="45FE72BB"/>
    <w:rsid w:val="45FE7CC8"/>
    <w:rsid w:val="46053A9B"/>
    <w:rsid w:val="460A3EB2"/>
    <w:rsid w:val="46121C64"/>
    <w:rsid w:val="46162856"/>
    <w:rsid w:val="46226EB0"/>
    <w:rsid w:val="462C207A"/>
    <w:rsid w:val="4658671E"/>
    <w:rsid w:val="465C2A22"/>
    <w:rsid w:val="466E205D"/>
    <w:rsid w:val="467632F5"/>
    <w:rsid w:val="467911B3"/>
    <w:rsid w:val="46812B8D"/>
    <w:rsid w:val="46832413"/>
    <w:rsid w:val="46885E2A"/>
    <w:rsid w:val="469F2601"/>
    <w:rsid w:val="46A82FBF"/>
    <w:rsid w:val="46AB40C3"/>
    <w:rsid w:val="46BA58D8"/>
    <w:rsid w:val="46C439A8"/>
    <w:rsid w:val="46CE7995"/>
    <w:rsid w:val="46D7323F"/>
    <w:rsid w:val="46E0501A"/>
    <w:rsid w:val="46FC1214"/>
    <w:rsid w:val="47021DBA"/>
    <w:rsid w:val="471F2FD5"/>
    <w:rsid w:val="47484C91"/>
    <w:rsid w:val="475278BE"/>
    <w:rsid w:val="475D3DAD"/>
    <w:rsid w:val="47705F96"/>
    <w:rsid w:val="479C5383"/>
    <w:rsid w:val="479F646B"/>
    <w:rsid w:val="47A3636C"/>
    <w:rsid w:val="47A56FB4"/>
    <w:rsid w:val="47AD7CF1"/>
    <w:rsid w:val="47B9547A"/>
    <w:rsid w:val="47D67F88"/>
    <w:rsid w:val="47F20CC9"/>
    <w:rsid w:val="4803505C"/>
    <w:rsid w:val="480831B5"/>
    <w:rsid w:val="480D66CD"/>
    <w:rsid w:val="480F105A"/>
    <w:rsid w:val="48194880"/>
    <w:rsid w:val="481A5421"/>
    <w:rsid w:val="482849BA"/>
    <w:rsid w:val="48286871"/>
    <w:rsid w:val="483D056E"/>
    <w:rsid w:val="483F2BC9"/>
    <w:rsid w:val="485A1120"/>
    <w:rsid w:val="48A7549C"/>
    <w:rsid w:val="48B545A9"/>
    <w:rsid w:val="48BA15B1"/>
    <w:rsid w:val="48D273AC"/>
    <w:rsid w:val="48D76D49"/>
    <w:rsid w:val="48E97759"/>
    <w:rsid w:val="491F1E48"/>
    <w:rsid w:val="492139EC"/>
    <w:rsid w:val="492B3567"/>
    <w:rsid w:val="49337978"/>
    <w:rsid w:val="493E4BFE"/>
    <w:rsid w:val="494E0559"/>
    <w:rsid w:val="495D26EB"/>
    <w:rsid w:val="49600707"/>
    <w:rsid w:val="49656EDC"/>
    <w:rsid w:val="49793828"/>
    <w:rsid w:val="4987138C"/>
    <w:rsid w:val="49883A6B"/>
    <w:rsid w:val="49B91793"/>
    <w:rsid w:val="49C37596"/>
    <w:rsid w:val="49CD147E"/>
    <w:rsid w:val="49CF169A"/>
    <w:rsid w:val="49D348F2"/>
    <w:rsid w:val="49E204D8"/>
    <w:rsid w:val="49FA66B9"/>
    <w:rsid w:val="4A0D3F70"/>
    <w:rsid w:val="4A103FF4"/>
    <w:rsid w:val="4A1277D9"/>
    <w:rsid w:val="4A2F2139"/>
    <w:rsid w:val="4A5D0A54"/>
    <w:rsid w:val="4A666565"/>
    <w:rsid w:val="4A7B66E4"/>
    <w:rsid w:val="4A7D5113"/>
    <w:rsid w:val="4A7F4FCB"/>
    <w:rsid w:val="4A812A30"/>
    <w:rsid w:val="4A89523C"/>
    <w:rsid w:val="4AAA6714"/>
    <w:rsid w:val="4AB019AF"/>
    <w:rsid w:val="4AB60164"/>
    <w:rsid w:val="4AC54E91"/>
    <w:rsid w:val="4AD5154D"/>
    <w:rsid w:val="4AEA3364"/>
    <w:rsid w:val="4AF73617"/>
    <w:rsid w:val="4B101F6A"/>
    <w:rsid w:val="4B257098"/>
    <w:rsid w:val="4B593BC4"/>
    <w:rsid w:val="4B6A463C"/>
    <w:rsid w:val="4B902FB1"/>
    <w:rsid w:val="4B9E0E3F"/>
    <w:rsid w:val="4BB63B5B"/>
    <w:rsid w:val="4BB9615E"/>
    <w:rsid w:val="4BCC283D"/>
    <w:rsid w:val="4BD35E6D"/>
    <w:rsid w:val="4BDC1E4C"/>
    <w:rsid w:val="4BE1231B"/>
    <w:rsid w:val="4BFF5353"/>
    <w:rsid w:val="4C177328"/>
    <w:rsid w:val="4C1F6EFC"/>
    <w:rsid w:val="4C2F265F"/>
    <w:rsid w:val="4C5B5DF1"/>
    <w:rsid w:val="4C6D6DCE"/>
    <w:rsid w:val="4C752052"/>
    <w:rsid w:val="4C7D3694"/>
    <w:rsid w:val="4C9F27AB"/>
    <w:rsid w:val="4CBD2C33"/>
    <w:rsid w:val="4CBD4A44"/>
    <w:rsid w:val="4CD40D75"/>
    <w:rsid w:val="4CDE3815"/>
    <w:rsid w:val="4CED2983"/>
    <w:rsid w:val="4D0D2958"/>
    <w:rsid w:val="4D145493"/>
    <w:rsid w:val="4D16313C"/>
    <w:rsid w:val="4D2D4855"/>
    <w:rsid w:val="4D393332"/>
    <w:rsid w:val="4D3B01A7"/>
    <w:rsid w:val="4D4746C5"/>
    <w:rsid w:val="4D4D1254"/>
    <w:rsid w:val="4D5A74CD"/>
    <w:rsid w:val="4D6759FB"/>
    <w:rsid w:val="4D6E3517"/>
    <w:rsid w:val="4DB14B03"/>
    <w:rsid w:val="4DB639B0"/>
    <w:rsid w:val="4DB7491F"/>
    <w:rsid w:val="4DE70682"/>
    <w:rsid w:val="4DF53699"/>
    <w:rsid w:val="4DFD50C1"/>
    <w:rsid w:val="4E2B70BB"/>
    <w:rsid w:val="4E4645AE"/>
    <w:rsid w:val="4E467A51"/>
    <w:rsid w:val="4E496865"/>
    <w:rsid w:val="4E58321E"/>
    <w:rsid w:val="4E66521C"/>
    <w:rsid w:val="4E6B2193"/>
    <w:rsid w:val="4E9B1B4B"/>
    <w:rsid w:val="4EB91CD7"/>
    <w:rsid w:val="4EDE7C89"/>
    <w:rsid w:val="4EE72FE2"/>
    <w:rsid w:val="4EFF135C"/>
    <w:rsid w:val="4F035942"/>
    <w:rsid w:val="4F0C2A48"/>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055E16"/>
    <w:rsid w:val="501C4F0D"/>
    <w:rsid w:val="502B7CA9"/>
    <w:rsid w:val="503046E2"/>
    <w:rsid w:val="5038679F"/>
    <w:rsid w:val="50414974"/>
    <w:rsid w:val="50463D38"/>
    <w:rsid w:val="5047222E"/>
    <w:rsid w:val="505A4AE2"/>
    <w:rsid w:val="50670571"/>
    <w:rsid w:val="50970476"/>
    <w:rsid w:val="50B95E75"/>
    <w:rsid w:val="50C54952"/>
    <w:rsid w:val="50CA6916"/>
    <w:rsid w:val="50CD6207"/>
    <w:rsid w:val="51015649"/>
    <w:rsid w:val="51034416"/>
    <w:rsid w:val="510A745C"/>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6353C"/>
    <w:rsid w:val="51F87B88"/>
    <w:rsid w:val="520B6FE7"/>
    <w:rsid w:val="520D0FB1"/>
    <w:rsid w:val="521142C4"/>
    <w:rsid w:val="5224097B"/>
    <w:rsid w:val="522508B8"/>
    <w:rsid w:val="5238556C"/>
    <w:rsid w:val="523E1BC7"/>
    <w:rsid w:val="523F6E00"/>
    <w:rsid w:val="524B22B7"/>
    <w:rsid w:val="52692D61"/>
    <w:rsid w:val="527728CF"/>
    <w:rsid w:val="528172AA"/>
    <w:rsid w:val="52A636F2"/>
    <w:rsid w:val="52B8492E"/>
    <w:rsid w:val="52CD201A"/>
    <w:rsid w:val="52DB316A"/>
    <w:rsid w:val="52DF5523"/>
    <w:rsid w:val="52F1442F"/>
    <w:rsid w:val="530C01BA"/>
    <w:rsid w:val="530F02BC"/>
    <w:rsid w:val="53130F14"/>
    <w:rsid w:val="531C6A38"/>
    <w:rsid w:val="534972AB"/>
    <w:rsid w:val="5373169B"/>
    <w:rsid w:val="53747D16"/>
    <w:rsid w:val="5378497F"/>
    <w:rsid w:val="53C6061F"/>
    <w:rsid w:val="53E544DB"/>
    <w:rsid w:val="53F046E7"/>
    <w:rsid w:val="53F82EC8"/>
    <w:rsid w:val="54063F0A"/>
    <w:rsid w:val="540B1521"/>
    <w:rsid w:val="5415227F"/>
    <w:rsid w:val="542258CB"/>
    <w:rsid w:val="542D741B"/>
    <w:rsid w:val="543211F5"/>
    <w:rsid w:val="54330AC6"/>
    <w:rsid w:val="543547EF"/>
    <w:rsid w:val="543640C4"/>
    <w:rsid w:val="544B4013"/>
    <w:rsid w:val="544D7D8B"/>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1548D9"/>
    <w:rsid w:val="56334D5F"/>
    <w:rsid w:val="564447FE"/>
    <w:rsid w:val="56466840"/>
    <w:rsid w:val="565467A5"/>
    <w:rsid w:val="56644224"/>
    <w:rsid w:val="566559D7"/>
    <w:rsid w:val="5666680E"/>
    <w:rsid w:val="5669634B"/>
    <w:rsid w:val="56735DD8"/>
    <w:rsid w:val="567A473C"/>
    <w:rsid w:val="5685797A"/>
    <w:rsid w:val="568C1A21"/>
    <w:rsid w:val="569F4D37"/>
    <w:rsid w:val="56AB2F3F"/>
    <w:rsid w:val="56C42FEC"/>
    <w:rsid w:val="56EA73AE"/>
    <w:rsid w:val="56F0657B"/>
    <w:rsid w:val="56F20621"/>
    <w:rsid w:val="56F20776"/>
    <w:rsid w:val="56F37AB8"/>
    <w:rsid w:val="56FC15F5"/>
    <w:rsid w:val="57122BC6"/>
    <w:rsid w:val="571E156B"/>
    <w:rsid w:val="572D6623"/>
    <w:rsid w:val="57364C46"/>
    <w:rsid w:val="575A47E7"/>
    <w:rsid w:val="575C02E5"/>
    <w:rsid w:val="577473DD"/>
    <w:rsid w:val="57911484"/>
    <w:rsid w:val="57B40121"/>
    <w:rsid w:val="57BE00CF"/>
    <w:rsid w:val="57C33EC0"/>
    <w:rsid w:val="57CF104F"/>
    <w:rsid w:val="57CF47C9"/>
    <w:rsid w:val="57D939CD"/>
    <w:rsid w:val="57FF0946"/>
    <w:rsid w:val="58075B26"/>
    <w:rsid w:val="580A355F"/>
    <w:rsid w:val="58127ED2"/>
    <w:rsid w:val="58172F6B"/>
    <w:rsid w:val="58281E5B"/>
    <w:rsid w:val="582C247D"/>
    <w:rsid w:val="583D29A8"/>
    <w:rsid w:val="58406187"/>
    <w:rsid w:val="584E614D"/>
    <w:rsid w:val="58537A63"/>
    <w:rsid w:val="58643CC2"/>
    <w:rsid w:val="588075E9"/>
    <w:rsid w:val="588C2AEC"/>
    <w:rsid w:val="58975A79"/>
    <w:rsid w:val="58A81A34"/>
    <w:rsid w:val="58CA7BFC"/>
    <w:rsid w:val="58CF5213"/>
    <w:rsid w:val="58E83887"/>
    <w:rsid w:val="58F90DE0"/>
    <w:rsid w:val="59044790"/>
    <w:rsid w:val="59106321"/>
    <w:rsid w:val="59140C82"/>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2A57A8"/>
    <w:rsid w:val="5A3D61AC"/>
    <w:rsid w:val="5A447687"/>
    <w:rsid w:val="5A4C2893"/>
    <w:rsid w:val="5A603305"/>
    <w:rsid w:val="5A701838"/>
    <w:rsid w:val="5A706581"/>
    <w:rsid w:val="5A8156DE"/>
    <w:rsid w:val="5A955FE8"/>
    <w:rsid w:val="5AAD1584"/>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701E0"/>
    <w:rsid w:val="5BB926FC"/>
    <w:rsid w:val="5BF54320"/>
    <w:rsid w:val="5C1633F6"/>
    <w:rsid w:val="5C246971"/>
    <w:rsid w:val="5C4867F4"/>
    <w:rsid w:val="5C49715E"/>
    <w:rsid w:val="5C6737F1"/>
    <w:rsid w:val="5C8F5ED1"/>
    <w:rsid w:val="5C9C18B0"/>
    <w:rsid w:val="5C9E7970"/>
    <w:rsid w:val="5CBD1826"/>
    <w:rsid w:val="5CC37F37"/>
    <w:rsid w:val="5CE943C9"/>
    <w:rsid w:val="5CF96FBB"/>
    <w:rsid w:val="5CFD1C22"/>
    <w:rsid w:val="5D044DFB"/>
    <w:rsid w:val="5D0E2082"/>
    <w:rsid w:val="5D2A3C5C"/>
    <w:rsid w:val="5D2E4206"/>
    <w:rsid w:val="5D3B5F6E"/>
    <w:rsid w:val="5D42012A"/>
    <w:rsid w:val="5D55380D"/>
    <w:rsid w:val="5D6F2B20"/>
    <w:rsid w:val="5D8B5480"/>
    <w:rsid w:val="5DA21809"/>
    <w:rsid w:val="5DAB5B22"/>
    <w:rsid w:val="5DC32E6C"/>
    <w:rsid w:val="5DD0374A"/>
    <w:rsid w:val="5DD064FA"/>
    <w:rsid w:val="5DDA30BD"/>
    <w:rsid w:val="5DDC7EB6"/>
    <w:rsid w:val="5DE33611"/>
    <w:rsid w:val="5DE50E0B"/>
    <w:rsid w:val="5DEA03F9"/>
    <w:rsid w:val="5DEB5F1F"/>
    <w:rsid w:val="5DEB608F"/>
    <w:rsid w:val="5E0266B8"/>
    <w:rsid w:val="5E211941"/>
    <w:rsid w:val="5E2719AF"/>
    <w:rsid w:val="5E2C7B5F"/>
    <w:rsid w:val="5E324CBD"/>
    <w:rsid w:val="5E37388C"/>
    <w:rsid w:val="5E386485"/>
    <w:rsid w:val="5E49652D"/>
    <w:rsid w:val="5E55621E"/>
    <w:rsid w:val="5E556A51"/>
    <w:rsid w:val="5E6C7060"/>
    <w:rsid w:val="5EA7453C"/>
    <w:rsid w:val="5EAE0F71"/>
    <w:rsid w:val="5ED27BE1"/>
    <w:rsid w:val="5ED35BB4"/>
    <w:rsid w:val="5ED75612"/>
    <w:rsid w:val="5F1E2A19"/>
    <w:rsid w:val="5F1F1B33"/>
    <w:rsid w:val="5F2136D8"/>
    <w:rsid w:val="5F2D0AE0"/>
    <w:rsid w:val="5F432EF8"/>
    <w:rsid w:val="5F47659C"/>
    <w:rsid w:val="5F4D7ADC"/>
    <w:rsid w:val="5F526256"/>
    <w:rsid w:val="5F555D46"/>
    <w:rsid w:val="5F5B16CF"/>
    <w:rsid w:val="5F7E529D"/>
    <w:rsid w:val="5FB40CBE"/>
    <w:rsid w:val="5FC2239B"/>
    <w:rsid w:val="5FCA04E2"/>
    <w:rsid w:val="5FDF1F8A"/>
    <w:rsid w:val="5FE356A8"/>
    <w:rsid w:val="5FF40024"/>
    <w:rsid w:val="602676E1"/>
    <w:rsid w:val="602E4F74"/>
    <w:rsid w:val="603418A5"/>
    <w:rsid w:val="60366D51"/>
    <w:rsid w:val="604D4C6F"/>
    <w:rsid w:val="606002D2"/>
    <w:rsid w:val="60936B26"/>
    <w:rsid w:val="60A457EB"/>
    <w:rsid w:val="60A74497"/>
    <w:rsid w:val="60B61030"/>
    <w:rsid w:val="60BE1C9B"/>
    <w:rsid w:val="60C356C4"/>
    <w:rsid w:val="60E92BEA"/>
    <w:rsid w:val="60FF41BB"/>
    <w:rsid w:val="61020C7F"/>
    <w:rsid w:val="611759A9"/>
    <w:rsid w:val="612B3202"/>
    <w:rsid w:val="612C0D28"/>
    <w:rsid w:val="61406582"/>
    <w:rsid w:val="61543299"/>
    <w:rsid w:val="61592960"/>
    <w:rsid w:val="615A5A4D"/>
    <w:rsid w:val="6166248C"/>
    <w:rsid w:val="61706E67"/>
    <w:rsid w:val="61AC41D6"/>
    <w:rsid w:val="61D70DF9"/>
    <w:rsid w:val="61D77A00"/>
    <w:rsid w:val="61EE148D"/>
    <w:rsid w:val="621B3277"/>
    <w:rsid w:val="6228211F"/>
    <w:rsid w:val="6229771A"/>
    <w:rsid w:val="622C555D"/>
    <w:rsid w:val="623B7475"/>
    <w:rsid w:val="62423BD4"/>
    <w:rsid w:val="624D53FA"/>
    <w:rsid w:val="625E7607"/>
    <w:rsid w:val="626478C2"/>
    <w:rsid w:val="626529F4"/>
    <w:rsid w:val="626C4988"/>
    <w:rsid w:val="62854B94"/>
    <w:rsid w:val="62C610B8"/>
    <w:rsid w:val="62E224E8"/>
    <w:rsid w:val="62F13FD7"/>
    <w:rsid w:val="62FE497B"/>
    <w:rsid w:val="62FF03D9"/>
    <w:rsid w:val="62FF64C2"/>
    <w:rsid w:val="630E4B89"/>
    <w:rsid w:val="633345F0"/>
    <w:rsid w:val="63352116"/>
    <w:rsid w:val="63377DE5"/>
    <w:rsid w:val="633B5253"/>
    <w:rsid w:val="633C769A"/>
    <w:rsid w:val="63452A53"/>
    <w:rsid w:val="63485127"/>
    <w:rsid w:val="635B58F5"/>
    <w:rsid w:val="637531A0"/>
    <w:rsid w:val="63966FB4"/>
    <w:rsid w:val="63973036"/>
    <w:rsid w:val="639B6291"/>
    <w:rsid w:val="639C2D33"/>
    <w:rsid w:val="63A105E6"/>
    <w:rsid w:val="63AD6150"/>
    <w:rsid w:val="63C416EC"/>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1133"/>
    <w:rsid w:val="65842EE1"/>
    <w:rsid w:val="658630FD"/>
    <w:rsid w:val="659B022A"/>
    <w:rsid w:val="65A767B0"/>
    <w:rsid w:val="65AE3104"/>
    <w:rsid w:val="65B838A4"/>
    <w:rsid w:val="65C94D98"/>
    <w:rsid w:val="65CB4FB4"/>
    <w:rsid w:val="65D96BC2"/>
    <w:rsid w:val="65E6594A"/>
    <w:rsid w:val="6602534E"/>
    <w:rsid w:val="66065FEC"/>
    <w:rsid w:val="660A5F17"/>
    <w:rsid w:val="66332DC3"/>
    <w:rsid w:val="66373CE0"/>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86A44"/>
    <w:rsid w:val="672F48CC"/>
    <w:rsid w:val="6730396A"/>
    <w:rsid w:val="67346B89"/>
    <w:rsid w:val="6739419F"/>
    <w:rsid w:val="6751773B"/>
    <w:rsid w:val="6760797E"/>
    <w:rsid w:val="67801EB9"/>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B7537B"/>
    <w:rsid w:val="68D56A00"/>
    <w:rsid w:val="68DA1F54"/>
    <w:rsid w:val="68EB078F"/>
    <w:rsid w:val="691D1B71"/>
    <w:rsid w:val="69280C5E"/>
    <w:rsid w:val="693115D2"/>
    <w:rsid w:val="693A3226"/>
    <w:rsid w:val="693E4935"/>
    <w:rsid w:val="694D54E1"/>
    <w:rsid w:val="699944EC"/>
    <w:rsid w:val="69995724"/>
    <w:rsid w:val="69B31FE7"/>
    <w:rsid w:val="69B47EE5"/>
    <w:rsid w:val="69C4686C"/>
    <w:rsid w:val="69CE0ADD"/>
    <w:rsid w:val="6A176F2F"/>
    <w:rsid w:val="6A23687A"/>
    <w:rsid w:val="6A240036"/>
    <w:rsid w:val="6A372756"/>
    <w:rsid w:val="6A3B19C7"/>
    <w:rsid w:val="6A4B20C8"/>
    <w:rsid w:val="6A4B5F33"/>
    <w:rsid w:val="6A577BBA"/>
    <w:rsid w:val="6A590439"/>
    <w:rsid w:val="6A597D4C"/>
    <w:rsid w:val="6A680FC7"/>
    <w:rsid w:val="6A880A74"/>
    <w:rsid w:val="6A942216"/>
    <w:rsid w:val="6A9B0075"/>
    <w:rsid w:val="6AB57FE0"/>
    <w:rsid w:val="6AC51D73"/>
    <w:rsid w:val="6AC82C33"/>
    <w:rsid w:val="6AD67F71"/>
    <w:rsid w:val="6AE213F9"/>
    <w:rsid w:val="6AE85CC0"/>
    <w:rsid w:val="6AF7771D"/>
    <w:rsid w:val="6B036F9E"/>
    <w:rsid w:val="6B105217"/>
    <w:rsid w:val="6B2F7A95"/>
    <w:rsid w:val="6B311795"/>
    <w:rsid w:val="6B4D0219"/>
    <w:rsid w:val="6BA17867"/>
    <w:rsid w:val="6BA8544F"/>
    <w:rsid w:val="6BB141CE"/>
    <w:rsid w:val="6BBA58AE"/>
    <w:rsid w:val="6BBE4C73"/>
    <w:rsid w:val="6BD4551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9D0D2C"/>
    <w:rsid w:val="6CA36342"/>
    <w:rsid w:val="6CAB3449"/>
    <w:rsid w:val="6CAE2F39"/>
    <w:rsid w:val="6CAF118B"/>
    <w:rsid w:val="6CB22A29"/>
    <w:rsid w:val="6CBA18DE"/>
    <w:rsid w:val="6CBD0545"/>
    <w:rsid w:val="6CC30793"/>
    <w:rsid w:val="6CC37BAF"/>
    <w:rsid w:val="6CC73DF6"/>
    <w:rsid w:val="6CE13277"/>
    <w:rsid w:val="6CE626D3"/>
    <w:rsid w:val="6CEA6058"/>
    <w:rsid w:val="6CF92FDB"/>
    <w:rsid w:val="6D0F2115"/>
    <w:rsid w:val="6D237483"/>
    <w:rsid w:val="6D3173EA"/>
    <w:rsid w:val="6D323012"/>
    <w:rsid w:val="6D385E21"/>
    <w:rsid w:val="6D737889"/>
    <w:rsid w:val="6D787B59"/>
    <w:rsid w:val="6D7F4662"/>
    <w:rsid w:val="6D832E39"/>
    <w:rsid w:val="6D8A7542"/>
    <w:rsid w:val="6D916E4E"/>
    <w:rsid w:val="6DA94419"/>
    <w:rsid w:val="6DB3108B"/>
    <w:rsid w:val="6DBD5004"/>
    <w:rsid w:val="6DC63E68"/>
    <w:rsid w:val="6DCF4F15"/>
    <w:rsid w:val="6DD447A6"/>
    <w:rsid w:val="6DEF4626"/>
    <w:rsid w:val="6E066FBB"/>
    <w:rsid w:val="6E1152C9"/>
    <w:rsid w:val="6E4678CD"/>
    <w:rsid w:val="6E531FEA"/>
    <w:rsid w:val="6E5C6B75"/>
    <w:rsid w:val="6E6D037E"/>
    <w:rsid w:val="6E7837FF"/>
    <w:rsid w:val="6E822CAA"/>
    <w:rsid w:val="6E95214E"/>
    <w:rsid w:val="6E9B7282"/>
    <w:rsid w:val="6EA3225C"/>
    <w:rsid w:val="6EA63EC8"/>
    <w:rsid w:val="6EA84CF4"/>
    <w:rsid w:val="6EAC10F7"/>
    <w:rsid w:val="6EB135A6"/>
    <w:rsid w:val="6EBF1FE4"/>
    <w:rsid w:val="6EC5163F"/>
    <w:rsid w:val="6F003A11"/>
    <w:rsid w:val="6F0230C8"/>
    <w:rsid w:val="6F0A08FB"/>
    <w:rsid w:val="6F153111"/>
    <w:rsid w:val="6F2474E3"/>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76FEF"/>
    <w:rsid w:val="704C1556"/>
    <w:rsid w:val="705D5373"/>
    <w:rsid w:val="706109EE"/>
    <w:rsid w:val="707D50FC"/>
    <w:rsid w:val="707E0FD5"/>
    <w:rsid w:val="70867402"/>
    <w:rsid w:val="70A95654"/>
    <w:rsid w:val="70C312D3"/>
    <w:rsid w:val="70C66AA3"/>
    <w:rsid w:val="70D43718"/>
    <w:rsid w:val="70F73101"/>
    <w:rsid w:val="7116172E"/>
    <w:rsid w:val="71241D10"/>
    <w:rsid w:val="712437CA"/>
    <w:rsid w:val="712D0854"/>
    <w:rsid w:val="713B389B"/>
    <w:rsid w:val="7142463B"/>
    <w:rsid w:val="71910D2E"/>
    <w:rsid w:val="71A010A2"/>
    <w:rsid w:val="71AC2056"/>
    <w:rsid w:val="71C1345D"/>
    <w:rsid w:val="71C72AD3"/>
    <w:rsid w:val="71CB2462"/>
    <w:rsid w:val="71D445CE"/>
    <w:rsid w:val="71DA38CD"/>
    <w:rsid w:val="71E25B41"/>
    <w:rsid w:val="71F650B9"/>
    <w:rsid w:val="71FB277D"/>
    <w:rsid w:val="720F6001"/>
    <w:rsid w:val="72473CB6"/>
    <w:rsid w:val="72686E3D"/>
    <w:rsid w:val="727A26CE"/>
    <w:rsid w:val="729379EC"/>
    <w:rsid w:val="72964253"/>
    <w:rsid w:val="72983176"/>
    <w:rsid w:val="72AB51FE"/>
    <w:rsid w:val="72BE2D27"/>
    <w:rsid w:val="72D92A8F"/>
    <w:rsid w:val="72DA2EC0"/>
    <w:rsid w:val="72F739A7"/>
    <w:rsid w:val="73016068"/>
    <w:rsid w:val="7306762B"/>
    <w:rsid w:val="73504D4A"/>
    <w:rsid w:val="735E7467"/>
    <w:rsid w:val="7363682B"/>
    <w:rsid w:val="73816CB2"/>
    <w:rsid w:val="73893830"/>
    <w:rsid w:val="73A125FD"/>
    <w:rsid w:val="73C03C7E"/>
    <w:rsid w:val="73C81640"/>
    <w:rsid w:val="73CD6A9A"/>
    <w:rsid w:val="73D628A1"/>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4023C"/>
    <w:rsid w:val="75355FA6"/>
    <w:rsid w:val="75370EA5"/>
    <w:rsid w:val="7538094B"/>
    <w:rsid w:val="754730F9"/>
    <w:rsid w:val="7548286D"/>
    <w:rsid w:val="754937FF"/>
    <w:rsid w:val="75502B1F"/>
    <w:rsid w:val="75544BB9"/>
    <w:rsid w:val="75752A67"/>
    <w:rsid w:val="75D35377"/>
    <w:rsid w:val="75F93477"/>
    <w:rsid w:val="76063D02"/>
    <w:rsid w:val="760B3E0F"/>
    <w:rsid w:val="7631116A"/>
    <w:rsid w:val="76312C11"/>
    <w:rsid w:val="76345B3A"/>
    <w:rsid w:val="764346F2"/>
    <w:rsid w:val="76454D95"/>
    <w:rsid w:val="765C7562"/>
    <w:rsid w:val="76697F5B"/>
    <w:rsid w:val="767317AC"/>
    <w:rsid w:val="76790114"/>
    <w:rsid w:val="7686064F"/>
    <w:rsid w:val="769474D0"/>
    <w:rsid w:val="769E4F43"/>
    <w:rsid w:val="76A95033"/>
    <w:rsid w:val="76B858B5"/>
    <w:rsid w:val="76BF021D"/>
    <w:rsid w:val="76DF0673"/>
    <w:rsid w:val="77176354"/>
    <w:rsid w:val="773310E1"/>
    <w:rsid w:val="773D3F97"/>
    <w:rsid w:val="774910E8"/>
    <w:rsid w:val="774950AA"/>
    <w:rsid w:val="774A0F8C"/>
    <w:rsid w:val="774A385E"/>
    <w:rsid w:val="77951A25"/>
    <w:rsid w:val="77960CE5"/>
    <w:rsid w:val="77996CC0"/>
    <w:rsid w:val="77AF0127"/>
    <w:rsid w:val="77B04009"/>
    <w:rsid w:val="77CB650B"/>
    <w:rsid w:val="77CC2A1C"/>
    <w:rsid w:val="77CE4490"/>
    <w:rsid w:val="77E67A2B"/>
    <w:rsid w:val="7803238B"/>
    <w:rsid w:val="78042DEB"/>
    <w:rsid w:val="78236589"/>
    <w:rsid w:val="78261305"/>
    <w:rsid w:val="784974F5"/>
    <w:rsid w:val="784B19A6"/>
    <w:rsid w:val="78540E39"/>
    <w:rsid w:val="78681083"/>
    <w:rsid w:val="786F17CF"/>
    <w:rsid w:val="78872218"/>
    <w:rsid w:val="788B24B1"/>
    <w:rsid w:val="789079E5"/>
    <w:rsid w:val="7891016B"/>
    <w:rsid w:val="789B0816"/>
    <w:rsid w:val="78A04C44"/>
    <w:rsid w:val="78C338C8"/>
    <w:rsid w:val="78E57CE3"/>
    <w:rsid w:val="78E72828"/>
    <w:rsid w:val="78EA7B9F"/>
    <w:rsid w:val="79224F56"/>
    <w:rsid w:val="79336CA0"/>
    <w:rsid w:val="793A7966"/>
    <w:rsid w:val="793B1C09"/>
    <w:rsid w:val="7947274B"/>
    <w:rsid w:val="79BA79F3"/>
    <w:rsid w:val="79BB215E"/>
    <w:rsid w:val="79CE4C1B"/>
    <w:rsid w:val="79D87646"/>
    <w:rsid w:val="79E82BC7"/>
    <w:rsid w:val="7A1067EC"/>
    <w:rsid w:val="7A192CE7"/>
    <w:rsid w:val="7A2E2EA3"/>
    <w:rsid w:val="7A3007C8"/>
    <w:rsid w:val="7A3231AD"/>
    <w:rsid w:val="7A4A77F3"/>
    <w:rsid w:val="7A5A72EE"/>
    <w:rsid w:val="7A844288"/>
    <w:rsid w:val="7AA02113"/>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780AEF"/>
    <w:rsid w:val="7BA43E85"/>
    <w:rsid w:val="7BAB6FC2"/>
    <w:rsid w:val="7BBF4208"/>
    <w:rsid w:val="7BC0312E"/>
    <w:rsid w:val="7BC62E25"/>
    <w:rsid w:val="7BD02203"/>
    <w:rsid w:val="7BD22006"/>
    <w:rsid w:val="7BE269EA"/>
    <w:rsid w:val="7BE349AD"/>
    <w:rsid w:val="7BEC6B07"/>
    <w:rsid w:val="7BFC0690"/>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9C44FE"/>
    <w:rsid w:val="7CB2612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A0242A"/>
    <w:rsid w:val="7DB12889"/>
    <w:rsid w:val="7DB52379"/>
    <w:rsid w:val="7DBC3708"/>
    <w:rsid w:val="7DD018F6"/>
    <w:rsid w:val="7DD4016C"/>
    <w:rsid w:val="7DEE5D3D"/>
    <w:rsid w:val="7E167D92"/>
    <w:rsid w:val="7E1A50EB"/>
    <w:rsid w:val="7E1D2CB4"/>
    <w:rsid w:val="7E222BD7"/>
    <w:rsid w:val="7E2412AD"/>
    <w:rsid w:val="7E24305B"/>
    <w:rsid w:val="7E290672"/>
    <w:rsid w:val="7E4266E2"/>
    <w:rsid w:val="7E576F8D"/>
    <w:rsid w:val="7E6C2A49"/>
    <w:rsid w:val="7E6D4A02"/>
    <w:rsid w:val="7E722A66"/>
    <w:rsid w:val="7E794FBB"/>
    <w:rsid w:val="7E806AA4"/>
    <w:rsid w:val="7E8F4979"/>
    <w:rsid w:val="7E9C305C"/>
    <w:rsid w:val="7EA06B86"/>
    <w:rsid w:val="7EA26042"/>
    <w:rsid w:val="7EAA17B2"/>
    <w:rsid w:val="7EAF6879"/>
    <w:rsid w:val="7EB45D48"/>
    <w:rsid w:val="7EC17031"/>
    <w:rsid w:val="7ED71E7C"/>
    <w:rsid w:val="7EDE2253"/>
    <w:rsid w:val="7EEA7E01"/>
    <w:rsid w:val="7F0417A2"/>
    <w:rsid w:val="7F360FA8"/>
    <w:rsid w:val="7F3D43D5"/>
    <w:rsid w:val="7F427C3D"/>
    <w:rsid w:val="7F517E80"/>
    <w:rsid w:val="7F7211CD"/>
    <w:rsid w:val="7F8B3961"/>
    <w:rsid w:val="7F8F3102"/>
    <w:rsid w:val="7F912972"/>
    <w:rsid w:val="7F9C0E05"/>
    <w:rsid w:val="7F9F140C"/>
    <w:rsid w:val="7FA76140"/>
    <w:rsid w:val="7FAE0E2E"/>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5"/>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6"/>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7"/>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8"/>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59"/>
    <w:autoRedefine/>
    <w:qFormat/>
    <w:uiPriority w:val="0"/>
    <w:pPr>
      <w:jc w:val="left"/>
    </w:pPr>
  </w:style>
  <w:style w:type="paragraph" w:styleId="13">
    <w:name w:val="Body Text"/>
    <w:basedOn w:val="1"/>
    <w:next w:val="1"/>
    <w:autoRedefine/>
    <w:semiHidden/>
    <w:qFormat/>
    <w:uiPriority w:val="0"/>
    <w:pPr>
      <w:spacing w:after="120"/>
    </w:pPr>
  </w:style>
  <w:style w:type="paragraph" w:styleId="14">
    <w:name w:val="Body Text Indent"/>
    <w:basedOn w:val="1"/>
    <w:next w:val="15"/>
    <w:link w:val="52"/>
    <w:autoRedefine/>
    <w:qFormat/>
    <w:uiPriority w:val="0"/>
    <w:pPr>
      <w:spacing w:after="120"/>
      <w:ind w:left="200" w:leftChars="200"/>
    </w:pPr>
  </w:style>
  <w:style w:type="paragraph" w:styleId="15">
    <w:name w:val="envelope return"/>
    <w:basedOn w:val="1"/>
    <w:next w:val="9"/>
    <w:autoRedefine/>
    <w:qFormat/>
    <w:uiPriority w:val="0"/>
    <w:pPr>
      <w:snapToGrid w:val="0"/>
    </w:pPr>
    <w:rPr>
      <w:rFonts w:ascii="Arial" w:hAnsi="Arial"/>
    </w:rPr>
  </w:style>
  <w:style w:type="paragraph" w:styleId="16">
    <w:name w:val="toc 3"/>
    <w:basedOn w:val="1"/>
    <w:next w:val="1"/>
    <w:autoRedefine/>
    <w:qFormat/>
    <w:uiPriority w:val="39"/>
    <w:pPr>
      <w:tabs>
        <w:tab w:val="right" w:leader="dot" w:pos="9288"/>
      </w:tabs>
      <w:ind w:left="400" w:leftChars="400"/>
    </w:pPr>
    <w:rPr>
      <w:rFonts w:ascii="宋体"/>
    </w:rPr>
  </w:style>
  <w:style w:type="paragraph" w:styleId="17">
    <w:name w:val="Plain Text"/>
    <w:basedOn w:val="1"/>
    <w:next w:val="1"/>
    <w:link w:val="60"/>
    <w:autoRedefine/>
    <w:qFormat/>
    <w:uiPriority w:val="99"/>
    <w:rPr>
      <w:rFonts w:ascii="宋体"/>
      <w:color w:val="000000"/>
      <w:szCs w:val="20"/>
      <w:u w:val="none" w:color="000000"/>
    </w:rPr>
  </w:style>
  <w:style w:type="paragraph" w:styleId="18">
    <w:name w:val="Date"/>
    <w:basedOn w:val="1"/>
    <w:next w:val="1"/>
    <w:link w:val="61"/>
    <w:autoRedefine/>
    <w:qFormat/>
    <w:uiPriority w:val="0"/>
    <w:rPr>
      <w:rFonts w:ascii="Arial" w:hAnsi="Arial" w:eastAsia="仿宋_GB2312"/>
      <w:color w:val="000000"/>
      <w:sz w:val="32"/>
      <w:szCs w:val="20"/>
      <w:u w:val="none" w:color="000000"/>
    </w:rPr>
  </w:style>
  <w:style w:type="paragraph" w:styleId="19">
    <w:name w:val="Body Text Indent 2"/>
    <w:basedOn w:val="1"/>
    <w:link w:val="62"/>
    <w:autoRedefine/>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3"/>
    <w:autoRedefine/>
    <w:qFormat/>
    <w:uiPriority w:val="0"/>
    <w:rPr>
      <w:sz w:val="18"/>
      <w:szCs w:val="18"/>
    </w:rPr>
  </w:style>
  <w:style w:type="paragraph" w:styleId="22">
    <w:name w:val="footer"/>
    <w:basedOn w:val="1"/>
    <w:link w:val="64"/>
    <w:autoRedefine/>
    <w:qFormat/>
    <w:uiPriority w:val="0"/>
    <w:pPr>
      <w:tabs>
        <w:tab w:val="center" w:pos="4153"/>
        <w:tab w:val="right" w:pos="8306"/>
      </w:tabs>
      <w:snapToGrid w:val="0"/>
      <w:jc w:val="left"/>
    </w:pPr>
    <w:rPr>
      <w:sz w:val="18"/>
      <w:szCs w:val="18"/>
    </w:rPr>
  </w:style>
  <w:style w:type="paragraph" w:styleId="23">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6">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2"/>
    <w:basedOn w:val="1"/>
    <w:next w:val="1"/>
    <w:autoRedefine/>
    <w:qFormat/>
    <w:uiPriority w:val="39"/>
    <w:pPr>
      <w:ind w:left="200" w:leftChars="200"/>
    </w:pPr>
  </w:style>
  <w:style w:type="paragraph" w:styleId="28">
    <w:name w:val="Body Text 2"/>
    <w:basedOn w:val="1"/>
    <w:qFormat/>
    <w:uiPriority w:val="0"/>
    <w:pPr>
      <w:spacing w:after="120" w:line="480" w:lineRule="auto"/>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2"/>
    <w:next w:val="12"/>
    <w:link w:val="66"/>
    <w:autoRedefine/>
    <w:qFormat/>
    <w:uiPriority w:val="0"/>
    <w:rPr>
      <w:b/>
      <w:bCs/>
    </w:rPr>
  </w:style>
  <w:style w:type="paragraph" w:styleId="34">
    <w:name w:val="Body Text First Indent 2"/>
    <w:basedOn w:val="14"/>
    <w:next w:val="1"/>
    <w:link w:val="53"/>
    <w:autoRedefine/>
    <w:qFormat/>
    <w:uiPriority w:val="0"/>
    <w:pPr>
      <w:ind w:left="420"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autoRedefine/>
    <w:qFormat/>
    <w:uiPriority w:val="0"/>
    <w:rPr>
      <w:color w:val="333333"/>
      <w:u w:val="none"/>
    </w:rPr>
  </w:style>
  <w:style w:type="character" w:styleId="41">
    <w:name w:val="Emphasis"/>
    <w:autoRedefine/>
    <w:qFormat/>
    <w:uiPriority w:val="20"/>
    <w:rPr>
      <w:i/>
      <w:iCs/>
    </w:rPr>
  </w:style>
  <w:style w:type="character" w:styleId="42">
    <w:name w:val="HTML Definition"/>
    <w:autoRedefine/>
    <w:qFormat/>
    <w:uiPriority w:val="0"/>
  </w:style>
  <w:style w:type="character" w:styleId="43">
    <w:name w:val="HTML Typewriter"/>
    <w:autoRedefine/>
    <w:qFormat/>
    <w:uiPriority w:val="0"/>
    <w:rPr>
      <w:rFonts w:ascii="monospace" w:hAnsi="monospace" w:eastAsia="monospace" w:cs="monospace"/>
      <w:sz w:val="20"/>
    </w:rPr>
  </w:style>
  <w:style w:type="character" w:styleId="44">
    <w:name w:val="HTML Acronym"/>
    <w:autoRedefine/>
    <w:qFormat/>
    <w:uiPriority w:val="0"/>
  </w:style>
  <w:style w:type="character" w:styleId="45">
    <w:name w:val="HTML Variable"/>
    <w:autoRedefine/>
    <w:qFormat/>
    <w:uiPriority w:val="0"/>
  </w:style>
  <w:style w:type="character" w:styleId="46">
    <w:name w:val="Hyperlink"/>
    <w:autoRedefine/>
    <w:qFormat/>
    <w:uiPriority w:val="99"/>
    <w:rPr>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qFormat/>
    <w:uiPriority w:val="0"/>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hint="default" w:ascii="monospace" w:hAnsi="monospace" w:eastAsia="monospace" w:cs="monospace"/>
    </w:rPr>
  </w:style>
  <w:style w:type="character" w:customStyle="1" w:styleId="52">
    <w:name w:val="正文文本缩进 字符"/>
    <w:link w:val="14"/>
    <w:autoRedefine/>
    <w:qFormat/>
    <w:uiPriority w:val="0"/>
    <w:rPr>
      <w:kern w:val="2"/>
      <w:sz w:val="21"/>
      <w:szCs w:val="24"/>
    </w:rPr>
  </w:style>
  <w:style w:type="character" w:customStyle="1" w:styleId="53">
    <w:name w:val="正文文本首行缩进 2 字符"/>
    <w:link w:val="34"/>
    <w:autoRedefine/>
    <w:qFormat/>
    <w:uiPriority w:val="0"/>
  </w:style>
  <w:style w:type="character" w:customStyle="1" w:styleId="54">
    <w:name w:val="标题 1 字符"/>
    <w:link w:val="2"/>
    <w:autoRedefine/>
    <w:qFormat/>
    <w:uiPriority w:val="0"/>
    <w:rPr>
      <w:b/>
      <w:bCs/>
      <w:kern w:val="44"/>
      <w:sz w:val="44"/>
      <w:szCs w:val="44"/>
    </w:rPr>
  </w:style>
  <w:style w:type="character" w:customStyle="1" w:styleId="55">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6">
    <w:name w:val="标题 5 字符"/>
    <w:link w:val="6"/>
    <w:autoRedefine/>
    <w:semiHidden/>
    <w:qFormat/>
    <w:uiPriority w:val="0"/>
    <w:rPr>
      <w:b/>
      <w:bCs/>
      <w:kern w:val="2"/>
      <w:sz w:val="28"/>
      <w:szCs w:val="28"/>
    </w:rPr>
  </w:style>
  <w:style w:type="character" w:customStyle="1" w:styleId="57">
    <w:name w:val="标题 6 字符"/>
    <w:link w:val="7"/>
    <w:autoRedefine/>
    <w:semiHidden/>
    <w:qFormat/>
    <w:uiPriority w:val="0"/>
    <w:rPr>
      <w:rFonts w:ascii="Cambria" w:hAnsi="Cambria" w:eastAsia="宋体" w:cs="Times New Roman"/>
      <w:b/>
      <w:bCs/>
      <w:kern w:val="2"/>
      <w:sz w:val="24"/>
      <w:szCs w:val="24"/>
    </w:rPr>
  </w:style>
  <w:style w:type="character" w:customStyle="1" w:styleId="58">
    <w:name w:val="标题 7 字符"/>
    <w:link w:val="8"/>
    <w:autoRedefine/>
    <w:semiHidden/>
    <w:qFormat/>
    <w:uiPriority w:val="0"/>
    <w:rPr>
      <w:b/>
      <w:bCs/>
      <w:kern w:val="2"/>
      <w:sz w:val="24"/>
      <w:szCs w:val="24"/>
    </w:rPr>
  </w:style>
  <w:style w:type="character" w:customStyle="1" w:styleId="59">
    <w:name w:val="批注文字 字符"/>
    <w:link w:val="12"/>
    <w:autoRedefine/>
    <w:qFormat/>
    <w:uiPriority w:val="0"/>
    <w:rPr>
      <w:kern w:val="2"/>
      <w:sz w:val="21"/>
      <w:szCs w:val="24"/>
    </w:rPr>
  </w:style>
  <w:style w:type="character" w:customStyle="1" w:styleId="60">
    <w:name w:val="纯文本 字符"/>
    <w:link w:val="17"/>
    <w:autoRedefine/>
    <w:qFormat/>
    <w:uiPriority w:val="99"/>
    <w:rPr>
      <w:rFonts w:ascii="宋体" w:eastAsia="宋体"/>
      <w:color w:val="000000"/>
      <w:kern w:val="2"/>
      <w:sz w:val="21"/>
      <w:u w:val="none" w:color="000000"/>
      <w:lang w:val="en-US" w:eastAsia="zh-CN" w:bidi="ar-SA"/>
    </w:rPr>
  </w:style>
  <w:style w:type="character" w:customStyle="1" w:styleId="61">
    <w:name w:val="日期 字符"/>
    <w:link w:val="18"/>
    <w:autoRedefine/>
    <w:qFormat/>
    <w:uiPriority w:val="0"/>
    <w:rPr>
      <w:rFonts w:ascii="Arial" w:hAnsi="Arial" w:eastAsia="仿宋_GB2312"/>
      <w:color w:val="000000"/>
      <w:kern w:val="2"/>
      <w:sz w:val="32"/>
      <w:u w:val="none" w:color="000000"/>
    </w:rPr>
  </w:style>
  <w:style w:type="character" w:customStyle="1" w:styleId="62">
    <w:name w:val="正文文本缩进 2 字符"/>
    <w:link w:val="19"/>
    <w:autoRedefine/>
    <w:qFormat/>
    <w:uiPriority w:val="0"/>
    <w:rPr>
      <w:kern w:val="2"/>
      <w:sz w:val="21"/>
      <w:szCs w:val="24"/>
    </w:rPr>
  </w:style>
  <w:style w:type="character" w:customStyle="1" w:styleId="63">
    <w:name w:val="批注框文本 字符"/>
    <w:link w:val="21"/>
    <w:autoRedefine/>
    <w:qFormat/>
    <w:uiPriority w:val="0"/>
    <w:rPr>
      <w:kern w:val="2"/>
      <w:sz w:val="18"/>
      <w:szCs w:val="18"/>
    </w:rPr>
  </w:style>
  <w:style w:type="character" w:customStyle="1" w:styleId="64">
    <w:name w:val="页脚 字符"/>
    <w:link w:val="22"/>
    <w:autoRedefine/>
    <w:qFormat/>
    <w:locked/>
    <w:uiPriority w:val="0"/>
    <w:rPr>
      <w:kern w:val="2"/>
      <w:sz w:val="18"/>
      <w:szCs w:val="18"/>
    </w:rPr>
  </w:style>
  <w:style w:type="character" w:customStyle="1" w:styleId="65">
    <w:name w:val="页眉 字符"/>
    <w:link w:val="23"/>
    <w:autoRedefine/>
    <w:qFormat/>
    <w:locked/>
    <w:uiPriority w:val="0"/>
    <w:rPr>
      <w:kern w:val="2"/>
      <w:sz w:val="18"/>
      <w:szCs w:val="18"/>
    </w:rPr>
  </w:style>
  <w:style w:type="character" w:customStyle="1" w:styleId="66">
    <w:name w:val="批注主题 字符"/>
    <w:link w:val="33"/>
    <w:autoRedefine/>
    <w:qFormat/>
    <w:uiPriority w:val="0"/>
    <w:rPr>
      <w:b/>
      <w:bCs/>
      <w:kern w:val="2"/>
      <w:sz w:val="21"/>
      <w:szCs w:val="24"/>
    </w:rPr>
  </w:style>
  <w:style w:type="character" w:customStyle="1" w:styleId="67">
    <w:name w:val="font121"/>
    <w:autoRedefine/>
    <w:qFormat/>
    <w:uiPriority w:val="0"/>
    <w:rPr>
      <w:rFonts w:hint="eastAsia" w:ascii="宋体" w:hAnsi="宋体" w:eastAsia="宋体" w:cs="宋体"/>
      <w:color w:val="000000"/>
      <w:sz w:val="24"/>
      <w:szCs w:val="24"/>
      <w:u w:val="none"/>
    </w:rPr>
  </w:style>
  <w:style w:type="character" w:customStyle="1" w:styleId="68">
    <w:name w:val="font141"/>
    <w:autoRedefine/>
    <w:qFormat/>
    <w:uiPriority w:val="0"/>
    <w:rPr>
      <w:rFonts w:ascii="Arial" w:hAnsi="Arial" w:cs="Arial"/>
      <w:color w:val="000000"/>
      <w:sz w:val="24"/>
      <w:szCs w:val="24"/>
      <w:u w:val="none"/>
    </w:rPr>
  </w:style>
  <w:style w:type="character" w:customStyle="1" w:styleId="69">
    <w:name w:val="_37aak"/>
    <w:autoRedefine/>
    <w:qFormat/>
    <w:uiPriority w:val="0"/>
  </w:style>
  <w:style w:type="character" w:customStyle="1" w:styleId="70">
    <w:name w:val="图表 Char"/>
    <w:link w:val="71"/>
    <w:autoRedefine/>
    <w:qFormat/>
    <w:uiPriority w:val="0"/>
    <w:rPr>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font01"/>
    <w:basedOn w:val="37"/>
    <w:autoRedefine/>
    <w:qFormat/>
    <w:uiPriority w:val="0"/>
    <w:rPr>
      <w:rFonts w:hint="eastAsia" w:ascii="宋体" w:hAnsi="宋体" w:eastAsia="宋体" w:cs="宋体"/>
      <w:color w:val="000000"/>
      <w:sz w:val="22"/>
      <w:szCs w:val="22"/>
      <w:u w:val="none"/>
    </w:rPr>
  </w:style>
  <w:style w:type="character" w:customStyle="1" w:styleId="73">
    <w:name w:val="hover4"/>
    <w:autoRedefine/>
    <w:qFormat/>
    <w:uiPriority w:val="0"/>
    <w:rPr>
      <w:color w:val="2590EB"/>
      <w:shd w:val="clear" w:color="auto" w:fill="E9F4FD"/>
    </w:rPr>
  </w:style>
  <w:style w:type="character" w:customStyle="1" w:styleId="74">
    <w:name w:val="font101"/>
    <w:autoRedefine/>
    <w:qFormat/>
    <w:uiPriority w:val="0"/>
    <w:rPr>
      <w:rFonts w:hint="eastAsia" w:ascii="宋体" w:hAnsi="宋体" w:eastAsia="宋体" w:cs="宋体"/>
      <w:color w:val="000000"/>
      <w:sz w:val="18"/>
      <w:szCs w:val="18"/>
      <w:u w:val="none"/>
    </w:rPr>
  </w:style>
  <w:style w:type="character" w:customStyle="1" w:styleId="75">
    <w:name w:val="font161"/>
    <w:autoRedefine/>
    <w:qFormat/>
    <w:uiPriority w:val="0"/>
    <w:rPr>
      <w:rFonts w:hint="eastAsia" w:ascii="宋体" w:hAnsi="宋体" w:eastAsia="宋体" w:cs="宋体"/>
      <w:b/>
      <w:bCs/>
      <w:color w:val="333333"/>
      <w:sz w:val="27"/>
      <w:szCs w:val="27"/>
      <w:u w:val="none"/>
    </w:rPr>
  </w:style>
  <w:style w:type="character" w:customStyle="1" w:styleId="76">
    <w:name w:val="first-child"/>
    <w:autoRedefine/>
    <w:qFormat/>
    <w:uiPriority w:val="0"/>
  </w:style>
  <w:style w:type="character" w:customStyle="1" w:styleId="77">
    <w:name w:val="【正文】 Char"/>
    <w:link w:val="78"/>
    <w:autoRedefine/>
    <w:qFormat/>
    <w:uiPriority w:val="0"/>
    <w:rPr>
      <w:rFonts w:cs="DokChampa"/>
      <w:kern w:val="2"/>
      <w:sz w:val="24"/>
      <w:szCs w:val="22"/>
    </w:rPr>
  </w:style>
  <w:style w:type="paragraph" w:customStyle="1" w:styleId="78">
    <w:name w:val="【正文】"/>
    <w:basedOn w:val="1"/>
    <w:link w:val="77"/>
    <w:autoRedefine/>
    <w:qFormat/>
    <w:uiPriority w:val="0"/>
    <w:pPr>
      <w:spacing w:line="360" w:lineRule="auto"/>
      <w:ind w:firstLine="480" w:firstLineChars="200"/>
    </w:pPr>
    <w:rPr>
      <w:sz w:val="24"/>
      <w:szCs w:val="22"/>
    </w:rPr>
  </w:style>
  <w:style w:type="character" w:customStyle="1" w:styleId="79">
    <w:name w:val="font131"/>
    <w:autoRedefine/>
    <w:qFormat/>
    <w:uiPriority w:val="0"/>
    <w:rPr>
      <w:rFonts w:ascii="仿宋" w:hAnsi="仿宋" w:eastAsia="仿宋" w:cs="仿宋"/>
      <w:color w:val="000000"/>
      <w:sz w:val="24"/>
      <w:szCs w:val="24"/>
      <w:u w:val="none"/>
    </w:rPr>
  </w:style>
  <w:style w:type="character" w:customStyle="1" w:styleId="80">
    <w:name w:val="font181"/>
    <w:autoRedefine/>
    <w:qFormat/>
    <w:uiPriority w:val="0"/>
    <w:rPr>
      <w:rFonts w:hint="eastAsia" w:ascii="宋体" w:hAnsi="宋体" w:eastAsia="宋体" w:cs="宋体"/>
      <w:color w:val="1A66B3"/>
      <w:sz w:val="18"/>
      <w:szCs w:val="18"/>
      <w:u w:val="none"/>
    </w:rPr>
  </w:style>
  <w:style w:type="character" w:customStyle="1" w:styleId="81">
    <w:name w:val="hover3"/>
    <w:autoRedefine/>
    <w:qFormat/>
    <w:uiPriority w:val="0"/>
  </w:style>
  <w:style w:type="character" w:customStyle="1" w:styleId="82">
    <w:name w:val="font112"/>
    <w:autoRedefine/>
    <w:qFormat/>
    <w:uiPriority w:val="0"/>
    <w:rPr>
      <w:rFonts w:ascii="Verdana" w:hAnsi="Verdana" w:cs="Verdana"/>
      <w:color w:val="000000"/>
      <w:sz w:val="18"/>
      <w:szCs w:val="18"/>
      <w:u w:val="none"/>
    </w:rPr>
  </w:style>
  <w:style w:type="character" w:customStyle="1" w:styleId="83">
    <w:name w:val="font81"/>
    <w:autoRedefine/>
    <w:qFormat/>
    <w:uiPriority w:val="0"/>
    <w:rPr>
      <w:rFonts w:hint="default" w:ascii="Verdana" w:hAnsi="Verdana" w:cs="Verdana"/>
      <w:color w:val="000000"/>
      <w:sz w:val="18"/>
      <w:szCs w:val="18"/>
      <w:u w:val="none"/>
    </w:rPr>
  </w:style>
  <w:style w:type="character" w:customStyle="1" w:styleId="84">
    <w:name w:val="hover"/>
    <w:autoRedefine/>
    <w:qFormat/>
    <w:uiPriority w:val="0"/>
    <w:rPr>
      <w:color w:val="2590EB"/>
      <w:shd w:val="clear" w:color="auto" w:fill="E9F4FD"/>
    </w:rPr>
  </w:style>
  <w:style w:type="character" w:customStyle="1" w:styleId="85">
    <w:name w:val="font41"/>
    <w:autoRedefine/>
    <w:qFormat/>
    <w:uiPriority w:val="0"/>
    <w:rPr>
      <w:rFonts w:hint="eastAsia" w:ascii="宋体" w:hAnsi="宋体" w:eastAsia="宋体" w:cs="宋体"/>
      <w:color w:val="000000"/>
      <w:sz w:val="22"/>
      <w:szCs w:val="22"/>
      <w:u w:val="none"/>
    </w:rPr>
  </w:style>
  <w:style w:type="character" w:customStyle="1" w:styleId="86">
    <w:name w:val="hover2"/>
    <w:autoRedefine/>
    <w:qFormat/>
    <w:uiPriority w:val="0"/>
    <w:rPr>
      <w:color w:val="2590EB"/>
    </w:rPr>
  </w:style>
  <w:style w:type="character" w:customStyle="1" w:styleId="87">
    <w:name w:val="hover1"/>
    <w:autoRedefine/>
    <w:qFormat/>
    <w:uiPriority w:val="0"/>
    <w:rPr>
      <w:color w:val="2590EB"/>
    </w:rPr>
  </w:style>
  <w:style w:type="character" w:customStyle="1" w:styleId="88">
    <w:name w:val="first-child1"/>
    <w:autoRedefine/>
    <w:qFormat/>
    <w:uiPriority w:val="0"/>
  </w:style>
  <w:style w:type="character" w:customStyle="1" w:styleId="89">
    <w:name w:val="selected"/>
    <w:autoRedefine/>
    <w:qFormat/>
    <w:uiPriority w:val="0"/>
    <w:rPr>
      <w:shd w:val="clear" w:color="auto" w:fill="B00006"/>
    </w:rPr>
  </w:style>
  <w:style w:type="character" w:customStyle="1" w:styleId="90">
    <w:name w:val="gpa"/>
    <w:autoRedefine/>
    <w:qFormat/>
    <w:uiPriority w:val="0"/>
    <w:rPr>
      <w:rFonts w:ascii="Arial" w:hAnsi="Arial" w:cs="Arial"/>
      <w:sz w:val="15"/>
      <w:szCs w:val="15"/>
    </w:rPr>
  </w:style>
  <w:style w:type="character" w:customStyle="1" w:styleId="91">
    <w:name w:val="apple-converted-space"/>
    <w:autoRedefine/>
    <w:qFormat/>
    <w:uiPriority w:val="0"/>
  </w:style>
  <w:style w:type="character" w:customStyle="1" w:styleId="92">
    <w:name w:val="列出段落 Char"/>
    <w:link w:val="93"/>
    <w:autoRedefine/>
    <w:qFormat/>
    <w:locked/>
    <w:uiPriority w:val="0"/>
    <w:rPr>
      <w:rFonts w:ascii="Calibri" w:hAnsi="Calibri" w:eastAsia="宋体"/>
      <w:kern w:val="2"/>
      <w:sz w:val="21"/>
      <w:szCs w:val="22"/>
      <w:lang w:val="en-US" w:eastAsia="zh-CN" w:bidi="ar-SA"/>
    </w:rPr>
  </w:style>
  <w:style w:type="paragraph" w:customStyle="1" w:styleId="93">
    <w:name w:val="List Paragraph1"/>
    <w:basedOn w:val="1"/>
    <w:link w:val="92"/>
    <w:autoRedefine/>
    <w:qFormat/>
    <w:uiPriority w:val="0"/>
    <w:pPr>
      <w:spacing w:line="312" w:lineRule="auto"/>
      <w:ind w:firstLine="420" w:firstLineChars="200"/>
    </w:pPr>
    <w:rPr>
      <w:rFonts w:ascii="Calibri" w:hAnsi="Calibri"/>
      <w:szCs w:val="22"/>
    </w:rPr>
  </w:style>
  <w:style w:type="character" w:customStyle="1" w:styleId="94">
    <w:name w:val="displayarti"/>
    <w:autoRedefine/>
    <w:qFormat/>
    <w:uiPriority w:val="0"/>
    <w:rPr>
      <w:color w:val="FFFFFF"/>
      <w:shd w:val="clear" w:color="auto" w:fill="A00000"/>
    </w:rPr>
  </w:style>
  <w:style w:type="character" w:customStyle="1" w:styleId="95">
    <w:name w:val="正文首行缩进 2 Char1"/>
    <w:autoRedefine/>
    <w:qFormat/>
    <w:uiPriority w:val="0"/>
  </w:style>
  <w:style w:type="character" w:customStyle="1" w:styleId="96">
    <w:name w:val="layui-this"/>
    <w:autoRedefine/>
    <w:qFormat/>
    <w:uiPriority w:val="0"/>
    <w:rPr>
      <w:bdr w:val="single" w:color="EEEEEE" w:sz="6" w:space="0"/>
      <w:shd w:val="clear" w:color="auto" w:fill="FFFFFF"/>
    </w:rPr>
  </w:style>
  <w:style w:type="character" w:customStyle="1" w:styleId="97">
    <w:name w:val="font151"/>
    <w:autoRedefine/>
    <w:qFormat/>
    <w:uiPriority w:val="0"/>
    <w:rPr>
      <w:rFonts w:hint="default" w:ascii="Verdana" w:hAnsi="Verdana" w:cs="Verdana"/>
      <w:b/>
      <w:bCs/>
      <w:color w:val="333333"/>
      <w:sz w:val="27"/>
      <w:szCs w:val="27"/>
      <w:u w:val="none"/>
    </w:rPr>
  </w:style>
  <w:style w:type="character" w:customStyle="1" w:styleId="98">
    <w:name w:val="font171"/>
    <w:autoRedefine/>
    <w:qFormat/>
    <w:uiPriority w:val="0"/>
    <w:rPr>
      <w:rFonts w:hint="eastAsia" w:ascii="宋体" w:hAnsi="宋体" w:eastAsia="宋体" w:cs="宋体"/>
      <w:color w:val="646464"/>
      <w:sz w:val="18"/>
      <w:szCs w:val="18"/>
      <w:u w:val="none"/>
    </w:rPr>
  </w:style>
  <w:style w:type="character" w:customStyle="1" w:styleId="99">
    <w:name w:val="hover7"/>
    <w:autoRedefine/>
    <w:qFormat/>
    <w:uiPriority w:val="0"/>
    <w:rPr>
      <w:color w:val="315EFB"/>
    </w:rPr>
  </w:style>
  <w:style w:type="paragraph" w:customStyle="1" w:styleId="100">
    <w:name w:val="列表2"/>
    <w:basedOn w:val="1"/>
    <w:next w:val="1"/>
    <w:autoRedefine/>
    <w:qFormat/>
    <w:uiPriority w:val="0"/>
    <w:pPr>
      <w:numPr>
        <w:ilvl w:val="0"/>
        <w:numId w:val="5"/>
      </w:numPr>
      <w:spacing w:line="200" w:lineRule="atLeast"/>
    </w:pPr>
    <w:rPr>
      <w:rFonts w:eastAsia="仿宋"/>
      <w:sz w:val="28"/>
    </w:rPr>
  </w:style>
  <w:style w:type="paragraph" w:customStyle="1" w:styleId="10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2">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3">
    <w:name w:val="Char"/>
    <w:basedOn w:val="1"/>
    <w:next w:val="1"/>
    <w:autoRedefine/>
    <w:qFormat/>
    <w:uiPriority w:val="0"/>
    <w:pPr>
      <w:widowControl/>
      <w:spacing w:line="360" w:lineRule="auto"/>
      <w:jc w:val="left"/>
    </w:pPr>
    <w:rPr>
      <w:kern w:val="0"/>
      <w:szCs w:val="20"/>
      <w:lang w:eastAsia="en-US"/>
    </w:rPr>
  </w:style>
  <w:style w:type="paragraph" w:customStyle="1" w:styleId="104">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5">
    <w:name w:val=" Char Char Char Char"/>
    <w:basedOn w:val="1"/>
    <w:autoRedefine/>
    <w:qFormat/>
    <w:uiPriority w:val="0"/>
    <w:rPr>
      <w:rFonts w:ascii="Tahoma" w:hAnsi="Tahoma"/>
      <w:sz w:val="24"/>
      <w:szCs w:val="20"/>
    </w:rPr>
  </w:style>
  <w:style w:type="paragraph" w:customStyle="1" w:styleId="106">
    <w:name w:val="_Style 4"/>
    <w:basedOn w:val="1"/>
    <w:autoRedefine/>
    <w:qFormat/>
    <w:uiPriority w:val="34"/>
    <w:pPr>
      <w:adjustRightInd w:val="0"/>
      <w:ind w:firstLine="420" w:firstLineChars="200"/>
      <w:jc w:val="left"/>
      <w:textAlignment w:val="baseline"/>
    </w:pPr>
    <w:rPr>
      <w:kern w:val="0"/>
      <w:szCs w:val="20"/>
    </w:rPr>
  </w:style>
  <w:style w:type="paragraph" w:customStyle="1" w:styleId="107">
    <w:name w:val="列出段落2"/>
    <w:basedOn w:val="1"/>
    <w:autoRedefine/>
    <w:qFormat/>
    <w:uiPriority w:val="0"/>
    <w:pPr>
      <w:ind w:firstLine="420" w:firstLineChars="200"/>
    </w:pPr>
    <w:rPr>
      <w:rFonts w:ascii="Calibri" w:hAnsi="Calibri"/>
      <w:szCs w:val="22"/>
    </w:rPr>
  </w:style>
  <w:style w:type="paragraph" w:customStyle="1" w:styleId="108">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09">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0">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Table Paragraph"/>
    <w:basedOn w:val="1"/>
    <w:autoRedefine/>
    <w:qFormat/>
    <w:uiPriority w:val="1"/>
    <w:rPr>
      <w:rFonts w:ascii="宋体" w:hAnsi="宋体" w:eastAsia="宋体" w:cs="宋体"/>
      <w:lang w:val="zh-CN" w:eastAsia="zh-CN" w:bidi="zh-CN"/>
    </w:rPr>
  </w:style>
  <w:style w:type="paragraph" w:customStyle="1" w:styleId="112">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3">
    <w:name w:val="列出段落1"/>
    <w:basedOn w:val="1"/>
    <w:autoRedefine/>
    <w:qFormat/>
    <w:uiPriority w:val="34"/>
    <w:pPr>
      <w:ind w:firstLine="420" w:firstLineChars="200"/>
    </w:pPr>
  </w:style>
  <w:style w:type="paragraph" w:customStyle="1" w:styleId="114">
    <w:name w:val="Char Char Char Char Char Char Char1 Char"/>
    <w:basedOn w:val="1"/>
    <w:autoRedefine/>
    <w:qFormat/>
    <w:uiPriority w:val="0"/>
    <w:rPr>
      <w:rFonts w:ascii="Tahoma" w:hAnsi="Tahoma"/>
      <w:sz w:val="24"/>
      <w:szCs w:val="20"/>
    </w:rPr>
  </w:style>
  <w:style w:type="paragraph" w:styleId="115">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6">
    <w:name w:val="List Paragraph2"/>
    <w:basedOn w:val="1"/>
    <w:autoRedefine/>
    <w:qFormat/>
    <w:uiPriority w:val="0"/>
    <w:pPr>
      <w:spacing w:line="360" w:lineRule="auto"/>
      <w:ind w:firstLine="420"/>
    </w:pPr>
    <w:rPr>
      <w:color w:val="000000"/>
      <w:sz w:val="24"/>
      <w:szCs w:val="21"/>
    </w:rPr>
  </w:style>
  <w:style w:type="paragraph" w:customStyle="1" w:styleId="117">
    <w:name w:val="（无样式）"/>
    <w:basedOn w:val="1"/>
    <w:autoRedefine/>
    <w:qFormat/>
    <w:uiPriority w:val="0"/>
    <w:pPr>
      <w:widowControl/>
      <w:numPr>
        <w:ilvl w:val="0"/>
        <w:numId w:val="7"/>
      </w:numPr>
      <w:spacing w:line="360" w:lineRule="auto"/>
      <w:ind w:firstLine="0"/>
    </w:pPr>
    <w:rPr>
      <w:sz w:val="24"/>
      <w:szCs w:val="20"/>
    </w:rPr>
  </w:style>
  <w:style w:type="paragraph" w:customStyle="1" w:styleId="1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9">
    <w:name w:val="标题3-副本"/>
    <w:basedOn w:val="25"/>
    <w:autoRedefine/>
    <w:qFormat/>
    <w:uiPriority w:val="0"/>
    <w:pPr>
      <w:numPr>
        <w:ilvl w:val="0"/>
        <w:numId w:val="0"/>
      </w:numPr>
      <w:ind w:left="840"/>
    </w:pPr>
  </w:style>
  <w:style w:type="paragraph" w:customStyle="1" w:styleId="1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1">
    <w:name w:val="_Style 2"/>
    <w:basedOn w:val="1"/>
    <w:autoRedefine/>
    <w:qFormat/>
    <w:uiPriority w:val="0"/>
  </w:style>
  <w:style w:type="paragraph" w:customStyle="1" w:styleId="122">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4">
    <w:name w:val=" Char"/>
    <w:basedOn w:val="1"/>
    <w:autoRedefine/>
    <w:qFormat/>
    <w:uiPriority w:val="0"/>
  </w:style>
  <w:style w:type="paragraph" w:customStyle="1" w:styleId="12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6">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8">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29">
    <w:name w:val="num"/>
    <w:basedOn w:val="37"/>
    <w:autoRedefine/>
    <w:qFormat/>
    <w:uiPriority w:val="0"/>
    <w:rPr>
      <w:b/>
      <w:bCs/>
      <w:color w:val="FF7800"/>
    </w:rPr>
  </w:style>
  <w:style w:type="character" w:customStyle="1" w:styleId="130">
    <w:name w:val="a-desc"/>
    <w:basedOn w:val="37"/>
    <w:autoRedefine/>
    <w:qFormat/>
    <w:uiPriority w:val="0"/>
    <w:rPr>
      <w:color w:val="315EFB"/>
    </w:rPr>
  </w:style>
  <w:style w:type="character" w:customStyle="1" w:styleId="131">
    <w:name w:val="bg"/>
    <w:basedOn w:val="37"/>
    <w:autoRedefine/>
    <w:qFormat/>
    <w:uiPriority w:val="0"/>
    <w:rPr>
      <w:shd w:val="clear" w:color="auto" w:fill="000000"/>
    </w:rPr>
  </w:style>
  <w:style w:type="character" w:customStyle="1" w:styleId="132">
    <w:name w:val="bg1"/>
    <w:basedOn w:val="37"/>
    <w:autoRedefine/>
    <w:qFormat/>
    <w:uiPriority w:val="0"/>
    <w:rPr>
      <w:shd w:val="clear" w:color="auto" w:fill="000000"/>
    </w:rPr>
  </w:style>
  <w:style w:type="character" w:customStyle="1" w:styleId="133">
    <w:name w:val="bg2"/>
    <w:basedOn w:val="37"/>
    <w:autoRedefine/>
    <w:qFormat/>
    <w:uiPriority w:val="0"/>
    <w:rPr>
      <w:shd w:val="clear" w:color="auto" w:fill="000000"/>
    </w:rPr>
  </w:style>
  <w:style w:type="character" w:customStyle="1" w:styleId="134">
    <w:name w:val="iknow-qb-ad-sou-icon"/>
    <w:basedOn w:val="37"/>
    <w:autoRedefine/>
    <w:qFormat/>
    <w:uiPriority w:val="0"/>
  </w:style>
  <w:style w:type="character" w:customStyle="1" w:styleId="135">
    <w:name w:val="del-btn"/>
    <w:basedOn w:val="37"/>
    <w:autoRedefine/>
    <w:qFormat/>
    <w:uiPriority w:val="0"/>
  </w:style>
  <w:style w:type="character" w:customStyle="1" w:styleId="136">
    <w:name w:val="del-btn1"/>
    <w:basedOn w:val="37"/>
    <w:autoRedefine/>
    <w:qFormat/>
    <w:uiPriority w:val="0"/>
  </w:style>
  <w:style w:type="character" w:customStyle="1" w:styleId="137">
    <w:name w:val="del-btn2"/>
    <w:basedOn w:val="37"/>
    <w:autoRedefine/>
    <w:qFormat/>
    <w:uiPriority w:val="0"/>
  </w:style>
  <w:style w:type="character" w:customStyle="1" w:styleId="138">
    <w:name w:val="answer-title"/>
    <w:basedOn w:val="37"/>
    <w:autoRedefine/>
    <w:qFormat/>
    <w:uiPriority w:val="0"/>
  </w:style>
  <w:style w:type="character" w:customStyle="1" w:styleId="139">
    <w:name w:val="new-icon2"/>
    <w:basedOn w:val="37"/>
    <w:autoRedefine/>
    <w:qFormat/>
    <w:uiPriority w:val="0"/>
  </w:style>
  <w:style w:type="character" w:customStyle="1" w:styleId="140">
    <w:name w:val="new-icon3"/>
    <w:basedOn w:val="37"/>
    <w:autoRedefine/>
    <w:qFormat/>
    <w:uiPriority w:val="0"/>
  </w:style>
  <w:style w:type="character" w:customStyle="1" w:styleId="141">
    <w:name w:val="green"/>
    <w:basedOn w:val="37"/>
    <w:autoRedefine/>
    <w:qFormat/>
    <w:uiPriority w:val="0"/>
    <w:rPr>
      <w:color w:val="3B6FFF"/>
    </w:rPr>
  </w:style>
  <w:style w:type="character" w:customStyle="1" w:styleId="142">
    <w:name w:val="green1"/>
    <w:basedOn w:val="37"/>
    <w:autoRedefine/>
    <w:qFormat/>
    <w:uiPriority w:val="0"/>
    <w:rPr>
      <w:color w:val="3B6FFF"/>
    </w:rPr>
  </w:style>
  <w:style w:type="character" w:customStyle="1" w:styleId="143">
    <w:name w:val="green2"/>
    <w:basedOn w:val="37"/>
    <w:autoRedefine/>
    <w:qFormat/>
    <w:uiPriority w:val="0"/>
    <w:rPr>
      <w:color w:val="4DC86F"/>
    </w:rPr>
  </w:style>
  <w:style w:type="character" w:customStyle="1" w:styleId="144">
    <w:name w:val="green3"/>
    <w:basedOn w:val="37"/>
    <w:autoRedefine/>
    <w:qFormat/>
    <w:uiPriority w:val="0"/>
    <w:rPr>
      <w:color w:val="4DC86F"/>
    </w:rPr>
  </w:style>
  <w:style w:type="character" w:customStyle="1" w:styleId="145">
    <w:name w:val="answer-title2"/>
    <w:basedOn w:val="37"/>
    <w:autoRedefine/>
    <w:qFormat/>
    <w:uiPriority w:val="0"/>
  </w:style>
  <w:style w:type="character" w:customStyle="1" w:styleId="146">
    <w:name w:val="new-icon"/>
    <w:basedOn w:val="37"/>
    <w:autoRedefine/>
    <w:qFormat/>
    <w:uiPriority w:val="0"/>
  </w:style>
  <w:style w:type="character" w:customStyle="1" w:styleId="147">
    <w:name w:val="new-icon1"/>
    <w:basedOn w:val="37"/>
    <w:autoRedefine/>
    <w:qFormat/>
    <w:uiPriority w:val="0"/>
  </w:style>
  <w:style w:type="character" w:customStyle="1" w:styleId="148">
    <w:name w:val="font31"/>
    <w:basedOn w:val="37"/>
    <w:autoRedefine/>
    <w:qFormat/>
    <w:uiPriority w:val="0"/>
    <w:rPr>
      <w:rFonts w:hint="eastAsia" w:ascii="宋体" w:hAnsi="宋体" w:eastAsia="宋体" w:cs="宋体"/>
      <w:color w:val="000000"/>
      <w:sz w:val="21"/>
      <w:szCs w:val="21"/>
      <w:u w:val="none"/>
    </w:rPr>
  </w:style>
  <w:style w:type="character" w:customStyle="1" w:styleId="149">
    <w:name w:val="font51"/>
    <w:basedOn w:val="37"/>
    <w:autoRedefine/>
    <w:qFormat/>
    <w:uiPriority w:val="0"/>
    <w:rPr>
      <w:rFonts w:hint="default" w:ascii="Times New Roman" w:hAnsi="Times New Roman" w:cs="Times New Roman"/>
      <w:color w:val="000000"/>
      <w:sz w:val="21"/>
      <w:szCs w:val="21"/>
      <w:u w:val="none"/>
    </w:rPr>
  </w:style>
  <w:style w:type="paragraph" w:customStyle="1" w:styleId="150">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16068</Words>
  <Characters>17929</Characters>
  <Lines>358</Lines>
  <Paragraphs>100</Paragraphs>
  <TotalTime>4</TotalTime>
  <ScaleCrop>false</ScaleCrop>
  <LinksUpToDate>false</LinksUpToDate>
  <CharactersWithSpaces>18503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2023-12-15T01:51:00Z</cp:lastPrinted>
  <dcterms:modified xsi:type="dcterms:W3CDTF">2026-05-18T08:54:11Z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9DE97A078242434B8B3280E52CDBE9A2_13</vt:lpwstr>
  </property>
  <property fmtid="{D5CDD505-2E9C-101B-9397-08002B2CF9AE}" pid="4" name="KSOTemplateDocerSaveRecord">
    <vt:lpwstr>eyJoZGlkIjoiZmQ5MGI3YTdkMjVkZTZjM2ZjZTQ5YjMxYTJjZjRlOWEiLCJ1c2VySWQiOiIzNjE4MjQ5In0=</vt:lpwstr>
  </property>
</Properties>
</file>