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D55AE">
      <w:pPr>
        <w:tabs>
          <w:tab w:val="left" w:pos="315"/>
          <w:tab w:val="left" w:pos="8820"/>
        </w:tabs>
        <w:spacing w:before="312" w:beforeLines="100" w:after="156" w:afterLines="50" w:line="500" w:lineRule="exact"/>
        <w:ind w:right="267" w:rightChars="127"/>
        <w:jc w:val="center"/>
        <w:rPr>
          <w:rFonts w:hint="default" w:ascii="宋体" w:hAnsi="宋体" w:eastAsia="宋体"/>
          <w:b/>
          <w:bCs/>
          <w:color w:val="auto"/>
          <w:sz w:val="52"/>
          <w:szCs w:val="52"/>
          <w:highlight w:val="none"/>
          <w:lang w:val="en-US" w:eastAsia="zh-CN"/>
        </w:rPr>
      </w:pPr>
    </w:p>
    <w:p w14:paraId="3E3C921E">
      <w:pPr>
        <w:tabs>
          <w:tab w:val="left" w:pos="315"/>
          <w:tab w:val="left" w:pos="8820"/>
        </w:tabs>
        <w:spacing w:before="312" w:beforeLines="100" w:after="156" w:afterLines="50" w:line="500" w:lineRule="exact"/>
        <w:ind w:right="267" w:rightChars="127"/>
        <w:jc w:val="center"/>
        <w:rPr>
          <w:rFonts w:ascii="宋体" w:hAnsi="宋体" w:eastAsia="宋体"/>
          <w:b/>
          <w:bCs/>
          <w:color w:val="auto"/>
          <w:sz w:val="52"/>
          <w:szCs w:val="52"/>
          <w:highlight w:val="none"/>
        </w:rPr>
      </w:pPr>
    </w:p>
    <w:p w14:paraId="1FA6A410">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val="en-US" w:eastAsia="zh-CN"/>
        </w:rPr>
      </w:pPr>
      <w:bookmarkStart w:id="0" w:name="_Hlk9544796"/>
      <w:r>
        <w:rPr>
          <w:rFonts w:hint="eastAsia" w:ascii="宋体" w:hAnsi="宋体" w:eastAsia="宋体"/>
          <w:b/>
          <w:bCs/>
          <w:color w:val="auto"/>
          <w:sz w:val="52"/>
          <w:szCs w:val="52"/>
          <w:highlight w:val="none"/>
          <w:lang w:val="en-US" w:eastAsia="zh-CN"/>
        </w:rPr>
        <w:t>安徽省</w:t>
      </w:r>
      <w:r>
        <w:rPr>
          <w:rFonts w:hint="eastAsia" w:ascii="宋体" w:hAnsi="宋体" w:eastAsia="宋体"/>
          <w:b/>
          <w:bCs/>
          <w:color w:val="auto"/>
          <w:sz w:val="52"/>
          <w:szCs w:val="52"/>
          <w:highlight w:val="none"/>
        </w:rPr>
        <w:t>政府采购</w:t>
      </w:r>
      <w:r>
        <w:rPr>
          <w:rFonts w:hint="eastAsia" w:ascii="宋体" w:hAnsi="宋体" w:eastAsia="宋体"/>
          <w:b/>
          <w:bCs/>
          <w:color w:val="auto"/>
          <w:sz w:val="52"/>
          <w:szCs w:val="52"/>
          <w:highlight w:val="none"/>
          <w:lang w:eastAsia="zh-CN"/>
        </w:rPr>
        <w:t>项目</w:t>
      </w:r>
    </w:p>
    <w:p w14:paraId="79E083D9">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服务类</w:t>
      </w:r>
      <w:r>
        <w:rPr>
          <w:rFonts w:hint="eastAsia" w:ascii="宋体" w:hAnsi="宋体" w:eastAsia="宋体"/>
          <w:b/>
          <w:bCs/>
          <w:color w:val="auto"/>
          <w:sz w:val="52"/>
          <w:szCs w:val="52"/>
          <w:highlight w:val="none"/>
          <w:lang w:eastAsia="zh-CN"/>
        </w:rPr>
        <w:t>）</w:t>
      </w:r>
    </w:p>
    <w:p w14:paraId="2AF24ADE">
      <w:pPr>
        <w:tabs>
          <w:tab w:val="left" w:pos="315"/>
          <w:tab w:val="left" w:pos="8820"/>
        </w:tabs>
        <w:spacing w:before="312" w:beforeLines="100" w:after="156"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2026年版</w:t>
      </w:r>
      <w:r>
        <w:rPr>
          <w:rFonts w:hint="eastAsia" w:ascii="宋体" w:hAnsi="宋体" w:eastAsia="宋体"/>
          <w:b/>
          <w:bCs/>
          <w:color w:val="auto"/>
          <w:sz w:val="52"/>
          <w:szCs w:val="52"/>
          <w:highlight w:val="none"/>
          <w:lang w:eastAsia="zh-CN"/>
        </w:rPr>
        <w:t>）</w:t>
      </w:r>
    </w:p>
    <w:p w14:paraId="4418C7B7">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1F5F7BE">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51B62EDD">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2E7AA3D">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5FF62D5C">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7F8D9436">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eastAsia="zh-CN"/>
        </w:rPr>
      </w:pPr>
      <w:r>
        <w:rPr>
          <w:rFonts w:hint="eastAsia" w:ascii="宋体" w:hAnsi="宋体" w:eastAsia="宋体"/>
          <w:b/>
          <w:color w:val="auto"/>
          <w:spacing w:val="20"/>
          <w:kern w:val="0"/>
          <w:sz w:val="32"/>
          <w:szCs w:val="32"/>
          <w:highlight w:val="none"/>
        </w:rPr>
        <w:t>项目名称：</w:t>
      </w:r>
      <w:r>
        <w:rPr>
          <w:rFonts w:hint="eastAsia" w:ascii="宋体" w:hAnsi="宋体" w:eastAsia="宋体" w:cs="宋体"/>
          <w:b/>
          <w:color w:val="auto"/>
          <w:spacing w:val="20"/>
          <w:kern w:val="0"/>
          <w:sz w:val="32"/>
          <w:szCs w:val="32"/>
          <w:highlight w:val="none"/>
          <w:u w:val="single"/>
          <w:lang w:val="en-US" w:eastAsia="zh-CN"/>
        </w:rPr>
        <w:t>2026年度景观花卉项目</w:t>
      </w:r>
      <w:r>
        <w:rPr>
          <w:rFonts w:hint="eastAsia" w:ascii="宋体" w:hAnsi="宋体" w:eastAsia="宋体"/>
          <w:b/>
          <w:color w:val="auto"/>
          <w:spacing w:val="20"/>
          <w:kern w:val="0"/>
          <w:sz w:val="32"/>
          <w:szCs w:val="32"/>
          <w:highlight w:val="none"/>
          <w:u w:val="single"/>
          <w:lang w:val="en-US" w:eastAsia="zh-CN"/>
        </w:rPr>
        <w:t xml:space="preserve"> </w:t>
      </w:r>
    </w:p>
    <w:p w14:paraId="21D2F692">
      <w:pPr>
        <w:tabs>
          <w:tab w:val="left" w:pos="2410"/>
        </w:tabs>
        <w:autoSpaceDE w:val="0"/>
        <w:autoSpaceDN w:val="0"/>
        <w:adjustRightInd w:val="0"/>
        <w:snapToGrid w:val="0"/>
        <w:spacing w:line="360" w:lineRule="auto"/>
        <w:ind w:firstLine="723" w:firstLineChars="200"/>
        <w:rPr>
          <w:rFonts w:hint="eastAsia" w:ascii="宋体" w:hAnsi="宋体" w:eastAsia="宋体" w:cs="宋体"/>
          <w:b/>
          <w:color w:val="auto"/>
          <w:spacing w:val="20"/>
          <w:kern w:val="0"/>
          <w:sz w:val="32"/>
          <w:szCs w:val="32"/>
          <w:highlight w:val="none"/>
          <w:u w:val="single"/>
          <w:lang w:val="en-US" w:eastAsia="zh-CN"/>
        </w:rPr>
      </w:pPr>
      <w:r>
        <w:rPr>
          <w:rFonts w:hint="eastAsia" w:ascii="宋体" w:hAnsi="宋体" w:eastAsia="宋体"/>
          <w:b/>
          <w:color w:val="auto"/>
          <w:spacing w:val="20"/>
          <w:kern w:val="0"/>
          <w:sz w:val="32"/>
          <w:szCs w:val="32"/>
          <w:highlight w:val="none"/>
        </w:rPr>
        <w:t>项目编号：</w:t>
      </w:r>
      <w:r>
        <w:rPr>
          <w:rFonts w:hint="default" w:ascii="宋体" w:hAnsi="宋体" w:eastAsia="宋体" w:cs="宋体"/>
          <w:b/>
          <w:color w:val="auto"/>
          <w:spacing w:val="20"/>
          <w:kern w:val="0"/>
          <w:sz w:val="32"/>
          <w:szCs w:val="32"/>
          <w:highlight w:val="none"/>
          <w:u w:val="single"/>
          <w:lang w:val="en-US" w:eastAsia="zh-CN"/>
        </w:rPr>
        <w:t>czsjcg202604-006</w:t>
      </w:r>
    </w:p>
    <w:p w14:paraId="716428E7">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采 购 人：</w:t>
      </w:r>
      <w:r>
        <w:rPr>
          <w:rFonts w:hint="eastAsia" w:ascii="宋体" w:hAnsi="宋体" w:eastAsia="宋体" w:cs="宋体"/>
          <w:b/>
          <w:color w:val="auto"/>
          <w:spacing w:val="20"/>
          <w:kern w:val="0"/>
          <w:sz w:val="32"/>
          <w:szCs w:val="32"/>
          <w:highlight w:val="none"/>
          <w:u w:val="single"/>
          <w:lang w:val="en-US" w:eastAsia="zh-CN"/>
        </w:rPr>
        <w:t>滁州市园林景观管理中心</w:t>
      </w:r>
      <w:r>
        <w:rPr>
          <w:rFonts w:hint="eastAsia" w:ascii="宋体" w:hAnsi="宋体" w:eastAsia="宋体"/>
          <w:b/>
          <w:color w:val="auto"/>
          <w:spacing w:val="20"/>
          <w:kern w:val="0"/>
          <w:sz w:val="32"/>
          <w:szCs w:val="32"/>
          <w:highlight w:val="none"/>
          <w:u w:val="single"/>
          <w:lang w:val="en-US" w:eastAsia="zh-CN"/>
        </w:rPr>
        <w:t xml:space="preserve">  </w:t>
      </w:r>
    </w:p>
    <w:p w14:paraId="7E22BA37">
      <w:pPr>
        <w:tabs>
          <w:tab w:val="left" w:pos="2410"/>
        </w:tabs>
        <w:autoSpaceDE w:val="0"/>
        <w:autoSpaceDN w:val="0"/>
        <w:adjustRightInd w:val="0"/>
        <w:snapToGrid w:val="0"/>
        <w:spacing w:line="360" w:lineRule="auto"/>
        <w:ind w:firstLine="72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20"/>
          <w:kern w:val="0"/>
          <w:sz w:val="32"/>
          <w:szCs w:val="32"/>
          <w:highlight w:val="none"/>
        </w:rPr>
        <w:t>采购代理机构：</w:t>
      </w:r>
      <w:r>
        <w:rPr>
          <w:rFonts w:hint="eastAsia" w:ascii="宋体" w:hAnsi="宋体" w:eastAsia="宋体" w:cs="宋体"/>
          <w:b/>
          <w:color w:val="auto"/>
          <w:spacing w:val="20"/>
          <w:kern w:val="0"/>
          <w:sz w:val="32"/>
          <w:szCs w:val="32"/>
          <w:highlight w:val="none"/>
          <w:u w:val="single"/>
          <w:lang w:eastAsia="zh-CN"/>
        </w:rPr>
        <w:t>滁州市城投工程咨询管理有限公司</w:t>
      </w:r>
      <w:r>
        <w:rPr>
          <w:rFonts w:hint="eastAsia" w:ascii="宋体" w:hAnsi="宋体" w:eastAsia="宋体"/>
          <w:b/>
          <w:color w:val="auto"/>
          <w:spacing w:val="20"/>
          <w:kern w:val="0"/>
          <w:sz w:val="32"/>
          <w:szCs w:val="32"/>
          <w:highlight w:val="none"/>
          <w:u w:val="single"/>
          <w:lang w:val="en-US" w:eastAsia="zh-CN"/>
        </w:rPr>
        <w:t xml:space="preserve"> </w:t>
      </w:r>
    </w:p>
    <w:p w14:paraId="528EC12B">
      <w:pPr>
        <w:tabs>
          <w:tab w:val="left" w:pos="315"/>
          <w:tab w:val="left" w:pos="8820"/>
        </w:tabs>
        <w:spacing w:before="312" w:beforeLines="100" w:after="156" w:afterLines="50" w:line="500" w:lineRule="exact"/>
        <w:ind w:right="267" w:rightChars="127"/>
        <w:jc w:val="center"/>
        <w:rPr>
          <w:rFonts w:ascii="宋体" w:hAnsi="宋体" w:eastAsia="宋体"/>
          <w:b/>
          <w:bCs/>
          <w:color w:val="auto"/>
          <w:sz w:val="44"/>
          <w:szCs w:val="44"/>
          <w:highlight w:val="none"/>
        </w:rPr>
      </w:pPr>
    </w:p>
    <w:p w14:paraId="56BEC08B">
      <w:pPr>
        <w:tabs>
          <w:tab w:val="left" w:pos="2410"/>
        </w:tabs>
        <w:autoSpaceDE w:val="0"/>
        <w:autoSpaceDN w:val="0"/>
        <w:adjustRightInd w:val="0"/>
        <w:snapToGrid w:val="0"/>
        <w:spacing w:line="360" w:lineRule="auto"/>
        <w:jc w:val="center"/>
        <w:rPr>
          <w:rFonts w:ascii="宋体" w:hAnsi="宋体" w:eastAsia="宋体"/>
          <w:b/>
          <w:color w:val="auto"/>
          <w:sz w:val="36"/>
          <w:highlight w:val="none"/>
        </w:rPr>
      </w:pP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2026</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rPr>
        <w:t>年</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u w:val="single"/>
          <w:lang w:val="en-US" w:eastAsia="zh-CN"/>
        </w:rPr>
        <w:t>4</w:t>
      </w:r>
      <w:r>
        <w:rPr>
          <w:rFonts w:hint="eastAsia" w:ascii="宋体" w:hAnsi="宋体" w:eastAsia="宋体"/>
          <w:b/>
          <w:color w:val="auto"/>
          <w:sz w:val="36"/>
          <w:highlight w:val="none"/>
          <w:u w:val="single"/>
        </w:rPr>
        <w:t xml:space="preserve"> </w:t>
      </w:r>
      <w:r>
        <w:rPr>
          <w:rFonts w:hint="eastAsia" w:ascii="宋体" w:hAnsi="宋体" w:eastAsia="宋体"/>
          <w:b/>
          <w:color w:val="auto"/>
          <w:sz w:val="36"/>
          <w:highlight w:val="none"/>
        </w:rPr>
        <w:t>月</w:t>
      </w:r>
      <w:r>
        <w:rPr>
          <w:rFonts w:ascii="宋体" w:hAnsi="宋体" w:eastAsia="宋体"/>
          <w:b/>
          <w:color w:val="auto"/>
          <w:sz w:val="36"/>
          <w:highlight w:val="none"/>
        </w:rPr>
        <w:br w:type="page"/>
      </w:r>
    </w:p>
    <w:p w14:paraId="45ADF1E7">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767AAE4C">
      <w:pPr>
        <w:pStyle w:val="17"/>
        <w:tabs>
          <w:tab w:val="right" w:leader="dot" w:pos="8306"/>
        </w:tabs>
        <w:rPr>
          <w:color w:val="auto"/>
          <w:highlight w:val="none"/>
        </w:rPr>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_Toc32331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 xml:space="preserve">第一章 </w:t>
      </w:r>
      <w:r>
        <w:rPr>
          <w:rFonts w:asciiTheme="minorEastAsia" w:hAnsiTheme="minorEastAsia" w:eastAsiaTheme="minorEastAsia"/>
          <w:color w:val="auto"/>
          <w:highlight w:val="none"/>
        </w:rPr>
        <w:t xml:space="preserve"> 投标邀请</w:t>
      </w:r>
      <w:r>
        <w:rPr>
          <w:color w:val="auto"/>
          <w:highlight w:val="none"/>
        </w:rPr>
        <w:tab/>
      </w:r>
      <w:r>
        <w:rPr>
          <w:color w:val="auto"/>
          <w:highlight w:val="none"/>
        </w:rPr>
        <w:fldChar w:fldCharType="begin"/>
      </w:r>
      <w:r>
        <w:rPr>
          <w:color w:val="auto"/>
          <w:highlight w:val="none"/>
        </w:rPr>
        <w:instrText xml:space="preserve"> PAGEREF _Toc32331 \h </w:instrText>
      </w:r>
      <w:r>
        <w:rPr>
          <w:color w:val="auto"/>
          <w:highlight w:val="none"/>
        </w:rPr>
        <w:fldChar w:fldCharType="separate"/>
      </w:r>
      <w:r>
        <w:rPr>
          <w:color w:val="auto"/>
          <w:highlight w:val="none"/>
        </w:rPr>
        <w:t>1</w:t>
      </w:r>
      <w:r>
        <w:rPr>
          <w:color w:val="auto"/>
          <w:highlight w:val="none"/>
        </w:rPr>
        <w:fldChar w:fldCharType="end"/>
      </w:r>
      <w:r>
        <w:rPr>
          <w:rFonts w:asciiTheme="minorEastAsia" w:hAnsiTheme="minorEastAsia" w:eastAsiaTheme="minorEastAsia"/>
          <w:color w:val="auto"/>
          <w:szCs w:val="24"/>
          <w:highlight w:val="none"/>
        </w:rPr>
        <w:fldChar w:fldCharType="end"/>
      </w:r>
    </w:p>
    <w:p w14:paraId="17220D1B">
      <w:pPr>
        <w:pStyle w:val="17"/>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_Toc8888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第二章</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_Toc8888 \h </w:instrText>
      </w:r>
      <w:r>
        <w:rPr>
          <w:color w:val="auto"/>
          <w:highlight w:val="none"/>
        </w:rPr>
        <w:fldChar w:fldCharType="separate"/>
      </w:r>
      <w:r>
        <w:rPr>
          <w:color w:val="auto"/>
          <w:highlight w:val="none"/>
        </w:rPr>
        <w:t>3</w:t>
      </w:r>
      <w:r>
        <w:rPr>
          <w:color w:val="auto"/>
          <w:highlight w:val="none"/>
        </w:rPr>
        <w:fldChar w:fldCharType="end"/>
      </w:r>
      <w:r>
        <w:rPr>
          <w:rFonts w:asciiTheme="minorEastAsia" w:hAnsiTheme="minorEastAsia" w:eastAsiaTheme="minorEastAsia"/>
          <w:color w:val="auto"/>
          <w:szCs w:val="24"/>
          <w:highlight w:val="none"/>
        </w:rPr>
        <w:fldChar w:fldCharType="end"/>
      </w:r>
    </w:p>
    <w:p w14:paraId="00BDD068">
      <w:pPr>
        <w:pStyle w:val="17"/>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_Toc22605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lang w:eastAsia="zh-CN"/>
        </w:rPr>
        <w:t xml:space="preserve">第三章 </w:t>
      </w:r>
      <w:r>
        <w:rPr>
          <w:rFonts w:hint="eastAsia" w:asciiTheme="minorEastAsia" w:hAnsiTheme="minorEastAsia"/>
          <w:color w:val="auto"/>
          <w:highlight w:val="none"/>
          <w:lang w:val="en-US" w:eastAsia="zh-CN"/>
        </w:rPr>
        <w:t xml:space="preserve"> </w:t>
      </w:r>
      <w:r>
        <w:rPr>
          <w:rFonts w:hint="eastAsia" w:asciiTheme="minorEastAsia" w:hAnsiTheme="minorEastAsia" w:eastAsiaTheme="minor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_Toc22605 \h </w:instrText>
      </w:r>
      <w:r>
        <w:rPr>
          <w:color w:val="auto"/>
          <w:highlight w:val="none"/>
        </w:rPr>
        <w:fldChar w:fldCharType="separate"/>
      </w:r>
      <w:r>
        <w:rPr>
          <w:color w:val="auto"/>
          <w:highlight w:val="none"/>
        </w:rPr>
        <w:t>17</w:t>
      </w:r>
      <w:r>
        <w:rPr>
          <w:color w:val="auto"/>
          <w:highlight w:val="none"/>
        </w:rPr>
        <w:fldChar w:fldCharType="end"/>
      </w:r>
      <w:r>
        <w:rPr>
          <w:rFonts w:asciiTheme="minorEastAsia" w:hAnsiTheme="minorEastAsia" w:eastAsiaTheme="minorEastAsia"/>
          <w:color w:val="auto"/>
          <w:szCs w:val="24"/>
          <w:highlight w:val="none"/>
        </w:rPr>
        <w:fldChar w:fldCharType="end"/>
      </w:r>
    </w:p>
    <w:p w14:paraId="714F2A27">
      <w:pPr>
        <w:pStyle w:val="17"/>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_Toc30824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第四章  评标方法和标准（综合评分法）</w:t>
      </w:r>
      <w:r>
        <w:rPr>
          <w:color w:val="auto"/>
          <w:highlight w:val="none"/>
        </w:rPr>
        <w:tab/>
      </w:r>
      <w:r>
        <w:rPr>
          <w:color w:val="auto"/>
          <w:highlight w:val="none"/>
        </w:rPr>
        <w:fldChar w:fldCharType="begin"/>
      </w:r>
      <w:r>
        <w:rPr>
          <w:color w:val="auto"/>
          <w:highlight w:val="none"/>
        </w:rPr>
        <w:instrText xml:space="preserve"> PAGEREF _Toc30824 \h </w:instrText>
      </w:r>
      <w:r>
        <w:rPr>
          <w:color w:val="auto"/>
          <w:highlight w:val="none"/>
        </w:rPr>
        <w:fldChar w:fldCharType="separate"/>
      </w:r>
      <w:r>
        <w:rPr>
          <w:color w:val="auto"/>
          <w:highlight w:val="none"/>
        </w:rPr>
        <w:t>22</w:t>
      </w:r>
      <w:r>
        <w:rPr>
          <w:color w:val="auto"/>
          <w:highlight w:val="none"/>
        </w:rPr>
        <w:fldChar w:fldCharType="end"/>
      </w:r>
      <w:r>
        <w:rPr>
          <w:rFonts w:asciiTheme="minorEastAsia" w:hAnsiTheme="minorEastAsia" w:eastAsiaTheme="minorEastAsia"/>
          <w:color w:val="auto"/>
          <w:szCs w:val="24"/>
          <w:highlight w:val="none"/>
        </w:rPr>
        <w:fldChar w:fldCharType="end"/>
      </w:r>
    </w:p>
    <w:p w14:paraId="66B74C3F">
      <w:pPr>
        <w:pStyle w:val="17"/>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_Toc20405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 xml:space="preserve">第五章  </w:t>
      </w:r>
      <w:r>
        <w:rPr>
          <w:rFonts w:asciiTheme="minorEastAsia" w:hAnsiTheme="minorEastAsia" w:eastAsiaTheme="minorEastAsia"/>
          <w:color w:val="auto"/>
          <w:highlight w:val="none"/>
        </w:rPr>
        <w:t>政府采购合同</w:t>
      </w:r>
      <w:r>
        <w:rPr>
          <w:color w:val="auto"/>
          <w:highlight w:val="none"/>
        </w:rPr>
        <w:tab/>
      </w:r>
      <w:r>
        <w:rPr>
          <w:color w:val="auto"/>
          <w:highlight w:val="none"/>
        </w:rPr>
        <w:fldChar w:fldCharType="begin"/>
      </w:r>
      <w:r>
        <w:rPr>
          <w:color w:val="auto"/>
          <w:highlight w:val="none"/>
        </w:rPr>
        <w:instrText xml:space="preserve"> PAGEREF _Toc20405 \h </w:instrText>
      </w:r>
      <w:r>
        <w:rPr>
          <w:color w:val="auto"/>
          <w:highlight w:val="none"/>
        </w:rPr>
        <w:fldChar w:fldCharType="separate"/>
      </w:r>
      <w:r>
        <w:rPr>
          <w:color w:val="auto"/>
          <w:highlight w:val="none"/>
        </w:rPr>
        <w:t>26</w:t>
      </w:r>
      <w:r>
        <w:rPr>
          <w:color w:val="auto"/>
          <w:highlight w:val="none"/>
        </w:rPr>
        <w:fldChar w:fldCharType="end"/>
      </w:r>
      <w:r>
        <w:rPr>
          <w:rFonts w:asciiTheme="minorEastAsia" w:hAnsiTheme="minorEastAsia" w:eastAsiaTheme="minorEastAsia"/>
          <w:color w:val="auto"/>
          <w:szCs w:val="24"/>
          <w:highlight w:val="none"/>
        </w:rPr>
        <w:fldChar w:fldCharType="end"/>
      </w:r>
    </w:p>
    <w:p w14:paraId="675A88DC">
      <w:pPr>
        <w:pStyle w:val="17"/>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_Toc13555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_Toc13555 \h </w:instrText>
      </w:r>
      <w:r>
        <w:rPr>
          <w:color w:val="auto"/>
          <w:highlight w:val="none"/>
        </w:rPr>
        <w:fldChar w:fldCharType="separate"/>
      </w:r>
      <w:r>
        <w:rPr>
          <w:color w:val="auto"/>
          <w:highlight w:val="none"/>
        </w:rPr>
        <w:t>35</w:t>
      </w:r>
      <w:r>
        <w:rPr>
          <w:color w:val="auto"/>
          <w:highlight w:val="none"/>
        </w:rPr>
        <w:fldChar w:fldCharType="end"/>
      </w:r>
      <w:r>
        <w:rPr>
          <w:rFonts w:asciiTheme="minorEastAsia" w:hAnsiTheme="minorEastAsia" w:eastAsiaTheme="minorEastAsia"/>
          <w:color w:val="auto"/>
          <w:szCs w:val="24"/>
          <w:highlight w:val="none"/>
        </w:rPr>
        <w:fldChar w:fldCharType="end"/>
      </w:r>
    </w:p>
    <w:p w14:paraId="7F099B56">
      <w:pPr>
        <w:pStyle w:val="17"/>
        <w:tabs>
          <w:tab w:val="right" w:leader="dot" w:pos="8306"/>
        </w:tabs>
        <w:rPr>
          <w:color w:val="auto"/>
          <w:highlight w:val="none"/>
        </w:rPr>
      </w:pPr>
      <w:r>
        <w:rPr>
          <w:rFonts w:asciiTheme="minorEastAsia" w:hAnsiTheme="minorEastAsia" w:eastAsiaTheme="minorEastAsia"/>
          <w:color w:val="auto"/>
          <w:szCs w:val="24"/>
          <w:highlight w:val="none"/>
        </w:rPr>
        <w:fldChar w:fldCharType="begin"/>
      </w:r>
      <w:r>
        <w:rPr>
          <w:rFonts w:asciiTheme="minorEastAsia" w:hAnsiTheme="minorEastAsia" w:eastAsiaTheme="minorEastAsia"/>
          <w:color w:val="auto"/>
          <w:szCs w:val="24"/>
          <w:highlight w:val="none"/>
        </w:rPr>
        <w:instrText xml:space="preserve"> HYPERLINK \l _Toc20819 </w:instrText>
      </w:r>
      <w:r>
        <w:rPr>
          <w:rFonts w:asciiTheme="minorEastAsia" w:hAnsiTheme="minorEastAsia" w:eastAsiaTheme="minorEastAsia"/>
          <w:color w:val="auto"/>
          <w:szCs w:val="24"/>
          <w:highlight w:val="none"/>
        </w:rPr>
        <w:fldChar w:fldCharType="separate"/>
      </w:r>
      <w:r>
        <w:rPr>
          <w:rFonts w:hint="eastAsia" w:asciiTheme="minorEastAsia" w:hAnsiTheme="minorEastAsia" w:eastAsiaTheme="minorEastAsia"/>
          <w:color w:val="auto"/>
          <w:highlight w:val="none"/>
        </w:rPr>
        <w:t>第</w:t>
      </w:r>
      <w:r>
        <w:rPr>
          <w:rFonts w:hint="eastAsia" w:asciiTheme="minorEastAsia" w:hAnsiTheme="minorEastAsia" w:eastAsiaTheme="minorEastAsia"/>
          <w:color w:val="auto"/>
          <w:highlight w:val="none"/>
          <w:lang w:val="en-US" w:eastAsia="zh-CN"/>
        </w:rPr>
        <w:t>七</w:t>
      </w:r>
      <w:r>
        <w:rPr>
          <w:rFonts w:hint="eastAsia" w:asciiTheme="minorEastAsia" w:hAnsiTheme="minorEastAsia" w:eastAsiaTheme="minorEastAsia"/>
          <w:color w:val="auto"/>
          <w:highlight w:val="none"/>
        </w:rPr>
        <w:t>章</w:t>
      </w:r>
      <w:r>
        <w:rPr>
          <w:rFonts w:hint="eastAsia" w:ascii="宋体" w:hAnsi="宋体" w:eastAsia="宋体"/>
          <w:bCs/>
          <w:color w:val="auto"/>
          <w:highlight w:val="none"/>
        </w:rPr>
        <w:t xml:space="preserve">  政府采购</w:t>
      </w:r>
      <w:r>
        <w:rPr>
          <w:rFonts w:hint="eastAsia" w:asciiTheme="minorEastAsia" w:hAnsiTheme="minorEastAsia" w:eastAsiaTheme="minorEastAsia"/>
          <w:color w:val="auto"/>
          <w:highlight w:val="none"/>
        </w:rPr>
        <w:t>供应</w:t>
      </w:r>
      <w:r>
        <w:rPr>
          <w:rFonts w:hint="eastAsia" w:ascii="宋体" w:hAnsi="宋体" w:eastAsia="宋体"/>
          <w:bCs/>
          <w:color w:val="auto"/>
          <w:highlight w:val="none"/>
        </w:rPr>
        <w:t>商询问函和质疑函范本</w:t>
      </w:r>
      <w:r>
        <w:rPr>
          <w:color w:val="auto"/>
          <w:highlight w:val="none"/>
        </w:rPr>
        <w:tab/>
      </w:r>
      <w:r>
        <w:rPr>
          <w:color w:val="auto"/>
          <w:highlight w:val="none"/>
        </w:rPr>
        <w:fldChar w:fldCharType="begin"/>
      </w:r>
      <w:r>
        <w:rPr>
          <w:color w:val="auto"/>
          <w:highlight w:val="none"/>
        </w:rPr>
        <w:instrText xml:space="preserve"> PAGEREF _Toc20819 \h </w:instrText>
      </w:r>
      <w:r>
        <w:rPr>
          <w:color w:val="auto"/>
          <w:highlight w:val="none"/>
        </w:rPr>
        <w:fldChar w:fldCharType="separate"/>
      </w:r>
      <w:r>
        <w:rPr>
          <w:color w:val="auto"/>
          <w:highlight w:val="none"/>
        </w:rPr>
        <w:t>51</w:t>
      </w:r>
      <w:r>
        <w:rPr>
          <w:color w:val="auto"/>
          <w:highlight w:val="none"/>
        </w:rPr>
        <w:fldChar w:fldCharType="end"/>
      </w:r>
      <w:r>
        <w:rPr>
          <w:rFonts w:asciiTheme="minorEastAsia" w:hAnsiTheme="minorEastAsia" w:eastAsiaTheme="minorEastAsia"/>
          <w:color w:val="auto"/>
          <w:szCs w:val="24"/>
          <w:highlight w:val="none"/>
        </w:rPr>
        <w:fldChar w:fldCharType="end"/>
      </w:r>
    </w:p>
    <w:p w14:paraId="30989348">
      <w:pPr>
        <w:spacing w:line="360" w:lineRule="auto"/>
        <w:rPr>
          <w:rFonts w:asciiTheme="minorEastAsia" w:hAnsiTheme="minorEastAsia" w:eastAsiaTheme="minorEastAsia"/>
          <w:b/>
          <w:color w:val="auto"/>
          <w:sz w:val="32"/>
          <w:highlight w:val="none"/>
        </w:rPr>
      </w:pPr>
      <w:r>
        <w:rPr>
          <w:rFonts w:asciiTheme="minorEastAsia" w:hAnsiTheme="minorEastAsia" w:eastAsiaTheme="minorEastAsia"/>
          <w:color w:val="auto"/>
          <w:szCs w:val="24"/>
          <w:highlight w:val="none"/>
        </w:rPr>
        <w:fldChar w:fldCharType="end"/>
      </w:r>
    </w:p>
    <w:p w14:paraId="30563B08">
      <w:pPr>
        <w:spacing w:line="360" w:lineRule="auto"/>
        <w:jc w:val="center"/>
        <w:outlineLvl w:val="1"/>
        <w:rPr>
          <w:rFonts w:asciiTheme="minorEastAsia" w:hAnsiTheme="minorEastAsia" w:eastAsiaTheme="minorEastAsia"/>
          <w:b/>
          <w:color w:val="auto"/>
          <w:sz w:val="28"/>
          <w:highlight w:val="none"/>
        </w:rPr>
        <w:sectPr>
          <w:headerReference r:id="rId3" w:type="default"/>
          <w:footerReference r:id="rId4" w:type="default"/>
          <w:pgSz w:w="11906" w:h="16838"/>
          <w:pgMar w:top="1440" w:right="1486" w:bottom="1440" w:left="1800" w:header="851" w:footer="992" w:gutter="0"/>
          <w:cols w:space="425" w:num="1"/>
          <w:docGrid w:type="lines" w:linePitch="312" w:charSpace="0"/>
        </w:sectPr>
      </w:pPr>
    </w:p>
    <w:p w14:paraId="1D8F8FCB">
      <w:pPr>
        <w:spacing w:line="360" w:lineRule="auto"/>
        <w:jc w:val="center"/>
        <w:outlineLvl w:val="0"/>
        <w:rPr>
          <w:rFonts w:asciiTheme="minorEastAsia" w:hAnsiTheme="minorEastAsia" w:eastAsiaTheme="minorEastAsia"/>
          <w:b/>
          <w:color w:val="auto"/>
          <w:sz w:val="28"/>
          <w:highlight w:val="none"/>
        </w:rPr>
      </w:pPr>
      <w:bookmarkStart w:id="1" w:name="_Toc32331"/>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投标邀请</w:t>
      </w:r>
      <w:bookmarkEnd w:id="1"/>
    </w:p>
    <w:p w14:paraId="50B96C00">
      <w:pPr>
        <w:keepNext/>
        <w:keepLines/>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bookmarkStart w:id="2" w:name="_Hlk24379207"/>
      <w:bookmarkStart w:id="3" w:name="_Toc1215"/>
      <w:r>
        <w:rPr>
          <w:rFonts w:hint="eastAsia" w:ascii="宋体" w:hAnsi="宋体" w:eastAsia="宋体" w:cs="宋体"/>
          <w:color w:val="auto"/>
          <w:sz w:val="28"/>
          <w:szCs w:val="28"/>
          <w:highlight w:val="none"/>
        </w:rPr>
        <w:t>项目概况</w:t>
      </w:r>
    </w:p>
    <w:p w14:paraId="55EF0F6D">
      <w:pPr>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lang w:val="en-US" w:eastAsia="zh-CN"/>
        </w:rPr>
        <w:t>2026年度景观花卉项目</w:t>
      </w:r>
      <w:r>
        <w:rPr>
          <w:rFonts w:hint="eastAsia" w:ascii="宋体" w:hAnsi="宋体" w:eastAsia="宋体" w:cs="宋体"/>
          <w:color w:val="auto"/>
          <w:sz w:val="28"/>
          <w:szCs w:val="28"/>
          <w:highlight w:val="none"/>
        </w:rPr>
        <w:t>的潜在投标人应在</w:t>
      </w:r>
      <w:r>
        <w:rPr>
          <w:rFonts w:hint="eastAsia" w:ascii="宋体" w:hAnsi="宋体" w:eastAsia="宋体" w:cs="宋体"/>
          <w:color w:val="auto"/>
          <w:sz w:val="28"/>
          <w:szCs w:val="28"/>
          <w:highlight w:val="none"/>
          <w:u w:val="single"/>
        </w:rPr>
        <w:t>滁州市公共资源交易中心网（http：//ggzy.chuzhou.gov.cn/）</w:t>
      </w:r>
      <w:r>
        <w:rPr>
          <w:rFonts w:hint="eastAsia" w:ascii="宋体" w:hAnsi="宋体" w:eastAsia="宋体" w:cs="宋体"/>
          <w:color w:val="auto"/>
          <w:sz w:val="28"/>
          <w:szCs w:val="28"/>
          <w:highlight w:val="none"/>
        </w:rPr>
        <w:t>获取招标文件，并于</w:t>
      </w:r>
      <w:r>
        <w:rPr>
          <w:rFonts w:hint="eastAsia" w:ascii="宋体" w:hAnsi="宋体" w:eastAsia="宋体" w:cs="宋体"/>
          <w:color w:val="auto"/>
          <w:sz w:val="28"/>
          <w:szCs w:val="28"/>
          <w:highlight w:val="none"/>
          <w:u w:val="single"/>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u w:val="single"/>
        </w:rPr>
        <w:t>年</w:t>
      </w:r>
      <w:r>
        <w:rPr>
          <w:rFonts w:hint="eastAsia" w:ascii="宋体" w:hAnsi="宋体" w:eastAsia="宋体" w:cs="宋体"/>
          <w:color w:val="auto"/>
          <w:sz w:val="28"/>
          <w:szCs w:val="28"/>
          <w:highlight w:val="none"/>
          <w:u w:val="single"/>
          <w:lang w:val="en-US" w:eastAsia="zh-CN"/>
        </w:rPr>
        <w:t>04月30日08点30分</w:t>
      </w:r>
      <w:r>
        <w:rPr>
          <w:rFonts w:hint="eastAsia" w:ascii="宋体" w:hAnsi="宋体" w:eastAsia="宋体" w:cs="宋体"/>
          <w:color w:val="auto"/>
          <w:sz w:val="28"/>
          <w:szCs w:val="28"/>
          <w:highlight w:val="none"/>
        </w:rPr>
        <w:t>（北京时间）前递交投标文件。</w:t>
      </w:r>
    </w:p>
    <w:bookmarkEnd w:id="2"/>
    <w:p w14:paraId="41D545D9">
      <w:pPr>
        <w:keepNext/>
        <w:keepLines/>
        <w:pageBreakBefore w:val="0"/>
        <w:widowControl w:val="0"/>
        <w:kinsoku/>
        <w:overflowPunct/>
        <w:topLinePunct w:val="0"/>
        <w:autoSpaceDE/>
        <w:autoSpaceDN/>
        <w:bidi w:val="0"/>
        <w:adjustRightInd/>
        <w:snapToGrid/>
        <w:spacing w:before="260" w:after="260"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一、项目基本情况</w:t>
      </w:r>
    </w:p>
    <w:p w14:paraId="31DBF7F7">
      <w:pPr>
        <w:pageBreakBefore w:val="0"/>
        <w:widowControl w:val="0"/>
        <w:kinsoku/>
        <w:overflowPunct/>
        <w:topLinePunct w:val="0"/>
        <w:autoSpaceDE/>
        <w:autoSpaceDN/>
        <w:bidi w:val="0"/>
        <w:adjustRightInd/>
        <w:snapToGrid/>
        <w:spacing w:line="360" w:lineRule="auto"/>
        <w:ind w:right="-420" w:rightChars="-200" w:firstLine="560" w:firstLineChars="200"/>
        <w:jc w:val="left"/>
        <w:textAlignment w:val="auto"/>
        <w:rPr>
          <w:rFonts w:hint="eastAsia" w:ascii="宋体" w:hAnsi="宋体" w:eastAsia="宋体" w:cs="宋体"/>
          <w:color w:val="auto"/>
          <w:sz w:val="28"/>
          <w:szCs w:val="28"/>
          <w:highlight w:val="none"/>
          <w:lang w:val="en-US" w:eastAsia="zh-CN"/>
        </w:rPr>
      </w:pPr>
      <w:bookmarkStart w:id="4" w:name="_Toc35393791"/>
      <w:bookmarkEnd w:id="4"/>
      <w:bookmarkStart w:id="5" w:name="_Toc35393622"/>
      <w:bookmarkEnd w:id="5"/>
      <w:bookmarkStart w:id="6" w:name="_Toc28359003"/>
      <w:bookmarkEnd w:id="6"/>
      <w:bookmarkStart w:id="7" w:name="_Toc58430306"/>
      <w:bookmarkEnd w:id="7"/>
      <w:bookmarkStart w:id="8" w:name="_Toc28359080"/>
      <w:r>
        <w:rPr>
          <w:rFonts w:hint="eastAsia" w:ascii="宋体" w:hAnsi="宋体" w:eastAsia="宋体" w:cs="宋体"/>
          <w:color w:val="auto"/>
          <w:sz w:val="28"/>
          <w:szCs w:val="28"/>
          <w:highlight w:val="none"/>
        </w:rPr>
        <w:t>项目编号：</w:t>
      </w:r>
      <w:r>
        <w:rPr>
          <w:rFonts w:hint="default" w:ascii="宋体" w:hAnsi="宋体" w:eastAsia="宋体" w:cs="宋体"/>
          <w:color w:val="auto"/>
          <w:sz w:val="28"/>
          <w:szCs w:val="28"/>
          <w:highlight w:val="none"/>
          <w:lang w:val="en-US" w:eastAsia="zh-CN"/>
        </w:rPr>
        <w:t>czsjcg202604-006</w:t>
      </w:r>
      <w:r>
        <w:rPr>
          <w:rFonts w:hint="eastAsia" w:ascii="宋体" w:hAnsi="宋体" w:eastAsia="宋体" w:cs="宋体"/>
          <w:color w:val="auto"/>
          <w:sz w:val="28"/>
          <w:szCs w:val="28"/>
          <w:highlight w:val="none"/>
          <w:lang w:eastAsia="zh-CN"/>
        </w:rPr>
        <w:t xml:space="preserve"> </w:t>
      </w:r>
    </w:p>
    <w:p w14:paraId="291168B1">
      <w:pPr>
        <w:pageBreakBefore w:val="0"/>
        <w:widowControl w:val="0"/>
        <w:kinsoku/>
        <w:overflowPunct/>
        <w:topLinePunct w:val="0"/>
        <w:autoSpaceDE/>
        <w:autoSpaceDN/>
        <w:bidi w:val="0"/>
        <w:adjustRightInd/>
        <w:snapToGrid/>
        <w:spacing w:line="360" w:lineRule="auto"/>
        <w:ind w:right="-420" w:rightChars="-200" w:firstLine="560" w:firstLineChars="200"/>
        <w:jc w:val="left"/>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项目名称：</w:t>
      </w:r>
      <w:r>
        <w:rPr>
          <w:rFonts w:hint="eastAsia" w:ascii="宋体" w:hAnsi="宋体" w:eastAsia="宋体" w:cs="宋体"/>
          <w:color w:val="auto"/>
          <w:sz w:val="28"/>
          <w:szCs w:val="28"/>
          <w:highlight w:val="none"/>
          <w:lang w:eastAsia="zh-CN"/>
        </w:rPr>
        <w:t>2026年度景观花卉项目</w:t>
      </w:r>
    </w:p>
    <w:p w14:paraId="45B28E5F">
      <w:pPr>
        <w:pageBreakBefore w:val="0"/>
        <w:widowControl w:val="0"/>
        <w:kinsoku/>
        <w:overflowPunct/>
        <w:topLinePunct w:val="0"/>
        <w:autoSpaceDE/>
        <w:autoSpaceDN/>
        <w:bidi w:val="0"/>
        <w:adjustRightInd/>
        <w:snapToGrid/>
        <w:spacing w:line="360" w:lineRule="auto"/>
        <w:ind w:right="-420" w:rightChars="-200"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预算</w:t>
      </w:r>
      <w:r>
        <w:rPr>
          <w:rFonts w:hint="eastAsia" w:ascii="宋体" w:hAnsi="宋体" w:eastAsia="宋体" w:cs="宋体"/>
          <w:color w:val="auto"/>
          <w:sz w:val="28"/>
          <w:szCs w:val="28"/>
          <w:highlight w:val="none"/>
          <w:lang w:val="en-US" w:eastAsia="zh-CN"/>
        </w:rPr>
        <w:t>金额：270万元</w:t>
      </w:r>
    </w:p>
    <w:p w14:paraId="539A53D7">
      <w:pPr>
        <w:pageBreakBefore w:val="0"/>
        <w:widowControl w:val="0"/>
        <w:kinsoku/>
        <w:overflowPunct/>
        <w:topLinePunct w:val="0"/>
        <w:autoSpaceDE/>
        <w:autoSpaceDN/>
        <w:bidi w:val="0"/>
        <w:adjustRightInd/>
        <w:snapToGrid/>
        <w:spacing w:line="360" w:lineRule="auto"/>
        <w:ind w:right="-420" w:rightChars="-200"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最高限价：270万元，</w:t>
      </w:r>
      <w:r>
        <w:rPr>
          <w:rFonts w:hint="eastAsia" w:ascii="宋体" w:hAnsi="宋体" w:eastAsia="宋体" w:cs="宋体"/>
          <w:color w:val="auto"/>
          <w:sz w:val="28"/>
          <w:szCs w:val="28"/>
          <w:highlight w:val="none"/>
        </w:rPr>
        <w:t>投标报价采用百分比报价，投标人投标报价</w:t>
      </w:r>
      <w:r>
        <w:rPr>
          <w:rFonts w:hint="eastAsia" w:ascii="宋体" w:hAnsi="宋体" w:eastAsia="宋体" w:cs="宋体"/>
          <w:color w:val="auto"/>
          <w:sz w:val="28"/>
          <w:szCs w:val="28"/>
          <w:highlight w:val="none"/>
          <w:lang w:val="en-US" w:eastAsia="zh-CN"/>
        </w:rPr>
        <w:t>不得高于100%。</w:t>
      </w:r>
    </w:p>
    <w:p w14:paraId="056E5C66">
      <w:pPr>
        <w:pageBreakBefore w:val="0"/>
        <w:widowControl w:val="0"/>
        <w:kinsoku/>
        <w:overflowPunct/>
        <w:topLinePunct w:val="0"/>
        <w:autoSpaceDE/>
        <w:autoSpaceDN/>
        <w:bidi w:val="0"/>
        <w:adjustRightInd/>
        <w:snapToGrid/>
        <w:spacing w:line="360" w:lineRule="auto"/>
        <w:ind w:right="-420" w:rightChars="-200"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采购需求：2026年度景观花卉项目，详见采购需求。</w:t>
      </w:r>
    </w:p>
    <w:p w14:paraId="2374CD64">
      <w:pPr>
        <w:pageBreakBefore w:val="0"/>
        <w:widowControl w:val="0"/>
        <w:kinsoku/>
        <w:overflowPunct/>
        <w:topLinePunct w:val="0"/>
        <w:autoSpaceDE/>
        <w:autoSpaceDN/>
        <w:bidi w:val="0"/>
        <w:adjustRightInd/>
        <w:snapToGrid/>
        <w:spacing w:line="360" w:lineRule="auto"/>
        <w:ind w:right="-420" w:rightChars="-200"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合同履行期限:自合同签订之日起一年，若270万元款项所对应的实际工期少于一年，则以该实际工期为准。</w:t>
      </w:r>
    </w:p>
    <w:p w14:paraId="3901A1E0">
      <w:pPr>
        <w:pageBreakBefore w:val="0"/>
        <w:widowControl w:val="0"/>
        <w:kinsoku/>
        <w:overflowPunct/>
        <w:topLinePunct w:val="0"/>
        <w:autoSpaceDE/>
        <w:autoSpaceDN/>
        <w:bidi w:val="0"/>
        <w:adjustRightInd/>
        <w:snapToGrid/>
        <w:spacing w:line="360" w:lineRule="auto"/>
        <w:ind w:firstLine="560" w:firstLineChars="200"/>
        <w:jc w:val="left"/>
        <w:textAlignment w:val="auto"/>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本项目不接受联合体投标。</w:t>
      </w:r>
    </w:p>
    <w:bookmarkEnd w:id="8"/>
    <w:p w14:paraId="032A9E8A">
      <w:pPr>
        <w:keepNext/>
        <w:keepLines/>
        <w:pageBreakBefore w:val="0"/>
        <w:widowControl w:val="0"/>
        <w:kinsoku/>
        <w:overflowPunct/>
        <w:topLinePunct w:val="0"/>
        <w:autoSpaceDE/>
        <w:autoSpaceDN/>
        <w:bidi w:val="0"/>
        <w:adjustRightInd/>
        <w:snapToGrid/>
        <w:spacing w:before="260" w:after="260"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二、申请人的资格要求</w:t>
      </w:r>
    </w:p>
    <w:p w14:paraId="16B771C1">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bookmarkStart w:id="9" w:name="_Toc35393792"/>
      <w:bookmarkEnd w:id="9"/>
      <w:bookmarkStart w:id="10" w:name="_Toc35393623"/>
      <w:bookmarkEnd w:id="10"/>
      <w:bookmarkStart w:id="11" w:name="_Toc58430307"/>
      <w:r>
        <w:rPr>
          <w:rFonts w:hint="eastAsia" w:ascii="宋体" w:hAnsi="宋体" w:eastAsia="宋体" w:cs="宋体"/>
          <w:color w:val="auto"/>
          <w:sz w:val="28"/>
          <w:szCs w:val="28"/>
          <w:highlight w:val="none"/>
          <w:lang w:val="en-US" w:eastAsia="zh-CN"/>
        </w:rPr>
        <w:t>1.满足《中华人民共和国政府采购法》第二十二条规定；</w:t>
      </w:r>
    </w:p>
    <w:p w14:paraId="50AD2FC0">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落实政府采购政策需满足的资格要求：按照财政部、工业和信息化部制定的《政府采购促进中小企业发展管理办法》，本项目为专门面向中小企业采购项目。企业划型标准按照《关于印发中小企业划型标准规定的通知》（工信部联企业〔2011〕300号）规定执行。</w:t>
      </w:r>
    </w:p>
    <w:p w14:paraId="76F1788E">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0000FF"/>
          <w:sz w:val="28"/>
          <w:szCs w:val="28"/>
          <w:highlight w:val="none"/>
          <w:lang w:val="en-US" w:eastAsia="zh-CN"/>
        </w:rPr>
      </w:pPr>
      <w:r>
        <w:rPr>
          <w:rFonts w:hint="eastAsia" w:ascii="宋体" w:hAnsi="宋体" w:eastAsia="宋体" w:cs="宋体"/>
          <w:color w:val="auto"/>
          <w:sz w:val="28"/>
          <w:szCs w:val="28"/>
          <w:highlight w:val="none"/>
          <w:lang w:val="en-US" w:eastAsia="zh-CN"/>
        </w:rPr>
        <w:t>3.本项目的特定资格要求：供应商拟委任项目负责人须具备园林绿化相关专业中级（或以上）职称或注册在供应商的市政公用工程专业二级（或以上）注册建造师资格。</w:t>
      </w:r>
    </w:p>
    <w:p w14:paraId="044A5CF8">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4.信誉要求：投标人不得存在以下情形：</w:t>
      </w:r>
    </w:p>
    <w:p w14:paraId="179245ED">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①被列入“信用中国”网站“失信被执行人”的；</w:t>
      </w:r>
    </w:p>
    <w:p w14:paraId="35100A15">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②被列入“信用中国”网站“重大税收违法失信主体”的；</w:t>
      </w:r>
    </w:p>
    <w:p w14:paraId="5DF118E6">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③被列入“信用中国”网站“严重失信主体名单”的；</w:t>
      </w:r>
    </w:p>
    <w:p w14:paraId="18EBE653">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④在</w:t>
      </w:r>
      <w:bookmarkStart w:id="12" w:name="OLE_LINK128"/>
      <w:bookmarkStart w:id="13" w:name="OLE_LINK129"/>
      <w:bookmarkStart w:id="14" w:name="OLE_LINK127"/>
      <w:r>
        <w:rPr>
          <w:rFonts w:hint="eastAsia" w:ascii="宋体" w:hAnsi="宋体" w:eastAsia="宋体" w:cs="宋体"/>
          <w:color w:val="auto"/>
          <w:sz w:val="28"/>
          <w:szCs w:val="28"/>
          <w:highlight w:val="none"/>
          <w:lang w:val="en-US" w:eastAsia="zh-CN"/>
        </w:rPr>
        <w:t>“信用中国”网站</w:t>
      </w:r>
      <w:bookmarkEnd w:id="12"/>
      <w:bookmarkEnd w:id="13"/>
      <w:bookmarkEnd w:id="14"/>
      <w:r>
        <w:rPr>
          <w:rFonts w:hint="eastAsia" w:ascii="宋体" w:hAnsi="宋体" w:eastAsia="宋体" w:cs="宋体"/>
          <w:color w:val="auto"/>
          <w:sz w:val="28"/>
          <w:szCs w:val="28"/>
          <w:highlight w:val="none"/>
          <w:lang w:val="en-US" w:eastAsia="zh-CN"/>
        </w:rPr>
        <w:t>上披露的仍在公示期的严重失信行为(具体行为类别及判定依据见“信用中国”查询的严重失信行为类别及判定依据)的。</w:t>
      </w:r>
    </w:p>
    <w:p w14:paraId="1B1C9971">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⑤被列入国家企业信用信息公示系统网站“经营异常名录”或者“严重违法失信名单”的。</w:t>
      </w:r>
    </w:p>
    <w:p w14:paraId="59DE2A1B">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bookmarkStart w:id="15" w:name="OLE_LINK113"/>
      <w:bookmarkStart w:id="16" w:name="OLE_LINK114"/>
      <w:r>
        <w:rPr>
          <w:rFonts w:hint="eastAsia" w:ascii="宋体" w:hAnsi="宋体" w:eastAsia="宋体" w:cs="宋体"/>
          <w:color w:val="auto"/>
          <w:sz w:val="28"/>
          <w:szCs w:val="28"/>
          <w:highlight w:val="none"/>
          <w:lang w:val="en-US" w:eastAsia="zh-CN"/>
        </w:rPr>
        <w:t>⑥</w:t>
      </w:r>
      <w:bookmarkEnd w:id="15"/>
      <w:bookmarkEnd w:id="16"/>
      <w:r>
        <w:rPr>
          <w:rFonts w:hint="eastAsia" w:ascii="宋体" w:hAnsi="宋体" w:eastAsia="宋体" w:cs="宋体"/>
          <w:color w:val="auto"/>
          <w:sz w:val="28"/>
          <w:szCs w:val="28"/>
          <w:highlight w:val="none"/>
          <w:lang w:val="en-US" w:eastAsia="zh-CN"/>
        </w:rPr>
        <w:t>被列入中国政府采购网站“政府采购严重违法失信行为信息记录”的。</w:t>
      </w:r>
    </w:p>
    <w:p w14:paraId="07971A43">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⑦前三年有行贿犯罪行为的单位和个人。</w:t>
      </w:r>
    </w:p>
    <w:p w14:paraId="293B83B7">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5.投标人所属分公司、办事处等分支机构存在第4款信誉要求①-⑦项情形之一的，接受投标人参加本项目。</w:t>
      </w:r>
    </w:p>
    <w:p w14:paraId="067AB05B">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备注：第4、5条按照“关于联合惩戒失信行为加强信用查询管理的通知”查询或承诺。</w:t>
      </w:r>
    </w:p>
    <w:bookmarkEnd w:id="11"/>
    <w:p w14:paraId="1E3F504D">
      <w:pPr>
        <w:keepNext/>
        <w:keepLines/>
        <w:pageBreakBefore w:val="0"/>
        <w:widowControl w:val="0"/>
        <w:kinsoku/>
        <w:overflowPunct/>
        <w:topLinePunct w:val="0"/>
        <w:autoSpaceDE/>
        <w:autoSpaceDN/>
        <w:bidi w:val="0"/>
        <w:adjustRightInd/>
        <w:snapToGrid/>
        <w:spacing w:before="260" w:after="260"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三、获取招标文件</w:t>
      </w:r>
    </w:p>
    <w:p w14:paraId="7BEA9933">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u w:val="single"/>
        </w:rPr>
      </w:pPr>
      <w:bookmarkStart w:id="17" w:name="_Toc28359082"/>
      <w:bookmarkEnd w:id="17"/>
      <w:bookmarkStart w:id="18" w:name="_Toc28359005"/>
      <w:bookmarkEnd w:id="18"/>
      <w:bookmarkStart w:id="19" w:name="_Toc35393624"/>
      <w:bookmarkEnd w:id="19"/>
      <w:bookmarkStart w:id="20" w:name="_Toc35393793"/>
      <w:bookmarkEnd w:id="20"/>
      <w:bookmarkStart w:id="21" w:name="_Toc58430308"/>
      <w:r>
        <w:rPr>
          <w:rFonts w:hint="eastAsia" w:ascii="宋体" w:hAnsi="宋体" w:eastAsia="宋体" w:cs="宋体"/>
          <w:color w:val="auto"/>
          <w:sz w:val="28"/>
          <w:szCs w:val="28"/>
          <w:highlight w:val="none"/>
        </w:rPr>
        <w:t>时间：</w:t>
      </w:r>
      <w:r>
        <w:rPr>
          <w:rFonts w:hint="eastAsia" w:ascii="宋体" w:hAnsi="宋体" w:eastAsia="宋体" w:cs="宋体"/>
          <w:color w:val="auto"/>
          <w:sz w:val="28"/>
          <w:szCs w:val="28"/>
          <w:highlight w:val="none"/>
          <w:u w:val="single"/>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u w:val="single"/>
        </w:rPr>
        <w:t>年</w:t>
      </w:r>
      <w:r>
        <w:rPr>
          <w:rFonts w:hint="eastAsia" w:ascii="宋体" w:hAnsi="宋体" w:eastAsia="宋体" w:cs="宋体"/>
          <w:color w:val="auto"/>
          <w:sz w:val="28"/>
          <w:szCs w:val="28"/>
          <w:highlight w:val="none"/>
          <w:u w:val="single"/>
          <w:lang w:val="en-US" w:eastAsia="zh-CN"/>
        </w:rPr>
        <w:t>04</w:t>
      </w:r>
      <w:r>
        <w:rPr>
          <w:rFonts w:hint="eastAsia" w:ascii="宋体" w:hAnsi="宋体" w:eastAsia="宋体" w:cs="宋体"/>
          <w:color w:val="auto"/>
          <w:sz w:val="28"/>
          <w:szCs w:val="28"/>
          <w:highlight w:val="none"/>
          <w:u w:val="single"/>
        </w:rPr>
        <w:t>月</w:t>
      </w:r>
      <w:r>
        <w:rPr>
          <w:rFonts w:hint="eastAsia" w:ascii="宋体" w:hAnsi="宋体" w:eastAsia="宋体" w:cs="宋体"/>
          <w:color w:val="auto"/>
          <w:sz w:val="28"/>
          <w:szCs w:val="28"/>
          <w:highlight w:val="none"/>
          <w:u w:val="single"/>
          <w:lang w:val="en-US" w:eastAsia="zh-CN"/>
        </w:rPr>
        <w:t>09</w:t>
      </w:r>
      <w:r>
        <w:rPr>
          <w:rFonts w:hint="eastAsia" w:ascii="宋体" w:hAnsi="宋体" w:eastAsia="宋体" w:cs="宋体"/>
          <w:color w:val="auto"/>
          <w:sz w:val="28"/>
          <w:szCs w:val="28"/>
          <w:highlight w:val="none"/>
          <w:u w:val="single"/>
        </w:rPr>
        <w:t>日</w:t>
      </w:r>
      <w:r>
        <w:rPr>
          <w:rFonts w:hint="eastAsia" w:ascii="宋体" w:hAnsi="宋体" w:eastAsia="宋体" w:cs="宋体"/>
          <w:color w:val="auto"/>
          <w:sz w:val="28"/>
          <w:szCs w:val="28"/>
          <w:highlight w:val="none"/>
        </w:rPr>
        <w:t>至</w:t>
      </w:r>
      <w:r>
        <w:rPr>
          <w:rFonts w:hint="eastAsia" w:ascii="宋体" w:hAnsi="宋体" w:eastAsia="宋体" w:cs="宋体"/>
          <w:color w:val="auto"/>
          <w:sz w:val="28"/>
          <w:szCs w:val="28"/>
          <w:highlight w:val="none"/>
          <w:u w:val="single"/>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u w:val="single"/>
        </w:rPr>
        <w:t>年</w:t>
      </w:r>
      <w:r>
        <w:rPr>
          <w:rFonts w:hint="eastAsia" w:ascii="宋体" w:hAnsi="宋体" w:eastAsia="宋体" w:cs="宋体"/>
          <w:color w:val="auto"/>
          <w:sz w:val="28"/>
          <w:szCs w:val="28"/>
          <w:highlight w:val="none"/>
          <w:u w:val="single"/>
          <w:lang w:val="en-US" w:eastAsia="zh-CN"/>
        </w:rPr>
        <w:t>04月30日</w:t>
      </w:r>
    </w:p>
    <w:p w14:paraId="4DD20224">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地点：滁州市公共资源交易中心网</w:t>
      </w:r>
    </w:p>
    <w:p w14:paraId="4B0AF6C9">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方式：网上下载</w:t>
      </w:r>
    </w:p>
    <w:p w14:paraId="31EE8EAB">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售价：0元</w:t>
      </w:r>
    </w:p>
    <w:bookmarkEnd w:id="21"/>
    <w:p w14:paraId="52648580">
      <w:pPr>
        <w:keepNext/>
        <w:keepLines/>
        <w:pageBreakBefore w:val="0"/>
        <w:widowControl w:val="0"/>
        <w:kinsoku/>
        <w:overflowPunct/>
        <w:topLinePunct w:val="0"/>
        <w:autoSpaceDE/>
        <w:autoSpaceDN/>
        <w:bidi w:val="0"/>
        <w:adjustRightInd/>
        <w:snapToGrid/>
        <w:spacing w:before="260" w:after="260"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四、提交投标文件截止时间、开标时间和地点</w:t>
      </w:r>
    </w:p>
    <w:p w14:paraId="37CA63A8">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202</w:t>
      </w:r>
      <w:r>
        <w:rPr>
          <w:rFonts w:hint="eastAsia" w:ascii="宋体" w:hAnsi="宋体" w:eastAsia="宋体" w:cs="宋体"/>
          <w:color w:val="auto"/>
          <w:sz w:val="28"/>
          <w:szCs w:val="28"/>
          <w:highlight w:val="none"/>
          <w:u w:val="single"/>
          <w:lang w:val="en-US" w:eastAsia="zh-CN"/>
        </w:rPr>
        <w:t>6</w:t>
      </w:r>
      <w:r>
        <w:rPr>
          <w:rFonts w:hint="eastAsia" w:ascii="宋体" w:hAnsi="宋体" w:eastAsia="宋体" w:cs="宋体"/>
          <w:color w:val="auto"/>
          <w:sz w:val="28"/>
          <w:szCs w:val="28"/>
          <w:highlight w:val="none"/>
          <w:u w:val="single"/>
        </w:rPr>
        <w:t>年</w:t>
      </w:r>
      <w:r>
        <w:rPr>
          <w:rFonts w:hint="eastAsia" w:ascii="宋体" w:hAnsi="宋体" w:eastAsia="宋体" w:cs="宋体"/>
          <w:color w:val="auto"/>
          <w:sz w:val="28"/>
          <w:szCs w:val="28"/>
          <w:highlight w:val="none"/>
          <w:u w:val="single"/>
          <w:lang w:val="en-US" w:eastAsia="zh-CN"/>
        </w:rPr>
        <w:t>04月30日8</w:t>
      </w:r>
      <w:r>
        <w:rPr>
          <w:rFonts w:hint="eastAsia" w:ascii="宋体" w:hAnsi="宋体" w:eastAsia="宋体" w:cs="宋体"/>
          <w:color w:val="auto"/>
          <w:sz w:val="28"/>
          <w:szCs w:val="28"/>
          <w:highlight w:val="none"/>
          <w:u w:val="single"/>
        </w:rPr>
        <w:t>点</w:t>
      </w:r>
      <w:r>
        <w:rPr>
          <w:rFonts w:hint="eastAsia" w:ascii="宋体" w:hAnsi="宋体" w:eastAsia="宋体" w:cs="宋体"/>
          <w:color w:val="auto"/>
          <w:sz w:val="28"/>
          <w:szCs w:val="28"/>
          <w:highlight w:val="none"/>
          <w:u w:val="single"/>
          <w:lang w:val="en-US" w:eastAsia="zh-CN"/>
        </w:rPr>
        <w:t>30</w:t>
      </w:r>
      <w:r>
        <w:rPr>
          <w:rFonts w:hint="eastAsia" w:ascii="宋体" w:hAnsi="宋体" w:eastAsia="宋体" w:cs="宋体"/>
          <w:color w:val="auto"/>
          <w:sz w:val="28"/>
          <w:szCs w:val="28"/>
          <w:highlight w:val="none"/>
          <w:u w:val="single"/>
        </w:rPr>
        <w:t>分</w:t>
      </w:r>
      <w:r>
        <w:rPr>
          <w:rFonts w:hint="eastAsia" w:ascii="宋体" w:hAnsi="宋体" w:eastAsia="宋体" w:cs="宋体"/>
          <w:color w:val="auto"/>
          <w:sz w:val="28"/>
          <w:szCs w:val="28"/>
          <w:highlight w:val="none"/>
        </w:rPr>
        <w:t>（北京时间）</w:t>
      </w:r>
    </w:p>
    <w:p w14:paraId="335D5874">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4"/>
          <w:szCs w:val="18"/>
          <w:highlight w:val="none"/>
        </w:rPr>
      </w:pPr>
      <w:r>
        <w:rPr>
          <w:rFonts w:hint="eastAsia" w:ascii="宋体" w:hAnsi="宋体" w:eastAsia="宋体" w:cs="宋体"/>
          <w:color w:val="auto"/>
          <w:sz w:val="28"/>
          <w:szCs w:val="28"/>
          <w:highlight w:val="none"/>
        </w:rPr>
        <w:t>地点：</w:t>
      </w:r>
      <w:r>
        <w:rPr>
          <w:rFonts w:hint="eastAsia" w:ascii="宋体" w:hAnsi="宋体" w:eastAsia="宋体" w:cs="宋体"/>
          <w:color w:val="auto"/>
          <w:sz w:val="28"/>
          <w:szCs w:val="28"/>
          <w:highlight w:val="none"/>
          <w:lang w:val="en-US" w:eastAsia="zh-CN"/>
        </w:rPr>
        <w:t>滁州市公共资源交易平台电子交易系统</w:t>
      </w:r>
    </w:p>
    <w:p w14:paraId="295B4984">
      <w:pPr>
        <w:keepNext/>
        <w:keepLines/>
        <w:pageBreakBefore w:val="0"/>
        <w:widowControl w:val="0"/>
        <w:kinsoku/>
        <w:overflowPunct/>
        <w:topLinePunct w:val="0"/>
        <w:autoSpaceDE/>
        <w:autoSpaceDN/>
        <w:bidi w:val="0"/>
        <w:adjustRightInd/>
        <w:snapToGrid/>
        <w:spacing w:before="260" w:after="260" w:line="360" w:lineRule="auto"/>
        <w:jc w:val="left"/>
        <w:textAlignment w:val="auto"/>
        <w:rPr>
          <w:rFonts w:hint="eastAsia" w:ascii="宋体" w:hAnsi="宋体" w:eastAsia="宋体" w:cs="宋体"/>
          <w:color w:val="auto"/>
          <w:sz w:val="28"/>
          <w:szCs w:val="28"/>
          <w:highlight w:val="none"/>
        </w:rPr>
      </w:pPr>
      <w:bookmarkStart w:id="22" w:name="_Toc28359007"/>
      <w:bookmarkEnd w:id="22"/>
      <w:bookmarkStart w:id="23" w:name="_Toc58430309"/>
      <w:bookmarkEnd w:id="23"/>
      <w:bookmarkStart w:id="24" w:name="_Toc35393794"/>
      <w:bookmarkEnd w:id="24"/>
      <w:bookmarkStart w:id="25" w:name="_Toc35393625"/>
      <w:bookmarkEnd w:id="25"/>
      <w:r>
        <w:rPr>
          <w:rFonts w:hint="eastAsia" w:ascii="宋体" w:hAnsi="宋体" w:eastAsia="宋体" w:cs="宋体"/>
          <w:color w:val="auto"/>
          <w:sz w:val="28"/>
          <w:szCs w:val="28"/>
          <w:highlight w:val="none"/>
        </w:rPr>
        <w:t>五、公告期限</w:t>
      </w:r>
    </w:p>
    <w:p w14:paraId="0FBCADF7">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bookmarkStart w:id="26" w:name="_Toc58430310"/>
      <w:bookmarkEnd w:id="26"/>
      <w:r>
        <w:rPr>
          <w:rFonts w:hint="eastAsia" w:ascii="宋体" w:hAnsi="宋体" w:eastAsia="宋体" w:cs="宋体"/>
          <w:color w:val="auto"/>
          <w:sz w:val="28"/>
          <w:szCs w:val="28"/>
          <w:highlight w:val="none"/>
        </w:rPr>
        <w:t>自本公告发布之日起5个工作日。</w:t>
      </w:r>
    </w:p>
    <w:p w14:paraId="795E22B7">
      <w:pPr>
        <w:keepNext/>
        <w:keepLines/>
        <w:pageBreakBefore w:val="0"/>
        <w:widowControl w:val="0"/>
        <w:kinsoku/>
        <w:overflowPunct/>
        <w:topLinePunct w:val="0"/>
        <w:autoSpaceDE/>
        <w:autoSpaceDN/>
        <w:bidi w:val="0"/>
        <w:adjustRightInd/>
        <w:snapToGrid/>
        <w:spacing w:before="260" w:after="260" w:line="360" w:lineRule="auto"/>
        <w:jc w:val="left"/>
        <w:textAlignment w:val="auto"/>
        <w:rPr>
          <w:rFonts w:hint="eastAsia" w:ascii="宋体" w:hAnsi="宋体" w:eastAsia="宋体" w:cs="宋体"/>
          <w:color w:val="auto"/>
          <w:sz w:val="28"/>
          <w:szCs w:val="28"/>
          <w:highlight w:val="none"/>
          <w:lang w:val="en-US" w:eastAsia="zh-CN"/>
        </w:rPr>
      </w:pPr>
      <w:bookmarkStart w:id="27" w:name="_Toc31539"/>
      <w:bookmarkStart w:id="28" w:name="_Toc35393795"/>
      <w:bookmarkStart w:id="29" w:name="_Toc35393626"/>
      <w:r>
        <w:rPr>
          <w:rFonts w:hint="eastAsia" w:ascii="宋体" w:hAnsi="宋体" w:eastAsia="宋体" w:cs="宋体"/>
          <w:color w:val="auto"/>
          <w:sz w:val="28"/>
          <w:szCs w:val="28"/>
          <w:highlight w:val="none"/>
        </w:rPr>
        <w:t>六、</w:t>
      </w:r>
      <w:bookmarkEnd w:id="27"/>
      <w:r>
        <w:rPr>
          <w:rFonts w:hint="eastAsia" w:ascii="宋体" w:hAnsi="宋体" w:eastAsia="宋体" w:cs="宋体"/>
          <w:color w:val="auto"/>
          <w:sz w:val="28"/>
          <w:szCs w:val="28"/>
          <w:highlight w:val="none"/>
          <w:lang w:val="en-US" w:eastAsia="zh-CN"/>
        </w:rPr>
        <w:t>投标保证金金额及缴纳账户</w:t>
      </w:r>
    </w:p>
    <w:p w14:paraId="23AD854F">
      <w:pPr>
        <w:pageBreakBefore w:val="0"/>
        <w:widowControl w:val="0"/>
        <w:kinsoku/>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是否要求投标人提交投标保证金：不要求。</w:t>
      </w:r>
    </w:p>
    <w:p w14:paraId="6AE95CC0">
      <w:pPr>
        <w:keepNext/>
        <w:keepLines/>
        <w:pageBreakBefore w:val="0"/>
        <w:widowControl w:val="0"/>
        <w:kinsoku/>
        <w:overflowPunct/>
        <w:topLinePunct w:val="0"/>
        <w:autoSpaceDE/>
        <w:autoSpaceDN/>
        <w:bidi w:val="0"/>
        <w:adjustRightInd/>
        <w:snapToGrid/>
        <w:spacing w:before="260" w:after="260"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七</w:t>
      </w:r>
      <w:r>
        <w:rPr>
          <w:rFonts w:hint="eastAsia" w:ascii="宋体" w:hAnsi="宋体" w:eastAsia="宋体" w:cs="宋体"/>
          <w:color w:val="auto"/>
          <w:sz w:val="28"/>
          <w:szCs w:val="28"/>
          <w:highlight w:val="none"/>
        </w:rPr>
        <w:t>、其他补充事宜</w:t>
      </w:r>
      <w:bookmarkEnd w:id="28"/>
      <w:bookmarkEnd w:id="29"/>
    </w:p>
    <w:p w14:paraId="019F90BF">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2.CA数字证书有关问题：安徽CA客服400-880-4959、0550-3019013（工作日），CFCA客服025-66085508、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47AED813">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2.请投标人登录滁州市公共资源交易中心网站查看参加本项目的程序。（具体操作步骤和程序请参见服务指南&gt;交易须知&gt;投标人填写投标信息、下载文件及网上提问操作手册）。</w:t>
      </w:r>
    </w:p>
    <w:p w14:paraId="733674A3">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本项目采用不见面开标（远程解密)方式，开标时投标人无须至开标现场进行解密，开标采取远程解密方式解密投标文件，解密方式为：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w:t>
      </w:r>
    </w:p>
    <w:p w14:paraId="51F72D52">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4"/>
          <w:szCs w:val="18"/>
          <w:highlight w:val="none"/>
        </w:rPr>
      </w:pPr>
      <w:r>
        <w:rPr>
          <w:rFonts w:hint="eastAsia" w:ascii="宋体" w:hAnsi="宋体" w:eastAsia="宋体" w:cs="宋体"/>
          <w:color w:val="auto"/>
          <w:sz w:val="28"/>
          <w:szCs w:val="28"/>
          <w:highlight w:val="none"/>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p>
    <w:bookmarkEnd w:id="3"/>
    <w:p w14:paraId="1487F4B0">
      <w:pPr>
        <w:keepNext/>
        <w:keepLines/>
        <w:pageBreakBefore w:val="0"/>
        <w:widowControl w:val="0"/>
        <w:kinsoku/>
        <w:overflowPunct/>
        <w:topLinePunct w:val="0"/>
        <w:autoSpaceDE/>
        <w:autoSpaceDN/>
        <w:bidi w:val="0"/>
        <w:adjustRightInd/>
        <w:snapToGrid/>
        <w:spacing w:before="260" w:after="260" w:line="360" w:lineRule="auto"/>
        <w:textAlignment w:val="auto"/>
        <w:rPr>
          <w:rFonts w:hint="eastAsia" w:ascii="宋体" w:hAnsi="宋体" w:eastAsia="宋体" w:cs="宋体"/>
          <w:color w:val="auto"/>
          <w:sz w:val="28"/>
          <w:szCs w:val="28"/>
          <w:highlight w:val="none"/>
        </w:rPr>
      </w:pPr>
      <w:bookmarkStart w:id="30" w:name="_Toc7265"/>
      <w:bookmarkStart w:id="31" w:name="_Toc3854"/>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w:t>
      </w:r>
      <w:bookmarkEnd w:id="30"/>
      <w:bookmarkEnd w:id="31"/>
      <w:r>
        <w:rPr>
          <w:rFonts w:hint="eastAsia" w:ascii="宋体" w:hAnsi="宋体" w:eastAsia="宋体" w:cs="宋体"/>
          <w:color w:val="auto"/>
          <w:sz w:val="28"/>
          <w:szCs w:val="28"/>
          <w:highlight w:val="none"/>
        </w:rPr>
        <w:t>对本次招标提出询问，请按以下方式联系</w:t>
      </w:r>
    </w:p>
    <w:p w14:paraId="531C6EEC">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1.采购人信息</w:t>
      </w:r>
    </w:p>
    <w:p w14:paraId="2EC42456">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名称：</w:t>
      </w:r>
      <w:r>
        <w:rPr>
          <w:rFonts w:hint="eastAsia" w:ascii="宋体" w:hAnsi="宋体" w:eastAsia="宋体" w:cs="宋体"/>
          <w:color w:val="auto"/>
          <w:sz w:val="28"/>
          <w:szCs w:val="28"/>
          <w:highlight w:val="none"/>
          <w:u w:val="single"/>
          <w:lang w:val="en-US" w:eastAsia="zh-CN"/>
        </w:rPr>
        <w:t>滁州市园林景观管理中心</w:t>
      </w:r>
    </w:p>
    <w:p w14:paraId="38D4B4CD">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single"/>
          <w:lang w:val="en-US" w:eastAsia="zh-CN"/>
        </w:rPr>
        <w:t>滁州市花园西路81号林业大厦8楼</w:t>
      </w:r>
    </w:p>
    <w:p w14:paraId="713C9DFE">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single"/>
          <w:lang w:val="en-US" w:eastAsia="zh-CN"/>
        </w:rPr>
        <w:t>赵越</w:t>
      </w:r>
    </w:p>
    <w:p w14:paraId="3265A7F0">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联系方式：</w:t>
      </w:r>
      <w:bookmarkStart w:id="304" w:name="_GoBack"/>
      <w:r>
        <w:rPr>
          <w:rFonts w:hint="eastAsia" w:ascii="宋体" w:hAnsi="宋体" w:eastAsia="宋体" w:cs="宋体"/>
          <w:color w:val="auto"/>
          <w:sz w:val="28"/>
          <w:szCs w:val="28"/>
          <w:highlight w:val="none"/>
          <w:u w:val="single"/>
          <w:lang w:val="en-US" w:eastAsia="zh-CN"/>
        </w:rPr>
        <w:t>0550-3010967</w:t>
      </w:r>
      <w:bookmarkEnd w:id="304"/>
    </w:p>
    <w:p w14:paraId="00E74E22">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2.采购代理机构信息</w:t>
      </w:r>
    </w:p>
    <w:p w14:paraId="0C597498">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名称：</w:t>
      </w:r>
      <w:r>
        <w:rPr>
          <w:rFonts w:hint="eastAsia" w:ascii="宋体" w:hAnsi="宋体" w:eastAsia="宋体" w:cs="宋体"/>
          <w:color w:val="auto"/>
          <w:sz w:val="28"/>
          <w:szCs w:val="28"/>
          <w:highlight w:val="none"/>
          <w:u w:val="single"/>
          <w:lang w:eastAsia="zh-CN"/>
        </w:rPr>
        <w:t>滁州市城投工程咨询管理有限公司</w:t>
      </w:r>
      <w:r>
        <w:rPr>
          <w:rFonts w:hint="eastAsia" w:ascii="宋体" w:hAnsi="宋体" w:eastAsia="宋体" w:cs="宋体"/>
          <w:color w:val="auto"/>
          <w:sz w:val="28"/>
          <w:szCs w:val="28"/>
          <w:highlight w:val="none"/>
        </w:rPr>
        <w:t>　</w:t>
      </w:r>
    </w:p>
    <w:p w14:paraId="2CD569B8">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single"/>
        </w:rPr>
        <w:t>滁州市龙蟠大道109号房产大厦</w:t>
      </w:r>
      <w:r>
        <w:rPr>
          <w:rFonts w:hint="eastAsia" w:ascii="宋体" w:hAnsi="宋体" w:eastAsia="宋体" w:cs="宋体"/>
          <w:color w:val="auto"/>
          <w:sz w:val="28"/>
          <w:szCs w:val="28"/>
          <w:highlight w:val="none"/>
          <w:u w:val="single"/>
          <w:lang w:val="en-US" w:eastAsia="zh-CN"/>
        </w:rPr>
        <w:t>6楼</w:t>
      </w:r>
    </w:p>
    <w:p w14:paraId="29162931">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single"/>
          <w:lang w:val="en-US" w:eastAsia="zh-CN"/>
        </w:rPr>
        <w:t>王芳</w:t>
      </w:r>
    </w:p>
    <w:p w14:paraId="185066D0">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联系方式：</w:t>
      </w:r>
      <w:r>
        <w:rPr>
          <w:rFonts w:hint="eastAsia" w:ascii="宋体" w:hAnsi="宋体" w:eastAsia="宋体" w:cs="宋体"/>
          <w:color w:val="auto"/>
          <w:sz w:val="28"/>
          <w:szCs w:val="28"/>
          <w:highlight w:val="none"/>
          <w:u w:val="single"/>
          <w:lang w:eastAsia="zh-CN"/>
        </w:rPr>
        <w:t>0550-35195</w:t>
      </w:r>
      <w:r>
        <w:rPr>
          <w:rFonts w:hint="eastAsia" w:ascii="宋体" w:hAnsi="宋体" w:eastAsia="宋体" w:cs="宋体"/>
          <w:color w:val="auto"/>
          <w:sz w:val="28"/>
          <w:szCs w:val="28"/>
          <w:highlight w:val="none"/>
          <w:u w:val="single"/>
          <w:lang w:val="en-US" w:eastAsia="zh-CN"/>
        </w:rPr>
        <w:t>19、18955055067</w:t>
      </w:r>
    </w:p>
    <w:p w14:paraId="2F9CBA4F">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3.政府采购监督管理部门信息</w:t>
      </w:r>
    </w:p>
    <w:p w14:paraId="596ACDF8">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名称：</w:t>
      </w:r>
      <w:r>
        <w:rPr>
          <w:rFonts w:hint="eastAsia" w:ascii="宋体" w:hAnsi="宋体" w:eastAsia="宋体" w:cs="宋体"/>
          <w:color w:val="auto"/>
          <w:sz w:val="28"/>
          <w:szCs w:val="28"/>
          <w:highlight w:val="none"/>
          <w:u w:val="single"/>
          <w:lang w:val="en-US" w:eastAsia="zh-CN"/>
        </w:rPr>
        <w:t>滁州市公共资源交易监督管理局</w:t>
      </w:r>
    </w:p>
    <w:p w14:paraId="78800F2C">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single"/>
          <w:lang w:eastAsia="zh-CN"/>
        </w:rPr>
        <w:t>滁州市龙蟠大道109号房产大厦</w:t>
      </w:r>
      <w:r>
        <w:rPr>
          <w:rFonts w:hint="eastAsia" w:ascii="宋体" w:hAnsi="宋体" w:eastAsia="宋体" w:cs="宋体"/>
          <w:color w:val="auto"/>
          <w:sz w:val="28"/>
          <w:szCs w:val="28"/>
          <w:highlight w:val="none"/>
          <w:u w:val="single"/>
          <w:lang w:val="en-US" w:eastAsia="zh-CN"/>
        </w:rPr>
        <w:t>3</w:t>
      </w:r>
      <w:r>
        <w:rPr>
          <w:rFonts w:hint="eastAsia" w:ascii="宋体" w:hAnsi="宋体" w:eastAsia="宋体" w:cs="宋体"/>
          <w:color w:val="auto"/>
          <w:sz w:val="28"/>
          <w:szCs w:val="28"/>
          <w:highlight w:val="none"/>
          <w:u w:val="single"/>
          <w:lang w:eastAsia="zh-CN"/>
        </w:rPr>
        <w:t>楼</w:t>
      </w:r>
    </w:p>
    <w:p w14:paraId="07DB42EE">
      <w:pPr>
        <w:pageBreakBefore w:val="0"/>
        <w:widowControl w:val="0"/>
        <w:kinsoku/>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联系方式：</w:t>
      </w:r>
      <w:r>
        <w:rPr>
          <w:rFonts w:hint="eastAsia" w:ascii="宋体" w:hAnsi="宋体" w:eastAsia="宋体" w:cs="宋体"/>
          <w:color w:val="auto"/>
          <w:sz w:val="28"/>
          <w:szCs w:val="28"/>
          <w:highlight w:val="none"/>
          <w:u w:val="single"/>
        </w:rPr>
        <w:t>0550-3801656</w:t>
      </w:r>
    </w:p>
    <w:p w14:paraId="466F1E9B">
      <w:pPr>
        <w:widowControl/>
        <w:jc w:val="left"/>
        <w:rPr>
          <w:rFonts w:ascii="宋体" w:hAnsi="宋体" w:eastAsia="宋体"/>
          <w:color w:val="auto"/>
          <w:sz w:val="24"/>
          <w:szCs w:val="18"/>
          <w:highlight w:val="none"/>
        </w:rPr>
      </w:pPr>
      <w:r>
        <w:rPr>
          <w:rFonts w:ascii="宋体" w:hAnsi="宋体" w:eastAsia="宋体"/>
          <w:color w:val="auto"/>
          <w:sz w:val="24"/>
          <w:szCs w:val="18"/>
          <w:highlight w:val="none"/>
        </w:rPr>
        <w:br w:type="page"/>
      </w:r>
    </w:p>
    <w:p w14:paraId="6C0D93D1">
      <w:pPr>
        <w:spacing w:line="360" w:lineRule="auto"/>
        <w:jc w:val="center"/>
        <w:outlineLvl w:val="0"/>
        <w:rPr>
          <w:rFonts w:asciiTheme="minorEastAsia" w:hAnsiTheme="minorEastAsia" w:eastAsiaTheme="minorEastAsia"/>
          <w:b/>
          <w:color w:val="auto"/>
          <w:sz w:val="28"/>
          <w:highlight w:val="none"/>
        </w:rPr>
      </w:pPr>
      <w:bookmarkStart w:id="32" w:name="_Toc8888"/>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w:t>
      </w:r>
      <w:r>
        <w:rPr>
          <w:rFonts w:asciiTheme="minorEastAsia" w:hAnsiTheme="minorEastAsia" w:eastAsiaTheme="minorEastAsia"/>
          <w:b/>
          <w:color w:val="auto"/>
          <w:sz w:val="28"/>
          <w:highlight w:val="none"/>
        </w:rPr>
        <w:t>投标人须知</w:t>
      </w:r>
      <w:bookmarkEnd w:id="32"/>
    </w:p>
    <w:p w14:paraId="01CD8525">
      <w:pPr>
        <w:spacing w:line="360" w:lineRule="auto"/>
        <w:jc w:val="center"/>
        <w:outlineLvl w:val="1"/>
        <w:rPr>
          <w:rFonts w:asciiTheme="minorEastAsia" w:hAnsiTheme="minorEastAsia" w:eastAsiaTheme="minorEastAsia"/>
          <w:b/>
          <w:color w:val="auto"/>
          <w:sz w:val="24"/>
          <w:highlight w:val="none"/>
        </w:rPr>
      </w:pPr>
      <w:bookmarkStart w:id="33" w:name="_Toc13589"/>
      <w:bookmarkStart w:id="34" w:name="_Toc7178"/>
      <w:r>
        <w:rPr>
          <w:rFonts w:hint="eastAsia" w:asciiTheme="minorEastAsia" w:hAnsiTheme="minorEastAsia" w:eastAsiaTheme="minorEastAsia"/>
          <w:b/>
          <w:color w:val="auto"/>
          <w:sz w:val="24"/>
          <w:highlight w:val="none"/>
        </w:rPr>
        <w:t>一、</w:t>
      </w:r>
      <w:r>
        <w:rPr>
          <w:rFonts w:asciiTheme="minorEastAsia" w:hAnsiTheme="minorEastAsia" w:eastAsiaTheme="minorEastAsia"/>
          <w:b/>
          <w:color w:val="auto"/>
          <w:sz w:val="24"/>
          <w:highlight w:val="none"/>
        </w:rPr>
        <w:t>投标人须知前附表</w:t>
      </w:r>
      <w:bookmarkEnd w:id="33"/>
      <w:bookmarkEnd w:id="34"/>
    </w:p>
    <w:p w14:paraId="7C98F457">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24"/>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3"/>
        <w:gridCol w:w="5618"/>
      </w:tblGrid>
      <w:tr w14:paraId="2BD0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0BEA4FD">
            <w:pPr>
              <w:pStyle w:val="42"/>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条款号</w:t>
            </w:r>
          </w:p>
        </w:tc>
        <w:tc>
          <w:tcPr>
            <w:tcW w:w="1174" w:type="pct"/>
            <w:vAlign w:val="center"/>
          </w:tcPr>
          <w:p w14:paraId="1CD9BA72">
            <w:pPr>
              <w:pStyle w:val="42"/>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条款名称</w:t>
            </w:r>
          </w:p>
        </w:tc>
        <w:tc>
          <w:tcPr>
            <w:tcW w:w="3244" w:type="pct"/>
            <w:vAlign w:val="center"/>
          </w:tcPr>
          <w:p w14:paraId="26474E84">
            <w:pPr>
              <w:pStyle w:val="42"/>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内容、说明与要求</w:t>
            </w:r>
          </w:p>
        </w:tc>
      </w:tr>
      <w:tr w14:paraId="619E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E6DD2D6">
            <w:pPr>
              <w:pStyle w:val="43"/>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lang w:val="en-US" w:eastAsia="zh-CN"/>
              </w:rPr>
              <w:t>5</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174" w:type="pct"/>
            <w:vAlign w:val="center"/>
          </w:tcPr>
          <w:p w14:paraId="7201BED8">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left"/>
              <w:textAlignment w:val="auto"/>
              <w:rPr>
                <w:rFonts w:hint="eastAsia" w:ascii="宋体" w:hAnsi="宋体" w:eastAsia="宋体"/>
                <w:b w:val="0"/>
                <w:color w:val="auto"/>
                <w:sz w:val="24"/>
                <w:highlight w:val="none"/>
                <w:lang w:eastAsia="zh-CN"/>
              </w:rPr>
            </w:pPr>
            <w:r>
              <w:rPr>
                <w:rFonts w:hint="eastAsia" w:ascii="宋体" w:hAnsi="宋体" w:eastAsia="宋体" w:cs="@仿宋_GB2312"/>
                <w:b w:val="0"/>
                <w:bCs/>
                <w:color w:val="auto"/>
                <w:kern w:val="2"/>
                <w:sz w:val="24"/>
                <w:szCs w:val="22"/>
                <w:highlight w:val="none"/>
                <w:lang w:val="en-US" w:eastAsia="zh-CN" w:bidi="ar-SA"/>
              </w:rPr>
              <w:t>现场考察或标前答疑会</w:t>
            </w:r>
          </w:p>
        </w:tc>
        <w:tc>
          <w:tcPr>
            <w:tcW w:w="3244" w:type="pct"/>
            <w:vAlign w:val="center"/>
          </w:tcPr>
          <w:p w14:paraId="787C2E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bCs/>
                <w:color w:val="auto"/>
                <w:sz w:val="24"/>
                <w:highlight w:val="none"/>
                <w:lang w:val="en-US" w:eastAsia="zh-CN"/>
              </w:rPr>
            </w:pPr>
            <w:r>
              <w:rPr>
                <w:rFonts w:hint="eastAsia" w:ascii="宋体" w:hAnsi="宋体" w:eastAsia="宋体"/>
                <w:bCs/>
                <w:color w:val="auto"/>
                <w:sz w:val="24"/>
                <w:szCs w:val="24"/>
                <w:highlight w:val="none"/>
                <w:lang w:eastAsia="zh-CN"/>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5538208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bCs/>
                <w:color w:val="auto"/>
                <w:sz w:val="24"/>
                <w:highlight w:val="none"/>
                <w:lang w:val="en-US" w:eastAsia="zh-CN"/>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5D60B83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时间：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年</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月</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日</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时</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r>
              <w:rPr>
                <w:rFonts w:hint="eastAsia" w:ascii="宋体" w:hAnsi="宋体" w:eastAsia="宋体"/>
                <w:bCs/>
                <w:color w:val="auto"/>
                <w:sz w:val="24"/>
                <w:highlight w:val="none"/>
              </w:rPr>
              <w:t>分</w:t>
            </w:r>
          </w:p>
          <w:p w14:paraId="75597B1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地点：</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2BB1830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u w:val="single"/>
              </w:rPr>
            </w:pPr>
            <w:r>
              <w:rPr>
                <w:rFonts w:hint="eastAsia" w:ascii="宋体" w:hAnsi="宋体" w:eastAsia="宋体"/>
                <w:bCs/>
                <w:color w:val="auto"/>
                <w:sz w:val="24"/>
                <w:highlight w:val="none"/>
              </w:rPr>
              <w:t>联系人及联系电话：</w:t>
            </w:r>
            <w:r>
              <w:rPr>
                <w:rFonts w:hint="eastAsia" w:ascii="宋体" w:hAnsi="宋体" w:eastAsia="宋体"/>
                <w:bCs/>
                <w:color w:val="auto"/>
                <w:sz w:val="24"/>
                <w:highlight w:val="none"/>
                <w:u w:val="single"/>
              </w:rPr>
              <w:t xml:space="preserve"> </w:t>
            </w:r>
            <w:r>
              <w:rPr>
                <w:rFonts w:ascii="宋体" w:hAnsi="宋体" w:eastAsia="宋体"/>
                <w:bCs/>
                <w:color w:val="auto"/>
                <w:sz w:val="24"/>
                <w:highlight w:val="none"/>
                <w:u w:val="single"/>
              </w:rPr>
              <w:t xml:space="preserve">          </w:t>
            </w:r>
          </w:p>
          <w:p w14:paraId="71961A89">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宋体" w:hAnsi="宋体" w:eastAsia="宋体"/>
                <w:b w:val="0"/>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如投标人未参加采购人统一组织的现场考察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，由此引起的一切责任由投标人自行承担。</w:t>
            </w:r>
          </w:p>
        </w:tc>
      </w:tr>
      <w:tr w14:paraId="10AD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3617ED0">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6</w:t>
            </w:r>
            <w:r>
              <w:rPr>
                <w:rFonts w:ascii="宋体" w:hAnsi="宋体" w:eastAsia="宋体"/>
                <w:bCs/>
                <w:color w:val="auto"/>
                <w:kern w:val="2"/>
                <w:highlight w:val="none"/>
              </w:rPr>
              <w:t>.1</w:t>
            </w:r>
          </w:p>
        </w:tc>
        <w:tc>
          <w:tcPr>
            <w:tcW w:w="1174" w:type="pct"/>
            <w:vAlign w:val="center"/>
          </w:tcPr>
          <w:p w14:paraId="23D9F55D">
            <w:pPr>
              <w:pStyle w:val="42"/>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网上询问截止时间</w:t>
            </w:r>
          </w:p>
        </w:tc>
        <w:tc>
          <w:tcPr>
            <w:tcW w:w="3244" w:type="pct"/>
            <w:vAlign w:val="center"/>
          </w:tcPr>
          <w:p w14:paraId="73C6F000">
            <w:pPr>
              <w:pStyle w:val="42"/>
              <w:widowControl w:val="0"/>
              <w:spacing w:before="0" w:beforeAutospacing="0" w:after="0" w:afterAutospacing="0"/>
              <w:jc w:val="both"/>
              <w:rPr>
                <w:rFonts w:ascii="宋体" w:hAnsi="宋体" w:eastAsia="宋体"/>
                <w:b w:val="0"/>
                <w:color w:val="auto"/>
                <w:sz w:val="24"/>
                <w:highlight w:val="none"/>
              </w:rPr>
            </w:pPr>
            <w:r>
              <w:rPr>
                <w:rFonts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2026</w:t>
            </w:r>
            <w:r>
              <w:rPr>
                <w:rFonts w:ascii="宋体" w:hAnsi="宋体" w:eastAsia="宋体"/>
                <w:b w:val="0"/>
                <w:color w:val="auto"/>
                <w:sz w:val="24"/>
                <w:highlight w:val="none"/>
                <w:u w:val="single"/>
              </w:rPr>
              <w:t xml:space="preserve"> </w:t>
            </w:r>
            <w:r>
              <w:rPr>
                <w:rFonts w:ascii="宋体" w:hAnsi="宋体" w:eastAsia="宋体"/>
                <w:b w:val="0"/>
                <w:color w:val="auto"/>
                <w:sz w:val="24"/>
                <w:highlight w:val="none"/>
              </w:rPr>
              <w:t>年</w:t>
            </w:r>
            <w:r>
              <w:rPr>
                <w:rFonts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04</w:t>
            </w:r>
            <w:r>
              <w:rPr>
                <w:rFonts w:ascii="宋体" w:hAnsi="宋体" w:eastAsia="宋体"/>
                <w:b w:val="0"/>
                <w:color w:val="auto"/>
                <w:sz w:val="24"/>
                <w:highlight w:val="none"/>
              </w:rPr>
              <w:t>月</w:t>
            </w:r>
            <w:r>
              <w:rPr>
                <w:rFonts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16</w:t>
            </w:r>
            <w:r>
              <w:rPr>
                <w:rFonts w:ascii="宋体" w:hAnsi="宋体" w:eastAsia="宋体"/>
                <w:b w:val="0"/>
                <w:color w:val="auto"/>
                <w:sz w:val="24"/>
                <w:highlight w:val="none"/>
                <w:u w:val="single"/>
              </w:rPr>
              <w:t xml:space="preserve"> </w:t>
            </w:r>
            <w:r>
              <w:rPr>
                <w:rFonts w:ascii="宋体" w:hAnsi="宋体" w:eastAsia="宋体"/>
                <w:b w:val="0"/>
                <w:color w:val="auto"/>
                <w:sz w:val="24"/>
                <w:highlight w:val="none"/>
              </w:rPr>
              <w:t>日</w:t>
            </w:r>
            <w:r>
              <w:rPr>
                <w:rFonts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17</w:t>
            </w:r>
            <w:r>
              <w:rPr>
                <w:rFonts w:ascii="宋体" w:hAnsi="宋体" w:eastAsia="宋体"/>
                <w:b w:val="0"/>
                <w:color w:val="auto"/>
                <w:sz w:val="24"/>
                <w:highlight w:val="none"/>
                <w:u w:val="single"/>
              </w:rPr>
              <w:t xml:space="preserve"> </w:t>
            </w:r>
            <w:r>
              <w:rPr>
                <w:rFonts w:ascii="宋体" w:hAnsi="宋体" w:eastAsia="宋体"/>
                <w:b w:val="0"/>
                <w:color w:val="auto"/>
                <w:sz w:val="24"/>
                <w:highlight w:val="none"/>
              </w:rPr>
              <w:t>时</w:t>
            </w:r>
            <w:r>
              <w:rPr>
                <w:rFonts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30</w:t>
            </w:r>
            <w:r>
              <w:rPr>
                <w:rFonts w:ascii="宋体" w:hAnsi="宋体" w:eastAsia="宋体"/>
                <w:b w:val="0"/>
                <w:color w:val="auto"/>
                <w:sz w:val="24"/>
                <w:highlight w:val="none"/>
                <w:u w:val="single"/>
              </w:rPr>
              <w:t xml:space="preserve"> </w:t>
            </w:r>
            <w:r>
              <w:rPr>
                <w:rFonts w:hint="eastAsia" w:ascii="宋体" w:hAnsi="宋体" w:eastAsia="宋体"/>
                <w:b w:val="0"/>
                <w:color w:val="auto"/>
                <w:sz w:val="24"/>
                <w:highlight w:val="none"/>
              </w:rPr>
              <w:t>分</w:t>
            </w:r>
          </w:p>
        </w:tc>
      </w:tr>
      <w:tr w14:paraId="4361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1813A64">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7</w:t>
            </w:r>
            <w:r>
              <w:rPr>
                <w:rFonts w:ascii="宋体" w:hAnsi="宋体" w:eastAsia="宋体"/>
                <w:bCs/>
                <w:color w:val="auto"/>
                <w:kern w:val="2"/>
                <w:highlight w:val="none"/>
              </w:rPr>
              <w:t>.1</w:t>
            </w:r>
          </w:p>
        </w:tc>
        <w:tc>
          <w:tcPr>
            <w:tcW w:w="1174" w:type="pct"/>
            <w:vAlign w:val="center"/>
          </w:tcPr>
          <w:p w14:paraId="33B57292">
            <w:pPr>
              <w:pStyle w:val="42"/>
              <w:widowControl w:val="0"/>
              <w:spacing w:before="0" w:beforeAutospacing="0" w:after="0" w:afterAutospacing="0"/>
              <w:jc w:val="left"/>
              <w:rPr>
                <w:rFonts w:ascii="宋体" w:hAnsi="宋体" w:eastAsia="宋体"/>
                <w:b w:val="0"/>
                <w:color w:val="auto"/>
                <w:sz w:val="24"/>
                <w:highlight w:val="none"/>
              </w:rPr>
            </w:pPr>
            <w:r>
              <w:rPr>
                <w:rFonts w:hint="eastAsia" w:ascii="宋体" w:hAnsi="宋体" w:eastAsia="宋体"/>
                <w:b w:val="0"/>
                <w:color w:val="auto"/>
                <w:sz w:val="24"/>
                <w:highlight w:val="none"/>
              </w:rPr>
              <w:t>包别划分</w:t>
            </w:r>
          </w:p>
        </w:tc>
        <w:tc>
          <w:tcPr>
            <w:tcW w:w="3244" w:type="pct"/>
            <w:vAlign w:val="center"/>
          </w:tcPr>
          <w:p w14:paraId="6D33CB9C">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ascii="宋体" w:hAnsi="宋体" w:eastAsia="宋体"/>
                <w:b w:val="0"/>
                <w:color w:val="auto"/>
                <w:sz w:val="24"/>
                <w:highlight w:val="none"/>
              </w:rPr>
              <w:t>不分包     □分为</w:t>
            </w:r>
            <w:r>
              <w:rPr>
                <w:rFonts w:hint="eastAsia" w:ascii="宋体" w:hAnsi="宋体" w:eastAsia="宋体"/>
                <w:b w:val="0"/>
                <w:color w:val="auto"/>
                <w:sz w:val="24"/>
                <w:highlight w:val="none"/>
                <w:lang w:val="en-US" w:eastAsia="zh-CN"/>
              </w:rPr>
              <w:t>/</w:t>
            </w:r>
            <w:r>
              <w:rPr>
                <w:rFonts w:ascii="宋体" w:hAnsi="宋体" w:eastAsia="宋体"/>
                <w:b w:val="0"/>
                <w:color w:val="auto"/>
                <w:sz w:val="24"/>
                <w:highlight w:val="none"/>
              </w:rPr>
              <w:t>个包</w:t>
            </w:r>
          </w:p>
          <w:p w14:paraId="0E03C3B1">
            <w:pPr>
              <w:pStyle w:val="42"/>
              <w:widowControl w:val="0"/>
              <w:spacing w:before="0" w:beforeAutospacing="0" w:after="0" w:afterAutospacing="0"/>
              <w:jc w:val="both"/>
              <w:rPr>
                <w:rFonts w:ascii="宋体" w:hAnsi="宋体" w:eastAsia="宋体"/>
                <w:b w:val="0"/>
                <w:color w:val="auto"/>
                <w:sz w:val="24"/>
                <w:highlight w:val="none"/>
                <w:u w:val="single"/>
              </w:rPr>
            </w:pPr>
            <w:r>
              <w:rPr>
                <w:rFonts w:hint="eastAsia" w:ascii="宋体" w:hAnsi="宋体" w:eastAsia="宋体"/>
                <w:b w:val="0"/>
                <w:color w:val="auto"/>
                <w:sz w:val="24"/>
                <w:highlight w:val="none"/>
              </w:rPr>
              <w:t>投标人对多个包进行投标的中标</w:t>
            </w:r>
            <w:r>
              <w:rPr>
                <w:rFonts w:ascii="宋体" w:hAnsi="宋体" w:eastAsia="宋体"/>
                <w:b w:val="0"/>
                <w:color w:val="auto"/>
                <w:sz w:val="24"/>
                <w:highlight w:val="none"/>
              </w:rPr>
              <w:t>包</w:t>
            </w:r>
            <w:r>
              <w:rPr>
                <w:rFonts w:hint="eastAsia" w:ascii="宋体" w:hAnsi="宋体" w:eastAsia="宋体"/>
                <w:b w:val="0"/>
                <w:color w:val="auto"/>
                <w:sz w:val="24"/>
                <w:highlight w:val="none"/>
              </w:rPr>
              <w:t>数规定：</w:t>
            </w:r>
            <w:r>
              <w:rPr>
                <w:rFonts w:hint="eastAsia" w:ascii="宋体" w:hAnsi="宋体" w:eastAsia="宋体"/>
                <w:b w:val="0"/>
                <w:bCs w:val="0"/>
                <w:color w:val="auto"/>
                <w:sz w:val="24"/>
                <w:szCs w:val="18"/>
                <w:highlight w:val="none"/>
                <w:u w:val="single"/>
              </w:rPr>
              <w:t xml:space="preserve"> </w:t>
            </w:r>
            <w:r>
              <w:rPr>
                <w:rFonts w:hint="eastAsia" w:ascii="宋体" w:hAnsi="宋体" w:eastAsia="宋体"/>
                <w:b w:val="0"/>
                <w:bCs w:val="0"/>
                <w:color w:val="auto"/>
                <w:sz w:val="24"/>
                <w:szCs w:val="18"/>
                <w:highlight w:val="none"/>
                <w:u w:val="single"/>
                <w:lang w:val="en-US" w:eastAsia="zh-CN"/>
              </w:rPr>
              <w:t>/</w:t>
            </w:r>
            <w:r>
              <w:rPr>
                <w:rFonts w:ascii="宋体" w:hAnsi="宋体" w:eastAsia="宋体"/>
                <w:b w:val="0"/>
                <w:bCs w:val="0"/>
                <w:color w:val="auto"/>
                <w:sz w:val="24"/>
                <w:szCs w:val="18"/>
                <w:highlight w:val="none"/>
                <w:u w:val="single"/>
              </w:rPr>
              <w:t xml:space="preserve">  </w:t>
            </w:r>
          </w:p>
        </w:tc>
      </w:tr>
      <w:tr w14:paraId="6ACE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81" w:type="pct"/>
            <w:vAlign w:val="center"/>
          </w:tcPr>
          <w:p w14:paraId="76F73E85">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0</w:t>
            </w:r>
            <w:r>
              <w:rPr>
                <w:rFonts w:ascii="宋体" w:hAnsi="宋体" w:eastAsia="宋体"/>
                <w:bCs/>
                <w:color w:val="auto"/>
                <w:kern w:val="2"/>
                <w:highlight w:val="none"/>
              </w:rPr>
              <w:t>.1</w:t>
            </w:r>
          </w:p>
        </w:tc>
        <w:tc>
          <w:tcPr>
            <w:tcW w:w="1174" w:type="pct"/>
            <w:vAlign w:val="center"/>
          </w:tcPr>
          <w:p w14:paraId="6207F513">
            <w:pPr>
              <w:pStyle w:val="42"/>
              <w:widowControl w:val="0"/>
              <w:spacing w:before="0" w:beforeAutospacing="0" w:after="0" w:afterAutospacing="0" w:line="360" w:lineRule="auto"/>
              <w:jc w:val="left"/>
              <w:rPr>
                <w:rFonts w:ascii="宋体" w:hAnsi="宋体" w:eastAsia="宋体"/>
                <w:b w:val="0"/>
                <w:color w:val="auto"/>
                <w:sz w:val="24"/>
                <w:highlight w:val="none"/>
              </w:rPr>
            </w:pPr>
            <w:r>
              <w:rPr>
                <w:rFonts w:hint="eastAsia" w:ascii="宋体" w:hAnsi="宋体" w:eastAsia="宋体"/>
                <w:b w:val="0"/>
                <w:color w:val="auto"/>
                <w:sz w:val="24"/>
                <w:highlight w:val="none"/>
              </w:rPr>
              <w:t>投标保证金</w:t>
            </w:r>
          </w:p>
        </w:tc>
        <w:tc>
          <w:tcPr>
            <w:tcW w:w="3244" w:type="pct"/>
            <w:vAlign w:val="center"/>
          </w:tcPr>
          <w:p w14:paraId="520281DF">
            <w:pPr>
              <w:spacing w:line="360" w:lineRule="auto"/>
              <w:rPr>
                <w:color w:val="auto"/>
                <w:highlight w:val="none"/>
              </w:rPr>
            </w:pPr>
            <w:r>
              <w:rPr>
                <w:rFonts w:hint="eastAsia" w:ascii="宋体" w:hAnsi="宋体" w:eastAsia="宋体"/>
                <w:bCs/>
                <w:color w:val="auto"/>
                <w:kern w:val="0"/>
                <w:sz w:val="24"/>
                <w:szCs w:val="28"/>
                <w:highlight w:val="none"/>
              </w:rPr>
              <w:t>不收取</w:t>
            </w:r>
          </w:p>
        </w:tc>
      </w:tr>
      <w:tr w14:paraId="0DC2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F5DBCD4">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.1</w:t>
            </w:r>
          </w:p>
        </w:tc>
        <w:tc>
          <w:tcPr>
            <w:tcW w:w="1174" w:type="pct"/>
            <w:vAlign w:val="center"/>
          </w:tcPr>
          <w:p w14:paraId="2D69C8F0">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投标有效期</w:t>
            </w:r>
          </w:p>
        </w:tc>
        <w:tc>
          <w:tcPr>
            <w:tcW w:w="3244" w:type="pct"/>
            <w:vAlign w:val="center"/>
          </w:tcPr>
          <w:p w14:paraId="522B0461">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u w:val="single"/>
              </w:rPr>
              <w:t xml:space="preserve">  </w:t>
            </w:r>
            <w:r>
              <w:rPr>
                <w:rFonts w:hint="eastAsia" w:ascii="宋体" w:hAnsi="宋体" w:eastAsia="宋体"/>
                <w:b w:val="0"/>
                <w:color w:val="auto"/>
                <w:sz w:val="24"/>
                <w:highlight w:val="none"/>
                <w:u w:val="single"/>
                <w:lang w:val="en-US" w:eastAsia="zh-CN"/>
              </w:rPr>
              <w:t xml:space="preserve">90 </w:t>
            </w:r>
            <w:r>
              <w:rPr>
                <w:rFonts w:hint="eastAsia" w:ascii="宋体" w:hAnsi="宋体" w:eastAsia="宋体"/>
                <w:b w:val="0"/>
                <w:color w:val="auto"/>
                <w:sz w:val="24"/>
                <w:highlight w:val="none"/>
              </w:rPr>
              <w:t>日历日</w:t>
            </w:r>
          </w:p>
        </w:tc>
      </w:tr>
      <w:tr w14:paraId="4380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9BFE1F3">
            <w:pPr>
              <w:pStyle w:val="43"/>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3</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1</w:t>
            </w:r>
          </w:p>
        </w:tc>
        <w:tc>
          <w:tcPr>
            <w:tcW w:w="1174" w:type="pct"/>
            <w:vAlign w:val="center"/>
          </w:tcPr>
          <w:p w14:paraId="510CB0A1">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投标文件解密时间</w:t>
            </w:r>
          </w:p>
        </w:tc>
        <w:tc>
          <w:tcPr>
            <w:tcW w:w="3244" w:type="pct"/>
            <w:vAlign w:val="center"/>
          </w:tcPr>
          <w:p w14:paraId="385FD855">
            <w:pPr>
              <w:pStyle w:val="42"/>
              <w:widowControl w:val="0"/>
              <w:spacing w:before="0" w:beforeAutospacing="0" w:after="0" w:afterAutospacing="0" w:line="360" w:lineRule="auto"/>
              <w:jc w:val="both"/>
              <w:rPr>
                <w:rFonts w:hint="eastAsia" w:ascii="宋体" w:hAnsi="宋体" w:eastAsia="宋体"/>
                <w:b w:val="0"/>
                <w:color w:val="auto"/>
                <w:sz w:val="24"/>
                <w:highlight w:val="none"/>
                <w:u w:val="single"/>
                <w:lang w:val="en-US" w:eastAsia="zh-CN"/>
              </w:rPr>
            </w:pPr>
            <w:r>
              <w:rPr>
                <w:rFonts w:hint="eastAsia" w:ascii="宋体" w:hAnsi="宋体" w:eastAsia="宋体"/>
                <w:b w:val="0"/>
                <w:color w:val="auto"/>
                <w:sz w:val="24"/>
                <w:highlight w:val="none"/>
                <w:u w:val="none"/>
              </w:rPr>
              <w:t>投标截止时间后</w:t>
            </w:r>
            <w:r>
              <w:rPr>
                <w:rFonts w:hint="eastAsia" w:ascii="宋体" w:hAnsi="宋体" w:eastAsia="宋体"/>
                <w:b w:val="0"/>
                <w:color w:val="auto"/>
                <w:sz w:val="24"/>
                <w:highlight w:val="none"/>
                <w:u w:val="single"/>
                <w:lang w:val="en-US" w:eastAsia="zh-CN"/>
              </w:rPr>
              <w:t xml:space="preserve">  60  </w:t>
            </w:r>
            <w:r>
              <w:rPr>
                <w:rFonts w:hint="eastAsia" w:ascii="宋体" w:hAnsi="宋体" w:eastAsia="宋体"/>
                <w:b w:val="0"/>
                <w:color w:val="auto"/>
                <w:sz w:val="24"/>
                <w:highlight w:val="none"/>
                <w:u w:val="none"/>
              </w:rPr>
              <w:t>分钟内</w:t>
            </w:r>
            <w:r>
              <w:rPr>
                <w:rFonts w:hint="eastAsia" w:ascii="宋体" w:hAnsi="宋体" w:eastAsia="宋体" w:cs="宋体"/>
                <w:b w:val="0"/>
                <w:color w:val="auto"/>
                <w:sz w:val="24"/>
                <w:szCs w:val="24"/>
                <w:highlight w:val="none"/>
              </w:rPr>
              <w:t>（以本项目网上招投标系统解密倒计时为准）</w:t>
            </w:r>
          </w:p>
        </w:tc>
      </w:tr>
      <w:tr w14:paraId="6747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4E7C644A">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r>
              <w:rPr>
                <w:rFonts w:hint="eastAsia" w:ascii="宋体" w:hAnsi="宋体" w:eastAsia="宋体"/>
                <w:bCs/>
                <w:color w:val="auto"/>
                <w:kern w:val="2"/>
                <w:highlight w:val="none"/>
                <w:lang w:val="en-US" w:eastAsia="zh-CN"/>
              </w:rPr>
              <w:t>4</w:t>
            </w:r>
            <w:r>
              <w:rPr>
                <w:rFonts w:hint="eastAsia" w:ascii="宋体" w:hAnsi="宋体" w:eastAsia="宋体"/>
                <w:bCs/>
                <w:color w:val="auto"/>
                <w:kern w:val="2"/>
                <w:highlight w:val="none"/>
              </w:rPr>
              <w:t>.1</w:t>
            </w:r>
          </w:p>
        </w:tc>
        <w:tc>
          <w:tcPr>
            <w:tcW w:w="1174" w:type="pct"/>
            <w:vAlign w:val="center"/>
          </w:tcPr>
          <w:p w14:paraId="2B44367D">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资格审查</w:t>
            </w:r>
          </w:p>
        </w:tc>
        <w:tc>
          <w:tcPr>
            <w:tcW w:w="3244" w:type="pct"/>
            <w:vAlign w:val="center"/>
          </w:tcPr>
          <w:p w14:paraId="221DE1A4">
            <w:pPr>
              <w:pStyle w:val="42"/>
              <w:widowControl w:val="0"/>
              <w:spacing w:before="0" w:beforeAutospacing="0" w:after="0" w:afterAutospacing="0" w:line="360" w:lineRule="auto"/>
              <w:jc w:val="both"/>
              <w:rPr>
                <w:rFonts w:hint="eastAsia" w:ascii="宋体" w:hAnsi="宋体" w:eastAsia="宋体"/>
                <w:b w:val="0"/>
                <w:bCs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bCs w:val="0"/>
                <w:color w:val="auto"/>
                <w:sz w:val="24"/>
                <w:highlight w:val="none"/>
              </w:rPr>
              <w:t>采购人审查</w:t>
            </w:r>
          </w:p>
          <w:p w14:paraId="4E8FB0E4">
            <w:pPr>
              <w:pStyle w:val="42"/>
              <w:widowControl w:val="0"/>
              <w:spacing w:before="0" w:beforeAutospacing="0" w:after="0" w:afterAutospacing="0" w:line="360" w:lineRule="auto"/>
              <w:jc w:val="both"/>
              <w:rPr>
                <w:rFonts w:ascii="宋体" w:hAnsi="宋体" w:eastAsia="宋体"/>
                <w:b w:val="0"/>
                <w:color w:val="auto"/>
                <w:sz w:val="24"/>
                <w:highlight w:val="none"/>
                <w:u w:val="single"/>
              </w:rPr>
            </w:pPr>
            <w:r>
              <w:rPr>
                <w:rFonts w:ascii="宋体" w:hAnsi="宋体" w:eastAsia="宋体"/>
                <w:b w:val="0"/>
                <w:bCs w:val="0"/>
                <w:color w:val="auto"/>
                <w:sz w:val="24"/>
                <w:szCs w:val="24"/>
                <w:highlight w:val="none"/>
              </w:rPr>
              <w:t>□</w:t>
            </w:r>
            <w:r>
              <w:rPr>
                <w:rFonts w:hint="eastAsia" w:ascii="宋体" w:hAnsi="宋体" w:eastAsia="宋体"/>
                <w:b w:val="0"/>
                <w:bCs w:val="0"/>
                <w:color w:val="auto"/>
                <w:sz w:val="24"/>
                <w:highlight w:val="none"/>
              </w:rPr>
              <w:t>采购人出具委托函委托采购代理机构进行审查</w:t>
            </w:r>
          </w:p>
        </w:tc>
      </w:tr>
      <w:tr w14:paraId="70E1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57B47843">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ascii="宋体" w:hAnsi="宋体" w:eastAsia="宋体"/>
                <w:bCs/>
                <w:color w:val="auto"/>
                <w:kern w:val="2"/>
                <w:highlight w:val="none"/>
              </w:rPr>
              <w:t>.2</w:t>
            </w:r>
          </w:p>
        </w:tc>
        <w:tc>
          <w:tcPr>
            <w:tcW w:w="1174" w:type="pct"/>
            <w:vAlign w:val="center"/>
          </w:tcPr>
          <w:p w14:paraId="1BEDD8B2">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评标方法</w:t>
            </w:r>
          </w:p>
        </w:tc>
        <w:tc>
          <w:tcPr>
            <w:tcW w:w="3244" w:type="pct"/>
            <w:vAlign w:val="center"/>
          </w:tcPr>
          <w:p w14:paraId="3D28E686">
            <w:pPr>
              <w:pStyle w:val="42"/>
              <w:widowControl w:val="0"/>
              <w:spacing w:before="0" w:beforeAutospacing="0" w:after="0" w:afterAutospacing="0" w:line="360" w:lineRule="auto"/>
              <w:jc w:val="both"/>
              <w:rPr>
                <w:rFonts w:ascii="宋体" w:hAnsi="宋体" w:eastAsia="宋体"/>
                <w:b w:val="0"/>
                <w:color w:val="auto"/>
                <w:sz w:val="24"/>
                <w:highlight w:val="none"/>
                <w:u w:val="single"/>
              </w:rPr>
            </w:pPr>
            <w:r>
              <w:rPr>
                <w:rFonts w:ascii="宋体" w:hAnsi="宋体" w:eastAsia="宋体"/>
                <w:b w:val="0"/>
                <w:bCs w:val="0"/>
                <w:color w:val="auto"/>
                <w:sz w:val="24"/>
                <w:szCs w:val="24"/>
                <w:highlight w:val="none"/>
              </w:rPr>
              <w:t>□</w:t>
            </w:r>
            <w:r>
              <w:rPr>
                <w:rFonts w:hint="eastAsia" w:ascii="宋体" w:hAnsi="宋体" w:eastAsia="宋体"/>
                <w:b w:val="0"/>
                <w:color w:val="auto"/>
                <w:sz w:val="24"/>
                <w:highlight w:val="none"/>
                <w:u w:val="none"/>
              </w:rPr>
              <w:t>最低评标价法</w:t>
            </w:r>
          </w:p>
          <w:p w14:paraId="0F10826A">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bCs w:val="0"/>
                <w:color w:val="auto"/>
                <w:sz w:val="24"/>
                <w:szCs w:val="24"/>
                <w:highlight w:val="none"/>
                <w:lang w:eastAsia="zh-CN"/>
              </w:rPr>
              <w:t>☑</w:t>
            </w:r>
            <w:r>
              <w:rPr>
                <w:rFonts w:hint="eastAsia" w:ascii="宋体" w:hAnsi="宋体" w:eastAsia="宋体"/>
                <w:b w:val="0"/>
                <w:color w:val="auto"/>
                <w:sz w:val="24"/>
                <w:highlight w:val="none"/>
                <w:u w:val="none"/>
              </w:rPr>
              <w:t>综合评分法</w:t>
            </w:r>
          </w:p>
        </w:tc>
      </w:tr>
      <w:tr w14:paraId="61BB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0CCE6468">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17</w:t>
            </w:r>
            <w:r>
              <w:rPr>
                <w:rFonts w:ascii="宋体" w:hAnsi="宋体" w:eastAsia="宋体"/>
                <w:bCs/>
                <w:color w:val="auto"/>
                <w:kern w:val="2"/>
                <w:highlight w:val="none"/>
              </w:rPr>
              <w:t>.3</w:t>
            </w:r>
          </w:p>
        </w:tc>
        <w:tc>
          <w:tcPr>
            <w:tcW w:w="1174" w:type="pct"/>
            <w:vAlign w:val="center"/>
          </w:tcPr>
          <w:p w14:paraId="77E99FD8">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报价扣除</w:t>
            </w:r>
          </w:p>
          <w:p w14:paraId="032DC138">
            <w:pPr>
              <w:pStyle w:val="42"/>
              <w:widowControl w:val="0"/>
              <w:spacing w:before="0" w:beforeAutospacing="0" w:after="0" w:afterAutospacing="0" w:line="360" w:lineRule="auto"/>
              <w:jc w:val="both"/>
              <w:rPr>
                <w:rFonts w:ascii="宋体" w:hAnsi="宋体" w:eastAsia="宋体"/>
                <w:b w:val="0"/>
                <w:i/>
                <w:color w:val="auto"/>
                <w:sz w:val="24"/>
                <w:highlight w:val="none"/>
              </w:rPr>
            </w:pPr>
            <w:r>
              <w:rPr>
                <w:rFonts w:hint="eastAsia" w:ascii="宋体" w:hAnsi="宋体" w:eastAsia="宋体"/>
                <w:b w:val="0"/>
                <w:i w:val="0"/>
                <w:iCs/>
                <w:color w:val="auto"/>
                <w:sz w:val="24"/>
                <w:highlight w:val="none"/>
              </w:rPr>
              <w:t>（非专门面向中小企业采购项目适用）</w:t>
            </w:r>
          </w:p>
        </w:tc>
        <w:tc>
          <w:tcPr>
            <w:tcW w:w="3244" w:type="pct"/>
            <w:vAlign w:val="center"/>
          </w:tcPr>
          <w:p w14:paraId="5786DA7C">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ascii="宋体" w:hAnsi="宋体" w:eastAsia="宋体"/>
                <w:b w:val="0"/>
                <w:color w:val="auto"/>
                <w:sz w:val="24"/>
                <w:highlight w:val="none"/>
                <w:u w:val="single"/>
                <w:lang w:val="en-US" w:eastAsia="zh-CN"/>
              </w:rPr>
              <w:t xml:space="preserve">  / </w:t>
            </w:r>
            <w:r>
              <w:rPr>
                <w:rFonts w:hint="eastAsia" w:ascii="宋体" w:hAnsi="宋体" w:eastAsia="宋体"/>
                <w:b w:val="0"/>
                <w:color w:val="auto"/>
                <w:sz w:val="24"/>
                <w:highlight w:val="none"/>
              </w:rPr>
              <w:t>。</w:t>
            </w:r>
          </w:p>
          <w:p w14:paraId="69DED8F6">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683D57B4">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2BACCFB">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ascii="宋体" w:hAnsi="宋体" w:eastAsia="宋体"/>
                <w:b w:val="0"/>
                <w:color w:val="auto"/>
                <w:sz w:val="24"/>
                <w:highlight w:val="none"/>
                <w:u w:val="single"/>
                <w:lang w:val="en-US" w:eastAsia="zh-CN"/>
              </w:rPr>
              <w:t xml:space="preserve"> / </w:t>
            </w:r>
            <w:r>
              <w:rPr>
                <w:rFonts w:hint="eastAsia" w:ascii="宋体" w:hAnsi="宋体" w:eastAsia="宋体"/>
                <w:b w:val="0"/>
                <w:color w:val="auto"/>
                <w:sz w:val="24"/>
                <w:highlight w:val="none"/>
              </w:rPr>
              <w:t>。</w:t>
            </w:r>
          </w:p>
          <w:p w14:paraId="0C483FE8">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ascii="宋体" w:hAnsi="宋体" w:eastAsia="宋体"/>
                <w:b w:val="0"/>
                <w:color w:val="auto"/>
                <w:sz w:val="24"/>
                <w:highlight w:val="none"/>
                <w:u w:val="single"/>
                <w:lang w:val="en-US" w:eastAsia="zh-CN"/>
              </w:rPr>
              <w:t xml:space="preserve">  /  </w:t>
            </w:r>
            <w:r>
              <w:rPr>
                <w:rFonts w:hint="eastAsia" w:ascii="宋体" w:hAnsi="宋体" w:eastAsia="宋体"/>
                <w:b w:val="0"/>
                <w:color w:val="auto"/>
                <w:sz w:val="24"/>
                <w:highlight w:val="none"/>
              </w:rPr>
              <w:t>。</w:t>
            </w:r>
          </w:p>
        </w:tc>
      </w:tr>
      <w:tr w14:paraId="28E7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3" w:type="dxa"/>
            <w:vAlign w:val="center"/>
          </w:tcPr>
          <w:p w14:paraId="76CF4DEB">
            <w:pPr>
              <w:pStyle w:val="43"/>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adjustRightInd/>
              <w:snapToGrid/>
              <w:spacing w:line="36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17.4</w:t>
            </w:r>
          </w:p>
        </w:tc>
        <w:tc>
          <w:tcPr>
            <w:tcW w:w="2229" w:type="dxa"/>
            <w:vAlign w:val="center"/>
          </w:tcPr>
          <w:p w14:paraId="3D29FA5E">
            <w:pPr>
              <w:spacing w:line="360" w:lineRule="auto"/>
              <w:rPr>
                <w:rFonts w:hint="eastAsia" w:ascii="宋体" w:hAnsi="宋体" w:eastAsia="宋体"/>
                <w:b w:val="0"/>
                <w:i/>
                <w:color w:val="auto"/>
                <w:sz w:val="24"/>
                <w:highlight w:val="none"/>
              </w:rPr>
            </w:pPr>
            <w:r>
              <w:rPr>
                <w:rFonts w:hint="eastAsia" w:ascii="宋体" w:hAnsi="宋体" w:eastAsia="宋体"/>
                <w:b w:val="0"/>
                <w:i w:val="0"/>
                <w:iCs w:val="0"/>
                <w:color w:val="auto"/>
                <w:sz w:val="24"/>
                <w:highlight w:val="none"/>
                <w:lang w:val="en-US" w:eastAsia="zh-CN"/>
              </w:rPr>
              <w:t>本国产品价格扣除</w:t>
            </w:r>
            <w:r>
              <w:rPr>
                <w:rFonts w:hint="eastAsia" w:ascii="宋体" w:hAnsi="宋体" w:eastAsia="宋体" w:cs="Times New Roman"/>
                <w:i w:val="0"/>
                <w:iCs w:val="0"/>
                <w:color w:val="auto"/>
                <w:sz w:val="24"/>
                <w:highlight w:val="none"/>
                <w:lang w:val="en-US" w:eastAsia="zh-CN"/>
              </w:rPr>
              <w:t>（</w:t>
            </w:r>
            <w:r>
              <w:rPr>
                <w:rFonts w:hint="eastAsia" w:ascii="宋体" w:hAnsi="宋体" w:eastAsia="宋体" w:cs="Times New Roman"/>
                <w:b w:val="0"/>
                <w:bCs w:val="0"/>
                <w:i w:val="0"/>
                <w:iCs w:val="0"/>
                <w:color w:val="auto"/>
                <w:sz w:val="24"/>
                <w:highlight w:val="none"/>
                <w:lang w:val="en-US" w:eastAsia="zh-CN"/>
              </w:rPr>
              <w:t>适用于</w:t>
            </w:r>
            <w:r>
              <w:rPr>
                <w:rFonts w:hint="eastAsia" w:ascii="宋体" w:hAnsi="宋体" w:eastAsia="宋体" w:cs="宋体"/>
                <w:b w:val="0"/>
                <w:bCs w:val="0"/>
                <w:i w:val="0"/>
                <w:iCs w:val="0"/>
                <w:caps w:val="0"/>
                <w:color w:val="auto"/>
                <w:spacing w:val="0"/>
                <w:sz w:val="24"/>
                <w:szCs w:val="24"/>
                <w:highlight w:val="none"/>
                <w:u w:val="none"/>
                <w:shd w:val="clear" w:color="auto" w:fill="FFFFFF"/>
                <w:vertAlign w:val="baseline"/>
              </w:rPr>
              <w:t>服务项目中涉及的既有本国产品又有非本国产品参与竞争</w:t>
            </w:r>
            <w:r>
              <w:rPr>
                <w:rFonts w:hint="eastAsia" w:ascii="宋体" w:hAnsi="宋体" w:eastAsia="宋体" w:cs="宋体"/>
                <w:b w:val="0"/>
                <w:bCs w:val="0"/>
                <w:i w:val="0"/>
                <w:iCs w:val="0"/>
                <w:caps w:val="0"/>
                <w:color w:val="auto"/>
                <w:spacing w:val="0"/>
                <w:sz w:val="24"/>
                <w:szCs w:val="24"/>
                <w:highlight w:val="none"/>
                <w:u w:val="none"/>
                <w:shd w:val="clear" w:color="auto" w:fill="FFFFFF"/>
                <w:vertAlign w:val="baseline"/>
                <w:lang w:val="en-US" w:eastAsia="zh-CN"/>
              </w:rPr>
              <w:t>的</w:t>
            </w:r>
            <w:r>
              <w:rPr>
                <w:rFonts w:hint="eastAsia" w:ascii="宋体" w:hAnsi="宋体" w:eastAsia="宋体" w:cs="宋体"/>
                <w:b w:val="0"/>
                <w:bCs w:val="0"/>
                <w:i w:val="0"/>
                <w:iCs w:val="0"/>
                <w:caps w:val="0"/>
                <w:color w:val="auto"/>
                <w:spacing w:val="0"/>
                <w:sz w:val="24"/>
                <w:szCs w:val="24"/>
                <w:highlight w:val="none"/>
                <w:u w:val="none"/>
                <w:shd w:val="clear" w:color="auto" w:fill="FFFFFF"/>
                <w:vertAlign w:val="baseline"/>
              </w:rPr>
              <w:t>货物</w:t>
            </w:r>
            <w:r>
              <w:rPr>
                <w:rFonts w:hint="eastAsia" w:ascii="宋体" w:hAnsi="宋体" w:eastAsia="宋体" w:cs="Times New Roman"/>
                <w:b w:val="0"/>
                <w:bCs w:val="0"/>
                <w:i w:val="0"/>
                <w:iCs w:val="0"/>
                <w:color w:val="auto"/>
                <w:sz w:val="24"/>
                <w:highlight w:val="none"/>
                <w:lang w:val="en-US" w:eastAsia="zh-CN"/>
              </w:rPr>
              <w:t>）</w:t>
            </w:r>
          </w:p>
        </w:tc>
        <w:tc>
          <w:tcPr>
            <w:tcW w:w="6161" w:type="dxa"/>
            <w:vAlign w:val="center"/>
          </w:tcPr>
          <w:p w14:paraId="099EDD3F">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b w:val="0"/>
                <w:i w:val="0"/>
                <w:iCs w:val="0"/>
                <w:color w:val="auto"/>
                <w:sz w:val="24"/>
                <w:highlight w:val="none"/>
                <w:lang w:val="en-US" w:eastAsia="zh-CN"/>
              </w:rPr>
            </w:pPr>
            <w:r>
              <w:rPr>
                <w:rFonts w:hint="eastAsia" w:ascii="宋体" w:hAnsi="宋体" w:eastAsia="宋体"/>
                <w:b w:val="0"/>
                <w:i w:val="0"/>
                <w:iCs w:val="0"/>
                <w:color w:val="auto"/>
                <w:sz w:val="24"/>
                <w:highlight w:val="none"/>
                <w:lang w:val="en-US" w:eastAsia="zh-CN"/>
              </w:rPr>
              <w:t>（1）项目或者采购包中采购内容为单一产品的，既有本国产品又有非本国产品参与竞争的，对本国产品给予价格扣除</w:t>
            </w:r>
            <w:r>
              <w:rPr>
                <w:rFonts w:hint="eastAsia" w:ascii="宋体" w:hAnsi="宋体" w:eastAsia="宋体"/>
                <w:b w:val="0"/>
                <w:i w:val="0"/>
                <w:iCs w:val="0"/>
                <w:color w:val="auto"/>
                <w:sz w:val="24"/>
                <w:highlight w:val="none"/>
                <w:u w:val="single"/>
                <w:lang w:val="en-US" w:eastAsia="zh-CN"/>
              </w:rPr>
              <w:t>20%</w:t>
            </w:r>
            <w:r>
              <w:rPr>
                <w:rFonts w:hint="eastAsia" w:ascii="宋体" w:hAnsi="宋体" w:eastAsia="宋体"/>
                <w:b w:val="0"/>
                <w:i w:val="0"/>
                <w:iCs w:val="0"/>
                <w:color w:val="auto"/>
                <w:sz w:val="24"/>
                <w:highlight w:val="none"/>
                <w:lang w:val="en-US" w:eastAsia="zh-CN"/>
              </w:rPr>
              <w:t>。</w:t>
            </w:r>
          </w:p>
          <w:p w14:paraId="3509C6F6">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b w:val="0"/>
                <w:color w:val="auto"/>
                <w:sz w:val="24"/>
                <w:highlight w:val="none"/>
              </w:rPr>
            </w:pPr>
            <w:r>
              <w:rPr>
                <w:rFonts w:hint="eastAsia" w:ascii="宋体" w:hAnsi="宋体" w:eastAsia="宋体"/>
                <w:b w:val="0"/>
                <w:i w:val="0"/>
                <w:iCs w:val="0"/>
                <w:color w:val="auto"/>
                <w:sz w:val="24"/>
                <w:highlight w:val="none"/>
                <w:lang w:val="en-US" w:eastAsia="zh-CN"/>
              </w:rPr>
              <w:t>（2）项目或者采购包中含有多种产品的，符合本国产品标准的产品成本之和占该投标人提供的全部产品成本之和的比例≥80%，所有产品价格扣除</w:t>
            </w:r>
            <w:r>
              <w:rPr>
                <w:rFonts w:hint="eastAsia" w:ascii="宋体" w:hAnsi="宋体" w:eastAsia="宋体"/>
                <w:b w:val="0"/>
                <w:i w:val="0"/>
                <w:iCs w:val="0"/>
                <w:color w:val="auto"/>
                <w:sz w:val="24"/>
                <w:highlight w:val="none"/>
                <w:u w:val="single"/>
                <w:lang w:val="en-US" w:eastAsia="zh-CN"/>
              </w:rPr>
              <w:t>20%</w:t>
            </w:r>
            <w:r>
              <w:rPr>
                <w:rFonts w:hint="eastAsia" w:ascii="宋体" w:hAnsi="宋体" w:eastAsia="宋体"/>
                <w:b w:val="0"/>
                <w:i w:val="0"/>
                <w:iCs w:val="0"/>
                <w:color w:val="auto"/>
                <w:sz w:val="24"/>
                <w:highlight w:val="none"/>
                <w:u w:val="none"/>
                <w:lang w:val="en-US" w:eastAsia="zh-CN"/>
              </w:rPr>
              <w:t>。</w:t>
            </w:r>
          </w:p>
        </w:tc>
      </w:tr>
      <w:tr w14:paraId="1A26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CEEF6A3">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rPr>
              <w:t>1</w:t>
            </w:r>
          </w:p>
        </w:tc>
        <w:tc>
          <w:tcPr>
            <w:tcW w:w="1174" w:type="pct"/>
            <w:vAlign w:val="center"/>
          </w:tcPr>
          <w:p w14:paraId="0AAFE4F6">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评标委员会推荐</w:t>
            </w:r>
            <w:r>
              <w:rPr>
                <w:rFonts w:ascii="宋体" w:hAnsi="宋体" w:eastAsia="宋体"/>
                <w:b w:val="0"/>
                <w:color w:val="auto"/>
                <w:sz w:val="24"/>
                <w:highlight w:val="none"/>
              </w:rPr>
              <w:t>中标候选</w:t>
            </w:r>
            <w:r>
              <w:rPr>
                <w:rFonts w:hint="eastAsia" w:ascii="宋体" w:hAnsi="宋体" w:eastAsia="宋体"/>
                <w:b w:val="0"/>
                <w:color w:val="auto"/>
                <w:sz w:val="24"/>
                <w:highlight w:val="none"/>
              </w:rPr>
              <w:t>人的</w:t>
            </w:r>
            <w:r>
              <w:rPr>
                <w:rFonts w:ascii="宋体" w:hAnsi="宋体" w:eastAsia="宋体"/>
                <w:b w:val="0"/>
                <w:color w:val="auto"/>
                <w:sz w:val="24"/>
                <w:highlight w:val="none"/>
              </w:rPr>
              <w:t>数量</w:t>
            </w:r>
          </w:p>
        </w:tc>
        <w:tc>
          <w:tcPr>
            <w:tcW w:w="3244" w:type="pct"/>
            <w:vAlign w:val="center"/>
          </w:tcPr>
          <w:p w14:paraId="45E51C21">
            <w:pPr>
              <w:pStyle w:val="42"/>
              <w:widowControl w:val="0"/>
              <w:spacing w:before="0" w:beforeAutospacing="0" w:after="0" w:afterAutospacing="0" w:line="360" w:lineRule="auto"/>
              <w:jc w:val="both"/>
              <w:rPr>
                <w:rFonts w:ascii="宋体" w:hAnsi="宋体" w:eastAsia="宋体"/>
                <w:b w:val="0"/>
                <w:color w:val="auto"/>
                <w:sz w:val="24"/>
                <w:highlight w:val="none"/>
                <w:u w:val="single"/>
              </w:rPr>
            </w:pPr>
            <w:r>
              <w:rPr>
                <w:rFonts w:hint="eastAsia" w:ascii="宋体" w:hAnsi="宋体" w:eastAsia="宋体" w:cs="宋体"/>
                <w:b w:val="0"/>
                <w:color w:val="auto"/>
                <w:sz w:val="24"/>
                <w:szCs w:val="24"/>
                <w:highlight w:val="none"/>
              </w:rPr>
              <w:t>评标委员会推荐3名中标候选人</w:t>
            </w:r>
          </w:p>
        </w:tc>
      </w:tr>
      <w:tr w14:paraId="7EF4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7AF1DF1">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rPr>
              <w:t>2</w:t>
            </w:r>
          </w:p>
        </w:tc>
        <w:tc>
          <w:tcPr>
            <w:tcW w:w="1174" w:type="pct"/>
            <w:vAlign w:val="center"/>
          </w:tcPr>
          <w:p w14:paraId="62C6F207">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确定中标人</w:t>
            </w:r>
          </w:p>
        </w:tc>
        <w:tc>
          <w:tcPr>
            <w:tcW w:w="3244" w:type="pct"/>
            <w:vAlign w:val="center"/>
          </w:tcPr>
          <w:p w14:paraId="601A7770">
            <w:pPr>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sym w:font="Wingdings" w:char="00A8"/>
            </w:r>
            <w:r>
              <w:rPr>
                <w:rFonts w:hint="eastAsia" w:asciiTheme="minorEastAsia" w:hAnsiTheme="minorEastAsia" w:eastAsiaTheme="minorEastAsia"/>
                <w:color w:val="auto"/>
                <w:kern w:val="0"/>
                <w:sz w:val="24"/>
                <w:szCs w:val="24"/>
                <w:highlight w:val="none"/>
              </w:rPr>
              <w:t>采购人委托评标委员会确定</w:t>
            </w:r>
          </w:p>
          <w:p w14:paraId="5A4428D0">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Theme="minorEastAsia" w:hAnsiTheme="minorEastAsia" w:eastAsiaTheme="minorEastAsia"/>
                <w:b w:val="0"/>
                <w:bCs w:val="0"/>
                <w:color w:val="auto"/>
                <w:kern w:val="2"/>
                <w:sz w:val="24"/>
                <w:szCs w:val="24"/>
                <w:highlight w:val="none"/>
                <w:lang w:eastAsia="zh-CN"/>
              </w:rPr>
              <w:t>☑</w:t>
            </w:r>
            <w:r>
              <w:rPr>
                <w:rFonts w:hint="eastAsia" w:asciiTheme="minorEastAsia" w:hAnsiTheme="minorEastAsia" w:eastAsiaTheme="minorEastAsia"/>
                <w:b w:val="0"/>
                <w:bCs w:val="0"/>
                <w:color w:val="auto"/>
                <w:kern w:val="2"/>
                <w:sz w:val="24"/>
                <w:szCs w:val="24"/>
                <w:highlight w:val="none"/>
              </w:rPr>
              <w:t>采购人确定</w:t>
            </w:r>
          </w:p>
        </w:tc>
      </w:tr>
      <w:tr w14:paraId="2252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1E5749C8">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ascii="宋体" w:hAnsi="宋体" w:eastAsia="宋体"/>
                <w:bCs/>
                <w:color w:val="auto"/>
                <w:kern w:val="2"/>
                <w:highlight w:val="none"/>
              </w:rPr>
              <w:t>2</w:t>
            </w:r>
            <w:r>
              <w:rPr>
                <w:rFonts w:hint="eastAsia" w:ascii="宋体" w:hAnsi="宋体" w:eastAsia="宋体"/>
                <w:bCs/>
                <w:color w:val="auto"/>
                <w:kern w:val="2"/>
                <w:highlight w:val="none"/>
                <w:lang w:val="en-US" w:eastAsia="zh-CN"/>
              </w:rPr>
              <w:t>3</w:t>
            </w:r>
            <w:r>
              <w:rPr>
                <w:rFonts w:ascii="宋体" w:hAnsi="宋体" w:eastAsia="宋体"/>
                <w:bCs/>
                <w:color w:val="auto"/>
                <w:kern w:val="2"/>
                <w:highlight w:val="none"/>
              </w:rPr>
              <w:t>.3</w:t>
            </w:r>
          </w:p>
        </w:tc>
        <w:tc>
          <w:tcPr>
            <w:tcW w:w="1174" w:type="pct"/>
            <w:vAlign w:val="center"/>
          </w:tcPr>
          <w:p w14:paraId="3FEDA853">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随中标结果公告同时</w:t>
            </w:r>
            <w:r>
              <w:rPr>
                <w:rFonts w:hint="eastAsia" w:ascii="宋体" w:hAnsi="宋体" w:eastAsia="宋体"/>
                <w:b w:val="0"/>
                <w:color w:val="auto"/>
                <w:sz w:val="24"/>
                <w:highlight w:val="none"/>
                <w:lang w:val="en-US" w:eastAsia="zh-CN"/>
              </w:rPr>
              <w:t>公告</w:t>
            </w:r>
            <w:r>
              <w:rPr>
                <w:rFonts w:hint="eastAsia" w:ascii="宋体" w:hAnsi="宋体" w:eastAsia="宋体"/>
                <w:b w:val="0"/>
                <w:color w:val="auto"/>
                <w:sz w:val="24"/>
                <w:highlight w:val="none"/>
              </w:rPr>
              <w:t>的内容</w:t>
            </w:r>
          </w:p>
        </w:tc>
        <w:tc>
          <w:tcPr>
            <w:tcW w:w="3244" w:type="pct"/>
            <w:vAlign w:val="center"/>
          </w:tcPr>
          <w:p w14:paraId="5F062076">
            <w:pPr>
              <w:pStyle w:val="42"/>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p>
          <w:p w14:paraId="747147DC">
            <w:pPr>
              <w:pStyle w:val="42"/>
              <w:widowControl w:val="0"/>
              <w:spacing w:before="0" w:beforeAutospacing="0" w:after="0" w:afterAutospacing="0" w:line="360" w:lineRule="auto"/>
              <w:jc w:val="both"/>
              <w:rPr>
                <w:rFonts w:ascii="宋体" w:hAnsi="宋体" w:eastAsia="宋体"/>
                <w:b w:val="0"/>
                <w:i/>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val="0"/>
                <w:iCs w:val="0"/>
                <w:color w:val="auto"/>
                <w:sz w:val="24"/>
                <w:highlight w:val="none"/>
                <w:u w:val="none"/>
              </w:rPr>
              <w:t>（如有）</w:t>
            </w:r>
          </w:p>
          <w:p w14:paraId="793D1649">
            <w:pPr>
              <w:pStyle w:val="42"/>
              <w:widowControl w:val="0"/>
              <w:spacing w:before="0" w:beforeAutospacing="0" w:after="0" w:afterAutospacing="0" w:line="360" w:lineRule="auto"/>
              <w:jc w:val="both"/>
              <w:rPr>
                <w:rFonts w:hint="eastAsia" w:ascii="宋体" w:hAnsi="宋体" w:eastAsia="宋体"/>
                <w:b w:val="0"/>
                <w:i/>
                <w:iCs/>
                <w:color w:val="auto"/>
                <w:sz w:val="24"/>
                <w:highlight w:val="none"/>
                <w:u w:val="none"/>
                <w:lang w:eastAsia="zh-CN"/>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3</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p>
          <w:p w14:paraId="18289587">
            <w:pPr>
              <w:pStyle w:val="42"/>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lang w:val="en-US" w:eastAsia="zh-CN"/>
              </w:rPr>
              <w:t>4</w:t>
            </w:r>
            <w:r>
              <w:rPr>
                <w:rFonts w:hint="eastAsia" w:ascii="宋体" w:hAnsi="宋体" w:eastAsia="宋体"/>
                <w:b w:val="0"/>
                <w:color w:val="auto"/>
                <w:sz w:val="24"/>
                <w:highlight w:val="none"/>
                <w:u w:val="none"/>
                <w:lang w:eastAsia="zh-CN"/>
              </w:rPr>
              <w:t>）</w:t>
            </w:r>
            <w:r>
              <w:rPr>
                <w:rFonts w:hint="eastAsia" w:ascii="宋体" w:hAnsi="宋体" w:eastAsia="宋体" w:cs="@仿宋_GB2312"/>
                <w:b w:val="0"/>
                <w:bCs w:val="0"/>
                <w:color w:val="auto"/>
                <w:sz w:val="24"/>
                <w:szCs w:val="20"/>
                <w:highlight w:val="none"/>
                <w:u w:val="none"/>
              </w:rPr>
              <w:t>符合本国产品标准的声明函</w:t>
            </w:r>
            <w:r>
              <w:rPr>
                <w:rFonts w:hint="eastAsia" w:ascii="宋体" w:hAnsi="宋体" w:eastAsia="宋体" w:cs="@仿宋_GB2312"/>
                <w:b w:val="0"/>
                <w:bCs w:val="0"/>
                <w:color w:val="auto"/>
                <w:sz w:val="24"/>
                <w:szCs w:val="20"/>
                <w:highlight w:val="none"/>
                <w:u w:val="none"/>
                <w:lang w:eastAsia="zh-CN"/>
              </w:rPr>
              <w:t>；</w:t>
            </w:r>
            <w:r>
              <w:rPr>
                <w:rFonts w:hint="eastAsia" w:ascii="宋体" w:hAnsi="宋体" w:eastAsia="宋体" w:cs="@仿宋_GB2312"/>
                <w:b w:val="0"/>
                <w:bCs w:val="0"/>
                <w:i w:val="0"/>
                <w:iCs w:val="0"/>
                <w:color w:val="auto"/>
                <w:sz w:val="24"/>
                <w:szCs w:val="20"/>
                <w:highlight w:val="none"/>
                <w:u w:val="none"/>
                <w:lang w:eastAsia="zh-CN"/>
              </w:rPr>
              <w:t>（</w:t>
            </w:r>
            <w:r>
              <w:rPr>
                <w:rFonts w:hint="eastAsia" w:ascii="宋体" w:hAnsi="宋体" w:eastAsia="宋体" w:cs="@仿宋_GB2312"/>
                <w:b w:val="0"/>
                <w:bCs w:val="0"/>
                <w:i w:val="0"/>
                <w:iCs w:val="0"/>
                <w:color w:val="auto"/>
                <w:sz w:val="24"/>
                <w:szCs w:val="20"/>
                <w:highlight w:val="none"/>
                <w:u w:val="none"/>
                <w:lang w:val="en-US" w:eastAsia="zh-CN"/>
              </w:rPr>
              <w:t>如有</w:t>
            </w:r>
            <w:r>
              <w:rPr>
                <w:rFonts w:hint="eastAsia" w:ascii="宋体" w:hAnsi="宋体" w:eastAsia="宋体" w:cs="@仿宋_GB2312"/>
                <w:b w:val="0"/>
                <w:bCs w:val="0"/>
                <w:i w:val="0"/>
                <w:iCs w:val="0"/>
                <w:color w:val="auto"/>
                <w:sz w:val="24"/>
                <w:szCs w:val="20"/>
                <w:highlight w:val="none"/>
                <w:u w:val="none"/>
                <w:lang w:eastAsia="zh-CN"/>
              </w:rPr>
              <w:t>）</w:t>
            </w:r>
          </w:p>
        </w:tc>
      </w:tr>
      <w:tr w14:paraId="5512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DE9DD48">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r>
              <w:rPr>
                <w:rFonts w:hint="eastAsia" w:ascii="宋体" w:hAnsi="宋体" w:eastAsia="宋体"/>
                <w:bCs/>
                <w:color w:val="auto"/>
                <w:kern w:val="2"/>
                <w:highlight w:val="none"/>
                <w:lang w:val="en-US" w:eastAsia="zh-CN"/>
              </w:rPr>
              <w:t>4</w:t>
            </w:r>
            <w:r>
              <w:rPr>
                <w:rFonts w:ascii="宋体" w:hAnsi="宋体" w:eastAsia="宋体"/>
                <w:bCs/>
                <w:color w:val="auto"/>
                <w:kern w:val="2"/>
                <w:highlight w:val="none"/>
              </w:rPr>
              <w:t>.1</w:t>
            </w:r>
          </w:p>
        </w:tc>
        <w:tc>
          <w:tcPr>
            <w:tcW w:w="1174" w:type="pct"/>
            <w:vAlign w:val="center"/>
          </w:tcPr>
          <w:p w14:paraId="0C3BDEB3">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中标通知书发出的形式</w:t>
            </w:r>
          </w:p>
        </w:tc>
        <w:tc>
          <w:tcPr>
            <w:tcW w:w="3244" w:type="pct"/>
            <w:vAlign w:val="center"/>
          </w:tcPr>
          <w:p w14:paraId="11B63DA8">
            <w:pPr>
              <w:pStyle w:val="42"/>
              <w:widowControl w:val="0"/>
              <w:spacing w:before="0" w:beforeAutospacing="0" w:after="0" w:afterAutospacing="0" w:line="360" w:lineRule="auto"/>
              <w:jc w:val="both"/>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rPr>
              <w:t xml:space="preserve">□书面 </w:t>
            </w:r>
            <w:r>
              <w:rPr>
                <w:rFonts w:ascii="宋体" w:hAnsi="宋体" w:eastAsia="宋体"/>
                <w:b w:val="0"/>
                <w:bCs w:val="0"/>
                <w:color w:val="auto"/>
                <w:sz w:val="24"/>
                <w:szCs w:val="24"/>
                <w:highlight w:val="none"/>
              </w:rPr>
              <w:t xml:space="preserve">    </w:t>
            </w:r>
            <w:r>
              <w:rPr>
                <w:rFonts w:hint="eastAsia" w:ascii="宋体" w:hAnsi="宋体" w:eastAsia="宋体"/>
                <w:b w:val="0"/>
                <w:bCs w:val="0"/>
                <w:color w:val="auto"/>
                <w:sz w:val="24"/>
                <w:szCs w:val="24"/>
                <w:highlight w:val="none"/>
              </w:rPr>
              <w:sym w:font="Wingdings" w:char="00FE"/>
            </w:r>
            <w:r>
              <w:rPr>
                <w:rFonts w:hint="eastAsia" w:ascii="宋体" w:hAnsi="宋体" w:eastAsia="宋体"/>
                <w:b w:val="0"/>
                <w:bCs w:val="0"/>
                <w:color w:val="auto"/>
                <w:sz w:val="24"/>
                <w:szCs w:val="24"/>
                <w:highlight w:val="none"/>
              </w:rPr>
              <w:t>数据电文</w:t>
            </w:r>
          </w:p>
        </w:tc>
      </w:tr>
      <w:tr w14:paraId="506D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7B0589CB">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25</w:t>
            </w:r>
            <w:r>
              <w:rPr>
                <w:rFonts w:ascii="宋体" w:hAnsi="宋体" w:eastAsia="宋体"/>
                <w:bCs/>
                <w:color w:val="auto"/>
                <w:kern w:val="2"/>
                <w:highlight w:val="none"/>
              </w:rPr>
              <w:t>.1</w:t>
            </w:r>
          </w:p>
        </w:tc>
        <w:tc>
          <w:tcPr>
            <w:tcW w:w="1174" w:type="pct"/>
            <w:vAlign w:val="center"/>
          </w:tcPr>
          <w:p w14:paraId="581DC840">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告知招标结果的形式</w:t>
            </w:r>
          </w:p>
        </w:tc>
        <w:tc>
          <w:tcPr>
            <w:tcW w:w="3244" w:type="pct"/>
            <w:vAlign w:val="center"/>
          </w:tcPr>
          <w:p w14:paraId="3615FA12">
            <w:pPr>
              <w:spacing w:line="360" w:lineRule="auto"/>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sym w:font="Wingdings" w:char="00FE"/>
            </w:r>
            <w:r>
              <w:rPr>
                <w:rFonts w:hint="eastAsia" w:asciiTheme="minorEastAsia" w:hAnsiTheme="minorEastAsia" w:eastAsiaTheme="minorEastAsia"/>
                <w:color w:val="auto"/>
                <w:kern w:val="0"/>
                <w:sz w:val="24"/>
                <w:szCs w:val="24"/>
                <w:highlight w:val="none"/>
              </w:rPr>
              <w:t>投标人自行登录电子</w:t>
            </w:r>
            <w:r>
              <w:rPr>
                <w:rFonts w:hint="eastAsia" w:ascii="宋体" w:hAnsi="宋体" w:eastAsia="宋体" w:cs="宋体"/>
                <w:b w:val="0"/>
                <w:bCs w:val="0"/>
                <w:color w:val="auto"/>
                <w:sz w:val="24"/>
                <w:szCs w:val="24"/>
                <w:highlight w:val="none"/>
                <w:lang w:val="en-US" w:eastAsia="zh-CN"/>
              </w:rPr>
              <w:t>交易</w:t>
            </w:r>
            <w:r>
              <w:rPr>
                <w:rFonts w:hint="eastAsia" w:asciiTheme="minorEastAsia" w:hAnsiTheme="minorEastAsia" w:eastAsiaTheme="minorEastAsia"/>
                <w:color w:val="auto"/>
                <w:kern w:val="0"/>
                <w:sz w:val="24"/>
                <w:szCs w:val="24"/>
                <w:highlight w:val="none"/>
              </w:rPr>
              <w:t>系统查看</w:t>
            </w:r>
          </w:p>
          <w:p w14:paraId="20A3A332">
            <w:pPr>
              <w:pStyle w:val="42"/>
              <w:widowControl w:val="0"/>
              <w:spacing w:before="0" w:beforeAutospacing="0" w:after="0" w:afterAutospacing="0" w:line="360" w:lineRule="auto"/>
              <w:jc w:val="both"/>
              <w:rPr>
                <w:rFonts w:hint="default" w:asciiTheme="minorEastAsia" w:hAnsiTheme="minorEastAsia" w:eastAsiaTheme="minorEastAsia"/>
                <w:b w:val="0"/>
                <w:bCs w:val="0"/>
                <w:color w:val="auto"/>
                <w:kern w:val="2"/>
                <w:sz w:val="24"/>
                <w:szCs w:val="24"/>
                <w:highlight w:val="none"/>
                <w:lang w:val="en-US" w:eastAsia="zh-CN"/>
              </w:rPr>
            </w:pPr>
            <w:r>
              <w:rPr>
                <w:rFonts w:hint="eastAsia" w:asciiTheme="minorEastAsia" w:hAnsiTheme="minorEastAsia" w:eastAsiaTheme="minorEastAsia"/>
                <w:b w:val="0"/>
                <w:bCs w:val="0"/>
                <w:color w:val="auto"/>
                <w:kern w:val="2"/>
                <w:sz w:val="24"/>
                <w:szCs w:val="24"/>
                <w:highlight w:val="none"/>
              </w:rPr>
              <w:t>□评标现场告知</w:t>
            </w:r>
          </w:p>
        </w:tc>
      </w:tr>
      <w:tr w14:paraId="59A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81" w:type="pct"/>
            <w:vAlign w:val="center"/>
          </w:tcPr>
          <w:p w14:paraId="407870D8">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26</w:t>
            </w:r>
            <w:r>
              <w:rPr>
                <w:rFonts w:ascii="宋体" w:hAnsi="宋体" w:eastAsia="宋体"/>
                <w:bCs/>
                <w:color w:val="auto"/>
                <w:kern w:val="2"/>
                <w:highlight w:val="none"/>
              </w:rPr>
              <w:t>.1</w:t>
            </w:r>
          </w:p>
        </w:tc>
        <w:tc>
          <w:tcPr>
            <w:tcW w:w="1174" w:type="pct"/>
            <w:vAlign w:val="center"/>
          </w:tcPr>
          <w:p w14:paraId="7FAEFF69">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履约保证金</w:t>
            </w:r>
          </w:p>
        </w:tc>
        <w:tc>
          <w:tcPr>
            <w:tcW w:w="3244" w:type="pct"/>
          </w:tcPr>
          <w:p w14:paraId="4D8905FE">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（1）金额：</w:t>
            </w:r>
          </w:p>
          <w:p w14:paraId="23439748">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免收</w:t>
            </w:r>
          </w:p>
          <w:p w14:paraId="637BAE17">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合同价的</w:t>
            </w:r>
            <w:r>
              <w:rPr>
                <w:rFonts w:ascii="宋体" w:hAnsi="宋体" w:eastAsia="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u w:val="single"/>
              </w:rPr>
              <w:t>/</w:t>
            </w:r>
            <w:r>
              <w:rPr>
                <w:rFonts w:ascii="宋体" w:hAnsi="宋体" w:eastAsia="宋体"/>
                <w:bCs/>
                <w:color w:val="auto"/>
                <w:kern w:val="0"/>
                <w:sz w:val="24"/>
                <w:szCs w:val="28"/>
                <w:highlight w:val="none"/>
                <w:u w:val="single"/>
              </w:rPr>
              <w:t xml:space="preserve">  </w:t>
            </w:r>
            <w:r>
              <w:rPr>
                <w:rFonts w:ascii="宋体" w:hAnsi="宋体" w:eastAsia="宋体"/>
                <w:bCs/>
                <w:color w:val="auto"/>
                <w:kern w:val="0"/>
                <w:sz w:val="24"/>
                <w:szCs w:val="28"/>
                <w:highlight w:val="none"/>
              </w:rPr>
              <w:t>%</w:t>
            </w:r>
          </w:p>
          <w:p w14:paraId="0F4438EE">
            <w:pPr>
              <w:spacing w:line="360" w:lineRule="auto"/>
              <w:rPr>
                <w:rFonts w:ascii="宋体" w:hAnsi="宋体" w:eastAsia="宋体"/>
                <w:bCs/>
                <w:color w:val="auto"/>
                <w:kern w:val="0"/>
                <w:sz w:val="24"/>
                <w:szCs w:val="28"/>
                <w:highlight w:val="none"/>
              </w:rPr>
            </w:pPr>
            <w:r>
              <w:rPr>
                <w:rFonts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rPr>
              <w:t>定额收取：人民币</w:t>
            </w:r>
            <w:r>
              <w:rPr>
                <w:rFonts w:hint="eastAsia" w:ascii="宋体" w:hAnsi="宋体" w:eastAsia="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u w:val="single"/>
              </w:rPr>
              <w:t>/</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元</w:t>
            </w:r>
          </w:p>
          <w:p w14:paraId="31AFB7B1">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（2）支付方式：</w:t>
            </w:r>
          </w:p>
          <w:p w14:paraId="14855786">
            <w:pPr>
              <w:spacing w:line="360" w:lineRule="auto"/>
              <w:rPr>
                <w:rFonts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sym w:font="Wingdings" w:char="00A8"/>
            </w:r>
            <w:r>
              <w:rPr>
                <w:rFonts w:ascii="宋体" w:hAnsi="宋体" w:eastAsia="宋体"/>
                <w:bCs/>
                <w:color w:val="auto"/>
                <w:kern w:val="0"/>
                <w:sz w:val="24"/>
                <w:szCs w:val="28"/>
                <w:highlight w:val="none"/>
              </w:rPr>
              <w:t>转账/电汇</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A8"/>
            </w:r>
            <w:r>
              <w:rPr>
                <w:rFonts w:ascii="宋体" w:hAnsi="宋体" w:eastAsia="宋体"/>
                <w:bCs/>
                <w:color w:val="auto"/>
                <w:kern w:val="0"/>
                <w:sz w:val="24"/>
                <w:szCs w:val="28"/>
                <w:highlight w:val="none"/>
              </w:rPr>
              <w:t xml:space="preserve">支票 </w:t>
            </w:r>
            <w:r>
              <w:rPr>
                <w:rFonts w:hint="eastAsia" w:ascii="宋体" w:hAnsi="宋体" w:eastAsia="宋体"/>
                <w:bCs/>
                <w:color w:val="auto"/>
                <w:kern w:val="0"/>
                <w:sz w:val="24"/>
                <w:szCs w:val="28"/>
                <w:highlight w:val="none"/>
              </w:rPr>
              <w:sym w:font="Wingdings" w:char="00A8"/>
            </w:r>
            <w:r>
              <w:rPr>
                <w:rFonts w:ascii="宋体" w:hAnsi="宋体" w:eastAsia="宋体"/>
                <w:bCs/>
                <w:color w:val="auto"/>
                <w:kern w:val="0"/>
                <w:sz w:val="24"/>
                <w:szCs w:val="28"/>
                <w:highlight w:val="none"/>
              </w:rPr>
              <w:t>汇票</w:t>
            </w:r>
            <w:r>
              <w:rPr>
                <w:rFonts w:hint="eastAsia" w:ascii="宋体" w:hAnsi="宋体" w:eastAsia="宋体"/>
                <w:bCs/>
                <w:color w:val="auto"/>
                <w:kern w:val="0"/>
                <w:sz w:val="24"/>
                <w:szCs w:val="28"/>
                <w:highlight w:val="none"/>
              </w:rPr>
              <w:t xml:space="preserve"> </w:t>
            </w:r>
            <w:r>
              <w:rPr>
                <w:rFonts w:hint="eastAsia" w:ascii="宋体" w:hAnsi="宋体" w:eastAsia="宋体"/>
                <w:bCs/>
                <w:color w:val="auto"/>
                <w:kern w:val="0"/>
                <w:sz w:val="24"/>
                <w:szCs w:val="28"/>
                <w:highlight w:val="none"/>
              </w:rPr>
              <w:sym w:font="Wingdings" w:char="00A8"/>
            </w:r>
            <w:r>
              <w:rPr>
                <w:rFonts w:hint="eastAsia" w:ascii="宋体" w:hAnsi="宋体" w:eastAsia="宋体"/>
                <w:bCs/>
                <w:color w:val="auto"/>
                <w:kern w:val="0"/>
                <w:sz w:val="24"/>
                <w:szCs w:val="28"/>
                <w:highlight w:val="none"/>
              </w:rPr>
              <w:t xml:space="preserve">本票 </w:t>
            </w:r>
            <w:r>
              <w:rPr>
                <w:rFonts w:hint="eastAsia" w:ascii="宋体" w:hAnsi="宋体" w:eastAsia="宋体"/>
                <w:bCs/>
                <w:color w:val="auto"/>
                <w:kern w:val="0"/>
                <w:sz w:val="24"/>
                <w:szCs w:val="28"/>
                <w:highlight w:val="none"/>
              </w:rPr>
              <w:sym w:font="Wingdings" w:char="00A8"/>
            </w:r>
            <w:r>
              <w:rPr>
                <w:rFonts w:ascii="宋体" w:hAnsi="宋体" w:eastAsia="宋体"/>
                <w:bCs/>
                <w:color w:val="auto"/>
                <w:kern w:val="0"/>
                <w:sz w:val="24"/>
                <w:szCs w:val="28"/>
                <w:highlight w:val="none"/>
              </w:rPr>
              <w:t>保</w:t>
            </w:r>
            <w:r>
              <w:rPr>
                <w:rFonts w:hint="eastAsia" w:ascii="宋体" w:hAnsi="宋体" w:eastAsia="宋体"/>
                <w:bCs/>
                <w:color w:val="auto"/>
                <w:kern w:val="0"/>
                <w:sz w:val="24"/>
                <w:szCs w:val="28"/>
                <w:highlight w:val="none"/>
              </w:rPr>
              <w:t xml:space="preserve">险 </w:t>
            </w:r>
            <w:r>
              <w:rPr>
                <w:rFonts w:hint="eastAsia" w:ascii="宋体" w:hAnsi="宋体" w:eastAsia="宋体"/>
                <w:bCs/>
                <w:color w:val="auto"/>
                <w:kern w:val="0"/>
                <w:sz w:val="24"/>
                <w:szCs w:val="28"/>
                <w:highlight w:val="none"/>
              </w:rPr>
              <w:sym w:font="Wingdings" w:char="00A8"/>
            </w:r>
            <w:r>
              <w:rPr>
                <w:rFonts w:hint="eastAsia" w:ascii="宋体" w:hAnsi="宋体" w:eastAsia="宋体"/>
                <w:bCs/>
                <w:color w:val="auto"/>
                <w:kern w:val="0"/>
                <w:sz w:val="24"/>
                <w:szCs w:val="28"/>
                <w:highlight w:val="none"/>
              </w:rPr>
              <w:t>保</w:t>
            </w:r>
            <w:r>
              <w:rPr>
                <w:rFonts w:ascii="宋体" w:hAnsi="宋体" w:eastAsia="宋体"/>
                <w:bCs/>
                <w:color w:val="auto"/>
                <w:kern w:val="0"/>
                <w:sz w:val="24"/>
                <w:szCs w:val="28"/>
                <w:highlight w:val="none"/>
              </w:rPr>
              <w:t>函</w:t>
            </w:r>
          </w:p>
          <w:p w14:paraId="7DB9ED5E">
            <w:pPr>
              <w:numPr>
                <w:ilvl w:val="0"/>
                <w:numId w:val="0"/>
              </w:numPr>
              <w:spacing w:line="360" w:lineRule="auto"/>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3</w:t>
            </w: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rPr>
              <w:t>收取单位：</w:t>
            </w:r>
            <w:r>
              <w:rPr>
                <w:rFonts w:hint="eastAsia" w:ascii="宋体" w:hAnsi="宋体" w:eastAsia="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u w:val="single"/>
              </w:rPr>
              <w:t>/</w:t>
            </w:r>
            <w:r>
              <w:rPr>
                <w:rFonts w:hint="eastAsia" w:ascii="宋体" w:hAnsi="宋体" w:eastAsia="宋体"/>
                <w:bCs/>
                <w:color w:val="auto"/>
                <w:kern w:val="0"/>
                <w:sz w:val="24"/>
                <w:szCs w:val="28"/>
                <w:highlight w:val="none"/>
                <w:u w:val="single"/>
              </w:rPr>
              <w:t xml:space="preserve">        </w:t>
            </w:r>
            <w:r>
              <w:rPr>
                <w:rFonts w:hint="eastAsia" w:ascii="宋体" w:hAnsi="宋体" w:eastAsia="宋体"/>
                <w:bCs/>
                <w:color w:val="auto"/>
                <w:kern w:val="0"/>
                <w:sz w:val="24"/>
                <w:szCs w:val="28"/>
                <w:highlight w:val="none"/>
              </w:rPr>
              <w:t xml:space="preserve">              </w:t>
            </w:r>
          </w:p>
          <w:p w14:paraId="2B09311F">
            <w:pPr>
              <w:spacing w:line="360" w:lineRule="auto"/>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lang w:val="en-US" w:eastAsia="zh-CN"/>
              </w:rPr>
              <w:t>（4）收取账号：</w:t>
            </w:r>
            <w:r>
              <w:rPr>
                <w:rFonts w:hint="eastAsia" w:ascii="宋体" w:hAnsi="宋体" w:eastAsia="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u w:val="single"/>
              </w:rPr>
              <w:t>/</w:t>
            </w:r>
            <w:r>
              <w:rPr>
                <w:rFonts w:hint="eastAsia" w:ascii="宋体" w:hAnsi="宋体" w:eastAsia="宋体"/>
                <w:bCs/>
                <w:color w:val="auto"/>
                <w:kern w:val="0"/>
                <w:sz w:val="24"/>
                <w:szCs w:val="28"/>
                <w:highlight w:val="none"/>
                <w:u w:val="single"/>
              </w:rPr>
              <w:t xml:space="preserve">        </w:t>
            </w:r>
          </w:p>
          <w:p w14:paraId="00EEFF76">
            <w:pPr>
              <w:spacing w:line="360" w:lineRule="auto"/>
              <w:rPr>
                <w:rFonts w:ascii="宋体" w:hAnsi="宋体" w:eastAsia="宋体"/>
                <w:color w:val="auto"/>
                <w:sz w:val="24"/>
                <w:highlight w:val="none"/>
              </w:rPr>
            </w:pPr>
            <w:r>
              <w:rPr>
                <w:rFonts w:hint="eastAsia" w:ascii="宋体" w:hAnsi="宋体" w:eastAsia="宋体"/>
                <w:bCs/>
                <w:color w:val="auto"/>
                <w:kern w:val="0"/>
                <w:sz w:val="24"/>
                <w:szCs w:val="28"/>
                <w:highlight w:val="none"/>
              </w:rPr>
              <w:t>（</w:t>
            </w:r>
            <w:r>
              <w:rPr>
                <w:rFonts w:hint="eastAsia" w:ascii="宋体" w:hAnsi="宋体" w:eastAsia="宋体"/>
                <w:bCs/>
                <w:color w:val="auto"/>
                <w:kern w:val="0"/>
                <w:sz w:val="24"/>
                <w:szCs w:val="28"/>
                <w:highlight w:val="none"/>
                <w:lang w:val="en-US" w:eastAsia="zh-CN"/>
              </w:rPr>
              <w:t>5</w:t>
            </w:r>
            <w:r>
              <w:rPr>
                <w:rFonts w:hint="eastAsia" w:ascii="宋体" w:hAnsi="宋体" w:eastAsia="宋体"/>
                <w:bCs/>
                <w:color w:val="auto"/>
                <w:kern w:val="0"/>
                <w:sz w:val="24"/>
                <w:szCs w:val="28"/>
                <w:highlight w:val="none"/>
              </w:rPr>
              <w:t>）</w:t>
            </w:r>
            <w:r>
              <w:rPr>
                <w:rFonts w:hint="eastAsia" w:ascii="宋体" w:hAnsi="宋体" w:eastAsia="宋体"/>
                <w:color w:val="auto"/>
                <w:sz w:val="24"/>
                <w:highlight w:val="none"/>
              </w:rPr>
              <w:t>退还时间：</w:t>
            </w:r>
            <w:r>
              <w:rPr>
                <w:rFonts w:hint="eastAsia" w:ascii="宋体" w:hAnsi="宋体" w:eastAsia="宋体"/>
                <w:bCs/>
                <w:color w:val="auto"/>
                <w:kern w:val="0"/>
                <w:sz w:val="24"/>
                <w:szCs w:val="28"/>
                <w:highlight w:val="none"/>
                <w:u w:val="single"/>
              </w:rPr>
              <w:t xml:space="preserve">       </w:t>
            </w:r>
            <w:r>
              <w:rPr>
                <w:rFonts w:hint="eastAsia" w:ascii="宋体" w:hAnsi="宋体" w:eastAsia="宋体" w:cs="宋体"/>
                <w:bCs/>
                <w:color w:val="auto"/>
                <w:kern w:val="0"/>
                <w:sz w:val="24"/>
                <w:szCs w:val="28"/>
                <w:highlight w:val="none"/>
                <w:u w:val="single"/>
              </w:rPr>
              <w:t>/</w:t>
            </w:r>
            <w:r>
              <w:rPr>
                <w:rFonts w:hint="eastAsia" w:ascii="宋体" w:hAnsi="宋体" w:eastAsia="宋体"/>
                <w:bCs/>
                <w:color w:val="auto"/>
                <w:kern w:val="0"/>
                <w:sz w:val="24"/>
                <w:szCs w:val="28"/>
                <w:highlight w:val="none"/>
                <w:u w:val="single"/>
              </w:rPr>
              <w:t xml:space="preserve">       </w:t>
            </w:r>
          </w:p>
          <w:p w14:paraId="24082C05">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48AB73A2">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50067F3C">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（2）以担保函、保证保险形式缴纳履约保证金的，受益人和收取单位须为采购人。</w:t>
            </w:r>
          </w:p>
        </w:tc>
      </w:tr>
      <w:tr w14:paraId="4BBE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581" w:type="pct"/>
            <w:vAlign w:val="center"/>
          </w:tcPr>
          <w:p w14:paraId="7D9D1502">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27</w:t>
            </w:r>
            <w:r>
              <w:rPr>
                <w:rFonts w:ascii="宋体" w:hAnsi="宋体" w:eastAsia="宋体"/>
                <w:bCs/>
                <w:color w:val="auto"/>
                <w:kern w:val="2"/>
                <w:highlight w:val="none"/>
              </w:rPr>
              <w:t>.1</w:t>
            </w:r>
          </w:p>
        </w:tc>
        <w:tc>
          <w:tcPr>
            <w:tcW w:w="1174" w:type="pct"/>
            <w:vAlign w:val="center"/>
          </w:tcPr>
          <w:p w14:paraId="7B2FA7B2">
            <w:pPr>
              <w:pStyle w:val="42"/>
              <w:widowControl w:val="0"/>
              <w:spacing w:before="0" w:beforeAutospacing="0" w:after="0" w:afterAutospacing="0" w:line="360" w:lineRule="auto"/>
              <w:jc w:val="both"/>
              <w:rPr>
                <w:rFonts w:hint="eastAsia" w:ascii="宋体" w:hAnsi="宋体" w:eastAsia="宋体"/>
                <w:b w:val="0"/>
                <w:color w:val="auto"/>
                <w:sz w:val="24"/>
                <w:highlight w:val="none"/>
              </w:rPr>
            </w:pPr>
            <w:r>
              <w:rPr>
                <w:rFonts w:hint="eastAsia" w:ascii="宋体" w:hAnsi="宋体" w:eastAsia="宋体"/>
                <w:b w:val="0"/>
                <w:color w:val="auto"/>
                <w:sz w:val="24"/>
                <w:highlight w:val="none"/>
                <w:lang w:val="en-US" w:eastAsia="zh-CN"/>
              </w:rPr>
              <w:t>签订合同和合同公告时间</w:t>
            </w:r>
          </w:p>
        </w:tc>
        <w:tc>
          <w:tcPr>
            <w:tcW w:w="3244" w:type="pct"/>
          </w:tcPr>
          <w:p w14:paraId="0441834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（1）采购人与中标人应当自发出中标通知书之日起7个工作日内签订合同，采购合同签订之日起2个工作日内完成政府采购合同公开。</w:t>
            </w:r>
          </w:p>
          <w:p w14:paraId="4BC2ADB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宋体" w:hAnsi="宋体" w:eastAsia="宋体"/>
                <w:b/>
                <w:bCs/>
                <w:color w:val="auto"/>
                <w:kern w:val="0"/>
                <w:sz w:val="24"/>
                <w:szCs w:val="24"/>
                <w:highlight w:val="none"/>
                <w:lang w:val="en-US"/>
              </w:rPr>
            </w:pPr>
            <w:r>
              <w:rPr>
                <w:rFonts w:ascii="宋体" w:hAnsi="宋体" w:eastAsia="宋体" w:cs="宋体"/>
                <w:color w:val="auto"/>
                <w:sz w:val="24"/>
                <w:szCs w:val="24"/>
                <w:highlight w:val="none"/>
              </w:rPr>
              <w:t>（2）采购人与中标人不得擅自变更合同，依照政府采购法确需变更政府采购合同内容的，采购人应当自合同变更之日起2个工作日内在安徽省政府采购网发布政府采购合同变更公告，但涉及国家秘密、商业秘密的信息和其他依法不得公开的信息除外。</w:t>
            </w:r>
          </w:p>
        </w:tc>
      </w:tr>
      <w:tr w14:paraId="28F9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31D20366">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lang w:val="en-US" w:eastAsia="zh-CN"/>
              </w:rPr>
              <w:t>28</w:t>
            </w:r>
            <w:r>
              <w:rPr>
                <w:rFonts w:ascii="宋体" w:hAnsi="宋体" w:eastAsia="宋体"/>
                <w:bCs/>
                <w:color w:val="auto"/>
                <w:kern w:val="2"/>
                <w:highlight w:val="none"/>
              </w:rPr>
              <w:t>.1</w:t>
            </w:r>
          </w:p>
        </w:tc>
        <w:tc>
          <w:tcPr>
            <w:tcW w:w="1174" w:type="pct"/>
            <w:vAlign w:val="center"/>
          </w:tcPr>
          <w:p w14:paraId="2D4A2288">
            <w:pPr>
              <w:pStyle w:val="42"/>
              <w:widowControl w:val="0"/>
              <w:spacing w:before="0" w:beforeAutospacing="0" w:after="0" w:afterAutospacing="0" w:line="360" w:lineRule="auto"/>
              <w:jc w:val="both"/>
              <w:rPr>
                <w:rFonts w:hint="eastAsia" w:ascii="宋体" w:hAnsi="宋体" w:eastAsia="宋体"/>
                <w:b w:val="0"/>
                <w:color w:val="auto"/>
                <w:sz w:val="24"/>
                <w:highlight w:val="none"/>
                <w:lang w:eastAsia="zh-CN"/>
              </w:rPr>
            </w:pPr>
            <w:r>
              <w:rPr>
                <w:rFonts w:hint="eastAsia" w:ascii="宋体" w:hAnsi="宋体" w:eastAsia="宋体"/>
                <w:b w:val="0"/>
                <w:color w:val="auto"/>
                <w:sz w:val="24"/>
                <w:highlight w:val="none"/>
                <w:lang w:val="en-US" w:eastAsia="zh-CN"/>
              </w:rPr>
              <w:t>代理费用</w:t>
            </w:r>
          </w:p>
        </w:tc>
        <w:tc>
          <w:tcPr>
            <w:tcW w:w="3244" w:type="pct"/>
            <w:vAlign w:val="center"/>
          </w:tcPr>
          <w:p w14:paraId="1F43B5B3">
            <w:pPr>
              <w:keepNext w:val="0"/>
              <w:keepLines w:val="0"/>
              <w:pageBreakBefore w:val="0"/>
              <w:widowControl w:val="0"/>
              <w:kinsoku/>
              <w:wordWrap/>
              <w:overflowPunct/>
              <w:topLinePunct w:val="0"/>
              <w:autoSpaceDE/>
              <w:autoSpaceDN/>
              <w:bidi w:val="0"/>
              <w:adjustRightInd/>
              <w:snapToGrid/>
              <w:spacing w:before="39" w:line="360" w:lineRule="auto"/>
              <w:textAlignment w:val="auto"/>
              <w:rPr>
                <w:rFonts w:ascii="宋体" w:hAnsi="宋体" w:eastAsia="宋体" w:cs="宋体"/>
                <w:color w:val="auto"/>
                <w:sz w:val="24"/>
                <w:szCs w:val="24"/>
                <w:highlight w:val="none"/>
              </w:rPr>
            </w:pPr>
            <w:r>
              <w:rPr>
                <w:rFonts w:hint="eastAsia" w:ascii="宋体" w:hAnsi="宋体" w:eastAsia="宋体"/>
                <w:bCs/>
                <w:color w:val="auto"/>
                <w:kern w:val="0"/>
                <w:sz w:val="24"/>
                <w:szCs w:val="28"/>
                <w:highlight w:val="none"/>
                <w:lang w:eastAsia="zh-CN"/>
              </w:rPr>
              <w:t>（</w:t>
            </w:r>
            <w:r>
              <w:rPr>
                <w:rFonts w:hint="eastAsia" w:ascii="宋体" w:hAnsi="宋体" w:eastAsia="宋体"/>
                <w:bCs/>
                <w:color w:val="auto"/>
                <w:kern w:val="0"/>
                <w:sz w:val="24"/>
                <w:szCs w:val="28"/>
                <w:highlight w:val="none"/>
                <w:lang w:val="en-US" w:eastAsia="zh-CN"/>
              </w:rPr>
              <w:t>1</w:t>
            </w:r>
            <w:r>
              <w:rPr>
                <w:rFonts w:hint="eastAsia" w:ascii="宋体" w:hAnsi="宋体" w:eastAsia="宋体"/>
                <w:bCs/>
                <w:color w:val="auto"/>
                <w:kern w:val="0"/>
                <w:sz w:val="24"/>
                <w:szCs w:val="28"/>
                <w:highlight w:val="none"/>
                <w:lang w:eastAsia="zh-CN"/>
              </w:rPr>
              <w:t>）</w:t>
            </w:r>
            <w:r>
              <w:rPr>
                <w:rFonts w:hint="default" w:ascii="宋体" w:hAnsi="宋体" w:eastAsia="宋体"/>
                <w:bCs/>
                <w:color w:val="auto"/>
                <w:kern w:val="0"/>
                <w:sz w:val="24"/>
                <w:szCs w:val="28"/>
                <w:highlight w:val="none"/>
              </w:rPr>
              <w:t>收费对象</w:t>
            </w:r>
            <w:r>
              <w:rPr>
                <w:rFonts w:ascii="宋体" w:hAnsi="宋体" w:eastAsia="宋体" w:cs="宋体"/>
                <w:color w:val="auto"/>
                <w:spacing w:val="-12"/>
                <w:sz w:val="24"/>
                <w:szCs w:val="24"/>
                <w:highlight w:val="none"/>
              </w:rPr>
              <w:t>：</w:t>
            </w:r>
            <w:r>
              <w:rPr>
                <w:rFonts w:hint="eastAsia" w:ascii="宋体" w:hAnsi="宋体" w:eastAsia="宋体"/>
                <w:bCs/>
                <w:color w:val="auto"/>
                <w:kern w:val="0"/>
                <w:sz w:val="24"/>
                <w:szCs w:val="28"/>
                <w:highlight w:val="none"/>
              </w:rPr>
              <w:sym w:font="Wingdings" w:char="00A8"/>
            </w:r>
            <w:r>
              <w:rPr>
                <w:rFonts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lang w:val="en-US" w:eastAsia="zh-CN"/>
              </w:rPr>
              <w:t xml:space="preserve">   </w:t>
            </w:r>
            <w:r>
              <w:rPr>
                <w:rFonts w:hint="eastAsia" w:ascii="宋体" w:hAnsi="宋体" w:eastAsia="宋体"/>
                <w:bCs/>
                <w:color w:val="auto"/>
                <w:kern w:val="0"/>
                <w:sz w:val="24"/>
                <w:szCs w:val="28"/>
                <w:highlight w:val="none"/>
              </w:rPr>
              <w:sym w:font="Wingdings" w:char="00FE"/>
            </w:r>
            <w:r>
              <w:rPr>
                <w:rFonts w:ascii="宋体" w:hAnsi="宋体" w:eastAsia="宋体" w:cs="宋体"/>
                <w:color w:val="auto"/>
                <w:spacing w:val="14"/>
                <w:sz w:val="24"/>
                <w:szCs w:val="24"/>
                <w:highlight w:val="none"/>
              </w:rPr>
              <w:t>中标人</w:t>
            </w:r>
          </w:p>
          <w:p w14:paraId="38CD8E10">
            <w:pPr>
              <w:keepNext w:val="0"/>
              <w:keepLines w:val="0"/>
              <w:pageBreakBefore w:val="0"/>
              <w:widowControl w:val="0"/>
              <w:kinsoku/>
              <w:wordWrap/>
              <w:overflowPunct/>
              <w:topLinePunct w:val="0"/>
              <w:autoSpaceDE/>
              <w:autoSpaceDN/>
              <w:bidi w:val="0"/>
              <w:adjustRightInd/>
              <w:snapToGrid/>
              <w:spacing w:before="24" w:line="360" w:lineRule="auto"/>
              <w:textAlignment w:val="auto"/>
              <w:rPr>
                <w:rFonts w:hint="eastAsia" w:ascii="宋体" w:hAnsi="宋体" w:eastAsia="宋体"/>
                <w:bCs/>
                <w:color w:val="auto"/>
                <w:kern w:val="0"/>
                <w:sz w:val="24"/>
                <w:szCs w:val="28"/>
                <w:highlight w:val="none"/>
              </w:rPr>
            </w:pPr>
            <w:r>
              <w:rPr>
                <w:rFonts w:hint="eastAsia" w:ascii="宋体" w:hAnsi="宋体" w:eastAsia="宋体"/>
                <w:bCs/>
                <w:color w:val="auto"/>
                <w:kern w:val="0"/>
                <w:sz w:val="24"/>
                <w:szCs w:val="28"/>
                <w:highlight w:val="none"/>
              </w:rPr>
              <w:t>（2）</w:t>
            </w:r>
            <w:r>
              <w:rPr>
                <w:rFonts w:hint="default" w:ascii="宋体" w:hAnsi="宋体" w:eastAsia="宋体"/>
                <w:bCs/>
                <w:color w:val="auto"/>
                <w:kern w:val="0"/>
                <w:sz w:val="24"/>
                <w:szCs w:val="28"/>
                <w:highlight w:val="none"/>
              </w:rPr>
              <w:t>收取方式</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lang w:val="en-US" w:eastAsia="zh-CN"/>
              </w:rPr>
              <w:t>转账</w:t>
            </w:r>
            <w:r>
              <w:rPr>
                <w:rFonts w:ascii="宋体" w:hAnsi="宋体" w:eastAsia="宋体" w:cs="宋体"/>
                <w:color w:val="auto"/>
                <w:sz w:val="24"/>
                <w:szCs w:val="24"/>
                <w:highlight w:val="none"/>
                <w:u w:val="single" w:color="auto"/>
              </w:rPr>
              <w:t xml:space="preserve">   </w:t>
            </w:r>
          </w:p>
          <w:p w14:paraId="5A87D8DB">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rFonts w:ascii="宋体" w:hAnsi="宋体" w:eastAsia="宋体"/>
                <w:b w:val="0"/>
                <w:color w:val="auto"/>
                <w:sz w:val="24"/>
                <w:highlight w:val="none"/>
              </w:rPr>
            </w:pPr>
            <w:r>
              <w:rPr>
                <w:rFonts w:hint="eastAsia" w:ascii="宋体" w:hAnsi="宋体" w:eastAsia="宋体"/>
                <w:b w:val="0"/>
                <w:bCs w:val="0"/>
                <w:color w:val="auto"/>
                <w:kern w:val="0"/>
                <w:sz w:val="24"/>
                <w:szCs w:val="28"/>
                <w:highlight w:val="none"/>
              </w:rPr>
              <w:t>（3）</w:t>
            </w:r>
            <w:r>
              <w:rPr>
                <w:rFonts w:hint="default" w:ascii="宋体" w:hAnsi="宋体" w:eastAsia="宋体" w:cs="@仿宋_GB2312"/>
                <w:b w:val="0"/>
                <w:bCs/>
                <w:color w:val="auto"/>
                <w:kern w:val="0"/>
                <w:sz w:val="24"/>
                <w:szCs w:val="28"/>
                <w:highlight w:val="none"/>
                <w:lang w:val="en-US" w:eastAsia="zh-CN" w:bidi="ar-SA"/>
              </w:rPr>
              <w:t>收费标准：</w:t>
            </w:r>
            <w:r>
              <w:rPr>
                <w:rFonts w:hint="eastAsia" w:ascii="宋体" w:hAnsi="宋体" w:eastAsia="宋体" w:cs="宋体"/>
                <w:color w:val="auto"/>
                <w:sz w:val="24"/>
                <w:szCs w:val="24"/>
                <w:highlight w:val="none"/>
                <w:u w:val="single" w:color="auto"/>
                <w:lang w:val="en-US" w:eastAsia="zh-CN"/>
              </w:rPr>
              <w:t>14300.00元</w:t>
            </w:r>
            <w:r>
              <w:rPr>
                <w:rFonts w:hint="eastAsia" w:ascii="宋体" w:hAnsi="宋体" w:eastAsia="宋体" w:cs="宋体"/>
                <w:b w:val="0"/>
                <w:color w:val="auto"/>
                <w:sz w:val="24"/>
                <w:highlight w:val="none"/>
                <w:u w:val="single"/>
                <w:lang w:val="en-US" w:eastAsia="zh-CN"/>
              </w:rPr>
              <w:t>；</w:t>
            </w:r>
            <w:r>
              <w:rPr>
                <w:rFonts w:hint="eastAsia" w:ascii="宋体" w:hAnsi="宋体" w:eastAsia="宋体" w:cs="宋体"/>
                <w:b w:val="0"/>
                <w:bCs w:val="0"/>
                <w:color w:val="auto"/>
                <w:kern w:val="2"/>
                <w:sz w:val="24"/>
                <w:szCs w:val="24"/>
                <w:highlight w:val="none"/>
                <w:u w:val="single"/>
                <w:lang w:val="en-US" w:eastAsia="zh-CN"/>
              </w:rPr>
              <w:t>参考计价格【2002】1980号文件规定的50%</w:t>
            </w:r>
            <w:r>
              <w:rPr>
                <w:rFonts w:hint="eastAsia" w:ascii="宋体" w:hAnsi="宋体" w:eastAsia="宋体" w:cs="宋体"/>
                <w:b w:val="0"/>
                <w:bCs w:val="0"/>
                <w:color w:val="auto"/>
                <w:kern w:val="2"/>
                <w:sz w:val="24"/>
                <w:szCs w:val="24"/>
                <w:highlight w:val="none"/>
                <w:u w:val="single"/>
              </w:rPr>
              <w:t>，以最高限价计算</w:t>
            </w:r>
            <w:r>
              <w:rPr>
                <w:rFonts w:hint="eastAsia" w:ascii="宋体" w:hAnsi="宋体" w:eastAsia="宋体" w:cs="宋体"/>
                <w:b w:val="0"/>
                <w:bCs w:val="0"/>
                <w:color w:val="auto"/>
                <w:kern w:val="2"/>
                <w:sz w:val="24"/>
                <w:szCs w:val="24"/>
                <w:highlight w:val="none"/>
                <w:u w:val="single"/>
                <w:lang w:eastAsia="zh-CN"/>
              </w:rPr>
              <w:t>。</w:t>
            </w:r>
          </w:p>
        </w:tc>
      </w:tr>
      <w:tr w14:paraId="5064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EB2154D">
            <w:pPr>
              <w:pStyle w:val="43"/>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eastAsia="zh-CN"/>
              </w:rPr>
            </w:pPr>
            <w:r>
              <w:rPr>
                <w:rFonts w:hint="eastAsia" w:ascii="宋体" w:hAnsi="宋体" w:eastAsia="宋体"/>
                <w:bCs/>
                <w:color w:val="auto"/>
                <w:kern w:val="2"/>
                <w:highlight w:val="none"/>
              </w:rPr>
              <w:t>3</w:t>
            </w:r>
            <w:r>
              <w:rPr>
                <w:rFonts w:hint="eastAsia" w:ascii="宋体" w:hAnsi="宋体" w:eastAsia="宋体"/>
                <w:bCs/>
                <w:color w:val="auto"/>
                <w:kern w:val="2"/>
                <w:highlight w:val="none"/>
                <w:lang w:val="en-US" w:eastAsia="zh-CN"/>
              </w:rPr>
              <w:t>1</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3</w:t>
            </w:r>
          </w:p>
        </w:tc>
        <w:tc>
          <w:tcPr>
            <w:tcW w:w="1174" w:type="pct"/>
            <w:vAlign w:val="center"/>
          </w:tcPr>
          <w:p w14:paraId="7E28CF03">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质疑函递交方式、接收部门、联系电话和通讯地址</w:t>
            </w:r>
          </w:p>
        </w:tc>
        <w:tc>
          <w:tcPr>
            <w:tcW w:w="3244" w:type="pct"/>
            <w:vAlign w:val="center"/>
          </w:tcPr>
          <w:p w14:paraId="7F18C01F">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递交方式：</w:t>
            </w:r>
            <w:r>
              <w:rPr>
                <w:rFonts w:hint="eastAsia" w:ascii="宋体" w:hAnsi="宋体" w:eastAsia="宋体"/>
                <w:bCs/>
                <w:color w:val="auto"/>
                <w:kern w:val="0"/>
                <w:sz w:val="24"/>
                <w:szCs w:val="28"/>
                <w:highlight w:val="none"/>
                <w:u w:val="single"/>
              </w:rPr>
              <w:t xml:space="preserve"> </w:t>
            </w:r>
            <w:r>
              <w:rPr>
                <w:rFonts w:hint="eastAsia" w:ascii="宋体" w:hAnsi="宋体" w:eastAsia="宋体" w:cs="宋体"/>
                <w:color w:val="auto"/>
                <w:sz w:val="24"/>
                <w:highlight w:val="none"/>
                <w:u w:val="single"/>
              </w:rPr>
              <w:t>投标人可以通过书面形式提出，也可以通过线上提出质疑【通过线上向滁州市公共资源交易中心网电子交易系统提出质疑（具体操作步骤和程序请参见服务指南&gt;交易须知&gt;在线异议、质疑和投诉操作手册）】。一份质疑函只能针对一个项目提出质疑，且针对同一采购程序环节的质疑应当一次性提出；</w:t>
            </w:r>
            <w:r>
              <w:rPr>
                <w:rFonts w:hint="eastAsia" w:ascii="宋体" w:hAnsi="宋体" w:eastAsia="宋体"/>
                <w:bCs/>
                <w:color w:val="auto"/>
                <w:kern w:val="0"/>
                <w:sz w:val="24"/>
                <w:szCs w:val="28"/>
                <w:highlight w:val="none"/>
                <w:u w:val="single"/>
              </w:rPr>
              <w:t xml:space="preserve"> </w:t>
            </w:r>
          </w:p>
          <w:p w14:paraId="62C78049">
            <w:pPr>
              <w:pStyle w:val="42"/>
              <w:widowControl w:val="0"/>
              <w:spacing w:before="0" w:beforeAutospacing="0" w:after="0" w:afterAutospacing="0" w:line="360" w:lineRule="auto"/>
              <w:jc w:val="both"/>
              <w:rPr>
                <w:rFonts w:ascii="宋体" w:hAnsi="宋体" w:eastAsia="宋体"/>
                <w:b w:val="0"/>
                <w:bCs w:val="0"/>
                <w:color w:val="auto"/>
                <w:sz w:val="24"/>
                <w:szCs w:val="18"/>
                <w:highlight w:val="none"/>
              </w:rPr>
            </w:pPr>
            <w:r>
              <w:rPr>
                <w:rFonts w:hint="eastAsia" w:ascii="宋体" w:hAnsi="宋体" w:eastAsia="宋体"/>
                <w:b w:val="0"/>
                <w:color w:val="auto"/>
                <w:sz w:val="24"/>
                <w:highlight w:val="none"/>
              </w:rPr>
              <w:t>接收部门：</w:t>
            </w:r>
            <w:r>
              <w:rPr>
                <w:rFonts w:hint="eastAsia" w:ascii="宋体" w:hAnsi="宋体" w:eastAsia="宋体" w:cs="宋体"/>
                <w:color w:val="auto"/>
                <w:sz w:val="24"/>
                <w:highlight w:val="none"/>
                <w:u w:val="single"/>
                <w:lang w:eastAsia="zh-CN"/>
              </w:rPr>
              <w:t>滁州市园林景观管理中心、滁州市城投工程咨询管理有限公司</w:t>
            </w:r>
            <w:r>
              <w:rPr>
                <w:rFonts w:hint="eastAsia" w:ascii="宋体" w:hAnsi="宋体" w:eastAsia="宋体" w:cs="宋体"/>
                <w:color w:val="auto"/>
                <w:sz w:val="24"/>
                <w:highlight w:val="none"/>
                <w:u w:val="single"/>
              </w:rPr>
              <w:t>；</w:t>
            </w:r>
          </w:p>
          <w:p w14:paraId="2AFE0F76">
            <w:pPr>
              <w:pStyle w:val="42"/>
              <w:widowControl w:val="0"/>
              <w:spacing w:before="0" w:beforeAutospacing="0" w:after="0" w:afterAutospacing="0" w:line="500" w:lineRule="exact"/>
              <w:jc w:val="both"/>
              <w:rPr>
                <w:rFonts w:hint="eastAsia" w:ascii="宋体" w:hAnsi="宋体" w:eastAsia="宋体" w:cs="宋体"/>
                <w:color w:val="auto"/>
                <w:sz w:val="24"/>
                <w:highlight w:val="none"/>
                <w:u w:val="single"/>
              </w:rPr>
            </w:pPr>
            <w:r>
              <w:rPr>
                <w:rFonts w:hint="eastAsia" w:ascii="宋体" w:hAnsi="宋体" w:eastAsia="宋体" w:cs="宋体"/>
                <w:b w:val="0"/>
                <w:color w:val="auto"/>
                <w:sz w:val="24"/>
                <w:highlight w:val="none"/>
              </w:rPr>
              <w:t>联系电话：</w:t>
            </w:r>
            <w:r>
              <w:rPr>
                <w:rFonts w:hint="eastAsia" w:ascii="宋体" w:hAnsi="宋体" w:eastAsia="宋体" w:cs="宋体"/>
                <w:b/>
                <w:bCs w:val="0"/>
                <w:color w:val="auto"/>
                <w:sz w:val="24"/>
                <w:highlight w:val="none"/>
                <w:u w:val="single"/>
                <w:lang w:eastAsia="zh-CN"/>
              </w:rPr>
              <w:t>0550-3010967</w:t>
            </w:r>
            <w:r>
              <w:rPr>
                <w:rFonts w:hint="eastAsia" w:ascii="宋体" w:hAnsi="宋体" w:eastAsia="宋体" w:cs="宋体"/>
                <w:b/>
                <w:bCs w:val="0"/>
                <w:color w:val="auto"/>
                <w:sz w:val="24"/>
                <w:highlight w:val="none"/>
                <w:u w:val="single"/>
              </w:rPr>
              <w:t>、</w:t>
            </w:r>
            <w:r>
              <w:rPr>
                <w:rFonts w:hint="eastAsia" w:ascii="宋体" w:hAnsi="宋体" w:eastAsia="宋体" w:cs="宋体"/>
                <w:color w:val="auto"/>
                <w:sz w:val="24"/>
                <w:highlight w:val="none"/>
                <w:u w:val="single"/>
                <w:lang w:eastAsia="zh-CN"/>
              </w:rPr>
              <w:t>0550-3519519</w:t>
            </w:r>
            <w:r>
              <w:rPr>
                <w:rFonts w:hint="eastAsia" w:ascii="宋体" w:hAnsi="宋体" w:eastAsia="宋体" w:cs="宋体"/>
                <w:color w:val="auto"/>
                <w:sz w:val="24"/>
                <w:highlight w:val="none"/>
                <w:u w:val="single"/>
              </w:rPr>
              <w:t>；</w:t>
            </w:r>
          </w:p>
          <w:p w14:paraId="64DDEE25">
            <w:pPr>
              <w:pStyle w:val="42"/>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cs="宋体"/>
                <w:b w:val="0"/>
                <w:color w:val="auto"/>
                <w:sz w:val="24"/>
                <w:highlight w:val="none"/>
              </w:rPr>
              <w:t>通讯地址：</w:t>
            </w:r>
            <w:r>
              <w:rPr>
                <w:rFonts w:hint="eastAsia" w:ascii="宋体" w:hAnsi="宋体" w:eastAsia="宋体" w:cs="宋体"/>
                <w:color w:val="auto"/>
                <w:sz w:val="24"/>
                <w:highlight w:val="none"/>
                <w:u w:val="single"/>
                <w:lang w:eastAsia="zh-CN"/>
              </w:rPr>
              <w:t>滁州市花园西路81号林业大厦8楼、滁州</w:t>
            </w:r>
            <w:r>
              <w:rPr>
                <w:rFonts w:hint="eastAsia" w:ascii="宋体" w:hAnsi="宋体" w:eastAsia="宋体" w:cs="宋体"/>
                <w:color w:val="auto"/>
                <w:sz w:val="24"/>
                <w:highlight w:val="none"/>
                <w:u w:val="single"/>
              </w:rPr>
              <w:t>市龙蟠大道109号房产大厦</w:t>
            </w:r>
            <w:r>
              <w:rPr>
                <w:rFonts w:hint="eastAsia" w:ascii="宋体" w:hAnsi="宋体" w:eastAsia="宋体" w:cs="宋体"/>
                <w:color w:val="auto"/>
                <w:sz w:val="24"/>
                <w:highlight w:val="none"/>
                <w:u w:val="single"/>
                <w:lang w:val="en-US" w:eastAsia="zh-CN"/>
              </w:rPr>
              <w:t>6</w:t>
            </w:r>
            <w:r>
              <w:rPr>
                <w:rFonts w:hint="eastAsia" w:ascii="宋体" w:hAnsi="宋体" w:eastAsia="宋体" w:cs="宋体"/>
                <w:color w:val="auto"/>
                <w:sz w:val="24"/>
                <w:highlight w:val="none"/>
                <w:u w:val="single"/>
              </w:rPr>
              <w:t>楼。</w:t>
            </w:r>
          </w:p>
        </w:tc>
      </w:tr>
      <w:tr w14:paraId="076B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81" w:type="pct"/>
            <w:vAlign w:val="center"/>
          </w:tcPr>
          <w:p w14:paraId="2CEC15E4">
            <w:pPr>
              <w:pStyle w:val="43"/>
              <w:pBdr>
                <w:bottom w:val="none" w:color="auto" w:sz="0" w:space="0"/>
              </w:pBdr>
              <w:tabs>
                <w:tab w:val="clear" w:pos="4153"/>
                <w:tab w:val="clear" w:pos="8306"/>
              </w:tabs>
              <w:adjustRightInd/>
              <w:spacing w:line="240" w:lineRule="auto"/>
              <w:textAlignment w:val="auto"/>
              <w:rPr>
                <w:rFonts w:hint="default"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32</w:t>
            </w:r>
          </w:p>
        </w:tc>
        <w:tc>
          <w:tcPr>
            <w:tcW w:w="1174" w:type="pct"/>
            <w:vAlign w:val="center"/>
          </w:tcPr>
          <w:p w14:paraId="434193E1">
            <w:pPr>
              <w:pStyle w:val="42"/>
              <w:widowControl w:val="0"/>
              <w:spacing w:before="0" w:beforeAutospacing="0" w:after="0" w:afterAutospacing="0" w:line="360" w:lineRule="auto"/>
              <w:jc w:val="both"/>
              <w:rPr>
                <w:rFonts w:hint="default"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其他内容</w:t>
            </w:r>
          </w:p>
        </w:tc>
        <w:tc>
          <w:tcPr>
            <w:tcW w:w="3244" w:type="pct"/>
            <w:vAlign w:val="center"/>
          </w:tcPr>
          <w:p w14:paraId="399DCF97">
            <w:pPr>
              <w:pStyle w:val="42"/>
              <w:widowControl w:val="0"/>
              <w:numPr>
                <w:ilvl w:val="0"/>
                <w:numId w:val="0"/>
              </w:numPr>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ascii="宋体" w:hAnsi="宋体" w:eastAsia="宋体"/>
                <w:b w:val="0"/>
                <w:color w:val="auto"/>
                <w:sz w:val="24"/>
                <w:highlight w:val="none"/>
                <w:lang w:val="en-US" w:eastAsia="zh-CN"/>
              </w:rPr>
              <w:t>1、解释权：</w:t>
            </w:r>
          </w:p>
          <w:p w14:paraId="1582DF06">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构成本招标文件的各个组成文件应互为解释，互为说明；</w:t>
            </w:r>
          </w:p>
          <w:p w14:paraId="09C69CB0">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3F3D5476">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69BFA36F">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除招标文件中有特别规定外，仅适用于招标投标阶段的规定，按招标公告、</w:t>
            </w:r>
            <w:r>
              <w:rPr>
                <w:rFonts w:hint="eastAsia" w:asciiTheme="minorEastAsia" w:hAnsiTheme="minorEastAsia" w:eastAsiaTheme="minorEastAsia"/>
                <w:bCs/>
                <w:color w:val="auto"/>
                <w:sz w:val="24"/>
                <w:szCs w:val="24"/>
                <w:highlight w:val="none"/>
              </w:rPr>
              <w:t>投标邀请、</w:t>
            </w:r>
            <w:r>
              <w:rPr>
                <w:rFonts w:asciiTheme="minorEastAsia" w:hAnsiTheme="minorEastAsia" w:eastAsiaTheme="minorEastAsia"/>
                <w:bCs/>
                <w:color w:val="auto"/>
                <w:sz w:val="24"/>
                <w:szCs w:val="24"/>
                <w:highlight w:val="none"/>
              </w:rPr>
              <w:t>投标人须知、评标</w:t>
            </w:r>
            <w:r>
              <w:rPr>
                <w:rFonts w:hint="eastAsia" w:asciiTheme="minorEastAsia" w:hAnsiTheme="minorEastAsia" w:eastAsiaTheme="minorEastAsia"/>
                <w:bCs/>
                <w:color w:val="auto"/>
                <w:sz w:val="24"/>
                <w:szCs w:val="24"/>
                <w:highlight w:val="none"/>
              </w:rPr>
              <w:t>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、投标文件格式的先后顺序解释；</w:t>
            </w:r>
          </w:p>
          <w:p w14:paraId="278A93A6">
            <w:pPr>
              <w:pStyle w:val="42"/>
              <w:widowControl w:val="0"/>
              <w:numPr>
                <w:ilvl w:val="0"/>
                <w:numId w:val="0"/>
              </w:numPr>
              <w:spacing w:before="0" w:beforeAutospacing="0" w:after="0" w:afterAutospacing="0" w:line="360" w:lineRule="auto"/>
              <w:jc w:val="both"/>
              <w:rPr>
                <w:rFonts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（5）</w:t>
            </w:r>
            <w:r>
              <w:rPr>
                <w:rFonts w:cs="@仿宋_GB2312" w:asciiTheme="minorEastAsia" w:hAnsiTheme="minorEastAsia" w:eastAsiaTheme="minorEastAsia"/>
                <w:b w:val="0"/>
                <w:bCs/>
                <w:color w:val="auto"/>
                <w:kern w:val="2"/>
                <w:sz w:val="24"/>
                <w:szCs w:val="24"/>
                <w:highlight w:val="none"/>
                <w:lang w:val="en-US" w:eastAsia="zh-CN" w:bidi="ar-SA"/>
              </w:rPr>
              <w:t>按本款前述规定仍不能形成结论的，由</w:t>
            </w:r>
            <w:r>
              <w:rPr>
                <w:rFonts w:hint="eastAsia" w:cs="@仿宋_GB2312" w:asciiTheme="minorEastAsia" w:hAnsiTheme="minorEastAsia" w:eastAsiaTheme="minorEastAsia"/>
                <w:b w:val="0"/>
                <w:bCs/>
                <w:color w:val="auto"/>
                <w:kern w:val="2"/>
                <w:sz w:val="24"/>
                <w:szCs w:val="24"/>
                <w:highlight w:val="none"/>
                <w:lang w:val="en-US" w:eastAsia="zh-CN" w:bidi="ar-SA"/>
              </w:rPr>
              <w:t>采购</w:t>
            </w:r>
            <w:r>
              <w:rPr>
                <w:rFonts w:cs="@仿宋_GB2312" w:asciiTheme="minorEastAsia" w:hAnsiTheme="minorEastAsia" w:eastAsiaTheme="minorEastAsia"/>
                <w:b w:val="0"/>
                <w:bCs/>
                <w:color w:val="auto"/>
                <w:kern w:val="2"/>
                <w:sz w:val="24"/>
                <w:szCs w:val="24"/>
                <w:highlight w:val="none"/>
                <w:lang w:val="en-US" w:eastAsia="zh-CN" w:bidi="ar-SA"/>
              </w:rPr>
              <w:t>人负责解释。</w:t>
            </w:r>
          </w:p>
          <w:p w14:paraId="432A3E64">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lang w:val="en-US" w:eastAsia="zh-CN"/>
              </w:rPr>
              <w:t>2、</w:t>
            </w:r>
            <w:r>
              <w:rPr>
                <w:rFonts w:hint="eastAsia" w:asciiTheme="minorEastAsia" w:hAnsiTheme="minorEastAsia" w:eastAsiaTheme="minorEastAsia"/>
                <w:bCs/>
                <w:color w:val="auto"/>
                <w:sz w:val="24"/>
                <w:szCs w:val="24"/>
                <w:highlight w:val="none"/>
              </w:rPr>
              <w:t>“政采贷”融资指引：有融资需求的</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ascii="宋体" w:hAnsi="宋体" w:eastAsia="宋体" w:cs="宋体"/>
                <w:color w:val="auto"/>
                <w:sz w:val="24"/>
                <w:szCs w:val="24"/>
                <w:highlight w:val="none"/>
              </w:rPr>
              <w:t>标人</w:t>
            </w:r>
            <w:r>
              <w:rPr>
                <w:rFonts w:hint="eastAsia" w:asciiTheme="minorEastAsia" w:hAnsiTheme="minorEastAsia" w:eastAsiaTheme="minorEastAsia"/>
                <w:bCs/>
                <w:color w:val="auto"/>
                <w:sz w:val="24"/>
                <w:szCs w:val="24"/>
                <w:highlight w:val="none"/>
              </w:rPr>
              <w:t>融资申请信息推送第三方平台、意向金融机构。</w:t>
            </w:r>
          </w:p>
          <w:p w14:paraId="0412EB9B">
            <w:pPr>
              <w:pStyle w:val="42"/>
              <w:widowControl w:val="0"/>
              <w:numPr>
                <w:ilvl w:val="0"/>
                <w:numId w:val="0"/>
              </w:numPr>
              <w:spacing w:before="0" w:beforeAutospacing="0" w:after="0" w:afterAutospacing="0" w:line="360" w:lineRule="auto"/>
              <w:jc w:val="both"/>
              <w:rPr>
                <w:rFonts w:hint="eastAsia" w:cs="@仿宋_GB2312" w:asciiTheme="minorEastAsia" w:hAnsiTheme="minorEastAsia" w:eastAsiaTheme="minorEastAsia"/>
                <w:b w:val="0"/>
                <w:bCs/>
                <w:color w:val="auto"/>
                <w:kern w:val="2"/>
                <w:sz w:val="24"/>
                <w:szCs w:val="24"/>
                <w:highlight w:val="none"/>
                <w:lang w:val="en-US" w:eastAsia="zh-CN" w:bidi="ar-SA"/>
              </w:rPr>
            </w:pPr>
            <w:r>
              <w:rPr>
                <w:rFonts w:hint="eastAsia" w:cs="@仿宋_GB2312" w:asciiTheme="minorEastAsia" w:hAnsiTheme="minorEastAsia" w:eastAsiaTheme="minorEastAsia"/>
                <w:b w:val="0"/>
                <w:bCs/>
                <w:color w:val="auto"/>
                <w:kern w:val="2"/>
                <w:sz w:val="24"/>
                <w:szCs w:val="24"/>
                <w:highlight w:val="none"/>
                <w:lang w:val="en-US" w:eastAsia="zh-CN" w:bidi="ar-SA"/>
              </w:rPr>
              <w:t>3、电子保函指引：中标人可访问安徽省政府采购网“融资/保函”栏目，申请办理电子保函（包括：履约保函、预付款保函）。</w:t>
            </w:r>
          </w:p>
          <w:p w14:paraId="416365C7">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4.部分可提供线下政采贷的金融机构：</w:t>
            </w:r>
          </w:p>
          <w:p w14:paraId="66EB7558">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市本级</w:t>
            </w:r>
          </w:p>
          <w:p w14:paraId="68725A5E">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金融机构名称：兴业银行滁州分行</w:t>
            </w:r>
          </w:p>
          <w:p w14:paraId="4D39951E">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安徽省滁州市琅琊区丰乐大道1090号</w:t>
            </w:r>
          </w:p>
          <w:p w14:paraId="38D6ED45">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伏庚：17755080811</w:t>
            </w:r>
          </w:p>
          <w:p w14:paraId="6FBD9112">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5.特别提示：</w:t>
            </w:r>
          </w:p>
          <w:p w14:paraId="16664925">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（1）投标人应填写投标信息并下载招标文件，否则无法上传投标文件。</w:t>
            </w:r>
          </w:p>
          <w:p w14:paraId="33DD0B73">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注：投标人如为联合体的，牵头人必须完善投标人信息，并在上传投标文件环节添加联合体投标信息。</w:t>
            </w:r>
          </w:p>
          <w:p w14:paraId="634E0799">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3A3DEF4E">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（3）如果过程中出现招标文件更改，应以最后发布的招标答疑澄清文件中的模板制作本项目最新投标文件。</w:t>
            </w:r>
          </w:p>
          <w:p w14:paraId="668D1E7B">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lang w:eastAsia="zh-CN"/>
              </w:rPr>
            </w:pPr>
            <w:r>
              <w:rPr>
                <w:rFonts w:hint="eastAsia" w:ascii="宋体" w:hAnsi="宋体" w:eastAsia="宋体" w:cs="宋体"/>
                <w:b w:val="0"/>
                <w:color w:val="auto"/>
                <w:kern w:val="2"/>
                <w:sz w:val="24"/>
                <w:szCs w:val="24"/>
                <w:highlight w:val="none"/>
              </w:rPr>
              <w:t>（4）投标人应当用本单位CA数字证书制作投标文件，制作成功后进行投标文件上传。</w:t>
            </w:r>
          </w:p>
          <w:p w14:paraId="3F2BE689">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0FC872A0">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（6）请投标人注意加密投标文件CA数字证书的有效期，不在有效期的CA数字证书无法解密投标文件。</w:t>
            </w:r>
          </w:p>
          <w:p w14:paraId="0325E215">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（7）投标人投标MAC地址或投标人联系人或联系电话相同的，由评标委员会否决其投标，并报告监管部门作不良行为处理和进一步调查。</w:t>
            </w:r>
          </w:p>
          <w:p w14:paraId="25769215">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（8）投标人单方面出现其他投标人材料的，由评标委员会否决其投标。</w:t>
            </w:r>
          </w:p>
          <w:p w14:paraId="4D2508DA">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092F1A50">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2B346528">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6.评标过程中的澄清、说明或补正：</w:t>
            </w:r>
          </w:p>
          <w:p w14:paraId="7FE6CC33">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（1）评标委员会通过网上招投标系统将需要澄清、说明或补正的内容以询标函的形式发送给投标人，投标人应安排专人登录网上招投标系统并保持在线状态，以便及时接收评标委员会可能发出的询标函。</w:t>
            </w:r>
          </w:p>
          <w:p w14:paraId="7D8736A9">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03E49DE0">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7.同义词语：</w:t>
            </w:r>
          </w:p>
          <w:p w14:paraId="04685538">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rPr>
              <w:t>招标文件第六章投标文件格式、附件1“关于联合惩戒失信行为加强信用查询管理的通知”等章节中“招标人”、“供应商”，等同于“采购人”、“投标人”。</w:t>
            </w:r>
          </w:p>
          <w:p w14:paraId="2C1A88D1">
            <w:pPr>
              <w:pStyle w:val="42"/>
              <w:widowControl w:val="0"/>
              <w:spacing w:before="0" w:beforeAutospacing="0" w:after="0" w:afterAutospacing="0" w:line="500" w:lineRule="exact"/>
              <w:jc w:val="both"/>
              <w:rPr>
                <w:rFonts w:hint="eastAsia" w:ascii="宋体" w:hAnsi="宋体" w:eastAsia="宋体" w:cs="宋体"/>
                <w:b w:val="0"/>
                <w:color w:val="auto"/>
                <w:kern w:val="2"/>
                <w:sz w:val="24"/>
                <w:szCs w:val="24"/>
                <w:highlight w:val="none"/>
              </w:rPr>
            </w:pPr>
            <w:r>
              <w:rPr>
                <w:rFonts w:hint="eastAsia" w:ascii="宋体" w:hAnsi="宋体" w:eastAsia="宋体" w:cs="宋体"/>
                <w:b w:val="0"/>
                <w:color w:val="auto"/>
                <w:kern w:val="2"/>
                <w:sz w:val="24"/>
                <w:szCs w:val="24"/>
                <w:highlight w:val="none"/>
                <w:lang w:val="en-US" w:eastAsia="zh-CN"/>
              </w:rPr>
              <w:t>8.</w:t>
            </w:r>
            <w:r>
              <w:rPr>
                <w:rFonts w:hint="eastAsia" w:ascii="宋体" w:hAnsi="宋体" w:eastAsia="宋体" w:cs="宋体"/>
                <w:b w:val="0"/>
                <w:color w:val="auto"/>
                <w:kern w:val="2"/>
                <w:sz w:val="24"/>
                <w:szCs w:val="24"/>
                <w:highlight w:val="none"/>
              </w:rPr>
              <w:t>落实政府采购支持节能产品、环境标志产品政策。</w:t>
            </w:r>
          </w:p>
          <w:p w14:paraId="2A2F2642">
            <w:pPr>
              <w:pStyle w:val="42"/>
              <w:widowControl w:val="0"/>
              <w:spacing w:before="0" w:beforeAutospacing="0" w:after="0" w:afterAutospacing="0" w:line="500" w:lineRule="exact"/>
              <w:jc w:val="both"/>
              <w:rPr>
                <w:rFonts w:hint="default" w:cs="@仿宋_GB2312" w:asciiTheme="minorEastAsia" w:hAnsiTheme="minorEastAsia" w:eastAsiaTheme="minorEastAsia"/>
                <w:b w:val="0"/>
                <w:bCs/>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rPr>
              <w:t>9.</w:t>
            </w:r>
            <w:r>
              <w:rPr>
                <w:rFonts w:hint="eastAsia" w:ascii="宋体" w:hAnsi="宋体" w:eastAsia="宋体" w:cs="宋体"/>
                <w:b w:val="0"/>
                <w:color w:val="auto"/>
                <w:kern w:val="2"/>
                <w:sz w:val="24"/>
                <w:szCs w:val="24"/>
                <w:highlight w:val="none"/>
              </w:rPr>
              <w:t>系统中提供的表格与采购文件中不一致时，以采购文件中提供的表格格式为准。</w:t>
            </w:r>
          </w:p>
        </w:tc>
      </w:tr>
    </w:tbl>
    <w:p w14:paraId="447D020C">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35" w:name="_Toc24882"/>
      <w:bookmarkStart w:id="36" w:name="_Toc9427"/>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投标人须知</w:t>
      </w:r>
      <w:r>
        <w:rPr>
          <w:rFonts w:hint="eastAsia" w:asciiTheme="minorEastAsia" w:hAnsiTheme="minorEastAsia" w:eastAsiaTheme="minorEastAsia"/>
          <w:b/>
          <w:color w:val="auto"/>
          <w:sz w:val="24"/>
          <w:highlight w:val="none"/>
        </w:rPr>
        <w:t>正文</w:t>
      </w:r>
      <w:bookmarkEnd w:id="35"/>
      <w:bookmarkEnd w:id="36"/>
    </w:p>
    <w:p w14:paraId="487646C4">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1.采购人、采购代理机构及投标人</w:t>
      </w:r>
    </w:p>
    <w:p w14:paraId="0D6B5A9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.1采购人：是指依法开展政府采购活动的国家机关、事业单位、团体组织。</w:t>
      </w:r>
    </w:p>
    <w:p w14:paraId="01E88A2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.2采购代理机构：是指集中采购机构或从事采购代理业务的社会中介机构。</w:t>
      </w:r>
    </w:p>
    <w:p w14:paraId="7EB9E9A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43E0C09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lang w:val="en-US" w:eastAsia="zh-CN"/>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23D13D6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4BD1DDF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以采购代理机构认可的方式获得了本项目的招标文件。</w:t>
      </w:r>
    </w:p>
    <w:p w14:paraId="2D1EDDF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ascii="宋体" w:hAnsi="宋体" w:eastAsia="宋体"/>
          <w:color w:val="auto"/>
          <w:sz w:val="24"/>
          <w:highlight w:val="none"/>
        </w:rPr>
        <w:t>中写明允许采购进口产品，投标人应保证所投产品可履行合法报通关手续进入中国关境内。</w:t>
      </w:r>
    </w:p>
    <w:p w14:paraId="68DE7FF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hint="eastAsia" w:ascii="宋体" w:hAnsi="宋体" w:eastAsia="宋体"/>
          <w:color w:val="auto"/>
          <w:sz w:val="24"/>
          <w:highlight w:val="none"/>
        </w:rPr>
        <w:t>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1424B2E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4408BEAC">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5.1两个以上供应商可以组成一个投标联合体，以一个投标人的身份投标。</w:t>
      </w:r>
      <w:r>
        <w:rPr>
          <w:rFonts w:ascii="宋体" w:hAnsi="宋体" w:eastAsia="宋体"/>
          <w:b w:val="0"/>
          <w:color w:val="auto"/>
          <w:sz w:val="24"/>
          <w:highlight w:val="none"/>
        </w:rPr>
        <w:t>联合体投标的，</w:t>
      </w:r>
      <w:r>
        <w:rPr>
          <w:rFonts w:hint="eastAsia" w:ascii="宋体" w:hAnsi="宋体" w:eastAsia="宋体"/>
          <w:b w:val="0"/>
          <w:color w:val="auto"/>
          <w:sz w:val="24"/>
          <w:highlight w:val="none"/>
        </w:rPr>
        <w:t>招标文件获取</w:t>
      </w:r>
      <w:r>
        <w:rPr>
          <w:rFonts w:ascii="宋体" w:hAnsi="宋体" w:eastAsia="宋体"/>
          <w:b w:val="0"/>
          <w:color w:val="auto"/>
          <w:sz w:val="24"/>
          <w:highlight w:val="none"/>
        </w:rPr>
        <w:t>手续由联合体</w:t>
      </w:r>
      <w:r>
        <w:rPr>
          <w:rFonts w:hint="eastAsia" w:ascii="宋体" w:hAnsi="宋体" w:eastAsia="宋体"/>
          <w:b w:val="0"/>
          <w:color w:val="auto"/>
          <w:sz w:val="24"/>
          <w:highlight w:val="none"/>
        </w:rPr>
        <w:t>中</w:t>
      </w:r>
      <w:r>
        <w:rPr>
          <w:rFonts w:ascii="宋体" w:hAnsi="宋体" w:eastAsia="宋体"/>
          <w:b w:val="0"/>
          <w:color w:val="auto"/>
          <w:sz w:val="24"/>
          <w:highlight w:val="none"/>
        </w:rPr>
        <w:t>任</w:t>
      </w:r>
      <w:r>
        <w:rPr>
          <w:rFonts w:hint="eastAsia" w:ascii="宋体" w:hAnsi="宋体" w:eastAsia="宋体"/>
          <w:b w:val="0"/>
          <w:color w:val="auto"/>
          <w:sz w:val="24"/>
          <w:highlight w:val="none"/>
        </w:rPr>
        <w:t>一成员单位</w:t>
      </w:r>
      <w:r>
        <w:rPr>
          <w:rFonts w:ascii="宋体" w:hAnsi="宋体" w:eastAsia="宋体"/>
          <w:b w:val="0"/>
          <w:color w:val="auto"/>
          <w:sz w:val="24"/>
          <w:highlight w:val="none"/>
        </w:rPr>
        <w:t>办理均可。</w:t>
      </w:r>
    </w:p>
    <w:p w14:paraId="40CFCDB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5.2联合体各方均应符合《中华人民共和国政府采购法》第二十二条规定的条件。</w:t>
      </w:r>
    </w:p>
    <w:p w14:paraId="5E0240A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5.3采购人根据采购项目对投标人的特殊要求，联合体中至少应当有一方符合相关规定。</w:t>
      </w:r>
    </w:p>
    <w:p w14:paraId="47EFF7F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309D82C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2AFB2F2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548A912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1F1F4BA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宋体" w:hAnsi="宋体" w:eastAsia="宋体"/>
          <w:color w:val="auto"/>
          <w:sz w:val="24"/>
          <w:highlight w:val="none"/>
        </w:rPr>
        <w:t>。</w:t>
      </w:r>
    </w:p>
    <w:p w14:paraId="7B36260B">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2.资金落实情况</w:t>
      </w:r>
    </w:p>
    <w:p w14:paraId="4B5DD70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本</w:t>
      </w:r>
      <w:r>
        <w:rPr>
          <w:rFonts w:hint="eastAsia" w:ascii="宋体" w:hAnsi="宋体" w:eastAsia="宋体"/>
          <w:color w:val="auto"/>
          <w:sz w:val="24"/>
          <w:highlight w:val="none"/>
        </w:rPr>
        <w:t>项目</w:t>
      </w:r>
      <w:r>
        <w:rPr>
          <w:rFonts w:hint="eastAsia" w:asciiTheme="minorEastAsia" w:hAnsiTheme="minorEastAsia" w:eastAsiaTheme="minorEastAsia"/>
          <w:color w:val="auto"/>
          <w:sz w:val="24"/>
          <w:highlight w:val="none"/>
        </w:rPr>
        <w:t>的采购人已获得足以支付本次招标后所签订的合同项下的资金。</w:t>
      </w:r>
    </w:p>
    <w:p w14:paraId="505D2B63">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3.投标费用</w:t>
      </w:r>
    </w:p>
    <w:p w14:paraId="570F4D3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6E22376B">
      <w:pPr>
        <w:spacing w:line="360" w:lineRule="auto"/>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4.适用法律</w:t>
      </w:r>
    </w:p>
    <w:p w14:paraId="49E2859D">
      <w:pPr>
        <w:spacing w:line="360" w:lineRule="auto"/>
        <w:ind w:firstLine="435"/>
        <w:rPr>
          <w:rFonts w:asciiTheme="minorEastAsia" w:hAnsiTheme="minorEastAsia" w:eastAsiaTheme="minorEastAsia"/>
          <w:color w:val="auto"/>
          <w:sz w:val="24"/>
          <w:highlight w:val="none"/>
        </w:rPr>
      </w:pPr>
      <w:r>
        <w:rPr>
          <w:rFonts w:hint="eastAsia" w:ascii="宋体" w:hAnsi="宋体" w:eastAsia="宋体"/>
          <w:color w:val="auto"/>
          <w:sz w:val="24"/>
          <w:highlight w:val="none"/>
        </w:rPr>
        <w:t>本项目采购人、采购代理机构、投标人、评标委员会的相关行为均受《中华人民共和国政府采购法》、《中</w:t>
      </w:r>
      <w:r>
        <w:rPr>
          <w:rFonts w:hint="eastAsia" w:ascii="宋体" w:hAnsi="宋体" w:eastAsia="宋体"/>
          <w:color w:val="auto"/>
          <w:sz w:val="24"/>
          <w:szCs w:val="22"/>
          <w:highlight w:val="none"/>
        </w:rPr>
        <w:t>华人民共和国政府采购法实施条例》</w:t>
      </w:r>
      <w:r>
        <w:rPr>
          <w:rFonts w:hint="eastAsia" w:ascii="宋体" w:hAnsi="宋体" w:eastAsia="宋体"/>
          <w:color w:val="auto"/>
          <w:sz w:val="24"/>
          <w:szCs w:val="22"/>
          <w:highlight w:val="none"/>
          <w:lang w:val="en-US" w:eastAsia="zh-CN"/>
        </w:rPr>
        <w:t>及</w:t>
      </w:r>
      <w:r>
        <w:rPr>
          <w:rFonts w:hint="eastAsia" w:ascii="宋体" w:hAnsi="宋体" w:eastAsia="宋体"/>
          <w:color w:val="auto"/>
          <w:sz w:val="24"/>
          <w:szCs w:val="22"/>
          <w:highlight w:val="none"/>
        </w:rPr>
        <w:t>本项目本级和上级财政部门、政府采购监督管理部门的政府采购有关规定的约束，其权利受到上述法律法规的保护。</w:t>
      </w:r>
    </w:p>
    <w:p w14:paraId="0F4059E0">
      <w:pPr>
        <w:spacing w:line="360" w:lineRule="auto"/>
        <w:ind w:firstLine="437"/>
        <w:outlineLvl w:val="2"/>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5</w:t>
      </w:r>
      <w:r>
        <w:rPr>
          <w:rFonts w:hint="eastAsia" w:asciiTheme="minorEastAsia" w:hAnsiTheme="minorEastAsia" w:eastAsiaTheme="minorEastAsia"/>
          <w:b/>
          <w:color w:val="auto"/>
          <w:sz w:val="24"/>
          <w:highlight w:val="none"/>
        </w:rPr>
        <w:t>.招标文件构成</w:t>
      </w:r>
    </w:p>
    <w:p w14:paraId="5AB9EFF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.1招标文件包括下列内容：</w:t>
      </w:r>
    </w:p>
    <w:p w14:paraId="494EA3EA">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投标邀请</w:t>
      </w:r>
    </w:p>
    <w:p w14:paraId="09BF2730">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投标人须知</w:t>
      </w:r>
    </w:p>
    <w:p w14:paraId="7CEE7D68">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348D6CF5">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评标</w:t>
      </w:r>
      <w:r>
        <w:rPr>
          <w:rFonts w:hint="eastAsia" w:asciiTheme="minorEastAsia" w:hAnsiTheme="minorEastAsia" w:eastAsiaTheme="minorEastAsia"/>
          <w:color w:val="auto"/>
          <w:sz w:val="24"/>
          <w:highlight w:val="none"/>
        </w:rPr>
        <w:t>方法</w:t>
      </w:r>
      <w:r>
        <w:rPr>
          <w:rFonts w:asciiTheme="minorEastAsia" w:hAnsiTheme="minorEastAsia" w:eastAsiaTheme="minorEastAsia"/>
          <w:color w:val="auto"/>
          <w:sz w:val="24"/>
          <w:highlight w:val="none"/>
        </w:rPr>
        <w:t>和标准</w:t>
      </w:r>
    </w:p>
    <w:p w14:paraId="008049A6">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402C599E">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投标文件格式</w:t>
      </w:r>
    </w:p>
    <w:p w14:paraId="392C6299">
      <w:pPr>
        <w:spacing w:line="360" w:lineRule="auto"/>
        <w:ind w:firstLine="840" w:firstLineChars="350"/>
        <w:outlineLvl w:val="9"/>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6BD8338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宋体" w:hAnsi="宋体" w:eastAsia="宋体" w:cs="@仿宋_GB2312"/>
          <w:b w:val="0"/>
          <w:bCs/>
          <w:color w:val="auto"/>
          <w:kern w:val="2"/>
          <w:sz w:val="24"/>
          <w:szCs w:val="22"/>
          <w:highlight w:val="none"/>
          <w:lang w:val="en-US" w:eastAsia="zh-CN" w:bidi="ar-SA"/>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w:t>
      </w:r>
    </w:p>
    <w:p w14:paraId="6D10DD1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投标人应认真阅读招标文件所有的事项、格式、条款和技术规范等。</w:t>
      </w:r>
    </w:p>
    <w:p w14:paraId="30D87AB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招标文件的澄清与修改</w:t>
      </w:r>
    </w:p>
    <w:p w14:paraId="73551C1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投标人如对招标文件内容有疑问，必须在</w:t>
      </w:r>
      <w:r>
        <w:rPr>
          <w:rFonts w:ascii="宋体" w:hAnsi="宋体" w:eastAsia="宋体"/>
          <w:color w:val="auto"/>
          <w:sz w:val="24"/>
          <w:highlight w:val="none"/>
          <w:u w:val="single"/>
        </w:rPr>
        <w:t>投标人须知前附表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4CFC926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w:t>
      </w:r>
      <w:r>
        <w:rPr>
          <w:rFonts w:hint="eastAsia" w:asciiTheme="minorEastAsia" w:hAnsiTheme="minorEastAsia" w:eastAsiaTheme="minorEastAsia"/>
          <w:color w:val="auto"/>
          <w:sz w:val="24"/>
          <w:highlight w:val="none"/>
        </w:rPr>
        <w:t>投标人提出的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时对招标文件进行澄清与修改。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在安徽省政府采购网以发布更正公告的方式</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澄清或修改招标文件，更正公告的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为招标文件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组成部分，对投标人起约束作用</w:t>
      </w:r>
      <w:r>
        <w:rPr>
          <w:rFonts w:hint="eastAsia" w:asciiTheme="minorEastAsia" w:hAnsiTheme="minorEastAsia" w:eastAsiaTheme="minorEastAsia"/>
          <w:color w:val="auto"/>
          <w:sz w:val="24"/>
          <w:highlight w:val="none"/>
        </w:rPr>
        <w:t>。投标人应主动上网查询。采购代理机构不承担投标人未及时关注相关信息引发的相关责任。</w:t>
      </w:r>
    </w:p>
    <w:p w14:paraId="4EF96C5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3EAA4DD3">
      <w:pPr>
        <w:spacing w:line="360" w:lineRule="auto"/>
        <w:ind w:firstLine="435"/>
        <w:rPr>
          <w:rFonts w:asciiTheme="minorEastAsia" w:hAnsiTheme="minorEastAsia" w:eastAsiaTheme="minorEastAsia"/>
          <w:i/>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rFonts w:ascii="宋体" w:hAnsi="宋体" w:eastAsia="宋体"/>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疑问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项目投标的</w:t>
      </w:r>
      <w:r>
        <w:rPr>
          <w:rFonts w:hint="eastAsia" w:asciiTheme="minorEastAsia" w:hAnsiTheme="minorEastAsia" w:eastAsiaTheme="minorEastAsia"/>
          <w:color w:val="auto"/>
          <w:sz w:val="24"/>
          <w:highlight w:val="none"/>
        </w:rPr>
        <w:t>投标人</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招标文件（含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24A69984">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投标范围及投标文件中标准和计量单位的使用</w:t>
      </w:r>
    </w:p>
    <w:p w14:paraId="0DC84AA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w:t>
      </w:r>
      <w:r>
        <w:rPr>
          <w:rFonts w:ascii="宋体" w:hAnsi="宋体" w:eastAsia="宋体"/>
          <w:color w:val="auto"/>
          <w:sz w:val="24"/>
          <w:highlight w:val="none"/>
        </w:rPr>
        <w:t>项目</w:t>
      </w:r>
      <w:r>
        <w:rPr>
          <w:rFonts w:asciiTheme="minorEastAsia" w:hAnsiTheme="minorEastAsia" w:eastAsiaTheme="minorEastAsia"/>
          <w:color w:val="auto"/>
          <w:sz w:val="24"/>
          <w:highlight w:val="none"/>
        </w:rPr>
        <w:t>有分包的，投标人可对招标文件其中某一个或几个分包进行投标，除非在</w:t>
      </w:r>
      <w:r>
        <w:rPr>
          <w:rFonts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中另有规定。</w:t>
      </w:r>
    </w:p>
    <w:p w14:paraId="05B107B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.2投标人应当对所投分包招标文件中“</w:t>
      </w:r>
      <w:r>
        <w:rPr>
          <w:rFonts w:hint="eastAsia" w:asciiTheme="minorEastAsia" w:hAnsiTheme="minorEastAsia" w:eastAsiaTheme="minorEastAsia"/>
          <w:color w:val="auto"/>
          <w:sz w:val="24"/>
          <w:highlight w:val="none"/>
        </w:rPr>
        <w:t>采购</w:t>
      </w:r>
      <w:r>
        <w:rPr>
          <w:rFonts w:asciiTheme="minorEastAsia" w:hAnsiTheme="minorEastAsia" w:eastAsiaTheme="minorEastAsia"/>
          <w:color w:val="auto"/>
          <w:sz w:val="24"/>
          <w:highlight w:val="none"/>
        </w:rPr>
        <w:t>需求”所列的所有内容进行投标，如仅响应</w:t>
      </w:r>
      <w:r>
        <w:rPr>
          <w:rFonts w:hint="eastAsia" w:asciiTheme="minorEastAsia" w:hAnsiTheme="minorEastAsia" w:eastAsiaTheme="minorEastAsia"/>
          <w:color w:val="auto"/>
          <w:sz w:val="24"/>
          <w:highlight w:val="none"/>
        </w:rPr>
        <w:t>所投包别</w:t>
      </w:r>
      <w:r>
        <w:rPr>
          <w:rFonts w:asciiTheme="minorEastAsia" w:hAnsiTheme="minorEastAsia" w:eastAsiaTheme="minorEastAsia"/>
          <w:color w:val="auto"/>
          <w:sz w:val="24"/>
          <w:highlight w:val="none"/>
        </w:rPr>
        <w:t>中的部分内容，其</w:t>
      </w:r>
      <w:r>
        <w:rPr>
          <w:rFonts w:hint="eastAsia" w:asciiTheme="minorEastAsia" w:hAnsiTheme="minorEastAsia" w:eastAsiaTheme="minorEastAsia"/>
          <w:color w:val="auto"/>
          <w:sz w:val="24"/>
          <w:highlight w:val="none"/>
        </w:rPr>
        <w:t>所投包别的</w:t>
      </w:r>
      <w:r>
        <w:rPr>
          <w:rFonts w:asciiTheme="minorEastAsia" w:hAnsiTheme="minorEastAsia" w:eastAsiaTheme="minorEastAsia"/>
          <w:color w:val="auto"/>
          <w:sz w:val="24"/>
          <w:highlight w:val="none"/>
        </w:rPr>
        <w:t>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6A3D1926">
      <w:pPr>
        <w:spacing w:line="360" w:lineRule="auto"/>
        <w:ind w:firstLine="435"/>
        <w:rPr>
          <w:rFonts w:asciiTheme="minorEastAsia" w:hAnsiTheme="minorEastAsia" w:eastAsiaTheme="minorEastAsia"/>
          <w:color w:val="auto"/>
          <w:sz w:val="24"/>
          <w:highlight w:val="none"/>
        </w:rPr>
      </w:pPr>
      <w:bookmarkStart w:id="37" w:name="_Hlk16458980"/>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.3无论招标文件中是否要求，</w:t>
      </w:r>
      <w:r>
        <w:rPr>
          <w:rFonts w:hint="eastAsia" w:asciiTheme="minorEastAsia" w:hAnsiTheme="minorEastAsia" w:eastAsiaTheme="minorEastAsia"/>
          <w:color w:val="auto"/>
          <w:sz w:val="24"/>
          <w:highlight w:val="none"/>
        </w:rPr>
        <w:t>投标人所投货物</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服务</w:t>
      </w:r>
      <w:r>
        <w:rPr>
          <w:rFonts w:hint="eastAsia" w:asciiTheme="minorEastAsia" w:hAnsiTheme="minorEastAsia" w:eastAsiaTheme="minorEastAsia"/>
          <w:color w:val="auto"/>
          <w:sz w:val="24"/>
          <w:highlight w:val="none"/>
          <w:lang w:val="en-US" w:eastAsia="zh-CN"/>
        </w:rPr>
        <w:t>及</w:t>
      </w:r>
      <w:r>
        <w:rPr>
          <w:rFonts w:hint="eastAsia" w:asciiTheme="minorEastAsia" w:hAnsiTheme="minorEastAsia" w:eastAsiaTheme="minorEastAsia"/>
          <w:color w:val="auto"/>
          <w:sz w:val="24"/>
          <w:highlight w:val="none"/>
        </w:rPr>
        <w:t>工程</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i w:val="0"/>
          <w:iCs w:val="0"/>
          <w:color w:val="auto"/>
          <w:sz w:val="24"/>
          <w:highlight w:val="none"/>
          <w:u w:val="none"/>
          <w:lang w:val="en-US" w:eastAsia="zh-CN"/>
        </w:rPr>
        <w:t>如有</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均应符合国家强制性标准。</w:t>
      </w:r>
    </w:p>
    <w:bookmarkEnd w:id="37"/>
    <w:p w14:paraId="296C83B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投标人与采购</w:t>
      </w:r>
      <w:r>
        <w:rPr>
          <w:rFonts w:hint="eastAsia" w:asciiTheme="minorEastAsia" w:hAnsiTheme="minorEastAsia" w:eastAsiaTheme="minorEastAsia"/>
          <w:color w:val="auto"/>
          <w:sz w:val="24"/>
          <w:highlight w:val="none"/>
        </w:rPr>
        <w:t>代理</w:t>
      </w:r>
      <w:r>
        <w:rPr>
          <w:rFonts w:asciiTheme="minorEastAsia" w:hAnsiTheme="minorEastAsia" w:eastAsiaTheme="minorEastAsia"/>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1877C94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除</w:t>
      </w:r>
      <w:r>
        <w:rPr>
          <w:rFonts w:ascii="宋体" w:hAnsi="宋体" w:eastAsia="宋体"/>
          <w:color w:val="auto"/>
          <w:sz w:val="24"/>
          <w:highlight w:val="none"/>
        </w:rPr>
        <w:t>招标文件</w:t>
      </w:r>
      <w:r>
        <w:rPr>
          <w:rFonts w:asciiTheme="minorEastAsia" w:hAnsiTheme="minorEastAsia" w:eastAsiaTheme="minorEastAsia"/>
          <w:color w:val="auto"/>
          <w:sz w:val="24"/>
          <w:highlight w:val="none"/>
        </w:rPr>
        <w:t>中有特殊要求外，投标文件中所使用的计量单位，应采用中华人民共和国法定计量单位。</w:t>
      </w:r>
    </w:p>
    <w:p w14:paraId="52B93DF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投标文件构成</w:t>
      </w:r>
    </w:p>
    <w:p w14:paraId="4E7F6A9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应完整地按招标文件提供的投标文件格式及要求</w:t>
      </w:r>
      <w:r>
        <w:rPr>
          <w:rFonts w:hint="eastAsia" w:asciiTheme="minorEastAsia" w:hAnsiTheme="minorEastAsia" w:eastAsiaTheme="minorEastAsia"/>
          <w:color w:val="auto"/>
          <w:sz w:val="24"/>
          <w:highlight w:val="none"/>
        </w:rPr>
        <w:t>编</w:t>
      </w:r>
      <w:r>
        <w:rPr>
          <w:rFonts w:asciiTheme="minorEastAsia" w:hAnsiTheme="minorEastAsia" w:eastAsiaTheme="minorEastAsia"/>
          <w:color w:val="auto"/>
          <w:sz w:val="24"/>
          <w:highlight w:val="none"/>
        </w:rPr>
        <w:t>写投标文件，</w:t>
      </w:r>
      <w:r>
        <w:rPr>
          <w:rFonts w:hint="eastAsia" w:asciiTheme="minorEastAsia" w:hAnsiTheme="minorEastAsia" w:eastAsiaTheme="minorEastAsia"/>
          <w:color w:val="auto"/>
          <w:sz w:val="24"/>
          <w:highlight w:val="none"/>
        </w:rPr>
        <w:t>具体内容详见本项目投标文件格式的相关内容。</w:t>
      </w:r>
    </w:p>
    <w:p w14:paraId="7FD55D88">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8.2</w:t>
      </w:r>
      <w:r>
        <w:rPr>
          <w:rFonts w:ascii="宋体" w:hAnsi="宋体" w:eastAsia="宋体"/>
          <w:color w:val="auto"/>
          <w:sz w:val="24"/>
          <w:highlight w:val="none"/>
        </w:rPr>
        <w:t>投标人</w:t>
      </w:r>
      <w:r>
        <w:rPr>
          <w:rFonts w:asciiTheme="minorEastAsia" w:hAnsiTheme="minorEastAsia" w:eastAsiaTheme="minorEastAsia"/>
          <w:color w:val="auto"/>
          <w:sz w:val="24"/>
          <w:highlight w:val="none"/>
        </w:rPr>
        <w:t>应提交</w:t>
      </w:r>
      <w:r>
        <w:rPr>
          <w:rFonts w:hint="eastAsia" w:asciiTheme="minorEastAsia" w:hAnsiTheme="minorEastAsia" w:eastAsiaTheme="minorEastAsia"/>
          <w:color w:val="auto"/>
          <w:sz w:val="24"/>
          <w:highlight w:val="none"/>
        </w:rPr>
        <w:t>招标文件要求的</w:t>
      </w:r>
      <w:r>
        <w:rPr>
          <w:rFonts w:asciiTheme="minorEastAsia" w:hAnsiTheme="minorEastAsia" w:eastAsiaTheme="minorEastAsia"/>
          <w:color w:val="auto"/>
          <w:sz w:val="24"/>
          <w:highlight w:val="none"/>
        </w:rPr>
        <w:t>证明文件，证明其投标内容符合招标文件规定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该证明文件是投标文件的一部分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38" w:name="_Hlk11703583"/>
      <w:r>
        <w:rPr>
          <w:rFonts w:hint="eastAsia" w:asciiTheme="minorEastAsia" w:hAnsiTheme="minorEastAsia" w:eastAsiaTheme="minorEastAsia"/>
          <w:color w:val="auto"/>
          <w:sz w:val="24"/>
          <w:highlight w:val="none"/>
          <w:lang w:val="en-US" w:eastAsia="zh-CN"/>
        </w:rPr>
        <w:t>等。</w:t>
      </w:r>
    </w:p>
    <w:bookmarkEnd w:id="38"/>
    <w:p w14:paraId="451C6F5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8.3</w:t>
      </w:r>
      <w:r>
        <w:rPr>
          <w:rFonts w:asciiTheme="minorEastAsia" w:hAnsiTheme="minorEastAsia" w:eastAsiaTheme="minorEastAsia"/>
          <w:color w:val="auto"/>
          <w:sz w:val="24"/>
          <w:highlight w:val="none"/>
        </w:rPr>
        <w:t>为保证</w:t>
      </w:r>
      <w:r>
        <w:rPr>
          <w:rFonts w:ascii="宋体" w:hAnsi="宋体" w:eastAsia="宋体"/>
          <w:color w:val="auto"/>
          <w:sz w:val="24"/>
          <w:highlight w:val="none"/>
        </w:rPr>
        <w:t>公平</w:t>
      </w:r>
      <w:r>
        <w:rPr>
          <w:rFonts w:asciiTheme="minorEastAsia" w:hAnsiTheme="minorEastAsia" w:eastAsiaTheme="minorEastAsia"/>
          <w:color w:val="auto"/>
          <w:sz w:val="24"/>
          <w:highlight w:val="none"/>
        </w:rPr>
        <w:t>公正，除非另有规定或说明，投标人对同一项目投标时，不得同时提供</w:t>
      </w:r>
      <w:r>
        <w:rPr>
          <w:rFonts w:hint="eastAsia" w:asciiTheme="minorEastAsia" w:hAnsiTheme="minorEastAsia" w:eastAsiaTheme="minorEastAsia"/>
          <w:color w:val="auto"/>
          <w:sz w:val="24"/>
          <w:highlight w:val="none"/>
        </w:rPr>
        <w:t>备选</w:t>
      </w:r>
      <w:r>
        <w:rPr>
          <w:rFonts w:asciiTheme="minorEastAsia" w:hAnsiTheme="minorEastAsia" w:eastAsiaTheme="minorEastAsia"/>
          <w:color w:val="auto"/>
          <w:sz w:val="24"/>
          <w:highlight w:val="none"/>
        </w:rPr>
        <w:t>投标方案。</w:t>
      </w:r>
    </w:p>
    <w:p w14:paraId="675E38D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投标报价</w:t>
      </w:r>
    </w:p>
    <w:p w14:paraId="7C765D4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2.1投标人的报价应当包括满足本次招标全部采购需求</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除招标文件另有规定外，</w:t>
      </w:r>
      <w:r>
        <w:rPr>
          <w:rFonts w:hint="eastAsia" w:asciiTheme="minorEastAsia" w:hAnsiTheme="minorEastAsia" w:eastAsiaTheme="minorEastAsia"/>
          <w:color w:val="auto"/>
          <w:sz w:val="24"/>
          <w:highlight w:val="none"/>
        </w:rPr>
        <w:t>所有投标均应以人民币报价。投标人的投标报价应遵守《中华人民共和国价格法》。</w:t>
      </w:r>
    </w:p>
    <w:p w14:paraId="50D4E06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.2投标人报价超过招标文件规定的预算金额或者分项、分包最高限价，其投标将被认定为</w:t>
      </w:r>
      <w:r>
        <w:rPr>
          <w:rFonts w:asciiTheme="minorEastAsia" w:hAnsiTheme="minorEastAsia" w:eastAsiaTheme="minorEastAsia"/>
          <w:b/>
          <w:bCs/>
          <w:color w:val="auto"/>
          <w:sz w:val="24"/>
          <w:highlight w:val="none"/>
        </w:rPr>
        <w:t>投标无效</w:t>
      </w:r>
      <w:r>
        <w:rPr>
          <w:rFonts w:asciiTheme="minorEastAsia" w:hAnsiTheme="minorEastAsia" w:eastAsiaTheme="minorEastAsia"/>
          <w:color w:val="auto"/>
          <w:sz w:val="24"/>
          <w:highlight w:val="none"/>
        </w:rPr>
        <w:t>。</w:t>
      </w:r>
    </w:p>
    <w:p w14:paraId="52D8ECA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投标报价</w:t>
      </w:r>
      <w:r>
        <w:rPr>
          <w:rFonts w:asciiTheme="minorEastAsia" w:hAnsiTheme="minorEastAsia" w:eastAsiaTheme="minorEastAsia"/>
          <w:color w:val="auto"/>
          <w:sz w:val="24"/>
          <w:highlight w:val="none"/>
        </w:rPr>
        <w:t>在合同履行过程中是固定不变的，不得以任何理由予以变更。任何包含价格调整要求的投标，其投标将被认定为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6A328C3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0149BCD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投标保证金</w:t>
      </w:r>
    </w:p>
    <w:p w14:paraId="4D03492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0</w:t>
      </w:r>
      <w:r>
        <w:rPr>
          <w:rFonts w:hint="eastAsia" w:asciiTheme="minorEastAsia" w:hAnsiTheme="minorEastAsia" w:eastAsiaTheme="minorEastAsia"/>
          <w:color w:val="auto"/>
          <w:sz w:val="24"/>
          <w:highlight w:val="none"/>
        </w:rPr>
        <w:t>.1本项目不收取投标保证金。</w:t>
      </w:r>
    </w:p>
    <w:p w14:paraId="4E74BDC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投标有效期</w:t>
      </w:r>
    </w:p>
    <w:p w14:paraId="7ED6649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.1投标有效期为从投标截止之日算起的日历天数，投标有效期详见</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w:t>
      </w:r>
    </w:p>
    <w:p w14:paraId="0176B33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.2在投标有效期内，投标人的投标保持有效，投标人不得要求撤销或修改其投标文件。投标有效期不满足要求的投标，其投标将被认定为</w:t>
      </w:r>
      <w:r>
        <w:rPr>
          <w:rFonts w:hint="eastAsia" w:asciiTheme="minorEastAsia" w:hAnsiTheme="minorEastAsia" w:eastAsiaTheme="minorEastAsia"/>
          <w:b/>
          <w:color w:val="auto"/>
          <w:sz w:val="24"/>
          <w:highlight w:val="none"/>
        </w:rPr>
        <w:t>投标无效</w:t>
      </w:r>
      <w:r>
        <w:rPr>
          <w:rFonts w:hint="eastAsia" w:asciiTheme="minorEastAsia" w:hAnsiTheme="minorEastAsia" w:eastAsiaTheme="minorEastAsia"/>
          <w:color w:val="auto"/>
          <w:sz w:val="24"/>
          <w:highlight w:val="none"/>
        </w:rPr>
        <w:t>。</w:t>
      </w:r>
    </w:p>
    <w:p w14:paraId="26CE2F5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76BD46B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投标文件的递交、修改与撤回</w:t>
      </w:r>
    </w:p>
    <w:p w14:paraId="6379D381">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.1投标人应当在</w:t>
      </w:r>
      <w:r>
        <w:rPr>
          <w:rFonts w:hint="eastAsia" w:asciiTheme="minorEastAsia" w:hAnsiTheme="minorEastAsia" w:eastAsiaTheme="minorEastAsia"/>
          <w:color w:val="auto"/>
          <w:sz w:val="24"/>
          <w:highlight w:val="none"/>
          <w:lang w:val="en-US" w:eastAsia="zh-CN"/>
        </w:rPr>
        <w:t>招标公告</w:t>
      </w:r>
      <w:r>
        <w:rPr>
          <w:rFonts w:hint="eastAsia" w:asciiTheme="minorEastAsia" w:hAnsiTheme="minorEastAsia" w:eastAsiaTheme="minorEastAsia"/>
          <w:color w:val="auto"/>
          <w:sz w:val="24"/>
          <w:highlight w:val="none"/>
        </w:rPr>
        <w:t>规定的投标截止时间前</w:t>
      </w:r>
      <w:r>
        <w:rPr>
          <w:rFonts w:asciiTheme="minorEastAsia" w:hAnsiTheme="minorEastAsia" w:eastAsiaTheme="minorEastAsia"/>
          <w:color w:val="auto"/>
          <w:sz w:val="24"/>
          <w:highlight w:val="none"/>
        </w:rPr>
        <w:t>，将加密的投标文件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0B0ECA6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5F6056C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开标</w:t>
      </w:r>
    </w:p>
    <w:p w14:paraId="3CE2651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lang w:val="en-US" w:eastAsia="zh-CN"/>
        </w:rPr>
        <w:t>其</w:t>
      </w:r>
      <w:r>
        <w:rPr>
          <w:rFonts w:asciiTheme="minorEastAsia" w:hAnsiTheme="minorEastAsia" w:eastAsiaTheme="minorEastAsia"/>
          <w:color w:val="auto"/>
          <w:sz w:val="24"/>
          <w:highlight w:val="none"/>
        </w:rPr>
        <w:t>投标文件</w:t>
      </w:r>
      <w:r>
        <w:rPr>
          <w:rFonts w:hint="eastAsia" w:asciiTheme="minorEastAsia" w:hAnsiTheme="minorEastAsia" w:eastAsiaTheme="minorEastAsia"/>
          <w:color w:val="auto"/>
          <w:sz w:val="24"/>
          <w:highlight w:val="none"/>
        </w:rPr>
        <w:t>进行</w:t>
      </w:r>
      <w:r>
        <w:rPr>
          <w:rFonts w:asciiTheme="minorEastAsia" w:hAnsiTheme="minorEastAsia" w:eastAsiaTheme="minorEastAsia"/>
          <w:color w:val="auto"/>
          <w:sz w:val="24"/>
          <w:highlight w:val="none"/>
        </w:rPr>
        <w:t>解密。</w:t>
      </w:r>
    </w:p>
    <w:p w14:paraId="2916EAD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开标时，采购代理机构将通过网上开标系统公布</w:t>
      </w:r>
      <w:r>
        <w:rPr>
          <w:rFonts w:hint="eastAsia" w:asciiTheme="minorEastAsia" w:hAnsiTheme="minorEastAsia" w:eastAsiaTheme="minorEastAsia"/>
          <w:color w:val="auto"/>
          <w:sz w:val="24"/>
          <w:highlight w:val="none"/>
        </w:rPr>
        <w:t>开标结果，公布内容包括投标人名称、投标价格及招标文件规定的内容。</w:t>
      </w:r>
    </w:p>
    <w:p w14:paraId="2E2468C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采购人或采购代理机构将对开标过程进行记录，由参加开标的各投标人代表和相关工作人员签字确认，并存档备查。</w:t>
      </w:r>
    </w:p>
    <w:p w14:paraId="32509C8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投标人未派代表参加开标的，视同投标人认可开标结果。</w:t>
      </w:r>
    </w:p>
    <w:p w14:paraId="7054F89E">
      <w:pPr>
        <w:spacing w:line="360" w:lineRule="auto"/>
        <w:ind w:firstLine="435"/>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投标人代表对开标过程和开标记录有疑义，以及认为采购人、采购代理机构相关工作人员有需要回避的情形的，应当场提出询问或者回避申请。</w:t>
      </w:r>
    </w:p>
    <w:p w14:paraId="7CEA839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资格审查及组建评标委员会</w:t>
      </w:r>
    </w:p>
    <w:p w14:paraId="52BA6D6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.1采购人或采购代理机构依据法律法规和招标文件中规定的内</w:t>
      </w:r>
      <w:r>
        <w:rPr>
          <w:rFonts w:asciiTheme="minorEastAsia" w:hAnsiTheme="minorEastAsia" w:eastAsiaTheme="minorEastAsia"/>
          <w:color w:val="auto"/>
          <w:sz w:val="24"/>
          <w:highlight w:val="none"/>
        </w:rPr>
        <w:t>容</w:t>
      </w:r>
      <w:r>
        <w:rPr>
          <w:rFonts w:hint="eastAsia" w:asciiTheme="minorEastAsia" w:hAnsiTheme="minorEastAsia" w:eastAsiaTheme="minorEastAsia"/>
          <w:color w:val="auto"/>
          <w:sz w:val="24"/>
          <w:highlight w:val="none"/>
        </w:rPr>
        <w:t>，对投标人资格进行审查，未</w:t>
      </w:r>
      <w:r>
        <w:rPr>
          <w:rFonts w:asciiTheme="minorEastAsia" w:hAnsiTheme="minorEastAsia" w:eastAsiaTheme="minorEastAsia"/>
          <w:color w:val="auto"/>
          <w:sz w:val="24"/>
          <w:highlight w:val="none"/>
        </w:rPr>
        <w:t>通过资格审查的投标人</w:t>
      </w:r>
      <w:r>
        <w:rPr>
          <w:rFonts w:hint="eastAsia" w:asciiTheme="minorEastAsia" w:hAnsiTheme="minorEastAsia" w:eastAsiaTheme="minorEastAsia"/>
          <w:color w:val="auto"/>
          <w:sz w:val="24"/>
          <w:highlight w:val="none"/>
        </w:rPr>
        <w:t>不</w:t>
      </w:r>
      <w:r>
        <w:rPr>
          <w:rFonts w:asciiTheme="minorEastAsia" w:hAnsiTheme="minorEastAsia" w:eastAsiaTheme="minorEastAsia"/>
          <w:color w:val="auto"/>
          <w:sz w:val="24"/>
          <w:highlight w:val="none"/>
        </w:rPr>
        <w:t>进入评标</w:t>
      </w:r>
      <w:r>
        <w:rPr>
          <w:rFonts w:hint="eastAsia" w:asciiTheme="minorEastAsia" w:hAnsiTheme="minorEastAsia" w:eastAsiaTheme="minorEastAsia"/>
          <w:color w:val="auto"/>
          <w:sz w:val="24"/>
          <w:highlight w:val="none"/>
        </w:rPr>
        <w:t>。</w:t>
      </w:r>
    </w:p>
    <w:p w14:paraId="088A4EAF">
      <w:pPr>
        <w:spacing w:line="360" w:lineRule="auto"/>
        <w:ind w:firstLine="435"/>
        <w:rPr>
          <w:rFonts w:hint="eastAsia" w:ascii="宋体" w:hAnsi="宋体" w:eastAsia="宋体" w:cs="宋体"/>
          <w:color w:val="auto"/>
          <w:sz w:val="24"/>
          <w:szCs w:val="24"/>
          <w:highlight w:val="none"/>
        </w:rPr>
      </w:pPr>
      <w:bookmarkStart w:id="39" w:name="_Hlk246632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.2采购人或采购代理机构将在投标截止时间后至评审结束前通过“信用中国”网站(www.creditchina.gov.cn)、中国政府采购网(www.ccgp.gov.cn)查询相关投标人信用记录，并对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038ADF3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6F831D8E">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p>
    <w:bookmarkEnd w:id="39"/>
    <w:p w14:paraId="4839F539">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.3按照</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中华人民共和国政府采购法》</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《中华人民共和国政府采购</w:t>
      </w:r>
      <w:r>
        <w:rPr>
          <w:rFonts w:hint="eastAsia" w:asciiTheme="minorEastAsia" w:hAnsiTheme="minorEastAsia" w:eastAsiaTheme="minorEastAsia"/>
          <w:color w:val="auto"/>
          <w:sz w:val="24"/>
          <w:highlight w:val="none"/>
        </w:rPr>
        <w:t>法</w:t>
      </w:r>
      <w:r>
        <w:rPr>
          <w:rFonts w:asciiTheme="minorEastAsia" w:hAnsiTheme="minorEastAsia" w:eastAsiaTheme="minorEastAsia"/>
          <w:color w:val="auto"/>
          <w:sz w:val="24"/>
          <w:highlight w:val="none"/>
        </w:rPr>
        <w:t>实施条例》</w:t>
      </w:r>
      <w:r>
        <w:rPr>
          <w:rFonts w:hint="eastAsia" w:asciiTheme="minorEastAsia" w:hAnsiTheme="minorEastAsia" w:eastAsiaTheme="minorEastAsia"/>
          <w:color w:val="auto"/>
          <w:sz w:val="24"/>
          <w:highlight w:val="none"/>
        </w:rPr>
        <w:t>及本项目本级</w:t>
      </w:r>
      <w:r>
        <w:rPr>
          <w:rFonts w:asciiTheme="minorEastAsia" w:hAnsiTheme="minorEastAsia" w:eastAsiaTheme="minorEastAsia"/>
          <w:color w:val="auto"/>
          <w:sz w:val="24"/>
          <w:highlight w:val="none"/>
        </w:rPr>
        <w:t>和上级财政部门</w:t>
      </w:r>
      <w:r>
        <w:rPr>
          <w:rFonts w:hint="eastAsia" w:asciiTheme="minorEastAsia" w:hAnsiTheme="minorEastAsia" w:eastAsiaTheme="minorEastAsia"/>
          <w:color w:val="auto"/>
          <w:sz w:val="24"/>
          <w:highlight w:val="none"/>
        </w:rPr>
        <w:t>、政府采购监督管理部门的有关规定依法组建的</w:t>
      </w:r>
      <w:r>
        <w:rPr>
          <w:rFonts w:asciiTheme="minorEastAsia" w:hAnsiTheme="minorEastAsia" w:eastAsiaTheme="minorEastAsia"/>
          <w:color w:val="auto"/>
          <w:sz w:val="24"/>
          <w:highlight w:val="none"/>
        </w:rPr>
        <w:t>评标委员会</w:t>
      </w:r>
      <w:r>
        <w:rPr>
          <w:rFonts w:hint="eastAsia" w:asciiTheme="minorEastAsia" w:hAnsiTheme="minorEastAsia" w:eastAsiaTheme="minorEastAsia"/>
          <w:color w:val="auto"/>
          <w:sz w:val="24"/>
          <w:highlight w:val="none"/>
        </w:rPr>
        <w:t>，负责本项目评标工作。</w:t>
      </w:r>
    </w:p>
    <w:p w14:paraId="2B128BF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投标文件符合性审查与澄清</w:t>
      </w:r>
    </w:p>
    <w:p w14:paraId="0AB1414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asciiTheme="minorEastAsia" w:hAnsiTheme="minorEastAsia" w:eastAsiaTheme="minorEastAsia"/>
          <w:color w:val="auto"/>
          <w:sz w:val="24"/>
          <w:highlight w:val="none"/>
        </w:rPr>
        <w:t>.1符合性审查是指依据招标文件的规定，从投标文件的有效性和完整性对招标文件的响应程度</w:t>
      </w:r>
      <w:r>
        <w:rPr>
          <w:rFonts w:ascii="宋体" w:hAnsi="宋体" w:eastAsia="宋体"/>
          <w:color w:val="auto"/>
          <w:sz w:val="24"/>
          <w:highlight w:val="none"/>
        </w:rPr>
        <w:t>进行</w:t>
      </w:r>
      <w:r>
        <w:rPr>
          <w:rFonts w:asciiTheme="minorEastAsia" w:hAnsiTheme="minorEastAsia" w:eastAsiaTheme="minorEastAsia"/>
          <w:color w:val="auto"/>
          <w:sz w:val="24"/>
          <w:highlight w:val="none"/>
        </w:rPr>
        <w:t>审查，以确定是否对招标文件的实质性要求做出响应。</w:t>
      </w:r>
    </w:p>
    <w:p w14:paraId="26C7965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投标文件的澄清</w:t>
      </w:r>
    </w:p>
    <w:p w14:paraId="7399CD7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w:t>
      </w:r>
      <w:r>
        <w:rPr>
          <w:rFonts w:hint="eastAsia" w:ascii="宋体" w:hAnsi="宋体" w:eastAsia="宋体"/>
          <w:color w:val="auto"/>
          <w:sz w:val="24"/>
          <w:highlight w:val="none"/>
          <w:lang w:val="en-US" w:eastAsia="zh-CN"/>
        </w:rPr>
        <w:t>等</w:t>
      </w:r>
      <w:r>
        <w:rPr>
          <w:rFonts w:ascii="宋体" w:hAnsi="宋体" w:eastAsia="宋体"/>
          <w:color w:val="auto"/>
          <w:sz w:val="24"/>
          <w:highlight w:val="none"/>
        </w:rPr>
        <w:t>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41A4F53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p>
    <w:p w14:paraId="22A298B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15.</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投标人的澄清、说明或补正将作为投标文件的一部分。</w:t>
      </w:r>
    </w:p>
    <w:p w14:paraId="56771C7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.3评标委员会对投标人提交的澄清、说明或补正有疑问的，可以要求投标人进一步澄清、说明或补正，直至满足评标委员会的要求。</w:t>
      </w:r>
    </w:p>
    <w:p w14:paraId="7F73064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投标文件报价出现前后不一致的，按照下列规定修正：</w:t>
      </w:r>
    </w:p>
    <w:p w14:paraId="4CC914C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38A11D54">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4CA8D87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4AE8A2F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147C8B09">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lang w:eastAsia="zh-CN"/>
        </w:rPr>
        <w:t>15.</w:t>
      </w:r>
      <w:r>
        <w:rPr>
          <w:rFonts w:ascii="宋体" w:hAnsi="宋体" w:eastAsia="宋体"/>
          <w:color w:val="auto"/>
          <w:sz w:val="24"/>
          <w:highlight w:val="none"/>
        </w:rPr>
        <w:t>4条的规定经投标人确认后产生约束力，投标人不确认的，其投标将被认定为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5D3AA14C">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对不同文字文本投标文件的解释发生异议的，以中文文本为准。</w:t>
      </w:r>
    </w:p>
    <w:p w14:paraId="6F260EE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16.</w:t>
      </w:r>
      <w:r>
        <w:rPr>
          <w:rFonts w:hint="eastAsia" w:asciiTheme="minorEastAsia" w:hAnsiTheme="minorEastAsia" w:eastAsiaTheme="minorEastAsia"/>
          <w:b/>
          <w:color w:val="auto"/>
          <w:sz w:val="24"/>
          <w:highlight w:val="none"/>
        </w:rPr>
        <w:t>投标无效</w:t>
      </w:r>
    </w:p>
    <w:p w14:paraId="177CC9F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1根据本</w:t>
      </w:r>
      <w:r>
        <w:rPr>
          <w:rFonts w:hint="eastAsia" w:asciiTheme="minorEastAsia" w:hAnsiTheme="minorEastAsia" w:eastAsiaTheme="minorEastAsia"/>
          <w:color w:val="auto"/>
          <w:sz w:val="24"/>
          <w:highlight w:val="none"/>
        </w:rPr>
        <w:t>招标文件</w:t>
      </w:r>
      <w:r>
        <w:rPr>
          <w:rFonts w:asciiTheme="minorEastAsia" w:hAnsiTheme="minorEastAsia" w:eastAsiaTheme="minorEastAsia"/>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1290257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评标委员会决定投标的响应性只根据招标文件要求和投标文件内容。</w:t>
      </w:r>
    </w:p>
    <w:p w14:paraId="0AD3BBA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无论何种原因，即使投标人投标时携带了证书材料的原件，但投标文件中未提供与之内容完全一致的扫描件的，评标委员会视同其未提供。</w:t>
      </w:r>
    </w:p>
    <w:p w14:paraId="0D84B9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16.</w:t>
      </w:r>
      <w:r>
        <w:rPr>
          <w:rFonts w:asciiTheme="minorEastAsia" w:hAnsiTheme="minorEastAsia" w:eastAsiaTheme="minorEastAsia"/>
          <w:color w:val="auto"/>
          <w:sz w:val="24"/>
          <w:highlight w:val="none"/>
        </w:rPr>
        <w:t>2如发现下列情况之一的，其投标将被认定为</w:t>
      </w:r>
      <w:r>
        <w:rPr>
          <w:rFonts w:asciiTheme="minorEastAsia" w:hAnsiTheme="minorEastAsia" w:eastAsiaTheme="minorEastAsia"/>
          <w:b/>
          <w:color w:val="auto"/>
          <w:sz w:val="24"/>
          <w:highlight w:val="none"/>
        </w:rPr>
        <w:t>投标无效</w:t>
      </w:r>
      <w:r>
        <w:rPr>
          <w:rFonts w:asciiTheme="minorEastAsia" w:hAnsiTheme="minorEastAsia" w:eastAsiaTheme="minorEastAsia"/>
          <w:color w:val="auto"/>
          <w:sz w:val="24"/>
          <w:highlight w:val="none"/>
        </w:rPr>
        <w:t>：</w:t>
      </w:r>
    </w:p>
    <w:p w14:paraId="52F807F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1）投标文件未按照招标文件规定要求签署、盖章的；</w:t>
      </w:r>
    </w:p>
    <w:p w14:paraId="2E2D2E0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2）不具备招标文件中规定的资格要求的；</w:t>
      </w:r>
    </w:p>
    <w:p w14:paraId="53854F5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3）报价超过招标文件中规定的预算金额或者最高限价的；</w:t>
      </w:r>
    </w:p>
    <w:p w14:paraId="674CDB9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4）投标文件含有采购人不能接受的附加条件的；</w:t>
      </w:r>
    </w:p>
    <w:p w14:paraId="1CB531C5">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5）法律、法规和招标文件规定的其他无效情形。</w:t>
      </w:r>
    </w:p>
    <w:p w14:paraId="26D6C6E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eastAsia="zh-CN"/>
        </w:rPr>
        <w:t>17.</w:t>
      </w:r>
      <w:r>
        <w:rPr>
          <w:rFonts w:hint="eastAsia" w:asciiTheme="minorEastAsia" w:hAnsiTheme="minorEastAsia" w:eastAsiaTheme="minorEastAsia"/>
          <w:b/>
          <w:color w:val="auto"/>
          <w:sz w:val="24"/>
          <w:highlight w:val="none"/>
        </w:rPr>
        <w:t>比较与评价</w:t>
      </w:r>
    </w:p>
    <w:p w14:paraId="6FECBBB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1经符合性审查合格</w:t>
      </w:r>
      <w:r>
        <w:rPr>
          <w:rFonts w:hint="eastAsia" w:ascii="宋体" w:hAnsi="宋体" w:eastAsia="宋体" w:cs="Times New Roman"/>
          <w:color w:val="auto"/>
          <w:sz w:val="24"/>
          <w:highlight w:val="none"/>
          <w:lang w:val="en-US" w:eastAsia="zh-CN"/>
        </w:rPr>
        <w:t>并通过异常低价投标审查</w:t>
      </w:r>
      <w:r>
        <w:rPr>
          <w:rFonts w:hint="eastAsia" w:asciiTheme="minorEastAsia" w:hAnsiTheme="minorEastAsia" w:eastAsiaTheme="minorEastAsia"/>
          <w:color w:val="auto"/>
          <w:sz w:val="24"/>
          <w:highlight w:val="none"/>
        </w:rPr>
        <w:t>的投标文件，评标委员会将根据招标文件确定的评标方法和标准，对其投标文件作进一步的比较与评价。</w:t>
      </w:r>
    </w:p>
    <w:p w14:paraId="7FE8A23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17.</w:t>
      </w:r>
      <w:r>
        <w:rPr>
          <w:rFonts w:hint="eastAsia" w:asciiTheme="minorEastAsia" w:hAnsiTheme="minorEastAsia" w:eastAsiaTheme="minorEastAsia"/>
          <w:color w:val="auto"/>
          <w:sz w:val="24"/>
          <w:highlight w:val="none"/>
        </w:rPr>
        <w:t>2评标严格按照</w:t>
      </w:r>
      <w:r>
        <w:rPr>
          <w:rFonts w:hint="eastAsia" w:ascii="宋体" w:hAnsi="宋体" w:eastAsia="宋体"/>
          <w:color w:val="auto"/>
          <w:sz w:val="24"/>
          <w:highlight w:val="none"/>
        </w:rPr>
        <w:t>招标文件</w:t>
      </w:r>
      <w:r>
        <w:rPr>
          <w:rFonts w:hint="eastAsia" w:asciiTheme="minorEastAsia" w:hAnsiTheme="minorEastAsia" w:eastAsiaTheme="minorEastAsia"/>
          <w:color w:val="auto"/>
          <w:sz w:val="24"/>
          <w:highlight w:val="none"/>
        </w:rPr>
        <w:t>的要求和条件进行。根据实际情况，在</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中规定采用下列一种评标方法，详细评标方法和标准见招标文件第四章：</w:t>
      </w:r>
    </w:p>
    <w:p w14:paraId="411CEA0E">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6D80998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688F1FD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w:t>
      </w:r>
      <w:r>
        <w:rPr>
          <w:rFonts w:hint="eastAsia" w:ascii="宋体" w:hAnsi="宋体" w:eastAsia="宋体"/>
          <w:color w:val="auto"/>
          <w:sz w:val="24"/>
          <w:highlight w:val="none"/>
          <w:lang w:val="en-US" w:eastAsia="zh-CN"/>
        </w:rPr>
        <w:t>和</w:t>
      </w:r>
      <w:r>
        <w:rPr>
          <w:rFonts w:ascii="宋体" w:hAnsi="宋体" w:eastAsia="宋体"/>
          <w:color w:val="auto"/>
          <w:sz w:val="24"/>
          <w:highlight w:val="none"/>
        </w:rPr>
        <w:t>《财政部 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36F7E44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788C85AD">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220EF5B1">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17.4根据《国务院办公厅关于在政府采购中实施本国产品标准及相关政策的通知》（国办发〔2025〕34号）和财政部工业和信息化部关于贯彻落实《国务院办公厅关于在政府采购中实施本国产品标准及相关政策的通知》的意见（财库〔2025〕30号），政府采购活动中既有本国产品又有非本国产品参与竞争的，依法对本国产品给予价格评审优惠，对本国产品的报价给予20%的价格扣除，用扣除后的价格参与评审。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016554BB">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评标委员会应当对投标人所出具的《关于符合本国产品标准的声明函》（以下简称《声明函》）的完整性、准确性进行审查，评审中发现《声明函》内容含义不明确、同类事项与投标文件表述不一致或者有明显文字错误等情况的，应当以书面形式要求投标人作出必要的澄清、说明或者补正。经澄清、说明或者补正的《声明函》仍然不符合规定要求的，投标人提供的相关产品视为不符合本国产品标准。</w:t>
      </w:r>
    </w:p>
    <w:p w14:paraId="6434D486">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240" w:firstLineChars="100"/>
        <w:jc w:val="both"/>
        <w:textAlignment w:val="auto"/>
        <w:rPr>
          <w:rFonts w:hint="eastAsia" w:ascii="宋体" w:hAnsi="宋体" w:eastAsia="宋体" w:cs="宋体"/>
          <w:b w:val="0"/>
          <w:i w:val="0"/>
          <w:iCs w:val="0"/>
          <w:color w:val="auto"/>
          <w:sz w:val="24"/>
          <w:szCs w:val="24"/>
          <w:highlight w:val="none"/>
          <w:lang w:val="en-US" w:eastAsia="zh-CN"/>
        </w:rPr>
      </w:pPr>
      <w:r>
        <w:rPr>
          <w:rFonts w:hint="eastAsia" w:ascii="宋体" w:hAnsi="宋体" w:eastAsia="宋体" w:cs="宋体"/>
          <w:b w:val="0"/>
          <w:i w:val="0"/>
          <w:iCs w:val="0"/>
          <w:color w:val="auto"/>
          <w:sz w:val="24"/>
          <w:szCs w:val="24"/>
          <w:highlight w:val="none"/>
          <w:lang w:val="en-US" w:eastAsia="zh-CN"/>
        </w:rPr>
        <w:t>注：本项目所称的本国产品是指在中国境内生产的产品，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9D84708">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240" w:firstLineChars="100"/>
        <w:jc w:val="both"/>
        <w:textAlignment w:val="auto"/>
        <w:rPr>
          <w:color w:val="auto"/>
          <w:highlight w:val="none"/>
        </w:rPr>
      </w:pPr>
      <w:r>
        <w:rPr>
          <w:rFonts w:hint="eastAsia" w:ascii="宋体" w:hAnsi="宋体" w:eastAsia="宋体" w:cs="宋体"/>
          <w:b w:val="0"/>
          <w:i w:val="0"/>
          <w:iCs w:val="0"/>
          <w:color w:val="auto"/>
          <w:sz w:val="24"/>
          <w:szCs w:val="24"/>
          <w:highlight w:val="none"/>
          <w:lang w:val="en-US" w:eastAsia="zh-CN"/>
        </w:rPr>
        <w:t>17.5同时符合17.3和17.4的价格评审优惠时，评标价为投标报价分别扣除促进中小企业发展政策的价格评审优惠和本国产品支持政策的价格评审优惠后的价格。</w:t>
      </w:r>
    </w:p>
    <w:p w14:paraId="1E8B7020">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废标、重新招标与变更采购方式</w:t>
      </w:r>
    </w:p>
    <w:p w14:paraId="23CFDDD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.1出现下列情形之一，将导致项目废标：</w:t>
      </w:r>
    </w:p>
    <w:p w14:paraId="3B99799C">
      <w:pPr>
        <w:spacing w:line="360" w:lineRule="auto"/>
        <w:ind w:firstLine="435"/>
        <w:rPr>
          <w:rFonts w:ascii="宋体" w:hAnsi="宋体" w:eastAsia="宋体"/>
          <w:color w:val="auto"/>
          <w:sz w:val="24"/>
          <w:highlight w:val="none"/>
        </w:rPr>
      </w:pPr>
      <w:r>
        <w:rPr>
          <w:rFonts w:hint="eastAsia" w:asciiTheme="minorEastAsia" w:hAnsiTheme="minorEastAsia" w:eastAsiaTheme="minorEastAsia"/>
          <w:color w:val="auto"/>
          <w:sz w:val="24"/>
          <w:highlight w:val="none"/>
        </w:rPr>
        <w:t>（</w:t>
      </w:r>
      <w:r>
        <w:rPr>
          <w:rFonts w:hint="eastAsia" w:ascii="宋体" w:hAnsi="宋体" w:eastAsia="宋体"/>
          <w:color w:val="auto"/>
          <w:sz w:val="24"/>
          <w:highlight w:val="none"/>
        </w:rPr>
        <w:t>1）符合专业条件的供应商或者对招标文件做实质性响应的供应商不足规定数量的；</w:t>
      </w:r>
    </w:p>
    <w:p w14:paraId="0A0E79C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1B020BC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599F42B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（4）因重大变故，采购任务取消的。</w:t>
      </w:r>
    </w:p>
    <w:p w14:paraId="03D78EF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hint="eastAsia" w:asciiTheme="minorEastAsia" w:hAnsiTheme="minorEastAsia" w:eastAsiaTheme="minorEastAsia"/>
          <w:color w:val="auto"/>
          <w:sz w:val="24"/>
          <w:highlight w:val="none"/>
        </w:rPr>
        <w:t>.2公开招标数额标准以上的采购项目，投标截止后投标人不足</w:t>
      </w:r>
      <w:r>
        <w:rPr>
          <w:rFonts w:asciiTheme="minorEastAsia" w:hAnsiTheme="minorEastAsia" w:eastAsiaTheme="minorEastAsia"/>
          <w:color w:val="auto"/>
          <w:sz w:val="24"/>
          <w:highlight w:val="none"/>
        </w:rPr>
        <w:t>3家或者通过</w:t>
      </w:r>
      <w:r>
        <w:rPr>
          <w:rFonts w:hint="eastAsia" w:asciiTheme="minorEastAsia" w:hAnsiTheme="minorEastAsia" w:eastAsiaTheme="minorEastAsia"/>
          <w:color w:val="auto"/>
          <w:sz w:val="24"/>
          <w:highlight w:val="none"/>
        </w:rPr>
        <w:t>资格审查或符合性审查</w:t>
      </w:r>
      <w:r>
        <w:rPr>
          <w:rFonts w:hint="eastAsia" w:ascii="宋体" w:hAnsi="宋体" w:eastAsia="宋体" w:cs="Times New Roman"/>
          <w:color w:val="auto"/>
          <w:sz w:val="24"/>
          <w:highlight w:val="none"/>
        </w:rPr>
        <w:t>或异常低价投标审查</w:t>
      </w:r>
      <w:r>
        <w:rPr>
          <w:rFonts w:hint="eastAsia" w:asciiTheme="minorEastAsia" w:hAnsiTheme="minorEastAsia" w:eastAsiaTheme="minorEastAsia"/>
          <w:color w:val="auto"/>
          <w:sz w:val="24"/>
          <w:highlight w:val="none"/>
        </w:rPr>
        <w:t>的投标人不足</w:t>
      </w:r>
      <w:r>
        <w:rPr>
          <w:rFonts w:asciiTheme="minorEastAsia" w:hAnsiTheme="minorEastAsia" w:eastAsiaTheme="minorEastAsia"/>
          <w:color w:val="auto"/>
          <w:sz w:val="24"/>
          <w:highlight w:val="none"/>
        </w:rPr>
        <w:t>3家的，除采购任务取消情形外，按照以下方式处理：</w:t>
      </w:r>
    </w:p>
    <w:p w14:paraId="3BD4346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（1）招标文件存在不合理条款或者招标程序不符合规定的，采购人、采购代理机构改正后依法重新招标；</w:t>
      </w:r>
    </w:p>
    <w:p w14:paraId="54F4C7C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（2）招标文件没有不合理条款、招标程序符合规定，需要采用其他采购方式采购的，采购人应当依法报</w:t>
      </w:r>
      <w:r>
        <w:rPr>
          <w:rFonts w:hint="eastAsia" w:ascii="宋体" w:hAnsi="宋体" w:eastAsia="宋体" w:cs="宋体"/>
          <w:b w:val="0"/>
          <w:bCs w:val="0"/>
          <w:color w:val="auto"/>
          <w:kern w:val="2"/>
          <w:sz w:val="24"/>
          <w:szCs w:val="24"/>
          <w:highlight w:val="none"/>
          <w:u w:val="none"/>
          <w:lang w:val="en-US" w:eastAsia="zh-CN" w:bidi="ar-SA"/>
        </w:rPr>
        <w:t>政府采购监督管理部门</w:t>
      </w:r>
      <w:r>
        <w:rPr>
          <w:rFonts w:hint="eastAsia" w:asciiTheme="minorEastAsia" w:hAnsiTheme="minorEastAsia" w:eastAsiaTheme="minorEastAsia"/>
          <w:color w:val="auto"/>
          <w:sz w:val="24"/>
          <w:highlight w:val="none"/>
        </w:rPr>
        <w:t>批准。</w:t>
      </w:r>
    </w:p>
    <w:p w14:paraId="577C964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7C00708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.1评标将在严格保密的情况下进行。</w:t>
      </w:r>
    </w:p>
    <w:p w14:paraId="4AC8F8D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6AC0D6CD">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中标候选人的确定原则及标准</w:t>
      </w:r>
    </w:p>
    <w:p w14:paraId="14B8DD5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20.1</w:t>
      </w:r>
      <w:r>
        <w:rPr>
          <w:rFonts w:asciiTheme="minorEastAsia" w:hAnsiTheme="minorEastAsia" w:eastAsiaTheme="minorEastAsia"/>
          <w:color w:val="auto"/>
          <w:sz w:val="24"/>
          <w:highlight w:val="none"/>
        </w:rPr>
        <w:t>评</w:t>
      </w:r>
      <w:r>
        <w:rPr>
          <w:rFonts w:hint="eastAsia" w:asciiTheme="minorEastAsia" w:hAnsiTheme="minorEastAsia" w:eastAsiaTheme="minorEastAsia"/>
          <w:color w:val="auto"/>
          <w:sz w:val="24"/>
          <w:highlight w:val="none"/>
        </w:rPr>
        <w:t>标</w:t>
      </w:r>
      <w:r>
        <w:rPr>
          <w:rFonts w:asciiTheme="minorEastAsia" w:hAnsiTheme="minorEastAsia" w:eastAsiaTheme="minorEastAsia"/>
          <w:color w:val="auto"/>
          <w:sz w:val="24"/>
          <w:highlight w:val="none"/>
        </w:rPr>
        <w:t>委员会依据本项目招标文件所约定的评标方法，对实质上响应招标文件的投标人按下列方法进行排序</w:t>
      </w:r>
      <w:r>
        <w:rPr>
          <w:rFonts w:hint="eastAsia" w:asciiTheme="minorEastAsia" w:hAnsiTheme="minorEastAsia" w:eastAsiaTheme="minorEastAsia"/>
          <w:color w:val="auto"/>
          <w:sz w:val="24"/>
          <w:highlight w:val="none"/>
        </w:rPr>
        <w:t>，确定中标候选人</w:t>
      </w:r>
      <w:r>
        <w:rPr>
          <w:rFonts w:asciiTheme="minorEastAsia" w:hAnsiTheme="minorEastAsia" w:eastAsiaTheme="minorEastAsia"/>
          <w:color w:val="auto"/>
          <w:sz w:val="24"/>
          <w:highlight w:val="none"/>
        </w:rPr>
        <w:t>：</w:t>
      </w:r>
    </w:p>
    <w:p w14:paraId="14658EC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Theme="minorEastAsia" w:hAnsiTheme="minorEastAsia" w:eastAsiaTheme="minorEastAsia"/>
          <w:color w:val="auto"/>
          <w:sz w:val="24"/>
          <w:highlight w:val="none"/>
        </w:rPr>
        <w:t>出现两家或两家以上相同者，采取评标委员会随机抽取的方式确定中标候选顺序。</w:t>
      </w:r>
    </w:p>
    <w:p w14:paraId="074E44F3">
      <w:pPr>
        <w:spacing w:line="360" w:lineRule="auto"/>
        <w:ind w:firstLine="435"/>
        <w:rPr>
          <w:rFonts w:hint="default" w:eastAsiaTheme="minorEastAsia"/>
          <w:color w:val="auto"/>
          <w:highlight w:val="none"/>
          <w:lang w:val="en-US" w:eastAsia="zh-CN"/>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2）采用综合评分法的，评标结果按评审后得分由高到低顺序排列。得分相同的，</w:t>
      </w:r>
      <w:r>
        <w:rPr>
          <w:rFonts w:hint="eastAsia" w:asciiTheme="minorEastAsia" w:hAnsiTheme="minorEastAsia" w:eastAsiaTheme="minorEastAsia"/>
          <w:color w:val="auto"/>
          <w:sz w:val="24"/>
          <w:highlight w:val="none"/>
        </w:rPr>
        <w:t>按投标报价由低到高顺序排列。</w:t>
      </w:r>
      <w:r>
        <w:rPr>
          <w:rFonts w:asciiTheme="minorEastAsia" w:hAnsiTheme="minorEastAsia" w:eastAsiaTheme="minorEastAsia"/>
          <w:color w:val="auto"/>
          <w:sz w:val="24"/>
          <w:highlight w:val="none"/>
        </w:rPr>
        <w:t>得分与投标报价均相同的</w:t>
      </w:r>
      <w:r>
        <w:rPr>
          <w:rFonts w:hint="eastAsia" w:asciiTheme="minorEastAsia" w:hAnsiTheme="minorEastAsia" w:eastAsiaTheme="minorEastAsia"/>
          <w:color w:val="auto"/>
          <w:sz w:val="24"/>
          <w:highlight w:val="none"/>
        </w:rPr>
        <w:t>，则采取评标委员会随机抽取的方式确定中标候选顺序。</w:t>
      </w:r>
    </w:p>
    <w:p w14:paraId="28EBA74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确定中标候选人和中标人</w:t>
      </w:r>
    </w:p>
    <w:p w14:paraId="7580AA98">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.1评标委员会将根据评标标准，按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中规定数量推荐中标候选人。</w:t>
      </w:r>
    </w:p>
    <w:p w14:paraId="674B3F2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.2按</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由评标委员会或采购人确定中标人。</w:t>
      </w:r>
    </w:p>
    <w:p w14:paraId="3BBC155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因重大变故采购任务取消时，采购人有权拒绝任何投标人中标，且对受影响的投标人不承担任何责任。</w:t>
      </w:r>
    </w:p>
    <w:p w14:paraId="01087E68">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编写评标报告</w:t>
      </w:r>
    </w:p>
    <w:p w14:paraId="3A75AC1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3BC625C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中标结果公告</w:t>
      </w:r>
    </w:p>
    <w:p w14:paraId="5E2898F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除</w:t>
      </w:r>
      <w:r>
        <w:rPr>
          <w:rFonts w:asciiTheme="minorEastAsia" w:hAnsiTheme="minorEastAsia" w:eastAsiaTheme="minorEastAsia"/>
          <w:color w:val="auto"/>
          <w:sz w:val="24"/>
          <w:highlight w:val="none"/>
          <w:u w:val="single"/>
        </w:rPr>
        <w:t>投标</w:t>
      </w:r>
      <w:r>
        <w:rPr>
          <w:rFonts w:hint="eastAsia" w:asciiTheme="minorEastAsia" w:hAnsiTheme="minorEastAsia" w:eastAsiaTheme="minorEastAsia"/>
          <w:color w:val="auto"/>
          <w:sz w:val="24"/>
          <w:highlight w:val="none"/>
          <w:u w:val="single"/>
        </w:rPr>
        <w:t>人</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规定由评标委员会直接确定中标</w:t>
      </w:r>
      <w:r>
        <w:rPr>
          <w:rFonts w:hint="eastAsia" w:asciiTheme="minorEastAsia" w:hAnsiTheme="minorEastAsia" w:eastAsiaTheme="minorEastAsia"/>
          <w:color w:val="auto"/>
          <w:sz w:val="24"/>
          <w:highlight w:val="none"/>
        </w:rPr>
        <w:t>人外，</w:t>
      </w:r>
      <w:r>
        <w:rPr>
          <w:rFonts w:asciiTheme="minorEastAsia" w:hAnsiTheme="minorEastAsia" w:eastAsiaTheme="minorEastAsia"/>
          <w:color w:val="auto"/>
          <w:sz w:val="24"/>
          <w:highlight w:val="none"/>
        </w:rPr>
        <w:t>在评标结束后2个工作日内</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采购代理机构将评标报告送采购人。采购人应当自收到评标报告之日起</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6C96A09">
      <w:pPr>
        <w:spacing w:line="360" w:lineRule="auto"/>
        <w:ind w:firstLine="435"/>
        <w:rPr>
          <w:rFonts w:ascii="宋体" w:hAnsi="宋体" w:eastAsia="宋体"/>
          <w:color w:val="auto"/>
          <w:sz w:val="24"/>
          <w:szCs w:val="18"/>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w:t>
      </w:r>
      <w:r>
        <w:rPr>
          <w:rFonts w:hint="eastAsia" w:ascii="宋体" w:hAnsi="宋体" w:eastAsia="宋体" w:cs="宋体"/>
          <w:color w:val="auto"/>
          <w:sz w:val="24"/>
          <w:szCs w:val="24"/>
          <w:highlight w:val="none"/>
        </w:rPr>
        <w:t>和滁州市公共资源交易中心网</w:t>
      </w:r>
      <w:r>
        <w:rPr>
          <w:rFonts w:hint="eastAsia" w:ascii="宋体" w:hAnsi="宋体" w:eastAsia="宋体"/>
          <w:color w:val="auto"/>
          <w:sz w:val="24"/>
          <w:szCs w:val="18"/>
          <w:highlight w:val="none"/>
        </w:rPr>
        <w:t>上发布中标结果公告。</w:t>
      </w:r>
    </w:p>
    <w:p w14:paraId="3B4BD23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中标结果公告内容应当包括采购人及其委托的采购代理机构的名称、地址、联系方式，项目名称和项目编号，中标人名称、地址和中标金额，主要中标标的的名称、规格型号、数量、单价、服务要求，中标公告期限、评审专家名单以及</w:t>
      </w:r>
      <w:r>
        <w:rPr>
          <w:rFonts w:hint="eastAsia" w:asciiTheme="minorEastAsia" w:hAnsiTheme="minorEastAsia" w:eastAsiaTheme="minorEastAsia"/>
          <w:color w:val="auto"/>
          <w:sz w:val="24"/>
          <w:highlight w:val="none"/>
          <w:u w:val="single"/>
        </w:rPr>
        <w:t>投标人须知前附表</w:t>
      </w:r>
      <w:r>
        <w:rPr>
          <w:rFonts w:asciiTheme="minorEastAsia" w:hAnsiTheme="minorEastAsia" w:eastAsiaTheme="minorEastAsia"/>
          <w:color w:val="auto"/>
          <w:sz w:val="24"/>
          <w:highlight w:val="none"/>
        </w:rPr>
        <w:t>中约定进行公告的内容。中标公告期限为1个工作日。</w:t>
      </w:r>
    </w:p>
    <w:p w14:paraId="30E5D14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中标通知书</w:t>
      </w:r>
    </w:p>
    <w:p w14:paraId="1FC3E75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.1采购代理机构</w:t>
      </w:r>
      <w:r>
        <w:rPr>
          <w:rFonts w:ascii="宋体" w:hAnsi="宋体" w:eastAsia="宋体"/>
          <w:color w:val="auto"/>
          <w:sz w:val="24"/>
          <w:highlight w:val="none"/>
        </w:rPr>
        <w:t>发布</w:t>
      </w:r>
      <w:r>
        <w:rPr>
          <w:rFonts w:asciiTheme="minorEastAsia" w:hAnsiTheme="minorEastAsia" w:eastAsiaTheme="minorEastAsia"/>
          <w:color w:val="auto"/>
          <w:sz w:val="24"/>
          <w:highlight w:val="none"/>
        </w:rPr>
        <w:t>中标结果公告</w:t>
      </w:r>
      <w:r>
        <w:rPr>
          <w:rFonts w:hint="eastAsia" w:asciiTheme="minorEastAsia" w:hAnsiTheme="minorEastAsia" w:eastAsiaTheme="minorEastAsia"/>
          <w:iCs/>
          <w:color w:val="auto"/>
          <w:sz w:val="24"/>
          <w:highlight w:val="none"/>
        </w:rPr>
        <w:t>的</w:t>
      </w:r>
      <w:r>
        <w:rPr>
          <w:rFonts w:asciiTheme="minorEastAsia" w:hAnsiTheme="minorEastAsia" w:eastAsiaTheme="minorEastAsia"/>
          <w:color w:val="auto"/>
          <w:sz w:val="24"/>
          <w:highlight w:val="none"/>
        </w:rPr>
        <w:t>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形式向中标人发出中标通知书。</w:t>
      </w:r>
    </w:p>
    <w:p w14:paraId="7664DF98">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.2中标通知书对采购人和中标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具有同等法律效力。中标通知书发出以后，采购人改变中标结果或者中标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放弃中标，应当承担相应的法律责任。</w:t>
      </w:r>
    </w:p>
    <w:p w14:paraId="718DD099">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.3中标通知书是</w:t>
      </w:r>
      <w:r>
        <w:rPr>
          <w:rFonts w:ascii="宋体" w:hAnsi="宋体" w:eastAsia="宋体"/>
          <w:color w:val="auto"/>
          <w:sz w:val="24"/>
          <w:highlight w:val="none"/>
        </w:rPr>
        <w:t>合同</w:t>
      </w:r>
      <w:r>
        <w:rPr>
          <w:rFonts w:asciiTheme="minorEastAsia" w:hAnsiTheme="minorEastAsia" w:eastAsiaTheme="minorEastAsia"/>
          <w:color w:val="auto"/>
          <w:sz w:val="24"/>
          <w:highlight w:val="none"/>
        </w:rPr>
        <w:t>的组成部分。</w:t>
      </w:r>
    </w:p>
    <w:p w14:paraId="6BA6D19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告知招标结果</w:t>
      </w:r>
    </w:p>
    <w:p w14:paraId="7D11291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在公告</w:t>
      </w:r>
      <w:r>
        <w:rPr>
          <w:rFonts w:asciiTheme="minorEastAsia" w:hAnsiTheme="minorEastAsia" w:eastAsiaTheme="minorEastAsia"/>
          <w:color w:val="auto"/>
          <w:sz w:val="24"/>
          <w:highlight w:val="none"/>
        </w:rPr>
        <w:t>中标结果的同时，采购代理机构同时以</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rFonts w:hint="eastAsia" w:asciiTheme="minorEastAsia" w:hAnsiTheme="minorEastAsia" w:eastAsiaTheme="minorEastAsia"/>
          <w:color w:val="auto"/>
          <w:sz w:val="24"/>
          <w:highlight w:val="none"/>
        </w:rPr>
        <w:t>告知未通过资格审查的投标人未通过的原因；采用综合评分法评审的，还将告知未中标人本人的评审得分和排序。</w:t>
      </w:r>
    </w:p>
    <w:p w14:paraId="5C12738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履约保证金</w:t>
      </w:r>
    </w:p>
    <w:p w14:paraId="1504A69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.1中标人应按照</w:t>
      </w:r>
      <w:r>
        <w:rPr>
          <w:rFonts w:hint="eastAsia" w:asciiTheme="minorEastAsia" w:hAnsiTheme="minorEastAsia" w:eastAsiaTheme="minorEastAsia"/>
          <w:color w:val="auto"/>
          <w:sz w:val="24"/>
          <w:highlight w:val="none"/>
          <w:u w:val="single"/>
        </w:rPr>
        <w:t>投标人须知前附表</w:t>
      </w:r>
      <w:r>
        <w:rPr>
          <w:rFonts w:hint="eastAsia" w:asciiTheme="minorEastAsia" w:hAnsiTheme="minorEastAsia" w:eastAsiaTheme="minorEastAsia"/>
          <w:color w:val="auto"/>
          <w:sz w:val="24"/>
          <w:highlight w:val="none"/>
        </w:rPr>
        <w:t>规定缴纳履约保证金。</w:t>
      </w:r>
    </w:p>
    <w:p w14:paraId="75F9861E">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lang w:val="en-US" w:eastAsia="zh-CN"/>
        </w:rPr>
        <w:t>26</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w:t>
      </w:r>
      <w:r>
        <w:rPr>
          <w:rFonts w:hint="eastAsia" w:ascii="宋体" w:hAnsi="宋体" w:eastAsia="宋体"/>
          <w:color w:val="auto"/>
          <w:sz w:val="24"/>
          <w:highlight w:val="none"/>
        </w:rPr>
        <w:t>如果</w:t>
      </w:r>
      <w:r>
        <w:rPr>
          <w:rFonts w:hint="eastAsia" w:asciiTheme="minorEastAsia" w:hAnsiTheme="minorEastAsia" w:eastAsiaTheme="minorEastAsia"/>
          <w:color w:val="auto"/>
          <w:sz w:val="24"/>
          <w:highlight w:val="none"/>
        </w:rPr>
        <w:t>中标人没有按照上述履约保证金的规定执行，将视为放弃中标资格。在此情况下，采购人可</w:t>
      </w:r>
      <w:r>
        <w:rPr>
          <w:rFonts w:asciiTheme="minorEastAsia" w:hAnsiTheme="minorEastAsia" w:eastAsiaTheme="minorEastAsia"/>
          <w:color w:val="auto"/>
          <w:sz w:val="24"/>
          <w:highlight w:val="none"/>
        </w:rPr>
        <w:t>确定下一</w:t>
      </w:r>
      <w:r>
        <w:rPr>
          <w:rFonts w:hint="eastAsia" w:ascii="宋体" w:hAnsi="宋体" w:eastAsia="宋体"/>
          <w:color w:val="auto"/>
          <w:sz w:val="24"/>
          <w:highlight w:val="none"/>
        </w:rPr>
        <w:t>中标</w:t>
      </w:r>
      <w:r>
        <w:rPr>
          <w:rFonts w:hint="eastAsia" w:asciiTheme="minorEastAsia" w:hAnsiTheme="minorEastAsia" w:eastAsiaTheme="minorEastAsia"/>
          <w:color w:val="auto"/>
          <w:sz w:val="24"/>
          <w:highlight w:val="none"/>
        </w:rPr>
        <w:t>候选</w:t>
      </w:r>
      <w:r>
        <w:rPr>
          <w:rFonts w:asciiTheme="minorEastAsia" w:hAnsiTheme="minorEastAsia" w:eastAsiaTheme="minorEastAsia"/>
          <w:color w:val="auto"/>
          <w:sz w:val="24"/>
          <w:highlight w:val="none"/>
        </w:rPr>
        <w:t>人为中标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，也可以重新开展采购活动。</w:t>
      </w:r>
    </w:p>
    <w:p w14:paraId="4BC8FF1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签订合同</w:t>
      </w:r>
    </w:p>
    <w:p w14:paraId="3EF8048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.1</w:t>
      </w:r>
      <w:r>
        <w:rPr>
          <w:rFonts w:hint="eastAsia" w:ascii="宋体" w:hAnsi="宋体" w:eastAsia="宋体" w:cs="宋体"/>
          <w:color w:val="auto"/>
          <w:sz w:val="24"/>
          <w:szCs w:val="24"/>
          <w:highlight w:val="none"/>
          <w:u w:val="none"/>
          <w:lang w:val="en-US" w:eastAsia="zh-CN"/>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66C17B7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.2招标文件、中标人的投标文件及其澄清文件等，均为签订合同的依据。</w:t>
      </w:r>
    </w:p>
    <w:p w14:paraId="0635126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248670C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658FD914">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代理费用</w:t>
      </w:r>
    </w:p>
    <w:p w14:paraId="6A1079E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28</w:t>
      </w:r>
      <w:r>
        <w:rPr>
          <w:rFonts w:ascii="宋体" w:hAnsi="宋体" w:eastAsia="宋体"/>
          <w:color w:val="auto"/>
          <w:sz w:val="24"/>
          <w:highlight w:val="none"/>
        </w:rPr>
        <w:t>.1</w:t>
      </w:r>
      <w:r>
        <w:rPr>
          <w:rFonts w:hint="eastAsia" w:ascii="宋体" w:hAnsi="宋体" w:eastAsia="宋体"/>
          <w:color w:val="auto"/>
          <w:sz w:val="24"/>
          <w:highlight w:val="none"/>
        </w:rPr>
        <w:t>本项目</w:t>
      </w:r>
      <w:r>
        <w:rPr>
          <w:rFonts w:hint="eastAsia" w:ascii="宋体" w:hAnsi="宋体" w:eastAsia="宋体"/>
          <w:color w:val="auto"/>
          <w:sz w:val="24"/>
          <w:highlight w:val="none"/>
          <w:lang w:val="en-US" w:eastAsia="zh-CN"/>
        </w:rPr>
        <w:t>代理费用</w:t>
      </w:r>
      <w:r>
        <w:rPr>
          <w:rFonts w:hint="eastAsia" w:ascii="宋体" w:hAnsi="宋体" w:eastAsia="宋体"/>
          <w:color w:val="auto"/>
          <w:sz w:val="24"/>
          <w:highlight w:val="none"/>
        </w:rPr>
        <w:t>的收取按</w:t>
      </w:r>
      <w:r>
        <w:rPr>
          <w:rFonts w:hint="eastAsia" w:asciiTheme="minorEastAsia" w:hAnsiTheme="minorEastAsia" w:eastAsiaTheme="minorEastAsia"/>
          <w:color w:val="auto"/>
          <w:sz w:val="24"/>
          <w:highlight w:val="none"/>
          <w:u w:val="single"/>
        </w:rPr>
        <w:t>投标人须知前附表的</w:t>
      </w:r>
      <w:r>
        <w:rPr>
          <w:rFonts w:hint="eastAsia" w:ascii="宋体" w:hAnsi="宋体" w:eastAsia="宋体"/>
          <w:color w:val="auto"/>
          <w:sz w:val="24"/>
          <w:highlight w:val="none"/>
        </w:rPr>
        <w:t>规定执行</w:t>
      </w:r>
      <w:r>
        <w:rPr>
          <w:rFonts w:hint="eastAsia" w:asciiTheme="minorEastAsia" w:hAnsiTheme="minorEastAsia" w:eastAsiaTheme="minorEastAsia"/>
          <w:color w:val="auto"/>
          <w:sz w:val="24"/>
          <w:highlight w:val="none"/>
        </w:rPr>
        <w:t>。</w:t>
      </w:r>
    </w:p>
    <w:p w14:paraId="387DA24B">
      <w:pPr>
        <w:spacing w:line="360" w:lineRule="auto"/>
        <w:ind w:firstLine="437"/>
        <w:outlineLvl w:val="2"/>
        <w:rPr>
          <w:rFonts w:asciiTheme="minorEastAsia" w:hAnsiTheme="minorEastAsia" w:eastAsiaTheme="minorEastAsia"/>
          <w:b/>
          <w:color w:val="auto"/>
          <w:sz w:val="24"/>
          <w:highlight w:val="none"/>
        </w:rPr>
      </w:pPr>
      <w:bookmarkStart w:id="40" w:name="_Toc518923100"/>
      <w:bookmarkStart w:id="41" w:name="_Toc2583661"/>
      <w:r>
        <w:rPr>
          <w:rFonts w:hint="eastAsia" w:asciiTheme="minorEastAsia" w:hAnsiTheme="minorEastAsia" w:eastAsiaTheme="minorEastAsia"/>
          <w:b/>
          <w:color w:val="auto"/>
          <w:sz w:val="24"/>
          <w:highlight w:val="none"/>
          <w:lang w:eastAsia="zh-CN"/>
        </w:rPr>
        <w:t>29.</w:t>
      </w:r>
      <w:r>
        <w:rPr>
          <w:rFonts w:hint="eastAsia" w:asciiTheme="minorEastAsia" w:hAnsiTheme="minorEastAsia" w:eastAsiaTheme="minorEastAsia"/>
          <w:b/>
          <w:color w:val="auto"/>
          <w:sz w:val="24"/>
          <w:highlight w:val="none"/>
        </w:rPr>
        <w:t>廉洁自律</w:t>
      </w:r>
      <w:r>
        <w:rPr>
          <w:rFonts w:asciiTheme="minorEastAsia" w:hAnsiTheme="minorEastAsia" w:eastAsiaTheme="minorEastAsia"/>
          <w:b/>
          <w:color w:val="auto"/>
          <w:sz w:val="24"/>
          <w:highlight w:val="none"/>
        </w:rPr>
        <w:t>规定</w:t>
      </w:r>
      <w:bookmarkEnd w:id="40"/>
      <w:bookmarkEnd w:id="41"/>
    </w:p>
    <w:p w14:paraId="4F9EC11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hint="eastAsia" w:ascii="宋体" w:hAnsi="宋体" w:eastAsia="宋体"/>
          <w:color w:val="auto"/>
          <w:sz w:val="24"/>
          <w:highlight w:val="none"/>
        </w:rPr>
        <w:t>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495EDB4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1BCA439D">
      <w:pPr>
        <w:spacing w:line="360" w:lineRule="auto"/>
        <w:ind w:firstLine="437"/>
        <w:outlineLvl w:val="2"/>
        <w:rPr>
          <w:rFonts w:asciiTheme="minorEastAsia" w:hAnsiTheme="minorEastAsia" w:eastAsiaTheme="minorEastAsia"/>
          <w:b/>
          <w:color w:val="auto"/>
          <w:sz w:val="24"/>
          <w:highlight w:val="none"/>
        </w:rPr>
      </w:pPr>
      <w:bookmarkStart w:id="42" w:name="_Toc2583662"/>
      <w:bookmarkStart w:id="43" w:name="_Toc518923101"/>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0</w:t>
      </w:r>
      <w:r>
        <w:rPr>
          <w:rFonts w:hint="eastAsia" w:asciiTheme="minorEastAsia" w:hAnsiTheme="minorEastAsia" w:eastAsiaTheme="minorEastAsia"/>
          <w:b/>
          <w:color w:val="auto"/>
          <w:sz w:val="24"/>
          <w:highlight w:val="none"/>
        </w:rPr>
        <w:t>.人员回避</w:t>
      </w:r>
      <w:bookmarkEnd w:id="42"/>
      <w:bookmarkEnd w:id="43"/>
    </w:p>
    <w:p w14:paraId="078ED923">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7C5F182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质疑的提出与接收</w:t>
      </w:r>
    </w:p>
    <w:p w14:paraId="4AEF857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.1投标人认为招标文件、招标过程和中标结果使自己的权益受到损害的，可以在知道或者应知其权益受到损害之日起七个工作日内，以书面形式向采购人或其委托的采购代理机构提出质疑。</w:t>
      </w:r>
    </w:p>
    <w:p w14:paraId="18B2B72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388C0B5F">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0EE63D38">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288DB2E5">
      <w:pPr>
        <w:spacing w:line="500" w:lineRule="exact"/>
        <w:ind w:left="-420" w:leftChars="-200" w:firstLine="439" w:firstLineChars="182"/>
        <w:jc w:val="left"/>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32.投诉</w:t>
      </w:r>
    </w:p>
    <w:p w14:paraId="2BE74EEC">
      <w:pPr>
        <w:spacing w:line="500" w:lineRule="exact"/>
        <w:ind w:left="-420" w:leftChars="-200"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530D06D4">
      <w:pPr>
        <w:spacing w:line="500" w:lineRule="exact"/>
        <w:ind w:left="-420" w:leftChars="-200"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5C0F938D">
      <w:pPr>
        <w:spacing w:line="500" w:lineRule="exact"/>
        <w:ind w:left="-420" w:leftChars="-200"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32.3政府采购监督管理部门在处理投诉事项期间，可以视具体情况书面通知采购人暂停采购活动，但暂停时间最长不得超过30日。</w:t>
      </w:r>
    </w:p>
    <w:p w14:paraId="4F5EA90B">
      <w:pPr>
        <w:spacing w:line="500" w:lineRule="exact"/>
        <w:ind w:left="-420" w:leftChars="-200" w:firstLine="439" w:firstLineChars="182"/>
        <w:jc w:val="left"/>
        <w:outlineLvl w:val="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33.需要补充的其他内容</w:t>
      </w:r>
    </w:p>
    <w:p w14:paraId="7EB16618">
      <w:pPr>
        <w:spacing w:line="500" w:lineRule="exact"/>
        <w:ind w:left="-420" w:leftChars="-200" w:firstLine="436" w:firstLineChars="18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需要补充的其他内容，见</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rPr>
        <w:t>。</w:t>
      </w:r>
    </w:p>
    <w:p w14:paraId="77CC4155">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3F56975D">
      <w:pPr>
        <w:numPr>
          <w:ilvl w:val="0"/>
          <w:numId w:val="1"/>
        </w:numPr>
        <w:spacing w:line="360" w:lineRule="auto"/>
        <w:jc w:val="center"/>
        <w:outlineLvl w:val="0"/>
        <w:rPr>
          <w:rFonts w:hint="eastAsia" w:asciiTheme="minorEastAsia" w:hAnsiTheme="minorEastAsia" w:eastAsiaTheme="minorEastAsia"/>
          <w:b/>
          <w:color w:val="auto"/>
          <w:sz w:val="28"/>
          <w:highlight w:val="none"/>
          <w:lang w:eastAsia="zh-CN"/>
        </w:rPr>
      </w:pPr>
      <w:r>
        <w:rPr>
          <w:rFonts w:hint="eastAsia" w:asciiTheme="minorEastAsia" w:hAnsiTheme="minorEastAsia" w:eastAsiaTheme="minorEastAsia"/>
          <w:b/>
          <w:color w:val="auto"/>
          <w:sz w:val="28"/>
          <w:highlight w:val="none"/>
        </w:rPr>
        <w:t xml:space="preserve"> </w:t>
      </w:r>
      <w:bookmarkStart w:id="44" w:name="_Toc22605"/>
      <w:r>
        <w:rPr>
          <w:rFonts w:hint="eastAsia" w:asciiTheme="minorEastAsia" w:hAnsiTheme="minorEastAsia" w:eastAsiaTheme="minorEastAsia"/>
          <w:b/>
          <w:color w:val="auto"/>
          <w:sz w:val="28"/>
          <w:highlight w:val="none"/>
        </w:rPr>
        <w:t>采购需求</w:t>
      </w:r>
      <w:bookmarkEnd w:id="44"/>
    </w:p>
    <w:p w14:paraId="6A5DD343">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前注：</w:t>
      </w:r>
    </w:p>
    <w:p w14:paraId="0553225B">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本采购需求中提出的服务方案仅为参考，如无明确限制，</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可以进行优化，提供满足采购人实际需要的更优（或者性能实质上不低于的）服务方案，且此方案须经评标委员会评审认可。</w:t>
      </w:r>
    </w:p>
    <w:p w14:paraId="1B2FF7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5C5786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所投产品须具有市场监管总局公布的《参与实施政府采购节能产品认证机构目录》中的认证机构出具的、处于有效期内的节能产品认证证书。</w:t>
      </w:r>
    </w:p>
    <w:p w14:paraId="73011B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ascii="宋体" w:hAnsi="宋体" w:eastAsia="宋体" w:cs="宋体"/>
          <w:color w:val="auto"/>
          <w:sz w:val="24"/>
          <w:szCs w:val="24"/>
          <w:highlight w:val="none"/>
        </w:rPr>
        <w:t>（2）如涉及商品包装和快递包装，</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08BF27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Cs/>
          <w:color w:val="auto"/>
          <w:sz w:val="24"/>
          <w:szCs w:val="18"/>
          <w:highlight w:val="none"/>
          <w:lang w:val="en-US" w:eastAsia="zh-CN"/>
        </w:rPr>
      </w:pPr>
      <w:r>
        <w:rPr>
          <w:rFonts w:hint="eastAsia" w:ascii="宋体" w:hAnsi="宋体" w:eastAsia="宋体" w:cs="宋体"/>
          <w:color w:val="auto"/>
          <w:sz w:val="24"/>
          <w:szCs w:val="24"/>
          <w:highlight w:val="none"/>
        </w:rPr>
        <w:t>3.如采购人允许采用分包方式履行合同的，应当明确可以分包履行的相关内容</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本项目不允许分包</w:t>
      </w:r>
      <w:r>
        <w:rPr>
          <w:rFonts w:hint="eastAsia" w:ascii="宋体" w:hAnsi="宋体" w:eastAsia="宋体" w:cs="宋体"/>
          <w:color w:val="auto"/>
          <w:sz w:val="24"/>
          <w:szCs w:val="24"/>
          <w:highlight w:val="none"/>
          <w:lang w:val="en-US" w:eastAsia="zh-CN"/>
        </w:rPr>
        <w:t>。</w:t>
      </w:r>
    </w:p>
    <w:p w14:paraId="04C4E16E">
      <w:pPr>
        <w:spacing w:line="360" w:lineRule="auto"/>
        <w:ind w:firstLine="437"/>
        <w:outlineLvl w:val="1"/>
        <w:rPr>
          <w:rFonts w:ascii="宋体" w:hAnsi="宋体" w:eastAsia="宋体"/>
          <w:b/>
          <w:color w:val="auto"/>
          <w:sz w:val="24"/>
          <w:szCs w:val="18"/>
          <w:highlight w:val="none"/>
        </w:rPr>
      </w:pPr>
      <w:bookmarkStart w:id="45" w:name="_Toc4148"/>
      <w:bookmarkStart w:id="46" w:name="_Toc21798"/>
      <w:bookmarkStart w:id="47" w:name="_Hlk23621890"/>
      <w:r>
        <w:rPr>
          <w:rFonts w:hint="eastAsia" w:ascii="宋体" w:hAnsi="宋体" w:eastAsia="宋体"/>
          <w:b/>
          <w:color w:val="auto"/>
          <w:sz w:val="24"/>
          <w:szCs w:val="18"/>
          <w:highlight w:val="none"/>
        </w:rPr>
        <w:t>一、采购需求前附表</w:t>
      </w:r>
      <w:bookmarkEnd w:id="45"/>
      <w:bookmarkEnd w:id="46"/>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4D85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05142892">
            <w:pPr>
              <w:pStyle w:val="43"/>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vAlign w:val="center"/>
          </w:tcPr>
          <w:p w14:paraId="3383168B">
            <w:pPr>
              <w:pStyle w:val="42"/>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vAlign w:val="center"/>
          </w:tcPr>
          <w:p w14:paraId="58F59389">
            <w:pPr>
              <w:pStyle w:val="42"/>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3323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33BE52A7">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vAlign w:val="center"/>
          </w:tcPr>
          <w:p w14:paraId="1BFE8AAF">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jc w:val="center"/>
              <w:textAlignment w:val="auto"/>
              <w:rPr>
                <w:rFonts w:ascii="宋体" w:hAnsi="宋体" w:eastAsia="宋体"/>
                <w:b w:val="0"/>
                <w:color w:val="auto"/>
                <w:sz w:val="24"/>
                <w:highlight w:val="none"/>
              </w:rPr>
            </w:pPr>
            <w:r>
              <w:rPr>
                <w:rFonts w:hint="eastAsia" w:ascii="宋体" w:hAnsi="宋体" w:eastAsia="宋体" w:cs="宋体"/>
                <w:b w:val="0"/>
                <w:color w:val="auto"/>
                <w:sz w:val="24"/>
                <w:szCs w:val="24"/>
                <w:highlight w:val="none"/>
                <w:lang w:val="en-US" w:eastAsia="zh-CN"/>
              </w:rPr>
              <w:t>付款方式</w:t>
            </w:r>
          </w:p>
        </w:tc>
        <w:tc>
          <w:tcPr>
            <w:tcW w:w="3217" w:type="pct"/>
            <w:vAlign w:val="center"/>
          </w:tcPr>
          <w:p w14:paraId="7F831B87">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eastAsia="宋体"/>
                <w:b w:val="0"/>
                <w:color w:val="auto"/>
                <w:sz w:val="24"/>
                <w:highlight w:val="none"/>
                <w:u w:val="single"/>
              </w:rPr>
            </w:pPr>
            <w:r>
              <w:rPr>
                <w:rFonts w:hint="eastAsia" w:ascii="宋体" w:hAnsi="宋体" w:eastAsia="宋体" w:cs="宋体"/>
                <w:b w:val="0"/>
                <w:bCs w:val="0"/>
                <w:color w:val="auto"/>
                <w:kern w:val="0"/>
                <w:sz w:val="24"/>
                <w:szCs w:val="20"/>
                <w:highlight w:val="none"/>
                <w:lang w:val="en-US" w:eastAsia="zh-CN" w:bidi="ar-SA"/>
              </w:rPr>
              <w:t>合同签订生效并具备实施条件后支付合同金额的40%预付款（预付款支付前，中标人须提供等额的见索即付预付款保函）,后以每季实际发生的花卉更新养护面积*全费用综合单价*中标费率支付当季对应价款（每季度支付时，优先抵扣预付款，直至合同金额的40%预付款抵扣完毕）。</w:t>
            </w:r>
          </w:p>
        </w:tc>
      </w:tr>
      <w:tr w14:paraId="56E5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49EC4161">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vAlign w:val="center"/>
          </w:tcPr>
          <w:p w14:paraId="1C182C68">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textAlignment w:val="auto"/>
              <w:rPr>
                <w:rFonts w:ascii="宋体" w:hAnsi="宋体" w:eastAsia="宋体"/>
                <w:b w:val="0"/>
                <w:color w:val="auto"/>
                <w:sz w:val="24"/>
                <w:highlight w:val="none"/>
              </w:rPr>
            </w:pPr>
            <w:r>
              <w:rPr>
                <w:rFonts w:hint="eastAsia" w:ascii="宋体" w:hAnsi="宋体" w:eastAsia="宋体" w:cs="宋体"/>
                <w:b w:val="0"/>
                <w:color w:val="auto"/>
                <w:sz w:val="24"/>
                <w:szCs w:val="24"/>
                <w:highlight w:val="none"/>
              </w:rPr>
              <w:t>服务地点</w:t>
            </w:r>
          </w:p>
        </w:tc>
        <w:tc>
          <w:tcPr>
            <w:tcW w:w="3217" w:type="pct"/>
            <w:vAlign w:val="center"/>
          </w:tcPr>
          <w:p w14:paraId="3F86AE39">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jc w:val="both"/>
              <w:textAlignment w:val="auto"/>
              <w:rPr>
                <w:rFonts w:ascii="宋体" w:hAnsi="宋体" w:eastAsia="宋体"/>
                <w:b w:val="0"/>
                <w:color w:val="auto"/>
                <w:sz w:val="24"/>
                <w:highlight w:val="none"/>
              </w:rPr>
            </w:pPr>
            <w:r>
              <w:rPr>
                <w:rFonts w:hint="eastAsia" w:ascii="宋体" w:hAnsi="宋体" w:eastAsia="宋体" w:cs="宋体"/>
                <w:b w:val="0"/>
                <w:bCs w:val="0"/>
                <w:color w:val="auto"/>
                <w:sz w:val="24"/>
                <w:szCs w:val="20"/>
                <w:highlight w:val="none"/>
                <w:lang w:val="en-US" w:eastAsia="zh-CN"/>
              </w:rPr>
              <w:t>滁州市内，</w:t>
            </w:r>
            <w:r>
              <w:rPr>
                <w:rFonts w:hint="eastAsia" w:ascii="宋体" w:hAnsi="宋体" w:eastAsia="宋体" w:cs="宋体"/>
                <w:b w:val="0"/>
                <w:bCs w:val="0"/>
                <w:color w:val="auto"/>
                <w:sz w:val="24"/>
                <w:szCs w:val="20"/>
                <w:highlight w:val="none"/>
              </w:rPr>
              <w:t>采购人指定地点</w:t>
            </w:r>
          </w:p>
        </w:tc>
      </w:tr>
      <w:tr w14:paraId="436C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527C3119">
            <w:pPr>
              <w:pStyle w:val="43"/>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vAlign w:val="center"/>
          </w:tcPr>
          <w:p w14:paraId="616F3567">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textAlignment w:val="auto"/>
              <w:rPr>
                <w:rFonts w:ascii="宋体" w:hAnsi="宋体" w:eastAsia="宋体"/>
                <w:b w:val="0"/>
                <w:color w:val="auto"/>
                <w:sz w:val="24"/>
                <w:highlight w:val="none"/>
              </w:rPr>
            </w:pPr>
            <w:r>
              <w:rPr>
                <w:rFonts w:hint="eastAsia" w:ascii="宋体" w:hAnsi="宋体" w:eastAsia="宋体" w:cs="宋体"/>
                <w:b w:val="0"/>
                <w:color w:val="auto"/>
                <w:sz w:val="24"/>
                <w:szCs w:val="24"/>
                <w:highlight w:val="none"/>
              </w:rPr>
              <w:t>服务期限</w:t>
            </w:r>
          </w:p>
        </w:tc>
        <w:tc>
          <w:tcPr>
            <w:tcW w:w="3217" w:type="pct"/>
            <w:vAlign w:val="center"/>
          </w:tcPr>
          <w:p w14:paraId="70AF4A40">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jc w:val="left"/>
              <w:textAlignment w:val="auto"/>
              <w:rPr>
                <w:rFonts w:ascii="宋体" w:hAnsi="宋体" w:eastAsia="宋体"/>
                <w:b w:val="0"/>
                <w:color w:val="auto"/>
                <w:sz w:val="24"/>
                <w:highlight w:val="none"/>
              </w:rPr>
            </w:pPr>
            <w:r>
              <w:rPr>
                <w:rFonts w:hint="eastAsia" w:ascii="宋体" w:hAnsi="宋体" w:eastAsia="宋体" w:cs="宋体"/>
                <w:b w:val="0"/>
                <w:bCs w:val="0"/>
                <w:color w:val="auto"/>
                <w:sz w:val="24"/>
                <w:szCs w:val="20"/>
                <w:highlight w:val="none"/>
                <w:lang w:val="en-US" w:eastAsia="zh-CN"/>
              </w:rPr>
              <w:t>自合同签订之日起一年，若270万元款项所对应的实际工期少于一年，则以该实际工期为准。</w:t>
            </w:r>
          </w:p>
        </w:tc>
      </w:tr>
      <w:tr w14:paraId="4FB5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14:paraId="569363AF">
            <w:pPr>
              <w:pStyle w:val="43"/>
              <w:pBdr>
                <w:bottom w:val="none" w:color="auto" w:sz="0" w:space="0"/>
              </w:pBdr>
              <w:tabs>
                <w:tab w:val="clear" w:pos="4153"/>
                <w:tab w:val="clear" w:pos="8306"/>
              </w:tabs>
              <w:adjustRightInd/>
              <w:spacing w:line="240" w:lineRule="auto"/>
              <w:textAlignment w:val="auto"/>
              <w:rPr>
                <w:rFonts w:hint="eastAsia" w:ascii="宋体" w:hAnsi="宋体" w:eastAsia="宋体"/>
                <w:bCs/>
                <w:color w:val="auto"/>
                <w:kern w:val="2"/>
                <w:highlight w:val="none"/>
                <w:lang w:val="en-US" w:eastAsia="zh-CN"/>
              </w:rPr>
            </w:pPr>
            <w:r>
              <w:rPr>
                <w:rFonts w:hint="eastAsia" w:ascii="宋体" w:hAnsi="宋体" w:eastAsia="宋体"/>
                <w:bCs/>
                <w:color w:val="auto"/>
                <w:kern w:val="2"/>
                <w:highlight w:val="none"/>
                <w:lang w:val="en-US" w:eastAsia="zh-CN"/>
              </w:rPr>
              <w:t>4</w:t>
            </w:r>
          </w:p>
        </w:tc>
        <w:tc>
          <w:tcPr>
            <w:tcW w:w="1192" w:type="pct"/>
            <w:vAlign w:val="center"/>
          </w:tcPr>
          <w:p w14:paraId="51BB34FC">
            <w:pPr>
              <w:pStyle w:val="4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0" w:firstLineChars="0"/>
              <w:textAlignment w:val="auto"/>
              <w:rPr>
                <w:rFonts w:ascii="宋体" w:hAnsi="宋体" w:eastAsia="宋体"/>
                <w:b w:val="0"/>
                <w:color w:val="auto"/>
                <w:sz w:val="24"/>
                <w:highlight w:val="none"/>
              </w:rPr>
            </w:pPr>
            <w:r>
              <w:rPr>
                <w:rFonts w:hint="eastAsia" w:ascii="宋体" w:hAnsi="宋体" w:eastAsia="宋体" w:cs="宋体"/>
                <w:b w:val="0"/>
                <w:color w:val="auto"/>
                <w:sz w:val="24"/>
                <w:szCs w:val="24"/>
                <w:highlight w:val="none"/>
              </w:rPr>
              <w:t>本项目采购标的名称及所属行业</w:t>
            </w:r>
          </w:p>
        </w:tc>
        <w:tc>
          <w:tcPr>
            <w:tcW w:w="3217" w:type="pct"/>
            <w:vAlign w:val="center"/>
          </w:tcPr>
          <w:p w14:paraId="1AB64BC0">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r>
              <w:rPr>
                <w:rFonts w:hint="eastAsia" w:ascii="宋体" w:hAnsi="宋体" w:eastAsia="宋体" w:cs="宋体"/>
                <w:color w:val="auto"/>
                <w:sz w:val="24"/>
                <w:szCs w:val="24"/>
                <w:highlight w:val="none"/>
                <w:lang w:val="en-US" w:eastAsia="zh-CN"/>
              </w:rPr>
              <w:t>2026年度景观花卉项目</w:t>
            </w:r>
          </w:p>
          <w:p w14:paraId="7589F084">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所属行业：</w:t>
            </w:r>
            <w:r>
              <w:rPr>
                <w:rFonts w:hint="eastAsia" w:asciiTheme="minorEastAsia" w:hAnsiTheme="minorEastAsia" w:eastAsiaTheme="minorEastAsia"/>
                <w:color w:val="auto"/>
                <w:sz w:val="24"/>
                <w:highlight w:val="none"/>
                <w:lang w:val="en-US" w:eastAsia="zh-CN"/>
              </w:rPr>
              <w:t>其他未列明行业</w:t>
            </w:r>
          </w:p>
        </w:tc>
      </w:tr>
    </w:tbl>
    <w:p w14:paraId="21131507">
      <w:pPr>
        <w:spacing w:line="440" w:lineRule="exact"/>
        <w:ind w:firstLine="435"/>
        <w:rPr>
          <w:rFonts w:hint="eastAsia" w:ascii="宋体" w:hAnsi="宋体" w:eastAsia="宋体"/>
          <w:color w:val="auto"/>
          <w:sz w:val="24"/>
          <w:highlight w:val="none"/>
          <w:lang w:val="en-US" w:eastAsia="zh-CN"/>
        </w:rPr>
      </w:pPr>
      <w:bookmarkStart w:id="48" w:name="_Hlk16461016"/>
      <w:bookmarkStart w:id="49" w:name="_Toc16543"/>
      <w:r>
        <w:rPr>
          <w:rFonts w:hint="eastAsia" w:ascii="宋体" w:hAnsi="宋体" w:eastAsia="宋体"/>
          <w:color w:val="auto"/>
          <w:sz w:val="24"/>
          <w:highlight w:val="none"/>
          <w:lang w:val="en-US" w:eastAsia="zh-CN"/>
        </w:rPr>
        <w:t>1、项目概况：在中都大道、龙蟠大道等城区主要道路节点及政务中心周边栽植养护景观四季花卉、地被、花箱、绿雕（绿雕即绿色雕塑，一般内设钢材构架，然后在构架上填充栽培土，再于其上种植一年生或多年生小灌木或草本植物，即采用挂泥插草或卡盆工艺把不同颜色的花草覆盖在结构造型的表面，巧妙地把雕塑造型与花卉园艺结合在一起，钢架表面的植物覆盖率至少要达到80%）等景观，并在合同期限提供浇水、除杂、病虫害防治、绿雕维护等一切养护服务。具体详见工程量清单。</w:t>
      </w:r>
    </w:p>
    <w:p w14:paraId="69C54B82">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承包方式：施工总承包（包地形整理及土方转运、包工、包料、包质量、包工期、包安全、包摆放、立体花坛的维护、花卉的成活、包清除卫生、杂草、垃圾、花卉修剪、浇灌、病虫害防治等内容，盆栽花卉需根据工作需要送到指定地点）。中标人应对全部养护工程负责，中标以后不得分包、转包，如发现上述行为，采购人有权立即终止本合同，由此产生一切法律责任和经济损失均由中标人承担。</w:t>
      </w:r>
    </w:p>
    <w:p w14:paraId="1CE0BD66">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二、验收：</w:t>
      </w:r>
    </w:p>
    <w:p w14:paraId="06E964BC">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1、花卉按要求运到指定地点并栽植完成后，由采购人验收，对不符合品种、规格和质量标准等要求的，采购人有权要求在规定的时间内予以更换、重新栽植。</w:t>
      </w:r>
    </w:p>
    <w:p w14:paraId="5670A960">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2、组合花箱、绿雕、四季花卉在每次换季更新时，应在换季更新前上报种植设计图案，上报草花品种、颜色、规格、密度，经过采购人审核同意后方可实施。</w:t>
      </w:r>
    </w:p>
    <w:p w14:paraId="5D2526ED">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3、十字路口机非隔离带及中央隔离带种植四季花卉时，应注意对称（品种、色彩等）。花卉品种，在征得采购人同意后，也可根据市场情况引进其他新品种的草花。</w:t>
      </w:r>
    </w:p>
    <w:p w14:paraId="07ADD319">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4、各批次种植的不同品种的草花比例应经过采购人同意，每季花卉应用至少10个及以上品种。</w:t>
      </w:r>
    </w:p>
    <w:p w14:paraId="76786A6F">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三、工程价款的支付</w:t>
      </w:r>
    </w:p>
    <w:p w14:paraId="1BCDE3B3">
      <w:pPr>
        <w:spacing w:line="440" w:lineRule="exact"/>
        <w:ind w:firstLine="435"/>
        <w:rPr>
          <w:rFonts w:hint="eastAsia" w:ascii="宋体" w:hAnsi="宋体" w:eastAsia="宋体" w:cs="宋体"/>
          <w:b w:val="0"/>
          <w:bCs w:val="0"/>
          <w:color w:val="auto"/>
          <w:kern w:val="0"/>
          <w:sz w:val="24"/>
          <w:szCs w:val="20"/>
          <w:highlight w:val="none"/>
          <w:lang w:val="en-US" w:eastAsia="zh-CN" w:bidi="ar-SA"/>
        </w:rPr>
      </w:pP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u w:val="none"/>
          <w:lang w:val="en-US" w:eastAsia="zh-CN"/>
        </w:rPr>
        <w:t>付款方式：</w:t>
      </w:r>
      <w:r>
        <w:rPr>
          <w:rFonts w:hint="eastAsia" w:ascii="宋体" w:hAnsi="宋体" w:eastAsia="宋体" w:cs="宋体"/>
          <w:b w:val="0"/>
          <w:bCs w:val="0"/>
          <w:color w:val="auto"/>
          <w:kern w:val="0"/>
          <w:sz w:val="24"/>
          <w:szCs w:val="20"/>
          <w:highlight w:val="none"/>
          <w:lang w:val="en-US" w:eastAsia="zh-CN" w:bidi="ar-SA"/>
        </w:rPr>
        <w:t>合同签订生效并具备实施条件后支付合同金额的40%预付款（预付款支付前，中标人须提供等额的见索即付预付款保函）,后以每季实际发生的花卉更新养护面积*全费用综合单价*中标费率支付当季对应价款（每季度支付时，优先抵扣预付款，直至合同金额的40%预付款抵扣完毕）。</w:t>
      </w:r>
    </w:p>
    <w:p w14:paraId="38F0F1D3">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2、工程款(进度款)支付：</w:t>
      </w:r>
      <w:r>
        <w:rPr>
          <w:rFonts w:hint="eastAsia" w:ascii="宋体" w:hAnsi="宋体" w:eastAsia="宋体" w:cs="宋体"/>
          <w:b w:val="0"/>
          <w:bCs w:val="0"/>
          <w:color w:val="auto"/>
          <w:kern w:val="0"/>
          <w:sz w:val="24"/>
          <w:szCs w:val="20"/>
          <w:highlight w:val="none"/>
          <w:lang w:val="en-US" w:eastAsia="zh-CN" w:bidi="ar-SA"/>
        </w:rPr>
        <w:t>以每季实际发生的花卉更新养护面积*全费用综合单价*中标费率支付当季对应价款</w:t>
      </w:r>
      <w:r>
        <w:rPr>
          <w:rFonts w:hint="eastAsia" w:ascii="宋体" w:hAnsi="宋体" w:eastAsia="宋体"/>
          <w:color w:val="auto"/>
          <w:sz w:val="24"/>
          <w:highlight w:val="none"/>
          <w:lang w:val="en-US" w:eastAsia="zh-CN"/>
        </w:rPr>
        <w:t>。合同期内，若中标人未按要求进行养护，采购人将委托他人养护，所发生的费用从当季应付款项中扣除。</w:t>
      </w:r>
    </w:p>
    <w:p w14:paraId="3A450EFA">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3、采购人支付中标人工程款后，中标人也应及时支付各方面的工资、费用及材料等款项，如有投诉拖欠，采购人将从下一次工程款中扣除，并按有关规定直接支付投诉方，纳入中标人总工程款中结算。</w:t>
      </w:r>
    </w:p>
    <w:p w14:paraId="04187028">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4、本项目最后一次费用在合同终止并经检查合格后支付。</w:t>
      </w:r>
    </w:p>
    <w:p w14:paraId="58A764C4">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5、本合同价款采用固定综合单价合同确定。</w:t>
      </w:r>
    </w:p>
    <w:p w14:paraId="58BEE6A1">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6、结算价=全费用综合单价×中标费率×实际工程量×更换次数（花卉更换次数是指本养护内容须更换的具体次数），中标人需对工程量及时进行计量，结算总价不超过270万元，超出部分不予结算。</w:t>
      </w:r>
    </w:p>
    <w:p w14:paraId="0C06C724">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四、质量标准要求：</w:t>
      </w:r>
    </w:p>
    <w:p w14:paraId="0EBA5CA6">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1、应根据花卉的生物、生态习性，科学管养，确保立体造型的原有形态，并做到整齐美观、花繁叶茂。</w:t>
      </w:r>
    </w:p>
    <w:p w14:paraId="7631758A">
      <w:pPr>
        <w:spacing w:line="440" w:lineRule="exact"/>
        <w:ind w:firstLine="435"/>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范围内四季草花根据季节变换及花卉观赏特性一年更换四次，每次更换完成后至下一次更换前要确保花卉整体的观赏效果，在养护过程中对长势不好、没有观赏效果的草花及时更换，确保每季花卉的景观效果；对于长势较好，可以延续至下个季度继续使用的花卉予以保留，工程量根据现场实际发生计量。</w:t>
      </w:r>
    </w:p>
    <w:p w14:paraId="32ED0D6C">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同品种花卉选择必须统一规格，株高、花色、冠径、花期无明显差异，根系完好，生长旺盛，无病虫害及机械损伤。花卉在栽植后若出现缺株或死亡需及时按采购人要求进行更换。每季栽植前，必须清理、外运栽植现场多余土方并承担相应费用。</w:t>
      </w:r>
    </w:p>
    <w:p w14:paraId="1024409E">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4、花卉种植时，种植表土层（30cm）必须采用疏松、肥沃、富含有机质的培养土。翻土深度内土壤中必须清除杂草根，石块等杂物。对不利花卉生长的土壤必须用富含有机质的培养土加以更换改良。</w:t>
      </w:r>
    </w:p>
    <w:p w14:paraId="70460B0C">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5、花坛中栽植的花卉的根、茎、叶、花必须发育良好，花完好无损，叶色鲜艳，无枯叶、焦边现象，花卉根系完好，整个植株健壮，无病虫害，种植草花时应由业主单位对草花样品进行确认后方可进行种植。</w:t>
      </w:r>
    </w:p>
    <w:p w14:paraId="3F4A741D">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6、应按原有花卉花境的地形、坡度进行整地，做到表土平整，排水良好。种植时施工单位应随时根据地形、土壤肥力变化，随时做好地形调整、追肥等工作。土方高度必须低于侧石边缘，浇水后要保持路面整洁、清洁，不得污染地面。</w:t>
      </w:r>
    </w:p>
    <w:p w14:paraId="3FC7A92D">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7、不同颜色或品种草花组成图案种植时，界限应清晰，界限模糊的，必须在2天内整改完毕。</w:t>
      </w:r>
    </w:p>
    <w:p w14:paraId="7DE8F687">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8、花卉种植密度应符合清单要求同时应视季节不同及花型大小不同而定，总体要求饱满无空隙，种植完成后必须达到“黄土不露天”的效果。种植时植物距离侧石应小于5cm，超出范围的，必须在2天内整改完毕。</w:t>
      </w:r>
    </w:p>
    <w:p w14:paraId="1AECFC3C">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9、花卉种植深度应为原种植深度，不得损伤茎叶，并保持根系完整。种植过深，导致草花茎叶损伤或草花高度不一致（高差大于2cm）以及种植过浅，必须在2天内整改完毕。</w:t>
      </w:r>
    </w:p>
    <w:p w14:paraId="321AFEFC">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10、种植后应浇透水，第二天再浇一次透水。视天气情况，一周内加强水分管理，宜每天清晨浇水，浇水时应防止将泥土冲到茎、叶上。</w:t>
      </w:r>
    </w:p>
    <w:p w14:paraId="119C2620">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11、花卉生长旺盛期应适当追肥，施肥量根据花卉种类而定。施肥后宜立即喷洒清水，严禁肥料沾污茎、叶面。组合花箱、花卉换花期间，每年必须有1次以上土壤改良和土壤消毒，每次换花期间土地裸露不得超过7天。</w:t>
      </w:r>
    </w:p>
    <w:p w14:paraId="774E7CB6">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12、花卉、花坛、绿雕内应及时清除枯萎的花蒂、黄叶、杂草、垃圾，做好病虫害防治工作。无缺株倒伏的花苗，无枯枝残花，残花量不得大于10%，及时补种、换苗。</w:t>
      </w:r>
    </w:p>
    <w:p w14:paraId="155E3E97">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13、定人定岗管理，及时巡查，保护花坛无人为破坏，及时处理突发事件。</w:t>
      </w:r>
    </w:p>
    <w:p w14:paraId="0D372F86">
      <w:pPr>
        <w:spacing w:line="440" w:lineRule="exact"/>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五、花卉更换标准和品种</w:t>
      </w:r>
    </w:p>
    <w:p w14:paraId="11C385A5">
      <w:pPr>
        <w:spacing w:line="440" w:lineRule="exact"/>
        <w:ind w:firstLine="480" w:firstLineChars="200"/>
        <w:rPr>
          <w:rFonts w:hint="eastAsia" w:asciiTheme="minorEastAsia" w:hAnsiTheme="minorEastAsia" w:eastAsiaTheme="minorEastAsia"/>
          <w:b w:val="0"/>
          <w:bCs w:val="0"/>
          <w:color w:val="auto"/>
          <w:sz w:val="24"/>
          <w:highlight w:val="none"/>
          <w:lang w:val="en-US" w:eastAsia="zh-CN"/>
        </w:rPr>
      </w:pPr>
      <w:r>
        <w:rPr>
          <w:rFonts w:hint="eastAsia" w:ascii="宋体" w:hAnsi="宋体" w:eastAsia="宋体"/>
          <w:b w:val="0"/>
          <w:bCs w:val="0"/>
          <w:color w:val="auto"/>
          <w:sz w:val="24"/>
          <w:highlight w:val="none"/>
          <w:lang w:val="en-US" w:eastAsia="zh-CN"/>
        </w:rPr>
        <w:t>中标人应按规定在每季花卉范围内栽植当季指定品种</w:t>
      </w:r>
      <w:r>
        <w:rPr>
          <w:rFonts w:hint="eastAsia" w:ascii="宋体" w:hAnsi="宋体" w:eastAsia="宋体"/>
          <w:b/>
          <w:bCs/>
          <w:color w:val="auto"/>
          <w:sz w:val="24"/>
          <w:highlight w:val="none"/>
          <w:lang w:val="en-US" w:eastAsia="zh-CN"/>
        </w:rPr>
        <w:t>，品种数不得少于10个指定品种</w:t>
      </w:r>
      <w:r>
        <w:rPr>
          <w:rFonts w:hint="eastAsia" w:ascii="宋体" w:hAnsi="宋体" w:eastAsia="宋体"/>
          <w:b w:val="0"/>
          <w:bCs w:val="0"/>
          <w:color w:val="auto"/>
          <w:sz w:val="24"/>
          <w:highlight w:val="none"/>
          <w:lang w:val="en-US" w:eastAsia="zh-CN"/>
        </w:rPr>
        <w:t>。同时可以在范围品种的基础上对每季所用草花品种进行丰富设计，以达到更好的景观效果。</w:t>
      </w:r>
      <w:r>
        <w:rPr>
          <w:rFonts w:hint="eastAsia" w:ascii="宋体" w:hAnsi="宋体" w:eastAsia="宋体"/>
          <w:b/>
          <w:bCs/>
          <w:color w:val="auto"/>
          <w:sz w:val="24"/>
          <w:highlight w:val="none"/>
          <w:lang w:val="en-US" w:eastAsia="zh-CN"/>
        </w:rPr>
        <w:t>要求更换时令花卉确保采用#110盆栽花卉，按当季花坛花品种定植。</w:t>
      </w:r>
      <w:r>
        <w:rPr>
          <w:rFonts w:hint="eastAsia" w:ascii="宋体" w:hAnsi="宋体" w:eastAsia="宋体"/>
          <w:b w:val="0"/>
          <w:bCs w:val="0"/>
          <w:color w:val="auto"/>
          <w:sz w:val="24"/>
          <w:highlight w:val="none"/>
          <w:lang w:val="en-US" w:eastAsia="zh-CN"/>
        </w:rPr>
        <w:t>要保证品种优良、生长健壮、无病虫害。</w:t>
      </w:r>
    </w:p>
    <w:p w14:paraId="0753751B">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1、四季花卉</w:t>
      </w:r>
    </w:p>
    <w:tbl>
      <w:tblPr>
        <w:tblStyle w:val="24"/>
        <w:tblW w:w="8325"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293"/>
        <w:gridCol w:w="6032"/>
      </w:tblGrid>
      <w:tr w14:paraId="6C068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31" w:hRule="atLeast"/>
        </w:trPr>
        <w:tc>
          <w:tcPr>
            <w:tcW w:w="2293" w:type="dxa"/>
            <w:tcBorders>
              <w:tl2br w:val="nil"/>
              <w:tr2bl w:val="nil"/>
            </w:tcBorders>
            <w:shd w:val="clear" w:color="auto" w:fill="auto"/>
            <w:vAlign w:val="center"/>
          </w:tcPr>
          <w:p w14:paraId="0D8BF890">
            <w:pPr>
              <w:keepNext w:val="0"/>
              <w:keepLines w:val="0"/>
              <w:widowControl/>
              <w:suppressLineNumbers w:val="0"/>
              <w:jc w:val="center"/>
              <w:textAlignment w:val="center"/>
              <w:rPr>
                <w:rFonts w:ascii="var(--dsw-font-markdown-table-h" w:hAnsi="var(--dsw-font-markdown-table-h" w:eastAsia="var(--dsw-font-markdown-table-h" w:cs="var(--dsw-font-markdown-table-h"/>
                <w:b/>
                <w:bCs/>
                <w:i w:val="0"/>
                <w:iCs w:val="0"/>
                <w:color w:val="auto"/>
                <w:sz w:val="22"/>
                <w:szCs w:val="22"/>
                <w:highlight w:val="none"/>
                <w:u w:val="none"/>
              </w:rPr>
            </w:pPr>
            <w:r>
              <w:rPr>
                <w:rFonts w:hint="default" w:ascii="var(--dsw-font-markdown-table-h" w:hAnsi="var(--dsw-font-markdown-table-h" w:eastAsia="var(--dsw-font-markdown-table-h" w:cs="var(--dsw-font-markdown-table-h"/>
                <w:b/>
                <w:bCs/>
                <w:i w:val="0"/>
                <w:iCs w:val="0"/>
                <w:color w:val="auto"/>
                <w:kern w:val="0"/>
                <w:sz w:val="22"/>
                <w:szCs w:val="22"/>
                <w:highlight w:val="none"/>
                <w:u w:val="none"/>
                <w:lang w:val="en-US" w:eastAsia="zh-CN" w:bidi="ar"/>
              </w:rPr>
              <w:t>季度</w:t>
            </w:r>
          </w:p>
        </w:tc>
        <w:tc>
          <w:tcPr>
            <w:tcW w:w="6032" w:type="dxa"/>
            <w:tcBorders>
              <w:tl2br w:val="nil"/>
              <w:tr2bl w:val="nil"/>
            </w:tcBorders>
            <w:shd w:val="clear" w:color="auto" w:fill="auto"/>
            <w:vAlign w:val="center"/>
          </w:tcPr>
          <w:p w14:paraId="44917713">
            <w:pPr>
              <w:keepNext w:val="0"/>
              <w:keepLines w:val="0"/>
              <w:widowControl/>
              <w:suppressLineNumbers w:val="0"/>
              <w:jc w:val="center"/>
              <w:textAlignment w:val="center"/>
              <w:rPr>
                <w:rFonts w:hint="default" w:ascii="var(--dsw-font-markdown-table-h" w:hAnsi="var(--dsw-font-markdown-table-h" w:eastAsia="var(--dsw-font-markdown-table-h" w:cs="var(--dsw-font-markdown-table-h"/>
                <w:b/>
                <w:bCs/>
                <w:i w:val="0"/>
                <w:iCs w:val="0"/>
                <w:color w:val="auto"/>
                <w:sz w:val="22"/>
                <w:szCs w:val="22"/>
                <w:highlight w:val="none"/>
                <w:u w:val="none"/>
              </w:rPr>
            </w:pPr>
            <w:r>
              <w:rPr>
                <w:rFonts w:hint="default" w:ascii="var(--dsw-font-markdown-table-h" w:hAnsi="var(--dsw-font-markdown-table-h" w:eastAsia="var(--dsw-font-markdown-table-h" w:cs="var(--dsw-font-markdown-table-h"/>
                <w:b/>
                <w:bCs/>
                <w:i w:val="0"/>
                <w:iCs w:val="0"/>
                <w:color w:val="auto"/>
                <w:kern w:val="0"/>
                <w:sz w:val="22"/>
                <w:szCs w:val="22"/>
                <w:highlight w:val="none"/>
                <w:u w:val="none"/>
                <w:lang w:val="en-US" w:eastAsia="zh-CN" w:bidi="ar"/>
              </w:rPr>
              <w:t>品种名称</w:t>
            </w:r>
          </w:p>
        </w:tc>
      </w:tr>
      <w:tr w14:paraId="2A699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2293" w:type="dxa"/>
            <w:vMerge w:val="restart"/>
            <w:tcBorders>
              <w:tl2br w:val="nil"/>
              <w:tr2bl w:val="nil"/>
            </w:tcBorders>
            <w:shd w:val="clear" w:color="auto" w:fill="auto"/>
            <w:noWrap/>
            <w:vAlign w:val="center"/>
          </w:tcPr>
          <w:p w14:paraId="4D57FFB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第一季度（3-5月）</w:t>
            </w:r>
          </w:p>
        </w:tc>
        <w:tc>
          <w:tcPr>
            <w:tcW w:w="6032" w:type="dxa"/>
            <w:tcBorders>
              <w:tl2br w:val="nil"/>
              <w:tr2bl w:val="nil"/>
            </w:tcBorders>
            <w:shd w:val="clear" w:color="auto" w:fill="auto"/>
            <w:noWrap/>
            <w:vAlign w:val="center"/>
          </w:tcPr>
          <w:p w14:paraId="5EDB2B4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彩叶草、美女樱、欧石竹、石竹、一串红、矮牵牛、孔雀草、万寿菊、南非万寿菊</w:t>
            </w:r>
          </w:p>
        </w:tc>
      </w:tr>
      <w:tr w14:paraId="038EA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293" w:type="dxa"/>
            <w:vMerge w:val="continue"/>
            <w:tcBorders>
              <w:tl2br w:val="nil"/>
              <w:tr2bl w:val="nil"/>
            </w:tcBorders>
            <w:shd w:val="clear" w:color="auto" w:fill="auto"/>
            <w:noWrap/>
            <w:vAlign w:val="center"/>
          </w:tcPr>
          <w:p w14:paraId="41DAD4A5">
            <w:pPr>
              <w:rPr>
                <w:rFonts w:hint="eastAsia" w:ascii="宋体" w:hAnsi="宋体" w:eastAsia="宋体" w:cs="宋体"/>
                <w:i w:val="0"/>
                <w:iCs w:val="0"/>
                <w:color w:val="auto"/>
                <w:sz w:val="22"/>
                <w:szCs w:val="22"/>
                <w:highlight w:val="none"/>
                <w:u w:val="none"/>
              </w:rPr>
            </w:pPr>
          </w:p>
        </w:tc>
        <w:tc>
          <w:tcPr>
            <w:tcW w:w="6032" w:type="dxa"/>
            <w:tcBorders>
              <w:tl2br w:val="nil"/>
              <w:tr2bl w:val="nil"/>
            </w:tcBorders>
            <w:shd w:val="clear" w:color="auto" w:fill="auto"/>
            <w:noWrap/>
            <w:vAlign w:val="center"/>
          </w:tcPr>
          <w:p w14:paraId="1510C87A">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羽扇豆、飞燕草、黄金菊、绣球、天竺葵</w:t>
            </w:r>
          </w:p>
        </w:tc>
      </w:tr>
      <w:tr w14:paraId="2D9CD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2293" w:type="dxa"/>
            <w:vMerge w:val="restart"/>
            <w:tcBorders>
              <w:tl2br w:val="nil"/>
              <w:tr2bl w:val="nil"/>
            </w:tcBorders>
            <w:shd w:val="clear" w:color="auto" w:fill="auto"/>
            <w:noWrap/>
            <w:vAlign w:val="center"/>
          </w:tcPr>
          <w:p w14:paraId="62A2EB8D">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第二季度（6-8月）</w:t>
            </w:r>
          </w:p>
        </w:tc>
        <w:tc>
          <w:tcPr>
            <w:tcW w:w="6032" w:type="dxa"/>
            <w:tcBorders>
              <w:tl2br w:val="nil"/>
              <w:tr2bl w:val="nil"/>
            </w:tcBorders>
            <w:shd w:val="clear" w:color="auto" w:fill="auto"/>
            <w:noWrap/>
            <w:vAlign w:val="center"/>
          </w:tcPr>
          <w:p w14:paraId="73C9A31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夏堇、彩叶草、鼠尾草、孔雀草、马齿苋、太阳花、满天星、长春花、鸡冠花、万寿菊、百日草</w:t>
            </w:r>
          </w:p>
        </w:tc>
      </w:tr>
      <w:tr w14:paraId="693B8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5" w:hRule="atLeast"/>
        </w:trPr>
        <w:tc>
          <w:tcPr>
            <w:tcW w:w="2293" w:type="dxa"/>
            <w:vMerge w:val="continue"/>
            <w:tcBorders>
              <w:tl2br w:val="nil"/>
              <w:tr2bl w:val="nil"/>
            </w:tcBorders>
            <w:shd w:val="clear" w:color="auto" w:fill="auto"/>
            <w:noWrap/>
            <w:vAlign w:val="center"/>
          </w:tcPr>
          <w:p w14:paraId="3F9B5046">
            <w:pPr>
              <w:rPr>
                <w:rFonts w:hint="eastAsia" w:ascii="宋体" w:hAnsi="宋体" w:eastAsia="宋体" w:cs="宋体"/>
                <w:i w:val="0"/>
                <w:iCs w:val="0"/>
                <w:color w:val="auto"/>
                <w:sz w:val="22"/>
                <w:szCs w:val="22"/>
                <w:highlight w:val="none"/>
                <w:u w:val="none"/>
              </w:rPr>
            </w:pPr>
          </w:p>
        </w:tc>
        <w:tc>
          <w:tcPr>
            <w:tcW w:w="6032" w:type="dxa"/>
            <w:tcBorders>
              <w:tl2br w:val="nil"/>
              <w:tr2bl w:val="nil"/>
            </w:tcBorders>
            <w:shd w:val="clear" w:color="auto" w:fill="auto"/>
            <w:noWrap/>
            <w:vAlign w:val="center"/>
          </w:tcPr>
          <w:p w14:paraId="60B2BAF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五色梅、香彩雀、蓝雪花、比格海棠、松果菊、向日葵、五星花</w:t>
            </w:r>
          </w:p>
        </w:tc>
      </w:tr>
      <w:tr w14:paraId="17B42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50" w:hRule="atLeast"/>
        </w:trPr>
        <w:tc>
          <w:tcPr>
            <w:tcW w:w="2293" w:type="dxa"/>
            <w:vMerge w:val="restart"/>
            <w:tcBorders>
              <w:tl2br w:val="nil"/>
              <w:tr2bl w:val="nil"/>
            </w:tcBorders>
            <w:shd w:val="clear" w:color="auto" w:fill="auto"/>
            <w:noWrap/>
            <w:vAlign w:val="center"/>
          </w:tcPr>
          <w:p w14:paraId="4F776D8E">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第三季度（9-11月）</w:t>
            </w:r>
          </w:p>
        </w:tc>
        <w:tc>
          <w:tcPr>
            <w:tcW w:w="6032" w:type="dxa"/>
            <w:tcBorders>
              <w:tl2br w:val="nil"/>
              <w:tr2bl w:val="nil"/>
            </w:tcBorders>
            <w:shd w:val="clear" w:color="auto" w:fill="auto"/>
            <w:noWrap/>
            <w:vAlign w:val="center"/>
          </w:tcPr>
          <w:p w14:paraId="641E3F40">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一串红、矮牵牛、孔雀草、鸡冠花、万寿菊、石竹、彩叶草、长春花、比格海棠、四季海棠</w:t>
            </w:r>
          </w:p>
        </w:tc>
      </w:tr>
      <w:tr w14:paraId="4BF0C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5" w:hRule="atLeast"/>
        </w:trPr>
        <w:tc>
          <w:tcPr>
            <w:tcW w:w="2293" w:type="dxa"/>
            <w:vMerge w:val="continue"/>
            <w:tcBorders>
              <w:tl2br w:val="nil"/>
              <w:tr2bl w:val="nil"/>
            </w:tcBorders>
            <w:shd w:val="clear" w:color="auto" w:fill="auto"/>
            <w:noWrap/>
            <w:vAlign w:val="center"/>
          </w:tcPr>
          <w:p w14:paraId="4A3BD246">
            <w:pPr>
              <w:rPr>
                <w:rFonts w:hint="eastAsia" w:ascii="宋体" w:hAnsi="宋体" w:eastAsia="宋体" w:cs="宋体"/>
                <w:i w:val="0"/>
                <w:iCs w:val="0"/>
                <w:color w:val="auto"/>
                <w:sz w:val="22"/>
                <w:szCs w:val="22"/>
                <w:highlight w:val="none"/>
                <w:u w:val="none"/>
              </w:rPr>
            </w:pPr>
          </w:p>
        </w:tc>
        <w:tc>
          <w:tcPr>
            <w:tcW w:w="6032" w:type="dxa"/>
            <w:tcBorders>
              <w:tl2br w:val="nil"/>
              <w:tr2bl w:val="nil"/>
            </w:tcBorders>
            <w:shd w:val="clear" w:color="auto" w:fill="auto"/>
            <w:noWrap/>
            <w:vAlign w:val="center"/>
          </w:tcPr>
          <w:p w14:paraId="54F47FF9">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超级凤仙、小丽花、国庆菊、比格海棠、矾根、丹麦翠菊</w:t>
            </w:r>
          </w:p>
        </w:tc>
      </w:tr>
      <w:tr w14:paraId="555F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2293" w:type="dxa"/>
            <w:vMerge w:val="restart"/>
            <w:tcBorders>
              <w:tl2br w:val="nil"/>
              <w:tr2bl w:val="nil"/>
            </w:tcBorders>
            <w:shd w:val="clear" w:color="auto" w:fill="auto"/>
            <w:noWrap/>
            <w:vAlign w:val="center"/>
          </w:tcPr>
          <w:p w14:paraId="64BA0B41">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第四季度（12-2月）</w:t>
            </w:r>
          </w:p>
        </w:tc>
        <w:tc>
          <w:tcPr>
            <w:tcW w:w="6032" w:type="dxa"/>
            <w:tcBorders>
              <w:tl2br w:val="nil"/>
              <w:tr2bl w:val="nil"/>
            </w:tcBorders>
            <w:shd w:val="clear" w:color="auto" w:fill="auto"/>
            <w:noWrap/>
            <w:vAlign w:val="center"/>
          </w:tcPr>
          <w:p w14:paraId="29106C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银叶菊、角堇、三色堇、羽衣甘蓝、石竹、紫罗兰、金盏菊</w:t>
            </w:r>
          </w:p>
        </w:tc>
      </w:tr>
      <w:tr w14:paraId="69C52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2293" w:type="dxa"/>
            <w:vMerge w:val="continue"/>
            <w:tcBorders>
              <w:tl2br w:val="nil"/>
              <w:tr2bl w:val="nil"/>
            </w:tcBorders>
            <w:shd w:val="clear" w:color="auto" w:fill="auto"/>
            <w:noWrap/>
            <w:vAlign w:val="center"/>
          </w:tcPr>
          <w:p w14:paraId="7D782C57">
            <w:pPr>
              <w:rPr>
                <w:rFonts w:hint="eastAsia" w:ascii="宋体" w:hAnsi="宋体" w:eastAsia="宋体" w:cs="宋体"/>
                <w:i w:val="0"/>
                <w:iCs w:val="0"/>
                <w:color w:val="auto"/>
                <w:sz w:val="22"/>
                <w:szCs w:val="22"/>
                <w:highlight w:val="none"/>
                <w:u w:val="none"/>
              </w:rPr>
            </w:pPr>
          </w:p>
        </w:tc>
        <w:tc>
          <w:tcPr>
            <w:tcW w:w="6032" w:type="dxa"/>
            <w:tcBorders>
              <w:tl2br w:val="nil"/>
              <w:tr2bl w:val="nil"/>
            </w:tcBorders>
            <w:shd w:val="clear" w:color="auto" w:fill="auto"/>
            <w:noWrap/>
            <w:vAlign w:val="center"/>
          </w:tcPr>
          <w:p w14:paraId="574368A8">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金鱼草、报春花、霹雳石竹</w:t>
            </w:r>
          </w:p>
        </w:tc>
      </w:tr>
    </w:tbl>
    <w:p w14:paraId="127847FF">
      <w:pPr>
        <w:numPr>
          <w:ilvl w:val="0"/>
          <w:numId w:val="0"/>
        </w:numPr>
        <w:spacing w:line="440" w:lineRule="exact"/>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2、绿雕</w:t>
      </w:r>
    </w:p>
    <w:p w14:paraId="1DEE934D">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绿雕多为季节性草花，品种相对较少，第一次跟换品种主要为佛甲草、五色草等，因其本身的生物学特性，</w:t>
      </w:r>
      <w:r>
        <w:rPr>
          <w:rFonts w:hint="eastAsia" w:ascii="宋体" w:hAnsi="宋体" w:eastAsia="宋体"/>
          <w:b/>
          <w:bCs/>
          <w:color w:val="auto"/>
          <w:sz w:val="24"/>
          <w:highlight w:val="none"/>
          <w:lang w:val="en-US" w:eastAsia="zh-CN"/>
        </w:rPr>
        <w:t>在第一次至第二次养护期间自然枯败，需自行成批更换（属于绿雕的后期养护，不再给予计量）</w:t>
      </w:r>
      <w:r>
        <w:rPr>
          <w:rFonts w:hint="eastAsia" w:ascii="宋体" w:hAnsi="宋体" w:eastAsia="宋体"/>
          <w:color w:val="auto"/>
          <w:sz w:val="24"/>
          <w:highlight w:val="none"/>
          <w:lang w:val="en-US" w:eastAsia="zh-CN"/>
        </w:rPr>
        <w:t>。第二次跟换品种主要为三色堇、石竹、角堇等。更换前绿雕草花的规格、品种经采购人确认，且应全覆盖无裸露斑秃等。</w:t>
      </w:r>
    </w:p>
    <w:p w14:paraId="30684378">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139055" cy="3854450"/>
            <wp:effectExtent l="0" t="0" r="4445" b="12700"/>
            <wp:docPr id="4" name="图片 4" descr="市政府西北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市政府西北角"/>
                    <pic:cNvPicPr>
                      <a:picLocks noChangeAspect="1"/>
                    </pic:cNvPicPr>
                  </pic:nvPicPr>
                  <pic:blipFill>
                    <a:blip r:embed="rId8"/>
                    <a:stretch>
                      <a:fillRect/>
                    </a:stretch>
                  </pic:blipFill>
                  <pic:spPr>
                    <a:xfrm>
                      <a:off x="0" y="0"/>
                      <a:ext cx="5139055" cy="3854450"/>
                    </a:xfrm>
                    <a:prstGeom prst="rect">
                      <a:avLst/>
                    </a:prstGeom>
                  </pic:spPr>
                </pic:pic>
              </a:graphicData>
            </a:graphic>
          </wp:inline>
        </w:drawing>
      </w:r>
    </w:p>
    <w:p w14:paraId="389560EE">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中都大道与同乐路交口</w:t>
      </w:r>
    </w:p>
    <w:p w14:paraId="7049B145">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060315" cy="3795395"/>
            <wp:effectExtent l="0" t="0" r="6985" b="14605"/>
            <wp:docPr id="7" name="图片 7" descr="洪武路与滁州大道东侧中分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洪武路与滁州大道东侧中分带"/>
                    <pic:cNvPicPr>
                      <a:picLocks noChangeAspect="1"/>
                    </pic:cNvPicPr>
                  </pic:nvPicPr>
                  <pic:blipFill>
                    <a:blip r:embed="rId9"/>
                    <a:stretch>
                      <a:fillRect/>
                    </a:stretch>
                  </pic:blipFill>
                  <pic:spPr>
                    <a:xfrm>
                      <a:off x="0" y="0"/>
                      <a:ext cx="5060315" cy="3795395"/>
                    </a:xfrm>
                    <a:prstGeom prst="rect">
                      <a:avLst/>
                    </a:prstGeom>
                  </pic:spPr>
                </pic:pic>
              </a:graphicData>
            </a:graphic>
          </wp:inline>
        </w:drawing>
      </w:r>
    </w:p>
    <w:p w14:paraId="25C49046">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洪武路与滁州大道交口</w:t>
      </w:r>
    </w:p>
    <w:p w14:paraId="72E7E339">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233670" cy="3924935"/>
            <wp:effectExtent l="0" t="0" r="5080" b="18415"/>
            <wp:docPr id="6" name="图片 6" descr="市政府东北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市政府东北角"/>
                    <pic:cNvPicPr>
                      <a:picLocks noChangeAspect="1"/>
                    </pic:cNvPicPr>
                  </pic:nvPicPr>
                  <pic:blipFill>
                    <a:blip r:embed="rId10"/>
                    <a:stretch>
                      <a:fillRect/>
                    </a:stretch>
                  </pic:blipFill>
                  <pic:spPr>
                    <a:xfrm>
                      <a:off x="0" y="0"/>
                      <a:ext cx="5233670" cy="3924935"/>
                    </a:xfrm>
                    <a:prstGeom prst="rect">
                      <a:avLst/>
                    </a:prstGeom>
                  </pic:spPr>
                </pic:pic>
              </a:graphicData>
            </a:graphic>
          </wp:inline>
        </w:drawing>
      </w:r>
    </w:p>
    <w:p w14:paraId="55951974">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南谯路与同乐路交口</w:t>
      </w:r>
    </w:p>
    <w:p w14:paraId="6E1CAA45">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233670" cy="3924935"/>
            <wp:effectExtent l="0" t="0" r="5080" b="18415"/>
            <wp:docPr id="3" name="图片 3" descr="市政府西南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市政府西南角"/>
                    <pic:cNvPicPr>
                      <a:picLocks noChangeAspect="1"/>
                    </pic:cNvPicPr>
                  </pic:nvPicPr>
                  <pic:blipFill>
                    <a:blip r:embed="rId11"/>
                    <a:stretch>
                      <a:fillRect/>
                    </a:stretch>
                  </pic:blipFill>
                  <pic:spPr>
                    <a:xfrm>
                      <a:off x="0" y="0"/>
                      <a:ext cx="5233670" cy="3924935"/>
                    </a:xfrm>
                    <a:prstGeom prst="rect">
                      <a:avLst/>
                    </a:prstGeom>
                  </pic:spPr>
                </pic:pic>
              </a:graphicData>
            </a:graphic>
          </wp:inline>
        </w:drawing>
      </w:r>
    </w:p>
    <w:p w14:paraId="0BF54CB6">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中都大道与龙蟠大道交口</w:t>
      </w:r>
    </w:p>
    <w:p w14:paraId="62E91E11">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233670" cy="3924935"/>
            <wp:effectExtent l="0" t="0" r="5080" b="18415"/>
            <wp:docPr id="5" name="图片 5" descr="市政府南门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市政府南门广场"/>
                    <pic:cNvPicPr>
                      <a:picLocks noChangeAspect="1"/>
                    </pic:cNvPicPr>
                  </pic:nvPicPr>
                  <pic:blipFill>
                    <a:blip r:embed="rId12"/>
                    <a:stretch>
                      <a:fillRect/>
                    </a:stretch>
                  </pic:blipFill>
                  <pic:spPr>
                    <a:xfrm>
                      <a:off x="0" y="0"/>
                      <a:ext cx="5233670" cy="3924935"/>
                    </a:xfrm>
                    <a:prstGeom prst="rect">
                      <a:avLst/>
                    </a:prstGeom>
                  </pic:spPr>
                </pic:pic>
              </a:graphicData>
            </a:graphic>
          </wp:inline>
        </w:drawing>
      </w:r>
    </w:p>
    <w:p w14:paraId="65E9A385">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市政府南门广场</w:t>
      </w:r>
    </w:p>
    <w:p w14:paraId="2FD2F72A">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233670" cy="3924935"/>
            <wp:effectExtent l="0" t="0" r="5080" b="18415"/>
            <wp:docPr id="1" name="图片 1" descr="西涧路与龙蟠大道交口西南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西涧路与龙蟠大道交口西南角"/>
                    <pic:cNvPicPr>
                      <a:picLocks noChangeAspect="1"/>
                    </pic:cNvPicPr>
                  </pic:nvPicPr>
                  <pic:blipFill>
                    <a:blip r:embed="rId13"/>
                    <a:stretch>
                      <a:fillRect/>
                    </a:stretch>
                  </pic:blipFill>
                  <pic:spPr>
                    <a:xfrm>
                      <a:off x="0" y="0"/>
                      <a:ext cx="5233670" cy="3924935"/>
                    </a:xfrm>
                    <a:prstGeom prst="rect">
                      <a:avLst/>
                    </a:prstGeom>
                  </pic:spPr>
                </pic:pic>
              </a:graphicData>
            </a:graphic>
          </wp:inline>
        </w:drawing>
      </w:r>
    </w:p>
    <w:p w14:paraId="1C3A0251">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西涧路与龙蟠大道交口西南角</w:t>
      </w:r>
    </w:p>
    <w:p w14:paraId="66791B2B">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drawing>
          <wp:inline distT="0" distB="0" distL="114300" distR="114300">
            <wp:extent cx="5014595" cy="3761105"/>
            <wp:effectExtent l="0" t="0" r="14605" b="10795"/>
            <wp:docPr id="2" name="图片 2" descr="滁州大道与龙兴路交口西南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滁州大道与龙兴路交口西南角"/>
                    <pic:cNvPicPr>
                      <a:picLocks noChangeAspect="1"/>
                    </pic:cNvPicPr>
                  </pic:nvPicPr>
                  <pic:blipFill>
                    <a:blip r:embed="rId14"/>
                    <a:stretch>
                      <a:fillRect/>
                    </a:stretch>
                  </pic:blipFill>
                  <pic:spPr>
                    <a:xfrm>
                      <a:off x="0" y="0"/>
                      <a:ext cx="5014595" cy="3761105"/>
                    </a:xfrm>
                    <a:prstGeom prst="rect">
                      <a:avLst/>
                    </a:prstGeom>
                  </pic:spPr>
                </pic:pic>
              </a:graphicData>
            </a:graphic>
          </wp:inline>
        </w:drawing>
      </w:r>
    </w:p>
    <w:p w14:paraId="68436834">
      <w:pPr>
        <w:spacing w:line="240" w:lineRule="auto"/>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滁州大道与龙兴路交口西南角</w:t>
      </w:r>
    </w:p>
    <w:p w14:paraId="751857A4">
      <w:pPr>
        <w:spacing w:line="240" w:lineRule="auto"/>
        <w:jc w:val="center"/>
        <w:rPr>
          <w:rFonts w:hint="eastAsia" w:ascii="宋体" w:hAnsi="宋体" w:eastAsia="宋体"/>
          <w:color w:val="auto"/>
          <w:sz w:val="24"/>
          <w:highlight w:val="none"/>
          <w:lang w:val="en-US" w:eastAsia="zh-CN"/>
        </w:rPr>
      </w:pPr>
    </w:p>
    <w:p w14:paraId="2C254C13">
      <w:pPr>
        <w:numPr>
          <w:ilvl w:val="0"/>
          <w:numId w:val="2"/>
        </w:num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地被：兰花三七、马尼拉，养护期至最后一季花卉养护期满。</w:t>
      </w:r>
    </w:p>
    <w:p w14:paraId="00A77677">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六、进度计划要求</w:t>
      </w:r>
    </w:p>
    <w:p w14:paraId="399A8DC2">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1.根据时令花卉生长情况、气候条件以及工作要求，在一年四季前提下，及时更换、栽植，确保景观效果。</w:t>
      </w:r>
    </w:p>
    <w:p w14:paraId="701F6664">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第一季换植时间：2026年4月下旬（具体时间由采购人确定）</w:t>
      </w:r>
    </w:p>
    <w:p w14:paraId="6A33923E">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第二季换植时间：2026年6月下旬（具体时间由采购人确定）</w:t>
      </w:r>
    </w:p>
    <w:p w14:paraId="0A97D85F">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第三季换植时间：2026年9月下旬（具体时间由采购人确定）</w:t>
      </w:r>
    </w:p>
    <w:p w14:paraId="7D22DE55">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第四季换植时间：2026年12月下旬（具体时间由采购人确定）</w:t>
      </w:r>
    </w:p>
    <w:p w14:paraId="43276023">
      <w:pPr>
        <w:numPr>
          <w:ilvl w:val="0"/>
          <w:numId w:val="3"/>
        </w:num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绿雕一年更换2次，</w:t>
      </w:r>
    </w:p>
    <w:p w14:paraId="3C5FEBBF">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第一次换植时间：2026年4月下旬（具体时间由采购人确定）</w:t>
      </w:r>
    </w:p>
    <w:p w14:paraId="5E01E626">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第二次换植时间：2026年11月下旬（具体时间由采购人确定）</w:t>
      </w:r>
    </w:p>
    <w:p w14:paraId="1118772A">
      <w:pPr>
        <w:spacing w:line="440" w:lineRule="exact"/>
        <w:ind w:firstLine="435"/>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3、地被的栽植具体时间由采购人确定</w:t>
      </w:r>
    </w:p>
    <w:p w14:paraId="43A08296">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4、由于天气等原因，花卉长势不同，成交供应商可根据实际适当调整换花时间，但必须保证花卉长势良好。</w:t>
      </w:r>
    </w:p>
    <w:p w14:paraId="5C2C9BEC">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七、技术标准和要求</w:t>
      </w:r>
    </w:p>
    <w:p w14:paraId="11B66518">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1、严格执行重工【2010】51号“关于下发滁州市城区内绿化工程养护管理处罚措施的通知”的规定。</w:t>
      </w:r>
    </w:p>
    <w:p w14:paraId="09D45F83">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严格执行《滁州市园林景观管理中心绿化养护管理考核办法》、滁创园字【2009】第12号“关于下发《滁州市园林绿地养护管理技术规范》的通知”和“关于下发《植物病虫害防治技术规范》的通知”的规定。如国家对上述标准规范有调整，按最新标准和规范为准。按现行市政园林工程等国家现行的相关专业质量验收规范验收，达到合格工程标准</w:t>
      </w:r>
    </w:p>
    <w:p w14:paraId="263421F2">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3、养护内容包括景观花卉浇灌，如因浇水不及时造成景观花卉生长不良，中标方应及时更换，如发现上述且不及时整改更换行为，采购人有权终止合同。</w:t>
      </w:r>
    </w:p>
    <w:p w14:paraId="3F269293">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4、立体花坛骨架在撤换花过程中应定期维护，以延长骨架使用时间。造成安全事故由中标人负责，并承担赔偿责任。</w:t>
      </w:r>
    </w:p>
    <w:p w14:paraId="6DABD911">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5、中标人在养护过程中应文明施工，生产垃圾应随产随清，不得影响市容环境，因施工发生的一切安全事故由中标人负全责，并承担赔偿责任。</w:t>
      </w:r>
    </w:p>
    <w:p w14:paraId="093D9020">
      <w:pPr>
        <w:spacing w:line="440" w:lineRule="exact"/>
        <w:ind w:firstLine="435"/>
        <w:rPr>
          <w:rFonts w:hint="eastAsia" w:asciiTheme="minorEastAsia" w:hAnsiTheme="minorEastAsia" w:eastAsiaTheme="minorEastAsia"/>
          <w:b/>
          <w:color w:val="auto"/>
          <w:sz w:val="24"/>
          <w:highlight w:val="none"/>
          <w:lang w:val="en-US" w:eastAsia="zh-CN"/>
        </w:rPr>
      </w:pPr>
      <w:r>
        <w:rPr>
          <w:rFonts w:hint="eastAsia" w:ascii="宋体" w:hAnsi="宋体" w:eastAsia="宋体"/>
          <w:color w:val="auto"/>
          <w:sz w:val="24"/>
          <w:highlight w:val="none"/>
          <w:lang w:val="en-US" w:eastAsia="zh-CN"/>
        </w:rPr>
        <w:t>6、浇灌用车应有固定车辆，不得随意调作它用，如不能确保浇灌用车，则自动解除合同。车辆要证照齐全。</w:t>
      </w:r>
    </w:p>
    <w:p w14:paraId="6C60AE56">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7、养护期间的用水用电等由中标人自行解决，所发生的一切费用由中标人承担。</w:t>
      </w:r>
    </w:p>
    <w:p w14:paraId="0DACE15C">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八、安全责任</w:t>
      </w:r>
    </w:p>
    <w:p w14:paraId="3299FA0F">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中标人在养护过程中应文明施工，生产垃圾应随产随清，不得影响市容环境；因施工发生的一切安全事故由中标人负全责，并承担赔偿责任。</w:t>
      </w:r>
    </w:p>
    <w:p w14:paraId="6946D978">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中标人在防台、防汛、抗雷等应急抢险中应按采购人要求，积极履行职责，否则采购人有权单方面终止合同。</w:t>
      </w:r>
    </w:p>
    <w:p w14:paraId="66BF9FC4">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立体花坛要经常检修，确保安全，如因失修造成安全事故由中标人负责，并承担赔偿。</w:t>
      </w:r>
    </w:p>
    <w:p w14:paraId="5E7C8E5D">
      <w:pPr>
        <w:spacing w:line="440" w:lineRule="exact"/>
        <w:ind w:firstLine="437"/>
        <w:outlineLvl w:val="2"/>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九、检查和考核</w:t>
      </w:r>
    </w:p>
    <w:p w14:paraId="46F99B8A">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1、因本项目专业性强、季节性明显，要求中标人安排一名现场负责人巡查景观花卉的环境卫生，及时清理枯枝、死叶及垃圾等日常内容，如巡查不到位则视情节严重程度扣除当次请款500-2000元。</w:t>
      </w:r>
    </w:p>
    <w:p w14:paraId="6C67FC9C">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中标人应按照本合同协议书质量标准进行养护，随时接受采购人检查和考核，为检查考核提供便利条件。因景观花卉更换时间要求紧影响大，中标人如不能按时间节点要求更换养护花卉，采购人有权委托其他人员更换养护，费用从中标人当季应付款项中扣除。</w:t>
      </w:r>
    </w:p>
    <w:p w14:paraId="2F598960">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3、对于花卉生产及养护质量不符合要求的，应立即整改，中标人在规定时间内未整改的或整改效果不符合要求的，由采购人派其它人员整改，费用从中标人当季应付款项中扣除。</w:t>
      </w:r>
    </w:p>
    <w:p w14:paraId="0732A17A">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4、中标人应保证有固定浇水用车，且车辆要证照、保险齐全，不得随便调作它用，否则采购人有权中止合同。</w:t>
      </w:r>
    </w:p>
    <w:p w14:paraId="5BEA5197">
      <w:pPr>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br w:type="page"/>
      </w:r>
    </w:p>
    <w:p w14:paraId="3370D383">
      <w:pPr>
        <w:spacing w:line="440" w:lineRule="exact"/>
        <w:ind w:firstLine="435"/>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十、工程量清单及全费用综合单价</w:t>
      </w:r>
    </w:p>
    <w:tbl>
      <w:tblPr>
        <w:tblStyle w:val="24"/>
        <w:tblW w:w="8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2"/>
        <w:gridCol w:w="1574"/>
        <w:gridCol w:w="1627"/>
        <w:gridCol w:w="693"/>
        <w:gridCol w:w="1098"/>
        <w:gridCol w:w="1190"/>
        <w:gridCol w:w="1996"/>
      </w:tblGrid>
      <w:tr w14:paraId="77BC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8720" w:type="dxa"/>
            <w:gridSpan w:val="7"/>
            <w:tcBorders>
              <w:top w:val="nil"/>
              <w:left w:val="nil"/>
              <w:bottom w:val="nil"/>
              <w:right w:val="nil"/>
            </w:tcBorders>
            <w:shd w:val="clear" w:color="auto" w:fill="auto"/>
            <w:vAlign w:val="center"/>
          </w:tcPr>
          <w:p w14:paraId="2B70EE47">
            <w:pPr>
              <w:keepNext w:val="0"/>
              <w:keepLines w:val="0"/>
              <w:widowControl/>
              <w:suppressLineNumbers w:val="0"/>
              <w:ind w:firstLine="482" w:firstLineChars="200"/>
              <w:jc w:val="left"/>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本项目预算价270万元，投标报价采用百分比报价，供应商投标报价不得高于100%。</w:t>
            </w:r>
          </w:p>
          <w:p w14:paraId="0B9DE3E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工程量清单及全费用综合单价</w:t>
            </w:r>
          </w:p>
        </w:tc>
      </w:tr>
      <w:tr w14:paraId="6E4C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340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CC5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清单名称</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668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清单特征</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C78D">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1F24">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工程量</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A6CE">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全费用综合单价</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D272">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14:paraId="7BE53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6"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60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FC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四季花卉</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EF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花卉采用#110盆，每平方米不少于60盆。</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BB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A9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37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100元/㎡/次</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3E2A">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更换4次</w:t>
            </w:r>
          </w:p>
          <w:p w14:paraId="6C01B3FF">
            <w:pPr>
              <w:spacing w:line="440" w:lineRule="exact"/>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2、包括清理原有枯萎花卉，每次去除多余土方，平整场地等。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3、每季花卉应用至少10个及以上品种。</w:t>
            </w:r>
          </w:p>
        </w:tc>
      </w:tr>
      <w:tr w14:paraId="673B6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CA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05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绿雕1（中都大道与同乐路交口）</w:t>
            </w:r>
          </w:p>
        </w:tc>
        <w:tc>
          <w:tcPr>
            <w:tcW w:w="1627" w:type="dxa"/>
            <w:vMerge w:val="restart"/>
            <w:tcBorders>
              <w:top w:val="single" w:color="000000" w:sz="4" w:space="0"/>
              <w:left w:val="single" w:color="000000" w:sz="4" w:space="0"/>
              <w:right w:val="single" w:color="000000" w:sz="4" w:space="0"/>
            </w:tcBorders>
            <w:shd w:val="clear" w:color="auto" w:fill="auto"/>
            <w:vAlign w:val="center"/>
          </w:tcPr>
          <w:p w14:paraId="62A76054">
            <w:pPr>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采用穴盘苗，全覆盖无斑秃</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1D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8B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0DD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4.5万元/组/次</w:t>
            </w:r>
          </w:p>
        </w:tc>
        <w:tc>
          <w:tcPr>
            <w:tcW w:w="1996" w:type="dxa"/>
            <w:vMerge w:val="restart"/>
            <w:tcBorders>
              <w:top w:val="single" w:color="000000" w:sz="4" w:space="0"/>
              <w:left w:val="single" w:color="000000" w:sz="4" w:space="0"/>
              <w:right w:val="single" w:color="000000" w:sz="4" w:space="0"/>
            </w:tcBorders>
            <w:shd w:val="clear" w:color="auto" w:fill="auto"/>
            <w:vAlign w:val="center"/>
          </w:tcPr>
          <w:p w14:paraId="0E33BF30">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1、更换2次</w:t>
            </w:r>
          </w:p>
          <w:p w14:paraId="239CBA1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2、包括护土网的维护更换，绿雕土方的补填。</w:t>
            </w:r>
          </w:p>
          <w:p w14:paraId="72FA264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3、包括绿雕骨架的维护刷漆等。</w:t>
            </w:r>
          </w:p>
          <w:p w14:paraId="064F4E4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4、包括绿雕标语的更新。</w:t>
            </w:r>
          </w:p>
        </w:tc>
      </w:tr>
      <w:tr w14:paraId="7CD69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3C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2B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绿雕2（洪武路与滁州大道交口）</w:t>
            </w:r>
          </w:p>
        </w:tc>
        <w:tc>
          <w:tcPr>
            <w:tcW w:w="1627" w:type="dxa"/>
            <w:vMerge w:val="continue"/>
            <w:tcBorders>
              <w:left w:val="single" w:color="000000" w:sz="4" w:space="0"/>
              <w:right w:val="single" w:color="000000" w:sz="4" w:space="0"/>
            </w:tcBorders>
            <w:shd w:val="clear" w:color="auto" w:fill="auto"/>
            <w:vAlign w:val="center"/>
          </w:tcPr>
          <w:p w14:paraId="4203E739">
            <w:pPr>
              <w:jc w:val="center"/>
              <w:rPr>
                <w:rFonts w:hint="eastAsia" w:ascii="宋体" w:hAnsi="宋体" w:eastAsia="宋体" w:cs="宋体"/>
                <w:i w:val="0"/>
                <w:iCs w:val="0"/>
                <w:color w:val="auto"/>
                <w:sz w:val="24"/>
                <w:szCs w:val="24"/>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9A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86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79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7万元/组/次</w:t>
            </w:r>
          </w:p>
        </w:tc>
        <w:tc>
          <w:tcPr>
            <w:tcW w:w="1996" w:type="dxa"/>
            <w:vMerge w:val="continue"/>
            <w:tcBorders>
              <w:left w:val="single" w:color="000000" w:sz="4" w:space="0"/>
              <w:right w:val="single" w:color="000000" w:sz="4" w:space="0"/>
            </w:tcBorders>
            <w:shd w:val="clear" w:color="auto" w:fill="auto"/>
            <w:vAlign w:val="center"/>
          </w:tcPr>
          <w:p w14:paraId="04B3D2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7896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96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0B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绿雕3（南谯路与同乐路交口）</w:t>
            </w:r>
          </w:p>
        </w:tc>
        <w:tc>
          <w:tcPr>
            <w:tcW w:w="1627" w:type="dxa"/>
            <w:vMerge w:val="continue"/>
            <w:tcBorders>
              <w:left w:val="single" w:color="000000" w:sz="4" w:space="0"/>
              <w:right w:val="single" w:color="000000" w:sz="4" w:space="0"/>
            </w:tcBorders>
            <w:shd w:val="clear" w:color="auto" w:fill="auto"/>
            <w:vAlign w:val="center"/>
          </w:tcPr>
          <w:p w14:paraId="69780145">
            <w:pPr>
              <w:jc w:val="center"/>
              <w:rPr>
                <w:rFonts w:hint="eastAsia" w:ascii="宋体" w:hAnsi="宋体" w:eastAsia="宋体" w:cs="宋体"/>
                <w:i w:val="0"/>
                <w:iCs w:val="0"/>
                <w:color w:val="auto"/>
                <w:sz w:val="24"/>
                <w:szCs w:val="24"/>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AA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DC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63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7.5万元/组/次</w:t>
            </w:r>
          </w:p>
        </w:tc>
        <w:tc>
          <w:tcPr>
            <w:tcW w:w="1996" w:type="dxa"/>
            <w:vMerge w:val="continue"/>
            <w:tcBorders>
              <w:left w:val="single" w:color="000000" w:sz="4" w:space="0"/>
              <w:right w:val="single" w:color="000000" w:sz="4" w:space="0"/>
            </w:tcBorders>
            <w:shd w:val="clear" w:color="auto" w:fill="auto"/>
            <w:vAlign w:val="center"/>
          </w:tcPr>
          <w:p w14:paraId="337B54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5DBCA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E5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71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绿雕4（中都大道与龙蟠大道交口）</w:t>
            </w:r>
          </w:p>
        </w:tc>
        <w:tc>
          <w:tcPr>
            <w:tcW w:w="1627" w:type="dxa"/>
            <w:vMerge w:val="continue"/>
            <w:tcBorders>
              <w:left w:val="single" w:color="000000" w:sz="4" w:space="0"/>
              <w:right w:val="single" w:color="000000" w:sz="4" w:space="0"/>
            </w:tcBorders>
            <w:shd w:val="clear" w:color="auto" w:fill="auto"/>
            <w:vAlign w:val="center"/>
          </w:tcPr>
          <w:p w14:paraId="03564257">
            <w:pPr>
              <w:jc w:val="center"/>
              <w:rPr>
                <w:rFonts w:hint="eastAsia" w:ascii="宋体" w:hAnsi="宋体" w:eastAsia="宋体" w:cs="宋体"/>
                <w:i w:val="0"/>
                <w:iCs w:val="0"/>
                <w:color w:val="auto"/>
                <w:sz w:val="24"/>
                <w:szCs w:val="24"/>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8C5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B4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E8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12万元/组/次</w:t>
            </w:r>
          </w:p>
        </w:tc>
        <w:tc>
          <w:tcPr>
            <w:tcW w:w="1996" w:type="dxa"/>
            <w:vMerge w:val="continue"/>
            <w:tcBorders>
              <w:left w:val="single" w:color="000000" w:sz="4" w:space="0"/>
              <w:right w:val="single" w:color="000000" w:sz="4" w:space="0"/>
            </w:tcBorders>
            <w:shd w:val="clear" w:color="auto" w:fill="auto"/>
            <w:vAlign w:val="center"/>
          </w:tcPr>
          <w:p w14:paraId="08FCFF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54C5C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7A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4E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绿雕5（市政府南广场）</w:t>
            </w:r>
          </w:p>
        </w:tc>
        <w:tc>
          <w:tcPr>
            <w:tcW w:w="1627" w:type="dxa"/>
            <w:vMerge w:val="continue"/>
            <w:tcBorders>
              <w:left w:val="single" w:color="000000" w:sz="4" w:space="0"/>
              <w:right w:val="single" w:color="000000" w:sz="4" w:space="0"/>
            </w:tcBorders>
            <w:shd w:val="clear" w:color="auto" w:fill="auto"/>
            <w:vAlign w:val="center"/>
          </w:tcPr>
          <w:p w14:paraId="5B362980">
            <w:pPr>
              <w:jc w:val="center"/>
              <w:rPr>
                <w:rFonts w:hint="eastAsia" w:ascii="宋体" w:hAnsi="宋体" w:eastAsia="宋体" w:cs="宋体"/>
                <w:i w:val="0"/>
                <w:iCs w:val="0"/>
                <w:color w:val="auto"/>
                <w:sz w:val="24"/>
                <w:szCs w:val="24"/>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D8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14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99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12万元/组/次</w:t>
            </w:r>
          </w:p>
        </w:tc>
        <w:tc>
          <w:tcPr>
            <w:tcW w:w="1996" w:type="dxa"/>
            <w:vMerge w:val="continue"/>
            <w:tcBorders>
              <w:left w:val="single" w:color="000000" w:sz="4" w:space="0"/>
              <w:right w:val="single" w:color="000000" w:sz="4" w:space="0"/>
            </w:tcBorders>
            <w:shd w:val="clear" w:color="auto" w:fill="auto"/>
            <w:vAlign w:val="center"/>
          </w:tcPr>
          <w:p w14:paraId="508167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125E3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34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4B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绿雕6（西涧路与龙蟠大道交口）</w:t>
            </w:r>
          </w:p>
        </w:tc>
        <w:tc>
          <w:tcPr>
            <w:tcW w:w="1627" w:type="dxa"/>
            <w:vMerge w:val="continue"/>
            <w:tcBorders>
              <w:left w:val="single" w:color="000000" w:sz="4" w:space="0"/>
              <w:right w:val="single" w:color="000000" w:sz="4" w:space="0"/>
            </w:tcBorders>
            <w:shd w:val="clear" w:color="auto" w:fill="auto"/>
            <w:vAlign w:val="center"/>
          </w:tcPr>
          <w:p w14:paraId="62FCF640">
            <w:pPr>
              <w:jc w:val="center"/>
              <w:rPr>
                <w:rFonts w:hint="eastAsia" w:ascii="宋体" w:hAnsi="宋体" w:eastAsia="宋体" w:cs="宋体"/>
                <w:i w:val="0"/>
                <w:iCs w:val="0"/>
                <w:color w:val="auto"/>
                <w:sz w:val="24"/>
                <w:szCs w:val="24"/>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C3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FE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EA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18万元/组/次</w:t>
            </w:r>
          </w:p>
        </w:tc>
        <w:tc>
          <w:tcPr>
            <w:tcW w:w="1996" w:type="dxa"/>
            <w:vMerge w:val="continue"/>
            <w:tcBorders>
              <w:left w:val="single" w:color="000000" w:sz="4" w:space="0"/>
              <w:right w:val="single" w:color="000000" w:sz="4" w:space="0"/>
            </w:tcBorders>
            <w:shd w:val="clear" w:color="auto" w:fill="auto"/>
            <w:vAlign w:val="center"/>
          </w:tcPr>
          <w:p w14:paraId="5BA4AD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7D37B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B9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B5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绿雕7（龙兴路与滁州大道交口）</w:t>
            </w:r>
          </w:p>
        </w:tc>
        <w:tc>
          <w:tcPr>
            <w:tcW w:w="1627" w:type="dxa"/>
            <w:vMerge w:val="continue"/>
            <w:tcBorders>
              <w:left w:val="single" w:color="000000" w:sz="4" w:space="0"/>
              <w:bottom w:val="single" w:color="000000" w:sz="4" w:space="0"/>
              <w:right w:val="single" w:color="000000" w:sz="4" w:space="0"/>
            </w:tcBorders>
            <w:shd w:val="clear" w:color="auto" w:fill="auto"/>
            <w:vAlign w:val="center"/>
          </w:tcPr>
          <w:p w14:paraId="64428CEC">
            <w:pPr>
              <w:jc w:val="center"/>
              <w:rPr>
                <w:rFonts w:hint="eastAsia" w:ascii="宋体" w:hAnsi="宋体" w:eastAsia="宋体" w:cs="宋体"/>
                <w:i w:val="0"/>
                <w:iCs w:val="0"/>
                <w:color w:val="auto"/>
                <w:sz w:val="24"/>
                <w:szCs w:val="24"/>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95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组</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6A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BF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21万元/组/次</w:t>
            </w:r>
          </w:p>
        </w:tc>
        <w:tc>
          <w:tcPr>
            <w:tcW w:w="1996" w:type="dxa"/>
            <w:vMerge w:val="continue"/>
            <w:tcBorders>
              <w:left w:val="single" w:color="000000" w:sz="4" w:space="0"/>
              <w:bottom w:val="single" w:color="000000" w:sz="4" w:space="0"/>
              <w:right w:val="single" w:color="000000" w:sz="4" w:space="0"/>
            </w:tcBorders>
            <w:shd w:val="clear" w:color="auto" w:fill="auto"/>
            <w:vAlign w:val="center"/>
          </w:tcPr>
          <w:p w14:paraId="4A0D2E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7E92B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3B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C2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兰花三七</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E3E4">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每平方米81株</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8C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C8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D4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30元/㎡</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8C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包括原有场地清杂、平整。</w:t>
            </w:r>
          </w:p>
        </w:tc>
      </w:tr>
      <w:tr w14:paraId="7029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2D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73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马尼拉</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2211">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eastAsia="zh-CN"/>
              </w:rPr>
              <w:t>满铺</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73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7C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91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25元/㎡</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F8DE">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包括原有场地清杂、平整。</w:t>
            </w:r>
          </w:p>
        </w:tc>
      </w:tr>
    </w:tbl>
    <w:p w14:paraId="585FD27F">
      <w:pPr>
        <w:spacing w:line="440" w:lineRule="exact"/>
        <w:rPr>
          <w:rFonts w:hint="eastAsia" w:ascii="华文细黑" w:hAnsi="华文细黑" w:eastAsia="华文细黑" w:cs="华文细黑"/>
          <w:b/>
          <w:bCs/>
          <w:color w:val="auto"/>
          <w:kern w:val="0"/>
          <w:sz w:val="21"/>
          <w:szCs w:val="21"/>
          <w:highlight w:val="none"/>
          <w:lang w:val="en-US" w:eastAsia="zh-CN"/>
        </w:rPr>
      </w:pPr>
      <w:r>
        <w:rPr>
          <w:rFonts w:hint="eastAsia" w:ascii="华文细黑" w:hAnsi="华文细黑" w:eastAsia="华文细黑" w:cs="华文细黑"/>
          <w:b w:val="0"/>
          <w:bCs w:val="0"/>
          <w:color w:val="auto"/>
          <w:kern w:val="0"/>
          <w:sz w:val="21"/>
          <w:szCs w:val="21"/>
          <w:highlight w:val="none"/>
          <w:lang w:val="en-US" w:eastAsia="zh-CN"/>
        </w:rPr>
        <w:t>注：1、本项目工程量最终结算时按实际完成合格工程量结算。结算单价为相应的全费综合</w:t>
      </w:r>
      <w:r>
        <w:rPr>
          <w:rFonts w:hint="eastAsia" w:ascii="华文细黑" w:hAnsi="华文细黑" w:eastAsia="华文细黑" w:cs="华文细黑"/>
          <w:b/>
          <w:bCs/>
          <w:color w:val="auto"/>
          <w:kern w:val="0"/>
          <w:sz w:val="21"/>
          <w:szCs w:val="21"/>
          <w:highlight w:val="none"/>
          <w:lang w:val="en-US" w:eastAsia="zh-CN"/>
        </w:rPr>
        <w:t>单价*中标费率。结算总价为相应结算单价乘以相应实际已完合格工程量的累加之和，结算总价不超过270万元。</w:t>
      </w:r>
    </w:p>
    <w:p w14:paraId="115900FA">
      <w:pPr>
        <w:numPr>
          <w:ilvl w:val="0"/>
          <w:numId w:val="4"/>
        </w:numPr>
        <w:spacing w:line="440" w:lineRule="exact"/>
        <w:ind w:left="0" w:leftChars="0" w:firstLine="0" w:firstLineChars="0"/>
        <w:rPr>
          <w:rFonts w:hint="eastAsia" w:ascii="华文细黑" w:hAnsi="华文细黑" w:eastAsia="华文细黑" w:cs="华文细黑"/>
          <w:b w:val="0"/>
          <w:bCs w:val="0"/>
          <w:color w:val="auto"/>
          <w:kern w:val="0"/>
          <w:sz w:val="21"/>
          <w:szCs w:val="21"/>
          <w:highlight w:val="none"/>
          <w:lang w:val="en-US" w:eastAsia="zh-CN"/>
        </w:rPr>
      </w:pPr>
      <w:r>
        <w:rPr>
          <w:rFonts w:hint="eastAsia" w:ascii="华文细黑" w:hAnsi="华文细黑" w:eastAsia="华文细黑" w:cs="华文细黑"/>
          <w:b w:val="0"/>
          <w:bCs w:val="0"/>
          <w:color w:val="auto"/>
          <w:kern w:val="0"/>
          <w:sz w:val="21"/>
          <w:szCs w:val="21"/>
          <w:highlight w:val="none"/>
          <w:lang w:val="en-US" w:eastAsia="zh-CN"/>
        </w:rPr>
        <w:t>各项目均含施工前后的场地整理、拆除、清理、清运、恢复原状等全部内容，综合单价结算时不予调整。</w:t>
      </w:r>
    </w:p>
    <w:p w14:paraId="2BB55148">
      <w:pPr>
        <w:numPr>
          <w:ilvl w:val="0"/>
          <w:numId w:val="0"/>
        </w:numPr>
        <w:spacing w:line="440" w:lineRule="exact"/>
        <w:ind w:leftChars="0" w:firstLine="482" w:firstLineChars="200"/>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十二、报价要求</w:t>
      </w:r>
    </w:p>
    <w:p w14:paraId="2522BD7B">
      <w:pPr>
        <w:spacing w:line="440" w:lineRule="exact"/>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全费用综合单价包含但不限于：人工费、材料费、机械费、场地整理、拆除、清理、清运、恢复原状、管理费、利润、规费、税金、措施费、其他费、施工工期内的风险费用、养护费用、招标代理费用、验收、利润、税金等为完成本项目所需发生的一切费用。</w:t>
      </w:r>
    </w:p>
    <w:p w14:paraId="7E3E178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十三、其他要求</w:t>
      </w:r>
    </w:p>
    <w:p w14:paraId="401D4C3F">
      <w:pPr>
        <w:spacing w:line="440" w:lineRule="exact"/>
        <w:ind w:firstLine="435"/>
        <w:rPr>
          <w:rFonts w:hint="eastAsia" w:ascii="仿宋_GB2312" w:hAnsi="宋体" w:eastAsia="仿宋_GB2312"/>
          <w:b/>
          <w:color w:val="auto"/>
          <w:sz w:val="32"/>
          <w:szCs w:val="32"/>
          <w:highlight w:val="none"/>
        </w:rPr>
      </w:pPr>
      <w:r>
        <w:rPr>
          <w:rFonts w:hint="eastAsia" w:ascii="宋体" w:hAnsi="宋体" w:eastAsia="宋体"/>
          <w:color w:val="auto"/>
          <w:sz w:val="24"/>
          <w:highlight w:val="none"/>
          <w:lang w:val="en-US" w:eastAsia="zh-CN"/>
        </w:rPr>
        <w:t>采购人不组织现场考察：供应商应根据其实际需求自行安排时间进行现场考察。供应商现场考察的费用自理，为投标报价取得依据。一旦中标，不得以不了解现场情况为理由而提出额外费用。在现场考察过程中，供应商如果发生人身伤亡、财务或其它损失，不论何种原因造成，均由供应商自负。</w:t>
      </w:r>
    </w:p>
    <w:p w14:paraId="3CA6C1B1">
      <w:pPr>
        <w:numPr>
          <w:ilvl w:val="0"/>
          <w:numId w:val="0"/>
        </w:numPr>
        <w:spacing w:line="360" w:lineRule="auto"/>
        <w:outlineLvl w:val="9"/>
        <w:rPr>
          <w:rFonts w:hint="eastAsia" w:ascii="宋体" w:hAnsi="宋体" w:eastAsia="宋体"/>
          <w:b/>
          <w:color w:val="auto"/>
          <w:sz w:val="24"/>
          <w:szCs w:val="18"/>
          <w:highlight w:val="none"/>
          <w:lang w:val="en-US" w:eastAsia="zh-CN"/>
        </w:rPr>
      </w:pPr>
    </w:p>
    <w:bookmarkEnd w:id="47"/>
    <w:bookmarkEnd w:id="48"/>
    <w:bookmarkEnd w:id="49"/>
    <w:p w14:paraId="28954C8C">
      <w:pPr>
        <w:rPr>
          <w:rFonts w:hint="eastAsia" w:asciiTheme="minorEastAsia" w:hAnsiTheme="minorEastAsia" w:eastAsiaTheme="minorEastAsia"/>
          <w:b/>
          <w:color w:val="auto"/>
          <w:sz w:val="28"/>
          <w:highlight w:val="none"/>
        </w:rPr>
      </w:pPr>
      <w:bookmarkStart w:id="50" w:name="_Toc30824"/>
      <w:r>
        <w:rPr>
          <w:rFonts w:hint="eastAsia" w:asciiTheme="minorEastAsia" w:hAnsiTheme="minorEastAsia" w:eastAsiaTheme="minorEastAsia"/>
          <w:b/>
          <w:color w:val="auto"/>
          <w:sz w:val="28"/>
          <w:highlight w:val="none"/>
        </w:rPr>
        <w:br w:type="page"/>
      </w:r>
    </w:p>
    <w:p w14:paraId="32912B33">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第四章  评标方法和标准（综合评分法）</w:t>
      </w:r>
      <w:bookmarkEnd w:id="50"/>
    </w:p>
    <w:p w14:paraId="6F292D88">
      <w:pPr>
        <w:spacing w:line="360" w:lineRule="auto"/>
        <w:ind w:firstLine="437"/>
        <w:outlineLvl w:val="1"/>
        <w:rPr>
          <w:rFonts w:asciiTheme="minorEastAsia" w:hAnsiTheme="minorEastAsia" w:eastAsiaTheme="minorEastAsia"/>
          <w:b/>
          <w:color w:val="auto"/>
          <w:sz w:val="24"/>
          <w:highlight w:val="none"/>
        </w:rPr>
      </w:pPr>
      <w:bookmarkStart w:id="51" w:name="_Toc11823"/>
      <w:bookmarkStart w:id="52" w:name="_Toc4705"/>
      <w:r>
        <w:rPr>
          <w:rFonts w:hint="eastAsia" w:asciiTheme="minorEastAsia" w:hAnsiTheme="minorEastAsia" w:eastAsiaTheme="minorEastAsia"/>
          <w:b/>
          <w:color w:val="auto"/>
          <w:sz w:val="24"/>
          <w:highlight w:val="none"/>
        </w:rPr>
        <w:t>一、总则</w:t>
      </w:r>
      <w:bookmarkEnd w:id="51"/>
      <w:bookmarkEnd w:id="52"/>
    </w:p>
    <w:p w14:paraId="0A2DEA2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本项目将按照招标文件第二章 投标人须知的相关要求</w:t>
      </w:r>
      <w:r>
        <w:rPr>
          <w:rFonts w:asciiTheme="minorEastAsia" w:hAnsiTheme="minorEastAsia" w:eastAsiaTheme="minorEastAsia"/>
          <w:color w:val="auto"/>
          <w:sz w:val="24"/>
          <w:highlight w:val="none"/>
        </w:rPr>
        <w:t>及本章的规定评标。</w:t>
      </w:r>
    </w:p>
    <w:p w14:paraId="140BC5EA">
      <w:pPr>
        <w:spacing w:line="360" w:lineRule="auto"/>
        <w:ind w:firstLine="437"/>
        <w:outlineLvl w:val="1"/>
        <w:rPr>
          <w:rFonts w:asciiTheme="minorEastAsia" w:hAnsiTheme="minorEastAsia" w:eastAsiaTheme="minorEastAsia"/>
          <w:b/>
          <w:color w:val="auto"/>
          <w:sz w:val="24"/>
          <w:highlight w:val="none"/>
        </w:rPr>
      </w:pPr>
      <w:bookmarkStart w:id="53" w:name="_Toc32410"/>
      <w:bookmarkStart w:id="54" w:name="_Toc31871"/>
      <w:r>
        <w:rPr>
          <w:rFonts w:hint="eastAsia" w:asciiTheme="minorEastAsia" w:hAnsiTheme="minorEastAsia" w:eastAsiaTheme="minorEastAsia"/>
          <w:b/>
          <w:color w:val="auto"/>
          <w:sz w:val="24"/>
          <w:highlight w:val="none"/>
        </w:rPr>
        <w:t>二、评标方法</w:t>
      </w:r>
      <w:bookmarkEnd w:id="53"/>
      <w:bookmarkEnd w:id="54"/>
    </w:p>
    <w:p w14:paraId="15D4321C">
      <w:pPr>
        <w:spacing w:line="360" w:lineRule="auto"/>
        <w:ind w:firstLine="437"/>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2.1资格审查</w:t>
      </w:r>
    </w:p>
    <w:tbl>
      <w:tblPr>
        <w:tblStyle w:val="24"/>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651"/>
        <w:gridCol w:w="4557"/>
        <w:gridCol w:w="1891"/>
      </w:tblGrid>
      <w:tr w14:paraId="1DF1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0961FC01">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b/>
                <w:color w:val="auto"/>
                <w:sz w:val="24"/>
                <w:szCs w:val="22"/>
                <w:highlight w:val="none"/>
              </w:rPr>
              <w:t>资格审查表</w:t>
            </w:r>
          </w:p>
        </w:tc>
      </w:tr>
      <w:tr w14:paraId="1740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14EDEBC1">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942" w:type="pct"/>
            <w:tcBorders>
              <w:bottom w:val="single" w:color="auto" w:sz="4" w:space="0"/>
            </w:tcBorders>
            <w:vAlign w:val="center"/>
          </w:tcPr>
          <w:p w14:paraId="46C30534">
            <w:pPr>
              <w:pStyle w:val="43"/>
              <w:pBdr>
                <w:bottom w:val="none" w:color="auto" w:sz="0" w:space="0"/>
              </w:pBdr>
              <w:tabs>
                <w:tab w:val="clear" w:pos="4153"/>
                <w:tab w:val="clear" w:pos="8306"/>
              </w:tabs>
              <w:snapToGrid w:val="0"/>
              <w:spacing w:line="360" w:lineRule="auto"/>
              <w:ind w:right="-10"/>
              <w:textAlignment w:val="auto"/>
              <w:rPr>
                <w:rFonts w:hint="default" w:ascii="宋体" w:hAnsi="宋体" w:eastAsia="宋体"/>
                <w:color w:val="auto"/>
                <w:kern w:val="2"/>
                <w:szCs w:val="24"/>
                <w:highlight w:val="none"/>
                <w:lang w:val="en-US"/>
              </w:rPr>
            </w:pPr>
            <w:r>
              <w:rPr>
                <w:rFonts w:hint="eastAsia" w:ascii="宋体" w:hAnsi="宋体" w:eastAsia="宋体"/>
                <w:color w:val="auto"/>
                <w:kern w:val="2"/>
                <w:szCs w:val="24"/>
                <w:highlight w:val="none"/>
                <w:lang w:val="en-US" w:eastAsia="zh-CN"/>
              </w:rPr>
              <w:t>审查因素</w:t>
            </w:r>
          </w:p>
        </w:tc>
        <w:tc>
          <w:tcPr>
            <w:tcW w:w="2601" w:type="pct"/>
            <w:tcBorders>
              <w:bottom w:val="single" w:color="auto" w:sz="4" w:space="0"/>
            </w:tcBorders>
            <w:vAlign w:val="center"/>
          </w:tcPr>
          <w:p w14:paraId="4C6094A6">
            <w:pPr>
              <w:adjustRightInd w:val="0"/>
              <w:snapToGrid w:val="0"/>
              <w:spacing w:line="360" w:lineRule="auto"/>
              <w:ind w:right="-1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审查内容</w:t>
            </w:r>
          </w:p>
        </w:tc>
        <w:tc>
          <w:tcPr>
            <w:tcW w:w="1077" w:type="pct"/>
            <w:tcBorders>
              <w:bottom w:val="single" w:color="auto" w:sz="4" w:space="0"/>
            </w:tcBorders>
            <w:vAlign w:val="center"/>
          </w:tcPr>
          <w:p w14:paraId="7560C3AE">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6199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378" w:type="pct"/>
            <w:tcBorders>
              <w:bottom w:val="single" w:color="auto" w:sz="4" w:space="0"/>
            </w:tcBorders>
            <w:vAlign w:val="center"/>
          </w:tcPr>
          <w:p w14:paraId="5A66417A">
            <w:pPr>
              <w:adjustRightInd w:val="0"/>
              <w:snapToGrid w:val="0"/>
              <w:spacing w:line="360" w:lineRule="auto"/>
              <w:ind w:right="-10" w:rightChars="0"/>
              <w:jc w:val="center"/>
              <w:rPr>
                <w:rFonts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rPr>
              <w:t>1</w:t>
            </w:r>
          </w:p>
        </w:tc>
        <w:tc>
          <w:tcPr>
            <w:tcW w:w="942" w:type="pct"/>
            <w:tcBorders>
              <w:bottom w:val="single" w:color="auto" w:sz="4" w:space="0"/>
            </w:tcBorders>
            <w:vAlign w:val="center"/>
          </w:tcPr>
          <w:p w14:paraId="1C0E28A2">
            <w:pPr>
              <w:spacing w:after="50" w:line="360" w:lineRule="auto"/>
              <w:ind w:right="-10" w:rightChars="0"/>
              <w:jc w:val="center"/>
              <w:rPr>
                <w:rFonts w:ascii="宋体" w:hAnsi="宋体" w:eastAsia="宋体" w:cs="@仿宋_GB2312"/>
                <w:color w:val="auto"/>
                <w:kern w:val="2"/>
                <w:sz w:val="24"/>
                <w:szCs w:val="28"/>
                <w:highlight w:val="none"/>
                <w:lang w:val="en-US" w:eastAsia="zh-CN" w:bidi="ar-SA"/>
              </w:rPr>
            </w:pPr>
            <w:r>
              <w:rPr>
                <w:rFonts w:ascii="宋体" w:hAnsi="宋体" w:eastAsia="宋体" w:cs="宋体"/>
                <w:color w:val="auto"/>
                <w:spacing w:val="9"/>
                <w:sz w:val="24"/>
                <w:szCs w:val="24"/>
                <w:highlight w:val="none"/>
              </w:rPr>
              <w:t>营业执照等证明</w:t>
            </w:r>
            <w:r>
              <w:rPr>
                <w:rFonts w:ascii="宋体" w:hAnsi="宋体" w:eastAsia="宋体" w:cs="宋体"/>
                <w:color w:val="auto"/>
                <w:spacing w:val="-3"/>
                <w:sz w:val="24"/>
                <w:szCs w:val="24"/>
                <w:highlight w:val="none"/>
              </w:rPr>
              <w:t>文件</w:t>
            </w:r>
          </w:p>
        </w:tc>
        <w:tc>
          <w:tcPr>
            <w:tcW w:w="2601" w:type="pct"/>
            <w:tcBorders>
              <w:bottom w:val="single" w:color="auto" w:sz="4" w:space="0"/>
            </w:tcBorders>
            <w:vAlign w:val="center"/>
          </w:tcPr>
          <w:p w14:paraId="3C9C784C">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供有效的营业执照；</w:t>
            </w:r>
          </w:p>
          <w:p w14:paraId="7FE6D17A">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供有效的事业单位法人证书；</w:t>
            </w:r>
          </w:p>
          <w:p w14:paraId="01360060">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lang w:val="en-US" w:eastAsia="zh-CN"/>
              </w:rPr>
              <w:t>或</w:t>
            </w:r>
            <w:r>
              <w:rPr>
                <w:rFonts w:ascii="宋体" w:hAnsi="宋体" w:eastAsia="宋体" w:cs="宋体"/>
                <w:color w:val="auto"/>
                <w:sz w:val="24"/>
                <w:szCs w:val="24"/>
                <w:highlight w:val="none"/>
              </w:rPr>
              <w:t>登记证书等证明文件；</w:t>
            </w:r>
          </w:p>
          <w:p w14:paraId="66F86D0E">
            <w:pPr>
              <w:spacing w:after="50" w:line="360" w:lineRule="auto"/>
              <w:ind w:right="-10" w:rightChars="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供有效的个体工商户营业执照；</w:t>
            </w:r>
          </w:p>
          <w:p w14:paraId="2630CED9">
            <w:pPr>
              <w:spacing w:after="50" w:line="360" w:lineRule="auto"/>
              <w:ind w:right="-10" w:rightChars="0"/>
              <w:jc w:val="left"/>
              <w:rPr>
                <w:rFonts w:ascii="宋体" w:hAnsi="宋体" w:eastAsia="宋体" w:cs="@仿宋_GB2312"/>
                <w:color w:val="auto"/>
                <w:kern w:val="2"/>
                <w:sz w:val="24"/>
                <w:szCs w:val="28"/>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供有效的自然人身份证明。</w:t>
            </w:r>
          </w:p>
        </w:tc>
        <w:tc>
          <w:tcPr>
            <w:tcW w:w="1077" w:type="pct"/>
            <w:vAlign w:val="center"/>
          </w:tcPr>
          <w:p w14:paraId="6C6976A6">
            <w:pPr>
              <w:spacing w:line="360" w:lineRule="auto"/>
              <w:jc w:val="left"/>
              <w:rPr>
                <w:rFonts w:ascii="宋体" w:hAnsi="宋体" w:eastAsia="宋体" w:cs="@仿宋_GB2312"/>
                <w:color w:val="auto"/>
                <w:kern w:val="2"/>
                <w:sz w:val="24"/>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全部内容。联合体投标的联合体各方均须提供。</w:t>
            </w:r>
          </w:p>
        </w:tc>
      </w:tr>
      <w:tr w14:paraId="3BDB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378" w:type="pct"/>
            <w:tcBorders>
              <w:bottom w:val="single" w:color="auto" w:sz="4" w:space="0"/>
            </w:tcBorders>
            <w:vAlign w:val="center"/>
          </w:tcPr>
          <w:p w14:paraId="68DC919F">
            <w:pPr>
              <w:adjustRightInd w:val="0"/>
              <w:snapToGrid w:val="0"/>
              <w:spacing w:line="360" w:lineRule="auto"/>
              <w:ind w:right="-10" w:rightChars="0"/>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w:t>
            </w:r>
          </w:p>
        </w:tc>
        <w:tc>
          <w:tcPr>
            <w:tcW w:w="942" w:type="pct"/>
            <w:tcBorders>
              <w:bottom w:val="single" w:color="auto" w:sz="4" w:space="0"/>
            </w:tcBorders>
            <w:vAlign w:val="center"/>
          </w:tcPr>
          <w:p w14:paraId="2ECEA40D">
            <w:pPr>
              <w:spacing w:after="50" w:line="360" w:lineRule="auto"/>
              <w:ind w:right="-10" w:rightChars="0"/>
              <w:jc w:val="center"/>
              <w:rPr>
                <w:rFonts w:hint="default" w:ascii="宋体" w:hAnsi="宋体" w:eastAsia="宋体"/>
                <w:color w:val="auto"/>
                <w:sz w:val="24"/>
                <w:szCs w:val="28"/>
                <w:highlight w:val="none"/>
                <w:lang w:val="en-US"/>
              </w:rPr>
            </w:pPr>
            <w:r>
              <w:rPr>
                <w:rFonts w:hint="eastAsia" w:ascii="宋体" w:hAnsi="宋体" w:eastAsia="宋体"/>
                <w:color w:val="auto"/>
                <w:sz w:val="24"/>
                <w:szCs w:val="18"/>
                <w:highlight w:val="none"/>
                <w:lang w:val="en-US" w:eastAsia="zh-CN"/>
              </w:rPr>
              <w:t>投标人资格声明书</w:t>
            </w:r>
          </w:p>
        </w:tc>
        <w:tc>
          <w:tcPr>
            <w:tcW w:w="2601" w:type="pct"/>
            <w:tcBorders>
              <w:bottom w:val="single" w:color="auto" w:sz="4" w:space="0"/>
            </w:tcBorders>
            <w:vAlign w:val="center"/>
          </w:tcPr>
          <w:p w14:paraId="3EC75B94">
            <w:pPr>
              <w:spacing w:after="50" w:line="360" w:lineRule="auto"/>
              <w:ind w:right="-10" w:rightChars="0"/>
              <w:jc w:val="left"/>
              <w:rPr>
                <w:rFonts w:hint="eastAsia" w:ascii="宋体" w:hAnsi="宋体" w:eastAsia="宋体"/>
                <w:color w:val="auto"/>
                <w:sz w:val="24"/>
                <w:szCs w:val="28"/>
                <w:highlight w:val="none"/>
              </w:rPr>
            </w:pPr>
            <w:r>
              <w:rPr>
                <w:rFonts w:hint="eastAsia" w:ascii="宋体" w:hAnsi="宋体" w:eastAsia="宋体" w:cs="宋体"/>
                <w:color w:val="auto"/>
                <w:sz w:val="24"/>
                <w:szCs w:val="24"/>
                <w:highlight w:val="none"/>
                <w:lang w:val="en-US" w:eastAsia="zh-CN"/>
              </w:rPr>
              <w:t>提</w:t>
            </w:r>
            <w:r>
              <w:rPr>
                <w:rFonts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lang w:eastAsia="zh-CN"/>
              </w:rPr>
              <w:t>。</w:t>
            </w:r>
          </w:p>
        </w:tc>
        <w:tc>
          <w:tcPr>
            <w:tcW w:w="1077" w:type="pct"/>
            <w:vAlign w:val="center"/>
          </w:tcPr>
          <w:p w14:paraId="6D5AF799">
            <w:pPr>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olor w:val="auto"/>
                <w:sz w:val="24"/>
                <w:highlight w:val="none"/>
              </w:rPr>
              <w:t>详见第六章投标文件格式</w:t>
            </w:r>
            <w:r>
              <w:rPr>
                <w:rFonts w:hint="eastAsia" w:ascii="宋体" w:hAnsi="宋体" w:eastAsia="宋体"/>
                <w:color w:val="auto"/>
                <w:sz w:val="24"/>
                <w:highlight w:val="none"/>
                <w:lang w:eastAsia="zh-CN"/>
              </w:rPr>
              <w:t>。</w:t>
            </w:r>
          </w:p>
        </w:tc>
      </w:tr>
      <w:tr w14:paraId="0ED8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2C18EACA">
            <w:pPr>
              <w:adjustRightInd w:val="0"/>
              <w:snapToGrid w:val="0"/>
              <w:spacing w:line="360" w:lineRule="auto"/>
              <w:ind w:right="-10"/>
              <w:jc w:val="center"/>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w:t>
            </w:r>
          </w:p>
        </w:tc>
        <w:tc>
          <w:tcPr>
            <w:tcW w:w="942" w:type="pct"/>
            <w:tcBorders>
              <w:bottom w:val="single" w:color="auto" w:sz="4" w:space="0"/>
            </w:tcBorders>
            <w:vAlign w:val="center"/>
          </w:tcPr>
          <w:p w14:paraId="02EC126A">
            <w:pPr>
              <w:spacing w:after="50" w:line="360" w:lineRule="auto"/>
              <w:ind w:right="-10"/>
              <w:jc w:val="center"/>
              <w:rPr>
                <w:rFonts w:ascii="宋体" w:hAnsi="宋体" w:eastAsia="宋体"/>
                <w:color w:val="auto"/>
                <w:sz w:val="24"/>
                <w:szCs w:val="28"/>
                <w:highlight w:val="none"/>
              </w:rPr>
            </w:pPr>
            <w:r>
              <w:rPr>
                <w:rFonts w:hint="eastAsia" w:ascii="宋体" w:hAnsi="宋体" w:eastAsia="宋体" w:cs="宋体"/>
                <w:color w:val="auto"/>
                <w:sz w:val="24"/>
                <w:szCs w:val="24"/>
                <w:highlight w:val="none"/>
              </w:rPr>
              <w:t>投标人信用记录</w:t>
            </w:r>
          </w:p>
        </w:tc>
        <w:tc>
          <w:tcPr>
            <w:tcW w:w="2601" w:type="pct"/>
            <w:tcBorders>
              <w:bottom w:val="single" w:color="auto" w:sz="4" w:space="0"/>
            </w:tcBorders>
            <w:vAlign w:val="center"/>
          </w:tcPr>
          <w:p w14:paraId="245BDA32">
            <w:pPr>
              <w:spacing w:after="50" w:line="360" w:lineRule="auto"/>
              <w:ind w:right="-10" w:rightChars="0"/>
              <w:jc w:val="left"/>
              <w:rPr>
                <w:color w:val="auto"/>
                <w:highlight w:val="none"/>
              </w:rPr>
            </w:pPr>
            <w:r>
              <w:rPr>
                <w:rFonts w:hint="eastAsia" w:ascii="宋体" w:hAnsi="宋体" w:eastAsia="宋体" w:cs="宋体"/>
                <w:color w:val="auto"/>
                <w:sz w:val="24"/>
                <w:szCs w:val="24"/>
                <w:highlight w:val="none"/>
                <w:lang w:val="zh-CN"/>
              </w:rPr>
              <w:t>投标人不得存在</w:t>
            </w:r>
            <w:r>
              <w:rPr>
                <w:rFonts w:hint="eastAsia" w:ascii="宋体" w:hAnsi="宋体" w:eastAsia="宋体" w:cs="宋体"/>
                <w:color w:val="auto"/>
                <w:sz w:val="24"/>
                <w:szCs w:val="24"/>
                <w:highlight w:val="none"/>
                <w:lang w:val="en-US" w:eastAsia="zh-CN"/>
              </w:rPr>
              <w:t>投标邀请第4条信誉要求和</w:t>
            </w:r>
            <w:r>
              <w:rPr>
                <w:rFonts w:hint="eastAsia" w:ascii="宋体" w:hAnsi="宋体" w:eastAsia="宋体" w:cs="宋体"/>
                <w:color w:val="auto"/>
                <w:sz w:val="24"/>
                <w:szCs w:val="24"/>
                <w:highlight w:val="none"/>
                <w:lang w:val="zh-CN"/>
              </w:rPr>
              <w:t>投标人须知正文第1</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条中的不良信用记录情形</w:t>
            </w:r>
          </w:p>
        </w:tc>
        <w:tc>
          <w:tcPr>
            <w:tcW w:w="1077" w:type="pct"/>
            <w:tcBorders>
              <w:bottom w:val="single" w:color="auto" w:sz="4" w:space="0"/>
            </w:tcBorders>
            <w:vAlign w:val="center"/>
          </w:tcPr>
          <w:p w14:paraId="625C587A">
            <w:pPr>
              <w:spacing w:line="360" w:lineRule="auto"/>
              <w:jc w:val="left"/>
              <w:rPr>
                <w:rFonts w:ascii="@仿宋_GB2312" w:hAnsi="@仿宋_GB2312" w:eastAsia="@仿宋_GB2312" w:cs="@仿宋_GB2312"/>
                <w:color w:val="auto"/>
                <w:kern w:val="2"/>
                <w:sz w:val="21"/>
                <w:highlight w:val="none"/>
                <w:lang w:val="en-US" w:eastAsia="zh-CN" w:bidi="ar-SA"/>
              </w:rPr>
            </w:pPr>
            <w:r>
              <w:rPr>
                <w:rFonts w:hint="eastAsia" w:ascii="宋体" w:hAnsi="宋体" w:eastAsia="宋体" w:cs="宋体"/>
                <w:color w:val="auto"/>
                <w:sz w:val="24"/>
                <w:szCs w:val="24"/>
                <w:highlight w:val="none"/>
              </w:rPr>
              <w:t>无须投标人</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供，由采购人或采购代理机构查询。</w:t>
            </w:r>
          </w:p>
        </w:tc>
      </w:tr>
      <w:tr w14:paraId="1B44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65512F4E">
            <w:pPr>
              <w:adjustRightInd w:val="0"/>
              <w:snapToGrid w:val="0"/>
              <w:spacing w:line="360" w:lineRule="auto"/>
              <w:ind w:right="-10" w:rightChars="0"/>
              <w:jc w:val="center"/>
              <w:rPr>
                <w:rFonts w:hint="eastAsia"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lang w:val="en-US" w:eastAsia="zh-CN"/>
              </w:rPr>
              <w:t>4</w:t>
            </w:r>
          </w:p>
        </w:tc>
        <w:tc>
          <w:tcPr>
            <w:tcW w:w="942" w:type="pct"/>
            <w:tcBorders>
              <w:bottom w:val="single" w:color="auto" w:sz="4" w:space="0"/>
            </w:tcBorders>
            <w:vAlign w:val="center"/>
          </w:tcPr>
          <w:p w14:paraId="67A7921F">
            <w:pPr>
              <w:spacing w:after="50" w:line="360" w:lineRule="auto"/>
              <w:ind w:right="-1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中小企业证明文件</w:t>
            </w:r>
          </w:p>
        </w:tc>
        <w:tc>
          <w:tcPr>
            <w:tcW w:w="2601" w:type="pct"/>
            <w:tcBorders>
              <w:bottom w:val="single" w:color="auto" w:sz="4" w:space="0"/>
            </w:tcBorders>
            <w:vAlign w:val="top"/>
          </w:tcPr>
          <w:p w14:paraId="5EE93E49">
            <w:pPr>
              <w:spacing w:after="50" w:line="360" w:lineRule="auto"/>
              <w:ind w:right="-10"/>
              <w:jc w:val="left"/>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8"/>
                <w:highlight w:val="none"/>
              </w:rPr>
              <w:t>符合</w:t>
            </w:r>
            <w:r>
              <w:rPr>
                <w:rFonts w:hint="eastAsia" w:ascii="宋体" w:hAnsi="宋体" w:eastAsia="宋体"/>
                <w:color w:val="auto"/>
                <w:sz w:val="24"/>
                <w:szCs w:val="28"/>
                <w:highlight w:val="none"/>
                <w:lang w:val="en-US" w:eastAsia="zh-CN"/>
              </w:rPr>
              <w:t>申请人的</w:t>
            </w:r>
            <w:r>
              <w:rPr>
                <w:rFonts w:hint="eastAsia" w:ascii="宋体" w:hAnsi="宋体" w:eastAsia="宋体"/>
                <w:color w:val="auto"/>
                <w:sz w:val="24"/>
                <w:szCs w:val="28"/>
                <w:highlight w:val="none"/>
              </w:rPr>
              <w:t>资格</w:t>
            </w:r>
            <w:r>
              <w:rPr>
                <w:rFonts w:hint="eastAsia" w:ascii="宋体" w:hAnsi="宋体" w:eastAsia="宋体"/>
                <w:color w:val="auto"/>
                <w:sz w:val="24"/>
                <w:szCs w:val="28"/>
                <w:highlight w:val="none"/>
                <w:lang w:val="en-US" w:eastAsia="zh-CN"/>
              </w:rPr>
              <w:t>要求</w:t>
            </w:r>
            <w:r>
              <w:rPr>
                <w:rFonts w:hint="eastAsia" w:ascii="宋体" w:hAnsi="宋体" w:eastAsia="宋体"/>
                <w:color w:val="auto"/>
                <w:sz w:val="24"/>
                <w:szCs w:val="28"/>
                <w:highlight w:val="none"/>
              </w:rPr>
              <w:t>中落实政府采购政策需满足的资格要求</w:t>
            </w:r>
            <w:r>
              <w:rPr>
                <w:rFonts w:hint="eastAsia" w:ascii="宋体" w:hAnsi="宋体" w:eastAsia="宋体"/>
                <w:color w:val="auto"/>
                <w:sz w:val="24"/>
                <w:szCs w:val="28"/>
                <w:highlight w:val="none"/>
                <w:lang w:eastAsia="zh-CN"/>
              </w:rPr>
              <w:t>：</w:t>
            </w:r>
          </w:p>
          <w:p w14:paraId="44C825CD">
            <w:pPr>
              <w:spacing w:after="50" w:line="360" w:lineRule="auto"/>
              <w:ind w:right="-1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eastAsia="zh-CN"/>
              </w:rPr>
              <w:t>投标人</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 生产建设兵团）出具的属于监狱企业的证明文件。</w:t>
            </w:r>
          </w:p>
          <w:p w14:paraId="7193C8D9">
            <w:pPr>
              <w:spacing w:after="50" w:line="360" w:lineRule="auto"/>
              <w:ind w:right="-10"/>
              <w:jc w:val="left"/>
              <w:rPr>
                <w:rFonts w:hint="eastAsia" w:ascii="宋体" w:hAnsi="宋体" w:eastAsia="宋体" w:cs="宋体"/>
                <w:color w:val="auto"/>
                <w:sz w:val="24"/>
                <w:szCs w:val="24"/>
                <w:highlight w:val="none"/>
                <w:lang w:val="en-US" w:eastAsia="en-US"/>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077" w:type="pct"/>
            <w:tcBorders>
              <w:bottom w:val="single" w:color="auto" w:sz="4" w:space="0"/>
            </w:tcBorders>
            <w:vAlign w:val="center"/>
          </w:tcPr>
          <w:p w14:paraId="56A772AC">
            <w:pPr>
              <w:spacing w:after="50" w:line="360" w:lineRule="auto"/>
              <w:ind w:right="-10"/>
              <w:jc w:val="center"/>
              <w:rPr>
                <w:rFonts w:hint="eastAsia" w:ascii="宋体" w:hAnsi="宋体" w:eastAsia="宋体" w:cs="宋体"/>
                <w:color w:val="auto"/>
                <w:sz w:val="24"/>
                <w:szCs w:val="24"/>
                <w:highlight w:val="none"/>
                <w:lang w:val="en-US" w:eastAsia="zh-CN"/>
              </w:rPr>
            </w:pPr>
            <w:r>
              <w:rPr>
                <w:rFonts w:hint="eastAsia" w:ascii="宋体" w:hAnsi="宋体" w:eastAsia="宋体"/>
                <w:color w:val="auto"/>
                <w:sz w:val="24"/>
                <w:highlight w:val="none"/>
              </w:rPr>
              <w:t>详见第六章投标文件格式</w:t>
            </w:r>
            <w:r>
              <w:rPr>
                <w:rFonts w:hint="eastAsia" w:ascii="宋体" w:hAnsi="宋体" w:eastAsia="宋体"/>
                <w:color w:val="auto"/>
                <w:sz w:val="24"/>
                <w:highlight w:val="none"/>
                <w:lang w:eastAsia="zh-CN"/>
              </w:rPr>
              <w:t>。</w:t>
            </w:r>
          </w:p>
        </w:tc>
      </w:tr>
      <w:tr w14:paraId="75B8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bottom w:val="single" w:color="auto" w:sz="4" w:space="0"/>
            </w:tcBorders>
            <w:vAlign w:val="center"/>
          </w:tcPr>
          <w:p w14:paraId="3382D073">
            <w:pPr>
              <w:adjustRightInd w:val="0"/>
              <w:snapToGrid w:val="0"/>
              <w:spacing w:line="360" w:lineRule="auto"/>
              <w:ind w:right="-10" w:rightChars="0"/>
              <w:jc w:val="center"/>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w:t>
            </w:r>
          </w:p>
        </w:tc>
        <w:tc>
          <w:tcPr>
            <w:tcW w:w="942" w:type="pct"/>
            <w:tcBorders>
              <w:bottom w:val="single" w:color="auto" w:sz="4" w:space="0"/>
            </w:tcBorders>
            <w:vAlign w:val="center"/>
          </w:tcPr>
          <w:p w14:paraId="737684E3">
            <w:pPr>
              <w:spacing w:after="50" w:line="360" w:lineRule="auto"/>
              <w:ind w:right="-10"/>
              <w:jc w:val="both"/>
              <w:rPr>
                <w:rFonts w:hint="eastAsia" w:ascii="宋体" w:hAnsi="宋体" w:eastAsia="宋体" w:cs="宋体"/>
                <w:color w:val="auto"/>
                <w:sz w:val="24"/>
                <w:szCs w:val="24"/>
                <w:highlight w:val="none"/>
              </w:rPr>
            </w:pPr>
            <w:r>
              <w:rPr>
                <w:rFonts w:ascii="宋体" w:hAnsi="宋体" w:eastAsia="宋体" w:cs="宋体"/>
                <w:color w:val="auto"/>
                <w:spacing w:val="10"/>
                <w:sz w:val="24"/>
                <w:szCs w:val="24"/>
                <w:highlight w:val="none"/>
              </w:rPr>
              <w:t>其它落实政府采</w:t>
            </w:r>
            <w:r>
              <w:rPr>
                <w:rFonts w:ascii="宋体" w:hAnsi="宋体" w:eastAsia="宋体" w:cs="宋体"/>
                <w:color w:val="auto"/>
                <w:spacing w:val="11"/>
                <w:sz w:val="24"/>
                <w:szCs w:val="24"/>
                <w:highlight w:val="none"/>
              </w:rPr>
              <w:t>购政策的资格要</w:t>
            </w:r>
            <w:r>
              <w:rPr>
                <w:rFonts w:ascii="宋体" w:hAnsi="宋体" w:eastAsia="宋体" w:cs="宋体"/>
                <w:color w:val="auto"/>
                <w:sz w:val="24"/>
                <w:szCs w:val="24"/>
                <w:highlight w:val="none"/>
              </w:rPr>
              <w:t>求</w:t>
            </w:r>
          </w:p>
        </w:tc>
        <w:tc>
          <w:tcPr>
            <w:tcW w:w="2601" w:type="pct"/>
            <w:tcBorders>
              <w:bottom w:val="single" w:color="auto" w:sz="4" w:space="0"/>
            </w:tcBorders>
            <w:vAlign w:val="center"/>
          </w:tcPr>
          <w:p w14:paraId="62DE5B97">
            <w:pPr>
              <w:spacing w:after="50" w:line="360" w:lineRule="auto"/>
              <w:ind w:right="-10"/>
              <w:jc w:val="both"/>
              <w:rPr>
                <w:rFonts w:hint="eastAsia" w:ascii="宋体" w:hAnsi="宋体" w:eastAsia="宋体" w:cs="宋体"/>
                <w:color w:val="auto"/>
                <w:sz w:val="24"/>
                <w:szCs w:val="24"/>
                <w:highlight w:val="none"/>
              </w:rPr>
            </w:pPr>
            <w:r>
              <w:rPr>
                <w:rFonts w:ascii="宋体" w:hAnsi="宋体" w:eastAsia="宋体" w:cs="宋体"/>
                <w:color w:val="auto"/>
                <w:spacing w:val="-2"/>
                <w:sz w:val="24"/>
                <w:szCs w:val="24"/>
                <w:highlight w:val="none"/>
              </w:rPr>
              <w:t>如有，见第一章《投标邀请》</w:t>
            </w:r>
          </w:p>
        </w:tc>
        <w:tc>
          <w:tcPr>
            <w:tcW w:w="1077" w:type="pct"/>
            <w:tcBorders>
              <w:bottom w:val="single" w:color="auto" w:sz="4" w:space="0"/>
            </w:tcBorders>
            <w:vAlign w:val="center"/>
          </w:tcPr>
          <w:p w14:paraId="63A9DEA5">
            <w:pPr>
              <w:spacing w:after="50" w:line="360" w:lineRule="auto"/>
              <w:ind w:right="-10"/>
              <w:jc w:val="both"/>
              <w:rPr>
                <w:rFonts w:hint="eastAsia" w:ascii="宋体" w:hAnsi="宋体" w:eastAsia="宋体"/>
                <w:color w:val="auto"/>
                <w:sz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6D3B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vAlign w:val="center"/>
          </w:tcPr>
          <w:p w14:paraId="23C3E5D3">
            <w:pPr>
              <w:adjustRightInd w:val="0"/>
              <w:snapToGrid w:val="0"/>
              <w:spacing w:line="360" w:lineRule="auto"/>
              <w:ind w:right="-10" w:rightChars="0"/>
              <w:jc w:val="center"/>
              <w:rPr>
                <w:rFonts w:hint="eastAsia" w:ascii="宋体" w:hAnsi="宋体" w:eastAsia="宋体" w:cs="@仿宋_GB2312"/>
                <w:color w:val="auto"/>
                <w:kern w:val="2"/>
                <w:sz w:val="24"/>
                <w:highlight w:val="none"/>
                <w:lang w:val="en-US" w:eastAsia="zh-CN" w:bidi="ar-SA"/>
              </w:rPr>
            </w:pPr>
            <w:r>
              <w:rPr>
                <w:rFonts w:hint="eastAsia" w:ascii="宋体" w:hAnsi="宋体" w:eastAsia="宋体"/>
                <w:color w:val="auto"/>
                <w:sz w:val="24"/>
                <w:highlight w:val="none"/>
                <w:lang w:val="en-US" w:eastAsia="zh-CN"/>
              </w:rPr>
              <w:t>6</w:t>
            </w:r>
          </w:p>
        </w:tc>
        <w:tc>
          <w:tcPr>
            <w:tcW w:w="942" w:type="pct"/>
            <w:vAlign w:val="center"/>
          </w:tcPr>
          <w:p w14:paraId="437DE5C7">
            <w:pPr>
              <w:spacing w:after="50" w:line="360" w:lineRule="auto"/>
              <w:ind w:right="-10"/>
              <w:jc w:val="both"/>
              <w:rPr>
                <w:rFonts w:ascii="宋体" w:hAnsi="宋体" w:eastAsia="宋体" w:cs="宋体"/>
                <w:color w:val="auto"/>
                <w:spacing w:val="10"/>
                <w:sz w:val="24"/>
                <w:szCs w:val="24"/>
                <w:highlight w:val="none"/>
                <w:lang w:val="en-US" w:eastAsia="zh-CN"/>
              </w:rPr>
            </w:pPr>
            <w:r>
              <w:rPr>
                <w:rFonts w:ascii="宋体" w:hAnsi="宋体" w:eastAsia="宋体" w:cs="宋体"/>
                <w:color w:val="auto"/>
                <w:spacing w:val="10"/>
                <w:sz w:val="24"/>
                <w:szCs w:val="24"/>
                <w:highlight w:val="none"/>
              </w:rPr>
              <w:t>本项目的特定资格要求</w:t>
            </w:r>
          </w:p>
        </w:tc>
        <w:tc>
          <w:tcPr>
            <w:tcW w:w="2601" w:type="pct"/>
            <w:vAlign w:val="center"/>
          </w:tcPr>
          <w:p w14:paraId="5249B1D4">
            <w:pPr>
              <w:spacing w:after="50" w:line="360" w:lineRule="auto"/>
              <w:ind w:right="-10"/>
              <w:jc w:val="both"/>
              <w:rPr>
                <w:rFonts w:ascii="宋体" w:hAnsi="宋体" w:eastAsia="宋体" w:cs="宋体"/>
                <w:color w:val="auto"/>
                <w:spacing w:val="10"/>
                <w:sz w:val="24"/>
                <w:szCs w:val="24"/>
                <w:highlight w:val="none"/>
              </w:rPr>
            </w:pPr>
            <w:r>
              <w:rPr>
                <w:rFonts w:ascii="宋体" w:hAnsi="宋体" w:eastAsia="宋体" w:cs="宋体"/>
                <w:color w:val="auto"/>
                <w:spacing w:val="10"/>
                <w:sz w:val="24"/>
                <w:szCs w:val="24"/>
                <w:highlight w:val="none"/>
              </w:rPr>
              <w:t>如有，见第一章《投标邀请》</w:t>
            </w:r>
          </w:p>
        </w:tc>
        <w:tc>
          <w:tcPr>
            <w:tcW w:w="1077" w:type="pct"/>
            <w:vAlign w:val="center"/>
          </w:tcPr>
          <w:p w14:paraId="173EFCE9">
            <w:pPr>
              <w:spacing w:after="50" w:line="360" w:lineRule="auto"/>
              <w:ind w:right="-10"/>
              <w:jc w:val="both"/>
              <w:rPr>
                <w:rFonts w:ascii="宋体" w:hAnsi="宋体" w:eastAsia="宋体" w:cs="宋体"/>
                <w:color w:val="auto"/>
                <w:spacing w:val="10"/>
                <w:sz w:val="24"/>
                <w:szCs w:val="24"/>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bl>
    <w:p w14:paraId="78298EAB">
      <w:pPr>
        <w:spacing w:line="360" w:lineRule="auto"/>
        <w:ind w:firstLine="435"/>
        <w:rPr>
          <w:rFonts w:asciiTheme="minorEastAsia" w:hAnsiTheme="minorEastAsia" w:eastAsiaTheme="minorEastAsia"/>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14965C88">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2.2符合性审查</w:t>
      </w:r>
    </w:p>
    <w:p w14:paraId="0AEB819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评标委员会对通过资格审查的投标人的投标文件进行符合性审查，以确定其是否满足招标文件的实质性要求。符合性审查表如下：</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117"/>
        <w:gridCol w:w="3128"/>
        <w:gridCol w:w="2511"/>
      </w:tblGrid>
      <w:tr w14:paraId="546C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4"/>
            <w:tcBorders>
              <w:bottom w:val="single" w:color="auto" w:sz="4" w:space="0"/>
            </w:tcBorders>
            <w:vAlign w:val="center"/>
          </w:tcPr>
          <w:p w14:paraId="26D9A606">
            <w:pPr>
              <w:adjustRightInd w:val="0"/>
              <w:snapToGrid w:val="0"/>
              <w:spacing w:line="360" w:lineRule="auto"/>
              <w:ind w:right="-10"/>
              <w:jc w:val="center"/>
              <w:rPr>
                <w:rFonts w:ascii="宋体" w:hAnsi="宋体" w:eastAsia="宋体"/>
                <w:b/>
                <w:bCs/>
                <w:color w:val="auto"/>
                <w:sz w:val="24"/>
                <w:highlight w:val="none"/>
              </w:rPr>
            </w:pPr>
            <w:r>
              <w:rPr>
                <w:rFonts w:hint="eastAsia" w:ascii="宋体" w:hAnsi="宋体" w:eastAsia="宋体"/>
                <w:b/>
                <w:bCs/>
                <w:color w:val="auto"/>
                <w:sz w:val="24"/>
                <w:highlight w:val="none"/>
              </w:rPr>
              <w:t>符合性审查表</w:t>
            </w:r>
          </w:p>
        </w:tc>
      </w:tr>
      <w:tr w14:paraId="2058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50" w:type="pct"/>
            <w:tcBorders>
              <w:bottom w:val="single" w:color="auto" w:sz="4" w:space="0"/>
            </w:tcBorders>
            <w:vAlign w:val="center"/>
          </w:tcPr>
          <w:p w14:paraId="218FE025">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序号</w:t>
            </w:r>
          </w:p>
        </w:tc>
        <w:tc>
          <w:tcPr>
            <w:tcW w:w="1242" w:type="pct"/>
            <w:tcBorders>
              <w:bottom w:val="single" w:color="auto" w:sz="4" w:space="0"/>
            </w:tcBorders>
            <w:vAlign w:val="center"/>
          </w:tcPr>
          <w:p w14:paraId="598A1F98">
            <w:pPr>
              <w:pStyle w:val="43"/>
              <w:pBdr>
                <w:bottom w:val="none" w:color="auto" w:sz="0" w:space="0"/>
              </w:pBdr>
              <w:tabs>
                <w:tab w:val="clear" w:pos="4153"/>
                <w:tab w:val="clear" w:pos="8306"/>
              </w:tabs>
              <w:snapToGrid w:val="0"/>
              <w:spacing w:line="360" w:lineRule="auto"/>
              <w:ind w:right="-10"/>
              <w:textAlignment w:val="auto"/>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审查指标</w:t>
            </w:r>
          </w:p>
        </w:tc>
        <w:tc>
          <w:tcPr>
            <w:tcW w:w="1835" w:type="pct"/>
            <w:tcBorders>
              <w:bottom w:val="single" w:color="auto" w:sz="4" w:space="0"/>
            </w:tcBorders>
            <w:vAlign w:val="center"/>
          </w:tcPr>
          <w:p w14:paraId="63F3C5DB">
            <w:pPr>
              <w:adjustRightInd w:val="0"/>
              <w:snapToGrid w:val="0"/>
              <w:spacing w:line="360" w:lineRule="auto"/>
              <w:ind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审查标准</w:t>
            </w:r>
          </w:p>
        </w:tc>
        <w:tc>
          <w:tcPr>
            <w:tcW w:w="1472" w:type="pct"/>
            <w:tcBorders>
              <w:bottom w:val="single" w:color="auto" w:sz="4" w:space="0"/>
            </w:tcBorders>
            <w:vAlign w:val="center"/>
          </w:tcPr>
          <w:p w14:paraId="08C5435E">
            <w:pPr>
              <w:adjustRightInd w:val="0"/>
              <w:snapToGrid w:val="0"/>
              <w:spacing w:line="360" w:lineRule="auto"/>
              <w:ind w:right="-10"/>
              <w:jc w:val="center"/>
              <w:rPr>
                <w:rFonts w:ascii="宋体" w:hAnsi="宋体" w:eastAsia="宋体"/>
                <w:color w:val="auto"/>
                <w:sz w:val="24"/>
                <w:highlight w:val="none"/>
              </w:rPr>
            </w:pPr>
            <w:r>
              <w:rPr>
                <w:rFonts w:hint="eastAsia" w:ascii="宋体" w:hAnsi="宋体" w:eastAsia="宋体"/>
                <w:color w:val="auto"/>
                <w:sz w:val="24"/>
                <w:highlight w:val="none"/>
              </w:rPr>
              <w:t>格式要求</w:t>
            </w:r>
          </w:p>
        </w:tc>
      </w:tr>
      <w:tr w14:paraId="79B0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0266C664">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p>
        </w:tc>
        <w:tc>
          <w:tcPr>
            <w:tcW w:w="1242" w:type="pct"/>
            <w:vAlign w:val="center"/>
          </w:tcPr>
          <w:p w14:paraId="108D396E">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highlight w:val="none"/>
              </w:rPr>
              <w:t>开标一览表</w:t>
            </w:r>
          </w:p>
        </w:tc>
        <w:tc>
          <w:tcPr>
            <w:tcW w:w="1835" w:type="pct"/>
            <w:vAlign w:val="center"/>
          </w:tcPr>
          <w:p w14:paraId="3A148AA8">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14AC44DC">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3FC6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05DC5528">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242" w:type="pct"/>
            <w:vAlign w:val="center"/>
          </w:tcPr>
          <w:p w14:paraId="703FA45B">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投标函</w:t>
            </w:r>
          </w:p>
        </w:tc>
        <w:tc>
          <w:tcPr>
            <w:tcW w:w="1835" w:type="pct"/>
            <w:vAlign w:val="center"/>
          </w:tcPr>
          <w:p w14:paraId="43148244">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0324921E">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318F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4C050BF5">
            <w:pPr>
              <w:adjustRightInd w:val="0"/>
              <w:snapToGrid w:val="0"/>
              <w:spacing w:line="360" w:lineRule="auto"/>
              <w:ind w:right="-10"/>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3</w:t>
            </w:r>
          </w:p>
        </w:tc>
        <w:tc>
          <w:tcPr>
            <w:tcW w:w="1242" w:type="pct"/>
            <w:vAlign w:val="center"/>
          </w:tcPr>
          <w:p w14:paraId="616B6551">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授权书</w:t>
            </w:r>
          </w:p>
        </w:tc>
        <w:tc>
          <w:tcPr>
            <w:tcW w:w="1835" w:type="pct"/>
            <w:vAlign w:val="center"/>
          </w:tcPr>
          <w:p w14:paraId="344ADE6B">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格式、填写要求符合招标文件规定并加盖投标人电子签章</w:t>
            </w:r>
          </w:p>
        </w:tc>
        <w:tc>
          <w:tcPr>
            <w:tcW w:w="1472" w:type="pct"/>
            <w:vAlign w:val="center"/>
          </w:tcPr>
          <w:p w14:paraId="050607CA">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法定代表人参加投标的无需此件，提供身份证明即可。详见第六章投标文件格式</w:t>
            </w:r>
            <w:r>
              <w:rPr>
                <w:rFonts w:hint="eastAsia" w:asciiTheme="minorEastAsia" w:hAnsiTheme="minorEastAsia" w:eastAsiaTheme="minorEastAsia"/>
                <w:color w:val="auto"/>
                <w:sz w:val="24"/>
                <w:highlight w:val="none"/>
                <w:lang w:eastAsia="zh-CN"/>
              </w:rPr>
              <w:t>。</w:t>
            </w:r>
          </w:p>
        </w:tc>
      </w:tr>
      <w:tr w14:paraId="04C0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6D9706F5">
            <w:pPr>
              <w:adjustRightInd w:val="0"/>
              <w:snapToGrid w:val="0"/>
              <w:spacing w:line="360" w:lineRule="auto"/>
              <w:ind w:right="-10"/>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p>
        </w:tc>
        <w:tc>
          <w:tcPr>
            <w:tcW w:w="1242" w:type="pct"/>
            <w:vAlign w:val="center"/>
          </w:tcPr>
          <w:p w14:paraId="51FDEEB5">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投标报价</w:t>
            </w:r>
          </w:p>
        </w:tc>
        <w:tc>
          <w:tcPr>
            <w:tcW w:w="1835" w:type="pct"/>
            <w:vAlign w:val="center"/>
          </w:tcPr>
          <w:p w14:paraId="564ACA81">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w:t>
            </w:r>
            <w:r>
              <w:rPr>
                <w:rFonts w:hint="eastAsia" w:asciiTheme="minorEastAsia" w:hAnsiTheme="minorEastAsia" w:eastAsiaTheme="minorEastAsia"/>
                <w:color w:val="auto"/>
                <w:sz w:val="24"/>
                <w:highlight w:val="none"/>
              </w:rPr>
              <w:t>招标文件投标人须知正文第</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条要求</w:t>
            </w:r>
          </w:p>
        </w:tc>
        <w:tc>
          <w:tcPr>
            <w:tcW w:w="1472" w:type="pct"/>
            <w:vAlign w:val="center"/>
          </w:tcPr>
          <w:p w14:paraId="78FF8201">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3976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00DB71F0">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5</w:t>
            </w:r>
          </w:p>
        </w:tc>
        <w:tc>
          <w:tcPr>
            <w:tcW w:w="1242" w:type="pct"/>
            <w:vAlign w:val="center"/>
          </w:tcPr>
          <w:p w14:paraId="2A62F3BA">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商务响应情况</w:t>
            </w:r>
          </w:p>
        </w:tc>
        <w:tc>
          <w:tcPr>
            <w:tcW w:w="3430" w:type="dxa"/>
            <w:vAlign w:val="center"/>
          </w:tcPr>
          <w:p w14:paraId="50D05A99">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符合招标文件采购需求中对付款方式、</w:t>
            </w:r>
            <w:r>
              <w:rPr>
                <w:rFonts w:hint="eastAsia" w:asciiTheme="minorEastAsia" w:hAnsiTheme="minorEastAsia" w:eastAsiaTheme="minorEastAsia"/>
                <w:color w:val="auto"/>
                <w:sz w:val="24"/>
                <w:szCs w:val="28"/>
                <w:highlight w:val="none"/>
                <w:lang w:val="en-US" w:eastAsia="zh-CN"/>
              </w:rPr>
              <w:t>服务</w:t>
            </w:r>
            <w:r>
              <w:rPr>
                <w:rFonts w:hint="eastAsia" w:asciiTheme="minorEastAsia" w:hAnsiTheme="minorEastAsia" w:eastAsiaTheme="minorEastAsia"/>
                <w:color w:val="auto"/>
                <w:sz w:val="24"/>
                <w:szCs w:val="28"/>
                <w:highlight w:val="none"/>
              </w:rPr>
              <w:t>地点、</w:t>
            </w:r>
            <w:r>
              <w:rPr>
                <w:rFonts w:hint="eastAsia" w:asciiTheme="minorEastAsia" w:hAnsiTheme="minorEastAsia" w:eastAsiaTheme="minorEastAsia"/>
                <w:color w:val="auto"/>
                <w:sz w:val="24"/>
                <w:szCs w:val="28"/>
                <w:highlight w:val="none"/>
                <w:lang w:val="en-US" w:eastAsia="zh-CN"/>
              </w:rPr>
              <w:t>服务</w:t>
            </w:r>
            <w:r>
              <w:rPr>
                <w:rFonts w:hint="eastAsia" w:asciiTheme="minorEastAsia" w:hAnsiTheme="minorEastAsia" w:eastAsiaTheme="minorEastAsia"/>
                <w:color w:val="auto"/>
                <w:sz w:val="24"/>
                <w:szCs w:val="28"/>
                <w:highlight w:val="none"/>
              </w:rPr>
              <w:t>期限</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472" w:type="pct"/>
            <w:vAlign w:val="center"/>
          </w:tcPr>
          <w:p w14:paraId="6357BD78">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696E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7A12DD74">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6</w:t>
            </w:r>
          </w:p>
        </w:tc>
        <w:tc>
          <w:tcPr>
            <w:tcW w:w="1242" w:type="pct"/>
            <w:vAlign w:val="center"/>
          </w:tcPr>
          <w:p w14:paraId="66652925">
            <w:pPr>
              <w:spacing w:line="360" w:lineRule="auto"/>
              <w:ind w:firstLine="240" w:firstLineChars="100"/>
              <w:outlineLvl w:val="2"/>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lang w:val="en-US" w:eastAsia="zh-CN"/>
              </w:rPr>
              <w:t>技术</w:t>
            </w:r>
            <w:r>
              <w:rPr>
                <w:rFonts w:hint="eastAsia" w:asciiTheme="minorEastAsia" w:hAnsiTheme="minorEastAsia" w:eastAsiaTheme="minorEastAsia"/>
                <w:color w:val="auto"/>
                <w:sz w:val="24"/>
                <w:szCs w:val="28"/>
                <w:highlight w:val="none"/>
              </w:rPr>
              <w:t>响应情况</w:t>
            </w:r>
          </w:p>
        </w:tc>
        <w:tc>
          <w:tcPr>
            <w:tcW w:w="3430" w:type="dxa"/>
            <w:vAlign w:val="center"/>
          </w:tcPr>
          <w:p w14:paraId="102544F4">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符合招标文件采购需求中货物技术参数</w:t>
            </w:r>
            <w:r>
              <w:rPr>
                <w:rFonts w:hint="eastAsia" w:asciiTheme="minorEastAsia" w:hAnsiTheme="minorEastAsia" w:eastAsiaTheme="minorEastAsia"/>
                <w:color w:val="auto"/>
                <w:sz w:val="24"/>
                <w:szCs w:val="28"/>
                <w:highlight w:val="none"/>
                <w:lang w:val="en-US" w:eastAsia="zh-CN"/>
              </w:rPr>
              <w:t>等实质性</w:t>
            </w:r>
            <w:r>
              <w:rPr>
                <w:rFonts w:hint="eastAsia" w:asciiTheme="minorEastAsia" w:hAnsiTheme="minorEastAsia" w:eastAsiaTheme="minorEastAsia"/>
                <w:color w:val="auto"/>
                <w:sz w:val="24"/>
                <w:szCs w:val="28"/>
                <w:highlight w:val="none"/>
              </w:rPr>
              <w:t>要求</w:t>
            </w:r>
          </w:p>
        </w:tc>
        <w:tc>
          <w:tcPr>
            <w:tcW w:w="1472" w:type="pct"/>
            <w:vAlign w:val="center"/>
          </w:tcPr>
          <w:p w14:paraId="5E07602E">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详见第六章投标文件格式</w:t>
            </w:r>
            <w:r>
              <w:rPr>
                <w:rFonts w:hint="eastAsia" w:asciiTheme="minorEastAsia" w:hAnsiTheme="minorEastAsia" w:eastAsiaTheme="minorEastAsia"/>
                <w:color w:val="auto"/>
                <w:sz w:val="24"/>
                <w:highlight w:val="none"/>
                <w:lang w:eastAsia="zh-CN"/>
              </w:rPr>
              <w:t>。</w:t>
            </w:r>
          </w:p>
        </w:tc>
      </w:tr>
      <w:tr w14:paraId="15A5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14:paraId="595E1251">
            <w:pPr>
              <w:adjustRightInd w:val="0"/>
              <w:snapToGrid w:val="0"/>
              <w:spacing w:line="360" w:lineRule="auto"/>
              <w:ind w:right="-10"/>
              <w:jc w:val="center"/>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lang w:val="en-US" w:eastAsia="zh-CN"/>
              </w:rPr>
              <w:t>7</w:t>
            </w:r>
          </w:p>
        </w:tc>
        <w:tc>
          <w:tcPr>
            <w:tcW w:w="1242" w:type="pct"/>
            <w:vAlign w:val="center"/>
          </w:tcPr>
          <w:p w14:paraId="05CB9708">
            <w:pPr>
              <w:spacing w:after="50" w:line="360" w:lineRule="auto"/>
              <w:ind w:right="-1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其他要求</w:t>
            </w:r>
          </w:p>
        </w:tc>
        <w:tc>
          <w:tcPr>
            <w:tcW w:w="3430" w:type="dxa"/>
            <w:vAlign w:val="center"/>
          </w:tcPr>
          <w:p w14:paraId="26BCFB2B">
            <w:pPr>
              <w:spacing w:after="50" w:line="360" w:lineRule="auto"/>
              <w:ind w:right="-10" w:rightChars="0"/>
              <w:jc w:val="center"/>
              <w:rPr>
                <w:rFonts w:asciiTheme="minorEastAsia" w:hAnsiTheme="minorEastAsia" w:eastAsiaTheme="minorEastAsia"/>
                <w:color w:val="auto"/>
                <w:sz w:val="24"/>
                <w:szCs w:val="28"/>
                <w:highlight w:val="none"/>
              </w:rPr>
            </w:pPr>
            <w:r>
              <w:rPr>
                <w:rFonts w:hint="eastAsia" w:asciiTheme="minorEastAsia" w:hAnsiTheme="minorEastAsia" w:eastAsiaTheme="minorEastAsia"/>
                <w:color w:val="auto"/>
                <w:sz w:val="24"/>
                <w:szCs w:val="28"/>
                <w:highlight w:val="none"/>
              </w:rPr>
              <w:t>符合法律、行政法规规定的其他条件或招标文件列明的其他</w:t>
            </w:r>
            <w:r>
              <w:rPr>
                <w:rFonts w:hint="eastAsia" w:asciiTheme="minorEastAsia" w:hAnsiTheme="minorEastAsia" w:eastAsiaTheme="minorEastAsia"/>
                <w:color w:val="auto"/>
                <w:sz w:val="24"/>
                <w:szCs w:val="28"/>
                <w:highlight w:val="none"/>
                <w:lang w:val="en-US" w:eastAsia="zh-CN"/>
              </w:rPr>
              <w:t>实质性</w:t>
            </w:r>
            <w:r>
              <w:rPr>
                <w:rFonts w:hint="eastAsia" w:asciiTheme="minorEastAsia" w:hAnsiTheme="minorEastAsia" w:eastAsiaTheme="minorEastAsia"/>
                <w:color w:val="auto"/>
                <w:sz w:val="24"/>
                <w:szCs w:val="28"/>
                <w:highlight w:val="none"/>
              </w:rPr>
              <w:t>要求</w:t>
            </w:r>
          </w:p>
        </w:tc>
        <w:tc>
          <w:tcPr>
            <w:tcW w:w="1472" w:type="pct"/>
            <w:vAlign w:val="center"/>
          </w:tcPr>
          <w:p w14:paraId="0C11AC9E">
            <w:pPr>
              <w:adjustRightInd w:val="0"/>
              <w:snapToGrid w:val="0"/>
              <w:spacing w:line="360" w:lineRule="auto"/>
              <w:ind w:right="-10"/>
              <w:jc w:val="center"/>
              <w:rPr>
                <w:rFonts w:asciiTheme="minorEastAsia" w:hAnsiTheme="minorEastAsia" w:eastAsiaTheme="minorEastAsia"/>
                <w:color w:val="auto"/>
                <w:sz w:val="24"/>
                <w:highlight w:val="none"/>
              </w:rPr>
            </w:pPr>
          </w:p>
        </w:tc>
      </w:tr>
    </w:tbl>
    <w:p w14:paraId="0051F44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符合性审查指标通过标准：</w:t>
      </w:r>
      <w:r>
        <w:rPr>
          <w:rFonts w:hint="eastAsia" w:asciiTheme="minorEastAsia" w:hAnsiTheme="minorEastAsia" w:eastAsiaTheme="minorEastAsia"/>
          <w:color w:val="auto"/>
          <w:sz w:val="24"/>
          <w:highlight w:val="none"/>
        </w:rPr>
        <w:t>投标人必须通过符合性审查表中的全部评审指标。</w:t>
      </w:r>
    </w:p>
    <w:p w14:paraId="6312E16C">
      <w:pPr>
        <w:spacing w:line="360" w:lineRule="auto"/>
        <w:ind w:firstLine="435"/>
        <w:outlineLvl w:val="2"/>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2.3</w:t>
      </w:r>
      <w:r>
        <w:rPr>
          <w:rFonts w:hint="eastAsia" w:asciiTheme="minorEastAsia" w:hAnsiTheme="minorEastAsia" w:eastAsiaTheme="minorEastAsia"/>
          <w:color w:val="auto"/>
          <w:sz w:val="24"/>
          <w:highlight w:val="none"/>
        </w:rPr>
        <w:t>异常低价</w:t>
      </w:r>
      <w:r>
        <w:rPr>
          <w:rFonts w:hint="eastAsia" w:asciiTheme="minorEastAsia" w:hAnsiTheme="minorEastAsia" w:eastAsiaTheme="minorEastAsia"/>
          <w:color w:val="auto"/>
          <w:sz w:val="24"/>
          <w:highlight w:val="none"/>
          <w:lang w:val="en-US" w:eastAsia="zh-CN"/>
        </w:rPr>
        <w:t>投标</w:t>
      </w:r>
      <w:r>
        <w:rPr>
          <w:rFonts w:hint="eastAsia" w:asciiTheme="minorEastAsia" w:hAnsiTheme="minorEastAsia" w:eastAsiaTheme="minorEastAsia"/>
          <w:color w:val="auto"/>
          <w:sz w:val="24"/>
          <w:highlight w:val="none"/>
        </w:rPr>
        <w:t>审查</w:t>
      </w:r>
    </w:p>
    <w:tbl>
      <w:tblPr>
        <w:tblStyle w:val="24"/>
        <w:tblW w:w="52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0"/>
        <w:gridCol w:w="4438"/>
        <w:gridCol w:w="2260"/>
      </w:tblGrid>
      <w:tr w14:paraId="1807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8954" w:type="dxa"/>
            <w:gridSpan w:val="4"/>
            <w:tcBorders>
              <w:bottom w:val="single" w:color="auto" w:sz="4" w:space="0"/>
            </w:tcBorders>
            <w:vAlign w:val="center"/>
          </w:tcPr>
          <w:p w14:paraId="6C26CE6E">
            <w:pPr>
              <w:adjustRightInd w:val="0"/>
              <w:snapToGrid w:val="0"/>
              <w:spacing w:line="360" w:lineRule="auto"/>
              <w:ind w:right="-10" w:rightChars="0"/>
              <w:jc w:val="center"/>
              <w:rPr>
                <w:rFonts w:ascii="宋体" w:hAnsi="宋体" w:eastAsia="宋体"/>
                <w:color w:val="auto"/>
                <w:sz w:val="24"/>
                <w:highlight w:val="none"/>
              </w:rPr>
            </w:pPr>
            <w:r>
              <w:rPr>
                <w:rFonts w:hint="eastAsia" w:ascii="宋体" w:hAnsi="宋体" w:eastAsia="宋体" w:cs="Times New Roman"/>
                <w:b/>
                <w:bCs/>
                <w:color w:val="auto"/>
                <w:sz w:val="24"/>
                <w:highlight w:val="none"/>
                <w:lang w:val="en-US" w:eastAsia="zh-CN"/>
              </w:rPr>
              <w:t>异常低价投标审查表</w:t>
            </w:r>
          </w:p>
        </w:tc>
      </w:tr>
      <w:tr w14:paraId="2C8A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bottom w:val="single" w:color="auto" w:sz="4" w:space="0"/>
            </w:tcBorders>
            <w:vAlign w:val="center"/>
          </w:tcPr>
          <w:p w14:paraId="7DD1D4F7">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lang w:val="en-US" w:eastAsia="zh-CN"/>
              </w:rPr>
              <w:t>序号</w:t>
            </w:r>
          </w:p>
        </w:tc>
        <w:tc>
          <w:tcPr>
            <w:tcW w:w="1450" w:type="dxa"/>
            <w:tcBorders>
              <w:bottom w:val="single" w:color="auto" w:sz="4" w:space="0"/>
            </w:tcBorders>
            <w:vAlign w:val="center"/>
          </w:tcPr>
          <w:p w14:paraId="1D98DCD4">
            <w:pPr>
              <w:spacing w:line="360" w:lineRule="auto"/>
              <w:ind w:firstLine="240" w:firstLineChars="100"/>
              <w:jc w:val="center"/>
              <w:rPr>
                <w:rFonts w:ascii="宋体" w:hAnsi="宋体" w:eastAsia="宋体"/>
                <w:color w:val="auto"/>
                <w:kern w:val="2"/>
                <w:szCs w:val="24"/>
                <w:highlight w:val="none"/>
              </w:rPr>
            </w:pPr>
            <w:r>
              <w:rPr>
                <w:rFonts w:hint="eastAsia" w:ascii="宋体" w:hAnsi="宋体" w:eastAsia="宋体" w:cs="Times New Roman"/>
                <w:color w:val="auto"/>
                <w:sz w:val="24"/>
                <w:highlight w:val="none"/>
                <w:lang w:val="en-US" w:eastAsia="zh-CN"/>
              </w:rPr>
              <w:t>评审指标</w:t>
            </w:r>
          </w:p>
        </w:tc>
        <w:tc>
          <w:tcPr>
            <w:tcW w:w="4439" w:type="dxa"/>
            <w:tcBorders>
              <w:bottom w:val="single" w:color="auto" w:sz="4" w:space="0"/>
            </w:tcBorders>
            <w:vAlign w:val="center"/>
          </w:tcPr>
          <w:p w14:paraId="5805031B">
            <w:pPr>
              <w:spacing w:line="360" w:lineRule="auto"/>
              <w:ind w:firstLine="240" w:firstLineChars="100"/>
              <w:jc w:val="center"/>
              <w:rPr>
                <w:rFonts w:ascii="宋体" w:hAnsi="宋体" w:eastAsia="宋体"/>
                <w:color w:val="auto"/>
                <w:sz w:val="24"/>
                <w:highlight w:val="none"/>
              </w:rPr>
            </w:pPr>
            <w:r>
              <w:rPr>
                <w:rFonts w:hint="eastAsia" w:ascii="宋体" w:hAnsi="宋体" w:eastAsia="宋体" w:cs="Times New Roman"/>
                <w:color w:val="auto"/>
                <w:sz w:val="24"/>
                <w:highlight w:val="none"/>
                <w:lang w:val="en-US" w:eastAsia="zh-CN"/>
              </w:rPr>
              <w:t>评审标准</w:t>
            </w:r>
          </w:p>
        </w:tc>
        <w:tc>
          <w:tcPr>
            <w:tcW w:w="2260" w:type="dxa"/>
            <w:tcBorders>
              <w:bottom w:val="single" w:color="auto" w:sz="4" w:space="0"/>
            </w:tcBorders>
            <w:vAlign w:val="center"/>
          </w:tcPr>
          <w:p w14:paraId="4904B639">
            <w:pPr>
              <w:spacing w:line="360" w:lineRule="auto"/>
              <w:jc w:val="center"/>
              <w:rPr>
                <w:rFonts w:ascii="宋体" w:hAnsi="宋体" w:eastAsia="宋体"/>
                <w:color w:val="auto"/>
                <w:sz w:val="24"/>
                <w:highlight w:val="none"/>
              </w:rPr>
            </w:pPr>
            <w:r>
              <w:rPr>
                <w:rFonts w:hint="eastAsia" w:ascii="宋体" w:hAnsi="宋体" w:eastAsia="宋体" w:cs="Times New Roman"/>
                <w:color w:val="auto"/>
                <w:sz w:val="24"/>
                <w:highlight w:val="none"/>
                <w:lang w:val="en-US" w:eastAsia="zh-CN"/>
              </w:rPr>
              <w:t>格式及材料要求</w:t>
            </w:r>
          </w:p>
        </w:tc>
      </w:tr>
      <w:tr w14:paraId="7D1A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805" w:type="dxa"/>
            <w:tcBorders>
              <w:bottom w:val="single" w:color="auto" w:sz="4" w:space="0"/>
            </w:tcBorders>
            <w:vAlign w:val="center"/>
          </w:tcPr>
          <w:p w14:paraId="1888CC3C">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450" w:type="dxa"/>
            <w:tcBorders>
              <w:bottom w:val="single" w:color="auto" w:sz="4" w:space="0"/>
            </w:tcBorders>
            <w:vAlign w:val="center"/>
          </w:tcPr>
          <w:p w14:paraId="5A551FEC">
            <w:pPr>
              <w:spacing w:line="360" w:lineRule="auto"/>
              <w:rPr>
                <w:rFonts w:hint="eastAsia" w:ascii="宋体" w:hAnsi="宋体" w:eastAsia="宋体" w:cs="宋体"/>
                <w:color w:val="auto"/>
                <w:sz w:val="24"/>
                <w:szCs w:val="28"/>
                <w:highlight w:val="none"/>
              </w:rPr>
            </w:pPr>
            <w:r>
              <w:rPr>
                <w:rFonts w:hint="eastAsia" w:ascii="宋体" w:hAnsi="宋体" w:eastAsia="宋体" w:cs="宋体"/>
                <w:color w:val="auto"/>
                <w:sz w:val="24"/>
                <w:highlight w:val="none"/>
                <w:lang w:val="en-US" w:eastAsia="zh-CN"/>
              </w:rPr>
              <w:t>异常低价投标审查</w:t>
            </w:r>
          </w:p>
        </w:tc>
        <w:tc>
          <w:tcPr>
            <w:tcW w:w="4439" w:type="dxa"/>
            <w:tcBorders>
              <w:bottom w:val="single" w:color="auto" w:sz="4" w:space="0"/>
            </w:tcBorders>
            <w:vAlign w:val="center"/>
          </w:tcPr>
          <w:p w14:paraId="252C5F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（1）投标报价＜全部通过符合性审查投标人投标报价平均值×</w:t>
            </w:r>
            <w:r>
              <w:rPr>
                <w:rFonts w:hint="eastAsia" w:ascii="宋体" w:hAnsi="宋体" w:eastAsia="宋体" w:cs="宋体"/>
                <w:b w:val="0"/>
                <w:bCs w:val="0"/>
                <w:i w:val="0"/>
                <w:iCs w:val="0"/>
                <w:color w:val="auto"/>
                <w:sz w:val="24"/>
                <w:szCs w:val="24"/>
                <w:highlight w:val="none"/>
                <w:u w:val="single"/>
                <w:lang w:val="en-US" w:eastAsia="zh-CN"/>
              </w:rPr>
              <w:t>45%</w:t>
            </w:r>
            <w:r>
              <w:rPr>
                <w:rFonts w:hint="eastAsia" w:ascii="宋体" w:hAnsi="宋体" w:eastAsia="宋体" w:cs="宋体"/>
                <w:b w:val="0"/>
                <w:bCs w:val="0"/>
                <w:i w:val="0"/>
                <w:iCs w:val="0"/>
                <w:color w:val="auto"/>
                <w:sz w:val="24"/>
                <w:szCs w:val="24"/>
                <w:highlight w:val="none"/>
                <w:u w:val="none"/>
                <w:lang w:val="en-US" w:eastAsia="zh-CN"/>
              </w:rPr>
              <w:t>；</w:t>
            </w:r>
          </w:p>
          <w:p w14:paraId="0DC8D4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（2）投标报价＜通过符合性审查的次低报价投标人投标报价×</w:t>
            </w:r>
            <w:r>
              <w:rPr>
                <w:rFonts w:hint="eastAsia" w:ascii="宋体" w:hAnsi="宋体" w:eastAsia="宋体" w:cs="宋体"/>
                <w:b w:val="0"/>
                <w:bCs w:val="0"/>
                <w:i w:val="0"/>
                <w:iCs w:val="0"/>
                <w:color w:val="auto"/>
                <w:sz w:val="24"/>
                <w:szCs w:val="24"/>
                <w:highlight w:val="none"/>
                <w:u w:val="single"/>
                <w:lang w:val="en-US" w:eastAsia="zh-CN"/>
              </w:rPr>
              <w:t>45%</w:t>
            </w:r>
            <w:r>
              <w:rPr>
                <w:rFonts w:hint="eastAsia" w:ascii="宋体" w:hAnsi="宋体" w:eastAsia="宋体" w:cs="宋体"/>
                <w:b w:val="0"/>
                <w:bCs w:val="0"/>
                <w:i w:val="0"/>
                <w:iCs w:val="0"/>
                <w:color w:val="auto"/>
                <w:sz w:val="24"/>
                <w:szCs w:val="24"/>
                <w:highlight w:val="none"/>
                <w:u w:val="none"/>
                <w:lang w:val="en-US" w:eastAsia="zh-CN"/>
              </w:rPr>
              <w:t>；</w:t>
            </w:r>
          </w:p>
          <w:p w14:paraId="1497B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（3）投标报价＜采购项目最高限价（</w:t>
            </w:r>
            <w:r>
              <w:rPr>
                <w:rFonts w:hint="eastAsia" w:ascii="宋体" w:hAnsi="宋体" w:eastAsia="宋体" w:cs="宋体"/>
                <w:b w:val="0"/>
                <w:bCs w:val="0"/>
                <w:color w:val="auto"/>
                <w:sz w:val="24"/>
                <w:highlight w:val="none"/>
                <w:lang w:val="en-US" w:eastAsia="zh-CN"/>
              </w:rPr>
              <w:t>如采购项目未设定最高限价的，以采购项目预算金额作为最高限价</w:t>
            </w:r>
            <w:r>
              <w:rPr>
                <w:rFonts w:hint="eastAsia" w:ascii="宋体" w:hAnsi="宋体" w:eastAsia="宋体" w:cs="宋体"/>
                <w:b w:val="0"/>
                <w:bCs w:val="0"/>
                <w:i w:val="0"/>
                <w:iCs w:val="0"/>
                <w:color w:val="auto"/>
                <w:sz w:val="24"/>
                <w:szCs w:val="24"/>
                <w:highlight w:val="none"/>
                <w:u w:val="none"/>
                <w:lang w:val="en-US" w:eastAsia="zh-CN"/>
              </w:rPr>
              <w:t>）×</w:t>
            </w:r>
            <w:r>
              <w:rPr>
                <w:rFonts w:hint="eastAsia" w:ascii="宋体" w:hAnsi="宋体" w:eastAsia="宋体" w:cs="宋体"/>
                <w:b w:val="0"/>
                <w:bCs w:val="0"/>
                <w:i w:val="0"/>
                <w:iCs w:val="0"/>
                <w:color w:val="auto"/>
                <w:sz w:val="24"/>
                <w:szCs w:val="24"/>
                <w:highlight w:val="none"/>
                <w:u w:val="single"/>
                <w:lang w:val="en-US" w:eastAsia="zh-CN"/>
              </w:rPr>
              <w:t>50%</w:t>
            </w:r>
            <w:r>
              <w:rPr>
                <w:rFonts w:hint="eastAsia" w:ascii="宋体" w:hAnsi="宋体" w:eastAsia="宋体" w:cs="宋体"/>
                <w:b w:val="0"/>
                <w:bCs w:val="0"/>
                <w:i w:val="0"/>
                <w:iCs w:val="0"/>
                <w:color w:val="auto"/>
                <w:sz w:val="24"/>
                <w:szCs w:val="24"/>
                <w:highlight w:val="none"/>
                <w:u w:val="none"/>
                <w:lang w:val="en-US" w:eastAsia="zh-CN"/>
              </w:rPr>
              <w:t>；</w:t>
            </w:r>
          </w:p>
          <w:p w14:paraId="4BDBCBCD">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（4）评标委员会基于专业判断，认为投标人报价过低，有可能影响产品质量或者不能诚信履约的其他情形。</w:t>
            </w:r>
          </w:p>
          <w:p w14:paraId="119D4227">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提醒：</w:t>
            </w:r>
          </w:p>
          <w:p w14:paraId="61978507">
            <w:pPr>
              <w:spacing w:line="360" w:lineRule="auto"/>
              <w:ind w:firstLine="240" w:firstLineChars="1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上述</w:t>
            </w:r>
            <w:r>
              <w:rPr>
                <w:rFonts w:hint="eastAsia" w:ascii="宋体" w:hAnsi="宋体" w:eastAsia="宋体" w:cs="Arial"/>
                <w:color w:val="auto"/>
                <w:sz w:val="24"/>
                <w:highlight w:val="none"/>
                <w:lang w:val="en-US" w:eastAsia="zh-CN"/>
              </w:rPr>
              <w:t>第（1）项数值计算：涉及总价、单价的</w:t>
            </w:r>
            <w:r>
              <w:rPr>
                <w:rFonts w:hint="eastAsia" w:ascii="宋体" w:hAnsi="宋体" w:eastAsia="宋体"/>
                <w:color w:val="auto"/>
                <w:sz w:val="24"/>
                <w:highlight w:val="none"/>
                <w:lang w:val="en-US" w:eastAsia="zh-CN"/>
              </w:rPr>
              <w:t>精确到“分”并四舍五入，涉及费率的精确到小数点后两位，第三位四舍五入（例：如平均值为123.456元，即为123.46元；如平均值为80.126%，即为80.13%）。</w:t>
            </w:r>
          </w:p>
        </w:tc>
        <w:tc>
          <w:tcPr>
            <w:tcW w:w="2260" w:type="dxa"/>
            <w:vAlign w:val="center"/>
          </w:tcPr>
          <w:p w14:paraId="31E0CE9D">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投标人在评审现场合理的时间内对投标价格作出解释，提供项目具体成本测算等与报价合理性相关的书面说明及必要的证明材料，包括但不限于原材料成本、人工成本、制造费用等。</w:t>
            </w:r>
          </w:p>
        </w:tc>
      </w:tr>
    </w:tbl>
    <w:p w14:paraId="611CA94C">
      <w:pPr>
        <w:spacing w:line="360" w:lineRule="auto"/>
        <w:rPr>
          <w:rFonts w:hint="eastAsia" w:ascii="宋体" w:hAnsi="宋体" w:eastAsia="宋体" w:cs="Arial"/>
          <w:color w:val="auto"/>
          <w:sz w:val="24"/>
          <w:highlight w:val="none"/>
          <w:lang w:val="en-US" w:eastAsia="zh-CN"/>
        </w:rPr>
      </w:pPr>
      <w:r>
        <w:rPr>
          <w:rFonts w:hint="eastAsia" w:ascii="宋体" w:hAnsi="宋体" w:eastAsia="宋体" w:cs="Times New Roman"/>
          <w:color w:val="auto"/>
          <w:sz w:val="24"/>
          <w:highlight w:val="none"/>
          <w:lang w:val="en-US" w:eastAsia="zh-CN"/>
        </w:rPr>
        <w:t>注：</w:t>
      </w:r>
    </w:p>
    <w:p w14:paraId="6767E3B1">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根据《</w:t>
      </w:r>
      <w:r>
        <w:rPr>
          <w:rFonts w:hint="eastAsia" w:ascii="宋体" w:hAnsi="宋体" w:eastAsia="宋体"/>
          <w:color w:val="auto"/>
          <w:sz w:val="24"/>
          <w:highlight w:val="none"/>
          <w:lang w:val="en-US" w:eastAsia="zh-CN"/>
        </w:rPr>
        <w:t>关于推动解决政府采购异常低价问题的通知</w:t>
      </w:r>
      <w:r>
        <w:rPr>
          <w:rFonts w:hint="eastAsia" w:ascii="宋体" w:hAnsi="宋体" w:eastAsia="宋体"/>
          <w:color w:val="auto"/>
          <w:sz w:val="24"/>
          <w:highlight w:val="none"/>
        </w:rPr>
        <w:t>》（财库〔</w:t>
      </w:r>
      <w:r>
        <w:rPr>
          <w:rFonts w:ascii="宋体" w:hAnsi="宋体" w:eastAsia="宋体"/>
          <w:color w:val="auto"/>
          <w:sz w:val="24"/>
          <w:highlight w:val="none"/>
        </w:rPr>
        <w:t>202</w:t>
      </w:r>
      <w:r>
        <w:rPr>
          <w:rFonts w:hint="eastAsia" w:ascii="宋体" w:hAnsi="宋体" w:eastAsia="宋体"/>
          <w:color w:val="auto"/>
          <w:sz w:val="24"/>
          <w:highlight w:val="none"/>
          <w:lang w:val="en-US" w:eastAsia="zh-CN"/>
        </w:rPr>
        <w:t>6</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号</w:t>
      </w:r>
      <w:r>
        <w:rPr>
          <w:rFonts w:hint="eastAsia" w:ascii="宋体" w:hAnsi="宋体" w:eastAsia="宋体"/>
          <w:color w:val="auto"/>
          <w:sz w:val="24"/>
          <w:highlight w:val="none"/>
        </w:rPr>
        <w:t>）</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采购人可以结合具体项目实际情况，提高上述</w:t>
      </w:r>
      <w:r>
        <w:rPr>
          <w:rFonts w:hint="eastAsia" w:ascii="宋体" w:hAnsi="宋体" w:eastAsia="宋体" w:cs="Times New Roman"/>
          <w:color w:val="auto"/>
          <w:sz w:val="24"/>
          <w:highlight w:val="none"/>
          <w:lang w:val="en-US" w:eastAsia="zh-CN"/>
        </w:rPr>
        <w:t>评审标准</w:t>
      </w:r>
      <w:r>
        <w:rPr>
          <w:rFonts w:hint="eastAsia" w:ascii="宋体" w:hAnsi="宋体" w:eastAsia="宋体"/>
          <w:color w:val="auto"/>
          <w:sz w:val="24"/>
          <w:highlight w:val="none"/>
          <w:lang w:val="en-US" w:eastAsia="zh-CN"/>
        </w:rPr>
        <w:t>第（1）项至第（3）项中的数值标准，但是最高不得超过65%。</w:t>
      </w:r>
    </w:p>
    <w:p w14:paraId="5862A9E9">
      <w:pPr>
        <w:spacing w:line="360" w:lineRule="auto"/>
        <w:ind w:firstLine="480" w:firstLineChars="200"/>
        <w:rPr>
          <w:rFonts w:hint="eastAsia" w:ascii="宋体" w:hAnsi="宋体" w:eastAsia="宋体" w:cs="Arial"/>
          <w:color w:val="auto"/>
          <w:sz w:val="24"/>
          <w:highlight w:val="none"/>
          <w:lang w:val="en-US" w:eastAsia="zh-CN"/>
        </w:rPr>
      </w:pPr>
      <w:r>
        <w:rPr>
          <w:rFonts w:hint="eastAsia" w:ascii="宋体" w:hAnsi="宋体" w:eastAsia="宋体" w:cs="Arial"/>
          <w:color w:val="auto"/>
          <w:sz w:val="24"/>
          <w:highlight w:val="none"/>
          <w:lang w:val="en-US" w:eastAsia="zh-CN"/>
        </w:rPr>
        <w:t>评标委员会启动异常低价投标审查后，属于评审标准中第（1）项至第（4）项情形的，应当要求相关投标人在评审现场合理的时间内（不少于30分钟）对投标价格作出解释，提供项目具体成本测算等与报价合理性相关的书面说明及必要的证明材料，包括但不限于原材料成本、人工成本、制造费用等。其中，属于第</w:t>
      </w:r>
      <w:r>
        <w:rPr>
          <w:rFonts w:hint="eastAsia" w:ascii="宋体" w:hAnsi="宋体" w:cs="Arial"/>
          <w:color w:val="auto"/>
          <w:sz w:val="24"/>
          <w:highlight w:val="none"/>
          <w:lang w:val="en-US" w:eastAsia="zh-CN"/>
        </w:rPr>
        <w:t>（3）</w:t>
      </w:r>
      <w:r>
        <w:rPr>
          <w:rFonts w:hint="eastAsia" w:ascii="宋体" w:hAnsi="宋体" w:eastAsia="宋体" w:cs="Arial"/>
          <w:color w:val="auto"/>
          <w:sz w:val="24"/>
          <w:highlight w:val="none"/>
          <w:lang w:val="en-US" w:eastAsia="zh-CN"/>
        </w:rPr>
        <w:t>项情形，投标人已随投标文件一并提交相关书面说明及必要的证明材料的，在评审现场可不再重复提交。</w:t>
      </w:r>
    </w:p>
    <w:p w14:paraId="2A9D02EB">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color w:val="auto"/>
          <w:sz w:val="24"/>
          <w:highlight w:val="none"/>
          <w:lang w:val="en-US" w:eastAsia="zh-CN"/>
        </w:rPr>
      </w:pPr>
      <w:r>
        <w:rPr>
          <w:rFonts w:hint="eastAsia" w:ascii="宋体" w:hAnsi="宋体" w:eastAsia="宋体" w:cs="Arial"/>
          <w:color w:val="auto"/>
          <w:sz w:val="24"/>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w:t>
      </w:r>
      <w:r>
        <w:rPr>
          <w:rFonts w:hint="eastAsia" w:ascii="宋体" w:hAnsi="宋体" w:eastAsia="宋体" w:cs="Arial"/>
          <w:b/>
          <w:bCs/>
          <w:color w:val="auto"/>
          <w:sz w:val="24"/>
          <w:highlight w:val="none"/>
          <w:lang w:val="en-US" w:eastAsia="zh-CN"/>
        </w:rPr>
        <w:t>无效投标</w:t>
      </w:r>
      <w:r>
        <w:rPr>
          <w:rFonts w:hint="eastAsia" w:ascii="宋体" w:hAnsi="宋体" w:eastAsia="宋体" w:cs="Arial"/>
          <w:color w:val="auto"/>
          <w:sz w:val="24"/>
          <w:highlight w:val="none"/>
          <w:lang w:val="en-US" w:eastAsia="zh-CN"/>
        </w:rPr>
        <w:t>处理。</w:t>
      </w:r>
    </w:p>
    <w:p w14:paraId="10486E93">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olor w:val="auto"/>
          <w:sz w:val="24"/>
          <w:highlight w:val="none"/>
          <w:lang w:val="en-US" w:eastAsia="zh-CN"/>
        </w:rPr>
      </w:pPr>
      <w:r>
        <w:rPr>
          <w:rFonts w:hint="eastAsia" w:ascii="宋体" w:hAnsi="宋体" w:eastAsia="宋体" w:cs="Arial"/>
          <w:color w:val="auto"/>
          <w:sz w:val="24"/>
          <w:highlight w:val="none"/>
          <w:lang w:val="en-US" w:eastAsia="zh-CN"/>
        </w:rPr>
        <w:t>评标委员会</w:t>
      </w:r>
      <w:r>
        <w:rPr>
          <w:rFonts w:hint="eastAsia" w:ascii="宋体" w:hAnsi="宋体" w:eastAsia="宋体"/>
          <w:color w:val="auto"/>
          <w:sz w:val="24"/>
          <w:highlight w:val="none"/>
        </w:rPr>
        <w:t>借助互联网等渠道查询相关信息的，应当严格遵守评审工作纪律，不得实施影响评审公正的行为</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异常低价响应审查的启动原因、审查意见和审查结果应当在评审报告中记录，并随</w:t>
      </w:r>
      <w:r>
        <w:rPr>
          <w:rFonts w:hint="eastAsia" w:ascii="宋体" w:hAnsi="宋体" w:eastAsia="宋体"/>
          <w:color w:val="auto"/>
          <w:sz w:val="24"/>
          <w:highlight w:val="none"/>
          <w:lang w:val="en-US" w:eastAsia="zh-CN"/>
        </w:rPr>
        <w:t>投标人</w:t>
      </w:r>
      <w:r>
        <w:rPr>
          <w:rFonts w:hint="eastAsia" w:ascii="宋体" w:hAnsi="宋体" w:eastAsia="宋体"/>
          <w:color w:val="auto"/>
          <w:sz w:val="24"/>
          <w:highlight w:val="none"/>
        </w:rPr>
        <w:t>提供的相关书面说明及证明材料，以及</w:t>
      </w:r>
      <w:r>
        <w:rPr>
          <w:rFonts w:hint="eastAsia" w:ascii="宋体" w:hAnsi="宋体" w:eastAsia="宋体" w:cs="Arial"/>
          <w:color w:val="auto"/>
          <w:sz w:val="24"/>
          <w:highlight w:val="none"/>
          <w:lang w:val="en-US" w:eastAsia="zh-CN"/>
        </w:rPr>
        <w:t>评标委员会</w:t>
      </w:r>
      <w:r>
        <w:rPr>
          <w:rFonts w:hint="eastAsia" w:ascii="宋体" w:hAnsi="宋体" w:eastAsia="宋体"/>
          <w:color w:val="auto"/>
          <w:sz w:val="24"/>
          <w:highlight w:val="none"/>
        </w:rPr>
        <w:t>有关互联网浏览、查询历史一并归档。</w:t>
      </w:r>
    </w:p>
    <w:p w14:paraId="7293DEB0">
      <w:pPr>
        <w:spacing w:line="360" w:lineRule="auto"/>
        <w:ind w:firstLine="437"/>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详细审查</w:t>
      </w:r>
    </w:p>
    <w:p w14:paraId="2EBB405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评标委员会按照下表对投标文件进行详细审查和评分。</w:t>
      </w:r>
    </w:p>
    <w:p w14:paraId="3AD5BC60">
      <w:pPr>
        <w:spacing w:line="440" w:lineRule="exact"/>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本项目综合评分满分为100分，其中：</w:t>
      </w:r>
      <w:r>
        <w:rPr>
          <w:rFonts w:hint="eastAsia" w:asciiTheme="minorEastAsia" w:hAnsiTheme="minorEastAsia" w:eastAsiaTheme="minorEastAsia"/>
          <w:color w:val="auto"/>
          <w:sz w:val="24"/>
          <w:highlight w:val="none"/>
          <w:lang w:val="en-US" w:eastAsia="zh-CN"/>
        </w:rPr>
        <w:t>资信分值占总分值的权重为10%，技术分值占总分值的权重为70%，价格分值占总分值的权重为20%。具体评分细则如下：</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105"/>
        <w:gridCol w:w="4129"/>
        <w:gridCol w:w="1202"/>
      </w:tblGrid>
      <w:tr w14:paraId="6E13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14:paraId="18CCBF17">
            <w:pPr>
              <w:spacing w:line="360" w:lineRule="auto"/>
              <w:jc w:val="cente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类别</w:t>
            </w:r>
          </w:p>
        </w:tc>
        <w:tc>
          <w:tcPr>
            <w:tcW w:w="2105" w:type="dxa"/>
            <w:tcBorders>
              <w:top w:val="single" w:color="auto" w:sz="4" w:space="0"/>
              <w:left w:val="single" w:color="auto" w:sz="4" w:space="0"/>
              <w:bottom w:val="single" w:color="auto" w:sz="4" w:space="0"/>
              <w:right w:val="single" w:color="auto" w:sz="4" w:space="0"/>
            </w:tcBorders>
            <w:vAlign w:val="center"/>
          </w:tcPr>
          <w:p w14:paraId="2A6A9FB7">
            <w:pPr>
              <w:spacing w:line="360" w:lineRule="auto"/>
              <w:jc w:val="cente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评分内容</w:t>
            </w:r>
          </w:p>
        </w:tc>
        <w:tc>
          <w:tcPr>
            <w:tcW w:w="4129" w:type="dxa"/>
            <w:tcBorders>
              <w:top w:val="single" w:color="auto" w:sz="4" w:space="0"/>
              <w:left w:val="single" w:color="auto" w:sz="4" w:space="0"/>
              <w:bottom w:val="single" w:color="auto" w:sz="4" w:space="0"/>
              <w:right w:val="single" w:color="auto" w:sz="4" w:space="0"/>
            </w:tcBorders>
            <w:vAlign w:val="center"/>
          </w:tcPr>
          <w:p w14:paraId="62C64CFC">
            <w:pPr>
              <w:spacing w:line="360" w:lineRule="auto"/>
              <w:jc w:val="cente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评分标准</w:t>
            </w:r>
          </w:p>
        </w:tc>
        <w:tc>
          <w:tcPr>
            <w:tcW w:w="1202" w:type="dxa"/>
            <w:tcBorders>
              <w:top w:val="single" w:color="auto" w:sz="4" w:space="0"/>
              <w:left w:val="single" w:color="auto" w:sz="4" w:space="0"/>
              <w:bottom w:val="single" w:color="auto" w:sz="4" w:space="0"/>
              <w:right w:val="single" w:color="auto" w:sz="4" w:space="0"/>
            </w:tcBorders>
            <w:vAlign w:val="center"/>
          </w:tcPr>
          <w:p w14:paraId="3F0331A6">
            <w:pPr>
              <w:spacing w:line="360" w:lineRule="auto"/>
              <w:jc w:val="cente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分值范围</w:t>
            </w:r>
          </w:p>
        </w:tc>
      </w:tr>
      <w:tr w14:paraId="17B3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tcBorders>
              <w:left w:val="single" w:color="auto" w:sz="4" w:space="0"/>
              <w:right w:val="single" w:color="auto" w:sz="4" w:space="0"/>
            </w:tcBorders>
            <w:vAlign w:val="center"/>
          </w:tcPr>
          <w:p w14:paraId="0302B89B">
            <w:pPr>
              <w:spacing w:line="360" w:lineRule="auto"/>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val="en-US" w:eastAsia="zh-CN"/>
              </w:rPr>
              <w:t>资信</w:t>
            </w:r>
            <w:r>
              <w:rPr>
                <w:rFonts w:hint="eastAsia" w:asciiTheme="minorEastAsia" w:hAnsiTheme="minorEastAsia" w:eastAsiaTheme="minorEastAsia"/>
                <w:color w:val="auto"/>
                <w:sz w:val="24"/>
                <w:szCs w:val="24"/>
                <w:highlight w:val="none"/>
              </w:rPr>
              <w:t>分</w:t>
            </w:r>
          </w:p>
          <w:p w14:paraId="19D389B9">
            <w:pPr>
              <w:spacing w:line="360" w:lineRule="auto"/>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lang w:val="en-US" w:eastAsia="zh-CN"/>
              </w:rPr>
              <w:t>10</w:t>
            </w:r>
            <w:r>
              <w:rPr>
                <w:rFonts w:hint="eastAsia" w:asciiTheme="minorEastAsia" w:hAnsiTheme="minorEastAsia" w:eastAsiaTheme="minorEastAsia"/>
                <w:color w:val="auto"/>
                <w:sz w:val="24"/>
                <w:szCs w:val="24"/>
                <w:highlight w:val="none"/>
              </w:rPr>
              <w:t>分）</w:t>
            </w: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18670D70">
            <w:pPr>
              <w:spacing w:line="440" w:lineRule="exact"/>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lang w:eastAsia="zh-CN"/>
              </w:rPr>
              <w:t>供应商</w:t>
            </w:r>
            <w:r>
              <w:rPr>
                <w:rFonts w:hint="eastAsia" w:asciiTheme="minorEastAsia" w:hAnsiTheme="minorEastAsia" w:eastAsiaTheme="minorEastAsia"/>
                <w:color w:val="auto"/>
                <w:sz w:val="24"/>
                <w:szCs w:val="24"/>
                <w:highlight w:val="none"/>
              </w:rPr>
              <w:t>业绩</w:t>
            </w:r>
          </w:p>
        </w:tc>
        <w:tc>
          <w:tcPr>
            <w:tcW w:w="4129" w:type="dxa"/>
            <w:tcBorders>
              <w:top w:val="single" w:color="auto" w:sz="4" w:space="0"/>
              <w:left w:val="single" w:color="auto" w:sz="4" w:space="0"/>
              <w:bottom w:val="single" w:color="auto" w:sz="4" w:space="0"/>
              <w:right w:val="single" w:color="auto" w:sz="4" w:space="0"/>
            </w:tcBorders>
            <w:shd w:val="clear" w:color="auto" w:fill="auto"/>
            <w:vAlign w:val="center"/>
          </w:tcPr>
          <w:p w14:paraId="28930D09">
            <w:pPr>
              <w:spacing w:line="360" w:lineRule="exact"/>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shd w:val="clear"/>
                <w:lang w:val="zh-CN" w:bidi="ar"/>
              </w:rPr>
              <w:t>自20</w:t>
            </w:r>
            <w:r>
              <w:rPr>
                <w:rFonts w:hint="eastAsia" w:ascii="宋体" w:hAnsi="宋体" w:eastAsia="宋体" w:cs="宋体"/>
                <w:color w:val="auto"/>
                <w:sz w:val="24"/>
                <w:szCs w:val="24"/>
                <w:highlight w:val="none"/>
                <w:shd w:val="clear"/>
                <w:lang w:bidi="ar"/>
              </w:rPr>
              <w:t>2</w:t>
            </w:r>
            <w:r>
              <w:rPr>
                <w:rFonts w:hint="eastAsia" w:ascii="宋体" w:hAnsi="宋体" w:cs="宋体"/>
                <w:color w:val="auto"/>
                <w:sz w:val="24"/>
                <w:szCs w:val="24"/>
                <w:highlight w:val="none"/>
                <w:shd w:val="clear"/>
                <w:lang w:val="en-US" w:eastAsia="zh-CN" w:bidi="ar"/>
              </w:rPr>
              <w:t>3</w:t>
            </w:r>
            <w:r>
              <w:rPr>
                <w:rFonts w:hint="eastAsia" w:ascii="宋体" w:hAnsi="宋体" w:eastAsia="宋体" w:cs="宋体"/>
                <w:color w:val="auto"/>
                <w:sz w:val="24"/>
                <w:szCs w:val="24"/>
                <w:highlight w:val="none"/>
                <w:shd w:val="clear"/>
                <w:lang w:val="zh-CN" w:bidi="ar"/>
              </w:rPr>
              <w:t>年</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val="zh-CN" w:bidi="ar"/>
              </w:rPr>
              <w:t>月</w:t>
            </w: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zh-CN" w:bidi="ar"/>
              </w:rPr>
              <w:t>日</w:t>
            </w:r>
            <w:r>
              <w:rPr>
                <w:rFonts w:hint="eastAsia" w:ascii="宋体" w:hAnsi="宋体" w:eastAsia="宋体" w:cs="宋体"/>
                <w:color w:val="auto"/>
                <w:sz w:val="24"/>
                <w:szCs w:val="24"/>
                <w:highlight w:val="none"/>
                <w:lang w:bidi="ar"/>
              </w:rPr>
              <w:t>至投标截止日</w:t>
            </w:r>
            <w:r>
              <w:rPr>
                <w:rFonts w:hint="eastAsia" w:ascii="宋体" w:hAnsi="宋体" w:eastAsia="宋体" w:cs="宋体"/>
                <w:color w:val="auto"/>
                <w:sz w:val="24"/>
                <w:szCs w:val="24"/>
                <w:highlight w:val="none"/>
                <w:lang w:val="zh-CN" w:bidi="ar"/>
              </w:rPr>
              <w:t>（以合同签订时间为准），</w:t>
            </w:r>
            <w:r>
              <w:rPr>
                <w:rFonts w:hint="eastAsia" w:ascii="宋体" w:hAnsi="宋体" w:cs="宋体"/>
                <w:color w:val="auto"/>
                <w:sz w:val="24"/>
                <w:szCs w:val="24"/>
                <w:highlight w:val="none"/>
                <w:lang w:val="zh-CN" w:bidi="ar"/>
              </w:rPr>
              <w:t>供应商</w:t>
            </w:r>
            <w:r>
              <w:rPr>
                <w:rFonts w:hint="eastAsia" w:ascii="宋体" w:hAnsi="宋体" w:eastAsia="宋体" w:cs="宋体"/>
                <w:color w:val="auto"/>
                <w:sz w:val="24"/>
                <w:szCs w:val="24"/>
                <w:highlight w:val="none"/>
                <w:lang w:val="en-US" w:eastAsia="zh-CN" w:bidi="ar"/>
              </w:rPr>
              <w:t>具有景观花卉类绿化项目业绩的</w:t>
            </w:r>
            <w:r>
              <w:rPr>
                <w:rFonts w:hint="eastAsia" w:ascii="宋体" w:hAnsi="宋体" w:eastAsia="宋体" w:cs="宋体"/>
                <w:color w:val="auto"/>
                <w:sz w:val="24"/>
                <w:szCs w:val="24"/>
                <w:highlight w:val="none"/>
                <w:lang w:val="zh-CN" w:bidi="ar"/>
              </w:rPr>
              <w:t>（业绩内容中须同时具有花卉和绿雕），每提供一个得2分，</w:t>
            </w:r>
            <w:r>
              <w:rPr>
                <w:rFonts w:hint="eastAsia" w:ascii="宋体" w:hAnsi="宋体" w:eastAsia="宋体" w:cs="宋体"/>
                <w:color w:val="auto"/>
                <w:sz w:val="24"/>
                <w:szCs w:val="24"/>
                <w:highlight w:val="none"/>
                <w:lang w:bidi="ar"/>
              </w:rPr>
              <w:t>其他的不得分，</w:t>
            </w:r>
            <w:r>
              <w:rPr>
                <w:rFonts w:hint="eastAsia" w:ascii="宋体" w:hAnsi="宋体" w:eastAsia="宋体" w:cs="宋体"/>
                <w:color w:val="auto"/>
                <w:sz w:val="24"/>
                <w:szCs w:val="24"/>
                <w:highlight w:val="none"/>
                <w:lang w:val="zh-CN" w:bidi="ar"/>
              </w:rPr>
              <w:t>最高得</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val="zh-CN" w:bidi="ar"/>
              </w:rPr>
              <w:t>分。</w:t>
            </w:r>
          </w:p>
          <w:p w14:paraId="0EF71A47">
            <w:pPr>
              <w:spacing w:line="360" w:lineRule="exact"/>
              <w:jc w:val="left"/>
              <w:rPr>
                <w:rFonts w:hint="eastAsia" w:ascii="宋体" w:hAnsi="宋体" w:eastAsia="宋体" w:cs="宋体"/>
                <w:color w:val="auto"/>
                <w:sz w:val="24"/>
                <w:szCs w:val="24"/>
                <w:highlight w:val="none"/>
                <w:lang w:val="zh-CN" w:eastAsia="zh-CN" w:bidi="ar"/>
              </w:rPr>
            </w:pPr>
            <w:r>
              <w:rPr>
                <w:rFonts w:hint="eastAsia" w:ascii="宋体" w:hAnsi="宋体" w:eastAsia="宋体" w:cs="宋体"/>
                <w:color w:val="auto"/>
                <w:sz w:val="24"/>
                <w:szCs w:val="24"/>
                <w:highlight w:val="none"/>
                <w:lang w:bidi="ar"/>
              </w:rPr>
              <w:t>注：①</w:t>
            </w:r>
            <w:r>
              <w:rPr>
                <w:rFonts w:hint="eastAsia" w:ascii="宋体" w:hAnsi="宋体" w:eastAsia="宋体" w:cs="宋体"/>
                <w:color w:val="auto"/>
                <w:sz w:val="24"/>
                <w:szCs w:val="24"/>
                <w:highlight w:val="none"/>
                <w:lang w:val="zh-CN" w:bidi="ar"/>
              </w:rPr>
              <w:t>投标文件中提供业绩合同扫描件，时间以合同签订时间为准；若合同材料中无法体现签订时间、</w:t>
            </w:r>
            <w:r>
              <w:rPr>
                <w:rFonts w:hint="eastAsia" w:ascii="宋体" w:hAnsi="宋体" w:eastAsia="宋体" w:cs="宋体"/>
                <w:color w:val="auto"/>
                <w:sz w:val="24"/>
                <w:szCs w:val="24"/>
                <w:highlight w:val="none"/>
                <w:lang w:val="en-US" w:eastAsia="zh-CN" w:bidi="ar"/>
              </w:rPr>
              <w:t>业绩</w:t>
            </w:r>
            <w:r>
              <w:rPr>
                <w:rFonts w:hint="eastAsia" w:ascii="宋体" w:hAnsi="宋体" w:eastAsia="宋体" w:cs="宋体"/>
                <w:color w:val="auto"/>
                <w:sz w:val="24"/>
                <w:szCs w:val="24"/>
                <w:highlight w:val="none"/>
                <w:lang w:val="zh-CN" w:bidi="ar"/>
              </w:rPr>
              <w:t>内容等关键评</w:t>
            </w:r>
            <w:r>
              <w:rPr>
                <w:rFonts w:hint="eastAsia" w:ascii="宋体" w:hAnsi="宋体" w:eastAsia="宋体" w:cs="宋体"/>
                <w:color w:val="auto"/>
                <w:sz w:val="24"/>
                <w:szCs w:val="24"/>
                <w:highlight w:val="none"/>
                <w:lang w:val="zh-CN" w:eastAsia="zh-CN" w:bidi="ar"/>
              </w:rPr>
              <w:t>审因素的，须另</w:t>
            </w:r>
            <w:r>
              <w:rPr>
                <w:rFonts w:hint="eastAsia" w:ascii="宋体" w:hAnsi="宋体" w:eastAsia="宋体" w:cs="宋体"/>
                <w:color w:val="auto"/>
                <w:sz w:val="24"/>
                <w:szCs w:val="24"/>
                <w:highlight w:val="none"/>
                <w:lang w:val="en-US" w:eastAsia="zh-CN" w:bidi="ar"/>
              </w:rPr>
              <w:t>外提供</w:t>
            </w:r>
            <w:r>
              <w:rPr>
                <w:rFonts w:hint="eastAsia" w:ascii="宋体" w:hAnsi="宋体" w:eastAsia="宋体" w:cs="宋体"/>
                <w:color w:val="auto"/>
                <w:sz w:val="24"/>
                <w:szCs w:val="24"/>
                <w:highlight w:val="none"/>
                <w:lang w:val="zh-CN" w:eastAsia="zh-CN" w:bidi="ar"/>
              </w:rPr>
              <w:t>业主（合同甲方）出具的</w:t>
            </w:r>
            <w:r>
              <w:rPr>
                <w:rFonts w:hint="eastAsia" w:ascii="宋体" w:hAnsi="宋体" w:eastAsia="宋体" w:cs="宋体"/>
                <w:color w:val="auto"/>
                <w:sz w:val="24"/>
                <w:szCs w:val="24"/>
                <w:highlight w:val="none"/>
                <w:lang w:val="en-US" w:eastAsia="zh-CN" w:bidi="ar"/>
              </w:rPr>
              <w:t>盖章证明材料扫描件</w:t>
            </w:r>
            <w:r>
              <w:rPr>
                <w:rFonts w:hint="eastAsia" w:ascii="宋体" w:hAnsi="宋体" w:eastAsia="宋体" w:cs="宋体"/>
                <w:color w:val="auto"/>
                <w:sz w:val="24"/>
                <w:szCs w:val="24"/>
                <w:highlight w:val="none"/>
                <w:lang w:val="zh-CN" w:eastAsia="zh-CN" w:bidi="ar"/>
              </w:rPr>
              <w:t>。</w:t>
            </w:r>
          </w:p>
          <w:p w14:paraId="0B029489">
            <w:pPr>
              <w:spacing w:line="360" w:lineRule="exact"/>
              <w:jc w:val="left"/>
              <w:rPr>
                <w:rFonts w:hint="eastAsia" w:ascii="@仿宋_GB2312" w:hAnsi="@仿宋_GB2312" w:eastAsia="@仿宋_GB2312" w:cs="@仿宋_GB2312"/>
                <w:color w:val="auto"/>
                <w:kern w:val="2"/>
                <w:sz w:val="21"/>
                <w:highlight w:val="none"/>
                <w:lang w:val="zh-CN" w:eastAsia="zh-CN" w:bidi="ar-SA"/>
              </w:rPr>
            </w:pPr>
            <w:r>
              <w:rPr>
                <w:rFonts w:hint="eastAsia" w:ascii="宋体" w:hAnsi="宋体" w:eastAsia="宋体" w:cs="宋体"/>
                <w:color w:val="auto"/>
                <w:sz w:val="24"/>
                <w:szCs w:val="24"/>
                <w:highlight w:val="none"/>
                <w:lang w:val="zh-CN" w:bidi="ar"/>
              </w:rPr>
              <w:t>②</w:t>
            </w:r>
            <w:r>
              <w:rPr>
                <w:rFonts w:hint="eastAsia" w:ascii="宋体" w:hAnsi="宋体" w:cs="宋体"/>
                <w:color w:val="auto"/>
                <w:sz w:val="24"/>
                <w:szCs w:val="24"/>
                <w:highlight w:val="none"/>
                <w:lang w:val="zh-CN" w:bidi="ar"/>
              </w:rPr>
              <w:t>供应商</w:t>
            </w:r>
            <w:r>
              <w:rPr>
                <w:rFonts w:hint="eastAsia" w:ascii="宋体" w:hAnsi="宋体" w:eastAsia="宋体" w:cs="宋体"/>
                <w:color w:val="auto"/>
                <w:sz w:val="24"/>
                <w:szCs w:val="24"/>
                <w:highlight w:val="none"/>
                <w:lang w:val="zh-CN" w:bidi="ar"/>
              </w:rPr>
              <w:t>只需提供2个评审业绩，若</w:t>
            </w:r>
            <w:r>
              <w:rPr>
                <w:rFonts w:hint="eastAsia" w:ascii="宋体" w:hAnsi="宋体" w:cs="宋体"/>
                <w:color w:val="auto"/>
                <w:sz w:val="24"/>
                <w:szCs w:val="24"/>
                <w:highlight w:val="none"/>
                <w:lang w:val="zh-CN" w:bidi="ar"/>
              </w:rPr>
              <w:t>供应商</w:t>
            </w:r>
            <w:r>
              <w:rPr>
                <w:rFonts w:hint="eastAsia" w:ascii="宋体" w:hAnsi="宋体" w:eastAsia="宋体" w:cs="宋体"/>
                <w:color w:val="auto"/>
                <w:sz w:val="24"/>
                <w:szCs w:val="24"/>
                <w:highlight w:val="none"/>
                <w:lang w:val="zh-CN" w:bidi="ar"/>
              </w:rPr>
              <w:t>提供业绩个数超过2个，则按照排列顺序从首个业绩开始评审至对应数量（2个），超出部分业绩不进行评审。对应数量（2个）业绩不符合</w:t>
            </w:r>
            <w:r>
              <w:rPr>
                <w:rFonts w:hint="eastAsia" w:ascii="宋体" w:hAnsi="宋体" w:eastAsia="宋体" w:cs="宋体"/>
                <w:color w:val="auto"/>
                <w:sz w:val="24"/>
                <w:szCs w:val="24"/>
                <w:highlight w:val="none"/>
                <w:lang w:val="en-US" w:eastAsia="zh-CN" w:bidi="ar"/>
              </w:rPr>
              <w:t>招标</w:t>
            </w:r>
            <w:r>
              <w:rPr>
                <w:rFonts w:hint="eastAsia" w:ascii="宋体" w:hAnsi="宋体" w:eastAsia="宋体" w:cs="宋体"/>
                <w:color w:val="auto"/>
                <w:sz w:val="24"/>
                <w:szCs w:val="24"/>
                <w:highlight w:val="none"/>
                <w:lang w:val="zh-CN" w:bidi="ar"/>
              </w:rPr>
              <w:t>文件要求不得分的，不再补充评审超出部分业绩。如：提供2个业绩即得满分的，按照响应文件排序评审第一、第二项业绩，其余超出部分不再评审。</w:t>
            </w:r>
          </w:p>
        </w:tc>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14:paraId="5DA1D6CA">
            <w:pPr>
              <w:spacing w:line="360" w:lineRule="auto"/>
              <w:jc w:val="center"/>
              <w:rPr>
                <w:rFonts w:hint="eastAsia" w:cs="@仿宋_GB2312" w:asciiTheme="minorEastAsia" w:hAnsiTheme="minorEastAsia" w:eastAsiaTheme="minorEastAsia"/>
                <w:b/>
                <w:bCs/>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rPr>
              <w:t>0-</w:t>
            </w:r>
            <w:r>
              <w:rPr>
                <w:rFonts w:hint="eastAsia" w:asciiTheme="minorEastAsia" w:hAnsiTheme="minorEastAsia" w:eastAsiaTheme="minorEastAsia"/>
                <w:color w:val="auto"/>
                <w:sz w:val="24"/>
                <w:szCs w:val="24"/>
                <w:highlight w:val="none"/>
                <w:lang w:val="en-US" w:eastAsia="zh-CN"/>
              </w:rPr>
              <w:t>4</w:t>
            </w:r>
            <w:r>
              <w:rPr>
                <w:rFonts w:hint="eastAsia" w:asciiTheme="minorEastAsia" w:hAnsiTheme="minorEastAsia" w:eastAsiaTheme="minorEastAsia"/>
                <w:color w:val="auto"/>
                <w:sz w:val="24"/>
                <w:szCs w:val="24"/>
                <w:highlight w:val="none"/>
              </w:rPr>
              <w:t>分</w:t>
            </w:r>
          </w:p>
        </w:tc>
      </w:tr>
      <w:tr w14:paraId="7460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197C2C52">
            <w:pPr>
              <w:spacing w:line="360" w:lineRule="auto"/>
              <w:jc w:val="center"/>
              <w:rPr>
                <w:rFonts w:hint="eastAsia" w:asciiTheme="minorEastAsia" w:hAnsiTheme="minorEastAsia" w:eastAsiaTheme="minorEastAsia"/>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228153FE">
            <w:pPr>
              <w:spacing w:line="360" w:lineRule="exact"/>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lang w:bidi="ar"/>
              </w:rPr>
              <w:t>项目</w:t>
            </w:r>
            <w:r>
              <w:rPr>
                <w:rFonts w:hint="eastAsia" w:ascii="宋体" w:hAnsi="宋体" w:eastAsia="宋体" w:cs="宋体"/>
                <w:color w:val="auto"/>
                <w:sz w:val="24"/>
                <w:szCs w:val="24"/>
                <w:highlight w:val="none"/>
                <w:lang w:val="en-US" w:eastAsia="zh-CN" w:bidi="ar"/>
              </w:rPr>
              <w:t>人员</w:t>
            </w:r>
          </w:p>
        </w:tc>
        <w:tc>
          <w:tcPr>
            <w:tcW w:w="4129" w:type="dxa"/>
            <w:tcBorders>
              <w:top w:val="single" w:color="auto" w:sz="4" w:space="0"/>
              <w:left w:val="single" w:color="auto" w:sz="4" w:space="0"/>
              <w:bottom w:val="single" w:color="auto" w:sz="4" w:space="0"/>
              <w:right w:val="single" w:color="auto" w:sz="4" w:space="0"/>
            </w:tcBorders>
            <w:shd w:val="clear" w:color="auto" w:fill="auto"/>
            <w:vAlign w:val="center"/>
          </w:tcPr>
          <w:p w14:paraId="7A67809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（1）技术负责人（2分）：</w:t>
            </w:r>
          </w:p>
          <w:p w14:paraId="4469AC6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具有园林绿化相关专业高级（或以上）职称证书的得2分，本项最高得2分。</w:t>
            </w:r>
          </w:p>
          <w:p w14:paraId="2A08C63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（2）</w:t>
            </w:r>
            <w:r>
              <w:rPr>
                <w:rFonts w:hint="eastAsia" w:ascii="宋体" w:hAnsi="宋体" w:cs="宋体"/>
                <w:color w:val="auto"/>
                <w:spacing w:val="1"/>
                <w:kern w:val="0"/>
                <w:sz w:val="24"/>
                <w:szCs w:val="24"/>
                <w:highlight w:val="none"/>
                <w:lang w:val="en-US" w:eastAsia="zh-CN"/>
              </w:rPr>
              <w:t>供应商</w:t>
            </w:r>
            <w:r>
              <w:rPr>
                <w:rFonts w:hint="eastAsia" w:ascii="宋体" w:hAnsi="宋体" w:eastAsia="宋体" w:cs="宋体"/>
                <w:color w:val="auto"/>
                <w:spacing w:val="1"/>
                <w:kern w:val="0"/>
                <w:sz w:val="24"/>
                <w:szCs w:val="24"/>
                <w:highlight w:val="none"/>
                <w:lang w:val="en-US" w:eastAsia="zh-CN"/>
              </w:rPr>
              <w:t>拟派工作人员（项目负责人和技术负责人除外）（4分）：</w:t>
            </w:r>
          </w:p>
          <w:p w14:paraId="167F72D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spacing w:val="1"/>
                <w:kern w:val="0"/>
                <w:sz w:val="24"/>
                <w:szCs w:val="24"/>
                <w:highlight w:val="none"/>
                <w:lang w:val="zh-CN" w:eastAsia="zh-CN"/>
              </w:rPr>
            </w:pPr>
            <w:r>
              <w:rPr>
                <w:rFonts w:hint="eastAsia" w:ascii="宋体" w:hAnsi="宋体" w:eastAsia="宋体" w:cs="宋体"/>
                <w:color w:val="auto"/>
                <w:spacing w:val="1"/>
                <w:kern w:val="0"/>
                <w:sz w:val="24"/>
                <w:szCs w:val="24"/>
                <w:highlight w:val="none"/>
                <w:lang w:val="en-US" w:eastAsia="zh-CN"/>
              </w:rPr>
              <w:t>具有花卉园艺工证书的，每提供一个证书得2分，满分4分。</w:t>
            </w:r>
          </w:p>
          <w:p w14:paraId="2185101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pacing w:val="1"/>
                <w:kern w:val="0"/>
                <w:sz w:val="24"/>
                <w:szCs w:val="24"/>
                <w:highlight w:val="none"/>
                <w:lang w:val="zh-CN" w:eastAsia="zh-CN"/>
              </w:rPr>
              <w:t>注：①提供以上人员相关证书扫描件；②持有社保部门出具的本单位为其缴纳的投标前近三个月内任意一月的社保证明（或</w:t>
            </w:r>
            <w:r>
              <w:rPr>
                <w:rFonts w:hint="eastAsia" w:ascii="宋体" w:hAnsi="宋体" w:cs="宋体"/>
                <w:color w:val="auto"/>
                <w:spacing w:val="1"/>
                <w:kern w:val="0"/>
                <w:sz w:val="24"/>
                <w:szCs w:val="24"/>
                <w:highlight w:val="none"/>
                <w:lang w:val="zh-CN" w:eastAsia="zh-CN"/>
              </w:rPr>
              <w:t>供应商</w:t>
            </w:r>
            <w:r>
              <w:rPr>
                <w:rFonts w:hint="eastAsia" w:ascii="宋体" w:hAnsi="宋体" w:eastAsia="宋体" w:cs="宋体"/>
                <w:color w:val="auto"/>
                <w:spacing w:val="1"/>
                <w:kern w:val="0"/>
                <w:sz w:val="24"/>
                <w:szCs w:val="24"/>
                <w:highlight w:val="none"/>
                <w:lang w:val="zh-CN" w:eastAsia="zh-CN"/>
              </w:rPr>
              <w:t>提供承诺已为其缴纳社保的承诺书（格式自拟））</w:t>
            </w:r>
          </w:p>
        </w:tc>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14:paraId="304A3771">
            <w:pPr>
              <w:spacing w:line="360" w:lineRule="auto"/>
              <w:jc w:val="center"/>
              <w:rPr>
                <w:rFonts w:hint="eastAsia" w:cs="@仿宋_GB2312" w:asciiTheme="minorEastAsia" w:hAnsiTheme="minorEastAsia" w:eastAsiaTheme="minorEastAsia"/>
                <w:b/>
                <w:bCs/>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rPr>
              <w:t>0-</w:t>
            </w:r>
            <w:r>
              <w:rPr>
                <w:rFonts w:hint="eastAsia" w:asciiTheme="minorEastAsia" w:hAnsiTheme="minorEastAsia" w:eastAsiaTheme="minorEastAsia"/>
                <w:color w:val="auto"/>
                <w:sz w:val="24"/>
                <w:szCs w:val="24"/>
                <w:highlight w:val="none"/>
                <w:lang w:val="en-US" w:eastAsia="zh-CN"/>
              </w:rPr>
              <w:t>6</w:t>
            </w:r>
            <w:r>
              <w:rPr>
                <w:rFonts w:hint="eastAsia" w:asciiTheme="minorEastAsia" w:hAnsiTheme="minorEastAsia" w:eastAsiaTheme="minorEastAsia"/>
                <w:color w:val="auto"/>
                <w:sz w:val="24"/>
                <w:szCs w:val="24"/>
                <w:highlight w:val="none"/>
              </w:rPr>
              <w:t>分</w:t>
            </w:r>
          </w:p>
        </w:tc>
      </w:tr>
      <w:tr w14:paraId="59D2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restart"/>
            <w:tcBorders>
              <w:left w:val="single" w:color="auto" w:sz="4" w:space="0"/>
              <w:right w:val="single" w:color="auto" w:sz="4" w:space="0"/>
            </w:tcBorders>
            <w:vAlign w:val="center"/>
          </w:tcPr>
          <w:p w14:paraId="288F2EC5">
            <w:pPr>
              <w:spacing w:line="360" w:lineRule="auto"/>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val="en-US" w:eastAsia="zh-CN"/>
              </w:rPr>
              <w:t>技术</w:t>
            </w:r>
            <w:r>
              <w:rPr>
                <w:rFonts w:hint="eastAsia" w:asciiTheme="minorEastAsia" w:hAnsiTheme="minorEastAsia" w:eastAsiaTheme="minorEastAsia"/>
                <w:color w:val="auto"/>
                <w:sz w:val="24"/>
                <w:szCs w:val="24"/>
                <w:highlight w:val="none"/>
              </w:rPr>
              <w:t>分</w:t>
            </w:r>
          </w:p>
          <w:p w14:paraId="73C2234C">
            <w:pPr>
              <w:spacing w:line="360" w:lineRule="auto"/>
              <w:jc w:val="cente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lang w:val="en-US" w:eastAsia="zh-CN"/>
              </w:rPr>
              <w:t>70</w:t>
            </w:r>
            <w:r>
              <w:rPr>
                <w:rFonts w:hint="eastAsia" w:asciiTheme="minorEastAsia" w:hAnsiTheme="minorEastAsia" w:eastAsiaTheme="minorEastAsia"/>
                <w:color w:val="auto"/>
                <w:sz w:val="24"/>
                <w:szCs w:val="24"/>
                <w:highlight w:val="none"/>
              </w:rPr>
              <w:t>分）</w:t>
            </w:r>
          </w:p>
        </w:tc>
        <w:tc>
          <w:tcPr>
            <w:tcW w:w="2105" w:type="dxa"/>
            <w:tcBorders>
              <w:top w:val="single" w:color="auto" w:sz="4" w:space="0"/>
              <w:left w:val="single" w:color="auto" w:sz="4" w:space="0"/>
              <w:bottom w:val="single" w:color="auto" w:sz="4" w:space="0"/>
              <w:right w:val="single" w:color="auto" w:sz="4" w:space="0"/>
            </w:tcBorders>
            <w:vAlign w:val="center"/>
          </w:tcPr>
          <w:p w14:paraId="3D049A2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pacing w:val="1"/>
                <w:kern w:val="0"/>
                <w:sz w:val="24"/>
                <w:szCs w:val="24"/>
                <w:highlight w:val="none"/>
                <w:lang w:val="en-US"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组织及管理措施</w:t>
            </w:r>
          </w:p>
        </w:tc>
        <w:tc>
          <w:tcPr>
            <w:tcW w:w="4129" w:type="dxa"/>
            <w:tcBorders>
              <w:top w:val="single" w:color="auto" w:sz="4" w:space="0"/>
              <w:left w:val="single" w:color="auto" w:sz="4" w:space="0"/>
              <w:bottom w:val="single" w:color="auto" w:sz="4" w:space="0"/>
              <w:right w:val="single" w:color="auto" w:sz="4" w:space="0"/>
            </w:tcBorders>
            <w:vAlign w:val="center"/>
          </w:tcPr>
          <w:p w14:paraId="140A3DF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根据各</w:t>
            </w:r>
            <w:r>
              <w:rPr>
                <w:rFonts w:hint="eastAsia" w:ascii="宋体" w:hAnsi="宋体" w:cs="宋体"/>
                <w:color w:val="auto"/>
                <w:spacing w:val="1"/>
                <w:kern w:val="0"/>
                <w:sz w:val="24"/>
                <w:szCs w:val="24"/>
                <w:highlight w:val="none"/>
                <w:lang w:val="en-US" w:eastAsia="zh-CN"/>
              </w:rPr>
              <w:t>供应商</w:t>
            </w:r>
            <w:r>
              <w:rPr>
                <w:rFonts w:hint="eastAsia" w:ascii="宋体" w:hAnsi="宋体" w:eastAsia="宋体" w:cs="宋体"/>
                <w:color w:val="auto"/>
                <w:spacing w:val="1"/>
                <w:kern w:val="0"/>
                <w:sz w:val="24"/>
                <w:szCs w:val="24"/>
                <w:highlight w:val="none"/>
                <w:lang w:val="en-US" w:eastAsia="zh-CN"/>
              </w:rPr>
              <w:t>提供的高标准、高水平组织服务计划及施工组织实施方案（包括但不限于技术措施、管理措施等）</w:t>
            </w:r>
            <w:r>
              <w:rPr>
                <w:rFonts w:hint="eastAsia" w:ascii="宋体" w:hAnsi="宋体" w:eastAsia="宋体" w:cs="宋体"/>
                <w:b w:val="0"/>
                <w:bCs/>
                <w:color w:val="auto"/>
                <w:sz w:val="24"/>
                <w:szCs w:val="24"/>
                <w:highlight w:val="none"/>
                <w:lang w:val="en-US" w:eastAsia="zh-CN"/>
              </w:rPr>
              <w:t>进行综合评审</w:t>
            </w:r>
            <w:r>
              <w:rPr>
                <w:rFonts w:hint="eastAsia" w:ascii="宋体" w:hAnsi="宋体" w:eastAsia="宋体" w:cs="宋体"/>
                <w:b w:val="0"/>
                <w:bCs/>
                <w:color w:val="auto"/>
                <w:sz w:val="24"/>
                <w:szCs w:val="24"/>
                <w:highlight w:val="none"/>
              </w:rPr>
              <w:t>；</w:t>
            </w:r>
          </w:p>
          <w:p w14:paraId="6BE1ADB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（1）措施方案覆盖全面、要点突出，充分结合项目区域及实际需求，对本项目有前期了解及调研，分析全面深入、内容详实的得5分；</w:t>
            </w:r>
          </w:p>
          <w:p w14:paraId="6BC8BF8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（2）措施方案内容完整详实，表述清晰，有前期调研，理解分析准确，满足项目实施的得4分； </w:t>
            </w:r>
          </w:p>
          <w:p w14:paraId="3BDDE6E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（3）措施方案内容覆盖不全面，仅针对整体做出分析，前期未了解情况，未充分结合本项目实际，内容有待完善的得3分； </w:t>
            </w:r>
          </w:p>
          <w:p w14:paraId="313DA8F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（4）未提供不得分。</w:t>
            </w:r>
          </w:p>
        </w:tc>
        <w:tc>
          <w:tcPr>
            <w:tcW w:w="1202" w:type="dxa"/>
            <w:tcBorders>
              <w:top w:val="single" w:color="auto" w:sz="4" w:space="0"/>
              <w:left w:val="single" w:color="auto" w:sz="4" w:space="0"/>
              <w:bottom w:val="single" w:color="auto" w:sz="4" w:space="0"/>
              <w:right w:val="single" w:color="auto" w:sz="4" w:space="0"/>
            </w:tcBorders>
            <w:vAlign w:val="center"/>
          </w:tcPr>
          <w:p w14:paraId="6B1271A1">
            <w:pPr>
              <w:spacing w:line="360" w:lineRule="exact"/>
              <w:jc w:val="center"/>
              <w:rPr>
                <w:rFonts w:hint="eastAsia" w:ascii="宋体" w:hAnsi="宋体" w:cs="宋体"/>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4861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3FA87148">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787B691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eastAsia="zh-CN"/>
              </w:rPr>
              <w:t>绿雕精细化管养</w:t>
            </w:r>
            <w:r>
              <w:rPr>
                <w:rFonts w:hint="eastAsia" w:ascii="宋体" w:hAnsi="宋体" w:eastAsia="宋体" w:cs="宋体"/>
                <w:color w:val="auto"/>
                <w:sz w:val="24"/>
                <w:szCs w:val="24"/>
                <w:highlight w:val="none"/>
                <w:lang w:val="en-US" w:eastAsia="zh-CN"/>
              </w:rPr>
              <w:t>措施和方案</w:t>
            </w:r>
          </w:p>
        </w:tc>
        <w:tc>
          <w:tcPr>
            <w:tcW w:w="4129" w:type="dxa"/>
            <w:tcBorders>
              <w:top w:val="single" w:color="auto" w:sz="4" w:space="0"/>
              <w:left w:val="single" w:color="auto" w:sz="4" w:space="0"/>
              <w:bottom w:val="single" w:color="auto" w:sz="4" w:space="0"/>
              <w:right w:val="single" w:color="auto" w:sz="4" w:space="0"/>
            </w:tcBorders>
            <w:vAlign w:val="center"/>
          </w:tcPr>
          <w:p w14:paraId="57FF66A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pacing w:val="1"/>
                <w:kern w:val="0"/>
                <w:sz w:val="24"/>
                <w:szCs w:val="24"/>
                <w:highlight w:val="none"/>
                <w:lang w:val="en-US" w:eastAsia="zh-CN"/>
              </w:rPr>
              <w:t>根据各</w:t>
            </w:r>
            <w:r>
              <w:rPr>
                <w:rFonts w:hint="eastAsia" w:ascii="宋体" w:hAnsi="宋体" w:cs="宋体"/>
                <w:color w:val="auto"/>
                <w:spacing w:val="1"/>
                <w:kern w:val="0"/>
                <w:sz w:val="24"/>
                <w:szCs w:val="24"/>
                <w:highlight w:val="none"/>
                <w:lang w:val="en-US" w:eastAsia="zh-CN"/>
              </w:rPr>
              <w:t>供应商</w:t>
            </w:r>
            <w:r>
              <w:rPr>
                <w:rFonts w:hint="eastAsia" w:ascii="宋体" w:hAnsi="宋体" w:eastAsia="宋体" w:cs="宋体"/>
                <w:color w:val="auto"/>
                <w:spacing w:val="1"/>
                <w:kern w:val="0"/>
                <w:sz w:val="24"/>
                <w:szCs w:val="24"/>
                <w:highlight w:val="none"/>
                <w:lang w:val="en-US" w:eastAsia="zh-CN"/>
              </w:rPr>
              <w:t>提供的针对本项目的绿雕精细化管养措施和方案(包括但不限于:日常管理、土壤改良、补植、浇水、施肥、病虫害防治及卫生保洁、安全生产等)工作方案和措施</w:t>
            </w:r>
            <w:r>
              <w:rPr>
                <w:rFonts w:hint="eastAsia" w:ascii="宋体" w:hAnsi="宋体" w:eastAsia="宋体" w:cs="宋体"/>
                <w:b w:val="0"/>
                <w:bCs/>
                <w:color w:val="auto"/>
                <w:sz w:val="24"/>
                <w:szCs w:val="24"/>
                <w:highlight w:val="none"/>
                <w:lang w:val="en-US" w:eastAsia="zh-CN"/>
              </w:rPr>
              <w:t>进行综合评审</w:t>
            </w:r>
            <w:r>
              <w:rPr>
                <w:rFonts w:hint="eastAsia" w:ascii="宋体" w:hAnsi="宋体" w:eastAsia="宋体" w:cs="宋体"/>
                <w:b w:val="0"/>
                <w:bCs/>
                <w:color w:val="auto"/>
                <w:sz w:val="24"/>
                <w:szCs w:val="24"/>
                <w:highlight w:val="none"/>
              </w:rPr>
              <w:t>；</w:t>
            </w:r>
          </w:p>
          <w:p w14:paraId="3E38FB78">
            <w:pPr>
              <w:keepNext w:val="0"/>
              <w:keepLines w:val="0"/>
              <w:pageBreakBefore w:val="0"/>
              <w:widowControl/>
              <w:numPr>
                <w:ilvl w:val="0"/>
                <w:numId w:val="5"/>
              </w:numPr>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绿雕精细化管养措施表述详细，能有效达到绿化齐整、景观质量佳，绿化精细化养护方案和措施贴合项目实际，方案内容完善，满足项目精细化需求的得5分；</w:t>
            </w:r>
          </w:p>
          <w:p w14:paraId="1F59DAB9">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（2）绿雕精细化管养措施内容完整，覆盖全面，方案内容分析满足项目实施的得4分；</w:t>
            </w:r>
          </w:p>
          <w:p w14:paraId="784FCC11">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（3）绿雕精细化管养措施和方案简单，分析不到位或内容有缺失，仍需进一步完善的得3分；</w:t>
            </w:r>
          </w:p>
          <w:p w14:paraId="04DD4ED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lang w:val="en-US" w:eastAsia="zh-CN"/>
              </w:rPr>
              <w:t>（4）未提供不得分。</w:t>
            </w:r>
          </w:p>
        </w:tc>
        <w:tc>
          <w:tcPr>
            <w:tcW w:w="1202" w:type="dxa"/>
            <w:tcBorders>
              <w:top w:val="single" w:color="auto" w:sz="4" w:space="0"/>
              <w:left w:val="single" w:color="auto" w:sz="4" w:space="0"/>
              <w:bottom w:val="single" w:color="auto" w:sz="4" w:space="0"/>
              <w:right w:val="single" w:color="auto" w:sz="4" w:space="0"/>
            </w:tcBorders>
            <w:vAlign w:val="center"/>
          </w:tcPr>
          <w:p w14:paraId="432AEA5D">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06F4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1628CA10">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05BD571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eastAsia="zh-CN"/>
              </w:rPr>
              <w:t>花卉精细化管养</w:t>
            </w:r>
            <w:r>
              <w:rPr>
                <w:rFonts w:hint="eastAsia" w:ascii="宋体" w:hAnsi="宋体" w:eastAsia="宋体" w:cs="宋体"/>
                <w:color w:val="auto"/>
                <w:sz w:val="24"/>
                <w:szCs w:val="24"/>
                <w:highlight w:val="none"/>
                <w:lang w:val="en-US" w:eastAsia="zh-CN"/>
              </w:rPr>
              <w:t>措施和方案</w:t>
            </w:r>
          </w:p>
        </w:tc>
        <w:tc>
          <w:tcPr>
            <w:tcW w:w="4129" w:type="dxa"/>
            <w:tcBorders>
              <w:top w:val="single" w:color="auto" w:sz="4" w:space="0"/>
              <w:left w:val="single" w:color="auto" w:sz="4" w:space="0"/>
              <w:bottom w:val="single" w:color="auto" w:sz="4" w:space="0"/>
              <w:right w:val="single" w:color="auto" w:sz="4" w:space="0"/>
            </w:tcBorders>
            <w:shd w:val="clear" w:color="auto" w:fill="auto"/>
            <w:vAlign w:val="center"/>
          </w:tcPr>
          <w:p w14:paraId="6444A96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pacing w:val="1"/>
                <w:kern w:val="0"/>
                <w:sz w:val="24"/>
                <w:szCs w:val="24"/>
                <w:highlight w:val="none"/>
                <w:lang w:val="en-US" w:eastAsia="zh-CN"/>
              </w:rPr>
              <w:t>根据各</w:t>
            </w:r>
            <w:r>
              <w:rPr>
                <w:rFonts w:hint="eastAsia" w:ascii="宋体" w:hAnsi="宋体" w:cs="宋体"/>
                <w:color w:val="auto"/>
                <w:spacing w:val="1"/>
                <w:kern w:val="0"/>
                <w:sz w:val="24"/>
                <w:szCs w:val="24"/>
                <w:highlight w:val="none"/>
                <w:lang w:val="en-US" w:eastAsia="zh-CN"/>
              </w:rPr>
              <w:t>供应商</w:t>
            </w:r>
            <w:r>
              <w:rPr>
                <w:rFonts w:hint="eastAsia" w:ascii="宋体" w:hAnsi="宋体" w:eastAsia="宋体" w:cs="宋体"/>
                <w:color w:val="auto"/>
                <w:spacing w:val="1"/>
                <w:kern w:val="0"/>
                <w:sz w:val="24"/>
                <w:szCs w:val="24"/>
                <w:highlight w:val="none"/>
                <w:lang w:val="en-US" w:eastAsia="zh-CN"/>
              </w:rPr>
              <w:t>提供的针对本项目的</w:t>
            </w:r>
            <w:r>
              <w:rPr>
                <w:rFonts w:hint="eastAsia" w:ascii="宋体" w:hAnsi="宋体" w:eastAsia="宋体" w:cs="宋体"/>
                <w:b w:val="0"/>
                <w:bCs/>
                <w:color w:val="auto"/>
                <w:sz w:val="24"/>
                <w:szCs w:val="24"/>
                <w:highlight w:val="none"/>
                <w:lang w:eastAsia="zh-CN"/>
              </w:rPr>
              <w:t>花卉精细化管养</w:t>
            </w:r>
            <w:r>
              <w:rPr>
                <w:rFonts w:hint="eastAsia" w:ascii="宋体" w:hAnsi="宋体" w:eastAsia="宋体" w:cs="宋体"/>
                <w:color w:val="auto"/>
                <w:sz w:val="24"/>
                <w:szCs w:val="24"/>
                <w:highlight w:val="none"/>
                <w:lang w:val="en-US" w:eastAsia="zh-CN"/>
              </w:rPr>
              <w:t>措施和方案（包括春夏秋冬四季草花品种推荐、并针对不同季节的养护提出具体应对措施）</w:t>
            </w:r>
            <w:r>
              <w:rPr>
                <w:rFonts w:hint="eastAsia" w:ascii="宋体" w:hAnsi="宋体" w:eastAsia="宋体" w:cs="宋体"/>
                <w:b w:val="0"/>
                <w:bCs/>
                <w:color w:val="auto"/>
                <w:sz w:val="24"/>
                <w:szCs w:val="24"/>
                <w:highlight w:val="none"/>
                <w:lang w:val="en-US" w:eastAsia="zh-CN"/>
              </w:rPr>
              <w:t>进行综合评审</w:t>
            </w:r>
            <w:r>
              <w:rPr>
                <w:rFonts w:hint="eastAsia" w:ascii="宋体" w:hAnsi="宋体" w:eastAsia="宋体" w:cs="宋体"/>
                <w:b w:val="0"/>
                <w:bCs/>
                <w:color w:val="auto"/>
                <w:sz w:val="24"/>
                <w:szCs w:val="24"/>
                <w:highlight w:val="none"/>
              </w:rPr>
              <w:t>；</w:t>
            </w:r>
          </w:p>
          <w:p w14:paraId="312D2DB1">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（1）花卉精细化管养措施表述详细，贴合项目实际，方案内容完善，满足项目精细化需求的得5分；</w:t>
            </w:r>
          </w:p>
          <w:p w14:paraId="2DD44710">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（2）花卉精细化管养措施内容完整，覆盖全面，方案内容分析满足项目实施的得4分；</w:t>
            </w:r>
          </w:p>
          <w:p w14:paraId="6BB89E0D">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（3）花卉精细化管养措施和方案简单，分析不到位或内容有缺失，仍需进一步完善的得3分；</w:t>
            </w:r>
          </w:p>
          <w:p w14:paraId="6703C7A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rPr>
              <w:t>（4）未提供不得分。</w:t>
            </w:r>
          </w:p>
        </w:tc>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14:paraId="4A494114">
            <w:pPr>
              <w:widowControl/>
              <w:spacing w:line="440" w:lineRule="exact"/>
              <w:jc w:val="center"/>
              <w:rPr>
                <w:rFonts w:hint="eastAsia" w:cs="@仿宋_GB2312" w:asciiTheme="minorEastAsia" w:hAnsiTheme="minorEastAsia" w:eastAsiaTheme="minorEastAsia"/>
                <w:color w:val="auto"/>
                <w:kern w:val="2"/>
                <w:sz w:val="24"/>
                <w:szCs w:val="24"/>
                <w:highlight w:val="none"/>
                <w:lang w:val="en-US" w:eastAsia="zh-CN" w:bidi="ar-SA"/>
              </w:rPr>
            </w:pPr>
            <w:r>
              <w:rPr>
                <w:rFonts w:hint="eastAsia" w:asciiTheme="minorEastAsia" w:hAnsiTheme="minorEastAsia" w:eastAsiaTheme="minorEastAsia"/>
                <w:color w:val="auto"/>
                <w:sz w:val="24"/>
                <w:szCs w:val="24"/>
                <w:highlight w:val="none"/>
              </w:rPr>
              <w:t>0-5分</w:t>
            </w:r>
          </w:p>
        </w:tc>
      </w:tr>
      <w:tr w14:paraId="44FD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125B112F">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59972FF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地被精细化管养</w:t>
            </w:r>
            <w:r>
              <w:rPr>
                <w:rFonts w:hint="eastAsia" w:ascii="宋体" w:hAnsi="宋体" w:eastAsia="宋体" w:cs="宋体"/>
                <w:color w:val="auto"/>
                <w:sz w:val="24"/>
                <w:szCs w:val="24"/>
                <w:highlight w:val="none"/>
                <w:lang w:val="en-US" w:eastAsia="zh-CN"/>
              </w:rPr>
              <w:t>措施和方案</w:t>
            </w:r>
          </w:p>
        </w:tc>
        <w:tc>
          <w:tcPr>
            <w:tcW w:w="4129" w:type="dxa"/>
            <w:tcBorders>
              <w:top w:val="single" w:color="auto" w:sz="4" w:space="0"/>
              <w:left w:val="single" w:color="auto" w:sz="4" w:space="0"/>
              <w:bottom w:val="single" w:color="auto" w:sz="4" w:space="0"/>
              <w:right w:val="single" w:color="auto" w:sz="4" w:space="0"/>
            </w:tcBorders>
            <w:vAlign w:val="center"/>
          </w:tcPr>
          <w:p w14:paraId="45F86DE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根据各</w:t>
            </w:r>
            <w:r>
              <w:rPr>
                <w:rFonts w:hint="eastAsia" w:ascii="宋体" w:hAnsi="宋体" w:cs="宋体"/>
                <w:color w:val="auto"/>
                <w:spacing w:val="1"/>
                <w:kern w:val="0"/>
                <w:sz w:val="24"/>
                <w:szCs w:val="24"/>
                <w:highlight w:val="none"/>
                <w:lang w:val="en-US" w:eastAsia="zh-CN"/>
              </w:rPr>
              <w:t>供应商</w:t>
            </w:r>
            <w:r>
              <w:rPr>
                <w:rFonts w:hint="eastAsia" w:ascii="宋体" w:hAnsi="宋体" w:eastAsia="宋体" w:cs="宋体"/>
                <w:color w:val="auto"/>
                <w:spacing w:val="1"/>
                <w:kern w:val="0"/>
                <w:sz w:val="24"/>
                <w:szCs w:val="24"/>
                <w:highlight w:val="none"/>
                <w:lang w:val="en-US" w:eastAsia="zh-CN"/>
              </w:rPr>
              <w:t>提供的针对本项目的</w:t>
            </w:r>
            <w:r>
              <w:rPr>
                <w:rFonts w:hint="eastAsia" w:ascii="宋体" w:hAnsi="宋体" w:eastAsia="宋体" w:cs="宋体"/>
                <w:b w:val="0"/>
                <w:bCs/>
                <w:color w:val="auto"/>
                <w:sz w:val="24"/>
                <w:szCs w:val="24"/>
                <w:highlight w:val="none"/>
                <w:lang w:eastAsia="zh-CN"/>
              </w:rPr>
              <w:t>地被</w:t>
            </w:r>
            <w:r>
              <w:rPr>
                <w:rFonts w:hint="eastAsia" w:ascii="宋体" w:hAnsi="宋体" w:eastAsia="宋体" w:cs="宋体"/>
                <w:color w:val="auto"/>
                <w:spacing w:val="1"/>
                <w:kern w:val="0"/>
                <w:sz w:val="24"/>
                <w:szCs w:val="24"/>
                <w:highlight w:val="none"/>
                <w:lang w:val="en-US" w:eastAsia="zh-CN"/>
              </w:rPr>
              <w:t>精细化管养措施和方案（包括地形整理、土壤改良、水分管理、施肥管理等管理措施）进行综合评审；</w:t>
            </w:r>
          </w:p>
          <w:p w14:paraId="560ED309">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（1）管养措施和方案内容详细完善、表述清晰，贴合实际需求的得5分； </w:t>
            </w:r>
          </w:p>
          <w:p w14:paraId="474049E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（2）管养措施和方案安全、切实可行的得4分； </w:t>
            </w:r>
          </w:p>
          <w:p w14:paraId="5818322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 xml:space="preserve">（3）管养措施和方案思路混乱，方案内容简单、空洞的得3分； </w:t>
            </w:r>
          </w:p>
          <w:p w14:paraId="3D6248F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lang w:val="en-US" w:eastAsia="zh-CN"/>
              </w:rPr>
              <w:t>（4）未提供的不得分。</w:t>
            </w:r>
          </w:p>
        </w:tc>
        <w:tc>
          <w:tcPr>
            <w:tcW w:w="1202" w:type="dxa"/>
            <w:tcBorders>
              <w:top w:val="single" w:color="auto" w:sz="4" w:space="0"/>
              <w:left w:val="single" w:color="auto" w:sz="4" w:space="0"/>
              <w:bottom w:val="single" w:color="auto" w:sz="4" w:space="0"/>
              <w:right w:val="single" w:color="auto" w:sz="4" w:space="0"/>
            </w:tcBorders>
            <w:vAlign w:val="center"/>
          </w:tcPr>
          <w:p w14:paraId="6D452580">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56F3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2312E0B4">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1899DD2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5.拟投入的主要施工机械、设备计划</w:t>
            </w:r>
          </w:p>
        </w:tc>
        <w:tc>
          <w:tcPr>
            <w:tcW w:w="4129" w:type="dxa"/>
            <w:tcBorders>
              <w:top w:val="single" w:color="auto" w:sz="4" w:space="0"/>
              <w:left w:val="single" w:color="auto" w:sz="4" w:space="0"/>
              <w:bottom w:val="single" w:color="auto" w:sz="4" w:space="0"/>
              <w:right w:val="single" w:color="auto" w:sz="4" w:space="0"/>
            </w:tcBorders>
            <w:shd w:val="clear" w:color="auto" w:fill="auto"/>
            <w:vAlign w:val="center"/>
          </w:tcPr>
          <w:p w14:paraId="74118E0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根据供应商提供的主要施工机械、设备计划措施进行评审：</w:t>
            </w:r>
          </w:p>
          <w:p w14:paraId="7C6084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1.投入的施工机械、设备、机具有详细计划且计划周密，设备数量充足、选型配置、进场数量、时间合理、优于施工需要得5分；</w:t>
            </w:r>
          </w:p>
          <w:p w14:paraId="5DFB31F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2.投入的施工机械、设备、机具有计划且计划完整，设备数量适中、选型配置、进场数量、时间安排合理、能够满足施工需要得4分；</w:t>
            </w:r>
          </w:p>
          <w:p w14:paraId="018B7C1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3.投入的施工机械、设备、机具、选型配置、进场数量、时间部分存在缺失，有待完善的得3分；</w:t>
            </w:r>
          </w:p>
          <w:p w14:paraId="7AFEB8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4.不合格的或未提供的不得分。</w:t>
            </w:r>
          </w:p>
        </w:tc>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14:paraId="110A18B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0-5分</w:t>
            </w:r>
          </w:p>
        </w:tc>
      </w:tr>
      <w:tr w14:paraId="6035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086" w:type="dxa"/>
            <w:vMerge w:val="continue"/>
            <w:tcBorders>
              <w:left w:val="single" w:color="auto" w:sz="4" w:space="0"/>
              <w:right w:val="single" w:color="auto" w:sz="4" w:space="0"/>
            </w:tcBorders>
            <w:vAlign w:val="center"/>
          </w:tcPr>
          <w:p w14:paraId="30EA7158">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080F3F16">
            <w:pPr>
              <w:keepNext w:val="0"/>
              <w:keepLines w:val="0"/>
              <w:pageBreakBefore w:val="0"/>
              <w:kinsoku/>
              <w:wordWrap/>
              <w:overflowPunct/>
              <w:topLinePunct w:val="0"/>
              <w:autoSpaceDE/>
              <w:autoSpaceDN/>
              <w:bidi w:val="0"/>
              <w:adjustRightInd/>
              <w:snapToGrid/>
              <w:spacing w:line="3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.安全文明作业方案</w:t>
            </w:r>
          </w:p>
        </w:tc>
        <w:tc>
          <w:tcPr>
            <w:tcW w:w="4129" w:type="dxa"/>
            <w:tcBorders>
              <w:top w:val="single" w:color="auto" w:sz="4" w:space="0"/>
              <w:left w:val="single" w:color="auto" w:sz="4" w:space="0"/>
              <w:bottom w:val="single" w:color="auto" w:sz="4" w:space="0"/>
              <w:right w:val="single" w:color="auto" w:sz="4" w:space="0"/>
            </w:tcBorders>
            <w:vAlign w:val="center"/>
          </w:tcPr>
          <w:p w14:paraId="185F7491">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根据现场实际情况结合本项目特点，制定科学、合理、有针对性的安全文明作业方案</w:t>
            </w:r>
            <w:r>
              <w:rPr>
                <w:rFonts w:hint="eastAsia" w:ascii="宋体" w:hAnsi="宋体" w:eastAsia="宋体" w:cs="宋体"/>
                <w:color w:val="auto"/>
                <w:spacing w:val="1"/>
                <w:kern w:val="0"/>
                <w:sz w:val="24"/>
                <w:szCs w:val="24"/>
                <w:highlight w:val="none"/>
                <w:lang w:val="en-US" w:eastAsia="zh-CN"/>
              </w:rPr>
              <w:t>进行综合评审：</w:t>
            </w:r>
            <w:r>
              <w:rPr>
                <w:rFonts w:hint="eastAsia" w:ascii="宋体" w:hAnsi="宋体" w:eastAsia="宋体" w:cs="宋体"/>
                <w:color w:val="auto"/>
                <w:sz w:val="24"/>
                <w:szCs w:val="24"/>
                <w:highlight w:val="none"/>
                <w:lang w:val="en-US" w:eastAsia="zh-CN"/>
              </w:rPr>
              <w:t>（方案需至少体现以下内容：①花卉更换</w:t>
            </w:r>
            <w:r>
              <w:rPr>
                <w:rFonts w:hint="eastAsia" w:ascii="宋体" w:hAnsi="宋体" w:eastAsia="宋体" w:cs="宋体"/>
                <w:color w:val="auto"/>
                <w:sz w:val="24"/>
                <w:szCs w:val="24"/>
                <w:highlight w:val="none"/>
                <w:lang w:eastAsia="zh-CN"/>
              </w:rPr>
              <w:t>的安全文明保障措施，</w:t>
            </w:r>
            <w:r>
              <w:rPr>
                <w:rFonts w:hint="eastAsia" w:ascii="宋体" w:hAnsi="宋体" w:eastAsia="宋体" w:cs="宋体"/>
                <w:color w:val="auto"/>
                <w:sz w:val="24"/>
                <w:szCs w:val="24"/>
                <w:highlight w:val="none"/>
                <w:lang w:val="en-US" w:eastAsia="zh-CN"/>
              </w:rPr>
              <w:t>②花卉日常养护安全文明保障措施（浇水、除草等））</w:t>
            </w:r>
          </w:p>
          <w:p w14:paraId="7E20ADDB">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（1）方案覆盖全面、要点突出，内容完整详实，表述清晰，本项目实际需求适应度相契合，利于项目实施的得5分。 </w:t>
            </w:r>
          </w:p>
          <w:p w14:paraId="134D02E3">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（2）方案覆盖全面，内容完整，与本项目实际需求匹配，符合项目实施要求的得4分； </w:t>
            </w:r>
          </w:p>
          <w:p w14:paraId="11F13B53">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（3）方案覆盖不全面，要点突出不够明显，具体细节有待完善的得3分； </w:t>
            </w:r>
          </w:p>
          <w:p w14:paraId="5D4853AC">
            <w:pPr>
              <w:keepNext w:val="0"/>
              <w:keepLines w:val="0"/>
              <w:pageBreakBefore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（4）未提供的不得分。</w:t>
            </w:r>
          </w:p>
        </w:tc>
        <w:tc>
          <w:tcPr>
            <w:tcW w:w="1202" w:type="dxa"/>
            <w:tcBorders>
              <w:top w:val="single" w:color="auto" w:sz="4" w:space="0"/>
              <w:left w:val="single" w:color="auto" w:sz="4" w:space="0"/>
              <w:bottom w:val="single" w:color="auto" w:sz="4" w:space="0"/>
              <w:right w:val="single" w:color="auto" w:sz="4" w:space="0"/>
            </w:tcBorders>
            <w:vAlign w:val="center"/>
          </w:tcPr>
          <w:p w14:paraId="79F57407">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0D0E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3A7772EB">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0DE09D02">
            <w:pPr>
              <w:adjustRightInd w:val="0"/>
              <w:snapToGrid w:val="0"/>
              <w:spacing w:line="560" w:lineRule="exact"/>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质量管理措施</w:t>
            </w:r>
          </w:p>
        </w:tc>
        <w:tc>
          <w:tcPr>
            <w:tcW w:w="4129" w:type="dxa"/>
            <w:tcBorders>
              <w:top w:val="single" w:color="auto" w:sz="4" w:space="0"/>
              <w:left w:val="single" w:color="auto" w:sz="4" w:space="0"/>
              <w:bottom w:val="single" w:color="auto" w:sz="4" w:space="0"/>
              <w:right w:val="single" w:color="auto" w:sz="4" w:space="0"/>
            </w:tcBorders>
            <w:vAlign w:val="center"/>
          </w:tcPr>
          <w:p w14:paraId="1EB06DFE">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kern w:val="0"/>
                <w:sz w:val="24"/>
                <w:szCs w:val="24"/>
                <w:highlight w:val="none"/>
                <w:lang w:val="en-US" w:eastAsia="zh-CN"/>
              </w:rPr>
              <w:t>根据各</w:t>
            </w:r>
            <w:r>
              <w:rPr>
                <w:rFonts w:hint="eastAsia" w:ascii="宋体" w:hAnsi="宋体" w:cs="宋体"/>
                <w:color w:val="auto"/>
                <w:spacing w:val="1"/>
                <w:kern w:val="0"/>
                <w:sz w:val="24"/>
                <w:szCs w:val="24"/>
                <w:highlight w:val="none"/>
                <w:lang w:val="en-US" w:eastAsia="zh-CN"/>
              </w:rPr>
              <w:t>供应商</w:t>
            </w:r>
            <w:r>
              <w:rPr>
                <w:rFonts w:hint="eastAsia" w:ascii="宋体" w:hAnsi="宋体" w:eastAsia="宋体" w:cs="宋体"/>
                <w:color w:val="auto"/>
                <w:spacing w:val="1"/>
                <w:kern w:val="0"/>
                <w:sz w:val="24"/>
                <w:szCs w:val="24"/>
                <w:highlight w:val="none"/>
                <w:lang w:val="en-US" w:eastAsia="zh-CN"/>
              </w:rPr>
              <w:t>提供的</w:t>
            </w:r>
            <w:r>
              <w:rPr>
                <w:rFonts w:hint="eastAsia" w:ascii="宋体" w:hAnsi="宋体" w:eastAsia="宋体" w:cs="宋体"/>
                <w:color w:val="auto"/>
                <w:sz w:val="24"/>
                <w:szCs w:val="24"/>
                <w:highlight w:val="none"/>
              </w:rPr>
              <w:t>针对</w:t>
            </w:r>
            <w:r>
              <w:rPr>
                <w:rFonts w:hint="eastAsia" w:ascii="宋体" w:hAnsi="宋体"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eastAsia="zh-CN"/>
              </w:rPr>
              <w:t>花卉品种选择及规格、施工工程中栽植密度、栽植质量把控及后期养护措施</w:t>
            </w:r>
            <w:r>
              <w:rPr>
                <w:rFonts w:hint="eastAsia" w:ascii="宋体" w:hAnsi="宋体" w:eastAsia="宋体" w:cs="宋体"/>
                <w:color w:val="auto"/>
                <w:sz w:val="24"/>
                <w:szCs w:val="24"/>
                <w:highlight w:val="none"/>
                <w:lang w:val="en-US" w:eastAsia="zh-CN"/>
              </w:rPr>
              <w:t>等方面进行综合评审</w:t>
            </w:r>
            <w:r>
              <w:rPr>
                <w:rFonts w:hint="eastAsia" w:ascii="宋体" w:hAnsi="宋体" w:eastAsia="宋体" w:cs="宋体"/>
                <w:color w:val="auto"/>
                <w:sz w:val="24"/>
                <w:szCs w:val="24"/>
                <w:highlight w:val="none"/>
              </w:rPr>
              <w:t>；</w:t>
            </w:r>
          </w:p>
          <w:p w14:paraId="53D759BC">
            <w:pPr>
              <w:jc w:val="both"/>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1）管理措施和</w:t>
            </w:r>
            <w:r>
              <w:rPr>
                <w:rFonts w:hint="eastAsia" w:ascii="宋体" w:hAnsi="宋体" w:eastAsia="宋体" w:cs="宋体"/>
                <w:color w:val="auto"/>
                <w:spacing w:val="1"/>
                <w:kern w:val="0"/>
                <w:sz w:val="24"/>
                <w:szCs w:val="24"/>
                <w:highlight w:val="none"/>
                <w:lang w:val="en-US" w:eastAsia="zh-CN"/>
              </w:rPr>
              <w:t>方案内容完整详尽，分析和保障管理措施完善，具有实施性得5分；</w:t>
            </w:r>
          </w:p>
          <w:p w14:paraId="49268139">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val="en-US" w:eastAsia="zh-CN"/>
              </w:rPr>
              <w:t>细致</w:t>
            </w:r>
            <w:r>
              <w:rPr>
                <w:rFonts w:hint="eastAsia" w:ascii="宋体" w:hAnsi="宋体" w:eastAsia="宋体" w:cs="宋体"/>
                <w:color w:val="auto"/>
                <w:sz w:val="24"/>
                <w:szCs w:val="24"/>
                <w:highlight w:val="none"/>
              </w:rPr>
              <w:t>的养护质量</w:t>
            </w:r>
            <w:r>
              <w:rPr>
                <w:rFonts w:hint="eastAsia" w:ascii="宋体" w:hAnsi="宋体" w:eastAsia="宋体" w:cs="宋体"/>
                <w:color w:val="auto"/>
                <w:sz w:val="24"/>
                <w:szCs w:val="24"/>
                <w:highlight w:val="none"/>
                <w:lang w:val="en-US" w:eastAsia="zh-CN"/>
              </w:rPr>
              <w:t>措施</w:t>
            </w:r>
            <w:r>
              <w:rPr>
                <w:rFonts w:hint="eastAsia" w:ascii="宋体" w:hAnsi="宋体" w:eastAsia="宋体" w:cs="宋体"/>
                <w:color w:val="auto"/>
                <w:sz w:val="24"/>
                <w:szCs w:val="24"/>
                <w:highlight w:val="none"/>
              </w:rPr>
              <w:t>，质量控制管理措施</w:t>
            </w:r>
            <w:r>
              <w:rPr>
                <w:rFonts w:hint="eastAsia" w:ascii="宋体" w:hAnsi="宋体" w:eastAsia="宋体" w:cs="宋体"/>
                <w:color w:val="auto"/>
                <w:sz w:val="24"/>
                <w:szCs w:val="24"/>
                <w:highlight w:val="none"/>
                <w:lang w:val="en-US" w:eastAsia="zh-CN"/>
              </w:rPr>
              <w:t>基本完整得4分；</w:t>
            </w:r>
          </w:p>
          <w:p w14:paraId="61E2D411">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3）措施清晰，</w:t>
            </w:r>
            <w:r>
              <w:rPr>
                <w:rFonts w:hint="eastAsia" w:ascii="宋体" w:hAnsi="宋体" w:eastAsia="宋体" w:cs="宋体"/>
                <w:color w:val="auto"/>
                <w:sz w:val="24"/>
                <w:szCs w:val="24"/>
                <w:highlight w:val="none"/>
              </w:rPr>
              <w:t>但缺项或关键点缺失</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出现非专门针对本项目特性内容的得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14:paraId="7F37611A">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z w:val="24"/>
                <w:szCs w:val="24"/>
                <w:highlight w:val="none"/>
                <w:lang w:val="en-US" w:eastAsia="zh-CN"/>
              </w:rPr>
              <w:t>（4）措施不能满足项目实施要求或未提供的不得分。</w:t>
            </w:r>
          </w:p>
        </w:tc>
        <w:tc>
          <w:tcPr>
            <w:tcW w:w="1202" w:type="dxa"/>
            <w:tcBorders>
              <w:top w:val="single" w:color="auto" w:sz="4" w:space="0"/>
              <w:left w:val="single" w:color="auto" w:sz="4" w:space="0"/>
              <w:bottom w:val="single" w:color="auto" w:sz="4" w:space="0"/>
              <w:right w:val="single" w:color="auto" w:sz="4" w:space="0"/>
            </w:tcBorders>
            <w:vAlign w:val="center"/>
          </w:tcPr>
          <w:p w14:paraId="6F6558FC">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5CC9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086" w:type="dxa"/>
            <w:vMerge w:val="continue"/>
            <w:tcBorders>
              <w:left w:val="single" w:color="auto" w:sz="4" w:space="0"/>
              <w:right w:val="single" w:color="auto" w:sz="4" w:space="0"/>
            </w:tcBorders>
            <w:vAlign w:val="center"/>
          </w:tcPr>
          <w:p w14:paraId="7BF41F6B">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53F8FA57">
            <w:pPr>
              <w:keepNext w:val="0"/>
              <w:keepLines w:val="0"/>
              <w:pageBreakBefore w:val="0"/>
              <w:kinsoku/>
              <w:wordWrap/>
              <w:overflowPunct/>
              <w:topLinePunct w:val="0"/>
              <w:autoSpaceDE/>
              <w:autoSpaceDN/>
              <w:bidi w:val="0"/>
              <w:adjustRightInd/>
              <w:snapToGrid/>
              <w:spacing w:line="3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.进度管理措施</w:t>
            </w:r>
          </w:p>
        </w:tc>
        <w:tc>
          <w:tcPr>
            <w:tcW w:w="4129" w:type="dxa"/>
            <w:tcBorders>
              <w:top w:val="single" w:color="auto" w:sz="4" w:space="0"/>
              <w:left w:val="single" w:color="auto" w:sz="4" w:space="0"/>
              <w:bottom w:val="single" w:color="auto" w:sz="4" w:space="0"/>
              <w:right w:val="single" w:color="auto" w:sz="4" w:space="0"/>
            </w:tcBorders>
            <w:vAlign w:val="center"/>
          </w:tcPr>
          <w:p w14:paraId="45775CB9">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提供的针对本项目节假日等节点花卉更换，保证施工进度按时完成提出可行进度管理措施进行综合评审：</w:t>
            </w:r>
          </w:p>
          <w:p w14:paraId="08D0B131">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（1）方案贴合项目需求设置的进度保障措施，内容完整、表述合理且清晰，有充足的保障措施，确保项目施工进度能保质保量、按时完成的得5分；</w:t>
            </w:r>
          </w:p>
          <w:p w14:paraId="70197BD8">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（2）方案满足节假日节点更换需求，制定了切实可行的进度保障措施，满足项目需求及进度要求的得4分；</w:t>
            </w:r>
          </w:p>
          <w:p w14:paraId="1F9A8BA8">
            <w:pPr>
              <w:keepNext w:val="0"/>
              <w:keepLines w:val="0"/>
              <w:pageBreakBefore w:val="0"/>
              <w:kinsoku/>
              <w:wordWrap/>
              <w:overflowPunct/>
              <w:topLinePunct w:val="0"/>
              <w:autoSpaceDE/>
              <w:autoSpaceDN/>
              <w:bidi w:val="0"/>
              <w:adjustRightInd/>
              <w:snapToGrid/>
              <w:spacing w:line="35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（3）方案未结合项目需求，虽有内容但实施方案空洞，不能满足项目或关键点缺失的得3分；</w:t>
            </w:r>
          </w:p>
          <w:p w14:paraId="7EB9B06D">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（4）未提供不得分。</w:t>
            </w:r>
          </w:p>
        </w:tc>
        <w:tc>
          <w:tcPr>
            <w:tcW w:w="1202" w:type="dxa"/>
            <w:tcBorders>
              <w:top w:val="single" w:color="auto" w:sz="4" w:space="0"/>
              <w:left w:val="single" w:color="auto" w:sz="4" w:space="0"/>
              <w:bottom w:val="single" w:color="auto" w:sz="4" w:space="0"/>
              <w:right w:val="single" w:color="auto" w:sz="4" w:space="0"/>
            </w:tcBorders>
            <w:vAlign w:val="center"/>
          </w:tcPr>
          <w:p w14:paraId="137FD564">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4FF0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218F71EA">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074D17B7">
            <w:pPr>
              <w:keepNext w:val="0"/>
              <w:keepLines w:val="0"/>
              <w:pageBreakBefore w:val="0"/>
              <w:kinsoku/>
              <w:wordWrap/>
              <w:overflowPunct/>
              <w:topLinePunct w:val="0"/>
              <w:autoSpaceDE/>
              <w:autoSpaceDN/>
              <w:bidi w:val="0"/>
              <w:adjustRightInd/>
              <w:snapToGrid/>
              <w:spacing w:line="3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.人员管理方案</w:t>
            </w:r>
          </w:p>
        </w:tc>
        <w:tc>
          <w:tcPr>
            <w:tcW w:w="4129" w:type="dxa"/>
            <w:tcBorders>
              <w:top w:val="single" w:color="auto" w:sz="4" w:space="0"/>
              <w:left w:val="single" w:color="auto" w:sz="4" w:space="0"/>
              <w:bottom w:val="single" w:color="auto" w:sz="4" w:space="0"/>
              <w:right w:val="single" w:color="auto" w:sz="4" w:space="0"/>
            </w:tcBorders>
            <w:vAlign w:val="center"/>
          </w:tcPr>
          <w:p w14:paraId="78BD4630">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提供的针对本项目花卉</w:t>
            </w:r>
            <w:r>
              <w:rPr>
                <w:rFonts w:hint="eastAsia" w:ascii="宋体" w:hAnsi="宋体" w:cs="宋体"/>
                <w:color w:val="auto"/>
                <w:sz w:val="24"/>
                <w:szCs w:val="24"/>
                <w:highlight w:val="none"/>
                <w:lang w:val="en-US" w:eastAsia="zh-CN"/>
              </w:rPr>
              <w:t>和绿雕位置分散</w:t>
            </w:r>
            <w:r>
              <w:rPr>
                <w:rFonts w:hint="eastAsia" w:ascii="宋体" w:hAnsi="宋体" w:eastAsia="宋体" w:cs="宋体"/>
                <w:color w:val="auto"/>
                <w:sz w:val="24"/>
                <w:szCs w:val="24"/>
                <w:highlight w:val="none"/>
                <w:lang w:val="en-US" w:eastAsia="zh-CN"/>
              </w:rPr>
              <w:t>的特点，对施工和养护期间的人员安排、人员网格化管理方案进行评审：</w:t>
            </w:r>
          </w:p>
          <w:p w14:paraId="01D2BF4E">
            <w:pPr>
              <w:keepNext w:val="0"/>
              <w:keepLines w:val="0"/>
              <w:pageBreakBefore w:val="0"/>
              <w:numPr>
                <w:ilvl w:val="0"/>
                <w:numId w:val="0"/>
              </w:numPr>
              <w:kinsoku/>
              <w:overflowPunct/>
              <w:topLinePunct w:val="0"/>
              <w:autoSpaceDE/>
              <w:autoSpaceDN/>
              <w:bidi w:val="0"/>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1.方案贴合项目需求实际，各部分描述详尽，</w:t>
            </w:r>
            <w:r>
              <w:rPr>
                <w:rFonts w:hint="eastAsia" w:ascii="宋体" w:hAnsi="宋体" w:eastAsia="宋体" w:cs="宋体"/>
                <w:color w:val="auto"/>
                <w:sz w:val="24"/>
                <w:szCs w:val="24"/>
                <w:highlight w:val="none"/>
              </w:rPr>
              <w:t>完全满足采购人需求</w:t>
            </w:r>
            <w:r>
              <w:rPr>
                <w:rFonts w:hint="eastAsia" w:ascii="宋体" w:hAnsi="宋体" w:eastAsia="宋体" w:cs="宋体"/>
                <w:color w:val="auto"/>
                <w:sz w:val="24"/>
                <w:szCs w:val="24"/>
                <w:highlight w:val="none"/>
                <w:lang w:val="en-US" w:eastAsia="zh-CN"/>
              </w:rPr>
              <w:t>，具备可行性</w:t>
            </w:r>
            <w:r>
              <w:rPr>
                <w:rFonts w:hint="eastAsia" w:ascii="宋体" w:hAnsi="宋体" w:eastAsia="宋体" w:cs="宋体"/>
                <w:color w:val="auto"/>
                <w:sz w:val="24"/>
                <w:szCs w:val="24"/>
                <w:highlight w:val="none"/>
              </w:rPr>
              <w:t>的得5分；</w:t>
            </w:r>
          </w:p>
          <w:p w14:paraId="20021C5A">
            <w:pPr>
              <w:keepNext w:val="0"/>
              <w:keepLines w:val="0"/>
              <w:pageBreakBefore w:val="0"/>
              <w:numPr>
                <w:ilvl w:val="0"/>
                <w:numId w:val="0"/>
              </w:numPr>
              <w:kinsoku/>
              <w:overflowPunct/>
              <w:topLinePunct w:val="0"/>
              <w:autoSpaceDE/>
              <w:autoSpaceDN/>
              <w:bidi w:val="0"/>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2.方案</w:t>
            </w:r>
            <w:r>
              <w:rPr>
                <w:rFonts w:hint="eastAsia" w:ascii="宋体" w:hAnsi="宋体" w:eastAsia="宋体" w:cs="宋体"/>
                <w:color w:val="auto"/>
                <w:sz w:val="24"/>
                <w:szCs w:val="24"/>
                <w:highlight w:val="none"/>
              </w:rPr>
              <w:t>满足要求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具备实施性的</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p w14:paraId="3C196702">
            <w:pPr>
              <w:keepNext w:val="0"/>
              <w:keepLines w:val="0"/>
              <w:pageBreakBefore w:val="0"/>
              <w:numPr>
                <w:ilvl w:val="0"/>
                <w:numId w:val="0"/>
              </w:numPr>
              <w:kinsoku/>
              <w:overflowPunct/>
              <w:topLinePunct w:val="0"/>
              <w:autoSpaceDE/>
              <w:autoSpaceDN/>
              <w:bidi w:val="0"/>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3.方案虽结合</w:t>
            </w:r>
            <w:r>
              <w:rPr>
                <w:rFonts w:hint="eastAsia" w:ascii="宋体" w:hAnsi="宋体" w:eastAsia="宋体" w:cs="宋体"/>
                <w:color w:val="auto"/>
                <w:sz w:val="24"/>
                <w:szCs w:val="24"/>
                <w:highlight w:val="none"/>
              </w:rPr>
              <w:t>采购人需求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但内容缺失或</w:t>
            </w:r>
            <w:r>
              <w:rPr>
                <w:rFonts w:hint="eastAsia" w:ascii="宋体" w:hAnsi="宋体" w:eastAsia="宋体" w:cs="宋体"/>
                <w:color w:val="auto"/>
                <w:spacing w:val="1"/>
                <w:kern w:val="0"/>
                <w:sz w:val="24"/>
                <w:szCs w:val="24"/>
                <w:highlight w:val="none"/>
              </w:rPr>
              <w:t>具体细节有待完善</w:t>
            </w:r>
            <w:r>
              <w:rPr>
                <w:rFonts w:hint="eastAsia" w:ascii="宋体" w:hAnsi="宋体" w:eastAsia="宋体" w:cs="宋体"/>
                <w:color w:val="auto"/>
                <w:sz w:val="24"/>
                <w:szCs w:val="24"/>
                <w:highlight w:val="none"/>
              </w:rPr>
              <w:t>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14:paraId="48C45342">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kern w:val="2"/>
                <w:sz w:val="24"/>
                <w:szCs w:val="24"/>
                <w:highlight w:val="none"/>
                <w:lang w:val="en-US" w:eastAsia="zh-CN" w:bidi="ar-SA"/>
              </w:rPr>
              <w:t>未提供的不得分</w:t>
            </w:r>
            <w:r>
              <w:rPr>
                <w:rFonts w:hint="eastAsia" w:ascii="宋体" w:hAnsi="宋体" w:eastAsia="宋体" w:cs="宋体"/>
                <w:color w:val="auto"/>
                <w:sz w:val="24"/>
                <w:szCs w:val="24"/>
                <w:highlight w:val="none"/>
              </w:rPr>
              <w:t>。</w:t>
            </w:r>
          </w:p>
        </w:tc>
        <w:tc>
          <w:tcPr>
            <w:tcW w:w="1202" w:type="dxa"/>
            <w:tcBorders>
              <w:top w:val="single" w:color="auto" w:sz="4" w:space="0"/>
              <w:left w:val="single" w:color="auto" w:sz="4" w:space="0"/>
              <w:bottom w:val="single" w:color="auto" w:sz="4" w:space="0"/>
              <w:right w:val="single" w:color="auto" w:sz="4" w:space="0"/>
            </w:tcBorders>
            <w:vAlign w:val="center"/>
          </w:tcPr>
          <w:p w14:paraId="2FFC243A">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5334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46A6CBB7">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00B49ABA">
            <w:pPr>
              <w:keepNext w:val="0"/>
              <w:keepLines w:val="0"/>
              <w:pageBreakBefore w:val="0"/>
              <w:kinsoku/>
              <w:wordWrap/>
              <w:overflowPunct/>
              <w:topLinePunct w:val="0"/>
              <w:autoSpaceDE/>
              <w:autoSpaceDN/>
              <w:bidi w:val="0"/>
              <w:adjustRightInd/>
              <w:snapToGrid/>
              <w:spacing w:line="3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.重难点养护方案</w:t>
            </w:r>
          </w:p>
        </w:tc>
        <w:tc>
          <w:tcPr>
            <w:tcW w:w="4129" w:type="dxa"/>
            <w:tcBorders>
              <w:top w:val="single" w:color="auto" w:sz="4" w:space="0"/>
              <w:left w:val="single" w:color="auto" w:sz="4" w:space="0"/>
              <w:bottom w:val="single" w:color="auto" w:sz="4" w:space="0"/>
              <w:right w:val="single" w:color="auto" w:sz="4" w:space="0"/>
            </w:tcBorders>
            <w:vAlign w:val="center"/>
          </w:tcPr>
          <w:p w14:paraId="6F90F883">
            <w:pPr>
              <w:keepNext w:val="0"/>
              <w:keepLines w:val="0"/>
              <w:pageBreakBefore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提供的针对本项目养护地点分散、夏季高温抗旱、花卉绿雕养护技术等重难点问题提出解决方案：</w:t>
            </w:r>
          </w:p>
          <w:p w14:paraId="688CA70F">
            <w:pPr>
              <w:spacing w:line="440" w:lineRule="exact"/>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1）对本项目重点区域绿化养护措施和方案</w:t>
            </w:r>
            <w:r>
              <w:rPr>
                <w:rFonts w:hint="eastAsia" w:asciiTheme="minorEastAsia" w:hAnsiTheme="minorEastAsia" w:eastAsiaTheme="minorEastAsia"/>
                <w:color w:val="auto"/>
                <w:sz w:val="24"/>
                <w:highlight w:val="none"/>
              </w:rPr>
              <w:t>内容完整详尽，措施完善，充分考虑日常工作安排实施方案等因素，满足项目实施要求</w:t>
            </w:r>
            <w:r>
              <w:rPr>
                <w:rFonts w:hint="eastAsia" w:asciiTheme="minorEastAsia" w:hAnsiTheme="minorEastAsia" w:eastAsiaTheme="minorEastAsia"/>
                <w:color w:val="auto"/>
                <w:sz w:val="24"/>
                <w:highlight w:val="none"/>
                <w:lang w:val="en-US" w:eastAsia="zh-CN"/>
              </w:rPr>
              <w:t>的</w:t>
            </w:r>
            <w:r>
              <w:rPr>
                <w:rFonts w:hint="eastAsia" w:asciiTheme="minorEastAsia" w:hAnsiTheme="minorEastAsia" w:eastAsiaTheme="minorEastAsia"/>
                <w:color w:val="auto"/>
                <w:sz w:val="24"/>
                <w:highlight w:val="none"/>
              </w:rPr>
              <w:t>得5分；</w:t>
            </w:r>
          </w:p>
          <w:p w14:paraId="05D4CA16">
            <w:pPr>
              <w:spacing w:line="440" w:lineRule="exact"/>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2）对本项目重点区域绿化养护措施和方案</w:t>
            </w:r>
            <w:r>
              <w:rPr>
                <w:rFonts w:hint="eastAsia" w:asciiTheme="minorEastAsia" w:hAnsiTheme="minorEastAsia" w:eastAsiaTheme="minorEastAsia"/>
                <w:color w:val="auto"/>
                <w:sz w:val="24"/>
                <w:highlight w:val="none"/>
              </w:rPr>
              <w:t>内容完整，具有</w:t>
            </w:r>
            <w:r>
              <w:rPr>
                <w:rFonts w:hint="eastAsia" w:asciiTheme="minorEastAsia" w:hAnsiTheme="minorEastAsia" w:eastAsiaTheme="minorEastAsia"/>
                <w:color w:val="auto"/>
                <w:sz w:val="24"/>
                <w:highlight w:val="none"/>
                <w:lang w:val="en-US" w:eastAsia="zh-CN"/>
              </w:rPr>
              <w:t>可行的</w:t>
            </w:r>
            <w:r>
              <w:rPr>
                <w:rFonts w:hint="eastAsia" w:asciiTheme="minorEastAsia" w:hAnsiTheme="minorEastAsia" w:eastAsiaTheme="minorEastAsia"/>
                <w:color w:val="auto"/>
                <w:sz w:val="24"/>
                <w:highlight w:val="none"/>
              </w:rPr>
              <w:t>保障措施，有考虑实施方案等因素，部分满足项目实施要求</w:t>
            </w:r>
            <w:r>
              <w:rPr>
                <w:rFonts w:hint="eastAsia" w:asciiTheme="minorEastAsia" w:hAnsiTheme="minorEastAsia" w:eastAsiaTheme="minorEastAsia"/>
                <w:color w:val="auto"/>
                <w:sz w:val="24"/>
                <w:highlight w:val="none"/>
                <w:lang w:val="en-US" w:eastAsia="zh-CN"/>
              </w:rPr>
              <w:t>的</w:t>
            </w:r>
            <w:r>
              <w:rPr>
                <w:rFonts w:hint="eastAsia" w:asciiTheme="minorEastAsia" w:hAnsiTheme="minorEastAsia" w:eastAsiaTheme="minorEastAsia"/>
                <w:color w:val="auto"/>
                <w:sz w:val="24"/>
                <w:highlight w:val="none"/>
              </w:rPr>
              <w:t>得4分；</w:t>
            </w:r>
          </w:p>
          <w:p w14:paraId="6A06556C">
            <w:pPr>
              <w:spacing w:line="440" w:lineRule="exact"/>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方案内容简单，实施方案</w:t>
            </w:r>
            <w:r>
              <w:rPr>
                <w:rFonts w:hint="eastAsia" w:asciiTheme="minorEastAsia" w:hAnsiTheme="minorEastAsia" w:eastAsiaTheme="minorEastAsia"/>
                <w:color w:val="auto"/>
                <w:sz w:val="24"/>
                <w:highlight w:val="none"/>
                <w:lang w:val="en-US" w:eastAsia="zh-CN"/>
              </w:rPr>
              <w:t>内容粗糙</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有待改善</w:t>
            </w:r>
            <w:r>
              <w:rPr>
                <w:rFonts w:hint="eastAsia" w:asciiTheme="minorEastAsia" w:hAnsiTheme="minorEastAsia" w:eastAsiaTheme="minorEastAsia"/>
                <w:color w:val="auto"/>
                <w:sz w:val="24"/>
                <w:highlight w:val="none"/>
                <w:lang w:val="en-US" w:eastAsia="zh-CN"/>
              </w:rPr>
              <w:t>的</w:t>
            </w:r>
            <w:r>
              <w:rPr>
                <w:rFonts w:hint="eastAsia" w:asciiTheme="minorEastAsia" w:hAnsiTheme="minorEastAsia" w:eastAsiaTheme="minorEastAsia"/>
                <w:color w:val="auto"/>
                <w:sz w:val="24"/>
                <w:highlight w:val="none"/>
              </w:rPr>
              <w:t>得3分；</w:t>
            </w:r>
          </w:p>
          <w:p w14:paraId="5FAEDAC0">
            <w:pPr>
              <w:keepNext w:val="0"/>
              <w:keepLines w:val="0"/>
              <w:pageBreakBefore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未提供的不得分。</w:t>
            </w:r>
          </w:p>
        </w:tc>
        <w:tc>
          <w:tcPr>
            <w:tcW w:w="1202" w:type="dxa"/>
            <w:tcBorders>
              <w:top w:val="single" w:color="auto" w:sz="4" w:space="0"/>
              <w:left w:val="single" w:color="auto" w:sz="4" w:space="0"/>
              <w:bottom w:val="single" w:color="auto" w:sz="4" w:space="0"/>
              <w:right w:val="single" w:color="auto" w:sz="4" w:space="0"/>
            </w:tcBorders>
            <w:vAlign w:val="center"/>
          </w:tcPr>
          <w:p w14:paraId="3FD74A75">
            <w:pPr>
              <w:widowControl/>
              <w:spacing w:line="440" w:lineRule="exact"/>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0-5分</w:t>
            </w:r>
          </w:p>
        </w:tc>
      </w:tr>
      <w:tr w14:paraId="3972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14912C8B">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2811B18C">
            <w:pPr>
              <w:keepNext w:val="0"/>
              <w:keepLines w:val="0"/>
              <w:pageBreakBefore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.看护方案</w:t>
            </w:r>
          </w:p>
        </w:tc>
        <w:tc>
          <w:tcPr>
            <w:tcW w:w="4129" w:type="dxa"/>
            <w:tcBorders>
              <w:top w:val="single" w:color="auto" w:sz="4" w:space="0"/>
              <w:left w:val="single" w:color="auto" w:sz="4" w:space="0"/>
              <w:bottom w:val="single" w:color="auto" w:sz="4" w:space="0"/>
              <w:right w:val="single" w:color="auto" w:sz="4" w:space="0"/>
            </w:tcBorders>
            <w:vAlign w:val="center"/>
          </w:tcPr>
          <w:p w14:paraId="51589F95">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提供的针对本项目制定的看护方案进行评审：</w:t>
            </w:r>
          </w:p>
          <w:p w14:paraId="59A7255A">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（1）组织措施、巡查方案、处理方案覆盖全面、要点突出，内容完整详实，表述清晰，本项目实际需求适应度相契合，利于项目实施的得5分。 </w:t>
            </w:r>
          </w:p>
          <w:p w14:paraId="2E938CDD">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（2）组织措施、巡查方案、处理方案覆盖全面、要点明确、，内容完整详实，表述清晰，与本项目实际需求较为匹配，符合项目实施要求的得4分； </w:t>
            </w:r>
          </w:p>
          <w:p w14:paraId="0246B281">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（3）组织措施、巡查方案、处理方案覆盖不全面，要点突出不明显，具体细节有待完善的得3分； </w:t>
            </w:r>
          </w:p>
          <w:p w14:paraId="7F278418">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rPr>
              <w:t>（4）未提供的不得分。</w:t>
            </w:r>
          </w:p>
        </w:tc>
        <w:tc>
          <w:tcPr>
            <w:tcW w:w="1202" w:type="dxa"/>
            <w:tcBorders>
              <w:top w:val="single" w:color="auto" w:sz="4" w:space="0"/>
              <w:left w:val="single" w:color="auto" w:sz="4" w:space="0"/>
              <w:bottom w:val="single" w:color="auto" w:sz="4" w:space="0"/>
              <w:right w:val="single" w:color="auto" w:sz="4" w:space="0"/>
            </w:tcBorders>
            <w:vAlign w:val="center"/>
          </w:tcPr>
          <w:p w14:paraId="1952FFAB">
            <w:pPr>
              <w:widowControl/>
              <w:spacing w:line="440" w:lineRule="exact"/>
              <w:jc w:val="center"/>
              <w:rPr>
                <w:rFonts w:hint="eastAsia" w:asciiTheme="minorEastAsia" w:hAnsiTheme="minorEastAsia" w:eastAsiaTheme="minorEastAsia"/>
                <w:color w:val="auto"/>
                <w:sz w:val="24"/>
                <w:szCs w:val="24"/>
                <w:highlight w:val="none"/>
              </w:rPr>
            </w:pPr>
            <w:r>
              <w:rPr>
                <w:rFonts w:hint="eastAsia" w:ascii="宋体" w:hAnsi="宋体" w:eastAsia="宋体" w:cs="宋体"/>
                <w:color w:val="auto"/>
                <w:sz w:val="24"/>
                <w:szCs w:val="24"/>
                <w:highlight w:val="none"/>
                <w:lang w:bidi="ar"/>
              </w:rPr>
              <w:t>0-5分</w:t>
            </w:r>
          </w:p>
        </w:tc>
      </w:tr>
      <w:tr w14:paraId="3D0B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55DF9FFD">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7EE7C6E6">
            <w:pPr>
              <w:keepNext w:val="0"/>
              <w:keepLines w:val="0"/>
              <w:pageBreakBefore w:val="0"/>
              <w:kinsoku/>
              <w:wordWrap/>
              <w:overflowPunct/>
              <w:topLinePunct w:val="0"/>
              <w:autoSpaceDE/>
              <w:autoSpaceDN/>
              <w:bidi w:val="0"/>
              <w:adjustRightInd/>
              <w:snapToGrid/>
              <w:spacing w:line="3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.应急预案及突发事件处理和投诉受理方案</w:t>
            </w:r>
          </w:p>
        </w:tc>
        <w:tc>
          <w:tcPr>
            <w:tcW w:w="4129" w:type="dxa"/>
            <w:tcBorders>
              <w:top w:val="single" w:color="auto" w:sz="4" w:space="0"/>
              <w:left w:val="single" w:color="auto" w:sz="4" w:space="0"/>
              <w:bottom w:val="single" w:color="auto" w:sz="4" w:space="0"/>
              <w:right w:val="single" w:color="auto" w:sz="4" w:space="0"/>
            </w:tcBorders>
            <w:vAlign w:val="center"/>
          </w:tcPr>
          <w:p w14:paraId="04D3D0B0">
            <w:pPr>
              <w:keepNext w:val="0"/>
              <w:keepLines w:val="0"/>
              <w:pageBreakBefore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提供的</w:t>
            </w:r>
            <w:r>
              <w:rPr>
                <w:rFonts w:hint="eastAsia" w:ascii="宋体" w:hAnsi="宋体" w:eastAsia="宋体" w:cs="宋体"/>
                <w:color w:val="auto"/>
                <w:sz w:val="24"/>
                <w:szCs w:val="24"/>
                <w:highlight w:val="none"/>
                <w:lang w:val="en-US" w:eastAsia="zh-CN"/>
              </w:rPr>
              <w:t>针对本项目实际情况制定的应急预案、针对恶劣天气、市民、市长热线投诉、媒体曝光及服务范围内的所有数字化城管案件等受理处置建立制度及相应措施进行评审，应急预案包括：</w:t>
            </w:r>
            <w:r>
              <w:rPr>
                <w:rFonts w:hint="eastAsia" w:ascii="宋体" w:hAnsi="宋体" w:eastAsia="宋体" w:cs="宋体"/>
                <w:color w:val="auto"/>
                <w:sz w:val="24"/>
                <w:szCs w:val="24"/>
                <w:highlight w:val="none"/>
              </w:rPr>
              <w:t>应急服务保障措施、应急服务响应时间、应急设备车辆保障、重大或突发事件的人员配合、控制失误及其他相关服务等</w:t>
            </w:r>
            <w:r>
              <w:rPr>
                <w:rFonts w:hint="eastAsia" w:ascii="宋体" w:hAnsi="宋体" w:eastAsia="宋体" w:cs="宋体"/>
                <w:color w:val="auto"/>
                <w:sz w:val="24"/>
                <w:szCs w:val="24"/>
                <w:highlight w:val="none"/>
                <w:lang w:eastAsia="zh-CN"/>
              </w:rPr>
              <w:t>。</w:t>
            </w:r>
          </w:p>
          <w:p w14:paraId="18E46A95">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（1）方案完善，应急响应时间安排合理，应急设备及应急服务人员配备充足，突发情况应急处理控制措施完整可行的得5分；</w:t>
            </w:r>
          </w:p>
          <w:p w14:paraId="0F58EE7B">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（2）应急响应时间安排合理，应急设备及应急服务人员配备可行，可以完成突发情况应急处理得4分；</w:t>
            </w:r>
          </w:p>
          <w:p w14:paraId="3BB1DBE2">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（3）方案简单，应急响应时间、应急设备及应急服务人员配备勉强满足项目需求且出现非专门针对本项目特性内容，方案有待改善的得3分；</w:t>
            </w:r>
          </w:p>
          <w:p w14:paraId="478BB015">
            <w:pPr>
              <w:keepNext w:val="0"/>
              <w:keepLines w:val="0"/>
              <w:pageBreakBefore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pacing w:val="1"/>
                <w:kern w:val="0"/>
                <w:sz w:val="24"/>
                <w:szCs w:val="24"/>
                <w:highlight w:val="none"/>
                <w:lang w:val="en-US" w:eastAsia="zh-CN"/>
              </w:rPr>
              <w:t>（4）未提供不得分。</w:t>
            </w:r>
          </w:p>
        </w:tc>
        <w:tc>
          <w:tcPr>
            <w:tcW w:w="1202" w:type="dxa"/>
            <w:tcBorders>
              <w:top w:val="single" w:color="auto" w:sz="4" w:space="0"/>
              <w:left w:val="single" w:color="auto" w:sz="4" w:space="0"/>
              <w:bottom w:val="single" w:color="auto" w:sz="4" w:space="0"/>
              <w:right w:val="single" w:color="auto" w:sz="4" w:space="0"/>
            </w:tcBorders>
            <w:vAlign w:val="center"/>
          </w:tcPr>
          <w:p w14:paraId="59ED1982">
            <w:pPr>
              <w:widowControl/>
              <w:spacing w:line="440" w:lineRule="exact"/>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0-5分</w:t>
            </w:r>
          </w:p>
        </w:tc>
      </w:tr>
      <w:tr w14:paraId="75BD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70AF414A">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shd w:val="clear" w:color="auto" w:fill="auto"/>
            <w:vAlign w:val="center"/>
          </w:tcPr>
          <w:p w14:paraId="4FE46EA7">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z w:val="24"/>
                <w:szCs w:val="24"/>
                <w:highlight w:val="none"/>
                <w:lang w:val="en-US" w:eastAsia="zh-CN"/>
              </w:rPr>
              <w:t>13.合理化建议</w:t>
            </w:r>
          </w:p>
        </w:tc>
        <w:tc>
          <w:tcPr>
            <w:tcW w:w="4129" w:type="dxa"/>
            <w:tcBorders>
              <w:top w:val="single" w:color="auto" w:sz="4" w:space="0"/>
              <w:left w:val="single" w:color="auto" w:sz="4" w:space="0"/>
              <w:bottom w:val="single" w:color="auto" w:sz="4" w:space="0"/>
              <w:right w:val="single" w:color="auto" w:sz="4" w:space="0"/>
            </w:tcBorders>
            <w:shd w:val="clear" w:color="auto" w:fill="auto"/>
            <w:vAlign w:val="center"/>
          </w:tcPr>
          <w:p w14:paraId="19D84374">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根据供应商提供的合理化建议进行评审：</w:t>
            </w:r>
          </w:p>
          <w:p w14:paraId="35DC1C9E">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1.针对本项目特点，列出对本项目的建议，建议科学合理并且有具体的保证措施。各项措施周全、具体、有效的得5分；</w:t>
            </w:r>
          </w:p>
          <w:p w14:paraId="006CBD32">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2.针对本项目特点，列出本项目的建议，建议合理并且有具体的保证措施。各项措施内容清晰、完善的得4分；</w:t>
            </w:r>
          </w:p>
          <w:p w14:paraId="5A2B6F22">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3.针对本项目特点，列出本项目的建议及保证措施，但关键点缺失、有待完善的得3分；</w:t>
            </w:r>
          </w:p>
          <w:p w14:paraId="1575D5E2">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4.不合格的或未提供的不得分。</w:t>
            </w:r>
          </w:p>
        </w:tc>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14:paraId="0DF2BFF9">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auto"/>
              <w:rPr>
                <w:rFonts w:hint="eastAsia"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lang w:val="en-US" w:eastAsia="zh-CN"/>
              </w:rPr>
              <w:t>0-5分</w:t>
            </w:r>
          </w:p>
        </w:tc>
      </w:tr>
      <w:tr w14:paraId="4219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Merge w:val="continue"/>
            <w:tcBorders>
              <w:left w:val="single" w:color="auto" w:sz="4" w:space="0"/>
              <w:right w:val="single" w:color="auto" w:sz="4" w:space="0"/>
            </w:tcBorders>
            <w:vAlign w:val="center"/>
          </w:tcPr>
          <w:p w14:paraId="048CBA01">
            <w:pPr>
              <w:spacing w:line="360" w:lineRule="auto"/>
              <w:ind w:firstLine="435"/>
              <w:jc w:val="center"/>
              <w:rPr>
                <w:rFonts w:hint="eastAsia" w:asciiTheme="minorEastAsia" w:hAnsiTheme="minorEastAsia" w:eastAsiaTheme="minorEastAsia"/>
                <w:b/>
                <w:bCs/>
                <w:color w:val="auto"/>
                <w:sz w:val="24"/>
                <w:szCs w:val="24"/>
                <w:highlight w:val="none"/>
              </w:rPr>
            </w:pPr>
          </w:p>
        </w:tc>
        <w:tc>
          <w:tcPr>
            <w:tcW w:w="2105" w:type="dxa"/>
            <w:tcBorders>
              <w:top w:val="single" w:color="auto" w:sz="4" w:space="0"/>
              <w:left w:val="single" w:color="auto" w:sz="4" w:space="0"/>
              <w:bottom w:val="single" w:color="auto" w:sz="4" w:space="0"/>
              <w:right w:val="single" w:color="auto" w:sz="4" w:space="0"/>
            </w:tcBorders>
            <w:vAlign w:val="center"/>
          </w:tcPr>
          <w:p w14:paraId="1D2B9229">
            <w:pPr>
              <w:keepNext w:val="0"/>
              <w:keepLines w:val="0"/>
              <w:pageBreakBefore w:val="0"/>
              <w:kinsoku/>
              <w:wordWrap/>
              <w:overflowPunct/>
              <w:topLinePunct w:val="0"/>
              <w:autoSpaceDE/>
              <w:autoSpaceDN/>
              <w:bidi w:val="0"/>
              <w:adjustRightInd/>
              <w:snapToGrid/>
              <w:spacing w:line="35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.资料的整理方案</w:t>
            </w:r>
          </w:p>
        </w:tc>
        <w:tc>
          <w:tcPr>
            <w:tcW w:w="4129" w:type="dxa"/>
            <w:tcBorders>
              <w:top w:val="single" w:color="auto" w:sz="4" w:space="0"/>
              <w:left w:val="single" w:color="auto" w:sz="4" w:space="0"/>
              <w:bottom w:val="single" w:color="auto" w:sz="4" w:space="0"/>
              <w:right w:val="single" w:color="auto" w:sz="4" w:space="0"/>
            </w:tcBorders>
            <w:vAlign w:val="center"/>
          </w:tcPr>
          <w:p w14:paraId="24C5A90E">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根据各</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提供的针对本项目前期花卉图案设计，施工过程中现场资料留存，后期养护管理等资料收集整理方案：</w:t>
            </w:r>
          </w:p>
          <w:p w14:paraId="48059D1C">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（1）方案覆盖全面、要点突出，内容完整详实，表述清晰，本项目实际需求适应度相契合，利于项目实施的得5分。 </w:t>
            </w:r>
          </w:p>
          <w:p w14:paraId="48802381">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（2）方案覆盖全面、要点明确，与本项目实际需求匹配，符合项目实施要求的得4分； </w:t>
            </w:r>
          </w:p>
          <w:p w14:paraId="43A19E79">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（3）方案覆盖不全，要点未突出、具体细节有待完善的得3分； </w:t>
            </w:r>
          </w:p>
          <w:p w14:paraId="63D13A63">
            <w:pPr>
              <w:keepNext w:val="0"/>
              <w:keepLines w:val="0"/>
              <w:pageBreakBefore w:val="0"/>
              <w:kinsoku/>
              <w:wordWrap/>
              <w:overflowPunct/>
              <w:topLinePunct w:val="0"/>
              <w:autoSpaceDE/>
              <w:autoSpaceDN/>
              <w:bidi w:val="0"/>
              <w:adjustRightInd/>
              <w:snapToGrid/>
              <w:spacing w:line="350" w:lineRule="exact"/>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rPr>
              <w:t>（4）未提供的不得分。</w:t>
            </w:r>
          </w:p>
        </w:tc>
        <w:tc>
          <w:tcPr>
            <w:tcW w:w="1202" w:type="dxa"/>
            <w:tcBorders>
              <w:top w:val="single" w:color="auto" w:sz="4" w:space="0"/>
              <w:left w:val="single" w:color="auto" w:sz="4" w:space="0"/>
              <w:bottom w:val="single" w:color="auto" w:sz="4" w:space="0"/>
              <w:right w:val="single" w:color="auto" w:sz="4" w:space="0"/>
            </w:tcBorders>
            <w:vAlign w:val="center"/>
          </w:tcPr>
          <w:p w14:paraId="4A982C72">
            <w:pPr>
              <w:jc w:val="center"/>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0-5分</w:t>
            </w:r>
          </w:p>
        </w:tc>
      </w:tr>
      <w:tr w14:paraId="4688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tcBorders>
              <w:left w:val="single" w:color="auto" w:sz="4" w:space="0"/>
              <w:right w:val="single" w:color="auto" w:sz="4" w:space="0"/>
            </w:tcBorders>
            <w:vAlign w:val="center"/>
          </w:tcPr>
          <w:p w14:paraId="34C4AB60">
            <w:pPr>
              <w:spacing w:line="360" w:lineRule="auto"/>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价格分</w:t>
            </w:r>
          </w:p>
          <w:p w14:paraId="54FF4461">
            <w:pPr>
              <w:spacing w:line="360" w:lineRule="auto"/>
              <w:jc w:val="center"/>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lang w:val="en-US" w:eastAsia="zh-CN"/>
              </w:rPr>
              <w:t>20</w:t>
            </w:r>
            <w:r>
              <w:rPr>
                <w:rFonts w:hint="eastAsia" w:asciiTheme="minorEastAsia" w:hAnsiTheme="minorEastAsia" w:eastAsiaTheme="minorEastAsia"/>
                <w:color w:val="auto"/>
                <w:sz w:val="24"/>
                <w:szCs w:val="24"/>
                <w:highlight w:val="none"/>
              </w:rPr>
              <w:t>分）</w:t>
            </w:r>
          </w:p>
        </w:tc>
        <w:tc>
          <w:tcPr>
            <w:tcW w:w="7436" w:type="dxa"/>
            <w:gridSpan w:val="3"/>
            <w:tcBorders>
              <w:top w:val="single" w:color="auto" w:sz="4" w:space="0"/>
              <w:left w:val="single" w:color="auto" w:sz="4" w:space="0"/>
              <w:bottom w:val="single" w:color="auto" w:sz="4" w:space="0"/>
              <w:right w:val="single" w:color="auto" w:sz="4" w:space="0"/>
            </w:tcBorders>
            <w:vAlign w:val="center"/>
          </w:tcPr>
          <w:p w14:paraId="502D45FC">
            <w:pPr>
              <w:spacing w:line="360" w:lineRule="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价格分统一采用低价优先法，即满足招标文件要求且投标价格最低的投标报价为评标基准价，其价格分为满分</w:t>
            </w:r>
            <w:r>
              <w:rPr>
                <w:rFonts w:hint="eastAsia" w:asciiTheme="minorEastAsia" w:hAnsiTheme="minorEastAsia" w:eastAsiaTheme="minorEastAsia"/>
                <w:color w:val="auto"/>
                <w:sz w:val="24"/>
                <w:szCs w:val="24"/>
                <w:highlight w:val="none"/>
                <w:u w:val="single"/>
                <w:lang w:val="en-US" w:eastAsia="zh-CN"/>
              </w:rPr>
              <w:t>20</w:t>
            </w:r>
            <w:r>
              <w:rPr>
                <w:rFonts w:hint="eastAsia" w:asciiTheme="minorEastAsia" w:hAnsiTheme="minorEastAsia" w:eastAsiaTheme="minorEastAsia"/>
                <w:color w:val="auto"/>
                <w:sz w:val="24"/>
                <w:szCs w:val="24"/>
                <w:highlight w:val="none"/>
              </w:rPr>
              <w:t>分。其他</w:t>
            </w:r>
            <w:r>
              <w:rPr>
                <w:rFonts w:hint="eastAsia" w:asciiTheme="minorEastAsia" w:hAnsiTheme="minorEastAsia" w:eastAsiaTheme="minorEastAsia"/>
                <w:color w:val="auto"/>
                <w:sz w:val="24"/>
                <w:szCs w:val="24"/>
                <w:highlight w:val="none"/>
                <w:lang w:eastAsia="zh-CN"/>
              </w:rPr>
              <w:t>供应商</w:t>
            </w:r>
            <w:r>
              <w:rPr>
                <w:rFonts w:hint="eastAsia" w:asciiTheme="minorEastAsia" w:hAnsiTheme="minorEastAsia" w:eastAsiaTheme="minorEastAsia"/>
                <w:color w:val="auto"/>
                <w:sz w:val="24"/>
                <w:szCs w:val="24"/>
                <w:highlight w:val="none"/>
              </w:rPr>
              <w:t>的价格分统一按照下列公式计算：</w:t>
            </w:r>
          </w:p>
          <w:p w14:paraId="56CB26A1">
            <w:pPr>
              <w:spacing w:line="360" w:lineRule="auto"/>
              <w:rPr>
                <w:rFonts w:hint="eastAsia" w:asciiTheme="minorEastAsia" w:hAnsiTheme="minorEastAsia" w:eastAsiaTheme="minorEastAsia"/>
                <w:b/>
                <w:bCs/>
                <w:color w:val="auto"/>
                <w:sz w:val="24"/>
                <w:szCs w:val="24"/>
                <w:highlight w:val="none"/>
              </w:rPr>
            </w:pPr>
            <w:r>
              <w:rPr>
                <w:rFonts w:hint="eastAsia" w:asciiTheme="minorEastAsia" w:hAnsiTheme="minorEastAsia" w:eastAsiaTheme="minorEastAsia"/>
                <w:color w:val="auto"/>
                <w:sz w:val="24"/>
                <w:szCs w:val="24"/>
                <w:highlight w:val="none"/>
              </w:rPr>
              <w:t>投标报价得分＝（评标基准价/投标报价）×</w:t>
            </w:r>
            <w:r>
              <w:rPr>
                <w:rFonts w:hint="eastAsia" w:asciiTheme="minorEastAsia" w:hAnsiTheme="minorEastAsia" w:eastAsiaTheme="minorEastAsia"/>
                <w:color w:val="auto"/>
                <w:sz w:val="24"/>
                <w:szCs w:val="24"/>
                <w:highlight w:val="none"/>
                <w:u w:val="single"/>
                <w:lang w:val="en-US" w:eastAsia="zh-CN"/>
              </w:rPr>
              <w:t>20</w:t>
            </w:r>
            <w:r>
              <w:rPr>
                <w:rFonts w:hint="eastAsia" w:asciiTheme="minorEastAsia" w:hAnsiTheme="minorEastAsia" w:eastAsiaTheme="minorEastAsia"/>
                <w:color w:val="auto"/>
                <w:sz w:val="24"/>
                <w:szCs w:val="24"/>
                <w:highlight w:val="none"/>
              </w:rPr>
              <w:t>％×100</w:t>
            </w:r>
          </w:p>
        </w:tc>
      </w:tr>
    </w:tbl>
    <w:p w14:paraId="1D59E875">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注：1、本项目工程量最终结算时按实际完成合格工程量结算。结算单价为相应的全费综合单价*中标费率。结算总价为相应结算单价乘以相应实际已完合格工程量的累加之和，结算总价不超过270万元。</w:t>
      </w:r>
    </w:p>
    <w:p w14:paraId="7DC4D38B">
      <w:pPr>
        <w:numPr>
          <w:ilvl w:val="0"/>
          <w:numId w:val="0"/>
        </w:numPr>
        <w:spacing w:line="360" w:lineRule="auto"/>
        <w:ind w:leftChars="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2、各项目均含施工前后的场地整理、拆除、清理、清运、恢复原状等全部内容，综合单价结算时不予调整。</w:t>
      </w:r>
    </w:p>
    <w:p w14:paraId="730A4015">
      <w:pPr>
        <w:numPr>
          <w:ilvl w:val="0"/>
          <w:numId w:val="0"/>
        </w:numPr>
        <w:spacing w:line="360" w:lineRule="auto"/>
        <w:ind w:leftChars="0"/>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3、投标报价</w:t>
      </w:r>
      <w:r>
        <w:rPr>
          <w:rFonts w:hint="eastAsia" w:ascii="宋体" w:hAnsi="宋体" w:eastAsia="宋体"/>
          <w:color w:val="auto"/>
          <w:sz w:val="24"/>
          <w:highlight w:val="none"/>
          <w:lang w:val="en-US" w:eastAsia="zh-CN"/>
        </w:rPr>
        <w:t>精确到小数点后两位，第三位四舍五入（例：80.126%，即为80.13%）。</w:t>
      </w:r>
    </w:p>
    <w:p w14:paraId="2776C0F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4110BCB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评标委员会各成员应当独立对每个</w:t>
      </w:r>
      <w:r>
        <w:rPr>
          <w:rFonts w:hint="eastAsia" w:asciiTheme="minorEastAsia" w:hAnsiTheme="minorEastAsia" w:eastAsiaTheme="minorEastAsia"/>
          <w:color w:val="auto"/>
          <w:sz w:val="24"/>
          <w:highlight w:val="none"/>
        </w:rPr>
        <w:t>有效</w:t>
      </w:r>
      <w:r>
        <w:rPr>
          <w:rFonts w:asciiTheme="minorEastAsia" w:hAnsiTheme="minorEastAsia" w:eastAsiaTheme="minorEastAsia"/>
          <w:color w:val="auto"/>
          <w:sz w:val="24"/>
          <w:highlight w:val="none"/>
        </w:rPr>
        <w:t>投标人的投标文件进行评</w:t>
      </w:r>
      <w:r>
        <w:rPr>
          <w:rFonts w:hint="eastAsia" w:asciiTheme="minorEastAsia" w:hAnsiTheme="minorEastAsia" w:eastAsiaTheme="minorEastAsia"/>
          <w:color w:val="auto"/>
          <w:sz w:val="24"/>
          <w:highlight w:val="none"/>
        </w:rPr>
        <w:t>分</w:t>
      </w:r>
      <w:r>
        <w:rPr>
          <w:rFonts w:asciiTheme="minorEastAsia" w:hAnsiTheme="minorEastAsia" w:eastAsiaTheme="minorEastAsia"/>
          <w:color w:val="auto"/>
          <w:sz w:val="24"/>
          <w:highlight w:val="none"/>
        </w:rPr>
        <w:t>，并汇总每个投</w:t>
      </w:r>
      <w:r>
        <w:rPr>
          <w:rFonts w:hint="eastAsia" w:asciiTheme="minorEastAsia" w:hAnsiTheme="minorEastAsia" w:eastAsiaTheme="minorEastAsia"/>
          <w:color w:val="auto"/>
          <w:sz w:val="24"/>
          <w:highlight w:val="none"/>
        </w:rPr>
        <w:t>标人的得分。取各位评委评分之平均值，四舍五入保留至小数点后两位数，</w:t>
      </w:r>
      <w:r>
        <w:rPr>
          <w:rFonts w:asciiTheme="minorEastAsia" w:hAnsiTheme="minorEastAsia" w:eastAsiaTheme="minorEastAsia"/>
          <w:color w:val="auto"/>
          <w:sz w:val="24"/>
          <w:highlight w:val="none"/>
        </w:rPr>
        <w:t>得到该投标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w:t>
      </w:r>
      <w:r>
        <w:rPr>
          <w:rFonts w:hint="eastAsia" w:asciiTheme="minorEastAsia" w:hAnsiTheme="minorEastAsia" w:eastAsiaTheme="minorEastAsia"/>
          <w:color w:val="auto"/>
          <w:sz w:val="24"/>
          <w:highlight w:val="none"/>
        </w:rPr>
        <w:t>。</w:t>
      </w:r>
    </w:p>
    <w:p w14:paraId="0D3ED1D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将投标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的技术资信分加上根据上述标准计算出的价格分，即为该投标</w:t>
      </w:r>
      <w:r>
        <w:rPr>
          <w:rFonts w:hint="eastAsia" w:asciiTheme="minorEastAsia" w:hAnsiTheme="minorEastAsia" w:eastAsiaTheme="minorEastAsia"/>
          <w:color w:val="auto"/>
          <w:sz w:val="24"/>
          <w:highlight w:val="none"/>
        </w:rPr>
        <w:t>人</w:t>
      </w:r>
      <w:r>
        <w:rPr>
          <w:rFonts w:asciiTheme="minorEastAsia" w:hAnsiTheme="minorEastAsia" w:eastAsiaTheme="minorEastAsia"/>
          <w:color w:val="auto"/>
          <w:sz w:val="24"/>
          <w:highlight w:val="none"/>
        </w:rPr>
        <w:t>的综合总得分。</w:t>
      </w:r>
    </w:p>
    <w:p w14:paraId="2E45F2B7">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三、无效投标条款</w:t>
      </w:r>
    </w:p>
    <w:p w14:paraId="5EAA6812">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3.1投标文件有下列情形之一的,其投标文件拒收:</w:t>
      </w:r>
    </w:p>
    <w:p w14:paraId="03DC0C63">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(1)未在开标截止时间前通过网上招标投标系统递交有效电子投标文件的，开标系统不予接收，投标将被拒绝。</w:t>
      </w:r>
    </w:p>
    <w:p w14:paraId="111AAB82">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763F0B89">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3.2投标人有下列情形之一的,资格审查后其投标作无效投标处理：</w:t>
      </w:r>
    </w:p>
    <w:p w14:paraId="01AFA668">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(1)投标人为本项目提供招标代理服务的；</w:t>
      </w:r>
    </w:p>
    <w:p w14:paraId="0EA20966">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(2)投标人与在本项目代理机构存在相互任职或工作的；</w:t>
      </w:r>
    </w:p>
    <w:p w14:paraId="7C27AF76">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(3)招标公告写明专门面向中小企业采购，投标人提供的货物非中小企业制造的；</w:t>
      </w:r>
    </w:p>
    <w:p w14:paraId="5E478B1C">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(4)要求供应商以联合体形式参加采购活动，投标人非联合体或者联合协议中中小企业合同金额未达到应当达到的比例；</w:t>
      </w:r>
    </w:p>
    <w:p w14:paraId="5E238EDD">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(5)要求获得采购合同的供应商向中小企业分包，投标人未提供分包意向协议或者分包意向协议中中小企业合同金额未达到应当达到的比例；</w:t>
      </w:r>
    </w:p>
    <w:p w14:paraId="6C65EA6F">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(6)评标专家无法查看并检验电子投标文件中相关资料的；</w:t>
      </w:r>
    </w:p>
    <w:p w14:paraId="3C51EE75">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(7)联合体投标未提交联合体协议的；</w:t>
      </w:r>
    </w:p>
    <w:p w14:paraId="6644F361">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(8)责令停产停业的；</w:t>
      </w:r>
    </w:p>
    <w:p w14:paraId="1E19F2B9">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(9)暂停或者取消参与政府采购项目资格的；</w:t>
      </w:r>
    </w:p>
    <w:p w14:paraId="54F4931F">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(10)投标人单位负责人为同一人或者存在（直接）控股、管理关系的不同单位的；</w:t>
      </w:r>
    </w:p>
    <w:p w14:paraId="3867B323">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(11)投标人基本资格条件和特定资格条件中有一项及以上不符合要求的；</w:t>
      </w:r>
    </w:p>
    <w:p w14:paraId="6D167A67">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7969A979">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(13)其它情形，经评标委员会委提出按无效投标处理，并经公共资源交易监督部门核准的；</w:t>
      </w:r>
    </w:p>
    <w:p w14:paraId="748D9D75">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(14)投标人投标MAC地址或投标人联系人或联系电话相同的，由评标委员会否决其投标，并报告监管部门作不良行为处理和进一步调查；</w:t>
      </w:r>
    </w:p>
    <w:p w14:paraId="72E9147F">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(15)投标人单方面出现其他投标人材料的；</w:t>
      </w:r>
    </w:p>
    <w:p w14:paraId="78DA2EE1">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(16)招标公告未写明允许采购进口产品，投标人所投产品为进口产品的；</w:t>
      </w:r>
    </w:p>
    <w:p w14:paraId="358B3883">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(17)招标文件规定的其它无效投标情形。</w:t>
      </w:r>
    </w:p>
    <w:p w14:paraId="01040C49">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3.3投标人有下列情形之一的,符合性审查后其投标按无效投标处理：</w:t>
      </w:r>
    </w:p>
    <w:p w14:paraId="13DF8117">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(1)投标文件签字、盖章不全，经评标委员会一致认定对开评标内容有实质性影响并经公共资源交易监督部门核准的；</w:t>
      </w:r>
    </w:p>
    <w:p w14:paraId="6DF82FD6">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(2)未按规定的格式填写导致实质性内容不全以及实质上不响应，或者关键字迹模糊、无法辨认;经公共资源交易监督部门核准的；</w:t>
      </w:r>
    </w:p>
    <w:p w14:paraId="16404DCD">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(3)同一投标人提交两个以上不同的投标文件或者投标报价，但招标文件规定提交备选方案的除外；</w:t>
      </w:r>
    </w:p>
    <w:p w14:paraId="0FAD6367">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(4)投标文件没有对招标文件的实质性要求和条件作出响应;</w:t>
      </w:r>
    </w:p>
    <w:p w14:paraId="31D6242E">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(5)投标报价超出规定的投标限价或公布的采购预算的或投标人的投标报价各项单价高于招标文件给定的单价最高限价；</w:t>
      </w:r>
    </w:p>
    <w:p w14:paraId="4B7BF5EA">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(6)不按评标委员会要求澄清、说明或补正的，或者评标委员会根据招标文件的规定对投标文件的计算错误进行修正后，投标人不接受修正的投标报价的。</w:t>
      </w:r>
    </w:p>
    <w:p w14:paraId="3329C8CC">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(7)其它情形，经评标委员会委提出按无效投标处理，并经公共资源交易监督部门核准的；</w:t>
      </w:r>
    </w:p>
    <w:p w14:paraId="112C38E7">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(8)投标文件含有采购人不能接受的附加条件的；</w:t>
      </w:r>
    </w:p>
    <w:p w14:paraId="41690F82">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(9)招标文件规定的其它无效投标情形。</w:t>
      </w:r>
    </w:p>
    <w:p w14:paraId="47138DD0">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3.4投标人有下列情形之一的,详细评审后其投标按无效投标处理：</w:t>
      </w:r>
    </w:p>
    <w:p w14:paraId="64132C8F">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(1)投标产品不符合必须强制执行的国家标准的；</w:t>
      </w:r>
    </w:p>
    <w:p w14:paraId="72D0291E">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(2)投标人有串通投标、弄虚作假、行贿等违法行为；</w:t>
      </w:r>
    </w:p>
    <w:p w14:paraId="5F53B1E1">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(3)投标文件含有违反国家法律、法规的内容，或附有采购人不能接受的条件的；</w:t>
      </w:r>
    </w:p>
    <w:p w14:paraId="294226D2">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(4)报价明显低于其他投标人，且不能证明报价合理性的投标无效；</w:t>
      </w:r>
    </w:p>
    <w:p w14:paraId="01561D27">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(5)拒不确认评标委员会评审修正的投标无效；</w:t>
      </w:r>
    </w:p>
    <w:p w14:paraId="672D0CE4">
      <w:pPr>
        <w:spacing w:line="500" w:lineRule="exact"/>
        <w:ind w:firstLine="43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(6)其它情形，经评标委员会委提出按无效投标处理，并经公共资源交易监督部门核准的；</w:t>
      </w:r>
    </w:p>
    <w:p w14:paraId="14FAE0AF">
      <w:pPr>
        <w:spacing w:line="500" w:lineRule="exact"/>
        <w:ind w:firstLine="437"/>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(7)招标文件规定的其它无效投标情形。</w:t>
      </w:r>
    </w:p>
    <w:p w14:paraId="78F4D45B">
      <w:pPr>
        <w:spacing w:line="500" w:lineRule="exact"/>
        <w:ind w:firstLine="43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(6)其它情形，经评标委员会委提出按无效投标处理，并经公共资源交易监督部门核准的；</w:t>
      </w:r>
    </w:p>
    <w:p w14:paraId="4B5BC3B6">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(7)招标文件规定的其它无效投标情形</w:t>
      </w:r>
      <w:r>
        <w:rPr>
          <w:rFonts w:hint="eastAsia" w:ascii="宋体" w:hAnsi="宋体" w:eastAsia="宋体" w:cs="宋体"/>
          <w:color w:val="auto"/>
          <w:sz w:val="24"/>
          <w:szCs w:val="24"/>
          <w:highlight w:val="none"/>
          <w:lang w:eastAsia="zh-CN"/>
        </w:rPr>
        <w:t>。</w:t>
      </w:r>
      <w:r>
        <w:rPr>
          <w:rFonts w:asciiTheme="minorEastAsia" w:hAnsiTheme="minorEastAsia" w:eastAsiaTheme="minorEastAsia"/>
          <w:color w:val="auto"/>
          <w:sz w:val="24"/>
          <w:highlight w:val="none"/>
        </w:rPr>
        <w:br w:type="page"/>
      </w:r>
    </w:p>
    <w:p w14:paraId="69E22BB8">
      <w:pPr>
        <w:spacing w:line="360" w:lineRule="auto"/>
        <w:jc w:val="center"/>
        <w:outlineLvl w:val="0"/>
        <w:rPr>
          <w:rFonts w:hint="eastAsia" w:asciiTheme="minorEastAsia" w:hAnsiTheme="minorEastAsia" w:eastAsiaTheme="minorEastAsia"/>
          <w:b/>
          <w:color w:val="auto"/>
          <w:sz w:val="28"/>
          <w:highlight w:val="none"/>
          <w:lang w:eastAsia="zh-CN"/>
        </w:rPr>
      </w:pPr>
      <w:bookmarkStart w:id="55" w:name="_Toc20405"/>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55"/>
    </w:p>
    <w:p w14:paraId="3467FE52">
      <w:pPr>
        <w:spacing w:line="480" w:lineRule="auto"/>
        <w:jc w:val="center"/>
        <w:outlineLvl w:val="9"/>
        <w:rPr>
          <w:rFonts w:cs="Times New Roman" w:asciiTheme="minorEastAsia" w:hAnsiTheme="minorEastAsia" w:eastAsiaTheme="minorEastAsia"/>
          <w:b/>
          <w:color w:val="auto"/>
          <w:sz w:val="28"/>
          <w:szCs w:val="28"/>
          <w:highlight w:val="none"/>
        </w:rPr>
      </w:pPr>
      <w:bookmarkStart w:id="56" w:name="_Toc331685784"/>
    </w:p>
    <w:p w14:paraId="3AA1F80E">
      <w:pPr>
        <w:spacing w:line="480" w:lineRule="auto"/>
        <w:jc w:val="center"/>
        <w:outlineLvl w:val="9"/>
        <w:rPr>
          <w:rFonts w:cs="Times New Roman" w:asciiTheme="minorEastAsia" w:hAnsiTheme="minorEastAsia" w:eastAsiaTheme="minorEastAsia"/>
          <w:b/>
          <w:color w:val="auto"/>
          <w:sz w:val="28"/>
          <w:szCs w:val="28"/>
          <w:highlight w:val="none"/>
        </w:rPr>
      </w:pPr>
    </w:p>
    <w:p w14:paraId="136074D2">
      <w:pPr>
        <w:pStyle w:val="8"/>
        <w:rPr>
          <w:color w:val="auto"/>
          <w:highlight w:val="none"/>
        </w:rPr>
      </w:pPr>
    </w:p>
    <w:p w14:paraId="3875F78A">
      <w:pPr>
        <w:spacing w:line="480" w:lineRule="auto"/>
        <w:jc w:val="center"/>
        <w:outlineLvl w:val="1"/>
        <w:rPr>
          <w:rFonts w:cs="Times New Roman" w:asciiTheme="minorEastAsia" w:hAnsiTheme="minorEastAsia" w:eastAsiaTheme="minorEastAsia"/>
          <w:b/>
          <w:color w:val="auto"/>
          <w:sz w:val="28"/>
          <w:szCs w:val="28"/>
          <w:highlight w:val="none"/>
        </w:rPr>
      </w:pPr>
      <w:bookmarkStart w:id="57" w:name="_Toc3714"/>
      <w:r>
        <w:rPr>
          <w:rFonts w:cs="Times New Roman" w:asciiTheme="minorEastAsia" w:hAnsiTheme="minorEastAsia" w:eastAsiaTheme="minorEastAsia"/>
          <w:b/>
          <w:color w:val="auto"/>
          <w:sz w:val="28"/>
          <w:szCs w:val="28"/>
          <w:highlight w:val="none"/>
        </w:rPr>
        <w:t>政府采购合同</w:t>
      </w:r>
      <w:r>
        <w:rPr>
          <w:rFonts w:hint="eastAsia" w:cs="Times New Roman" w:asciiTheme="minorEastAsia" w:hAnsiTheme="minorEastAsia" w:eastAsiaTheme="minorEastAsia"/>
          <w:b/>
          <w:color w:val="auto"/>
          <w:sz w:val="28"/>
          <w:szCs w:val="28"/>
          <w:highlight w:val="none"/>
        </w:rPr>
        <w:t>参考范本</w:t>
      </w:r>
      <w:bookmarkEnd w:id="57"/>
    </w:p>
    <w:p w14:paraId="1C77319F">
      <w:pPr>
        <w:spacing w:line="480" w:lineRule="auto"/>
        <w:jc w:val="center"/>
        <w:outlineLvl w:val="1"/>
        <w:rPr>
          <w:rFonts w:cs="Times New Roman" w:asciiTheme="minorEastAsia" w:hAnsiTheme="minorEastAsia" w:eastAsiaTheme="minorEastAsia"/>
          <w:b/>
          <w:color w:val="auto"/>
          <w:sz w:val="28"/>
          <w:szCs w:val="28"/>
          <w:highlight w:val="none"/>
        </w:rPr>
      </w:pPr>
      <w:bookmarkStart w:id="58" w:name="_Toc8560"/>
      <w:r>
        <w:rPr>
          <w:rFonts w:hint="eastAsia" w:cs="Times New Roman" w:asciiTheme="minorEastAsia" w:hAnsiTheme="minorEastAsia" w:eastAsiaTheme="minorEastAsia"/>
          <w:b/>
          <w:color w:val="auto"/>
          <w:sz w:val="28"/>
          <w:szCs w:val="28"/>
          <w:highlight w:val="none"/>
        </w:rPr>
        <w:t>（服务类）</w:t>
      </w:r>
      <w:bookmarkEnd w:id="58"/>
    </w:p>
    <w:p w14:paraId="466127EF">
      <w:pPr>
        <w:spacing w:line="480" w:lineRule="auto"/>
        <w:jc w:val="center"/>
        <w:rPr>
          <w:rFonts w:cs="Times New Roman" w:asciiTheme="minorEastAsia" w:hAnsiTheme="minorEastAsia" w:eastAsiaTheme="minorEastAsia"/>
          <w:b/>
          <w:color w:val="auto"/>
          <w:sz w:val="24"/>
          <w:szCs w:val="24"/>
          <w:highlight w:val="none"/>
        </w:rPr>
      </w:pPr>
    </w:p>
    <w:p w14:paraId="55BFF498">
      <w:pPr>
        <w:spacing w:line="480" w:lineRule="auto"/>
        <w:jc w:val="center"/>
        <w:rPr>
          <w:rFonts w:cs="Times New Roman" w:asciiTheme="minorEastAsia" w:hAnsiTheme="minorEastAsia" w:eastAsiaTheme="minorEastAsia"/>
          <w:b/>
          <w:color w:val="auto"/>
          <w:sz w:val="24"/>
          <w:szCs w:val="24"/>
          <w:highlight w:val="none"/>
        </w:rPr>
      </w:pPr>
    </w:p>
    <w:p w14:paraId="00CAA0A5">
      <w:pPr>
        <w:spacing w:line="480" w:lineRule="auto"/>
        <w:jc w:val="center"/>
        <w:rPr>
          <w:rFonts w:cs="Times New Roman" w:asciiTheme="minorEastAsia" w:hAnsiTheme="minorEastAsia" w:eastAsiaTheme="minorEastAsia"/>
          <w:b/>
          <w:color w:val="auto"/>
          <w:sz w:val="24"/>
          <w:szCs w:val="24"/>
          <w:highlight w:val="none"/>
        </w:rPr>
      </w:pPr>
    </w:p>
    <w:p w14:paraId="350F0F5D">
      <w:pPr>
        <w:spacing w:line="360" w:lineRule="auto"/>
        <w:jc w:val="center"/>
        <w:outlineLvl w:val="1"/>
        <w:rPr>
          <w:rFonts w:asciiTheme="minorEastAsia" w:hAnsiTheme="minorEastAsia" w:eastAsiaTheme="minorEastAsia"/>
          <w:b/>
          <w:color w:val="auto"/>
          <w:sz w:val="24"/>
          <w:highlight w:val="none"/>
        </w:rPr>
      </w:pPr>
      <w:bookmarkStart w:id="59" w:name="_Toc2449"/>
      <w:r>
        <w:rPr>
          <w:rFonts w:hint="eastAsia" w:asciiTheme="minorEastAsia" w:hAnsiTheme="minorEastAsia" w:eastAsiaTheme="minorEastAsia"/>
          <w:b/>
          <w:color w:val="auto"/>
          <w:sz w:val="24"/>
          <w:highlight w:val="none"/>
        </w:rPr>
        <w:t>第一部分 合同书</w:t>
      </w:r>
      <w:bookmarkEnd w:id="59"/>
    </w:p>
    <w:p w14:paraId="7125BCA4">
      <w:pPr>
        <w:spacing w:line="480" w:lineRule="auto"/>
        <w:jc w:val="center"/>
        <w:rPr>
          <w:rFonts w:cs="Times New Roman" w:asciiTheme="minorEastAsia" w:hAnsiTheme="minorEastAsia" w:eastAsiaTheme="minorEastAsia"/>
          <w:b/>
          <w:color w:val="auto"/>
          <w:sz w:val="24"/>
          <w:szCs w:val="24"/>
          <w:highlight w:val="none"/>
        </w:rPr>
      </w:pPr>
    </w:p>
    <w:p w14:paraId="0450391B">
      <w:pPr>
        <w:spacing w:line="480" w:lineRule="auto"/>
        <w:jc w:val="center"/>
        <w:rPr>
          <w:rFonts w:cs="Times New Roman" w:asciiTheme="minorEastAsia" w:hAnsiTheme="minorEastAsia" w:eastAsiaTheme="minorEastAsia"/>
          <w:b/>
          <w:color w:val="auto"/>
          <w:sz w:val="24"/>
          <w:szCs w:val="24"/>
          <w:highlight w:val="none"/>
        </w:rPr>
      </w:pPr>
    </w:p>
    <w:p w14:paraId="7F8FA7D6">
      <w:pPr>
        <w:pStyle w:val="8"/>
        <w:rPr>
          <w:color w:val="auto"/>
          <w:highlight w:val="none"/>
        </w:rPr>
      </w:pPr>
    </w:p>
    <w:p w14:paraId="6694D951">
      <w:pPr>
        <w:pStyle w:val="8"/>
        <w:rPr>
          <w:color w:val="auto"/>
          <w:highlight w:val="none"/>
        </w:rPr>
      </w:pPr>
    </w:p>
    <w:p w14:paraId="6FFEDF0E">
      <w:pPr>
        <w:spacing w:before="120" w:line="480" w:lineRule="auto"/>
        <w:ind w:left="960"/>
        <w:rPr>
          <w:rFonts w:hint="default" w:cs="Times New Roman" w:asciiTheme="minorEastAsia" w:hAnsiTheme="minorEastAsia" w:eastAsiaTheme="minorEastAsia"/>
          <w:color w:val="auto"/>
          <w:sz w:val="24"/>
          <w:szCs w:val="24"/>
          <w:highlight w:val="none"/>
          <w:u w:val="single"/>
          <w:lang w:val="en-US" w:eastAsia="zh-CN"/>
        </w:rPr>
      </w:pPr>
      <w:r>
        <w:rPr>
          <w:rFonts w:hint="eastAsia" w:cs="Times New Roman" w:asciiTheme="minorEastAsia" w:hAnsiTheme="minorEastAsia" w:eastAsiaTheme="minorEastAsia"/>
          <w:color w:val="auto"/>
          <w:sz w:val="24"/>
          <w:szCs w:val="24"/>
          <w:highlight w:val="none"/>
        </w:rPr>
        <w:t>项目名称：</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lang w:eastAsia="zh-CN"/>
        </w:rPr>
        <w:t>2026年度景观花卉项目</w:t>
      </w:r>
      <w:r>
        <w:rPr>
          <w:rFonts w:hint="eastAsia" w:cs="Times New Roman" w:asciiTheme="minorEastAsia" w:hAnsiTheme="minorEastAsia" w:eastAsiaTheme="minorEastAsia"/>
          <w:color w:val="auto"/>
          <w:sz w:val="24"/>
          <w:szCs w:val="24"/>
          <w:highlight w:val="none"/>
          <w:u w:val="single"/>
          <w:lang w:val="en-US" w:eastAsia="zh-CN"/>
        </w:rPr>
        <w:t xml:space="preserve">  </w:t>
      </w:r>
    </w:p>
    <w:p w14:paraId="026B1F55">
      <w:pPr>
        <w:spacing w:before="120" w:line="480" w:lineRule="auto"/>
        <w:ind w:left="960"/>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项目编号：</w:t>
      </w:r>
      <w:r>
        <w:rPr>
          <w:rFonts w:hint="eastAsia" w:cs="Times New Roman" w:asciiTheme="minorEastAsia" w:hAnsiTheme="minorEastAsia" w:eastAsiaTheme="minorEastAsia"/>
          <w:color w:val="auto"/>
          <w:sz w:val="24"/>
          <w:szCs w:val="24"/>
          <w:highlight w:val="none"/>
          <w:u w:val="single"/>
        </w:rPr>
        <w:t xml:space="preserve">        </w:t>
      </w:r>
    </w:p>
    <w:p w14:paraId="10AEC6D7">
      <w:pPr>
        <w:spacing w:before="120" w:line="480" w:lineRule="auto"/>
        <w:ind w:left="960"/>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甲方（采购人）：</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lang w:eastAsia="zh-CN"/>
        </w:rPr>
        <w:t>滁州市园林景观管理中心</w:t>
      </w:r>
      <w:r>
        <w:rPr>
          <w:rFonts w:hint="eastAsia" w:cs="Times New Roman" w:asciiTheme="minorEastAsia" w:hAnsiTheme="minorEastAsia" w:eastAsiaTheme="minorEastAsia"/>
          <w:color w:val="auto"/>
          <w:sz w:val="24"/>
          <w:szCs w:val="24"/>
          <w:highlight w:val="none"/>
          <w:u w:val="single"/>
        </w:rPr>
        <w:t xml:space="preserve">     </w:t>
      </w:r>
    </w:p>
    <w:p w14:paraId="23E278CD">
      <w:pPr>
        <w:spacing w:before="120" w:line="480" w:lineRule="auto"/>
        <w:ind w:left="960"/>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乙方（中标人）：</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p>
    <w:p w14:paraId="6C50A6CB">
      <w:pPr>
        <w:spacing w:before="120" w:line="480" w:lineRule="auto"/>
        <w:ind w:firstLine="960" w:firstLineChars="400"/>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签订地：</w:t>
      </w:r>
      <w:r>
        <w:rPr>
          <w:rFonts w:hint="eastAsia" w:cs="Times New Roman" w:asciiTheme="minorEastAsia" w:hAnsiTheme="minorEastAsia" w:eastAsiaTheme="minorEastAsia"/>
          <w:color w:val="auto"/>
          <w:sz w:val="24"/>
          <w:szCs w:val="24"/>
          <w:highlight w:val="none"/>
          <w:u w:val="single"/>
        </w:rPr>
        <w:t xml:space="preserve">                                     </w:t>
      </w:r>
    </w:p>
    <w:p w14:paraId="36147CE0">
      <w:pPr>
        <w:spacing w:before="120" w:line="480" w:lineRule="auto"/>
        <w:ind w:firstLine="960" w:firstLineChars="400"/>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签订日期：</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月</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日</w:t>
      </w:r>
    </w:p>
    <w:p w14:paraId="6A3DEBBB">
      <w:pPr>
        <w:widowControl/>
        <w:jc w:val="left"/>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br w:type="page"/>
      </w:r>
    </w:p>
    <w:p w14:paraId="7E614C0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滁州市园林景观管理中心</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以下简称：甲方</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u w:val="single"/>
          <w:lang w:val="en-US" w:eastAsia="zh-CN"/>
        </w:rPr>
        <w:t>滁州市城投工程咨询管理有限公司</w:t>
      </w:r>
      <w:r>
        <w:rPr>
          <w:rFonts w:hint="eastAsia" w:asciiTheme="minorEastAsia" w:hAnsiTheme="minorEastAsia" w:eastAsiaTheme="minorEastAsia"/>
          <w:color w:val="auto"/>
          <w:sz w:val="24"/>
          <w:highlight w:val="none"/>
        </w:rPr>
        <w:t>组织的</w:t>
      </w:r>
      <w:r>
        <w:rPr>
          <w:rFonts w:hint="eastAsia" w:asciiTheme="minorEastAsia" w:hAnsiTheme="minorEastAsia" w:eastAsiaTheme="minorEastAsia"/>
          <w:color w:val="auto"/>
          <w:sz w:val="24"/>
          <w:highlight w:val="none"/>
          <w:u w:val="single"/>
        </w:rPr>
        <w:t>公开招标</w:t>
      </w:r>
      <w:r>
        <w:rPr>
          <w:rFonts w:hint="eastAsia" w:asciiTheme="minorEastAsia" w:hAnsiTheme="minorEastAsia" w:eastAsiaTheme="minorEastAsia"/>
          <w:color w:val="auto"/>
          <w:sz w:val="24"/>
          <w:highlight w:val="none"/>
        </w:rPr>
        <w:t>方式采购活动，经</w:t>
      </w:r>
      <w:r>
        <w:rPr>
          <w:rFonts w:hint="eastAsia" w:asciiTheme="minorEastAsia" w:hAnsiTheme="minorEastAsia" w:eastAsiaTheme="minorEastAsia"/>
          <w:color w:val="auto"/>
          <w:sz w:val="24"/>
          <w:highlight w:val="none"/>
          <w:u w:val="single"/>
        </w:rPr>
        <w:t>评标委员会</w:t>
      </w:r>
      <w:r>
        <w:rPr>
          <w:rFonts w:hint="eastAsia" w:asciiTheme="minorEastAsia" w:hAnsiTheme="minorEastAsia" w:eastAsiaTheme="minorEastAsia"/>
          <w:color w:val="auto"/>
          <w:sz w:val="24"/>
          <w:highlight w:val="none"/>
        </w:rPr>
        <w:t>评定，</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w:t>
      </w:r>
      <w:r>
        <w:rPr>
          <w:rFonts w:hint="eastAsia" w:cs="Times New Roman" w:asciiTheme="minorEastAsia" w:hAnsiTheme="minorEastAsia" w:eastAsiaTheme="minorEastAsia"/>
          <w:color w:val="auto"/>
          <w:sz w:val="24"/>
          <w:szCs w:val="24"/>
          <w:highlight w:val="none"/>
          <w:lang w:val="zh-CN"/>
        </w:rPr>
        <w:t>以下简称：乙方</w:t>
      </w:r>
      <w:r>
        <w:rPr>
          <w:rFonts w:hint="eastAsia" w:asciiTheme="minorEastAsia" w:hAnsiTheme="minorEastAsia" w:eastAsiaTheme="minorEastAsia"/>
          <w:color w:val="auto"/>
          <w:sz w:val="24"/>
          <w:highlight w:val="none"/>
        </w:rPr>
        <w:t>）为本项目中标人，现</w:t>
      </w:r>
      <w:r>
        <w:rPr>
          <w:rFonts w:hint="eastAsia" w:cs="Times New Roman" w:asciiTheme="minorEastAsia" w:hAnsiTheme="minorEastAsia" w:eastAsiaTheme="minorEastAsia"/>
          <w:color w:val="auto"/>
          <w:sz w:val="24"/>
          <w:szCs w:val="24"/>
          <w:highlight w:val="none"/>
        </w:rPr>
        <w:t>按照采购文件确定的事项签订本合同。</w:t>
      </w:r>
    </w:p>
    <w:p w14:paraId="77B4257B">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7AFC414D">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60" w:name="_Toc3029"/>
      <w:bookmarkStart w:id="61" w:name="_Toc2232"/>
      <w:bookmarkStart w:id="62" w:name="_Toc24059"/>
      <w:r>
        <w:rPr>
          <w:rFonts w:hint="eastAsia" w:cs="Times New Roman" w:asciiTheme="minorEastAsia" w:hAnsiTheme="minorEastAsia" w:eastAsiaTheme="minorEastAsia"/>
          <w:b/>
          <w:bCs/>
          <w:color w:val="auto"/>
          <w:sz w:val="24"/>
          <w:szCs w:val="24"/>
          <w:highlight w:val="none"/>
          <w:lang w:val="zh-CN"/>
        </w:rPr>
        <w:t>1.1</w:t>
      </w:r>
      <w:r>
        <w:rPr>
          <w:rFonts w:cs="Times New Roman" w:asciiTheme="minorEastAsia" w:hAnsiTheme="minorEastAsia" w:eastAsiaTheme="minorEastAsia"/>
          <w:b/>
          <w:bCs/>
          <w:color w:val="auto"/>
          <w:sz w:val="24"/>
          <w:szCs w:val="24"/>
          <w:highlight w:val="none"/>
          <w:lang w:val="zh-CN"/>
        </w:rPr>
        <w:t xml:space="preserve"> </w:t>
      </w:r>
      <w:r>
        <w:rPr>
          <w:rFonts w:hint="eastAsia" w:cs="Times New Roman" w:asciiTheme="minorEastAsia" w:hAnsiTheme="minorEastAsia" w:eastAsiaTheme="minorEastAsia"/>
          <w:b/>
          <w:bCs/>
          <w:color w:val="auto"/>
          <w:sz w:val="24"/>
          <w:szCs w:val="24"/>
          <w:highlight w:val="none"/>
          <w:lang w:val="zh-CN"/>
        </w:rPr>
        <w:t>合同组成部分</w:t>
      </w:r>
      <w:bookmarkEnd w:id="60"/>
      <w:bookmarkEnd w:id="61"/>
      <w:bookmarkEnd w:id="62"/>
    </w:p>
    <w:p w14:paraId="5D4357B2">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28E2A1BE">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1.1.1本合同及其补充合同、变更协议；</w:t>
      </w:r>
    </w:p>
    <w:p w14:paraId="5E9029B7">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1.1.2中标通知书；</w:t>
      </w:r>
    </w:p>
    <w:p w14:paraId="02365254">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1.1.3投标文件（含澄清或者说明文件）；</w:t>
      </w:r>
    </w:p>
    <w:p w14:paraId="1C06C5CB">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1.1.4招标文件（含澄清或者修改文件）；</w:t>
      </w:r>
    </w:p>
    <w:p w14:paraId="4C40EAD2">
      <w:pPr>
        <w:spacing w:line="360" w:lineRule="auto"/>
        <w:ind w:firstLine="435"/>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1.1.5其他相关采购文件。</w:t>
      </w:r>
    </w:p>
    <w:p w14:paraId="36A2DD07">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63" w:name="_Toc6773"/>
      <w:bookmarkStart w:id="64" w:name="_Toc2918"/>
      <w:bookmarkStart w:id="65" w:name="_Toc6311"/>
      <w:bookmarkStart w:id="66" w:name="_Toc22185"/>
      <w:bookmarkStart w:id="67" w:name="_Toc18585"/>
      <w:r>
        <w:rPr>
          <w:rFonts w:hint="eastAsia" w:cs="Times New Roman" w:asciiTheme="minorEastAsia" w:hAnsiTheme="minorEastAsia" w:eastAsiaTheme="minorEastAsia"/>
          <w:b/>
          <w:bCs/>
          <w:color w:val="auto"/>
          <w:sz w:val="24"/>
          <w:szCs w:val="24"/>
          <w:highlight w:val="none"/>
          <w:lang w:val="zh-CN"/>
        </w:rPr>
        <w:t xml:space="preserve">1.2 </w:t>
      </w:r>
      <w:bookmarkEnd w:id="63"/>
      <w:bookmarkEnd w:id="64"/>
      <w:bookmarkEnd w:id="65"/>
      <w:bookmarkEnd w:id="66"/>
      <w:bookmarkEnd w:id="67"/>
      <w:r>
        <w:rPr>
          <w:rFonts w:hint="eastAsia" w:cs="Times New Roman" w:asciiTheme="minorEastAsia" w:hAnsiTheme="minorEastAsia" w:eastAsiaTheme="minorEastAsia"/>
          <w:b/>
          <w:bCs/>
          <w:color w:val="auto"/>
          <w:sz w:val="24"/>
          <w:szCs w:val="24"/>
          <w:highlight w:val="none"/>
          <w:lang w:val="zh-CN"/>
        </w:rPr>
        <w:t>服务</w:t>
      </w:r>
    </w:p>
    <w:p w14:paraId="02B08CAD">
      <w:pPr>
        <w:spacing w:line="360" w:lineRule="auto"/>
        <w:ind w:firstLine="435"/>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1.2.1服务</w:t>
      </w:r>
      <w:r>
        <w:rPr>
          <w:rFonts w:cs="Times New Roman" w:asciiTheme="minorEastAsia" w:hAnsiTheme="minorEastAsia" w:eastAsiaTheme="minorEastAsia"/>
          <w:color w:val="auto"/>
          <w:sz w:val="24"/>
          <w:szCs w:val="24"/>
          <w:highlight w:val="none"/>
        </w:rPr>
        <w:t>名称：</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5C6783E2">
      <w:pPr>
        <w:spacing w:line="360" w:lineRule="auto"/>
        <w:ind w:firstLine="435"/>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1.2.2服务内容</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2EDF0CE8">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1.2.3服务质量：</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2A5BB48D">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68" w:name="_Toc21551"/>
      <w:bookmarkStart w:id="69" w:name="_Toc21631"/>
      <w:bookmarkStart w:id="70" w:name="_Toc23292"/>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 xml:space="preserve">3 </w:t>
      </w:r>
      <w:r>
        <w:rPr>
          <w:rFonts w:hint="eastAsia" w:cs="Times New Roman" w:asciiTheme="minorEastAsia" w:hAnsiTheme="minorEastAsia" w:eastAsiaTheme="minorEastAsia"/>
          <w:b/>
          <w:bCs/>
          <w:color w:val="auto"/>
          <w:sz w:val="24"/>
          <w:szCs w:val="24"/>
          <w:highlight w:val="none"/>
          <w:lang w:val="zh-CN"/>
        </w:rPr>
        <w:t>价款</w:t>
      </w:r>
      <w:bookmarkEnd w:id="68"/>
      <w:bookmarkEnd w:id="69"/>
      <w:bookmarkEnd w:id="70"/>
    </w:p>
    <w:p w14:paraId="71FA1749">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本合同总价为</w:t>
      </w:r>
      <w:r>
        <w:rPr>
          <w:rFonts w:hint="eastAsia"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rPr>
        <w:t>元</w:t>
      </w:r>
      <w:r>
        <w:rPr>
          <w:rFonts w:hint="eastAsia" w:cs="Times New Roman" w:asciiTheme="minorEastAsia" w:hAnsiTheme="minorEastAsia" w:eastAsiaTheme="minorEastAsia"/>
          <w:color w:val="auto"/>
          <w:sz w:val="24"/>
          <w:szCs w:val="24"/>
          <w:highlight w:val="none"/>
        </w:rPr>
        <w:t>（大写：人民币</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元）</w:t>
      </w:r>
      <w:r>
        <w:rPr>
          <w:rFonts w:cs="Times New Roman" w:asciiTheme="minorEastAsia" w:hAnsiTheme="minorEastAsia" w:eastAsiaTheme="minorEastAsia"/>
          <w:color w:val="auto"/>
          <w:sz w:val="24"/>
          <w:szCs w:val="24"/>
          <w:highlight w:val="none"/>
        </w:rPr>
        <w:t>。</w:t>
      </w:r>
    </w:p>
    <w:p w14:paraId="3779207A">
      <w:pPr>
        <w:spacing w:line="360" w:lineRule="auto"/>
        <w:ind w:firstLine="435"/>
        <w:rPr>
          <w:rFonts w:cs="Times New Roman" w:asciiTheme="minorEastAsia" w:hAnsiTheme="minorEastAsia" w:eastAsiaTheme="minorEastAsia"/>
          <w:color w:val="auto"/>
          <w:sz w:val="24"/>
          <w:szCs w:val="24"/>
          <w:highlight w:val="none"/>
          <w:u w:val="single"/>
        </w:rPr>
      </w:pPr>
      <w:r>
        <w:rPr>
          <w:rFonts w:cs="Times New Roman" w:asciiTheme="minorEastAsia" w:hAnsiTheme="minorEastAsia" w:eastAsiaTheme="minorEastAsia"/>
          <w:color w:val="auto"/>
          <w:sz w:val="24"/>
          <w:szCs w:val="24"/>
          <w:highlight w:val="none"/>
        </w:rPr>
        <w:t>分项价格：</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225E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vAlign w:val="center"/>
          </w:tcPr>
          <w:p w14:paraId="7A079E07">
            <w:pPr>
              <w:jc w:val="center"/>
              <w:rPr>
                <w:rFonts w:cs="Times New Roman" w:asciiTheme="minorEastAsia" w:hAnsiTheme="minorEastAsia" w:eastAsiaTheme="minorEastAsia"/>
                <w:color w:val="auto"/>
                <w:sz w:val="24"/>
                <w:szCs w:val="24"/>
                <w:highlight w:val="none"/>
                <w:lang w:val="zh-CN"/>
              </w:rPr>
            </w:pPr>
            <w:r>
              <w:rPr>
                <w:rFonts w:cs="Times New Roman" w:asciiTheme="minorEastAsia" w:hAnsiTheme="minorEastAsia" w:eastAsiaTheme="minorEastAsia"/>
                <w:color w:val="auto"/>
                <w:sz w:val="24"/>
                <w:szCs w:val="24"/>
                <w:highlight w:val="none"/>
                <w:lang w:val="zh-CN"/>
              </w:rPr>
              <w:t>序号</w:t>
            </w:r>
          </w:p>
        </w:tc>
        <w:tc>
          <w:tcPr>
            <w:tcW w:w="4316" w:type="dxa"/>
            <w:vAlign w:val="center"/>
          </w:tcPr>
          <w:p w14:paraId="6706EFAD">
            <w:pPr>
              <w:ind w:firstLine="200"/>
              <w:jc w:val="center"/>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分项名称</w:t>
            </w:r>
          </w:p>
        </w:tc>
        <w:tc>
          <w:tcPr>
            <w:tcW w:w="3237" w:type="dxa"/>
            <w:gridSpan w:val="2"/>
            <w:vAlign w:val="center"/>
          </w:tcPr>
          <w:p w14:paraId="76A5E49F">
            <w:pPr>
              <w:jc w:val="center"/>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分项价格</w:t>
            </w:r>
          </w:p>
        </w:tc>
      </w:tr>
      <w:tr w14:paraId="32E0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5B4B7DAD">
            <w:pPr>
              <w:jc w:val="center"/>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1</w:t>
            </w:r>
          </w:p>
        </w:tc>
        <w:tc>
          <w:tcPr>
            <w:tcW w:w="4316" w:type="dxa"/>
            <w:vAlign w:val="center"/>
          </w:tcPr>
          <w:p w14:paraId="46C090B7">
            <w:pPr>
              <w:ind w:firstLine="200"/>
              <w:jc w:val="center"/>
              <w:rPr>
                <w:rFonts w:cs="Times New Roman" w:asciiTheme="minorEastAsia" w:hAnsiTheme="minorEastAsia" w:eastAsiaTheme="minorEastAsia"/>
                <w:color w:val="auto"/>
                <w:sz w:val="24"/>
                <w:szCs w:val="24"/>
                <w:highlight w:val="none"/>
              </w:rPr>
            </w:pPr>
          </w:p>
        </w:tc>
        <w:tc>
          <w:tcPr>
            <w:tcW w:w="3237" w:type="dxa"/>
            <w:gridSpan w:val="2"/>
            <w:vAlign w:val="center"/>
          </w:tcPr>
          <w:p w14:paraId="45D05B27">
            <w:pPr>
              <w:ind w:firstLine="200"/>
              <w:jc w:val="center"/>
              <w:rPr>
                <w:rFonts w:cs="Times New Roman" w:asciiTheme="minorEastAsia" w:hAnsiTheme="minorEastAsia" w:eastAsiaTheme="minorEastAsia"/>
                <w:color w:val="auto"/>
                <w:sz w:val="24"/>
                <w:szCs w:val="24"/>
                <w:highlight w:val="none"/>
              </w:rPr>
            </w:pPr>
          </w:p>
        </w:tc>
      </w:tr>
      <w:tr w14:paraId="21B1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4A2F16C6">
            <w:pPr>
              <w:jc w:val="center"/>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2</w:t>
            </w:r>
          </w:p>
        </w:tc>
        <w:tc>
          <w:tcPr>
            <w:tcW w:w="4316" w:type="dxa"/>
            <w:vAlign w:val="center"/>
          </w:tcPr>
          <w:p w14:paraId="59EC4B84">
            <w:pPr>
              <w:ind w:firstLine="200"/>
              <w:jc w:val="center"/>
              <w:rPr>
                <w:rFonts w:cs="Times New Roman" w:asciiTheme="minorEastAsia" w:hAnsiTheme="minorEastAsia" w:eastAsiaTheme="minorEastAsia"/>
                <w:color w:val="auto"/>
                <w:sz w:val="24"/>
                <w:szCs w:val="24"/>
                <w:highlight w:val="none"/>
              </w:rPr>
            </w:pPr>
          </w:p>
        </w:tc>
        <w:tc>
          <w:tcPr>
            <w:tcW w:w="3237" w:type="dxa"/>
            <w:gridSpan w:val="2"/>
            <w:vAlign w:val="center"/>
          </w:tcPr>
          <w:p w14:paraId="06C3AD64">
            <w:pPr>
              <w:ind w:firstLine="200"/>
              <w:jc w:val="center"/>
              <w:rPr>
                <w:rFonts w:cs="Times New Roman" w:asciiTheme="minorEastAsia" w:hAnsiTheme="minorEastAsia" w:eastAsiaTheme="minorEastAsia"/>
                <w:color w:val="auto"/>
                <w:sz w:val="24"/>
                <w:szCs w:val="24"/>
                <w:highlight w:val="none"/>
              </w:rPr>
            </w:pPr>
          </w:p>
        </w:tc>
      </w:tr>
      <w:tr w14:paraId="56B1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4063B22D">
            <w:pPr>
              <w:jc w:val="center"/>
              <w:rPr>
                <w:rFonts w:cs="Times New Roman" w:asciiTheme="minorEastAsia" w:hAnsiTheme="minorEastAsia" w:eastAsiaTheme="minorEastAsia"/>
                <w:color w:val="auto"/>
                <w:sz w:val="24"/>
                <w:szCs w:val="24"/>
                <w:highlight w:val="none"/>
                <w:lang w:val="zh-CN"/>
              </w:rPr>
            </w:pPr>
            <w:r>
              <w:rPr>
                <w:rFonts w:cs="Times New Roman" w:asciiTheme="minorEastAsia" w:hAnsiTheme="minorEastAsia" w:eastAsiaTheme="minorEastAsia"/>
                <w:color w:val="auto"/>
                <w:sz w:val="24"/>
                <w:szCs w:val="24"/>
                <w:highlight w:val="none"/>
                <w:lang w:val="zh-CN"/>
              </w:rPr>
              <w:t>3</w:t>
            </w:r>
          </w:p>
        </w:tc>
        <w:tc>
          <w:tcPr>
            <w:tcW w:w="4316" w:type="dxa"/>
            <w:vAlign w:val="center"/>
          </w:tcPr>
          <w:p w14:paraId="176AAF3A">
            <w:pPr>
              <w:ind w:firstLine="200"/>
              <w:jc w:val="center"/>
              <w:rPr>
                <w:rFonts w:cs="Times New Roman" w:asciiTheme="minorEastAsia" w:hAnsiTheme="minorEastAsia" w:eastAsiaTheme="minorEastAsia"/>
                <w:color w:val="auto"/>
                <w:sz w:val="24"/>
                <w:szCs w:val="24"/>
                <w:highlight w:val="none"/>
              </w:rPr>
            </w:pPr>
          </w:p>
        </w:tc>
        <w:tc>
          <w:tcPr>
            <w:tcW w:w="3237" w:type="dxa"/>
            <w:gridSpan w:val="2"/>
            <w:vAlign w:val="center"/>
          </w:tcPr>
          <w:p w14:paraId="56F00F28">
            <w:pPr>
              <w:ind w:firstLine="200"/>
              <w:jc w:val="center"/>
              <w:rPr>
                <w:rFonts w:cs="Times New Roman" w:asciiTheme="minorEastAsia" w:hAnsiTheme="minorEastAsia" w:eastAsiaTheme="minorEastAsia"/>
                <w:color w:val="auto"/>
                <w:sz w:val="24"/>
                <w:szCs w:val="24"/>
                <w:highlight w:val="none"/>
              </w:rPr>
            </w:pPr>
          </w:p>
        </w:tc>
      </w:tr>
      <w:tr w14:paraId="7256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tcPr>
          <w:p w14:paraId="7C2407D2">
            <w:pPr>
              <w:jc w:val="center"/>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w:t>
            </w:r>
          </w:p>
        </w:tc>
        <w:tc>
          <w:tcPr>
            <w:tcW w:w="4316" w:type="dxa"/>
            <w:vAlign w:val="center"/>
          </w:tcPr>
          <w:p w14:paraId="6A83FB12">
            <w:pPr>
              <w:ind w:firstLine="200"/>
              <w:jc w:val="center"/>
              <w:rPr>
                <w:rFonts w:cs="Times New Roman" w:asciiTheme="minorEastAsia" w:hAnsiTheme="minorEastAsia" w:eastAsiaTheme="minorEastAsia"/>
                <w:color w:val="auto"/>
                <w:sz w:val="24"/>
                <w:szCs w:val="24"/>
                <w:highlight w:val="none"/>
              </w:rPr>
            </w:pPr>
          </w:p>
        </w:tc>
        <w:tc>
          <w:tcPr>
            <w:tcW w:w="3237" w:type="dxa"/>
            <w:gridSpan w:val="2"/>
            <w:vAlign w:val="center"/>
          </w:tcPr>
          <w:p w14:paraId="521AB8C3">
            <w:pPr>
              <w:ind w:firstLine="200"/>
              <w:jc w:val="center"/>
              <w:rPr>
                <w:rFonts w:cs="Times New Roman" w:asciiTheme="minorEastAsia" w:hAnsiTheme="minorEastAsia" w:eastAsiaTheme="minorEastAsia"/>
                <w:color w:val="auto"/>
                <w:sz w:val="24"/>
                <w:szCs w:val="24"/>
                <w:highlight w:val="none"/>
              </w:rPr>
            </w:pPr>
          </w:p>
        </w:tc>
      </w:tr>
      <w:tr w14:paraId="2BBC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vAlign w:val="center"/>
          </w:tcPr>
          <w:p w14:paraId="483C6285">
            <w:pPr>
              <w:ind w:firstLine="200"/>
              <w:jc w:val="center"/>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总价</w:t>
            </w:r>
          </w:p>
        </w:tc>
        <w:tc>
          <w:tcPr>
            <w:tcW w:w="3237" w:type="dxa"/>
            <w:gridSpan w:val="2"/>
            <w:vAlign w:val="center"/>
          </w:tcPr>
          <w:p w14:paraId="04368E3E">
            <w:pPr>
              <w:ind w:firstLine="200"/>
              <w:jc w:val="center"/>
              <w:rPr>
                <w:rFonts w:cs="Times New Roman" w:asciiTheme="minorEastAsia" w:hAnsiTheme="minorEastAsia" w:eastAsiaTheme="minorEastAsia"/>
                <w:color w:val="auto"/>
                <w:sz w:val="24"/>
                <w:szCs w:val="24"/>
                <w:highlight w:val="none"/>
              </w:rPr>
            </w:pPr>
          </w:p>
        </w:tc>
      </w:tr>
    </w:tbl>
    <w:p w14:paraId="15672FCB">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71" w:name="_Toc22618"/>
      <w:bookmarkStart w:id="72" w:name="_Toc10340"/>
      <w:bookmarkStart w:id="73" w:name="_Toc1814"/>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4 付款方式和发票开具方式</w:t>
      </w:r>
      <w:bookmarkEnd w:id="71"/>
      <w:bookmarkEnd w:id="72"/>
      <w:bookmarkEnd w:id="73"/>
    </w:p>
    <w:p w14:paraId="675BC05D">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1.4.1</w:t>
      </w:r>
      <w:r>
        <w:rPr>
          <w:rFonts w:cs="Times New Roman" w:asciiTheme="minorEastAsia" w:hAnsiTheme="minorEastAsia" w:eastAsiaTheme="minorEastAsia"/>
          <w:color w:val="auto"/>
          <w:sz w:val="24"/>
          <w:szCs w:val="24"/>
          <w:highlight w:val="none"/>
        </w:rPr>
        <w:t>付款方式：</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44744C21">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1.4.2发票开具方式：</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596871F3">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74" w:name="_Toc2846"/>
      <w:bookmarkStart w:id="75" w:name="_Toc19304"/>
      <w:bookmarkStart w:id="76" w:name="_Toc32071"/>
      <w:r>
        <w:rPr>
          <w:rFonts w:hint="eastAsia" w:cs="Times New Roman" w:asciiTheme="minorEastAsia" w:hAnsiTheme="minorEastAsia" w:eastAsiaTheme="minorEastAsia"/>
          <w:b/>
          <w:bCs/>
          <w:color w:val="auto"/>
          <w:sz w:val="24"/>
          <w:szCs w:val="24"/>
          <w:highlight w:val="none"/>
          <w:lang w:val="zh-CN"/>
        </w:rPr>
        <w:t>1.</w:t>
      </w:r>
      <w:r>
        <w:rPr>
          <w:rFonts w:cs="Times New Roman" w:asciiTheme="minorEastAsia" w:hAnsiTheme="minorEastAsia" w:eastAsiaTheme="minorEastAsia"/>
          <w:b/>
          <w:bCs/>
          <w:color w:val="auto"/>
          <w:sz w:val="24"/>
          <w:szCs w:val="24"/>
          <w:highlight w:val="none"/>
          <w:lang w:val="zh-CN"/>
        </w:rPr>
        <w:t xml:space="preserve">5 </w:t>
      </w:r>
      <w:r>
        <w:rPr>
          <w:rFonts w:hint="eastAsia" w:cs="Times New Roman" w:asciiTheme="minorEastAsia" w:hAnsiTheme="minorEastAsia" w:eastAsiaTheme="minorEastAsia"/>
          <w:b/>
          <w:bCs/>
          <w:color w:val="auto"/>
          <w:sz w:val="24"/>
          <w:szCs w:val="24"/>
          <w:highlight w:val="none"/>
          <w:lang w:val="zh-CN"/>
        </w:rPr>
        <w:t>服务</w:t>
      </w:r>
      <w:r>
        <w:rPr>
          <w:rFonts w:cs="Times New Roman" w:asciiTheme="minorEastAsia" w:hAnsiTheme="minorEastAsia" w:eastAsiaTheme="minorEastAsia"/>
          <w:b/>
          <w:bCs/>
          <w:color w:val="auto"/>
          <w:sz w:val="24"/>
          <w:szCs w:val="24"/>
          <w:highlight w:val="none"/>
          <w:lang w:val="zh-CN"/>
        </w:rPr>
        <w:t>期限</w:t>
      </w:r>
      <w:r>
        <w:rPr>
          <w:rFonts w:hint="eastAsia" w:cs="Times New Roman" w:asciiTheme="minorEastAsia" w:hAnsiTheme="minorEastAsia" w:eastAsiaTheme="minorEastAsia"/>
          <w:b/>
          <w:bCs/>
          <w:color w:val="auto"/>
          <w:sz w:val="24"/>
          <w:szCs w:val="24"/>
          <w:highlight w:val="none"/>
          <w:lang w:val="zh-CN"/>
        </w:rPr>
        <w:t>、地点和方式</w:t>
      </w:r>
      <w:bookmarkEnd w:id="74"/>
      <w:bookmarkEnd w:id="75"/>
      <w:bookmarkEnd w:id="76"/>
    </w:p>
    <w:p w14:paraId="4603405B">
      <w:pPr>
        <w:spacing w:line="360" w:lineRule="auto"/>
        <w:ind w:firstLine="435"/>
        <w:rPr>
          <w:rFonts w:cs="Times New Roman" w:asciiTheme="minorEastAsia" w:hAnsiTheme="minorEastAsia" w:eastAsiaTheme="minorEastAsia"/>
          <w:color w:val="auto"/>
          <w:sz w:val="24"/>
          <w:szCs w:val="24"/>
          <w:highlight w:val="none"/>
          <w:u w:val="single"/>
        </w:rPr>
      </w:pPr>
      <w:r>
        <w:rPr>
          <w:rFonts w:hint="eastAsia" w:cs="Times New Roman" w:asciiTheme="minorEastAsia" w:hAnsiTheme="minorEastAsia" w:eastAsiaTheme="minorEastAsia"/>
          <w:color w:val="auto"/>
          <w:sz w:val="24"/>
          <w:szCs w:val="24"/>
          <w:highlight w:val="none"/>
        </w:rPr>
        <w:t>1.5.1服务期限</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63BAB213">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1.5.2服务地点</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581BE40A">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1.5.3服务方式：</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w:t>
      </w:r>
    </w:p>
    <w:p w14:paraId="71137BA8">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77" w:name="_Toc19554"/>
      <w:bookmarkStart w:id="78" w:name="_Toc27250"/>
      <w:bookmarkStart w:id="79" w:name="_Toc21423"/>
      <w:r>
        <w:rPr>
          <w:rFonts w:hint="eastAsia" w:cs="Times New Roman" w:asciiTheme="minorEastAsia" w:hAnsiTheme="minorEastAsia" w:eastAsiaTheme="minorEastAsia"/>
          <w:b/>
          <w:bCs/>
          <w:color w:val="auto"/>
          <w:sz w:val="24"/>
          <w:szCs w:val="24"/>
          <w:highlight w:val="none"/>
          <w:lang w:val="zh-CN"/>
        </w:rPr>
        <w:t>1.6 违约责任</w:t>
      </w:r>
      <w:bookmarkEnd w:id="77"/>
      <w:bookmarkEnd w:id="78"/>
      <w:bookmarkEnd w:id="79"/>
    </w:p>
    <w:p w14:paraId="3E6750A7">
      <w:pPr>
        <w:spacing w:line="440" w:lineRule="exact"/>
        <w:ind w:firstLine="435"/>
        <w:rPr>
          <w:rFonts w:hint="eastAsia" w:cs="Times New Roman" w:asciiTheme="minorEastAsia" w:hAnsiTheme="minorEastAsia" w:eastAsiaTheme="minorEastAsia"/>
          <w:color w:val="auto"/>
          <w:sz w:val="24"/>
          <w:szCs w:val="24"/>
          <w:highlight w:val="none"/>
          <w:lang w:eastAsia="zh-CN"/>
        </w:rPr>
      </w:pPr>
      <w:bookmarkStart w:id="80" w:name="_Toc15583"/>
      <w:bookmarkStart w:id="81" w:name="_Toc16021"/>
      <w:bookmarkStart w:id="82" w:name="_Toc28375"/>
      <w:r>
        <w:rPr>
          <w:rFonts w:hint="eastAsia" w:cs="Times New Roman" w:asciiTheme="minorEastAsia" w:hAnsiTheme="minorEastAsia" w:eastAsiaTheme="minorEastAsia"/>
          <w:color w:val="auto"/>
          <w:sz w:val="24"/>
          <w:szCs w:val="24"/>
          <w:highlight w:val="none"/>
        </w:rPr>
        <w:t>1.6.1</w:t>
      </w:r>
      <w:r>
        <w:rPr>
          <w:rFonts w:hint="eastAsia" w:asciiTheme="minorEastAsia" w:hAnsiTheme="minorEastAsia" w:eastAsiaTheme="minorEastAsia"/>
          <w:color w:val="auto"/>
          <w:sz w:val="24"/>
          <w:highlight w:val="none"/>
        </w:rPr>
        <w:t>除不可抗力外，如果乙方没有按照本合同约定的期限、地点和方式履行，那么甲方可要求乙方支付违约金，违约金按每迟延履行一日的应提供而未提供服务价格的</w:t>
      </w:r>
      <w:r>
        <w:rPr>
          <w:rFonts w:hint="eastAsia" w:asciiTheme="minorEastAsia" w:hAnsiTheme="minorEastAsia" w:eastAsiaTheme="minorEastAsia"/>
          <w:color w:val="auto"/>
          <w:sz w:val="24"/>
          <w:highlight w:val="none"/>
          <w:u w:val="single"/>
        </w:rPr>
        <w:t xml:space="preserve"> 0.1 </w:t>
      </w:r>
      <w:r>
        <w:rPr>
          <w:rFonts w:asciiTheme="minorEastAsia" w:hAnsiTheme="minorEastAsia" w:eastAsiaTheme="minorEastAsia"/>
          <w:color w:val="auto"/>
          <w:sz w:val="24"/>
          <w:highlight w:val="none"/>
        </w:rPr>
        <w:t>%计算</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最高限额为</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合同总价的</w:t>
      </w:r>
      <w:r>
        <w:rPr>
          <w:rFonts w:hint="eastAsia" w:asciiTheme="minorEastAsia" w:hAnsiTheme="minorEastAsia" w:eastAsiaTheme="minorEastAsia"/>
          <w:color w:val="auto"/>
          <w:sz w:val="24"/>
          <w:highlight w:val="none"/>
          <w:u w:val="single"/>
        </w:rPr>
        <w:t xml:space="preserve"> 10 </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；迟延履行的违约金计算数额达到前述最高限额之日起，甲方有权在要求乙方支付违约金的同时，书面通知乙方解除本合同</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违约金从当季工程进度款中扣除）</w:t>
      </w:r>
      <w:r>
        <w:rPr>
          <w:rFonts w:hint="eastAsia" w:asciiTheme="minorEastAsia" w:hAnsiTheme="minorEastAsia" w:eastAsiaTheme="minorEastAsia"/>
          <w:color w:val="auto"/>
          <w:sz w:val="24"/>
          <w:highlight w:val="none"/>
        </w:rPr>
        <w:t>；</w:t>
      </w:r>
    </w:p>
    <w:p w14:paraId="6E8F2C65">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1.6.2除不可抗力外，如果甲方没有按照本合同约定的付款方式付款，那么乙方可要求甲方支付违约金，违约金按每迟延付款一日的应付而未付款的 0.1 %计算，最高限额为本合同总价的10%；迟延付款的违约金计算数额达到前述最高限额之日起，乙方有权在要求甲方支付违约金的同时，书面通知甲方解除本合同；</w:t>
      </w:r>
    </w:p>
    <w:p w14:paraId="12DA8403">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88094A">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BAE07BD">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F43DCD7">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0A3924FF">
      <w:pPr>
        <w:spacing w:line="440" w:lineRule="exact"/>
        <w:ind w:firstLine="435"/>
        <w:rPr>
          <w:rFonts w:hint="eastAsia"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1.6.7因甲方未按合同约定支付价款、未按合同约定受领标的物、擅自解除合同</w:t>
      </w:r>
      <w:r>
        <w:rPr>
          <w:rFonts w:hint="eastAsia" w:cs="Times New Roman" w:asciiTheme="minorEastAsia" w:hAnsiTheme="minorEastAsia" w:eastAsiaTheme="minorEastAsia"/>
          <w:color w:val="auto"/>
          <w:sz w:val="24"/>
          <w:szCs w:val="24"/>
          <w:highlight w:val="none"/>
        </w:rPr>
        <w:t>、逾期退还履约保证金</w:t>
      </w:r>
      <w:r>
        <w:rPr>
          <w:rFonts w:cs="Times New Roman" w:asciiTheme="minorEastAsia" w:hAnsiTheme="minorEastAsia" w:eastAsiaTheme="minorEastAsia"/>
          <w:color w:val="auto"/>
          <w:sz w:val="24"/>
          <w:szCs w:val="24"/>
          <w:highlight w:val="none"/>
        </w:rPr>
        <w:t>导致乙方遭受的直接损失，乙方可向甲方申请赔偿，赔偿金额由双方协商一致；</w:t>
      </w:r>
      <w:r>
        <w:rPr>
          <w:rFonts w:hint="eastAsia" w:cs="Times New Roman" w:asciiTheme="minorEastAsia" w:hAnsiTheme="minorEastAsia" w:eastAsiaTheme="minorEastAsia"/>
          <w:color w:val="auto"/>
          <w:sz w:val="24"/>
          <w:szCs w:val="24"/>
          <w:highlight w:val="none"/>
        </w:rPr>
        <w:t>针对因政策变化等原因不能签订合同或解除合同时，造成乙方合法利益受损的情形，可以给予乙方合理补偿，补偿金额不得超过乙方的直接损失。</w:t>
      </w:r>
    </w:p>
    <w:p w14:paraId="41C59444">
      <w:pPr>
        <w:spacing w:line="360" w:lineRule="auto"/>
        <w:ind w:firstLine="437"/>
        <w:outlineLvl w:val="2"/>
        <w:rPr>
          <w:rFonts w:cs="Times New Roman" w:asciiTheme="minorEastAsia" w:hAnsiTheme="minorEastAsia" w:eastAsiaTheme="minorEastAsia"/>
          <w:b/>
          <w:bCs/>
          <w:color w:val="auto"/>
          <w:sz w:val="24"/>
          <w:szCs w:val="24"/>
          <w:highlight w:val="none"/>
          <w:lang w:val="zh-CN"/>
        </w:rPr>
      </w:pPr>
      <w:r>
        <w:rPr>
          <w:rFonts w:hint="eastAsia" w:cs="Times New Roman" w:asciiTheme="minorEastAsia" w:hAnsiTheme="minorEastAsia" w:eastAsiaTheme="minorEastAsia"/>
          <w:b/>
          <w:bCs/>
          <w:color w:val="auto"/>
          <w:sz w:val="24"/>
          <w:szCs w:val="24"/>
          <w:highlight w:val="none"/>
          <w:lang w:val="zh-CN"/>
        </w:rPr>
        <w:t>1.7</w:t>
      </w:r>
      <w:r>
        <w:rPr>
          <w:rFonts w:cs="Times New Roman" w:asciiTheme="minorEastAsia" w:hAnsiTheme="minorEastAsia" w:eastAsiaTheme="minorEastAsia"/>
          <w:b/>
          <w:bCs/>
          <w:color w:val="auto"/>
          <w:sz w:val="24"/>
          <w:szCs w:val="24"/>
          <w:highlight w:val="none"/>
          <w:lang w:val="zh-CN"/>
        </w:rPr>
        <w:t xml:space="preserve"> </w:t>
      </w:r>
      <w:r>
        <w:rPr>
          <w:rFonts w:hint="eastAsia" w:cs="Times New Roman" w:asciiTheme="minorEastAsia" w:hAnsiTheme="minorEastAsia" w:eastAsiaTheme="minorEastAsia"/>
          <w:b/>
          <w:bCs/>
          <w:color w:val="auto"/>
          <w:sz w:val="24"/>
          <w:szCs w:val="24"/>
          <w:highlight w:val="none"/>
          <w:lang w:val="zh-CN"/>
        </w:rPr>
        <w:t>合同</w:t>
      </w:r>
      <w:r>
        <w:rPr>
          <w:rFonts w:cs="Times New Roman" w:asciiTheme="minorEastAsia" w:hAnsiTheme="minorEastAsia" w:eastAsiaTheme="minorEastAsia"/>
          <w:b/>
          <w:bCs/>
          <w:color w:val="auto"/>
          <w:sz w:val="24"/>
          <w:szCs w:val="24"/>
          <w:highlight w:val="none"/>
          <w:lang w:val="zh-CN"/>
        </w:rPr>
        <w:t>争议的解决</w:t>
      </w:r>
      <w:bookmarkEnd w:id="80"/>
      <w:bookmarkEnd w:id="81"/>
      <w:bookmarkEnd w:id="82"/>
    </w:p>
    <w:p w14:paraId="72D9A9E8">
      <w:pPr>
        <w:spacing w:line="440" w:lineRule="exact"/>
        <w:ind w:firstLine="435"/>
        <w:rPr>
          <w:rFonts w:hint="eastAsia" w:cs="Times New Roman" w:asciiTheme="minorEastAsia" w:hAnsiTheme="minorEastAsia" w:eastAsiaTheme="minorEastAsia"/>
          <w:color w:val="auto"/>
          <w:sz w:val="24"/>
          <w:szCs w:val="24"/>
          <w:highlight w:val="none"/>
        </w:rPr>
      </w:pPr>
      <w:bookmarkStart w:id="83" w:name="_Toc11173"/>
      <w:bookmarkStart w:id="84" w:name="_Toc7245"/>
      <w:bookmarkStart w:id="85" w:name="_Toc15322"/>
      <w:r>
        <w:rPr>
          <w:rFonts w:hint="eastAsia" w:cs="Times New Roman" w:asciiTheme="minorEastAsia" w:hAnsiTheme="minorEastAsia" w:eastAsiaTheme="minorEastAsia"/>
          <w:color w:val="auto"/>
          <w:sz w:val="24"/>
          <w:szCs w:val="24"/>
          <w:highlight w:val="none"/>
        </w:rPr>
        <w:t>本合同履行过程中发生的任何争议，双方当事人均可通过和解或者调解解决；不愿和解、调解或者和解、调解不成的，可以选择下列第</w:t>
      </w:r>
      <w:r>
        <w:rPr>
          <w:rFonts w:hint="eastAsia" w:cs="Times New Roman" w:asciiTheme="minorEastAsia" w:hAnsiTheme="minorEastAsia" w:eastAsiaTheme="minorEastAsia"/>
          <w:color w:val="auto"/>
          <w:sz w:val="24"/>
          <w:szCs w:val="24"/>
          <w:highlight w:val="none"/>
          <w:u w:val="single"/>
        </w:rPr>
        <w:t xml:space="preserve">  1  </w:t>
      </w:r>
      <w:r>
        <w:rPr>
          <w:rFonts w:hint="eastAsia" w:cs="Times New Roman" w:asciiTheme="minorEastAsia" w:hAnsiTheme="minorEastAsia" w:eastAsiaTheme="minorEastAsia"/>
          <w:color w:val="auto"/>
          <w:sz w:val="24"/>
          <w:szCs w:val="24"/>
          <w:highlight w:val="none"/>
        </w:rPr>
        <w:t>种方式解决：</w:t>
      </w:r>
    </w:p>
    <w:p w14:paraId="5F951847">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（1）将争议提交</w:t>
      </w:r>
      <w:r>
        <w:rPr>
          <w:rFonts w:hint="eastAsia" w:cs="Times New Roman" w:asciiTheme="minorEastAsia" w:hAnsiTheme="minorEastAsia" w:eastAsiaTheme="minorEastAsia"/>
          <w:color w:val="auto"/>
          <w:sz w:val="24"/>
          <w:szCs w:val="24"/>
          <w:highlight w:val="none"/>
          <w:u w:val="single"/>
        </w:rPr>
        <w:t xml:space="preserve">  滁州    </w:t>
      </w:r>
      <w:r>
        <w:rPr>
          <w:rFonts w:hint="eastAsia" w:cs="Times New Roman" w:asciiTheme="minorEastAsia" w:hAnsiTheme="minorEastAsia" w:eastAsiaTheme="minorEastAsia"/>
          <w:color w:val="auto"/>
          <w:sz w:val="24"/>
          <w:szCs w:val="24"/>
          <w:highlight w:val="none"/>
        </w:rPr>
        <w:t>仲裁委员会依申请仲裁时其现行有效的仲裁规则裁决；</w:t>
      </w:r>
    </w:p>
    <w:p w14:paraId="620FAD63">
      <w:pPr>
        <w:spacing w:line="440" w:lineRule="exact"/>
        <w:ind w:firstLine="435"/>
        <w:rPr>
          <w:rFonts w:hint="eastAsia"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（2）向</w:t>
      </w:r>
      <w:r>
        <w:rPr>
          <w:rFonts w:hint="eastAsia" w:cs="Times New Roman" w:asciiTheme="minorEastAsia" w:hAnsiTheme="minorEastAsia" w:eastAsiaTheme="minorEastAsia"/>
          <w:color w:val="auto"/>
          <w:sz w:val="24"/>
          <w:szCs w:val="24"/>
          <w:highlight w:val="none"/>
          <w:u w:val="single"/>
        </w:rPr>
        <w:t xml:space="preserve">  /  </w:t>
      </w:r>
      <w:r>
        <w:rPr>
          <w:rFonts w:hint="eastAsia" w:cs="Times New Roman" w:asciiTheme="minorEastAsia" w:hAnsiTheme="minorEastAsia" w:eastAsiaTheme="minorEastAsia"/>
          <w:color w:val="auto"/>
          <w:sz w:val="24"/>
          <w:szCs w:val="24"/>
          <w:highlight w:val="none"/>
        </w:rPr>
        <w:t>人民法院起诉。</w:t>
      </w:r>
    </w:p>
    <w:p w14:paraId="2407D7F3">
      <w:pPr>
        <w:spacing w:line="360" w:lineRule="auto"/>
        <w:ind w:firstLine="437"/>
        <w:outlineLvl w:val="2"/>
        <w:rPr>
          <w:rFonts w:cs="Times New Roman" w:asciiTheme="minorEastAsia" w:hAnsiTheme="minorEastAsia" w:eastAsiaTheme="minorEastAsia"/>
          <w:b/>
          <w:bCs/>
          <w:color w:val="auto"/>
          <w:sz w:val="24"/>
          <w:szCs w:val="24"/>
          <w:highlight w:val="none"/>
          <w:lang w:val="zh-CN"/>
        </w:rPr>
      </w:pPr>
      <w:r>
        <w:rPr>
          <w:rFonts w:hint="eastAsia" w:cs="Times New Roman" w:asciiTheme="minorEastAsia" w:hAnsiTheme="minorEastAsia" w:eastAsiaTheme="minorEastAsia"/>
          <w:b/>
          <w:bCs/>
          <w:color w:val="auto"/>
          <w:sz w:val="24"/>
          <w:szCs w:val="24"/>
          <w:highlight w:val="none"/>
          <w:lang w:val="zh-CN"/>
        </w:rPr>
        <w:t>1.8</w:t>
      </w:r>
      <w:r>
        <w:rPr>
          <w:rFonts w:cs="Times New Roman" w:asciiTheme="minorEastAsia" w:hAnsiTheme="minorEastAsia" w:eastAsiaTheme="minorEastAsia"/>
          <w:b/>
          <w:bCs/>
          <w:color w:val="auto"/>
          <w:sz w:val="24"/>
          <w:szCs w:val="24"/>
          <w:highlight w:val="none"/>
          <w:lang w:val="zh-CN"/>
        </w:rPr>
        <w:t xml:space="preserve"> 合同生效</w:t>
      </w:r>
      <w:bookmarkEnd w:id="83"/>
      <w:bookmarkEnd w:id="84"/>
      <w:bookmarkEnd w:id="85"/>
    </w:p>
    <w:p w14:paraId="7BCC4997">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本合同自</w:t>
      </w:r>
      <w:r>
        <w:rPr>
          <w:rFonts w:hint="eastAsia" w:cs="Times New Roman" w:asciiTheme="minorEastAsia" w:hAnsiTheme="minorEastAsia" w:eastAsiaTheme="minorEastAsia"/>
          <w:color w:val="auto"/>
          <w:sz w:val="24"/>
          <w:szCs w:val="24"/>
          <w:highlight w:val="none"/>
        </w:rPr>
        <w:t>双方当事人盖章时</w:t>
      </w:r>
      <w:r>
        <w:rPr>
          <w:rFonts w:cs="Times New Roman" w:asciiTheme="minorEastAsia" w:hAnsiTheme="minorEastAsia" w:eastAsiaTheme="minorEastAsia"/>
          <w:color w:val="auto"/>
          <w:sz w:val="24"/>
          <w:szCs w:val="24"/>
          <w:highlight w:val="none"/>
        </w:rPr>
        <w:t>生效。</w:t>
      </w:r>
    </w:p>
    <w:p w14:paraId="018F0032">
      <w:pPr>
        <w:autoSpaceDE w:val="0"/>
        <w:autoSpaceDN w:val="0"/>
        <w:adjustRightInd w:val="0"/>
        <w:spacing w:line="560" w:lineRule="exact"/>
        <w:rPr>
          <w:rFonts w:cs="Times New Roman" w:asciiTheme="minorEastAsia" w:hAnsiTheme="minorEastAsia" w:eastAsiaTheme="minorEastAsia"/>
          <w:color w:val="auto"/>
          <w:sz w:val="24"/>
          <w:szCs w:val="24"/>
          <w:highlight w:val="none"/>
          <w:lang w:val="zh-CN"/>
        </w:rPr>
      </w:pPr>
    </w:p>
    <w:p w14:paraId="13947649">
      <w:pPr>
        <w:autoSpaceDE w:val="0"/>
        <w:autoSpaceDN w:val="0"/>
        <w:adjustRightInd w:val="0"/>
        <w:spacing w:line="560" w:lineRule="exact"/>
        <w:rPr>
          <w:rFonts w:cs="Times New Roman" w:asciiTheme="minorEastAsia" w:hAnsiTheme="minorEastAsia" w:eastAsiaTheme="minorEastAsia"/>
          <w:color w:val="auto"/>
          <w:sz w:val="24"/>
          <w:szCs w:val="24"/>
          <w:highlight w:val="none"/>
          <w:lang w:val="zh-CN"/>
        </w:rPr>
      </w:pPr>
    </w:p>
    <w:p w14:paraId="22058FE1">
      <w:pPr>
        <w:autoSpaceDE w:val="0"/>
        <w:autoSpaceDN w:val="0"/>
        <w:adjustRightInd w:val="0"/>
        <w:spacing w:line="560" w:lineRule="exact"/>
        <w:rPr>
          <w:rFonts w:cs="Times New Roman" w:asciiTheme="minorEastAsia" w:hAnsiTheme="minorEastAsia" w:eastAsiaTheme="minorEastAsia"/>
          <w:color w:val="auto"/>
          <w:sz w:val="24"/>
          <w:szCs w:val="24"/>
          <w:highlight w:val="none"/>
          <w:lang w:val="zh-CN"/>
        </w:rPr>
      </w:pPr>
    </w:p>
    <w:p w14:paraId="68D163CD">
      <w:pPr>
        <w:autoSpaceDE w:val="0"/>
        <w:autoSpaceDN w:val="0"/>
        <w:adjustRightInd w:val="0"/>
        <w:spacing w:line="560" w:lineRule="exact"/>
        <w:rPr>
          <w:rFonts w:cs="Times New Roman" w:asciiTheme="minorEastAsia" w:hAnsiTheme="minorEastAsia" w:eastAsiaTheme="minorEastAsia"/>
          <w:bCs/>
          <w:color w:val="auto"/>
          <w:sz w:val="24"/>
          <w:szCs w:val="24"/>
          <w:highlight w:val="none"/>
          <w:lang w:val="zh-CN"/>
        </w:rPr>
      </w:pPr>
      <w:r>
        <w:rPr>
          <w:rFonts w:hint="eastAsia" w:cs="Times New Roman" w:asciiTheme="minorEastAsia" w:hAnsiTheme="minorEastAsia" w:eastAsiaTheme="minorEastAsia"/>
          <w:bCs/>
          <w:color w:val="auto"/>
          <w:sz w:val="24"/>
          <w:szCs w:val="24"/>
          <w:highlight w:val="none"/>
          <w:lang w:val="zh-CN"/>
        </w:rPr>
        <w:t xml:space="preserve">甲 </w:t>
      </w:r>
      <w:r>
        <w:rPr>
          <w:rFonts w:cs="Times New Roman" w:asciiTheme="minorEastAsia" w:hAnsiTheme="minorEastAsia" w:eastAsiaTheme="minorEastAsia"/>
          <w:bCs/>
          <w:color w:val="auto"/>
          <w:sz w:val="24"/>
          <w:szCs w:val="24"/>
          <w:highlight w:val="none"/>
          <w:lang w:val="zh-CN"/>
        </w:rPr>
        <w:t xml:space="preserve">   </w:t>
      </w:r>
      <w:r>
        <w:rPr>
          <w:rFonts w:hint="eastAsia" w:cs="Times New Roman" w:asciiTheme="minorEastAsia" w:hAnsiTheme="minorEastAsia" w:eastAsiaTheme="minorEastAsia"/>
          <w:bCs/>
          <w:color w:val="auto"/>
          <w:sz w:val="24"/>
          <w:szCs w:val="24"/>
          <w:highlight w:val="none"/>
          <w:lang w:val="zh-CN"/>
        </w:rPr>
        <w:t>方：</w:t>
      </w:r>
      <w:r>
        <w:rPr>
          <w:rFonts w:hint="eastAsia" w:cs="Times New Roman" w:asciiTheme="minorEastAsia" w:hAnsiTheme="minorEastAsia" w:eastAsiaTheme="minorEastAsia"/>
          <w:bCs/>
          <w:color w:val="auto"/>
          <w:sz w:val="24"/>
          <w:szCs w:val="24"/>
          <w:highlight w:val="none"/>
          <w:u w:val="single"/>
          <w:lang w:val="zh-CN"/>
        </w:rPr>
        <w:t xml:space="preserve">    （单位盖章）     </w:t>
      </w:r>
      <w:r>
        <w:rPr>
          <w:rFonts w:hint="eastAsia" w:cs="Times New Roman" w:asciiTheme="minorEastAsia" w:hAnsiTheme="minorEastAsia" w:eastAsiaTheme="minorEastAsia"/>
          <w:bCs/>
          <w:color w:val="auto"/>
          <w:sz w:val="24"/>
          <w:szCs w:val="24"/>
          <w:highlight w:val="none"/>
          <w:lang w:val="zh-CN"/>
        </w:rPr>
        <w:t xml:space="preserve">          乙方：</w:t>
      </w:r>
      <w:r>
        <w:rPr>
          <w:rFonts w:hint="eastAsia" w:cs="Times New Roman" w:asciiTheme="minorEastAsia" w:hAnsiTheme="minorEastAsia" w:eastAsiaTheme="minorEastAsia"/>
          <w:bCs/>
          <w:color w:val="auto"/>
          <w:sz w:val="24"/>
          <w:szCs w:val="24"/>
          <w:highlight w:val="none"/>
          <w:u w:val="single"/>
          <w:lang w:val="zh-CN"/>
        </w:rPr>
        <w:t xml:space="preserve">    （单位盖章）     </w:t>
      </w:r>
    </w:p>
    <w:p w14:paraId="36CB1EF2">
      <w:pPr>
        <w:autoSpaceDE w:val="0"/>
        <w:autoSpaceDN w:val="0"/>
        <w:adjustRightInd w:val="0"/>
        <w:spacing w:line="560" w:lineRule="exact"/>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 xml:space="preserve">法定代表人                             </w:t>
      </w:r>
      <w:r>
        <w:rPr>
          <w:rFonts w:cs="Times New Roman" w:asciiTheme="minorEastAsia" w:hAnsiTheme="minorEastAsia" w:eastAsiaTheme="minorEastAsia"/>
          <w:color w:val="auto"/>
          <w:sz w:val="24"/>
          <w:szCs w:val="24"/>
          <w:highlight w:val="none"/>
          <w:lang w:val="zh-CN"/>
        </w:rPr>
        <w:t xml:space="preserve">  </w:t>
      </w:r>
      <w:r>
        <w:rPr>
          <w:rFonts w:hint="eastAsia" w:cs="Times New Roman" w:asciiTheme="minorEastAsia" w:hAnsiTheme="minorEastAsia" w:eastAsiaTheme="minorEastAsia"/>
          <w:color w:val="auto"/>
          <w:sz w:val="24"/>
          <w:szCs w:val="24"/>
          <w:highlight w:val="none"/>
          <w:lang w:val="zh-CN"/>
        </w:rPr>
        <w:t>法定代表人</w:t>
      </w:r>
    </w:p>
    <w:p w14:paraId="4070CA9D">
      <w:pPr>
        <w:autoSpaceDE w:val="0"/>
        <w:autoSpaceDN w:val="0"/>
        <w:adjustRightInd w:val="0"/>
        <w:spacing w:line="560" w:lineRule="exact"/>
        <w:rPr>
          <w:rFonts w:cs="Times New Roman" w:asciiTheme="minorEastAsia" w:hAnsiTheme="minorEastAsia" w:eastAsiaTheme="minorEastAsia"/>
          <w:color w:val="auto"/>
          <w:sz w:val="24"/>
          <w:szCs w:val="24"/>
          <w:highlight w:val="none"/>
          <w:lang w:val="zh-CN"/>
        </w:rPr>
      </w:pPr>
      <w:r>
        <w:rPr>
          <w:rFonts w:hint="eastAsia" w:cs="Times New Roman" w:asciiTheme="minorEastAsia" w:hAnsiTheme="minorEastAsia" w:eastAsiaTheme="minorEastAsia"/>
          <w:color w:val="auto"/>
          <w:sz w:val="24"/>
          <w:szCs w:val="24"/>
          <w:highlight w:val="none"/>
          <w:lang w:val="zh-CN"/>
        </w:rPr>
        <w:t>或授权代表（签字）：                      或授权代表（签字）：</w:t>
      </w:r>
    </w:p>
    <w:p w14:paraId="01CC75B0">
      <w:pPr>
        <w:widowControl/>
        <w:spacing w:line="560" w:lineRule="exact"/>
        <w:jc w:val="left"/>
        <w:rPr>
          <w:rFonts w:cs="Times New Roman" w:asciiTheme="minorEastAsia" w:hAnsiTheme="minorEastAsia" w:eastAsiaTheme="minorEastAsia"/>
          <w:bCs/>
          <w:color w:val="auto"/>
          <w:sz w:val="24"/>
          <w:szCs w:val="24"/>
          <w:highlight w:val="none"/>
        </w:rPr>
      </w:pPr>
      <w:bookmarkStart w:id="86" w:name="_Toc331685783"/>
      <w:r>
        <w:rPr>
          <w:rFonts w:hint="eastAsia" w:cs="Times New Roman" w:asciiTheme="minorEastAsia" w:hAnsiTheme="minorEastAsia" w:eastAsiaTheme="minorEastAsia"/>
          <w:bCs/>
          <w:color w:val="auto"/>
          <w:sz w:val="24"/>
          <w:szCs w:val="24"/>
          <w:highlight w:val="none"/>
        </w:rPr>
        <w:t>时间：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月</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日               时间：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年</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月</w:t>
      </w:r>
      <w:r>
        <w:rPr>
          <w:rFonts w:hint="eastAsia" w:cs="Times New Roman" w:asciiTheme="minorEastAsia" w:hAnsiTheme="minorEastAsia" w:eastAsiaTheme="minorEastAsia"/>
          <w:bCs/>
          <w:color w:val="auto"/>
          <w:sz w:val="24"/>
          <w:szCs w:val="24"/>
          <w:highlight w:val="none"/>
          <w:u w:val="single"/>
        </w:rPr>
        <w:t xml:space="preserve"> </w:t>
      </w:r>
      <w:r>
        <w:rPr>
          <w:rFonts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u w:val="single"/>
        </w:rPr>
        <w:t xml:space="preserve">  </w:t>
      </w:r>
      <w:r>
        <w:rPr>
          <w:rFonts w:hint="eastAsia" w:cs="Times New Roman" w:asciiTheme="minorEastAsia" w:hAnsiTheme="minorEastAsia" w:eastAsiaTheme="minorEastAsia"/>
          <w:bCs/>
          <w:color w:val="auto"/>
          <w:sz w:val="24"/>
          <w:szCs w:val="24"/>
          <w:highlight w:val="none"/>
        </w:rPr>
        <w:t>日</w:t>
      </w:r>
    </w:p>
    <w:p w14:paraId="1FC5061F">
      <w:pPr>
        <w:spacing w:line="56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w:t>
      </w:r>
      <w:bookmarkStart w:id="87" w:name="_Hlk110099149"/>
      <w:r>
        <w:rPr>
          <w:rFonts w:hint="eastAsia" w:ascii="宋体" w:hAnsi="宋体" w:eastAsia="宋体"/>
          <w:color w:val="auto"/>
          <w:sz w:val="24"/>
          <w:szCs w:val="24"/>
          <w:highlight w:val="none"/>
        </w:rPr>
        <w:t>乙方账户信息</w:t>
      </w:r>
    </w:p>
    <w:p w14:paraId="7B7BC559">
      <w:pPr>
        <w:spacing w:line="56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户名：</w:t>
      </w:r>
      <w:r>
        <w:rPr>
          <w:rFonts w:hint="eastAsia" w:ascii="宋体" w:hAnsi="宋体" w:eastAsia="宋体"/>
          <w:color w:val="auto"/>
          <w:sz w:val="24"/>
          <w:szCs w:val="24"/>
          <w:highlight w:val="none"/>
          <w:u w:val="single"/>
        </w:rPr>
        <w:t xml:space="preserve">            </w:t>
      </w:r>
    </w:p>
    <w:p w14:paraId="202B0FF0">
      <w:pPr>
        <w:spacing w:line="56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账号：</w:t>
      </w:r>
      <w:r>
        <w:rPr>
          <w:rFonts w:hint="eastAsia" w:ascii="宋体" w:hAnsi="宋体" w:eastAsia="宋体"/>
          <w:color w:val="auto"/>
          <w:sz w:val="24"/>
          <w:szCs w:val="24"/>
          <w:highlight w:val="none"/>
          <w:u w:val="single"/>
        </w:rPr>
        <w:t xml:space="preserve">            </w:t>
      </w:r>
    </w:p>
    <w:p w14:paraId="5F312720">
      <w:pPr>
        <w:spacing w:line="56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开户银行：</w:t>
      </w:r>
      <w:r>
        <w:rPr>
          <w:rFonts w:hint="eastAsia" w:ascii="宋体" w:hAnsi="宋体" w:eastAsia="宋体"/>
          <w:color w:val="auto"/>
          <w:sz w:val="24"/>
          <w:szCs w:val="24"/>
          <w:highlight w:val="none"/>
          <w:u w:val="single"/>
        </w:rPr>
        <w:t xml:space="preserve">        </w:t>
      </w:r>
    </w:p>
    <w:bookmarkEnd w:id="87"/>
    <w:p w14:paraId="33323D2B">
      <w:pPr>
        <w:widowControl/>
        <w:jc w:val="left"/>
        <w:rPr>
          <w:rFonts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br w:type="page"/>
      </w:r>
    </w:p>
    <w:p w14:paraId="6035A12B">
      <w:pPr>
        <w:spacing w:line="360" w:lineRule="auto"/>
        <w:jc w:val="center"/>
        <w:outlineLvl w:val="1"/>
        <w:rPr>
          <w:rFonts w:asciiTheme="minorEastAsia" w:hAnsiTheme="minorEastAsia" w:eastAsiaTheme="minorEastAsia"/>
          <w:b/>
          <w:color w:val="auto"/>
          <w:sz w:val="24"/>
          <w:highlight w:val="none"/>
        </w:rPr>
      </w:pPr>
      <w:bookmarkStart w:id="88" w:name="_Toc415"/>
      <w:r>
        <w:rPr>
          <w:rFonts w:hint="eastAsia" w:asciiTheme="minorEastAsia" w:hAnsiTheme="minorEastAsia" w:eastAsiaTheme="minorEastAsia"/>
          <w:b/>
          <w:color w:val="auto"/>
          <w:sz w:val="24"/>
          <w:highlight w:val="none"/>
        </w:rPr>
        <w:t>第二部分</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合同一般条款</w:t>
      </w:r>
      <w:bookmarkEnd w:id="86"/>
      <w:bookmarkEnd w:id="88"/>
    </w:p>
    <w:p w14:paraId="3E5CCFFF">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89" w:name="_Ref467379109"/>
      <w:bookmarkStart w:id="90" w:name="_Ref467379214"/>
      <w:bookmarkStart w:id="91" w:name="_Ref467378404"/>
      <w:bookmarkStart w:id="92" w:name="_Toc19614"/>
      <w:bookmarkStart w:id="93" w:name="_Ref467379195"/>
      <w:bookmarkStart w:id="94" w:name="_Ref467379205"/>
      <w:bookmarkStart w:id="95" w:name="_Toc16917"/>
      <w:bookmarkStart w:id="96" w:name="_Ref467378463"/>
      <w:bookmarkStart w:id="97" w:name="_Ref467379101"/>
      <w:bookmarkStart w:id="98" w:name="_Ref467379094"/>
      <w:bookmarkStart w:id="99" w:name="_Toc487900349"/>
      <w:bookmarkStart w:id="100" w:name="_Toc279701240"/>
      <w:bookmarkStart w:id="101" w:name="_Ref467378499"/>
      <w:bookmarkStart w:id="102" w:name="_Toc259093669"/>
      <w:bookmarkStart w:id="103" w:name="_Ref467379225"/>
      <w:bookmarkStart w:id="104" w:name="_Toc28763"/>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 xml:space="preserve"> 定义</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8B093C1">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本合同中的下列</w:t>
      </w:r>
      <w:r>
        <w:rPr>
          <w:rFonts w:hint="eastAsia" w:cs="Times New Roman" w:asciiTheme="minorEastAsia" w:hAnsiTheme="minorEastAsia" w:eastAsiaTheme="minorEastAsia"/>
          <w:color w:val="auto"/>
          <w:sz w:val="24"/>
          <w:szCs w:val="24"/>
          <w:highlight w:val="none"/>
        </w:rPr>
        <w:t>词</w:t>
      </w:r>
      <w:r>
        <w:rPr>
          <w:rFonts w:cs="Times New Roman" w:asciiTheme="minorEastAsia" w:hAnsiTheme="minorEastAsia" w:eastAsiaTheme="minorEastAsia"/>
          <w:color w:val="auto"/>
          <w:sz w:val="24"/>
          <w:szCs w:val="24"/>
          <w:highlight w:val="none"/>
        </w:rPr>
        <w:t>语应</w:t>
      </w:r>
      <w:r>
        <w:rPr>
          <w:rFonts w:hint="eastAsia" w:cs="Times New Roman" w:asciiTheme="minorEastAsia" w:hAnsiTheme="minorEastAsia" w:eastAsiaTheme="minorEastAsia"/>
          <w:color w:val="auto"/>
          <w:sz w:val="24"/>
          <w:szCs w:val="24"/>
          <w:highlight w:val="none"/>
        </w:rPr>
        <w:t>按以下内容进行</w:t>
      </w:r>
      <w:r>
        <w:rPr>
          <w:rFonts w:cs="Times New Roman" w:asciiTheme="minorEastAsia" w:hAnsiTheme="minorEastAsia" w:eastAsiaTheme="minorEastAsia"/>
          <w:color w:val="auto"/>
          <w:sz w:val="24"/>
          <w:szCs w:val="24"/>
          <w:highlight w:val="none"/>
        </w:rPr>
        <w:t>解释：</w:t>
      </w:r>
    </w:p>
    <w:p w14:paraId="56300864">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.1</w:t>
      </w:r>
      <w:r>
        <w:rPr>
          <w:rFonts w:cs="Times New Roman" w:asciiTheme="minorEastAsia" w:hAnsiTheme="minorEastAsia" w:eastAsiaTheme="minorEastAsia"/>
          <w:color w:val="auto"/>
          <w:sz w:val="24"/>
          <w:szCs w:val="24"/>
          <w:highlight w:val="none"/>
        </w:rPr>
        <w:t>“合同”系指采购人和中标人签订的载明双方当事人所达成的协议，并包括所有的附件、附录和构成合同的其他文件。</w:t>
      </w:r>
    </w:p>
    <w:p w14:paraId="1260D258">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1.2“合同价”系指根据合同约定，中标人在完全履行合同义务后</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采购人应支付给中标人的价格。</w:t>
      </w:r>
    </w:p>
    <w:p w14:paraId="1BB58EE9">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1.3“</w:t>
      </w:r>
      <w:r>
        <w:rPr>
          <w:rFonts w:hint="eastAsia" w:cs="Times New Roman" w:asciiTheme="minorEastAsia" w:hAnsiTheme="minorEastAsia" w:eastAsiaTheme="minorEastAsia"/>
          <w:color w:val="auto"/>
          <w:sz w:val="24"/>
          <w:szCs w:val="24"/>
          <w:highlight w:val="none"/>
        </w:rPr>
        <w:t>服务</w:t>
      </w:r>
      <w:r>
        <w:rPr>
          <w:rFonts w:cs="Times New Roman" w:asciiTheme="minorEastAsia" w:hAnsiTheme="minorEastAsia" w:eastAsiaTheme="minorEastAsia"/>
          <w:color w:val="auto"/>
          <w:sz w:val="24"/>
          <w:szCs w:val="24"/>
          <w:highlight w:val="none"/>
        </w:rPr>
        <w:t>”系指</w:t>
      </w:r>
      <w:r>
        <w:rPr>
          <w:rFonts w:hint="eastAsia" w:cs="Times New Roman" w:asciiTheme="minorEastAsia" w:hAnsiTheme="minorEastAsia" w:eastAsiaTheme="minorEastAsia"/>
          <w:color w:val="auto"/>
          <w:sz w:val="24"/>
          <w:szCs w:val="24"/>
          <w:highlight w:val="none"/>
        </w:rPr>
        <w:t>中标人</w:t>
      </w:r>
      <w:r>
        <w:rPr>
          <w:rFonts w:cs="Times New Roman" w:asciiTheme="minorEastAsia" w:hAnsiTheme="minorEastAsia" w:eastAsiaTheme="minorEastAsia"/>
          <w:color w:val="auto"/>
          <w:sz w:val="24"/>
          <w:szCs w:val="24"/>
          <w:highlight w:val="none"/>
        </w:rPr>
        <w:t>根据合同约定应向采购人</w:t>
      </w:r>
      <w:r>
        <w:rPr>
          <w:rFonts w:hint="eastAsia" w:cs="Times New Roman" w:asciiTheme="minorEastAsia" w:hAnsiTheme="minorEastAsia" w:eastAsiaTheme="minorEastAsia"/>
          <w:color w:val="auto"/>
          <w:sz w:val="24"/>
          <w:szCs w:val="24"/>
          <w:highlight w:val="none"/>
        </w:rPr>
        <w:t>履行</w:t>
      </w:r>
      <w:r>
        <w:rPr>
          <w:rFonts w:cs="Times New Roman" w:asciiTheme="minorEastAsia" w:hAnsiTheme="minorEastAsia" w:eastAsiaTheme="minorEastAsia"/>
          <w:color w:val="auto"/>
          <w:sz w:val="24"/>
          <w:szCs w:val="24"/>
          <w:highlight w:val="none"/>
        </w:rPr>
        <w:t>的</w:t>
      </w:r>
      <w:r>
        <w:rPr>
          <w:rFonts w:hint="eastAsia" w:cs="Times New Roman" w:asciiTheme="minorEastAsia" w:hAnsiTheme="minorEastAsia" w:eastAsiaTheme="minorEastAsia"/>
          <w:color w:val="auto"/>
          <w:sz w:val="24"/>
          <w:szCs w:val="24"/>
          <w:highlight w:val="none"/>
        </w:rPr>
        <w:t>除货物和工程以外的其他政府采购对象，包括采购人自身需要的服务和向社会公众提供的公共服务。</w:t>
      </w:r>
    </w:p>
    <w:p w14:paraId="7B877A5A">
      <w:pPr>
        <w:spacing w:line="360" w:lineRule="auto"/>
        <w:ind w:firstLine="435"/>
        <w:rPr>
          <w:rFonts w:cs="Times New Roman" w:asciiTheme="minorEastAsia" w:hAnsiTheme="minorEastAsia" w:eastAsiaTheme="minorEastAsia"/>
          <w:color w:val="auto"/>
          <w:sz w:val="24"/>
          <w:szCs w:val="24"/>
          <w:highlight w:val="none"/>
        </w:rPr>
      </w:pPr>
      <w:bookmarkStart w:id="105" w:name="_Ref467378840"/>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4</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rPr>
        <w:t>甲方</w:t>
      </w:r>
      <w:r>
        <w:rPr>
          <w:rFonts w:cs="Times New Roman" w:asciiTheme="minorEastAsia" w:hAnsiTheme="minorEastAsia" w:eastAsiaTheme="minorEastAsia"/>
          <w:color w:val="auto"/>
          <w:sz w:val="24"/>
          <w:szCs w:val="24"/>
          <w:highlight w:val="none"/>
        </w:rPr>
        <w:t>”系指与</w:t>
      </w:r>
      <w:r>
        <w:rPr>
          <w:rFonts w:hint="eastAsia" w:cs="Times New Roman" w:asciiTheme="minorEastAsia" w:hAnsiTheme="minorEastAsia" w:eastAsiaTheme="minorEastAsia"/>
          <w:color w:val="auto"/>
          <w:sz w:val="24"/>
          <w:szCs w:val="24"/>
          <w:highlight w:val="none"/>
        </w:rPr>
        <w:t>中标人</w:t>
      </w:r>
      <w:r>
        <w:rPr>
          <w:rFonts w:cs="Times New Roman" w:asciiTheme="minorEastAsia" w:hAnsiTheme="minorEastAsia" w:eastAsiaTheme="minorEastAsia"/>
          <w:color w:val="auto"/>
          <w:sz w:val="24"/>
          <w:szCs w:val="24"/>
          <w:highlight w:val="none"/>
        </w:rPr>
        <w:t>签署合同的采购人</w:t>
      </w:r>
      <w:bookmarkEnd w:id="105"/>
      <w:r>
        <w:rPr>
          <w:rFonts w:hint="eastAsia" w:cs="Times New Roman" w:asciiTheme="minorEastAsia" w:hAnsiTheme="minorEastAsia" w:eastAsiaTheme="minorEastAsia"/>
          <w:color w:val="auto"/>
          <w:sz w:val="24"/>
          <w:szCs w:val="24"/>
          <w:highlight w:val="none"/>
        </w:rPr>
        <w:t>；采购人委托采购代理机构代表其与乙方签订合同的，采购人的授权委托书作为合同附件。</w:t>
      </w:r>
    </w:p>
    <w:p w14:paraId="51109731">
      <w:pPr>
        <w:spacing w:line="360" w:lineRule="auto"/>
        <w:ind w:firstLine="435"/>
        <w:rPr>
          <w:rFonts w:cs="Times New Roman" w:asciiTheme="minorEastAsia" w:hAnsiTheme="minorEastAsia" w:eastAsiaTheme="minorEastAsia"/>
          <w:color w:val="auto"/>
          <w:sz w:val="24"/>
          <w:szCs w:val="24"/>
          <w:highlight w:val="none"/>
        </w:rPr>
      </w:pPr>
      <w:bookmarkStart w:id="106" w:name="_Ref467379400"/>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5</w:t>
      </w:r>
      <w:r>
        <w:rPr>
          <w:rFonts w:cs="Times New Roman" w:asciiTheme="minorEastAsia" w:hAnsiTheme="minorEastAsia" w:eastAsiaTheme="minorEastAsia"/>
          <w:color w:val="auto"/>
          <w:sz w:val="24"/>
          <w:szCs w:val="24"/>
          <w:highlight w:val="none"/>
        </w:rPr>
        <w:t>“乙方”系指根据合同约定</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的中标人</w:t>
      </w:r>
      <w:bookmarkEnd w:id="106"/>
      <w:r>
        <w:rPr>
          <w:rFonts w:hint="eastAsia" w:cs="Times New Roman" w:asciiTheme="minorEastAsia" w:hAnsiTheme="minorEastAsia" w:eastAsiaTheme="minorEastAsia"/>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FDB9B46">
      <w:pPr>
        <w:spacing w:line="360" w:lineRule="auto"/>
        <w:ind w:firstLine="435"/>
        <w:rPr>
          <w:rFonts w:cs="Times New Roman" w:asciiTheme="minorEastAsia" w:hAnsiTheme="minorEastAsia" w:eastAsiaTheme="minorEastAsia"/>
          <w:color w:val="auto"/>
          <w:sz w:val="24"/>
          <w:szCs w:val="24"/>
          <w:highlight w:val="none"/>
        </w:rPr>
      </w:pPr>
      <w:bookmarkStart w:id="107" w:name="_Ref467379436"/>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6</w:t>
      </w:r>
      <w:r>
        <w:rPr>
          <w:rFonts w:cs="Times New Roman" w:asciiTheme="minorEastAsia" w:hAnsiTheme="minorEastAsia" w:eastAsiaTheme="minorEastAsia"/>
          <w:color w:val="auto"/>
          <w:sz w:val="24"/>
          <w:szCs w:val="24"/>
          <w:highlight w:val="none"/>
        </w:rPr>
        <w:t>“现场”系指合同约定</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的地点。</w:t>
      </w:r>
      <w:bookmarkEnd w:id="107"/>
    </w:p>
    <w:p w14:paraId="278CAAF0">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08" w:name="_Toc259093670"/>
      <w:bookmarkStart w:id="109" w:name="_Toc279701241"/>
      <w:bookmarkStart w:id="110" w:name="_Toc487900350"/>
      <w:bookmarkStart w:id="111" w:name="_Toc13336"/>
      <w:bookmarkStart w:id="112" w:name="_Toc27635"/>
      <w:bookmarkStart w:id="113" w:name="_Toc32504"/>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2 技术规范</w:t>
      </w:r>
      <w:bookmarkEnd w:id="108"/>
      <w:bookmarkEnd w:id="109"/>
      <w:bookmarkEnd w:id="110"/>
      <w:bookmarkEnd w:id="111"/>
      <w:bookmarkEnd w:id="112"/>
      <w:bookmarkEnd w:id="113"/>
    </w:p>
    <w:p w14:paraId="300860F2">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货物所应遵守的技术规范应与采购文件规定的技术规范和技术规范附件(如果有的话)及其技术规范偏差表(如果被甲方接受的话)相一致</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如果采购文件中没有技术规范的相应说明，那么应以国家有关部门最新颁布的相应标准</w:t>
      </w:r>
      <w:r>
        <w:rPr>
          <w:rFonts w:hint="eastAsia" w:cs="Times New Roman" w:asciiTheme="minorEastAsia" w:hAnsiTheme="minorEastAsia" w:eastAsiaTheme="minorEastAsia"/>
          <w:color w:val="auto"/>
          <w:sz w:val="24"/>
          <w:szCs w:val="24"/>
          <w:highlight w:val="none"/>
        </w:rPr>
        <w:t>和</w:t>
      </w:r>
      <w:r>
        <w:rPr>
          <w:rFonts w:cs="Times New Roman" w:asciiTheme="minorEastAsia" w:hAnsiTheme="minorEastAsia" w:eastAsiaTheme="minorEastAsia"/>
          <w:color w:val="auto"/>
          <w:sz w:val="24"/>
          <w:szCs w:val="24"/>
          <w:highlight w:val="none"/>
        </w:rPr>
        <w:t>规范为准。</w:t>
      </w:r>
    </w:p>
    <w:p w14:paraId="2F1C1CB7">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14" w:name="_Toc259093671"/>
      <w:bookmarkStart w:id="115" w:name="_Toc27853"/>
      <w:bookmarkStart w:id="116" w:name="_Toc279701242"/>
      <w:bookmarkStart w:id="117" w:name="_Toc31634"/>
      <w:bookmarkStart w:id="118" w:name="_Toc487900351"/>
      <w:bookmarkStart w:id="119" w:name="_Toc982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3 知识产权</w:t>
      </w:r>
      <w:bookmarkEnd w:id="114"/>
      <w:bookmarkEnd w:id="115"/>
      <w:bookmarkEnd w:id="116"/>
      <w:bookmarkEnd w:id="117"/>
      <w:bookmarkEnd w:id="118"/>
      <w:bookmarkEnd w:id="119"/>
    </w:p>
    <w:p w14:paraId="234AB674">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2.3.1乙</w:t>
      </w:r>
      <w:r>
        <w:rPr>
          <w:rFonts w:cs="Times New Roman" w:asciiTheme="minorEastAsia" w:hAnsiTheme="minorEastAsia" w:eastAsiaTheme="minorEastAsia"/>
          <w:color w:val="auto"/>
          <w:sz w:val="24"/>
          <w:szCs w:val="24"/>
          <w:highlight w:val="none"/>
        </w:rPr>
        <w:t>方应保证</w:t>
      </w:r>
      <w:r>
        <w:rPr>
          <w:rFonts w:hint="eastAsia" w:cs="Times New Roman" w:asciiTheme="minorEastAsia" w:hAnsiTheme="minorEastAsia" w:eastAsiaTheme="minorEastAsia"/>
          <w:color w:val="auto"/>
          <w:sz w:val="24"/>
          <w:szCs w:val="24"/>
          <w:highlight w:val="none"/>
        </w:rPr>
        <w:t>其提供的服务</w:t>
      </w:r>
      <w:r>
        <w:rPr>
          <w:rFonts w:cs="Times New Roman" w:asciiTheme="minorEastAsia" w:hAnsiTheme="minorEastAsia" w:eastAsiaTheme="minorEastAsia"/>
          <w:color w:val="auto"/>
          <w:sz w:val="24"/>
          <w:szCs w:val="24"/>
          <w:highlight w:val="none"/>
        </w:rPr>
        <w:t>不受任何第三方提出的侵犯其著作权、商标权、专利权等知识产权方面的起诉</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如果任何第三方提出侵权</w:t>
      </w:r>
      <w:r>
        <w:rPr>
          <w:rFonts w:hint="eastAsia" w:cs="Times New Roman" w:asciiTheme="minorEastAsia" w:hAnsiTheme="minorEastAsia" w:eastAsiaTheme="minorEastAsia"/>
          <w:color w:val="auto"/>
          <w:sz w:val="24"/>
          <w:szCs w:val="24"/>
          <w:highlight w:val="none"/>
        </w:rPr>
        <w:t>指控</w:t>
      </w:r>
      <w:r>
        <w:rPr>
          <w:rFonts w:cs="Times New Roman" w:asciiTheme="minorEastAsia" w:hAnsiTheme="minorEastAsia" w:eastAsiaTheme="minorEastAsia"/>
          <w:color w:val="auto"/>
          <w:sz w:val="24"/>
          <w:szCs w:val="24"/>
          <w:highlight w:val="none"/>
        </w:rPr>
        <w:t>，那么乙方须与该第三方交涉并承担由此发生的一切责任、费用和赔偿</w:t>
      </w:r>
      <w:r>
        <w:rPr>
          <w:rFonts w:hint="eastAsia" w:cs="Times New Roman" w:asciiTheme="minorEastAsia" w:hAnsiTheme="minorEastAsia" w:eastAsiaTheme="minorEastAsia"/>
          <w:color w:val="auto"/>
          <w:sz w:val="24"/>
          <w:szCs w:val="24"/>
          <w:highlight w:val="none"/>
        </w:rPr>
        <w:t>；</w:t>
      </w:r>
    </w:p>
    <w:p w14:paraId="321D5DE4">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2.3.2具有知识产权的计算机软件等货物的知识产权归属，</w:t>
      </w:r>
      <w:r>
        <w:rPr>
          <w:rFonts w:cs="Times New Roman" w:asciiTheme="minorEastAsia" w:hAnsiTheme="minorEastAsia" w:eastAsiaTheme="minorEastAsia"/>
          <w:color w:val="auto"/>
          <w:sz w:val="24"/>
          <w:szCs w:val="24"/>
          <w:highlight w:val="none"/>
        </w:rPr>
        <w:t>详见</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w:t>
      </w:r>
    </w:p>
    <w:p w14:paraId="6CD55CDB">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20" w:name="_Toc487900354"/>
      <w:bookmarkStart w:id="121" w:name="_Toc259093674"/>
      <w:bookmarkStart w:id="122" w:name="_Ref467379536"/>
      <w:bookmarkStart w:id="123" w:name="_Ref467378541"/>
      <w:bookmarkStart w:id="124" w:name="_Toc279701245"/>
      <w:bookmarkStart w:id="125" w:name="_Ref467378591"/>
      <w:bookmarkStart w:id="126" w:name="_Ref467379527"/>
      <w:bookmarkStart w:id="127" w:name="_Ref467379542"/>
      <w:bookmarkStart w:id="128" w:name="_Toc30272"/>
      <w:bookmarkStart w:id="129" w:name="_Toc19074"/>
      <w:bookmarkStart w:id="130" w:name="_Toc26182"/>
      <w:r>
        <w:rPr>
          <w:rFonts w:hint="eastAsia" w:cs="Times New Roman" w:asciiTheme="minorEastAsia" w:hAnsiTheme="minorEastAsia" w:eastAsiaTheme="minorEastAsia"/>
          <w:b/>
          <w:bCs/>
          <w:color w:val="auto"/>
          <w:sz w:val="24"/>
          <w:szCs w:val="24"/>
          <w:highlight w:val="none"/>
          <w:lang w:val="zh-CN"/>
        </w:rPr>
        <w:t>2.</w:t>
      </w:r>
      <w:bookmarkEnd w:id="120"/>
      <w:bookmarkEnd w:id="121"/>
      <w:bookmarkEnd w:id="122"/>
      <w:bookmarkEnd w:id="123"/>
      <w:bookmarkEnd w:id="124"/>
      <w:bookmarkEnd w:id="125"/>
      <w:bookmarkEnd w:id="126"/>
      <w:bookmarkEnd w:id="127"/>
      <w:r>
        <w:rPr>
          <w:rFonts w:cs="Times New Roman" w:asciiTheme="minorEastAsia" w:hAnsiTheme="minorEastAsia" w:eastAsiaTheme="minorEastAsia"/>
          <w:b/>
          <w:bCs/>
          <w:color w:val="auto"/>
          <w:sz w:val="24"/>
          <w:szCs w:val="24"/>
          <w:highlight w:val="none"/>
          <w:lang w:val="zh-CN"/>
        </w:rPr>
        <w:t xml:space="preserve">4 </w:t>
      </w:r>
      <w:r>
        <w:rPr>
          <w:rFonts w:hint="eastAsia" w:cs="Times New Roman" w:asciiTheme="minorEastAsia" w:hAnsiTheme="minorEastAsia" w:eastAsiaTheme="minorEastAsia"/>
          <w:b/>
          <w:bCs/>
          <w:color w:val="auto"/>
          <w:sz w:val="24"/>
          <w:szCs w:val="24"/>
          <w:highlight w:val="none"/>
          <w:lang w:val="zh-CN"/>
        </w:rPr>
        <w:t>履约检查和问题反馈</w:t>
      </w:r>
      <w:bookmarkEnd w:id="128"/>
      <w:bookmarkEnd w:id="129"/>
      <w:bookmarkEnd w:id="130"/>
    </w:p>
    <w:p w14:paraId="2FE8FA85">
      <w:pPr>
        <w:spacing w:line="360" w:lineRule="auto"/>
        <w:ind w:firstLine="435"/>
        <w:rPr>
          <w:rFonts w:cs="Times New Roman" w:asciiTheme="minorEastAsia" w:hAnsiTheme="minorEastAsia" w:eastAsiaTheme="minorEastAsia"/>
          <w:color w:val="auto"/>
          <w:sz w:val="24"/>
          <w:szCs w:val="24"/>
          <w:highlight w:val="none"/>
        </w:rPr>
      </w:pPr>
      <w:bookmarkStart w:id="131" w:name="_Toc186431854"/>
      <w:bookmarkStart w:id="132" w:name="_Toc487900357"/>
      <w:bookmarkStart w:id="133" w:name="_Toc259093676"/>
      <w:bookmarkStart w:id="134" w:name="_Toc279701247"/>
      <w:bookmarkStart w:id="135" w:name="_Ref467379793"/>
      <w:bookmarkStart w:id="136" w:name="_Ref467379807"/>
      <w:r>
        <w:rPr>
          <w:rFonts w:hint="eastAsia" w:cs="Times New Roman" w:asciiTheme="minorEastAsia" w:hAnsiTheme="minorEastAsia" w:eastAsiaTheme="minorEastAsia"/>
          <w:color w:val="auto"/>
          <w:sz w:val="24"/>
          <w:szCs w:val="24"/>
          <w:highlight w:val="none"/>
        </w:rPr>
        <w:t>2.4</w:t>
      </w:r>
      <w:r>
        <w:rPr>
          <w:rFonts w:cs="Times New Roman" w:asciiTheme="minorEastAsia" w:hAnsiTheme="minorEastAsia" w:eastAsiaTheme="minorEastAsia"/>
          <w:color w:val="auto"/>
          <w:sz w:val="24"/>
          <w:szCs w:val="24"/>
          <w:highlight w:val="none"/>
        </w:rPr>
        <w:t>.1甲方</w:t>
      </w:r>
      <w:r>
        <w:rPr>
          <w:rFonts w:hint="eastAsia" w:cs="Times New Roman" w:asciiTheme="minorEastAsia" w:hAnsiTheme="minorEastAsia" w:eastAsiaTheme="minorEastAsia"/>
          <w:color w:val="auto"/>
          <w:sz w:val="24"/>
          <w:szCs w:val="24"/>
          <w:highlight w:val="none"/>
        </w:rPr>
        <w:t>有权</w:t>
      </w:r>
      <w:r>
        <w:rPr>
          <w:rFonts w:cs="Times New Roman" w:asciiTheme="minorEastAsia" w:hAnsiTheme="minorEastAsia" w:eastAsiaTheme="minorEastAsia"/>
          <w:color w:val="auto"/>
          <w:sz w:val="24"/>
          <w:szCs w:val="24"/>
          <w:highlight w:val="none"/>
        </w:rPr>
        <w:t>在其认为必要时</w:t>
      </w:r>
      <w:r>
        <w:rPr>
          <w:rFonts w:hint="eastAsia" w:cs="Times New Roman" w:asciiTheme="minorEastAsia" w:hAnsiTheme="minorEastAsia" w:eastAsiaTheme="minorEastAsia"/>
          <w:color w:val="auto"/>
          <w:sz w:val="24"/>
          <w:szCs w:val="24"/>
          <w:highlight w:val="none"/>
        </w:rPr>
        <w:t>，对乙方是否能够按照合同约定提供服务进行履约检查，以确保乙方所提供的服务能够依约满足甲方项目需求，但不得因履约检查妨碍乙方的正常工作，乙方应予积极配合；</w:t>
      </w:r>
    </w:p>
    <w:p w14:paraId="4806AF06">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.2合同履行期间，甲方有权将履行过程中出现的问题反馈给乙方，双方当事人应以书面形式约定需要完善和改进的内容</w:t>
      </w:r>
      <w:bookmarkEnd w:id="131"/>
      <w:bookmarkStart w:id="137" w:name="_Toc186431855"/>
      <w:r>
        <w:rPr>
          <w:rFonts w:hint="eastAsia" w:cs="Times New Roman" w:asciiTheme="minorEastAsia" w:hAnsiTheme="minorEastAsia" w:eastAsiaTheme="minorEastAsia"/>
          <w:color w:val="auto"/>
          <w:sz w:val="24"/>
          <w:szCs w:val="24"/>
          <w:highlight w:val="none"/>
        </w:rPr>
        <w:t>。</w:t>
      </w:r>
    </w:p>
    <w:bookmarkEnd w:id="137"/>
    <w:p w14:paraId="01FB6C68">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38" w:name="_Toc7836"/>
      <w:bookmarkStart w:id="139" w:name="_Toc28451"/>
      <w:bookmarkStart w:id="140" w:name="_Toc1921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5</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结算方式和付款条件</w:t>
      </w:r>
      <w:bookmarkEnd w:id="132"/>
      <w:bookmarkEnd w:id="133"/>
      <w:bookmarkEnd w:id="134"/>
      <w:bookmarkEnd w:id="135"/>
      <w:bookmarkEnd w:id="136"/>
      <w:bookmarkEnd w:id="138"/>
      <w:bookmarkEnd w:id="139"/>
      <w:bookmarkEnd w:id="140"/>
    </w:p>
    <w:p w14:paraId="4B7B7229">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详见</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w:t>
      </w:r>
    </w:p>
    <w:p w14:paraId="452A1C7D">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41" w:name="_Ref467379852"/>
      <w:bookmarkStart w:id="142" w:name="_Ref467379923"/>
      <w:bookmarkStart w:id="143" w:name="_Ref467379863"/>
      <w:bookmarkStart w:id="144" w:name="_Toc279701248"/>
      <w:bookmarkStart w:id="145" w:name="_Toc487900358"/>
      <w:bookmarkStart w:id="146" w:name="_Toc259093677"/>
      <w:bookmarkStart w:id="147" w:name="_Toc16110"/>
      <w:bookmarkStart w:id="148" w:name="_Toc3225"/>
      <w:bookmarkStart w:id="149" w:name="_Toc774"/>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6</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技术资料</w:t>
      </w:r>
      <w:bookmarkEnd w:id="141"/>
      <w:bookmarkEnd w:id="142"/>
      <w:bookmarkEnd w:id="143"/>
      <w:bookmarkEnd w:id="144"/>
      <w:bookmarkEnd w:id="145"/>
      <w:bookmarkEnd w:id="146"/>
      <w:r>
        <w:rPr>
          <w:rFonts w:cs="Times New Roman" w:asciiTheme="minorEastAsia" w:hAnsiTheme="minorEastAsia" w:eastAsiaTheme="minorEastAsia"/>
          <w:b/>
          <w:bCs/>
          <w:color w:val="auto"/>
          <w:sz w:val="24"/>
          <w:szCs w:val="24"/>
          <w:highlight w:val="none"/>
          <w:lang w:val="zh-CN"/>
        </w:rPr>
        <w:t>和保密义务</w:t>
      </w:r>
      <w:bookmarkEnd w:id="147"/>
      <w:bookmarkEnd w:id="148"/>
      <w:bookmarkEnd w:id="149"/>
    </w:p>
    <w:p w14:paraId="0EA7A9CD">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6.1</w:t>
      </w:r>
      <w:r>
        <w:rPr>
          <w:rFonts w:hint="eastAsia" w:cs="Times New Roman" w:asciiTheme="minorEastAsia" w:hAnsiTheme="minorEastAsia" w:eastAsiaTheme="minorEastAsia"/>
          <w:color w:val="auto"/>
          <w:sz w:val="24"/>
          <w:szCs w:val="24"/>
          <w:highlight w:val="none"/>
        </w:rPr>
        <w:t>乙方有权依据合同约定和项目需要，向甲方了解有关情况，调阅有关资料等，甲方应予积极配合；</w:t>
      </w:r>
    </w:p>
    <w:p w14:paraId="714C69CB">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w:t>
      </w:r>
      <w:r>
        <w:rPr>
          <w:rFonts w:hint="eastAsia" w:cs="Times New Roman" w:asciiTheme="minorEastAsia" w:hAnsiTheme="minorEastAsia" w:eastAsiaTheme="minorEastAsia"/>
          <w:color w:val="auto"/>
          <w:sz w:val="24"/>
          <w:szCs w:val="24"/>
          <w:highlight w:val="none"/>
        </w:rPr>
        <w:t>.2乙方有义务妥善保管和保护由甲方提供的前款信息和资料等；</w:t>
      </w:r>
    </w:p>
    <w:p w14:paraId="18791F57">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6.</w:t>
      </w:r>
      <w:r>
        <w:rPr>
          <w:rFonts w:hint="eastAsia" w:cs="Times New Roman" w:asciiTheme="minorEastAsia" w:hAnsiTheme="minorEastAsia" w:eastAsiaTheme="minorEastAsia"/>
          <w:color w:val="auto"/>
          <w:sz w:val="24"/>
          <w:szCs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cs="Times New Roman" w:asciiTheme="minorEastAsia" w:hAnsiTheme="minorEastAsia" w:eastAsiaTheme="minorEastAsia"/>
          <w:color w:val="auto"/>
          <w:sz w:val="24"/>
          <w:szCs w:val="24"/>
          <w:highlight w:val="none"/>
        </w:rPr>
        <w:t>技术情报</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技术资料</w:t>
      </w:r>
      <w:r>
        <w:rPr>
          <w:rFonts w:hint="eastAsia" w:cs="Times New Roman" w:asciiTheme="minorEastAsia" w:hAnsiTheme="minorEastAsia" w:eastAsiaTheme="minorEastAsia"/>
          <w:color w:val="auto"/>
          <w:sz w:val="24"/>
          <w:szCs w:val="24"/>
          <w:highlight w:val="none"/>
        </w:rPr>
        <w:t>、商业秘密和商业信息等，并采取一切合理和必要措施和方式防止任何第三方接触到对方当事人的上述保密信息和资料。</w:t>
      </w:r>
    </w:p>
    <w:p w14:paraId="06F54DE2">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50" w:name="_Toc7860"/>
      <w:r>
        <w:rPr>
          <w:rFonts w:cs="Times New Roman" w:asciiTheme="minorEastAsia" w:hAnsiTheme="minorEastAsia" w:eastAsiaTheme="minorEastAsia"/>
          <w:b/>
          <w:bCs/>
          <w:color w:val="auto"/>
          <w:sz w:val="24"/>
          <w:szCs w:val="24"/>
          <w:highlight w:val="none"/>
          <w:lang w:val="zh-CN"/>
        </w:rPr>
        <w:t>2.7 质量保证</w:t>
      </w:r>
      <w:bookmarkEnd w:id="150"/>
    </w:p>
    <w:p w14:paraId="045D2CA2">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7</w:t>
      </w:r>
      <w:r>
        <w:rPr>
          <w:rFonts w:hint="eastAsia" w:cs="Times New Roman" w:asciiTheme="minorEastAsia" w:hAnsiTheme="minorEastAsia" w:eastAsiaTheme="minorEastAsia"/>
          <w:color w:val="auto"/>
          <w:sz w:val="24"/>
          <w:szCs w:val="24"/>
          <w:highlight w:val="none"/>
        </w:rPr>
        <w:t>.1乙方应建立和完善履行合同的内部质量保证体系，并提供相关内部规章制度给甲方，以便甲方进行监督检查；</w:t>
      </w:r>
    </w:p>
    <w:p w14:paraId="487B0962">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7</w:t>
      </w:r>
      <w:r>
        <w:rPr>
          <w:rFonts w:hint="eastAsia" w:cs="Times New Roman" w:asciiTheme="minorEastAsia" w:hAnsiTheme="minorEastAsia" w:eastAsiaTheme="minorEastAsia"/>
          <w:color w:val="auto"/>
          <w:sz w:val="24"/>
          <w:szCs w:val="24"/>
          <w:highlight w:val="none"/>
        </w:rPr>
        <w:t>.2乙方应保证履行合同的人员数量和素质、软件和硬件设备的配置、场地、环境和设施等满足全面履行合同的要求，并应接受甲方的监督检查。</w:t>
      </w:r>
    </w:p>
    <w:p w14:paraId="1E673C10">
      <w:pPr>
        <w:spacing w:line="360" w:lineRule="auto"/>
        <w:ind w:firstLine="437"/>
        <w:outlineLvl w:val="2"/>
        <w:rPr>
          <w:rFonts w:cs="Times New Roman" w:asciiTheme="minorEastAsia" w:hAnsiTheme="minorEastAsia" w:eastAsiaTheme="minorEastAsia"/>
          <w:b/>
          <w:color w:val="auto"/>
          <w:sz w:val="24"/>
          <w:szCs w:val="24"/>
          <w:highlight w:val="none"/>
        </w:rPr>
      </w:pPr>
      <w:bookmarkStart w:id="151" w:name="_Toc22267"/>
      <w:r>
        <w:rPr>
          <w:rFonts w:hint="eastAsia" w:cs="Times New Roman" w:asciiTheme="minorEastAsia" w:hAnsiTheme="minorEastAsia" w:eastAsiaTheme="minorEastAsia"/>
          <w:b/>
          <w:color w:val="auto"/>
          <w:sz w:val="24"/>
          <w:szCs w:val="24"/>
          <w:highlight w:val="none"/>
        </w:rPr>
        <w:t>2.8 延迟履行</w:t>
      </w:r>
      <w:bookmarkEnd w:id="151"/>
    </w:p>
    <w:p w14:paraId="691CDE9B">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在合同履行过程中，如果乙方遇到不能按时</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的情况，应及时以书面形式将不能按时</w:t>
      </w:r>
      <w:r>
        <w:rPr>
          <w:rFonts w:hint="eastAsia" w:cs="Times New Roman" w:asciiTheme="minorEastAsia" w:hAnsiTheme="minorEastAsia" w:eastAsiaTheme="minorEastAsia"/>
          <w:color w:val="auto"/>
          <w:sz w:val="24"/>
          <w:szCs w:val="24"/>
          <w:highlight w:val="none"/>
        </w:rPr>
        <w:t>提供服务</w:t>
      </w:r>
      <w:r>
        <w:rPr>
          <w:rFonts w:cs="Times New Roman" w:asciiTheme="minorEastAsia" w:hAnsiTheme="minorEastAsia" w:eastAsiaTheme="minorEastAsia"/>
          <w:color w:val="auto"/>
          <w:sz w:val="24"/>
          <w:szCs w:val="24"/>
          <w:highlight w:val="none"/>
        </w:rPr>
        <w:t>的理由、预期延误时间通知甲方</w:t>
      </w:r>
      <w:r>
        <w:rPr>
          <w:rFonts w:hint="eastAsia" w:cs="Times New Roman" w:asciiTheme="minorEastAsia" w:hAnsiTheme="minorEastAsia" w:eastAsiaTheme="minorEastAsia"/>
          <w:color w:val="auto"/>
          <w:sz w:val="24"/>
          <w:szCs w:val="24"/>
          <w:highlight w:val="none"/>
        </w:rPr>
        <w:t>；甲</w:t>
      </w:r>
      <w:r>
        <w:rPr>
          <w:rFonts w:cs="Times New Roman" w:asciiTheme="minorEastAsia" w:hAnsiTheme="minorEastAsia" w:eastAsiaTheme="minorEastAsia"/>
          <w:color w:val="auto"/>
          <w:sz w:val="24"/>
          <w:szCs w:val="24"/>
          <w:highlight w:val="none"/>
        </w:rPr>
        <w:t>方收到乙方通知后，认为其理由正当的，可以书面形式酌情同意乙方可以延长</w:t>
      </w:r>
      <w:r>
        <w:rPr>
          <w:rFonts w:hint="eastAsia" w:cs="Times New Roman" w:asciiTheme="minorEastAsia" w:hAnsiTheme="minorEastAsia" w:eastAsiaTheme="minorEastAsia"/>
          <w:color w:val="auto"/>
          <w:sz w:val="24"/>
          <w:szCs w:val="24"/>
          <w:highlight w:val="none"/>
        </w:rPr>
        <w:t>履行</w:t>
      </w:r>
      <w:r>
        <w:rPr>
          <w:rFonts w:cs="Times New Roman" w:asciiTheme="minorEastAsia" w:hAnsiTheme="minorEastAsia" w:eastAsiaTheme="minorEastAsia"/>
          <w:color w:val="auto"/>
          <w:sz w:val="24"/>
          <w:szCs w:val="24"/>
          <w:highlight w:val="none"/>
        </w:rPr>
        <w:t>的具体时间。</w:t>
      </w:r>
    </w:p>
    <w:p w14:paraId="5746FED8">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52" w:name="_Toc7502"/>
      <w:bookmarkStart w:id="153" w:name="_Toc279701254"/>
      <w:bookmarkStart w:id="154" w:name="_Toc259093683"/>
      <w:bookmarkStart w:id="155" w:name="_Toc487900364"/>
      <w:bookmarkStart w:id="156" w:name="_Ref467378121"/>
      <w:r>
        <w:rPr>
          <w:rFonts w:cs="Times New Roman" w:asciiTheme="minorEastAsia" w:hAnsiTheme="minorEastAsia" w:eastAsiaTheme="minorEastAsia"/>
          <w:b/>
          <w:bCs/>
          <w:color w:val="auto"/>
          <w:sz w:val="24"/>
          <w:szCs w:val="24"/>
          <w:highlight w:val="none"/>
          <w:lang w:val="zh-CN"/>
        </w:rPr>
        <w:t>2.9 合同变更</w:t>
      </w:r>
      <w:bookmarkEnd w:id="152"/>
    </w:p>
    <w:p w14:paraId="01ED9184">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9</w:t>
      </w:r>
      <w:r>
        <w:rPr>
          <w:rFonts w:hint="eastAsia" w:cs="Times New Roman" w:asciiTheme="minorEastAsia" w:hAnsiTheme="minorEastAsia" w:eastAsiaTheme="minorEastAsia"/>
          <w:color w:val="auto"/>
          <w:sz w:val="24"/>
          <w:szCs w:val="24"/>
          <w:highlight w:val="none"/>
        </w:rPr>
        <w:t>.1双方当事人协商一致，可以签订书面补充合同的形式变更合同，但不得违背采购文件确定的事项；</w:t>
      </w:r>
    </w:p>
    <w:p w14:paraId="5642E3AD">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9</w:t>
      </w:r>
      <w:r>
        <w:rPr>
          <w:rFonts w:hint="eastAsia" w:cs="Times New Roman" w:asciiTheme="minorEastAsia" w:hAnsiTheme="minorEastAsia" w:eastAsiaTheme="minorEastAsia"/>
          <w:color w:val="auto"/>
          <w:sz w:val="24"/>
          <w:szCs w:val="24"/>
          <w:highlight w:val="none"/>
        </w:rPr>
        <w:t>.2合同继续履行将损害国家利益和社会公共利益的，双方当事人应当以书面形式变更合同。有过错的一方应当承担赔偿责任，双方当事人都有过错的，各自承担相应的责任。</w:t>
      </w:r>
      <w:bookmarkStart w:id="157" w:name="_Toc259093688"/>
      <w:bookmarkStart w:id="158" w:name="_Toc279701259"/>
      <w:bookmarkStart w:id="159" w:name="_Toc487900369"/>
    </w:p>
    <w:p w14:paraId="2A0BC8A6">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60" w:name="_Toc10366"/>
      <w:bookmarkStart w:id="161" w:name="_Toc22955"/>
      <w:bookmarkStart w:id="162" w:name="_Toc15237"/>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0</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合同转让</w:t>
      </w:r>
      <w:bookmarkEnd w:id="157"/>
      <w:bookmarkEnd w:id="158"/>
      <w:bookmarkEnd w:id="159"/>
      <w:r>
        <w:rPr>
          <w:rFonts w:cs="Times New Roman" w:asciiTheme="minorEastAsia" w:hAnsiTheme="minorEastAsia" w:eastAsiaTheme="minorEastAsia"/>
          <w:b/>
          <w:bCs/>
          <w:color w:val="auto"/>
          <w:sz w:val="24"/>
          <w:szCs w:val="24"/>
          <w:highlight w:val="none"/>
          <w:lang w:val="zh-CN"/>
        </w:rPr>
        <w:t>和分包</w:t>
      </w:r>
      <w:bookmarkEnd w:id="160"/>
      <w:bookmarkEnd w:id="161"/>
      <w:bookmarkEnd w:id="162"/>
    </w:p>
    <w:p w14:paraId="6A124836">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合同的权利义务依法不</w:t>
      </w:r>
      <w:r>
        <w:rPr>
          <w:rFonts w:hint="eastAsia" w:cs="Times New Roman" w:asciiTheme="minorEastAsia" w:hAnsiTheme="minorEastAsia" w:eastAsiaTheme="minorEastAsia"/>
          <w:color w:val="auto"/>
          <w:sz w:val="24"/>
          <w:szCs w:val="24"/>
          <w:highlight w:val="none"/>
        </w:rPr>
        <w:t>得</w:t>
      </w:r>
      <w:r>
        <w:rPr>
          <w:rFonts w:cs="Times New Roman" w:asciiTheme="minorEastAsia" w:hAnsiTheme="minorEastAsia" w:eastAsiaTheme="minorEastAsia"/>
          <w:color w:val="auto"/>
          <w:sz w:val="24"/>
          <w:szCs w:val="24"/>
          <w:highlight w:val="none"/>
        </w:rPr>
        <w:t>转让</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但经甲方</w:t>
      </w:r>
      <w:r>
        <w:rPr>
          <w:rFonts w:hint="eastAsia" w:cs="Times New Roman" w:asciiTheme="minorEastAsia" w:hAnsiTheme="minorEastAsia" w:eastAsiaTheme="minorEastAsia"/>
          <w:color w:val="auto"/>
          <w:sz w:val="24"/>
          <w:szCs w:val="24"/>
          <w:highlight w:val="none"/>
        </w:rPr>
        <w:t>同意，乙方可以依法采取分包方式履行合同，即：依法可以</w:t>
      </w:r>
      <w:r>
        <w:rPr>
          <w:rFonts w:cs="Times New Roman" w:asciiTheme="minorEastAsia" w:hAnsiTheme="minorEastAsia" w:eastAsiaTheme="minorEastAsia"/>
          <w:color w:val="auto"/>
          <w:sz w:val="24"/>
          <w:szCs w:val="24"/>
          <w:highlight w:val="none"/>
        </w:rPr>
        <w:t>将合同项下的部分非主体、非关键性工作分包给他人完成</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接受分包的人应当具备相应的资格条件，并不得再次分包</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且乙方应就分包项目向甲方负责</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并</w:t>
      </w:r>
      <w:r>
        <w:rPr>
          <w:rFonts w:hint="eastAsia" w:cs="Times New Roman" w:asciiTheme="minorEastAsia" w:hAnsiTheme="minorEastAsia" w:eastAsiaTheme="minorEastAsia"/>
          <w:color w:val="auto"/>
          <w:sz w:val="24"/>
          <w:szCs w:val="24"/>
          <w:highlight w:val="none"/>
        </w:rPr>
        <w:t>与分包供应商就分包项目向甲方承担连带责任。</w:t>
      </w:r>
    </w:p>
    <w:p w14:paraId="043172C2">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63" w:name="_Toc16508"/>
      <w:bookmarkStart w:id="164" w:name="_Toc13566"/>
      <w:bookmarkStart w:id="165" w:name="_Toc14066"/>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1 不可抗力</w:t>
      </w:r>
      <w:bookmarkEnd w:id="163"/>
      <w:bookmarkEnd w:id="164"/>
      <w:bookmarkEnd w:id="165"/>
    </w:p>
    <w:p w14:paraId="2E132A80">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1.1如果任何一方遭遇法律规定的不可抗力，致使合同履行受阻时，履行合同的期限应予延长，延长的期限应相当于不可抗力所影响的时间</w:t>
      </w:r>
      <w:r>
        <w:rPr>
          <w:rFonts w:hint="eastAsia" w:cs="Times New Roman" w:asciiTheme="minorEastAsia" w:hAnsiTheme="minorEastAsia" w:eastAsiaTheme="minorEastAsia"/>
          <w:color w:val="auto"/>
          <w:sz w:val="24"/>
          <w:szCs w:val="24"/>
          <w:highlight w:val="none"/>
        </w:rPr>
        <w:t>；</w:t>
      </w:r>
    </w:p>
    <w:p w14:paraId="666A3C4C">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.2因不可抗力致使不能实现合同目的的，当事人可以解除合同；</w:t>
      </w:r>
    </w:p>
    <w:p w14:paraId="12C1F67B">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.3因</w:t>
      </w:r>
      <w:r>
        <w:rPr>
          <w:rFonts w:cs="Times New Roman" w:asciiTheme="minorEastAsia" w:hAnsiTheme="minorEastAsia" w:eastAsiaTheme="minorEastAsia"/>
          <w:color w:val="auto"/>
          <w:sz w:val="24"/>
          <w:szCs w:val="24"/>
          <w:highlight w:val="none"/>
        </w:rPr>
        <w:t>不可抗力致使合同有变更必要的，双方当事人应在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约定时间内以书面形式变更合同</w:t>
      </w:r>
      <w:r>
        <w:rPr>
          <w:rFonts w:hint="eastAsia" w:cs="Times New Roman" w:asciiTheme="minorEastAsia" w:hAnsiTheme="minorEastAsia" w:eastAsiaTheme="minorEastAsia"/>
          <w:color w:val="auto"/>
          <w:sz w:val="24"/>
          <w:szCs w:val="24"/>
          <w:highlight w:val="none"/>
        </w:rPr>
        <w:t>；</w:t>
      </w:r>
    </w:p>
    <w:p w14:paraId="1ABB8EC9">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4</w:t>
      </w:r>
      <w:r>
        <w:rPr>
          <w:rFonts w:cs="Times New Roman" w:asciiTheme="minorEastAsia" w:hAnsiTheme="minorEastAsia" w:eastAsiaTheme="minorEastAsia"/>
          <w:color w:val="auto"/>
          <w:sz w:val="24"/>
          <w:szCs w:val="24"/>
          <w:highlight w:val="none"/>
        </w:rPr>
        <w:t>受</w:t>
      </w:r>
      <w:r>
        <w:rPr>
          <w:rFonts w:hint="eastAsia" w:cs="Times New Roman" w:asciiTheme="minorEastAsia" w:hAnsiTheme="minorEastAsia" w:eastAsiaTheme="minorEastAsia"/>
          <w:color w:val="auto"/>
          <w:sz w:val="24"/>
          <w:szCs w:val="24"/>
          <w:highlight w:val="none"/>
        </w:rPr>
        <w:t>不可抗力</w:t>
      </w:r>
      <w:r>
        <w:rPr>
          <w:rFonts w:cs="Times New Roman" w:asciiTheme="minorEastAsia" w:hAnsiTheme="minorEastAsia" w:eastAsiaTheme="minorEastAsia"/>
          <w:color w:val="auto"/>
          <w:sz w:val="24"/>
          <w:szCs w:val="24"/>
          <w:highlight w:val="none"/>
        </w:rPr>
        <w:t>影响的一方在不可抗力发生后</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应在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约定时间内以书面形式通知</w:t>
      </w:r>
      <w:r>
        <w:rPr>
          <w:rFonts w:hint="eastAsia" w:cs="Times New Roman" w:asciiTheme="minorEastAsia" w:hAnsiTheme="minorEastAsia" w:eastAsiaTheme="minorEastAsia"/>
          <w:color w:val="auto"/>
          <w:sz w:val="24"/>
          <w:szCs w:val="24"/>
          <w:highlight w:val="none"/>
        </w:rPr>
        <w:t>对</w:t>
      </w:r>
      <w:r>
        <w:rPr>
          <w:rFonts w:cs="Times New Roman" w:asciiTheme="minorEastAsia" w:hAnsiTheme="minorEastAsia" w:eastAsiaTheme="minorEastAsia"/>
          <w:color w:val="auto"/>
          <w:sz w:val="24"/>
          <w:szCs w:val="24"/>
          <w:highlight w:val="none"/>
        </w:rPr>
        <w:t>方当事人，并在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约定时间内，将有关部门出具的证明文件送达</w:t>
      </w:r>
      <w:r>
        <w:rPr>
          <w:rFonts w:hint="eastAsia" w:cs="Times New Roman" w:asciiTheme="minorEastAsia" w:hAnsiTheme="minorEastAsia" w:eastAsiaTheme="minorEastAsia"/>
          <w:color w:val="auto"/>
          <w:sz w:val="24"/>
          <w:szCs w:val="24"/>
          <w:highlight w:val="none"/>
        </w:rPr>
        <w:t>对方当事人</w:t>
      </w:r>
      <w:r>
        <w:rPr>
          <w:rFonts w:cs="Times New Roman" w:asciiTheme="minorEastAsia" w:hAnsiTheme="minorEastAsia" w:eastAsiaTheme="minorEastAsia"/>
          <w:color w:val="auto"/>
          <w:sz w:val="24"/>
          <w:szCs w:val="24"/>
          <w:highlight w:val="none"/>
        </w:rPr>
        <w:t>。</w:t>
      </w:r>
    </w:p>
    <w:p w14:paraId="52CE54F1">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66" w:name="_Toc30676"/>
      <w:bookmarkStart w:id="167" w:name="_Toc279701255"/>
      <w:bookmarkStart w:id="168" w:name="_Toc487900365"/>
      <w:bookmarkStart w:id="169" w:name="_Toc259093684"/>
      <w:bookmarkStart w:id="170" w:name="_Toc6969"/>
      <w:bookmarkStart w:id="171" w:name="_Toc68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12</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税费</w:t>
      </w:r>
      <w:bookmarkEnd w:id="166"/>
      <w:bookmarkEnd w:id="167"/>
      <w:bookmarkEnd w:id="168"/>
      <w:bookmarkEnd w:id="169"/>
      <w:bookmarkEnd w:id="170"/>
      <w:bookmarkEnd w:id="171"/>
    </w:p>
    <w:p w14:paraId="4663EC65">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与合同有关的一切税费</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均按照中华人民共和国法律的相关规定</w:t>
      </w:r>
      <w:r>
        <w:rPr>
          <w:rFonts w:hint="eastAsia" w:cs="Times New Roman" w:asciiTheme="minorEastAsia" w:hAnsiTheme="minorEastAsia" w:eastAsiaTheme="minorEastAsia"/>
          <w:color w:val="auto"/>
          <w:sz w:val="24"/>
          <w:szCs w:val="24"/>
          <w:highlight w:val="none"/>
        </w:rPr>
        <w:t>缴纳</w:t>
      </w:r>
      <w:r>
        <w:rPr>
          <w:rFonts w:cs="Times New Roman" w:asciiTheme="minorEastAsia" w:hAnsiTheme="minorEastAsia" w:eastAsiaTheme="minorEastAsia"/>
          <w:color w:val="auto"/>
          <w:sz w:val="24"/>
          <w:szCs w:val="24"/>
          <w:highlight w:val="none"/>
        </w:rPr>
        <w:t>。</w:t>
      </w:r>
    </w:p>
    <w:p w14:paraId="5ADDC854">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72" w:name="_Toc487900368"/>
      <w:bookmarkStart w:id="173" w:name="_Toc259093687"/>
      <w:bookmarkStart w:id="174" w:name="_Toc279701258"/>
      <w:bookmarkStart w:id="175" w:name="_Toc7102"/>
      <w:bookmarkStart w:id="176" w:name="_Toc8298"/>
      <w:bookmarkStart w:id="177" w:name="_Toc16959"/>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13</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乙方破产</w:t>
      </w:r>
      <w:bookmarkEnd w:id="172"/>
      <w:bookmarkEnd w:id="173"/>
      <w:bookmarkEnd w:id="174"/>
      <w:bookmarkEnd w:id="175"/>
      <w:bookmarkEnd w:id="176"/>
      <w:bookmarkEnd w:id="177"/>
    </w:p>
    <w:p w14:paraId="145D0559">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如果乙方破产导致合同无法履行时，甲方可以书面形式通知乙方终止合同且不给予乙方任何补偿和赔偿</w:t>
      </w:r>
      <w:r>
        <w:rPr>
          <w:rFonts w:hint="eastAsia" w:cs="Times New Roman" w:asciiTheme="minorEastAsia" w:hAnsiTheme="minorEastAsia" w:eastAsiaTheme="minorEastAsia"/>
          <w:color w:val="auto"/>
          <w:sz w:val="24"/>
          <w:szCs w:val="24"/>
          <w:highlight w:val="none"/>
        </w:rPr>
        <w:t>，但合同的</w:t>
      </w:r>
      <w:r>
        <w:rPr>
          <w:rFonts w:cs="Times New Roman" w:asciiTheme="minorEastAsia" w:hAnsiTheme="minorEastAsia" w:eastAsiaTheme="minorEastAsia"/>
          <w:color w:val="auto"/>
          <w:sz w:val="24"/>
          <w:szCs w:val="24"/>
          <w:highlight w:val="none"/>
        </w:rPr>
        <w:t>终止不损害或不影响甲方已经采取或将要采取的任何要求乙方支付违约金</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赔偿损失等的行动或补救措施的权利</w:t>
      </w:r>
      <w:r>
        <w:rPr>
          <w:rFonts w:hint="eastAsia" w:cs="Times New Roman" w:asciiTheme="minorEastAsia" w:hAnsiTheme="minorEastAsia" w:eastAsiaTheme="minorEastAsia"/>
          <w:color w:val="auto"/>
          <w:sz w:val="24"/>
          <w:szCs w:val="24"/>
          <w:highlight w:val="none"/>
        </w:rPr>
        <w:t>。</w:t>
      </w:r>
    </w:p>
    <w:p w14:paraId="4E27EF93">
      <w:pPr>
        <w:spacing w:line="360" w:lineRule="auto"/>
        <w:ind w:firstLine="437"/>
        <w:outlineLvl w:val="2"/>
        <w:rPr>
          <w:rFonts w:cs="Times New Roman" w:asciiTheme="minorEastAsia" w:hAnsiTheme="minorEastAsia" w:eastAsiaTheme="minorEastAsia"/>
          <w:b/>
          <w:color w:val="auto"/>
          <w:sz w:val="24"/>
          <w:szCs w:val="24"/>
          <w:highlight w:val="none"/>
        </w:rPr>
      </w:pPr>
      <w:bookmarkStart w:id="178" w:name="_Toc29333"/>
      <w:bookmarkStart w:id="179" w:name="_Toc15387"/>
      <w:bookmarkStart w:id="180" w:name="_Toc6134"/>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4</w:t>
      </w:r>
      <w:r>
        <w:rPr>
          <w:rFonts w:hint="eastAsia" w:cs="Times New Roman" w:asciiTheme="minorEastAsia" w:hAnsiTheme="minorEastAsia" w:eastAsiaTheme="minorEastAsia"/>
          <w:b/>
          <w:bCs/>
          <w:color w:val="auto"/>
          <w:sz w:val="24"/>
          <w:szCs w:val="24"/>
          <w:highlight w:val="none"/>
          <w:lang w:val="zh-CN"/>
        </w:rPr>
        <w:t xml:space="preserve"> 合同中止、终止</w:t>
      </w:r>
      <w:bookmarkEnd w:id="178"/>
      <w:bookmarkEnd w:id="179"/>
      <w:bookmarkEnd w:id="180"/>
    </w:p>
    <w:p w14:paraId="04FBC7A4">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.1双方当事人不得擅自中止或者终止合同；</w:t>
      </w:r>
    </w:p>
    <w:p w14:paraId="450EBE6E">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w:t>
      </w:r>
      <w:r>
        <w:rPr>
          <w:rFonts w:cs="Times New Roman" w:asciiTheme="minorEastAsia" w:hAnsiTheme="minorEastAsia" w:eastAsiaTheme="minorEastAsia"/>
          <w:color w:val="auto"/>
          <w:sz w:val="24"/>
          <w:szCs w:val="24"/>
          <w:highlight w:val="none"/>
        </w:rPr>
        <w:t>4</w:t>
      </w:r>
      <w:r>
        <w:rPr>
          <w:rFonts w:hint="eastAsia" w:cs="Times New Roman" w:asciiTheme="minorEastAsia" w:hAnsiTheme="minorEastAsia" w:eastAsiaTheme="minorEastAsia"/>
          <w:color w:val="auto"/>
          <w:sz w:val="24"/>
          <w:szCs w:val="24"/>
          <w:highlight w:val="none"/>
        </w:rPr>
        <w:t>.2合同继续履行将损害国家利益和社会公共利益的，双方当事人应当中止或者终止合同。有过错的一方应当承担赔偿责任，双方当事人都有过错的，各自承担相应的责任。</w:t>
      </w:r>
    </w:p>
    <w:p w14:paraId="2F0E3B6C">
      <w:pPr>
        <w:spacing w:line="360" w:lineRule="auto"/>
        <w:ind w:firstLine="437"/>
        <w:outlineLvl w:val="2"/>
        <w:rPr>
          <w:rFonts w:cs="Times New Roman" w:asciiTheme="minorEastAsia" w:hAnsiTheme="minorEastAsia" w:eastAsiaTheme="minorEastAsia"/>
          <w:b/>
          <w:bCs/>
          <w:color w:val="auto"/>
          <w:sz w:val="24"/>
          <w:szCs w:val="24"/>
          <w:highlight w:val="none"/>
          <w:lang w:val="zh-CN"/>
        </w:rPr>
      </w:pPr>
      <w:bookmarkStart w:id="181" w:name="_Toc6596"/>
      <w:bookmarkStart w:id="182" w:name="_Toc1125"/>
      <w:bookmarkStart w:id="183" w:name="_Toc14563"/>
      <w:r>
        <w:rPr>
          <w:rFonts w:hint="eastAsia" w:cs="Times New Roman" w:asciiTheme="minorEastAsia" w:hAnsiTheme="minorEastAsia" w:eastAsiaTheme="minorEastAsia"/>
          <w:b/>
          <w:bCs/>
          <w:color w:val="auto"/>
          <w:sz w:val="24"/>
          <w:szCs w:val="24"/>
          <w:highlight w:val="none"/>
          <w:lang w:val="zh-CN"/>
        </w:rPr>
        <w:t>2.1</w:t>
      </w:r>
      <w:r>
        <w:rPr>
          <w:rFonts w:cs="Times New Roman" w:asciiTheme="minorEastAsia" w:hAnsiTheme="minorEastAsia" w:eastAsiaTheme="minorEastAsia"/>
          <w:b/>
          <w:bCs/>
          <w:color w:val="auto"/>
          <w:sz w:val="24"/>
          <w:szCs w:val="24"/>
          <w:highlight w:val="none"/>
          <w:lang w:val="zh-CN"/>
        </w:rPr>
        <w:t>5</w:t>
      </w:r>
      <w:r>
        <w:rPr>
          <w:rFonts w:hint="eastAsia" w:cs="Times New Roman" w:asciiTheme="minorEastAsia" w:hAnsiTheme="minorEastAsia" w:eastAsiaTheme="minorEastAsia"/>
          <w:b/>
          <w:bCs/>
          <w:color w:val="auto"/>
          <w:sz w:val="24"/>
          <w:szCs w:val="24"/>
          <w:highlight w:val="none"/>
          <w:lang w:val="zh-CN"/>
        </w:rPr>
        <w:t xml:space="preserve"> 检验和验收</w:t>
      </w:r>
      <w:bookmarkEnd w:id="181"/>
      <w:bookmarkEnd w:id="182"/>
      <w:bookmarkEnd w:id="183"/>
    </w:p>
    <w:p w14:paraId="7557D6AA">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w:t>
      </w:r>
      <w:r>
        <w:rPr>
          <w:rFonts w:hint="eastAsia" w:cs="Times New Roman" w:asciiTheme="minorEastAsia" w:hAnsiTheme="minorEastAsia" w:eastAsiaTheme="minorEastAsia"/>
          <w:color w:val="auto"/>
          <w:sz w:val="24"/>
          <w:szCs w:val="24"/>
          <w:highlight w:val="none"/>
        </w:rPr>
        <w:t>5</w:t>
      </w:r>
      <w:r>
        <w:rPr>
          <w:rFonts w:cs="Times New Roman" w:asciiTheme="minorEastAsia" w:hAnsiTheme="minorEastAsia" w:eastAsiaTheme="minorEastAsia"/>
          <w:color w:val="auto"/>
          <w:sz w:val="24"/>
          <w:szCs w:val="24"/>
          <w:highlight w:val="none"/>
        </w:rPr>
        <w:t>.</w:t>
      </w:r>
      <w:r>
        <w:rPr>
          <w:rFonts w:hint="eastAsia" w:cs="Times New Roman" w:asciiTheme="minorEastAsia" w:hAnsiTheme="minorEastAsia" w:eastAsiaTheme="minorEastAsia"/>
          <w:color w:val="auto"/>
          <w:sz w:val="24"/>
          <w:szCs w:val="24"/>
          <w:highlight w:val="none"/>
        </w:rPr>
        <w:t>1乙方按照</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的约定</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定期提交服务报告</w:t>
      </w:r>
      <w:r>
        <w:rPr>
          <w:rFonts w:hint="eastAsia" w:cs="Times New Roman" w:asciiTheme="minorEastAsia" w:hAnsiTheme="minorEastAsia" w:eastAsiaTheme="minorEastAsia"/>
          <w:color w:val="auto"/>
          <w:sz w:val="24"/>
          <w:szCs w:val="24"/>
          <w:highlight w:val="none"/>
        </w:rPr>
        <w:t>，甲方按照</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的约定进行定期验收</w:t>
      </w:r>
      <w:r>
        <w:rPr>
          <w:rFonts w:hint="eastAsia" w:cs="Times New Roman" w:asciiTheme="minorEastAsia" w:hAnsiTheme="minorEastAsia" w:eastAsiaTheme="minorEastAsia"/>
          <w:color w:val="auto"/>
          <w:sz w:val="24"/>
          <w:szCs w:val="24"/>
          <w:highlight w:val="none"/>
        </w:rPr>
        <w:t>；</w:t>
      </w:r>
    </w:p>
    <w:p w14:paraId="375A0536">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12219E0">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2.15.3检验和验收标准、程序等具体内容以及前述验收书的效力详见</w:t>
      </w:r>
      <w:r>
        <w:rPr>
          <w:rFonts w:cs="Times New Roman" w:asciiTheme="minorEastAsia" w:hAnsiTheme="minorEastAsia" w:eastAsiaTheme="minorEastAsia"/>
          <w:b/>
          <w:i/>
          <w:color w:val="auto"/>
          <w:sz w:val="24"/>
          <w:szCs w:val="24"/>
          <w:highlight w:val="none"/>
          <w:u w:val="single"/>
        </w:rPr>
        <w:t>合同专用条款</w:t>
      </w:r>
      <w:r>
        <w:rPr>
          <w:rFonts w:hint="eastAsia" w:cs="Times New Roman" w:asciiTheme="minorEastAsia" w:hAnsiTheme="minorEastAsia" w:eastAsiaTheme="minorEastAsia"/>
          <w:i/>
          <w:color w:val="auto"/>
          <w:sz w:val="24"/>
          <w:szCs w:val="24"/>
          <w:highlight w:val="none"/>
        </w:rPr>
        <w:t>。</w:t>
      </w:r>
    </w:p>
    <w:bookmarkEnd w:id="153"/>
    <w:bookmarkEnd w:id="154"/>
    <w:bookmarkEnd w:id="155"/>
    <w:bookmarkEnd w:id="156"/>
    <w:p w14:paraId="1FB70D95">
      <w:pPr>
        <w:spacing w:line="360" w:lineRule="auto"/>
        <w:ind w:firstLine="437"/>
        <w:outlineLvl w:val="2"/>
        <w:rPr>
          <w:rFonts w:cs="Times New Roman" w:asciiTheme="minorEastAsia" w:hAnsiTheme="minorEastAsia" w:eastAsiaTheme="minorEastAsia"/>
          <w:b/>
          <w:bCs/>
          <w:color w:val="auto"/>
          <w:sz w:val="24"/>
          <w:szCs w:val="24"/>
          <w:highlight w:val="none"/>
        </w:rPr>
      </w:pPr>
      <w:bookmarkStart w:id="184" w:name="_Toc18567"/>
      <w:bookmarkStart w:id="185" w:name="_Toc259093692"/>
      <w:bookmarkStart w:id="186" w:name="_Toc487900373"/>
      <w:bookmarkStart w:id="187" w:name="_Toc279701263"/>
      <w:bookmarkStart w:id="188" w:name="_Toc12773"/>
      <w:bookmarkStart w:id="189" w:name="_Toc10330"/>
      <w:r>
        <w:rPr>
          <w:rFonts w:hint="eastAsia" w:cs="Times New Roman" w:asciiTheme="minorEastAsia" w:hAnsiTheme="minorEastAsia" w:eastAsiaTheme="minorEastAsia"/>
          <w:b/>
          <w:bCs/>
          <w:color w:val="auto"/>
          <w:sz w:val="24"/>
          <w:szCs w:val="24"/>
          <w:highlight w:val="none"/>
        </w:rPr>
        <w:t>2.</w:t>
      </w:r>
      <w:r>
        <w:rPr>
          <w:rFonts w:cs="Times New Roman" w:asciiTheme="minorEastAsia" w:hAnsiTheme="minorEastAsia" w:eastAsiaTheme="minorEastAsia"/>
          <w:b/>
          <w:bCs/>
          <w:color w:val="auto"/>
          <w:sz w:val="24"/>
          <w:szCs w:val="24"/>
          <w:highlight w:val="none"/>
        </w:rPr>
        <w:t>16</w:t>
      </w:r>
      <w:r>
        <w:rPr>
          <w:rFonts w:hint="eastAsia" w:cs="Times New Roman" w:asciiTheme="minorEastAsia" w:hAnsiTheme="minorEastAsia" w:eastAsiaTheme="minorEastAsia"/>
          <w:b/>
          <w:bCs/>
          <w:color w:val="auto"/>
          <w:sz w:val="24"/>
          <w:szCs w:val="24"/>
          <w:highlight w:val="none"/>
        </w:rPr>
        <w:t xml:space="preserve"> </w:t>
      </w:r>
      <w:r>
        <w:rPr>
          <w:rFonts w:hint="eastAsia" w:cs="Times New Roman" w:asciiTheme="minorEastAsia" w:hAnsiTheme="minorEastAsia" w:eastAsiaTheme="minorEastAsia"/>
          <w:b/>
          <w:bCs/>
          <w:color w:val="auto"/>
          <w:sz w:val="24"/>
          <w:szCs w:val="24"/>
          <w:highlight w:val="none"/>
          <w:lang w:val="zh-CN"/>
        </w:rPr>
        <w:t>合同使用的文字和</w:t>
      </w:r>
      <w:r>
        <w:rPr>
          <w:rFonts w:cs="Times New Roman" w:asciiTheme="minorEastAsia" w:hAnsiTheme="minorEastAsia" w:eastAsiaTheme="minorEastAsia"/>
          <w:b/>
          <w:bCs/>
          <w:color w:val="auto"/>
          <w:sz w:val="24"/>
          <w:szCs w:val="24"/>
          <w:highlight w:val="none"/>
          <w:lang w:val="zh-CN"/>
        </w:rPr>
        <w:t>适用的法律</w:t>
      </w:r>
      <w:bookmarkEnd w:id="184"/>
      <w:bookmarkEnd w:id="185"/>
      <w:bookmarkEnd w:id="186"/>
      <w:bookmarkEnd w:id="187"/>
      <w:bookmarkEnd w:id="188"/>
      <w:bookmarkEnd w:id="189"/>
    </w:p>
    <w:p w14:paraId="50920A8E">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16.1合同使用汉语书就</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变更和解释</w:t>
      </w:r>
      <w:r>
        <w:rPr>
          <w:rFonts w:hint="eastAsia" w:cs="Times New Roman" w:asciiTheme="minorEastAsia" w:hAnsiTheme="minorEastAsia" w:eastAsiaTheme="minorEastAsia"/>
          <w:color w:val="auto"/>
          <w:sz w:val="24"/>
          <w:szCs w:val="24"/>
          <w:highlight w:val="none"/>
        </w:rPr>
        <w:t>；</w:t>
      </w:r>
    </w:p>
    <w:p w14:paraId="6BFF393A">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16</w:t>
      </w:r>
      <w:r>
        <w:rPr>
          <w:rFonts w:hint="eastAsia" w:cs="Times New Roman" w:asciiTheme="minorEastAsia" w:hAnsiTheme="minorEastAsia" w:eastAsiaTheme="minorEastAsia"/>
          <w:color w:val="auto"/>
          <w:sz w:val="24"/>
          <w:szCs w:val="24"/>
          <w:highlight w:val="none"/>
        </w:rPr>
        <w:t>.2合同适用</w:t>
      </w:r>
      <w:r>
        <w:rPr>
          <w:rFonts w:cs="Times New Roman" w:asciiTheme="minorEastAsia" w:hAnsiTheme="minorEastAsia" w:eastAsiaTheme="minorEastAsia"/>
          <w:color w:val="auto"/>
          <w:sz w:val="24"/>
          <w:szCs w:val="24"/>
          <w:highlight w:val="none"/>
        </w:rPr>
        <w:t>中华人民共和国法律。</w:t>
      </w:r>
    </w:p>
    <w:p w14:paraId="7916CEB7">
      <w:pPr>
        <w:spacing w:line="360" w:lineRule="auto"/>
        <w:ind w:firstLine="437"/>
        <w:outlineLvl w:val="2"/>
        <w:rPr>
          <w:rFonts w:cs="Times New Roman" w:asciiTheme="minorEastAsia" w:hAnsiTheme="minorEastAsia" w:eastAsiaTheme="minorEastAsia"/>
          <w:b/>
          <w:color w:val="auto"/>
          <w:sz w:val="24"/>
          <w:szCs w:val="24"/>
          <w:highlight w:val="none"/>
        </w:rPr>
      </w:pPr>
      <w:bookmarkStart w:id="190" w:name="_Toc12004"/>
      <w:bookmarkStart w:id="191" w:name="_Toc279701264"/>
      <w:bookmarkStart w:id="192" w:name="_Toc3148"/>
      <w:bookmarkStart w:id="193" w:name="_Toc259093693"/>
      <w:bookmarkStart w:id="194" w:name="_Toc16673"/>
      <w:bookmarkStart w:id="195" w:name="_Toc487900374"/>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17</w:t>
      </w:r>
      <w:r>
        <w:rPr>
          <w:rFonts w:hint="eastAsia" w:cs="Times New Roman" w:asciiTheme="minorEastAsia" w:hAnsiTheme="minorEastAsia" w:eastAsiaTheme="minorEastAsia"/>
          <w:b/>
          <w:bCs/>
          <w:color w:val="auto"/>
          <w:sz w:val="24"/>
          <w:szCs w:val="24"/>
          <w:highlight w:val="none"/>
          <w:lang w:val="zh-CN"/>
        </w:rPr>
        <w:t xml:space="preserve"> </w:t>
      </w:r>
      <w:r>
        <w:rPr>
          <w:rFonts w:cs="Times New Roman" w:asciiTheme="minorEastAsia" w:hAnsiTheme="minorEastAsia" w:eastAsiaTheme="minorEastAsia"/>
          <w:b/>
          <w:bCs/>
          <w:color w:val="auto"/>
          <w:sz w:val="24"/>
          <w:szCs w:val="24"/>
          <w:highlight w:val="none"/>
          <w:lang w:val="zh-CN"/>
        </w:rPr>
        <w:t>履约保证金</w:t>
      </w:r>
      <w:bookmarkEnd w:id="190"/>
      <w:bookmarkEnd w:id="191"/>
      <w:bookmarkEnd w:id="192"/>
      <w:bookmarkEnd w:id="193"/>
      <w:bookmarkEnd w:id="194"/>
    </w:p>
    <w:p w14:paraId="6A14A3AB">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w:t>
      </w:r>
      <w:r>
        <w:rPr>
          <w:rFonts w:hint="eastAsia" w:cs="Times New Roman" w:asciiTheme="minorEastAsia" w:hAnsiTheme="minorEastAsia" w:eastAsiaTheme="minorEastAsia"/>
          <w:color w:val="auto"/>
          <w:sz w:val="24"/>
          <w:szCs w:val="24"/>
          <w:highlight w:val="none"/>
        </w:rPr>
        <w:t>.1采购文件要求乙方提交履约保证金的，乙方</w:t>
      </w:r>
      <w:r>
        <w:rPr>
          <w:rFonts w:cs="Times New Roman" w:asciiTheme="minorEastAsia" w:hAnsiTheme="minorEastAsia" w:eastAsiaTheme="minorEastAsia"/>
          <w:color w:val="auto"/>
          <w:sz w:val="24"/>
          <w:szCs w:val="24"/>
          <w:highlight w:val="none"/>
        </w:rPr>
        <w:t>应按</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约定的方式</w:t>
      </w:r>
      <w:r>
        <w:rPr>
          <w:rFonts w:hint="eastAsia" w:cs="Times New Roman" w:asciiTheme="minorEastAsia" w:hAnsiTheme="minorEastAsia" w:eastAsiaTheme="minorEastAsia"/>
          <w:color w:val="auto"/>
          <w:sz w:val="24"/>
          <w:szCs w:val="24"/>
          <w:highlight w:val="none"/>
        </w:rPr>
        <w:t>，以支票、汇票、本票或者金融机构、担保机构出具的保函等非现金形式提交；</w:t>
      </w:r>
    </w:p>
    <w:p w14:paraId="5FA0F9C0">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17.2履约保证金在</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约定期间内不予退还或者应完全有效</w:t>
      </w:r>
      <w:r>
        <w:rPr>
          <w:rFonts w:hint="eastAsia" w:cs="Times New Roman" w:asciiTheme="minorEastAsia" w:hAnsiTheme="minorEastAsia" w:eastAsiaTheme="minorEastAsia"/>
          <w:color w:val="auto"/>
          <w:sz w:val="24"/>
          <w:szCs w:val="24"/>
          <w:highlight w:val="none"/>
        </w:rPr>
        <w:t>，前述约定期间届满</w:t>
      </w:r>
      <w:r>
        <w:rPr>
          <w:rFonts w:cs="Times New Roman" w:asciiTheme="minorEastAsia" w:hAnsiTheme="minorEastAsia" w:eastAsiaTheme="minorEastAsia"/>
          <w:color w:val="auto"/>
          <w:sz w:val="24"/>
          <w:szCs w:val="24"/>
          <w:highlight w:val="none"/>
        </w:rPr>
        <w:t>之日起</w:t>
      </w:r>
      <w:r>
        <w:rPr>
          <w:rFonts w:hint="eastAsia" w:cs="Times New Roman" w:asciiTheme="minorEastAsia" w:hAnsiTheme="minorEastAsia" w:eastAsiaTheme="minorEastAsia"/>
          <w:color w:val="auto"/>
          <w:sz w:val="24"/>
          <w:szCs w:val="24"/>
          <w:highlight w:val="none"/>
          <w:u w:val="single"/>
        </w:rPr>
        <w:t xml:space="preserve"> </w:t>
      </w:r>
      <w:r>
        <w:rPr>
          <w:rFonts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u w:val="single"/>
        </w:rPr>
        <w:t xml:space="preserve"> </w:t>
      </w:r>
      <w:r>
        <w:rPr>
          <w:rFonts w:hint="eastAsia" w:cs="Times New Roman" w:asciiTheme="minorEastAsia" w:hAnsiTheme="minorEastAsia" w:eastAsiaTheme="minorEastAsia"/>
          <w:color w:val="auto"/>
          <w:sz w:val="24"/>
          <w:szCs w:val="24"/>
          <w:highlight w:val="none"/>
        </w:rPr>
        <w:t>个</w:t>
      </w:r>
      <w:r>
        <w:rPr>
          <w:rFonts w:cs="Times New Roman" w:asciiTheme="minorEastAsia" w:hAnsiTheme="minorEastAsia" w:eastAsiaTheme="minorEastAsia"/>
          <w:color w:val="auto"/>
          <w:sz w:val="24"/>
          <w:szCs w:val="24"/>
          <w:highlight w:val="none"/>
        </w:rPr>
        <w:t>工作日内，甲方应将履约保证金退还乙方</w:t>
      </w:r>
      <w:r>
        <w:rPr>
          <w:rFonts w:hint="eastAsia" w:cs="Times New Roman" w:asciiTheme="minorEastAsia" w:hAnsiTheme="minorEastAsia" w:eastAsiaTheme="minorEastAsia"/>
          <w:color w:val="auto"/>
          <w:sz w:val="24"/>
          <w:szCs w:val="24"/>
          <w:highlight w:val="none"/>
          <w:lang w:eastAsia="zh-CN"/>
        </w:rPr>
        <w:t>，</w:t>
      </w:r>
      <w:r>
        <w:rPr>
          <w:rFonts w:hint="eastAsia" w:cs="Times New Roman" w:asciiTheme="minorEastAsia" w:hAnsiTheme="minorEastAsia" w:eastAsiaTheme="minorEastAsia"/>
          <w:color w:val="auto"/>
          <w:sz w:val="24"/>
          <w:szCs w:val="24"/>
          <w:highlight w:val="none"/>
          <w:lang w:val="en-US" w:eastAsia="zh-CN"/>
        </w:rPr>
        <w:t>甲方</w:t>
      </w:r>
      <w:r>
        <w:rPr>
          <w:rFonts w:hint="eastAsia" w:cs="Times New Roman" w:asciiTheme="minorEastAsia" w:hAnsiTheme="minorEastAsia" w:eastAsiaTheme="minorEastAsia"/>
          <w:color w:val="auto"/>
          <w:sz w:val="24"/>
          <w:szCs w:val="24"/>
          <w:highlight w:val="none"/>
        </w:rPr>
        <w:t>逾期退还履约保证金</w:t>
      </w:r>
      <w:r>
        <w:rPr>
          <w:rFonts w:hint="eastAsia" w:cs="Times New Roman" w:asciiTheme="minorEastAsia" w:hAnsiTheme="minorEastAsia" w:eastAsiaTheme="minorEastAsia"/>
          <w:color w:val="auto"/>
          <w:sz w:val="24"/>
          <w:szCs w:val="24"/>
          <w:highlight w:val="none"/>
          <w:lang w:val="en-US" w:eastAsia="zh-CN"/>
        </w:rPr>
        <w:t>应承担违约责任。</w:t>
      </w:r>
    </w:p>
    <w:p w14:paraId="512E44E7">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w:t>
      </w:r>
      <w:r>
        <w:rPr>
          <w:rFonts w:cs="Times New Roman" w:asciiTheme="minorEastAsia" w:hAnsiTheme="minorEastAsia" w:eastAsiaTheme="minorEastAsia"/>
          <w:color w:val="auto"/>
          <w:sz w:val="24"/>
          <w:szCs w:val="24"/>
          <w:highlight w:val="none"/>
        </w:rPr>
        <w:t>17</w:t>
      </w:r>
      <w:r>
        <w:rPr>
          <w:rFonts w:hint="eastAsia" w:cs="Times New Roman" w:asciiTheme="minorEastAsia" w:hAnsiTheme="minorEastAsia" w:eastAsiaTheme="minorEastAsia"/>
          <w:color w:val="auto"/>
          <w:sz w:val="24"/>
          <w:szCs w:val="24"/>
          <w:highlight w:val="none"/>
        </w:rPr>
        <w:t>.3</w:t>
      </w:r>
      <w:r>
        <w:rPr>
          <w:rFonts w:cs="Times New Roman" w:asciiTheme="minorEastAsia" w:hAnsiTheme="minorEastAsia" w:eastAsiaTheme="minorEastAsia"/>
          <w:color w:val="auto"/>
          <w:sz w:val="24"/>
          <w:szCs w:val="24"/>
          <w:highlight w:val="none"/>
        </w:rPr>
        <w:t>如果乙方不履行合同</w:t>
      </w:r>
      <w:r>
        <w:rPr>
          <w:rFonts w:hint="eastAsia" w:cs="Times New Roman" w:asciiTheme="minorEastAsia" w:hAnsiTheme="minorEastAsia" w:eastAsiaTheme="minorEastAsia"/>
          <w:color w:val="auto"/>
          <w:sz w:val="24"/>
          <w:szCs w:val="24"/>
          <w:highlight w:val="none"/>
        </w:rPr>
        <w:t>，履约保证金不予退还；如果乙方</w:t>
      </w:r>
      <w:r>
        <w:rPr>
          <w:rFonts w:cs="Times New Roman" w:asciiTheme="minorEastAsia" w:hAnsiTheme="minorEastAsia" w:eastAsiaTheme="minorEastAsia"/>
          <w:color w:val="auto"/>
          <w:sz w:val="24"/>
          <w:szCs w:val="24"/>
          <w:highlight w:val="none"/>
        </w:rPr>
        <w:t>未能按合同</w:t>
      </w:r>
      <w:r>
        <w:rPr>
          <w:rFonts w:hint="eastAsia" w:cs="Times New Roman" w:asciiTheme="minorEastAsia" w:hAnsiTheme="minorEastAsia" w:eastAsiaTheme="minorEastAsia"/>
          <w:color w:val="auto"/>
          <w:sz w:val="24"/>
          <w:szCs w:val="24"/>
          <w:highlight w:val="none"/>
        </w:rPr>
        <w:t>约</w:t>
      </w:r>
      <w:r>
        <w:rPr>
          <w:rFonts w:cs="Times New Roman" w:asciiTheme="minorEastAsia" w:hAnsiTheme="minorEastAsia" w:eastAsiaTheme="minorEastAsia"/>
          <w:color w:val="auto"/>
          <w:sz w:val="24"/>
          <w:szCs w:val="24"/>
          <w:highlight w:val="none"/>
        </w:rPr>
        <w:t>定全面履行义务，那么甲方有权从履约保证金中取得补偿或赔偿</w:t>
      </w:r>
      <w:r>
        <w:rPr>
          <w:rFonts w:hint="eastAsia" w:cs="Times New Roman" w:asciiTheme="minorEastAsia" w:hAnsiTheme="minorEastAsia" w:eastAsiaTheme="minorEastAsia"/>
          <w:color w:val="auto"/>
          <w:sz w:val="24"/>
          <w:szCs w:val="24"/>
          <w:highlight w:val="none"/>
        </w:rPr>
        <w:t>，同时不影响甲方要求乙方承担合同约定的超过履约保证金的违约责任的权利。</w:t>
      </w:r>
    </w:p>
    <w:bookmarkEnd w:id="195"/>
    <w:p w14:paraId="1F75F62C">
      <w:pPr>
        <w:spacing w:line="360" w:lineRule="auto"/>
        <w:ind w:firstLine="437"/>
        <w:outlineLvl w:val="2"/>
        <w:rPr>
          <w:rFonts w:cs="Times New Roman" w:asciiTheme="minorEastAsia" w:hAnsiTheme="minorEastAsia" w:eastAsiaTheme="minorEastAsia"/>
          <w:b/>
          <w:color w:val="auto"/>
          <w:sz w:val="24"/>
          <w:szCs w:val="24"/>
          <w:highlight w:val="none"/>
        </w:rPr>
      </w:pPr>
      <w:bookmarkStart w:id="196" w:name="_Toc19890"/>
      <w:bookmarkStart w:id="197" w:name="_Toc6885"/>
      <w:bookmarkStart w:id="198" w:name="_Toc14001"/>
      <w:r>
        <w:rPr>
          <w:rFonts w:hint="eastAsia" w:cs="Times New Roman" w:asciiTheme="minorEastAsia" w:hAnsiTheme="minorEastAsia" w:eastAsiaTheme="minorEastAsia"/>
          <w:b/>
          <w:bCs/>
          <w:color w:val="auto"/>
          <w:sz w:val="24"/>
          <w:szCs w:val="24"/>
          <w:highlight w:val="none"/>
          <w:lang w:val="zh-CN"/>
        </w:rPr>
        <w:t>2.</w:t>
      </w:r>
      <w:r>
        <w:rPr>
          <w:rFonts w:cs="Times New Roman" w:asciiTheme="minorEastAsia" w:hAnsiTheme="minorEastAsia" w:eastAsiaTheme="minorEastAsia"/>
          <w:b/>
          <w:bCs/>
          <w:color w:val="auto"/>
          <w:sz w:val="24"/>
          <w:szCs w:val="24"/>
          <w:highlight w:val="none"/>
          <w:lang w:val="zh-CN"/>
        </w:rPr>
        <w:t>18</w:t>
      </w:r>
      <w:r>
        <w:rPr>
          <w:rFonts w:hint="eastAsia" w:cs="Times New Roman" w:asciiTheme="minorEastAsia" w:hAnsiTheme="minorEastAsia" w:eastAsiaTheme="minorEastAsia"/>
          <w:b/>
          <w:bCs/>
          <w:color w:val="auto"/>
          <w:sz w:val="24"/>
          <w:szCs w:val="24"/>
          <w:highlight w:val="none"/>
          <w:lang w:val="zh-CN"/>
        </w:rPr>
        <w:t xml:space="preserve"> 合同份数</w:t>
      </w:r>
      <w:bookmarkEnd w:id="196"/>
      <w:bookmarkEnd w:id="197"/>
      <w:bookmarkEnd w:id="198"/>
    </w:p>
    <w:p w14:paraId="32BFD32D">
      <w:pPr>
        <w:spacing w:line="360" w:lineRule="auto"/>
        <w:ind w:firstLine="435"/>
        <w:rPr>
          <w:rFonts w:cs="Times New Roman" w:asciiTheme="minorEastAsia" w:hAnsiTheme="minorEastAsia" w:eastAsiaTheme="minorEastAsia"/>
          <w:color w:val="auto"/>
          <w:sz w:val="24"/>
          <w:szCs w:val="24"/>
          <w:highlight w:val="none"/>
        </w:rPr>
      </w:pPr>
      <w:r>
        <w:rPr>
          <w:rFonts w:cs="Times New Roman" w:asciiTheme="minorEastAsia" w:hAnsiTheme="minorEastAsia" w:eastAsiaTheme="minorEastAsia"/>
          <w:color w:val="auto"/>
          <w:sz w:val="24"/>
          <w:szCs w:val="24"/>
          <w:highlight w:val="none"/>
        </w:rPr>
        <w:t>合同份数按</w:t>
      </w:r>
      <w:r>
        <w:rPr>
          <w:rFonts w:cs="Times New Roman" w:asciiTheme="minorEastAsia" w:hAnsiTheme="minorEastAsia" w:eastAsiaTheme="minorEastAsia"/>
          <w:b/>
          <w:i/>
          <w:color w:val="auto"/>
          <w:sz w:val="24"/>
          <w:szCs w:val="24"/>
          <w:highlight w:val="none"/>
          <w:u w:val="single"/>
        </w:rPr>
        <w:t>合同专用条款</w:t>
      </w:r>
      <w:r>
        <w:rPr>
          <w:rFonts w:cs="Times New Roman" w:asciiTheme="minorEastAsia" w:hAnsiTheme="minorEastAsia" w:eastAsiaTheme="minorEastAsia"/>
          <w:color w:val="auto"/>
          <w:sz w:val="24"/>
          <w:szCs w:val="24"/>
          <w:highlight w:val="none"/>
        </w:rPr>
        <w:t>规定</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每份均具有同等法律效力</w:t>
      </w:r>
      <w:r>
        <w:rPr>
          <w:rFonts w:hint="eastAsia" w:cs="Times New Roman" w:asciiTheme="minorEastAsia" w:hAnsiTheme="minorEastAsia" w:eastAsiaTheme="minorEastAsia"/>
          <w:color w:val="auto"/>
          <w:sz w:val="24"/>
          <w:szCs w:val="24"/>
          <w:highlight w:val="none"/>
        </w:rPr>
        <w:t>。</w:t>
      </w:r>
    </w:p>
    <w:p w14:paraId="243AB0D3">
      <w:pPr>
        <w:spacing w:line="360" w:lineRule="auto"/>
        <w:jc w:val="center"/>
        <w:outlineLvl w:val="1"/>
        <w:rPr>
          <w:rFonts w:asciiTheme="minorEastAsia" w:hAnsiTheme="minorEastAsia" w:eastAsiaTheme="minorEastAsia"/>
          <w:b/>
          <w:color w:val="auto"/>
          <w:sz w:val="24"/>
          <w:highlight w:val="none"/>
        </w:rPr>
      </w:pPr>
      <w:r>
        <w:rPr>
          <w:rFonts w:cs="Times New Roman" w:asciiTheme="minorEastAsia" w:hAnsiTheme="minorEastAsia" w:eastAsiaTheme="minorEastAsia"/>
          <w:color w:val="auto"/>
          <w:sz w:val="24"/>
          <w:szCs w:val="24"/>
          <w:highlight w:val="none"/>
        </w:rPr>
        <w:br w:type="page"/>
      </w:r>
      <w:bookmarkStart w:id="199" w:name="_Toc3736"/>
      <w:r>
        <w:rPr>
          <w:rFonts w:hint="eastAsia" w:asciiTheme="minorEastAsia" w:hAnsiTheme="minorEastAsia" w:eastAsiaTheme="minorEastAsia"/>
          <w:b/>
          <w:color w:val="auto"/>
          <w:sz w:val="24"/>
          <w:highlight w:val="none"/>
        </w:rPr>
        <w:t>第三部分</w:t>
      </w:r>
      <w:r>
        <w:rPr>
          <w:rFonts w:asciiTheme="minorEastAsia" w:hAnsiTheme="minorEastAsia" w:eastAsiaTheme="minorEastAsia"/>
          <w:b/>
          <w:color w:val="auto"/>
          <w:sz w:val="24"/>
          <w:highlight w:val="none"/>
        </w:rPr>
        <w:t xml:space="preserve"> </w:t>
      </w:r>
      <w:r>
        <w:rPr>
          <w:rFonts w:hint="eastAsia" w:asciiTheme="minorEastAsia" w:hAnsiTheme="minorEastAsia" w:eastAsiaTheme="minorEastAsia"/>
          <w:b/>
          <w:color w:val="auto"/>
          <w:sz w:val="24"/>
          <w:highlight w:val="none"/>
        </w:rPr>
        <w:t>合同专用条款</w:t>
      </w:r>
      <w:bookmarkEnd w:id="199"/>
    </w:p>
    <w:p w14:paraId="2E4C484E">
      <w:pPr>
        <w:spacing w:line="360" w:lineRule="auto"/>
        <w:ind w:firstLine="435"/>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本部分</w:t>
      </w:r>
      <w:r>
        <w:rPr>
          <w:rFonts w:cs="Times New Roman" w:asciiTheme="minorEastAsia" w:hAnsiTheme="minorEastAsia" w:eastAsiaTheme="minorEastAsia"/>
          <w:color w:val="auto"/>
          <w:sz w:val="24"/>
          <w:szCs w:val="24"/>
          <w:highlight w:val="none"/>
        </w:rPr>
        <w:t>是对</w:t>
      </w:r>
      <w:r>
        <w:rPr>
          <w:rFonts w:hint="eastAsia" w:cs="Times New Roman" w:asciiTheme="minorEastAsia" w:hAnsiTheme="minorEastAsia" w:eastAsiaTheme="minorEastAsia"/>
          <w:color w:val="auto"/>
          <w:sz w:val="24"/>
          <w:szCs w:val="24"/>
          <w:highlight w:val="none"/>
        </w:rPr>
        <w:t>前两</w:t>
      </w:r>
      <w:r>
        <w:rPr>
          <w:rFonts w:cs="Times New Roman" w:asciiTheme="minorEastAsia" w:hAnsiTheme="minorEastAsia" w:eastAsiaTheme="minorEastAsia"/>
          <w:color w:val="auto"/>
          <w:sz w:val="24"/>
          <w:szCs w:val="24"/>
          <w:highlight w:val="none"/>
        </w:rPr>
        <w:t>部分的补充和修改</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如果</w:t>
      </w:r>
      <w:r>
        <w:rPr>
          <w:rFonts w:hint="eastAsia" w:cs="Times New Roman" w:asciiTheme="minorEastAsia" w:hAnsiTheme="minorEastAsia" w:eastAsiaTheme="minorEastAsia"/>
          <w:color w:val="auto"/>
          <w:sz w:val="24"/>
          <w:szCs w:val="24"/>
          <w:highlight w:val="none"/>
        </w:rPr>
        <w:t>前两</w:t>
      </w:r>
      <w:r>
        <w:rPr>
          <w:rFonts w:cs="Times New Roman" w:asciiTheme="minorEastAsia" w:hAnsiTheme="minorEastAsia" w:eastAsiaTheme="minorEastAsia"/>
          <w:color w:val="auto"/>
          <w:sz w:val="24"/>
          <w:szCs w:val="24"/>
          <w:highlight w:val="none"/>
        </w:rPr>
        <w:t>部分和本部分的约定不一致</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应以本部分的约定为准</w:t>
      </w:r>
      <w:r>
        <w:rPr>
          <w:rFonts w:hint="eastAsia" w:cs="Times New Roman" w:asciiTheme="minorEastAsia" w:hAnsiTheme="minorEastAsia" w:eastAsiaTheme="minorEastAsia"/>
          <w:color w:val="auto"/>
          <w:sz w:val="24"/>
          <w:szCs w:val="24"/>
          <w:highlight w:val="none"/>
        </w:rPr>
        <w:t>。</w:t>
      </w:r>
      <w:r>
        <w:rPr>
          <w:rFonts w:cs="Times New Roman" w:asciiTheme="minorEastAsia" w:hAnsiTheme="minorEastAsia" w:eastAsiaTheme="minorEastAsia"/>
          <w:color w:val="auto"/>
          <w:sz w:val="24"/>
          <w:szCs w:val="24"/>
          <w:highlight w:val="none"/>
        </w:rPr>
        <w:t>本部分的条款号应与</w:t>
      </w:r>
      <w:r>
        <w:rPr>
          <w:rFonts w:hint="eastAsia" w:cs="Times New Roman" w:asciiTheme="minorEastAsia" w:hAnsiTheme="minorEastAsia" w:eastAsiaTheme="minorEastAsia"/>
          <w:color w:val="auto"/>
          <w:sz w:val="24"/>
          <w:szCs w:val="24"/>
          <w:highlight w:val="none"/>
        </w:rPr>
        <w:t>前两部分</w:t>
      </w:r>
      <w:r>
        <w:rPr>
          <w:rFonts w:cs="Times New Roman" w:asciiTheme="minorEastAsia" w:hAnsiTheme="minorEastAsia" w:eastAsiaTheme="minorEastAsia"/>
          <w:color w:val="auto"/>
          <w:sz w:val="24"/>
          <w:szCs w:val="24"/>
          <w:highlight w:val="none"/>
        </w:rPr>
        <w:t>的条款号保持对应</w:t>
      </w:r>
      <w:r>
        <w:rPr>
          <w:rFonts w:hint="eastAsia" w:cs="Times New Roman" w:asciiTheme="minorEastAsia" w:hAnsiTheme="minorEastAsia" w:eastAsiaTheme="minorEastAsia"/>
          <w:color w:val="auto"/>
          <w:sz w:val="24"/>
          <w:szCs w:val="24"/>
          <w:highlight w:val="none"/>
        </w:rPr>
        <w:t>；与前两部分</w:t>
      </w:r>
      <w:r>
        <w:rPr>
          <w:rFonts w:cs="Times New Roman" w:asciiTheme="minorEastAsia" w:hAnsiTheme="minorEastAsia" w:eastAsiaTheme="minorEastAsia"/>
          <w:color w:val="auto"/>
          <w:sz w:val="24"/>
          <w:szCs w:val="24"/>
          <w:highlight w:val="none"/>
        </w:rPr>
        <w:t>无对应关系的内容可另行编制条款号</w:t>
      </w:r>
      <w:r>
        <w:rPr>
          <w:rFonts w:hint="eastAsia" w:cs="Times New Roman" w:asciiTheme="minorEastAsia" w:hAnsiTheme="minorEastAsia" w:eastAsiaTheme="minorEastAsia"/>
          <w:color w:val="auto"/>
          <w:sz w:val="24"/>
          <w:szCs w:val="24"/>
          <w:highlight w:val="none"/>
        </w:rPr>
        <w:t>。</w:t>
      </w:r>
    </w:p>
    <w:tbl>
      <w:tblPr>
        <w:tblStyle w:val="24"/>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580EC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4FCF303F">
            <w:pPr>
              <w:jc w:val="center"/>
              <w:rPr>
                <w:rFonts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t>条款号</w:t>
            </w:r>
          </w:p>
        </w:tc>
        <w:tc>
          <w:tcPr>
            <w:tcW w:w="7568" w:type="dxa"/>
            <w:vAlign w:val="center"/>
          </w:tcPr>
          <w:p w14:paraId="7DD05B8D">
            <w:pPr>
              <w:jc w:val="center"/>
              <w:rPr>
                <w:rFonts w:cs="Times New Roman" w:asciiTheme="minorEastAsia" w:hAnsiTheme="minorEastAsia" w:eastAsiaTheme="minorEastAsia"/>
                <w:b/>
                <w:color w:val="auto"/>
                <w:sz w:val="24"/>
                <w:szCs w:val="24"/>
                <w:highlight w:val="none"/>
              </w:rPr>
            </w:pPr>
            <w:r>
              <w:rPr>
                <w:rFonts w:cs="Times New Roman" w:asciiTheme="minorEastAsia" w:hAnsiTheme="minorEastAsia" w:eastAsiaTheme="minorEastAsia"/>
                <w:b/>
                <w:color w:val="auto"/>
                <w:sz w:val="24"/>
                <w:szCs w:val="24"/>
                <w:highlight w:val="none"/>
              </w:rPr>
              <w:t>约定内容</w:t>
            </w:r>
          </w:p>
        </w:tc>
      </w:tr>
      <w:tr w14:paraId="240EE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16B89C38">
            <w:pPr>
              <w:spacing w:line="440" w:lineRule="exact"/>
              <w:jc w:val="center"/>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2.11.3</w:t>
            </w:r>
          </w:p>
        </w:tc>
        <w:tc>
          <w:tcPr>
            <w:tcW w:w="7568" w:type="dxa"/>
            <w:vAlign w:val="center"/>
          </w:tcPr>
          <w:p w14:paraId="667AF7AA">
            <w:pPr>
              <w:spacing w:line="440" w:lineRule="exact"/>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因不可抗力致使合同有变更必要的，双方当事人应在不可抗力发生的3个工作日内以书面形式变更合同</w:t>
            </w:r>
          </w:p>
        </w:tc>
      </w:tr>
      <w:tr w14:paraId="7CAAF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4D5BF526">
            <w:pPr>
              <w:spacing w:line="440" w:lineRule="exact"/>
              <w:jc w:val="center"/>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2.11.4</w:t>
            </w:r>
          </w:p>
        </w:tc>
        <w:tc>
          <w:tcPr>
            <w:tcW w:w="7568" w:type="dxa"/>
            <w:vAlign w:val="center"/>
          </w:tcPr>
          <w:p w14:paraId="14E30633">
            <w:pPr>
              <w:spacing w:line="440" w:lineRule="exact"/>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受不可抗力影响的一方在不可抗力发生后，应在不可抗力发生的1个工作日内以书面形式通知对方当事人，并在1个工作日内，将有关部门出具的证明文件送达对方当事人</w:t>
            </w:r>
          </w:p>
        </w:tc>
      </w:tr>
      <w:tr w14:paraId="1ACFC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66D1B33F">
            <w:pPr>
              <w:spacing w:line="440" w:lineRule="exact"/>
              <w:jc w:val="center"/>
              <w:rPr>
                <w:rFonts w:cs="Times New Roman" w:asciiTheme="minorEastAsia" w:hAnsiTheme="minorEastAsia" w:eastAsiaTheme="minorEastAsia"/>
                <w:color w:val="auto"/>
                <w:sz w:val="24"/>
                <w:szCs w:val="24"/>
                <w:highlight w:val="none"/>
              </w:rPr>
            </w:pPr>
            <w:r>
              <w:rPr>
                <w:rFonts w:hint="eastAsia" w:ascii="宋体" w:hAnsi="宋体" w:eastAsia="宋体" w:cs="宋体"/>
                <w:color w:val="auto"/>
                <w:sz w:val="24"/>
                <w:szCs w:val="24"/>
                <w:highlight w:val="none"/>
              </w:rPr>
              <w:t>2.15</w:t>
            </w:r>
          </w:p>
        </w:tc>
        <w:tc>
          <w:tcPr>
            <w:tcW w:w="7568" w:type="dxa"/>
            <w:vAlign w:val="center"/>
          </w:tcPr>
          <w:p w14:paraId="6AE4932F">
            <w:pPr>
              <w:spacing w:line="440" w:lineRule="exact"/>
              <w:rPr>
                <w:rFonts w:cs="Times New Roman" w:asciiTheme="minorEastAsia" w:hAnsiTheme="minorEastAsia" w:eastAsiaTheme="minorEastAsia"/>
                <w:color w:val="auto"/>
                <w:sz w:val="24"/>
                <w:szCs w:val="24"/>
                <w:highlight w:val="none"/>
              </w:rPr>
            </w:pPr>
            <w:r>
              <w:rPr>
                <w:rFonts w:hint="eastAsia" w:ascii="宋体" w:hAnsi="宋体" w:eastAsia="宋体" w:cs="宋体"/>
                <w:color w:val="auto"/>
                <w:sz w:val="24"/>
                <w:szCs w:val="24"/>
                <w:highlight w:val="none"/>
              </w:rPr>
              <w:t>乙方须接受甲方对项目执行情况、服务质量等的监督、检查和验收，甲方有权查看与项目直接相关的凭证和资料，乙方应予以配合。</w:t>
            </w:r>
          </w:p>
        </w:tc>
      </w:tr>
      <w:tr w14:paraId="265D3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6400DA31">
            <w:pPr>
              <w:spacing w:line="560" w:lineRule="exact"/>
              <w:jc w:val="center"/>
              <w:rPr>
                <w:rFonts w:cs="Times New Roman" w:asciiTheme="minorEastAsia" w:hAnsiTheme="minorEastAsia" w:eastAsiaTheme="minorEastAsia"/>
                <w:color w:val="auto"/>
                <w:sz w:val="24"/>
                <w:szCs w:val="24"/>
                <w:highlight w:val="none"/>
              </w:rPr>
            </w:pPr>
            <w:r>
              <w:rPr>
                <w:rFonts w:hint="eastAsia" w:ascii="宋体" w:hAnsi="宋体" w:eastAsia="宋体"/>
                <w:color w:val="auto"/>
                <w:sz w:val="24"/>
                <w:highlight w:val="none"/>
              </w:rPr>
              <w:t>2.17</w:t>
            </w:r>
          </w:p>
        </w:tc>
        <w:tc>
          <w:tcPr>
            <w:tcW w:w="7568" w:type="dxa"/>
            <w:vAlign w:val="center"/>
          </w:tcPr>
          <w:p w14:paraId="1F8D92E5">
            <w:pPr>
              <w:spacing w:line="440" w:lineRule="exact"/>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本项目免收</w:t>
            </w:r>
            <w:r>
              <w:rPr>
                <w:rFonts w:hint="eastAsia" w:cs="Times New Roman" w:asciiTheme="minorEastAsia" w:hAnsiTheme="minorEastAsia" w:eastAsiaTheme="minorEastAsia"/>
                <w:color w:val="auto"/>
                <w:sz w:val="24"/>
                <w:szCs w:val="24"/>
                <w:highlight w:val="none"/>
                <w:lang w:val="zh-CN"/>
              </w:rPr>
              <w:t>履约保证金。</w:t>
            </w:r>
          </w:p>
        </w:tc>
      </w:tr>
      <w:tr w14:paraId="0012C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5409FD2">
            <w:pPr>
              <w:spacing w:line="440" w:lineRule="exact"/>
              <w:jc w:val="center"/>
              <w:rPr>
                <w:rFonts w:cs="Times New Roman" w:asciiTheme="minorEastAsia" w:hAnsiTheme="minorEastAsia" w:eastAsiaTheme="minorEastAsia"/>
                <w:color w:val="auto"/>
                <w:sz w:val="24"/>
                <w:szCs w:val="24"/>
                <w:highlight w:val="none"/>
              </w:rPr>
            </w:pPr>
            <w:r>
              <w:rPr>
                <w:rFonts w:hint="eastAsia" w:cs="Times New Roman" w:asciiTheme="minorEastAsia" w:hAnsiTheme="minorEastAsia" w:eastAsiaTheme="minorEastAsia"/>
                <w:color w:val="auto"/>
                <w:sz w:val="24"/>
                <w:szCs w:val="24"/>
                <w:highlight w:val="none"/>
              </w:rPr>
              <w:t>2.18</w:t>
            </w:r>
          </w:p>
        </w:tc>
        <w:tc>
          <w:tcPr>
            <w:tcW w:w="7568" w:type="dxa"/>
            <w:vAlign w:val="center"/>
          </w:tcPr>
          <w:p w14:paraId="27889A2F">
            <w:pPr>
              <w:spacing w:line="440" w:lineRule="exact"/>
              <w:rPr>
                <w:rFonts w:cs="Times New Roman" w:asciiTheme="minorEastAsia" w:hAnsiTheme="minorEastAsia" w:eastAsiaTheme="minorEastAsia"/>
                <w:color w:val="auto"/>
                <w:sz w:val="24"/>
                <w:szCs w:val="24"/>
                <w:highlight w:val="none"/>
                <w:u w:val="single"/>
              </w:rPr>
            </w:pPr>
            <w:r>
              <w:rPr>
                <w:rFonts w:hint="eastAsia" w:ascii="宋体" w:hAnsi="宋体" w:eastAsia="宋体" w:cs="宋体"/>
                <w:color w:val="auto"/>
                <w:sz w:val="24"/>
                <w:highlight w:val="none"/>
              </w:rPr>
              <w:t>合同一式陆份，甲乙双方各执叁份。</w:t>
            </w:r>
          </w:p>
        </w:tc>
      </w:tr>
      <w:tr w14:paraId="267E0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35F50D5E">
            <w:pPr>
              <w:spacing w:line="440" w:lineRule="exact"/>
              <w:jc w:val="center"/>
              <w:rPr>
                <w:rFonts w:cs="Times New Roman" w:asciiTheme="minorEastAsia" w:hAnsiTheme="minorEastAsia" w:eastAsiaTheme="minorEastAsia"/>
                <w:color w:val="auto"/>
                <w:sz w:val="24"/>
                <w:szCs w:val="24"/>
                <w:highlight w:val="none"/>
              </w:rPr>
            </w:pPr>
          </w:p>
        </w:tc>
        <w:tc>
          <w:tcPr>
            <w:tcW w:w="7568" w:type="dxa"/>
            <w:vAlign w:val="center"/>
          </w:tcPr>
          <w:p w14:paraId="080F18BF">
            <w:pPr>
              <w:spacing w:line="440" w:lineRule="exact"/>
              <w:rPr>
                <w:rFonts w:cs="Times New Roman" w:asciiTheme="minorEastAsia" w:hAnsiTheme="minorEastAsia" w:eastAsiaTheme="minorEastAsia"/>
                <w:color w:val="auto"/>
                <w:sz w:val="24"/>
                <w:szCs w:val="24"/>
                <w:highlight w:val="none"/>
                <w:u w:val="single"/>
              </w:rPr>
            </w:pPr>
            <w:r>
              <w:rPr>
                <w:rFonts w:hint="eastAsia" w:ascii="宋体" w:hAnsi="宋体" w:eastAsia="宋体" w:cs="宋体"/>
                <w:color w:val="auto"/>
                <w:sz w:val="24"/>
                <w:szCs w:val="24"/>
                <w:highlight w:val="none"/>
              </w:rPr>
              <w:t>（签订合同时可补充）</w:t>
            </w:r>
          </w:p>
        </w:tc>
      </w:tr>
      <w:tr w14:paraId="20C25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245D8132">
            <w:pPr>
              <w:spacing w:line="560" w:lineRule="exact"/>
              <w:rPr>
                <w:rFonts w:cs="Times New Roman" w:asciiTheme="minorEastAsia" w:hAnsiTheme="minorEastAsia" w:eastAsiaTheme="minorEastAsia"/>
                <w:color w:val="auto"/>
                <w:sz w:val="24"/>
                <w:szCs w:val="24"/>
                <w:highlight w:val="none"/>
              </w:rPr>
            </w:pPr>
          </w:p>
        </w:tc>
        <w:tc>
          <w:tcPr>
            <w:tcW w:w="7568" w:type="dxa"/>
            <w:vAlign w:val="center"/>
          </w:tcPr>
          <w:p w14:paraId="0D3A1CD7">
            <w:pPr>
              <w:spacing w:line="560" w:lineRule="exact"/>
              <w:rPr>
                <w:rFonts w:cs="Times New Roman" w:asciiTheme="minorEastAsia" w:hAnsiTheme="minorEastAsia" w:eastAsiaTheme="minorEastAsia"/>
                <w:color w:val="auto"/>
                <w:sz w:val="24"/>
                <w:szCs w:val="24"/>
                <w:highlight w:val="none"/>
              </w:rPr>
            </w:pPr>
          </w:p>
        </w:tc>
      </w:tr>
      <w:tr w14:paraId="15E92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54CFAB04">
            <w:pPr>
              <w:spacing w:line="560" w:lineRule="exact"/>
              <w:rPr>
                <w:rFonts w:cs="Times New Roman" w:asciiTheme="minorEastAsia" w:hAnsiTheme="minorEastAsia" w:eastAsiaTheme="minorEastAsia"/>
                <w:color w:val="auto"/>
                <w:sz w:val="24"/>
                <w:szCs w:val="24"/>
                <w:highlight w:val="none"/>
              </w:rPr>
            </w:pPr>
          </w:p>
        </w:tc>
        <w:tc>
          <w:tcPr>
            <w:tcW w:w="7568" w:type="dxa"/>
            <w:vAlign w:val="center"/>
          </w:tcPr>
          <w:p w14:paraId="7FE4D11B">
            <w:pPr>
              <w:spacing w:line="560" w:lineRule="exact"/>
              <w:rPr>
                <w:rFonts w:cs="Times New Roman" w:asciiTheme="minorEastAsia" w:hAnsiTheme="minorEastAsia" w:eastAsiaTheme="minorEastAsia"/>
                <w:color w:val="auto"/>
                <w:sz w:val="24"/>
                <w:szCs w:val="24"/>
                <w:highlight w:val="none"/>
              </w:rPr>
            </w:pPr>
          </w:p>
        </w:tc>
      </w:tr>
      <w:tr w14:paraId="1BCE2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BE9BD0F">
            <w:pPr>
              <w:spacing w:line="560" w:lineRule="exact"/>
              <w:rPr>
                <w:rFonts w:cs="Times New Roman" w:asciiTheme="minorEastAsia" w:hAnsiTheme="minorEastAsia" w:eastAsiaTheme="minorEastAsia"/>
                <w:color w:val="auto"/>
                <w:sz w:val="24"/>
                <w:szCs w:val="24"/>
                <w:highlight w:val="none"/>
              </w:rPr>
            </w:pPr>
          </w:p>
        </w:tc>
        <w:tc>
          <w:tcPr>
            <w:tcW w:w="7568" w:type="dxa"/>
            <w:vAlign w:val="center"/>
          </w:tcPr>
          <w:p w14:paraId="19A0E7FD">
            <w:pPr>
              <w:spacing w:line="560" w:lineRule="exact"/>
              <w:rPr>
                <w:rFonts w:cs="Times New Roman" w:asciiTheme="minorEastAsia" w:hAnsiTheme="minorEastAsia" w:eastAsiaTheme="minorEastAsia"/>
                <w:color w:val="auto"/>
                <w:sz w:val="24"/>
                <w:szCs w:val="24"/>
                <w:highlight w:val="none"/>
              </w:rPr>
            </w:pPr>
          </w:p>
        </w:tc>
      </w:tr>
      <w:tr w14:paraId="3132A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172DA1C4">
            <w:pPr>
              <w:spacing w:line="560" w:lineRule="exact"/>
              <w:rPr>
                <w:rFonts w:cs="Times New Roman" w:asciiTheme="minorEastAsia" w:hAnsiTheme="minorEastAsia" w:eastAsiaTheme="minorEastAsia"/>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7E50AF6B">
            <w:pPr>
              <w:spacing w:line="560" w:lineRule="exact"/>
              <w:rPr>
                <w:rFonts w:cs="Times New Roman" w:asciiTheme="minorEastAsia" w:hAnsiTheme="minorEastAsia" w:eastAsiaTheme="minorEastAsia"/>
                <w:color w:val="auto"/>
                <w:sz w:val="24"/>
                <w:szCs w:val="24"/>
                <w:highlight w:val="none"/>
              </w:rPr>
            </w:pPr>
          </w:p>
        </w:tc>
      </w:tr>
      <w:tr w14:paraId="57CF3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top w:val="single" w:color="auto" w:sz="6" w:space="0"/>
              <w:left w:val="single" w:color="auto" w:sz="4" w:space="0"/>
              <w:bottom w:val="single" w:color="auto" w:sz="6" w:space="0"/>
              <w:right w:val="single" w:color="auto" w:sz="6" w:space="0"/>
            </w:tcBorders>
            <w:vAlign w:val="center"/>
          </w:tcPr>
          <w:p w14:paraId="699D3BDB">
            <w:pPr>
              <w:spacing w:line="560" w:lineRule="exact"/>
              <w:rPr>
                <w:rFonts w:cs="Times New Roman" w:asciiTheme="minorEastAsia" w:hAnsiTheme="minorEastAsia" w:eastAsiaTheme="minorEastAsia"/>
                <w:color w:val="auto"/>
                <w:sz w:val="24"/>
                <w:szCs w:val="24"/>
                <w:highlight w:val="none"/>
              </w:rPr>
            </w:pPr>
          </w:p>
        </w:tc>
        <w:tc>
          <w:tcPr>
            <w:tcW w:w="7568" w:type="dxa"/>
            <w:tcBorders>
              <w:top w:val="single" w:color="auto" w:sz="6" w:space="0"/>
              <w:left w:val="single" w:color="auto" w:sz="6" w:space="0"/>
              <w:bottom w:val="single" w:color="auto" w:sz="6" w:space="0"/>
              <w:right w:val="single" w:color="auto" w:sz="6" w:space="0"/>
            </w:tcBorders>
            <w:vAlign w:val="center"/>
          </w:tcPr>
          <w:p w14:paraId="254EF413">
            <w:pPr>
              <w:spacing w:line="560" w:lineRule="exact"/>
              <w:rPr>
                <w:rFonts w:cs="Times New Roman" w:asciiTheme="minorEastAsia" w:hAnsiTheme="minorEastAsia" w:eastAsiaTheme="minorEastAsia"/>
                <w:color w:val="auto"/>
                <w:sz w:val="24"/>
                <w:szCs w:val="24"/>
                <w:highlight w:val="none"/>
              </w:rPr>
            </w:pPr>
          </w:p>
        </w:tc>
      </w:tr>
    </w:tbl>
    <w:p w14:paraId="1CF3A9FB">
      <w:pPr>
        <w:spacing w:line="360" w:lineRule="auto"/>
        <w:rPr>
          <w:rFonts w:asciiTheme="minorEastAsia" w:hAnsiTheme="minorEastAsia" w:eastAsiaTheme="minorEastAsia"/>
          <w:color w:val="auto"/>
          <w:sz w:val="24"/>
          <w:highlight w:val="none"/>
        </w:rPr>
      </w:pPr>
    </w:p>
    <w:p w14:paraId="4F2C00C8">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bookmarkEnd w:id="56"/>
    <w:p w14:paraId="7CE6F933">
      <w:pPr>
        <w:spacing w:line="360" w:lineRule="auto"/>
        <w:jc w:val="center"/>
        <w:outlineLvl w:val="0"/>
        <w:rPr>
          <w:rFonts w:asciiTheme="minorEastAsia" w:hAnsiTheme="minorEastAsia" w:eastAsiaTheme="minorEastAsia"/>
          <w:b/>
          <w:color w:val="auto"/>
          <w:sz w:val="28"/>
          <w:highlight w:val="none"/>
        </w:rPr>
      </w:pPr>
      <w:bookmarkStart w:id="200" w:name="_Toc13555"/>
      <w:r>
        <w:rPr>
          <w:rFonts w:hint="eastAsia" w:asciiTheme="minorEastAsia" w:hAnsiTheme="minorEastAsia" w:eastAsiaTheme="minorEastAsia"/>
          <w:b/>
          <w:color w:val="auto"/>
          <w:sz w:val="28"/>
          <w:highlight w:val="none"/>
        </w:rPr>
        <w:t>第六章  投标文件格式</w:t>
      </w:r>
      <w:bookmarkEnd w:id="200"/>
    </w:p>
    <w:p w14:paraId="173EBABC">
      <w:pPr>
        <w:spacing w:line="900" w:lineRule="exact"/>
        <w:jc w:val="center"/>
        <w:rPr>
          <w:rFonts w:asciiTheme="minorEastAsia" w:hAnsiTheme="minorEastAsia" w:eastAsiaTheme="minorEastAsia"/>
          <w:b/>
          <w:color w:val="auto"/>
          <w:sz w:val="72"/>
          <w:highlight w:val="none"/>
        </w:rPr>
      </w:pPr>
    </w:p>
    <w:p w14:paraId="646B6E81">
      <w:pPr>
        <w:spacing w:line="900" w:lineRule="exact"/>
        <w:jc w:val="center"/>
        <w:outlineLvl w:val="1"/>
        <w:rPr>
          <w:rFonts w:asciiTheme="minorEastAsia" w:hAnsiTheme="minorEastAsia" w:eastAsiaTheme="minorEastAsia"/>
          <w:b/>
          <w:color w:val="auto"/>
          <w:sz w:val="72"/>
          <w:highlight w:val="none"/>
        </w:rPr>
      </w:pPr>
      <w:bookmarkStart w:id="201" w:name="_Toc5119"/>
      <w:r>
        <w:rPr>
          <w:rFonts w:hint="eastAsia" w:asciiTheme="minorEastAsia" w:hAnsiTheme="minorEastAsia" w:eastAsiaTheme="minorEastAsia"/>
          <w:b/>
          <w:color w:val="auto"/>
          <w:sz w:val="72"/>
          <w:highlight w:val="none"/>
        </w:rPr>
        <w:t>投</w:t>
      </w:r>
      <w:bookmarkEnd w:id="201"/>
    </w:p>
    <w:p w14:paraId="68E228AC">
      <w:pPr>
        <w:spacing w:line="900" w:lineRule="exact"/>
        <w:jc w:val="center"/>
        <w:rPr>
          <w:rFonts w:asciiTheme="minorEastAsia" w:hAnsiTheme="minorEastAsia" w:eastAsiaTheme="minorEastAsia"/>
          <w:b/>
          <w:color w:val="auto"/>
          <w:sz w:val="72"/>
          <w:highlight w:val="none"/>
        </w:rPr>
      </w:pPr>
    </w:p>
    <w:p w14:paraId="6EF30245">
      <w:pPr>
        <w:spacing w:line="900" w:lineRule="exact"/>
        <w:jc w:val="center"/>
        <w:outlineLvl w:val="1"/>
        <w:rPr>
          <w:rFonts w:asciiTheme="minorEastAsia" w:hAnsiTheme="minorEastAsia" w:eastAsiaTheme="minorEastAsia"/>
          <w:b/>
          <w:color w:val="auto"/>
          <w:sz w:val="72"/>
          <w:highlight w:val="none"/>
        </w:rPr>
      </w:pPr>
      <w:bookmarkStart w:id="202" w:name="_Toc4782"/>
      <w:r>
        <w:rPr>
          <w:rFonts w:hint="eastAsia" w:asciiTheme="minorEastAsia" w:hAnsiTheme="minorEastAsia" w:eastAsiaTheme="minorEastAsia"/>
          <w:b/>
          <w:color w:val="auto"/>
          <w:sz w:val="72"/>
          <w:highlight w:val="none"/>
        </w:rPr>
        <w:t>标</w:t>
      </w:r>
      <w:bookmarkEnd w:id="202"/>
    </w:p>
    <w:p w14:paraId="29B2755B">
      <w:pPr>
        <w:spacing w:line="900" w:lineRule="exact"/>
        <w:jc w:val="center"/>
        <w:rPr>
          <w:rFonts w:asciiTheme="minorEastAsia" w:hAnsiTheme="minorEastAsia" w:eastAsiaTheme="minorEastAsia"/>
          <w:b/>
          <w:color w:val="auto"/>
          <w:sz w:val="72"/>
          <w:highlight w:val="none"/>
        </w:rPr>
      </w:pPr>
    </w:p>
    <w:p w14:paraId="2E697DE4">
      <w:pPr>
        <w:spacing w:line="900" w:lineRule="exact"/>
        <w:jc w:val="center"/>
        <w:outlineLvl w:val="1"/>
        <w:rPr>
          <w:rFonts w:asciiTheme="minorEastAsia" w:hAnsiTheme="minorEastAsia" w:eastAsiaTheme="minorEastAsia"/>
          <w:b/>
          <w:color w:val="auto"/>
          <w:sz w:val="72"/>
          <w:highlight w:val="none"/>
        </w:rPr>
      </w:pPr>
      <w:bookmarkStart w:id="203" w:name="_Toc19607"/>
      <w:r>
        <w:rPr>
          <w:rFonts w:hint="eastAsia" w:asciiTheme="minorEastAsia" w:hAnsiTheme="minorEastAsia" w:eastAsiaTheme="minorEastAsia"/>
          <w:b/>
          <w:color w:val="auto"/>
          <w:sz w:val="72"/>
          <w:highlight w:val="none"/>
        </w:rPr>
        <w:t>文</w:t>
      </w:r>
      <w:bookmarkEnd w:id="203"/>
    </w:p>
    <w:p w14:paraId="213C712A">
      <w:pPr>
        <w:spacing w:line="900" w:lineRule="exact"/>
        <w:jc w:val="center"/>
        <w:rPr>
          <w:rFonts w:asciiTheme="minorEastAsia" w:hAnsiTheme="minorEastAsia" w:eastAsiaTheme="minorEastAsia"/>
          <w:b/>
          <w:color w:val="auto"/>
          <w:sz w:val="72"/>
          <w:highlight w:val="none"/>
        </w:rPr>
      </w:pPr>
    </w:p>
    <w:p w14:paraId="410238F9">
      <w:pPr>
        <w:jc w:val="center"/>
        <w:outlineLvl w:val="1"/>
        <w:rPr>
          <w:rFonts w:asciiTheme="minorEastAsia" w:hAnsiTheme="minorEastAsia" w:eastAsiaTheme="minorEastAsia"/>
          <w:b/>
          <w:color w:val="auto"/>
          <w:sz w:val="72"/>
          <w:highlight w:val="none"/>
        </w:rPr>
      </w:pPr>
      <w:bookmarkStart w:id="204" w:name="_Toc8365"/>
      <w:r>
        <w:rPr>
          <w:rFonts w:hint="eastAsia" w:asciiTheme="minorEastAsia" w:hAnsiTheme="minorEastAsia" w:eastAsiaTheme="minorEastAsia"/>
          <w:b/>
          <w:color w:val="auto"/>
          <w:sz w:val="72"/>
          <w:highlight w:val="none"/>
        </w:rPr>
        <w:t>件</w:t>
      </w:r>
      <w:bookmarkEnd w:id="204"/>
    </w:p>
    <w:p w14:paraId="45F4C76E">
      <w:pPr>
        <w:spacing w:before="156" w:beforeLines="50" w:after="156" w:afterLines="50"/>
        <w:jc w:val="center"/>
        <w:outlineLvl w:val="9"/>
        <w:rPr>
          <w:rFonts w:asciiTheme="minorEastAsia" w:hAnsiTheme="minorEastAsia" w:eastAsiaTheme="minorEastAsia"/>
          <w:b/>
          <w:color w:val="auto"/>
          <w:sz w:val="32"/>
          <w:szCs w:val="32"/>
          <w:highlight w:val="none"/>
        </w:rPr>
      </w:pPr>
    </w:p>
    <w:p w14:paraId="334F72E9">
      <w:pPr>
        <w:pStyle w:val="4"/>
        <w:rPr>
          <w:color w:val="auto"/>
          <w:highlight w:val="none"/>
        </w:rPr>
      </w:pPr>
    </w:p>
    <w:p w14:paraId="750B84EA">
      <w:pPr>
        <w:spacing w:after="156" w:afterLines="50" w:line="500" w:lineRule="exact"/>
        <w:jc w:val="center"/>
        <w:rPr>
          <w:rFonts w:asciiTheme="minorEastAsia" w:hAnsiTheme="minorEastAsia" w:eastAsiaTheme="minorEastAsia"/>
          <w:b/>
          <w:color w:val="auto"/>
          <w:sz w:val="28"/>
          <w:szCs w:val="28"/>
          <w:highlight w:val="none"/>
        </w:rPr>
      </w:pPr>
    </w:p>
    <w:p w14:paraId="1F452FC9">
      <w:pPr>
        <w:tabs>
          <w:tab w:val="left" w:pos="2410"/>
        </w:tabs>
        <w:autoSpaceDE w:val="0"/>
        <w:autoSpaceDN w:val="0"/>
        <w:adjustRightInd w:val="0"/>
        <w:snapToGrid w:val="0"/>
        <w:spacing w:line="360" w:lineRule="auto"/>
        <w:ind w:firstLine="1928" w:firstLineChars="600"/>
        <w:jc w:val="both"/>
        <w:outlineLvl w:val="9"/>
        <w:rPr>
          <w:rFonts w:hint="default" w:ascii="宋体" w:hAnsi="宋体" w:eastAsia="宋体"/>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4E299201">
      <w:pPr>
        <w:tabs>
          <w:tab w:val="left" w:pos="2410"/>
        </w:tabs>
        <w:autoSpaceDE w:val="0"/>
        <w:autoSpaceDN w:val="0"/>
        <w:adjustRightInd w:val="0"/>
        <w:snapToGrid w:val="0"/>
        <w:spacing w:line="360" w:lineRule="auto"/>
        <w:ind w:firstLine="1928" w:firstLineChars="6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7DDD9F67">
      <w:pPr>
        <w:tabs>
          <w:tab w:val="left" w:pos="2410"/>
        </w:tabs>
        <w:autoSpaceDE w:val="0"/>
        <w:autoSpaceDN w:val="0"/>
        <w:adjustRightInd w:val="0"/>
        <w:snapToGrid w:val="0"/>
        <w:spacing w:line="360" w:lineRule="auto"/>
        <w:ind w:firstLine="1928" w:firstLineChars="6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 xml:space="preserve">投 </w:t>
      </w:r>
      <w:r>
        <w:rPr>
          <w:rFonts w:hint="eastAsia" w:asciiTheme="minorEastAsia" w:hAnsiTheme="minorEastAsia" w:eastAsiaTheme="minorEastAsia"/>
          <w:b/>
          <w:color w:val="auto"/>
          <w:sz w:val="32"/>
          <w:highlight w:val="none"/>
        </w:rPr>
        <w:t>标</w:t>
      </w:r>
      <w:r>
        <w:rPr>
          <w:rFonts w:hint="eastAsia" w:asciiTheme="minorEastAsia" w:hAnsiTheme="minorEastAsia" w:eastAsiaTheme="minorEastAsia"/>
          <w:b/>
          <w:color w:val="auto"/>
          <w:sz w:val="32"/>
          <w:highlight w:val="none"/>
          <w:lang w:val="en-US" w:eastAsia="zh-CN"/>
        </w:rPr>
        <w:t xml:space="preserve"> </w:t>
      </w:r>
      <w:r>
        <w:rPr>
          <w:rFonts w:hint="eastAsia" w:asciiTheme="minorEastAsia" w:hAnsiTheme="minorEastAsia" w:eastAsiaTheme="minorEastAsia"/>
          <w:b/>
          <w:color w:val="auto"/>
          <w:sz w:val="32"/>
          <w:highlight w:val="none"/>
        </w:rPr>
        <w:t>人：</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4E137C84">
      <w:pPr>
        <w:spacing w:after="156" w:afterLines="50" w:line="500" w:lineRule="exact"/>
        <w:jc w:val="center"/>
        <w:outlineLvl w:val="1"/>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205" w:name="_Toc19687"/>
      <w:bookmarkStart w:id="206" w:name="_Toc8037"/>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205"/>
      <w:bookmarkEnd w:id="206"/>
    </w:p>
    <w:p w14:paraId="08D11572">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2D4923CA">
      <w:pPr>
        <w:spacing w:line="360" w:lineRule="auto"/>
        <w:jc w:val="center"/>
        <w:outlineLvl w:val="1"/>
        <w:rPr>
          <w:rFonts w:asciiTheme="minorEastAsia" w:hAnsiTheme="minorEastAsia" w:eastAsiaTheme="minorEastAsia"/>
          <w:b/>
          <w:color w:val="auto"/>
          <w:sz w:val="24"/>
          <w:highlight w:val="none"/>
        </w:rPr>
      </w:pPr>
      <w:bookmarkStart w:id="207" w:name="_Toc17986"/>
      <w:bookmarkStart w:id="208" w:name="_Toc28960"/>
      <w:r>
        <w:rPr>
          <w:rFonts w:hint="eastAsia" w:asciiTheme="minorEastAsia" w:hAnsiTheme="minorEastAsia" w:eastAsiaTheme="minorEastAsia"/>
          <w:b/>
          <w:color w:val="auto"/>
          <w:sz w:val="24"/>
          <w:highlight w:val="none"/>
        </w:rPr>
        <w:t>一、开标一览表</w:t>
      </w:r>
      <w:bookmarkEnd w:id="207"/>
      <w:bookmarkEnd w:id="208"/>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6218"/>
      </w:tblGrid>
      <w:tr w14:paraId="3618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1352" w:type="pct"/>
            <w:tcBorders>
              <w:top w:val="single" w:color="auto" w:sz="4" w:space="0"/>
              <w:bottom w:val="single" w:color="auto" w:sz="4" w:space="0"/>
              <w:right w:val="single" w:color="auto" w:sz="4" w:space="0"/>
            </w:tcBorders>
            <w:vAlign w:val="center"/>
          </w:tcPr>
          <w:p w14:paraId="3A98483B">
            <w:pPr>
              <w:widowControl/>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项目名称</w:t>
            </w:r>
          </w:p>
        </w:tc>
        <w:tc>
          <w:tcPr>
            <w:tcW w:w="3648" w:type="pct"/>
            <w:tcBorders>
              <w:top w:val="single" w:color="auto" w:sz="4" w:space="0"/>
              <w:bottom w:val="single" w:color="auto" w:sz="4" w:space="0"/>
              <w:right w:val="single" w:color="auto" w:sz="4" w:space="0"/>
            </w:tcBorders>
            <w:vAlign w:val="center"/>
          </w:tcPr>
          <w:p w14:paraId="4BD9C6B7">
            <w:pPr>
              <w:spacing w:line="360" w:lineRule="exact"/>
              <w:jc w:val="center"/>
              <w:rPr>
                <w:rFonts w:asciiTheme="minorEastAsia" w:hAnsiTheme="minorEastAsia" w:eastAsiaTheme="minorEastAsia"/>
                <w:bCs/>
                <w:color w:val="auto"/>
                <w:sz w:val="24"/>
                <w:highlight w:val="none"/>
                <w:u w:val="single"/>
              </w:rPr>
            </w:pPr>
          </w:p>
        </w:tc>
      </w:tr>
      <w:tr w14:paraId="71C9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1B9281ED">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投标人全称</w:t>
            </w:r>
          </w:p>
        </w:tc>
        <w:tc>
          <w:tcPr>
            <w:tcW w:w="3648" w:type="pct"/>
            <w:tcBorders>
              <w:top w:val="nil"/>
            </w:tcBorders>
            <w:vAlign w:val="center"/>
          </w:tcPr>
          <w:p w14:paraId="557B3AB3">
            <w:pPr>
              <w:spacing w:line="360" w:lineRule="auto"/>
              <w:rPr>
                <w:rFonts w:asciiTheme="minorEastAsia" w:hAnsiTheme="minorEastAsia" w:eastAsiaTheme="minorEastAsia"/>
                <w:color w:val="auto"/>
                <w:sz w:val="24"/>
                <w:highlight w:val="none"/>
              </w:rPr>
            </w:pPr>
          </w:p>
        </w:tc>
      </w:tr>
      <w:tr w14:paraId="55BA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12BD4B12">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投标范围</w:t>
            </w:r>
          </w:p>
        </w:tc>
        <w:tc>
          <w:tcPr>
            <w:tcW w:w="3648" w:type="pct"/>
            <w:tcBorders>
              <w:top w:val="nil"/>
            </w:tcBorders>
            <w:vAlign w:val="center"/>
          </w:tcPr>
          <w:p w14:paraId="752AD2DF">
            <w:pPr>
              <w:keepNext w:val="0"/>
              <w:keepLines w:val="0"/>
              <w:pageBreakBefore w:val="0"/>
              <w:widowControl/>
              <w:kinsoku/>
              <w:wordWrap/>
              <w:overflowPunct/>
              <w:topLinePunct w:val="0"/>
              <w:autoSpaceDE/>
              <w:autoSpaceDN/>
              <w:bidi w:val="0"/>
              <w:adjustRightInd/>
              <w:spacing w:line="360" w:lineRule="auto"/>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8"/>
                <w:highlight w:val="none"/>
              </w:rPr>
              <w:t>全部</w:t>
            </w:r>
          </w:p>
        </w:tc>
      </w:tr>
      <w:tr w14:paraId="2312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52" w:type="pct"/>
            <w:tcBorders>
              <w:top w:val="nil"/>
            </w:tcBorders>
            <w:vAlign w:val="center"/>
          </w:tcPr>
          <w:p w14:paraId="18327A79">
            <w:pPr>
              <w:spacing w:line="360" w:lineRule="exact"/>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投标报价</w:t>
            </w:r>
          </w:p>
        </w:tc>
        <w:tc>
          <w:tcPr>
            <w:tcW w:w="3648" w:type="pct"/>
            <w:tcBorders>
              <w:top w:val="nil"/>
            </w:tcBorders>
            <w:vAlign w:val="center"/>
          </w:tcPr>
          <w:p w14:paraId="4D04ABFC">
            <w:pPr>
              <w:keepNext w:val="0"/>
              <w:keepLines w:val="0"/>
              <w:pageBreakBefore w:val="0"/>
              <w:kinsoku/>
              <w:wordWrap/>
              <w:overflowPunct/>
              <w:topLinePunct w:val="0"/>
              <w:autoSpaceDE/>
              <w:autoSpaceDN/>
              <w:bidi w:val="0"/>
              <w:adjustRightInd/>
              <w:snapToGrid w:val="0"/>
              <w:spacing w:line="360" w:lineRule="auto"/>
              <w:jc w:val="left"/>
              <w:textAlignment w:val="auto"/>
              <w:rPr>
                <w:rFonts w:hint="default" w:ascii="宋体" w:hAnsi="宋体" w:eastAsia="宋体" w:cs="宋体"/>
                <w:bCs/>
                <w:color w:val="auto"/>
                <w:sz w:val="24"/>
                <w:szCs w:val="24"/>
                <w:highlight w:val="none"/>
                <w:u w:val="single"/>
                <w:lang w:val="en-US" w:eastAsia="zh-CN"/>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lang w:val="en-US" w:eastAsia="zh-CN"/>
              </w:rPr>
              <w:t>百分之</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p>
          <w:p w14:paraId="0A60EACD">
            <w:pPr>
              <w:keepNext w:val="0"/>
              <w:keepLines w:val="0"/>
              <w:pageBreakBefore w:val="0"/>
              <w:kinsoku/>
              <w:wordWrap/>
              <w:overflowPunct/>
              <w:topLinePunct w:val="0"/>
              <w:autoSpaceDE/>
              <w:autoSpaceDN/>
              <w:bidi w:val="0"/>
              <w:adjustRightInd/>
              <w:spacing w:line="360" w:lineRule="auto"/>
              <w:ind w:right="-670"/>
              <w:textAlignment w:val="auto"/>
              <w:rPr>
                <w:rFonts w:hint="eastAsia" w:eastAsia="宋体" w:asciiTheme="minorEastAsia" w:hAnsiTheme="minorEastAsia"/>
                <w:color w:val="auto"/>
                <w:sz w:val="24"/>
                <w:highlight w:val="none"/>
                <w:lang w:val="en-US" w:eastAsia="zh-CN"/>
              </w:rPr>
            </w:pPr>
            <w:r>
              <w:rPr>
                <w:rFonts w:hint="eastAsia" w:ascii="宋体" w:hAnsi="宋体" w:eastAsia="宋体" w:cs="宋体"/>
                <w:bCs/>
                <w:color w:val="auto"/>
                <w:sz w:val="24"/>
                <w:szCs w:val="24"/>
                <w:highlight w:val="none"/>
              </w:rPr>
              <w:t>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w:t>
            </w:r>
          </w:p>
        </w:tc>
      </w:tr>
      <w:tr w14:paraId="049E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1352" w:type="pct"/>
            <w:tcBorders>
              <w:top w:val="nil"/>
            </w:tcBorders>
            <w:vAlign w:val="center"/>
          </w:tcPr>
          <w:p w14:paraId="667A168C">
            <w:pPr>
              <w:spacing w:line="360" w:lineRule="auto"/>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其他</w:t>
            </w:r>
          </w:p>
        </w:tc>
        <w:tc>
          <w:tcPr>
            <w:tcW w:w="3648" w:type="pct"/>
            <w:tcBorders>
              <w:top w:val="nil"/>
            </w:tcBorders>
            <w:vAlign w:val="center"/>
          </w:tcPr>
          <w:p w14:paraId="5D895602">
            <w:pPr>
              <w:spacing w:line="360" w:lineRule="auto"/>
              <w:jc w:val="left"/>
              <w:rPr>
                <w:rFonts w:asciiTheme="minorEastAsia" w:hAnsiTheme="minorEastAsia" w:eastAsiaTheme="minorEastAsia"/>
                <w:color w:val="auto"/>
                <w:sz w:val="24"/>
                <w:szCs w:val="28"/>
                <w:highlight w:val="none"/>
              </w:rPr>
            </w:pPr>
          </w:p>
        </w:tc>
      </w:tr>
    </w:tbl>
    <w:p w14:paraId="4BAA6053">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5F3EC433">
      <w:pPr>
        <w:tabs>
          <w:tab w:val="left" w:pos="630"/>
        </w:tabs>
        <w:spacing w:line="360" w:lineRule="auto"/>
        <w:ind w:firstLine="4800" w:firstLineChars="2000"/>
        <w:rPr>
          <w:rFonts w:asciiTheme="minorEastAsia" w:hAnsiTheme="minorEastAsia" w:eastAsiaTheme="minorEastAsia"/>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42E697A7">
      <w:pPr>
        <w:spacing w:line="360" w:lineRule="auto"/>
        <w:rPr>
          <w:rFonts w:hint="eastAsia" w:asciiTheme="minorEastAsia" w:hAnsiTheme="minorEastAsia" w:eastAsiaTheme="minorEastAsia"/>
          <w:b/>
          <w:color w:val="auto"/>
          <w:sz w:val="24"/>
          <w:highlight w:val="none"/>
          <w:lang w:eastAsia="zh-CN"/>
        </w:rPr>
      </w:pPr>
      <w:r>
        <w:rPr>
          <w:rFonts w:hint="eastAsia" w:asciiTheme="minorEastAsia" w:hAnsiTheme="minorEastAsia" w:eastAsiaTheme="minorEastAsia"/>
          <w:b/>
          <w:color w:val="auto"/>
          <w:sz w:val="24"/>
          <w:highlight w:val="none"/>
          <w:lang w:eastAsia="zh-CN"/>
        </w:rPr>
        <w:t>注：</w:t>
      </w:r>
    </w:p>
    <w:p w14:paraId="403A17C8">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此表用于开标唱标之用。</w:t>
      </w:r>
    </w:p>
    <w:p w14:paraId="2C620D5E">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表中投标报价即为优惠后报价，并作为评审及定标依据。任何有选择或有条件的投标报价，或者表中某一包别填写多个报价，均为无效报价。</w:t>
      </w:r>
    </w:p>
    <w:p w14:paraId="011E63B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.表中大写金额与小写金额不一致的，以大写金额为准。</w:t>
      </w:r>
      <w:r>
        <w:rPr>
          <w:rFonts w:asciiTheme="minorEastAsia" w:hAnsiTheme="minorEastAsia" w:eastAsiaTheme="minorEastAsia"/>
          <w:color w:val="auto"/>
          <w:sz w:val="24"/>
          <w:highlight w:val="none"/>
        </w:rPr>
        <w:br w:type="page"/>
      </w:r>
    </w:p>
    <w:p w14:paraId="100974E3">
      <w:pPr>
        <w:spacing w:line="360" w:lineRule="auto"/>
        <w:jc w:val="center"/>
        <w:outlineLvl w:val="1"/>
        <w:rPr>
          <w:rFonts w:asciiTheme="minorEastAsia" w:hAnsiTheme="minorEastAsia" w:eastAsiaTheme="minorEastAsia"/>
          <w:b/>
          <w:color w:val="auto"/>
          <w:sz w:val="24"/>
          <w:highlight w:val="none"/>
        </w:rPr>
      </w:pPr>
      <w:bookmarkStart w:id="209" w:name="_Toc6441"/>
      <w:bookmarkStart w:id="210" w:name="_Toc6120"/>
      <w:r>
        <w:rPr>
          <w:rFonts w:hint="eastAsia" w:asciiTheme="minorEastAsia" w:hAnsiTheme="minorEastAsia" w:eastAsiaTheme="minorEastAsia"/>
          <w:b/>
          <w:color w:val="auto"/>
          <w:sz w:val="24"/>
          <w:highlight w:val="none"/>
        </w:rPr>
        <w:t>二、投标函</w:t>
      </w:r>
      <w:bookmarkEnd w:id="209"/>
      <w:bookmarkEnd w:id="210"/>
    </w:p>
    <w:p w14:paraId="2C84E476">
      <w:pPr>
        <w:pStyle w:val="13"/>
        <w:spacing w:line="360" w:lineRule="auto"/>
        <w:rPr>
          <w:rFonts w:hint="eastAsia" w:ascii="宋体" w:hAnsi="宋体" w:eastAsia="宋体"/>
          <w:color w:val="auto"/>
          <w:sz w:val="24"/>
          <w:highlight w:val="none"/>
          <w:u w:val="singl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04D3251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根据贵方的招标公告和投标邀请，我方兹宣布同意如下：</w:t>
      </w:r>
    </w:p>
    <w:p w14:paraId="648C102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w:t>
      </w:r>
      <w:r>
        <w:rPr>
          <w:rFonts w:hint="eastAsia" w:ascii="宋体" w:hAnsi="宋体" w:eastAsia="宋体" w:cs="宋体"/>
          <w:color w:val="auto"/>
          <w:sz w:val="24"/>
          <w:szCs w:val="24"/>
          <w:highlight w:val="none"/>
        </w:rPr>
        <w:t>我方根据招标文件的规定，严格履行合同的责任和义务,并保证于买方要求的日期内完成，并通过买方验收。</w:t>
      </w:r>
    </w:p>
    <w:p w14:paraId="4DB02329">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.我方已详细审核全部招标文件，包括招标文件</w:t>
      </w:r>
      <w:r>
        <w:rPr>
          <w:rFonts w:hint="eastAsia" w:asciiTheme="minorEastAsia" w:hAnsiTheme="minorEastAsia" w:eastAsiaTheme="minorEastAsia"/>
          <w:color w:val="auto"/>
          <w:sz w:val="24"/>
          <w:highlight w:val="none"/>
          <w:lang w:val="en-US" w:eastAsia="zh-CN"/>
        </w:rPr>
        <w:t>附件及更正公告（如有）</w:t>
      </w:r>
      <w:r>
        <w:rPr>
          <w:rFonts w:hint="eastAsia" w:asciiTheme="minorEastAsia" w:hAnsiTheme="minorEastAsia" w:eastAsiaTheme="minorEastAsia"/>
          <w:color w:val="auto"/>
          <w:sz w:val="24"/>
          <w:highlight w:val="none"/>
        </w:rPr>
        <w:t>，我方正式认可并遵守本次招标文件，并对招标文件各项条款、规定及要求均无异议。</w:t>
      </w:r>
    </w:p>
    <w:p w14:paraId="3CE7B22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.我方同意从招标文件规定的开标日期起遵循本招标文件，并在招标文件规定的投标有效期之前均具有约束力。</w:t>
      </w:r>
    </w:p>
    <w:p w14:paraId="42D55F7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投标文件所提供的一切资料均真实无误、及时、有效，企业运营正常。由于我方提供资料不实而造成的责任和后果由我方承担。我方同意按照贵方提出的要求，提供与投标有关的任何证据、数据或资料。</w:t>
      </w:r>
    </w:p>
    <w:p w14:paraId="4AB035FC">
      <w:pPr>
        <w:spacing w:line="360" w:lineRule="auto"/>
        <w:ind w:firstLine="4800" w:firstLineChars="2000"/>
        <w:rPr>
          <w:rFonts w:ascii="宋体" w:hAnsi="宋体" w:eastAsia="宋体"/>
          <w:color w:val="auto"/>
          <w:sz w:val="24"/>
          <w:highlight w:val="none"/>
        </w:rPr>
      </w:pPr>
    </w:p>
    <w:p w14:paraId="73B5F411">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p>
    <w:p w14:paraId="144CA916">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p>
    <w:p w14:paraId="39A79AEE">
      <w:pPr>
        <w:widowControl/>
        <w:jc w:val="left"/>
        <w:rPr>
          <w:rFonts w:ascii="宋体" w:hAnsi="宋体" w:eastAsia="宋体"/>
          <w:color w:val="auto"/>
          <w:sz w:val="24"/>
          <w:highlight w:val="none"/>
          <w:u w:val="single"/>
        </w:rPr>
      </w:pPr>
      <w:r>
        <w:rPr>
          <w:rFonts w:ascii="宋体" w:hAnsi="宋体" w:eastAsia="宋体"/>
          <w:color w:val="auto"/>
          <w:sz w:val="24"/>
          <w:highlight w:val="none"/>
          <w:u w:val="single"/>
        </w:rPr>
        <w:br w:type="page"/>
      </w:r>
    </w:p>
    <w:p w14:paraId="2DD5C84E">
      <w:pPr>
        <w:spacing w:line="360" w:lineRule="auto"/>
        <w:jc w:val="center"/>
        <w:outlineLvl w:val="1"/>
        <w:rPr>
          <w:rFonts w:hint="eastAsia" w:asciiTheme="minorEastAsia" w:hAnsiTheme="minorEastAsia" w:eastAsiaTheme="minorEastAsia"/>
          <w:b/>
          <w:color w:val="auto"/>
          <w:sz w:val="24"/>
          <w:highlight w:val="none"/>
        </w:rPr>
      </w:pPr>
      <w:bookmarkStart w:id="211" w:name="_Toc18881"/>
      <w:r>
        <w:rPr>
          <w:rFonts w:hint="eastAsia" w:asciiTheme="minorEastAsia" w:hAnsiTheme="minorEastAsia" w:eastAsiaTheme="minorEastAsia"/>
          <w:b/>
          <w:color w:val="auto"/>
          <w:sz w:val="24"/>
          <w:highlight w:val="none"/>
          <w:lang w:val="en-US" w:eastAsia="zh-CN"/>
        </w:rPr>
        <w:t>三．投标人资格声明书</w:t>
      </w:r>
      <w:bookmarkEnd w:id="211"/>
      <w:r>
        <w:rPr>
          <w:rFonts w:hint="eastAsia" w:asciiTheme="minorEastAsia" w:hAnsiTheme="minorEastAsia" w:eastAsiaTheme="minorEastAsia"/>
          <w:b/>
          <w:color w:val="auto"/>
          <w:sz w:val="24"/>
          <w:highlight w:val="none"/>
          <w:lang w:val="en-US" w:eastAsia="zh-CN"/>
        </w:rPr>
        <w:t xml:space="preserve"> </w:t>
      </w:r>
    </w:p>
    <w:p w14:paraId="1470E986">
      <w:pPr>
        <w:pStyle w:val="13"/>
        <w:spacing w:line="360" w:lineRule="auto"/>
        <w:rPr>
          <w:rFonts w:hint="eastAsia" w:eastAsia="宋体" w:asciiTheme="minorEastAsia" w:hAnsiTheme="minorEastAsia" w:cstheme="minorEastAsia"/>
          <w:color w:val="auto"/>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41778D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在参与本次项目投标中，我单位承诺：</w:t>
      </w:r>
    </w:p>
    <w:p w14:paraId="756892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（一）具有良好的商业信誉和健全的财务会计制度；</w:t>
      </w:r>
    </w:p>
    <w:p w14:paraId="4CFA76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（二）具有履行合同所必需的设备和专业技术能力；</w:t>
      </w:r>
    </w:p>
    <w:p w14:paraId="13EAB6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（三）有依法缴纳税收和社会保障资金的良好记录；</w:t>
      </w:r>
    </w:p>
    <w:p w14:paraId="3F96C1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0EE3F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4E0FD4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bidi="ar"/>
        </w:rPr>
        <w:t>（六）我单位不存在为采购项目提供整体设计、规范编制或者项目管理、监理、检测等服务后，再参加该采购项目的其他采购活动的情形（单一来源采购项目除外）；</w:t>
      </w:r>
    </w:p>
    <w:p w14:paraId="5A2954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（七）与我单位存在单位负责人为同一人或者存在直接控股、管理关系的其他法人单位信息如下（如有，不论其是否参加同一合同项下的政府采购活动均须填写）：</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57C1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BB063C1">
            <w:pPr>
              <w:keepNext w:val="0"/>
              <w:keepLines w:val="0"/>
              <w:pageBreakBefore w:val="0"/>
              <w:widowControl/>
              <w:suppressLineNumbers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序号</w:t>
            </w:r>
          </w:p>
        </w:tc>
        <w:tc>
          <w:tcPr>
            <w:tcW w:w="2841" w:type="dxa"/>
          </w:tcPr>
          <w:p w14:paraId="1419231F">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单位名称</w:t>
            </w:r>
          </w:p>
        </w:tc>
        <w:tc>
          <w:tcPr>
            <w:tcW w:w="2841" w:type="dxa"/>
          </w:tcPr>
          <w:p w14:paraId="2CF9630C">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lang w:val="en-US" w:eastAsia="zh-CN" w:bidi="ar"/>
              </w:rPr>
              <w:t>相互关系</w:t>
            </w:r>
          </w:p>
        </w:tc>
      </w:tr>
      <w:tr w14:paraId="39E5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3ED3143">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vertAlign w:val="baseline"/>
                <w:lang w:val="en-US" w:eastAsia="zh-CN" w:bidi="ar"/>
              </w:rPr>
              <w:t>1</w:t>
            </w:r>
          </w:p>
        </w:tc>
        <w:tc>
          <w:tcPr>
            <w:tcW w:w="2841" w:type="dxa"/>
          </w:tcPr>
          <w:p w14:paraId="21F34B74">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c>
          <w:tcPr>
            <w:tcW w:w="2841" w:type="dxa"/>
          </w:tcPr>
          <w:p w14:paraId="4050F636">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r>
      <w:tr w14:paraId="7CE1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6DADAE2">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default" w:asciiTheme="minorEastAsia" w:hAnsiTheme="minorEastAsia" w:eastAsiaTheme="minorEastAsia" w:cstheme="minorEastAsia"/>
                <w:color w:val="auto"/>
                <w:kern w:val="0"/>
                <w:sz w:val="24"/>
                <w:szCs w:val="24"/>
                <w:highlight w:val="none"/>
                <w:vertAlign w:val="baseline"/>
                <w:lang w:val="en-US" w:eastAsia="zh-CN" w:bidi="ar"/>
              </w:rPr>
            </w:pPr>
            <w:r>
              <w:rPr>
                <w:rFonts w:hint="eastAsia" w:asciiTheme="minorEastAsia" w:hAnsiTheme="minorEastAsia" w:eastAsiaTheme="minorEastAsia" w:cstheme="minorEastAsia"/>
                <w:color w:val="auto"/>
                <w:kern w:val="0"/>
                <w:sz w:val="24"/>
                <w:szCs w:val="24"/>
                <w:highlight w:val="none"/>
                <w:vertAlign w:val="baseline"/>
                <w:lang w:val="en-US" w:eastAsia="zh-CN" w:bidi="ar"/>
              </w:rPr>
              <w:t>2</w:t>
            </w:r>
          </w:p>
        </w:tc>
        <w:tc>
          <w:tcPr>
            <w:tcW w:w="2841" w:type="dxa"/>
          </w:tcPr>
          <w:p w14:paraId="3CA36E8A">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c>
          <w:tcPr>
            <w:tcW w:w="2841" w:type="dxa"/>
          </w:tcPr>
          <w:p w14:paraId="751CD7DB">
            <w:pPr>
              <w:pStyle w:val="8"/>
              <w:keepNext w:val="0"/>
              <w:keepLines w:val="0"/>
              <w:pageBreakBefore w:val="0"/>
              <w:kinsoku/>
              <w:wordWrap/>
              <w:overflowPunct/>
              <w:topLinePunct w:val="0"/>
              <w:autoSpaceDE/>
              <w:autoSpaceDN/>
              <w:bidi w:val="0"/>
              <w:adjustRightInd/>
              <w:snapToGrid/>
              <w:spacing w:before="0" w:beforeLines="50" w:after="10" w:line="240" w:lineRule="auto"/>
              <w:jc w:val="center"/>
              <w:textAlignment w:val="auto"/>
              <w:rPr>
                <w:rFonts w:hint="eastAsia" w:asciiTheme="minorEastAsia" w:hAnsiTheme="minorEastAsia" w:eastAsiaTheme="minorEastAsia" w:cstheme="minorEastAsia"/>
                <w:color w:val="auto"/>
                <w:kern w:val="0"/>
                <w:sz w:val="24"/>
                <w:szCs w:val="24"/>
                <w:highlight w:val="none"/>
                <w:vertAlign w:val="baseline"/>
                <w:lang w:val="en-US" w:eastAsia="zh-CN" w:bidi="ar"/>
              </w:rPr>
            </w:pPr>
          </w:p>
        </w:tc>
      </w:tr>
    </w:tbl>
    <w:p w14:paraId="3E27857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16DF782D">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2AF91427">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1993F213">
      <w:pPr>
        <w:rPr>
          <w:rFonts w:hint="eastAsia" w:asciiTheme="minorEastAsia" w:hAnsiTheme="minorEastAsia" w:eastAsiaTheme="minorEastAsia"/>
          <w:b/>
          <w:color w:val="auto"/>
          <w:sz w:val="24"/>
          <w:highlight w:val="none"/>
        </w:rPr>
      </w:pPr>
      <w:bookmarkStart w:id="212" w:name="_Toc11607"/>
      <w:r>
        <w:rPr>
          <w:rFonts w:hint="eastAsia" w:asciiTheme="minorEastAsia" w:hAnsiTheme="minorEastAsia" w:eastAsiaTheme="minorEastAsia"/>
          <w:b/>
          <w:color w:val="auto"/>
          <w:sz w:val="24"/>
          <w:highlight w:val="none"/>
        </w:rPr>
        <w:br w:type="page"/>
      </w:r>
    </w:p>
    <w:p w14:paraId="54A4C2E9">
      <w:pPr>
        <w:spacing w:line="360" w:lineRule="auto"/>
        <w:jc w:val="center"/>
        <w:outlineLvl w:val="1"/>
        <w:rPr>
          <w:rFonts w:asciiTheme="minorEastAsia" w:hAnsiTheme="minorEastAsia" w:eastAsiaTheme="minorEastAsia"/>
          <w:b/>
          <w:color w:val="auto"/>
          <w:sz w:val="24"/>
          <w:highlight w:val="none"/>
        </w:rPr>
      </w:pPr>
      <w:bookmarkStart w:id="213" w:name="_Toc24583"/>
      <w:r>
        <w:rPr>
          <w:rFonts w:hint="eastAsia" w:asciiTheme="minorEastAsia" w:hAnsiTheme="minorEastAsia" w:eastAsiaTheme="minorEastAsia"/>
          <w:b/>
          <w:color w:val="auto"/>
          <w:sz w:val="24"/>
          <w:highlight w:val="none"/>
        </w:rPr>
        <w:t>四、授权书</w:t>
      </w:r>
      <w:bookmarkEnd w:id="212"/>
      <w:bookmarkEnd w:id="213"/>
    </w:p>
    <w:p w14:paraId="79ED74C6">
      <w:pPr>
        <w:pStyle w:val="12"/>
        <w:snapToGrid w:val="0"/>
        <w:spacing w:line="360" w:lineRule="auto"/>
        <w:ind w:firstLine="480" w:firstLineChars="200"/>
        <w:jc w:val="left"/>
        <w:rPr>
          <w:rFonts w:hAnsi="宋体" w:eastAsia="宋体"/>
          <w:color w:val="auto"/>
          <w:sz w:val="24"/>
          <w:szCs w:val="28"/>
          <w:highlight w:val="none"/>
        </w:rPr>
      </w:pPr>
    </w:p>
    <w:p w14:paraId="5F522437">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eastAsia="宋体"/>
          <w:color w:val="auto"/>
          <w:sz w:val="24"/>
          <w:szCs w:val="28"/>
          <w:highlight w:val="none"/>
        </w:rPr>
        <w:t>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（投标人授权代表姓名）代表我方参加本项目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624553D2">
      <w:pPr>
        <w:spacing w:line="360" w:lineRule="auto"/>
        <w:ind w:firstLine="435"/>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1AD19E9C">
      <w:pPr>
        <w:spacing w:line="360" w:lineRule="auto"/>
        <w:ind w:firstLine="435"/>
        <w:rPr>
          <w:rFonts w:hAnsi="宋体" w:eastAsia="宋体"/>
          <w:color w:val="auto"/>
          <w:sz w:val="24"/>
          <w:highlight w:val="none"/>
        </w:rPr>
      </w:pPr>
      <w:r>
        <w:rPr>
          <w:rFonts w:hint="eastAsia" w:hAnsi="宋体" w:eastAsia="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eastAsia="宋体"/>
          <w:color w:val="auto"/>
          <w:sz w:val="24"/>
          <w:highlight w:val="none"/>
        </w:rPr>
        <w:t>身份证明扫描件：</w:t>
      </w:r>
    </w:p>
    <w:p w14:paraId="3FF74B93">
      <w:pPr>
        <w:spacing w:line="360" w:lineRule="auto"/>
        <w:ind w:firstLine="435"/>
        <w:rPr>
          <w:rFonts w:asciiTheme="minorEastAsia" w:hAnsiTheme="minorEastAsia" w:eastAsiaTheme="minorEastAsia"/>
          <w:color w:val="auto"/>
          <w:sz w:val="24"/>
          <w:highlight w:val="none"/>
        </w:rPr>
      </w:pPr>
    </w:p>
    <w:p w14:paraId="0F399850">
      <w:pPr>
        <w:spacing w:line="360" w:lineRule="auto"/>
        <w:ind w:firstLine="435"/>
        <w:rPr>
          <w:rFonts w:asciiTheme="minorEastAsia" w:hAnsiTheme="minorEastAsia" w:eastAsiaTheme="minorEastAsia"/>
          <w:color w:val="auto"/>
          <w:sz w:val="24"/>
          <w:highlight w:val="none"/>
        </w:rPr>
      </w:pPr>
    </w:p>
    <w:p w14:paraId="776598C0">
      <w:pPr>
        <w:spacing w:line="360" w:lineRule="auto"/>
        <w:ind w:firstLine="435"/>
        <w:rPr>
          <w:rFonts w:asciiTheme="minorEastAsia" w:hAnsiTheme="minorEastAsia" w:eastAsiaTheme="minorEastAsia"/>
          <w:color w:val="auto"/>
          <w:sz w:val="24"/>
          <w:highlight w:val="none"/>
        </w:rPr>
      </w:pPr>
    </w:p>
    <w:p w14:paraId="123D485F">
      <w:pPr>
        <w:spacing w:line="360" w:lineRule="auto"/>
        <w:ind w:firstLine="435"/>
        <w:rPr>
          <w:rFonts w:hAnsi="宋体" w:eastAsia="宋体"/>
          <w:color w:val="auto"/>
          <w:sz w:val="24"/>
          <w:szCs w:val="28"/>
          <w:highlight w:val="none"/>
          <w:u w:val="single"/>
          <w:lang w:val="zh-CN"/>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177779EF">
      <w:pPr>
        <w:spacing w:line="360" w:lineRule="auto"/>
        <w:ind w:firstLine="435"/>
        <w:rPr>
          <w:rFonts w:hAnsi="宋体" w:eastAsia="宋体"/>
          <w:color w:val="auto"/>
          <w:sz w:val="24"/>
          <w:szCs w:val="28"/>
          <w:highlight w:val="none"/>
          <w:lang w:val="zh-CN"/>
        </w:rPr>
      </w:pPr>
    </w:p>
    <w:p w14:paraId="4CA7E01C">
      <w:pPr>
        <w:spacing w:line="360" w:lineRule="auto"/>
        <w:ind w:firstLine="435"/>
        <w:rPr>
          <w:rFonts w:ascii="宋体" w:hAnsi="宋体" w:eastAsia="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eastAsia="宋体"/>
          <w:color w:val="auto"/>
          <w:sz w:val="24"/>
          <w:szCs w:val="28"/>
          <w:highlight w:val="none"/>
        </w:rPr>
        <w:t>声明。</w:t>
      </w:r>
    </w:p>
    <w:p w14:paraId="4CEAB8C5">
      <w:pPr>
        <w:spacing w:line="360" w:lineRule="auto"/>
        <w:rPr>
          <w:rFonts w:ascii="宋体" w:hAnsi="宋体" w:eastAsia="宋体"/>
          <w:color w:val="auto"/>
          <w:sz w:val="24"/>
          <w:szCs w:val="28"/>
          <w:highlight w:val="none"/>
        </w:rPr>
      </w:pPr>
    </w:p>
    <w:p w14:paraId="503C7A11">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154D925B">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3752C2DD">
      <w:pP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w:t>
      </w:r>
    </w:p>
    <w:p w14:paraId="77E46EE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1.本项目只允许有唯一的投标人授权代表，提供身份证明扫描件；</w:t>
      </w:r>
    </w:p>
    <w:p w14:paraId="7F490E7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2.法定代表人参加投标的无需提供授权书，提供身份证明扫描件。</w:t>
      </w:r>
    </w:p>
    <w:p w14:paraId="654C1F90">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4D4AAF3B">
      <w:pPr>
        <w:spacing w:line="360" w:lineRule="auto"/>
        <w:jc w:val="center"/>
        <w:outlineLvl w:val="1"/>
        <w:rPr>
          <w:rFonts w:hint="eastAsia" w:ascii="宋体" w:hAnsi="宋体" w:eastAsia="宋体" w:cs="宋体"/>
          <w:b/>
          <w:color w:val="auto"/>
          <w:sz w:val="24"/>
          <w:highlight w:val="none"/>
        </w:rPr>
      </w:pPr>
      <w:bookmarkStart w:id="214" w:name="_Toc32226"/>
      <w:bookmarkStart w:id="215" w:name="_Toc31027"/>
      <w:r>
        <w:rPr>
          <w:rFonts w:hint="eastAsia" w:asciiTheme="minorEastAsia" w:hAnsiTheme="minorEastAsia" w:eastAsiaTheme="minorEastAsia"/>
          <w:b/>
          <w:color w:val="auto"/>
          <w:sz w:val="24"/>
          <w:highlight w:val="none"/>
        </w:rPr>
        <w:t>五、</w:t>
      </w:r>
      <w:r>
        <w:rPr>
          <w:rFonts w:hint="eastAsia" w:ascii="宋体" w:hAnsi="宋体" w:eastAsia="宋体" w:cs="宋体"/>
          <w:b/>
          <w:color w:val="auto"/>
          <w:sz w:val="24"/>
          <w:highlight w:val="none"/>
        </w:rPr>
        <w:t>诚信投标承诺书</w:t>
      </w:r>
    </w:p>
    <w:p w14:paraId="25B89C88">
      <w:pPr>
        <w:spacing w:line="5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本人以企业法定代表人的身份郑重承诺：</w:t>
      </w:r>
    </w:p>
    <w:p w14:paraId="471FB144">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一、将遵循公开、公正和诚实信用的原则自愿参加项目的投标，所提供的一切材料都是真实、有效、合法的；</w:t>
      </w:r>
    </w:p>
    <w:p w14:paraId="716308F8">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170E27A5">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三、不出借、转让资质证书，不让他人挂靠投标，不以他人名义投标或者以其他方式弄虚作假，骗取中标；</w:t>
      </w:r>
    </w:p>
    <w:p w14:paraId="2BA6A371">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四、不与其他投标人相互串通投标报价，不排挤其他投标人的公平竞争、损害招标人的合法权益；</w:t>
      </w:r>
    </w:p>
    <w:p w14:paraId="4F3E7BEE">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五、不与招标人、招标代理机构或其他投标人串通投标，损害国家利益、社会公共利益或者他人的合法权益；</w:t>
      </w:r>
    </w:p>
    <w:p w14:paraId="4537889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w:t>
      </w:r>
      <w:r>
        <w:rPr>
          <w:rFonts w:hint="eastAsia" w:ascii="宋体" w:hAnsi="宋体" w:eastAsia="宋体" w:cs="宋体"/>
          <w:color w:val="auto"/>
          <w:kern w:val="2"/>
          <w:sz w:val="21"/>
          <w:szCs w:val="21"/>
          <w:highlight w:val="none"/>
          <w:u w:val="single"/>
          <w:lang w:val="en-US" w:eastAsia="zh-CN" w:bidi="ar"/>
        </w:rPr>
        <w:t>（企业名称）</w:t>
      </w:r>
      <w:r>
        <w:rPr>
          <w:rFonts w:hint="eastAsia" w:ascii="宋体" w:hAnsi="宋体" w:eastAsia="宋体" w:cs="宋体"/>
          <w:color w:val="auto"/>
          <w:kern w:val="2"/>
          <w:sz w:val="21"/>
          <w:szCs w:val="21"/>
          <w:highlight w:val="none"/>
          <w:lang w:val="en-US" w:eastAsia="zh-CN" w:bidi="ar"/>
        </w:rPr>
        <w:t>或</w:t>
      </w:r>
      <w:r>
        <w:rPr>
          <w:rFonts w:hint="eastAsia" w:ascii="宋体" w:hAnsi="宋体" w:eastAsia="宋体" w:cs="宋体"/>
          <w:color w:val="auto"/>
          <w:kern w:val="2"/>
          <w:sz w:val="21"/>
          <w:szCs w:val="21"/>
          <w:highlight w:val="none"/>
          <w:u w:val="single"/>
          <w:lang w:val="en-US" w:eastAsia="zh-CN" w:bidi="ar"/>
        </w:rPr>
        <w:t>（企业名称）</w:t>
      </w:r>
      <w:r>
        <w:rPr>
          <w:rFonts w:hint="eastAsia" w:ascii="宋体" w:hAnsi="宋体" w:eastAsia="宋体" w:cs="宋体"/>
          <w:color w:val="auto"/>
          <w:kern w:val="2"/>
          <w:sz w:val="21"/>
          <w:szCs w:val="21"/>
          <w:highlight w:val="none"/>
          <w:lang w:val="en-US" w:eastAsia="zh-CN" w:bidi="ar"/>
        </w:rPr>
        <w:t>法定代表人或拟派项目经理（负责人）没有下列情形：①被列入“信用中国”网站“失信被执行人”的；②被列入“信用中国”网站“重大税收违法失信主体”的；③被列入“信用中国”网站“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58D5EDD5">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、严格遵守开标现场纪律，服从监管人员管理；</w:t>
      </w:r>
    </w:p>
    <w:p w14:paraId="74E441B8">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、保证中标后不转包，若有分包征得招标人同意；</w:t>
      </w:r>
    </w:p>
    <w:p w14:paraId="5A85D41A">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九</w:t>
      </w:r>
      <w:r>
        <w:rPr>
          <w:rFonts w:hint="eastAsia" w:ascii="宋体" w:hAnsi="宋体" w:eastAsia="宋体" w:cs="宋体"/>
          <w:color w:val="auto"/>
          <w:szCs w:val="21"/>
          <w:highlight w:val="none"/>
        </w:rPr>
        <w:t>、保证中标之后，按照投标文件要求提供相关后续服务；</w:t>
      </w:r>
    </w:p>
    <w:p w14:paraId="27DF9932">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十、保证企业及所属相关人员在本次投标中无行贿等犯罪行为；</w:t>
      </w:r>
    </w:p>
    <w:p w14:paraId="5B4BCFBE">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w:t>
      </w: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25BC9A9F">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以上内容我已仔细阅读，本公司若有违反承诺内容的行为，自愿接受取消投标或者中标资格、记入不良行为记录等有关处理，愿意承担法律责任，给招标人造成损失的，依法承担赔偿责任。</w:t>
      </w:r>
    </w:p>
    <w:p w14:paraId="1A33A824">
      <w:pPr>
        <w:spacing w:line="500" w:lineRule="exact"/>
        <w:ind w:firstLine="420" w:firstLineChars="200"/>
        <w:rPr>
          <w:rFonts w:hint="eastAsia" w:ascii="宋体" w:hAnsi="宋体" w:eastAsia="宋体" w:cs="宋体"/>
          <w:color w:val="auto"/>
          <w:szCs w:val="21"/>
          <w:highlight w:val="none"/>
          <w:lang w:eastAsia="zh-CN"/>
        </w:rPr>
      </w:pPr>
    </w:p>
    <w:p w14:paraId="719B214E">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开户银行：基本账户：</w:t>
      </w:r>
    </w:p>
    <w:p w14:paraId="46BBC7CE">
      <w:pPr>
        <w:spacing w:line="5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投标单位（签章）：法定代表人（签章）：</w:t>
      </w:r>
    </w:p>
    <w:p w14:paraId="606FD9D0">
      <w:pPr>
        <w:spacing w:line="500" w:lineRule="exact"/>
        <w:ind w:firstLine="420" w:firstLineChars="200"/>
        <w:rPr>
          <w:rFonts w:hint="eastAsia" w:ascii="宋体" w:hAnsi="宋体" w:eastAsia="宋体" w:cs="宋体"/>
          <w:color w:val="auto"/>
          <w:szCs w:val="21"/>
          <w:highlight w:val="none"/>
          <w:lang w:eastAsia="zh-CN"/>
        </w:rPr>
      </w:pPr>
    </w:p>
    <w:p w14:paraId="7E8E98CC">
      <w:pPr>
        <w:widowControl/>
        <w:jc w:val="right"/>
        <w:rPr>
          <w:rFonts w:hint="eastAsia" w:ascii="宋体" w:hAnsi="宋体" w:eastAsia="宋体" w:cs="宋体"/>
          <w:b/>
          <w:color w:val="auto"/>
          <w:sz w:val="28"/>
          <w:highlight w:val="none"/>
          <w:lang w:val="en-US" w:eastAsia="zh-CN"/>
        </w:rPr>
      </w:pPr>
      <w:r>
        <w:rPr>
          <w:rFonts w:hint="eastAsia" w:ascii="宋体" w:hAnsi="宋体" w:eastAsia="宋体" w:cs="宋体"/>
          <w:color w:val="auto"/>
          <w:szCs w:val="21"/>
          <w:highlight w:val="none"/>
        </w:rPr>
        <w:t>日期：年月</w:t>
      </w:r>
      <w:r>
        <w:rPr>
          <w:rFonts w:hint="eastAsia" w:ascii="宋体" w:hAnsi="宋体" w:eastAsia="宋体" w:cs="宋体"/>
          <w:color w:val="auto"/>
          <w:szCs w:val="21"/>
          <w:highlight w:val="none"/>
          <w:lang w:val="en-US" w:eastAsia="zh-CN"/>
        </w:rPr>
        <w:t>日</w:t>
      </w:r>
    </w:p>
    <w:p w14:paraId="199F23E7">
      <w:pP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br w:type="page"/>
      </w:r>
    </w:p>
    <w:p w14:paraId="2CEF4DF8">
      <w:pPr>
        <w:spacing w:line="360" w:lineRule="auto"/>
        <w:jc w:val="center"/>
        <w:outlineLvl w:val="1"/>
        <w:rPr>
          <w:rFonts w:hint="eastAsia" w:asciiTheme="minorEastAsia" w:hAnsiTheme="minorEastAsia" w:eastAsiaTheme="minorEastAsia"/>
          <w:b/>
          <w:color w:val="auto"/>
          <w:sz w:val="24"/>
          <w:highlight w:val="none"/>
          <w:lang w:eastAsia="zh-CN"/>
        </w:rPr>
      </w:pPr>
      <w:r>
        <w:rPr>
          <w:rFonts w:hint="eastAsia" w:asciiTheme="minorEastAsia" w:hAnsiTheme="minorEastAsia" w:eastAsiaTheme="minorEastAsia"/>
          <w:b/>
          <w:color w:val="auto"/>
          <w:sz w:val="24"/>
          <w:highlight w:val="none"/>
          <w:lang w:val="en-US" w:eastAsia="zh-CN"/>
        </w:rPr>
        <w:t>六、</w:t>
      </w:r>
      <w:r>
        <w:rPr>
          <w:rFonts w:hint="eastAsia" w:asciiTheme="minorEastAsia" w:hAnsiTheme="minorEastAsia" w:eastAsiaTheme="minorEastAsia"/>
          <w:b/>
          <w:color w:val="auto"/>
          <w:sz w:val="24"/>
          <w:highlight w:val="none"/>
        </w:rPr>
        <w:t>投标分项报价表</w:t>
      </w:r>
      <w:bookmarkEnd w:id="214"/>
      <w:bookmarkEnd w:id="215"/>
      <w:r>
        <w:rPr>
          <w:rFonts w:hint="eastAsia" w:asciiTheme="minorEastAsia" w:hAnsiTheme="minorEastAsia" w:eastAsiaTheme="minorEastAsia"/>
          <w:b/>
          <w:color w:val="0000FF"/>
          <w:sz w:val="24"/>
          <w:highlight w:val="yellow"/>
          <w:lang w:eastAsia="zh-CN"/>
        </w:rPr>
        <w:t>（</w:t>
      </w:r>
      <w:r>
        <w:rPr>
          <w:rFonts w:hint="eastAsia" w:asciiTheme="minorEastAsia" w:hAnsiTheme="minorEastAsia" w:eastAsiaTheme="minorEastAsia"/>
          <w:b/>
          <w:color w:val="0000FF"/>
          <w:sz w:val="24"/>
          <w:highlight w:val="yellow"/>
          <w:lang w:val="en-US" w:eastAsia="zh-CN"/>
        </w:rPr>
        <w:t>本项目不采用</w:t>
      </w:r>
      <w:r>
        <w:rPr>
          <w:rFonts w:hint="eastAsia" w:asciiTheme="minorEastAsia" w:hAnsiTheme="minorEastAsia" w:eastAsiaTheme="minorEastAsia"/>
          <w:b/>
          <w:color w:val="0000FF"/>
          <w:sz w:val="24"/>
          <w:highlight w:val="yellow"/>
          <w:lang w:eastAsia="zh-CN"/>
        </w:rPr>
        <w:t>）</w:t>
      </w:r>
    </w:p>
    <w:p w14:paraId="7BFA8A4B">
      <w:pPr>
        <w:pStyle w:val="50"/>
        <w:jc w:val="left"/>
        <w:rPr>
          <w:rFonts w:hint="default" w:ascii="宋体" w:hAnsi="宋体" w:eastAsia="宋体"/>
          <w:b/>
          <w:bCs/>
          <w:color w:val="auto"/>
          <w:highlight w:val="none"/>
          <w:lang w:val="en-US" w:eastAsia="zh-CN"/>
        </w:rPr>
      </w:pPr>
      <w:r>
        <w:rPr>
          <w:rFonts w:hint="eastAsia" w:ascii="宋体" w:hAnsi="宋体" w:eastAsia="宋体"/>
          <w:b/>
          <w:bCs/>
          <w:color w:val="auto"/>
          <w:highlight w:val="none"/>
          <w:lang w:val="en-US" w:eastAsia="zh-CN"/>
        </w:rPr>
        <w:t>5-1货物部分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323"/>
        <w:gridCol w:w="1316"/>
        <w:gridCol w:w="1316"/>
        <w:gridCol w:w="672"/>
        <w:gridCol w:w="672"/>
        <w:gridCol w:w="940"/>
        <w:gridCol w:w="940"/>
        <w:gridCol w:w="670"/>
      </w:tblGrid>
      <w:tr w14:paraId="29F8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noWrap w:val="0"/>
            <w:vAlign w:val="center"/>
          </w:tcPr>
          <w:p w14:paraId="02EB3403">
            <w:pPr>
              <w:pStyle w:val="42"/>
              <w:widowControl w:val="0"/>
              <w:spacing w:before="0" w:beforeAutospacing="0" w:after="0" w:afterAutospacing="0"/>
              <w:rPr>
                <w:rFonts w:ascii="宋体" w:hAnsi="宋体" w:eastAsia="宋体"/>
                <w:bCs w:val="0"/>
                <w:color w:val="auto"/>
                <w:kern w:val="2"/>
                <w:sz w:val="24"/>
                <w:szCs w:val="20"/>
                <w:highlight w:val="none"/>
              </w:rPr>
            </w:pPr>
            <w:r>
              <w:rPr>
                <w:rFonts w:hint="eastAsia" w:ascii="宋体" w:hAnsi="宋体" w:eastAsia="宋体"/>
                <w:bCs w:val="0"/>
                <w:color w:val="auto"/>
                <w:kern w:val="2"/>
                <w:sz w:val="24"/>
                <w:szCs w:val="20"/>
                <w:highlight w:val="none"/>
              </w:rPr>
              <w:t>序号</w:t>
            </w:r>
          </w:p>
        </w:tc>
        <w:tc>
          <w:tcPr>
            <w:tcW w:w="776" w:type="pct"/>
            <w:noWrap w:val="0"/>
            <w:vAlign w:val="center"/>
          </w:tcPr>
          <w:p w14:paraId="73FB9F55">
            <w:pPr>
              <w:jc w:val="center"/>
              <w:rPr>
                <w:rFonts w:ascii="宋体" w:hAnsi="宋体" w:eastAsia="宋体"/>
                <w:b/>
                <w:color w:val="auto"/>
                <w:sz w:val="24"/>
                <w:highlight w:val="none"/>
              </w:rPr>
            </w:pPr>
            <w:r>
              <w:rPr>
                <w:rFonts w:hint="eastAsia" w:ascii="宋体" w:hAnsi="宋体" w:eastAsia="宋体"/>
                <w:b/>
                <w:color w:val="auto"/>
                <w:sz w:val="24"/>
                <w:highlight w:val="none"/>
              </w:rPr>
              <w:t>货物名称</w:t>
            </w:r>
          </w:p>
        </w:tc>
        <w:tc>
          <w:tcPr>
            <w:tcW w:w="772" w:type="pct"/>
            <w:noWrap w:val="0"/>
            <w:vAlign w:val="center"/>
          </w:tcPr>
          <w:p w14:paraId="74F9288A">
            <w:pPr>
              <w:jc w:val="center"/>
              <w:rPr>
                <w:rFonts w:ascii="宋体" w:hAnsi="宋体" w:eastAsia="宋体"/>
                <w:b/>
                <w:color w:val="auto"/>
                <w:sz w:val="24"/>
                <w:highlight w:val="none"/>
              </w:rPr>
            </w:pPr>
            <w:r>
              <w:rPr>
                <w:rFonts w:hint="eastAsia" w:ascii="宋体" w:hAnsi="宋体" w:eastAsia="宋体"/>
                <w:b/>
                <w:color w:val="auto"/>
                <w:sz w:val="24"/>
                <w:highlight w:val="none"/>
              </w:rPr>
              <w:t>品牌、型</w:t>
            </w:r>
          </w:p>
          <w:p w14:paraId="75AB3D77">
            <w:pPr>
              <w:jc w:val="center"/>
              <w:rPr>
                <w:rFonts w:ascii="宋体" w:hAnsi="宋体" w:eastAsia="宋体"/>
                <w:b/>
                <w:color w:val="auto"/>
                <w:sz w:val="24"/>
                <w:highlight w:val="none"/>
              </w:rPr>
            </w:pPr>
            <w:r>
              <w:rPr>
                <w:rFonts w:hint="eastAsia" w:ascii="宋体" w:hAnsi="宋体" w:eastAsia="宋体"/>
                <w:b/>
                <w:color w:val="auto"/>
                <w:sz w:val="24"/>
                <w:highlight w:val="none"/>
              </w:rPr>
              <w:t>号规格</w:t>
            </w:r>
          </w:p>
        </w:tc>
        <w:tc>
          <w:tcPr>
            <w:tcW w:w="772" w:type="pct"/>
            <w:noWrap w:val="0"/>
            <w:vAlign w:val="center"/>
          </w:tcPr>
          <w:p w14:paraId="3FC9B9D4">
            <w:pPr>
              <w:jc w:val="center"/>
              <w:rPr>
                <w:rFonts w:ascii="宋体" w:hAnsi="宋体" w:eastAsia="宋体"/>
                <w:b/>
                <w:color w:val="auto"/>
                <w:sz w:val="24"/>
                <w:highlight w:val="none"/>
              </w:rPr>
            </w:pPr>
            <w:r>
              <w:rPr>
                <w:rFonts w:hint="eastAsia" w:ascii="宋体" w:hAnsi="宋体" w:eastAsia="宋体"/>
                <w:b/>
                <w:color w:val="auto"/>
                <w:sz w:val="24"/>
                <w:highlight w:val="none"/>
              </w:rPr>
              <w:t>原产地及</w:t>
            </w:r>
          </w:p>
          <w:p w14:paraId="69A6F33E">
            <w:pPr>
              <w:jc w:val="center"/>
              <w:rPr>
                <w:rFonts w:ascii="宋体" w:hAnsi="宋体" w:eastAsia="宋体"/>
                <w:b/>
                <w:color w:val="auto"/>
                <w:sz w:val="24"/>
                <w:highlight w:val="none"/>
              </w:rPr>
            </w:pPr>
            <w:r>
              <w:rPr>
                <w:rFonts w:hint="eastAsia" w:ascii="宋体" w:hAnsi="宋体" w:eastAsia="宋体"/>
                <w:b/>
                <w:color w:val="auto"/>
                <w:sz w:val="24"/>
                <w:highlight w:val="none"/>
              </w:rPr>
              <w:t>生产厂商</w:t>
            </w:r>
          </w:p>
        </w:tc>
        <w:tc>
          <w:tcPr>
            <w:tcW w:w="394" w:type="pct"/>
            <w:noWrap w:val="0"/>
            <w:vAlign w:val="center"/>
          </w:tcPr>
          <w:p w14:paraId="5E220F61">
            <w:pPr>
              <w:jc w:val="center"/>
              <w:rPr>
                <w:rFonts w:ascii="宋体" w:hAnsi="宋体" w:eastAsia="宋体"/>
                <w:b/>
                <w:color w:val="auto"/>
                <w:sz w:val="24"/>
                <w:highlight w:val="none"/>
              </w:rPr>
            </w:pPr>
            <w:r>
              <w:rPr>
                <w:rFonts w:hint="eastAsia" w:ascii="宋体" w:hAnsi="宋体" w:eastAsia="宋体"/>
                <w:b/>
                <w:color w:val="auto"/>
                <w:sz w:val="24"/>
                <w:highlight w:val="none"/>
              </w:rPr>
              <w:t>单位</w:t>
            </w:r>
          </w:p>
        </w:tc>
        <w:tc>
          <w:tcPr>
            <w:tcW w:w="394" w:type="pct"/>
            <w:noWrap w:val="0"/>
            <w:vAlign w:val="center"/>
          </w:tcPr>
          <w:p w14:paraId="320CC90F">
            <w:pPr>
              <w:jc w:val="center"/>
              <w:rPr>
                <w:rFonts w:ascii="宋体" w:hAnsi="宋体" w:eastAsia="宋体"/>
                <w:b/>
                <w:color w:val="auto"/>
                <w:sz w:val="24"/>
                <w:highlight w:val="none"/>
              </w:rPr>
            </w:pPr>
            <w:r>
              <w:rPr>
                <w:rFonts w:hint="eastAsia" w:ascii="宋体" w:hAnsi="宋体" w:eastAsia="宋体"/>
                <w:b/>
                <w:color w:val="auto"/>
                <w:sz w:val="24"/>
                <w:highlight w:val="none"/>
              </w:rPr>
              <w:t>数量</w:t>
            </w:r>
          </w:p>
        </w:tc>
        <w:tc>
          <w:tcPr>
            <w:tcW w:w="551" w:type="pct"/>
            <w:noWrap w:val="0"/>
            <w:vAlign w:val="center"/>
          </w:tcPr>
          <w:p w14:paraId="57B37F39">
            <w:pPr>
              <w:jc w:val="center"/>
              <w:rPr>
                <w:rFonts w:ascii="宋体" w:hAnsi="宋体" w:eastAsia="宋体"/>
                <w:b/>
                <w:color w:val="auto"/>
                <w:sz w:val="24"/>
                <w:highlight w:val="none"/>
              </w:rPr>
            </w:pPr>
            <w:r>
              <w:rPr>
                <w:rFonts w:hint="eastAsia" w:ascii="宋体" w:hAnsi="宋体" w:eastAsia="宋体"/>
                <w:b/>
                <w:color w:val="auto"/>
                <w:sz w:val="24"/>
                <w:highlight w:val="none"/>
              </w:rPr>
              <w:t>单价</w:t>
            </w:r>
          </w:p>
          <w:p w14:paraId="39894848">
            <w:pPr>
              <w:jc w:val="center"/>
              <w:rPr>
                <w:rFonts w:ascii="宋体" w:hAnsi="宋体" w:eastAsia="宋体"/>
                <w:b/>
                <w:color w:val="auto"/>
                <w:sz w:val="24"/>
                <w:highlight w:val="none"/>
              </w:rPr>
            </w:pPr>
            <w:r>
              <w:rPr>
                <w:rFonts w:hint="eastAsia" w:ascii="宋体" w:hAnsi="宋体" w:eastAsia="宋体"/>
                <w:b/>
                <w:color w:val="auto"/>
                <w:sz w:val="24"/>
                <w:highlight w:val="none"/>
              </w:rPr>
              <w:t>（元）</w:t>
            </w:r>
          </w:p>
        </w:tc>
        <w:tc>
          <w:tcPr>
            <w:tcW w:w="551" w:type="pct"/>
            <w:noWrap w:val="0"/>
            <w:vAlign w:val="center"/>
          </w:tcPr>
          <w:p w14:paraId="3425285D">
            <w:pPr>
              <w:jc w:val="center"/>
              <w:rPr>
                <w:rFonts w:ascii="宋体" w:hAnsi="宋体" w:eastAsia="宋体"/>
                <w:b/>
                <w:color w:val="auto"/>
                <w:sz w:val="24"/>
                <w:highlight w:val="none"/>
              </w:rPr>
            </w:pPr>
            <w:r>
              <w:rPr>
                <w:rFonts w:hint="eastAsia" w:ascii="宋体" w:hAnsi="宋体" w:eastAsia="宋体"/>
                <w:b/>
                <w:color w:val="auto"/>
                <w:sz w:val="24"/>
                <w:highlight w:val="none"/>
              </w:rPr>
              <w:t>小计</w:t>
            </w:r>
          </w:p>
          <w:p w14:paraId="57010817">
            <w:pPr>
              <w:jc w:val="center"/>
              <w:rPr>
                <w:rFonts w:ascii="宋体" w:hAnsi="宋体" w:eastAsia="宋体"/>
                <w:b/>
                <w:color w:val="auto"/>
                <w:sz w:val="24"/>
                <w:highlight w:val="none"/>
              </w:rPr>
            </w:pPr>
            <w:r>
              <w:rPr>
                <w:rFonts w:hint="eastAsia" w:ascii="宋体" w:hAnsi="宋体" w:eastAsia="宋体"/>
                <w:b/>
                <w:color w:val="auto"/>
                <w:sz w:val="24"/>
                <w:highlight w:val="none"/>
              </w:rPr>
              <w:t>（元）</w:t>
            </w:r>
          </w:p>
        </w:tc>
        <w:tc>
          <w:tcPr>
            <w:tcW w:w="393" w:type="pct"/>
            <w:noWrap w:val="0"/>
            <w:vAlign w:val="center"/>
          </w:tcPr>
          <w:p w14:paraId="47A63804">
            <w:pPr>
              <w:jc w:val="center"/>
              <w:rPr>
                <w:rFonts w:ascii="宋体" w:hAnsi="宋体" w:eastAsia="宋体"/>
                <w:b/>
                <w:color w:val="auto"/>
                <w:sz w:val="24"/>
                <w:highlight w:val="none"/>
              </w:rPr>
            </w:pPr>
            <w:r>
              <w:rPr>
                <w:rFonts w:hint="eastAsia" w:ascii="宋体" w:hAnsi="宋体" w:eastAsia="宋体"/>
                <w:b/>
                <w:color w:val="auto"/>
                <w:sz w:val="24"/>
                <w:highlight w:val="none"/>
              </w:rPr>
              <w:t>备注</w:t>
            </w:r>
          </w:p>
        </w:tc>
      </w:tr>
      <w:tr w14:paraId="7492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Borders>
              <w:bottom w:val="single" w:color="auto" w:sz="4" w:space="0"/>
            </w:tcBorders>
            <w:noWrap w:val="0"/>
            <w:vAlign w:val="top"/>
          </w:tcPr>
          <w:p w14:paraId="081E0F3E">
            <w:pPr>
              <w:jc w:val="center"/>
              <w:rPr>
                <w:rFonts w:ascii="宋体" w:hAnsi="宋体" w:eastAsia="宋体"/>
                <w:color w:val="auto"/>
                <w:sz w:val="24"/>
                <w:highlight w:val="none"/>
              </w:rPr>
            </w:pPr>
            <w:r>
              <w:rPr>
                <w:rFonts w:hint="eastAsia" w:ascii="宋体" w:hAnsi="宋体" w:eastAsia="宋体"/>
                <w:color w:val="auto"/>
                <w:sz w:val="24"/>
                <w:highlight w:val="none"/>
              </w:rPr>
              <w:t>1</w:t>
            </w:r>
          </w:p>
        </w:tc>
        <w:tc>
          <w:tcPr>
            <w:tcW w:w="776" w:type="pct"/>
            <w:noWrap w:val="0"/>
            <w:vAlign w:val="top"/>
          </w:tcPr>
          <w:p w14:paraId="7761E195">
            <w:pPr>
              <w:rPr>
                <w:rFonts w:ascii="宋体" w:hAnsi="宋体" w:eastAsia="宋体"/>
                <w:color w:val="auto"/>
                <w:sz w:val="24"/>
                <w:highlight w:val="none"/>
              </w:rPr>
            </w:pPr>
          </w:p>
        </w:tc>
        <w:tc>
          <w:tcPr>
            <w:tcW w:w="772" w:type="pct"/>
            <w:noWrap w:val="0"/>
            <w:vAlign w:val="top"/>
          </w:tcPr>
          <w:p w14:paraId="0375DE1C">
            <w:pPr>
              <w:rPr>
                <w:rFonts w:ascii="宋体" w:hAnsi="宋体" w:eastAsia="宋体"/>
                <w:color w:val="auto"/>
                <w:sz w:val="24"/>
                <w:highlight w:val="none"/>
              </w:rPr>
            </w:pPr>
          </w:p>
        </w:tc>
        <w:tc>
          <w:tcPr>
            <w:tcW w:w="772" w:type="pct"/>
            <w:noWrap w:val="0"/>
            <w:vAlign w:val="top"/>
          </w:tcPr>
          <w:p w14:paraId="52FF1C92">
            <w:pPr>
              <w:rPr>
                <w:rFonts w:ascii="宋体" w:hAnsi="宋体" w:eastAsia="宋体"/>
                <w:color w:val="auto"/>
                <w:sz w:val="24"/>
                <w:highlight w:val="none"/>
              </w:rPr>
            </w:pPr>
          </w:p>
        </w:tc>
        <w:tc>
          <w:tcPr>
            <w:tcW w:w="394" w:type="pct"/>
            <w:noWrap w:val="0"/>
            <w:vAlign w:val="top"/>
          </w:tcPr>
          <w:p w14:paraId="7C01FFE9">
            <w:pPr>
              <w:rPr>
                <w:rFonts w:ascii="宋体" w:hAnsi="宋体" w:eastAsia="宋体"/>
                <w:color w:val="auto"/>
                <w:sz w:val="24"/>
                <w:highlight w:val="none"/>
              </w:rPr>
            </w:pPr>
          </w:p>
        </w:tc>
        <w:tc>
          <w:tcPr>
            <w:tcW w:w="394" w:type="pct"/>
            <w:noWrap w:val="0"/>
            <w:vAlign w:val="top"/>
          </w:tcPr>
          <w:p w14:paraId="4DE5AC10">
            <w:pPr>
              <w:rPr>
                <w:rFonts w:ascii="宋体" w:hAnsi="宋体" w:eastAsia="宋体"/>
                <w:color w:val="auto"/>
                <w:sz w:val="24"/>
                <w:highlight w:val="none"/>
              </w:rPr>
            </w:pPr>
          </w:p>
        </w:tc>
        <w:tc>
          <w:tcPr>
            <w:tcW w:w="551" w:type="pct"/>
            <w:noWrap w:val="0"/>
            <w:vAlign w:val="top"/>
          </w:tcPr>
          <w:p w14:paraId="21DA4597">
            <w:pPr>
              <w:rPr>
                <w:rFonts w:ascii="宋体" w:hAnsi="宋体" w:eastAsia="宋体"/>
                <w:color w:val="auto"/>
                <w:sz w:val="24"/>
                <w:highlight w:val="none"/>
              </w:rPr>
            </w:pPr>
          </w:p>
        </w:tc>
        <w:tc>
          <w:tcPr>
            <w:tcW w:w="551" w:type="pct"/>
            <w:noWrap w:val="0"/>
            <w:vAlign w:val="top"/>
          </w:tcPr>
          <w:p w14:paraId="2A9B41D8">
            <w:pPr>
              <w:rPr>
                <w:rFonts w:ascii="宋体" w:hAnsi="宋体" w:eastAsia="宋体"/>
                <w:color w:val="auto"/>
                <w:sz w:val="24"/>
                <w:highlight w:val="none"/>
              </w:rPr>
            </w:pPr>
          </w:p>
        </w:tc>
        <w:tc>
          <w:tcPr>
            <w:tcW w:w="393" w:type="pct"/>
            <w:noWrap w:val="0"/>
            <w:vAlign w:val="top"/>
          </w:tcPr>
          <w:p w14:paraId="2B68B0FE">
            <w:pPr>
              <w:rPr>
                <w:rFonts w:ascii="宋体" w:hAnsi="宋体" w:eastAsia="宋体"/>
                <w:color w:val="auto"/>
                <w:sz w:val="24"/>
                <w:highlight w:val="none"/>
              </w:rPr>
            </w:pPr>
          </w:p>
        </w:tc>
      </w:tr>
      <w:tr w14:paraId="6C4B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noWrap w:val="0"/>
            <w:vAlign w:val="top"/>
          </w:tcPr>
          <w:p w14:paraId="01A75D3A">
            <w:pPr>
              <w:jc w:val="center"/>
              <w:rPr>
                <w:rFonts w:ascii="宋体" w:hAnsi="宋体" w:eastAsia="宋体"/>
                <w:color w:val="auto"/>
                <w:sz w:val="24"/>
                <w:highlight w:val="none"/>
              </w:rPr>
            </w:pPr>
            <w:r>
              <w:rPr>
                <w:rFonts w:hint="eastAsia" w:ascii="宋体" w:hAnsi="宋体" w:eastAsia="宋体"/>
                <w:color w:val="auto"/>
                <w:sz w:val="24"/>
                <w:highlight w:val="none"/>
              </w:rPr>
              <w:t>2</w:t>
            </w:r>
          </w:p>
        </w:tc>
        <w:tc>
          <w:tcPr>
            <w:tcW w:w="776" w:type="pct"/>
            <w:noWrap w:val="0"/>
            <w:vAlign w:val="top"/>
          </w:tcPr>
          <w:p w14:paraId="1C5F27B4">
            <w:pPr>
              <w:rPr>
                <w:rFonts w:ascii="宋体" w:hAnsi="宋体" w:eastAsia="宋体"/>
                <w:color w:val="auto"/>
                <w:sz w:val="24"/>
                <w:highlight w:val="none"/>
              </w:rPr>
            </w:pPr>
          </w:p>
        </w:tc>
        <w:tc>
          <w:tcPr>
            <w:tcW w:w="772" w:type="pct"/>
            <w:noWrap w:val="0"/>
            <w:vAlign w:val="top"/>
          </w:tcPr>
          <w:p w14:paraId="439F3115">
            <w:pPr>
              <w:rPr>
                <w:rFonts w:ascii="宋体" w:hAnsi="宋体" w:eastAsia="宋体"/>
                <w:color w:val="auto"/>
                <w:sz w:val="24"/>
                <w:highlight w:val="none"/>
              </w:rPr>
            </w:pPr>
          </w:p>
        </w:tc>
        <w:tc>
          <w:tcPr>
            <w:tcW w:w="772" w:type="pct"/>
            <w:noWrap w:val="0"/>
            <w:vAlign w:val="top"/>
          </w:tcPr>
          <w:p w14:paraId="0B5EF6A2">
            <w:pPr>
              <w:rPr>
                <w:rFonts w:ascii="宋体" w:hAnsi="宋体" w:eastAsia="宋体"/>
                <w:color w:val="auto"/>
                <w:sz w:val="24"/>
                <w:highlight w:val="none"/>
              </w:rPr>
            </w:pPr>
          </w:p>
        </w:tc>
        <w:tc>
          <w:tcPr>
            <w:tcW w:w="394" w:type="pct"/>
            <w:noWrap w:val="0"/>
            <w:vAlign w:val="top"/>
          </w:tcPr>
          <w:p w14:paraId="66BA4716">
            <w:pPr>
              <w:rPr>
                <w:rFonts w:ascii="宋体" w:hAnsi="宋体" w:eastAsia="宋体"/>
                <w:color w:val="auto"/>
                <w:sz w:val="24"/>
                <w:highlight w:val="none"/>
              </w:rPr>
            </w:pPr>
          </w:p>
        </w:tc>
        <w:tc>
          <w:tcPr>
            <w:tcW w:w="394" w:type="pct"/>
            <w:noWrap w:val="0"/>
            <w:vAlign w:val="top"/>
          </w:tcPr>
          <w:p w14:paraId="4981F119">
            <w:pPr>
              <w:rPr>
                <w:rFonts w:ascii="宋体" w:hAnsi="宋体" w:eastAsia="宋体"/>
                <w:color w:val="auto"/>
                <w:sz w:val="24"/>
                <w:highlight w:val="none"/>
              </w:rPr>
            </w:pPr>
          </w:p>
        </w:tc>
        <w:tc>
          <w:tcPr>
            <w:tcW w:w="551" w:type="pct"/>
            <w:noWrap w:val="0"/>
            <w:vAlign w:val="top"/>
          </w:tcPr>
          <w:p w14:paraId="6A08DEBB">
            <w:pPr>
              <w:rPr>
                <w:rFonts w:ascii="宋体" w:hAnsi="宋体" w:eastAsia="宋体"/>
                <w:color w:val="auto"/>
                <w:sz w:val="24"/>
                <w:highlight w:val="none"/>
              </w:rPr>
            </w:pPr>
          </w:p>
        </w:tc>
        <w:tc>
          <w:tcPr>
            <w:tcW w:w="551" w:type="pct"/>
            <w:noWrap w:val="0"/>
            <w:vAlign w:val="top"/>
          </w:tcPr>
          <w:p w14:paraId="21EA39CE">
            <w:pPr>
              <w:rPr>
                <w:rFonts w:ascii="宋体" w:hAnsi="宋体" w:eastAsia="宋体"/>
                <w:color w:val="auto"/>
                <w:sz w:val="24"/>
                <w:highlight w:val="none"/>
              </w:rPr>
            </w:pPr>
          </w:p>
        </w:tc>
        <w:tc>
          <w:tcPr>
            <w:tcW w:w="393" w:type="pct"/>
            <w:noWrap w:val="0"/>
            <w:vAlign w:val="top"/>
          </w:tcPr>
          <w:p w14:paraId="2599FD7C">
            <w:pPr>
              <w:rPr>
                <w:rFonts w:ascii="宋体" w:hAnsi="宋体" w:eastAsia="宋体"/>
                <w:color w:val="auto"/>
                <w:sz w:val="24"/>
                <w:highlight w:val="none"/>
              </w:rPr>
            </w:pPr>
          </w:p>
        </w:tc>
      </w:tr>
      <w:tr w14:paraId="3B9F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noWrap w:val="0"/>
            <w:vAlign w:val="top"/>
          </w:tcPr>
          <w:p w14:paraId="3EF7B92A">
            <w:pPr>
              <w:jc w:val="center"/>
              <w:rPr>
                <w:rFonts w:ascii="宋体" w:hAnsi="宋体" w:eastAsia="宋体"/>
                <w:color w:val="auto"/>
                <w:sz w:val="24"/>
                <w:highlight w:val="none"/>
              </w:rPr>
            </w:pPr>
            <w:r>
              <w:rPr>
                <w:rFonts w:hint="eastAsia" w:ascii="宋体" w:hAnsi="宋体" w:eastAsia="宋体"/>
                <w:color w:val="auto"/>
                <w:sz w:val="24"/>
                <w:highlight w:val="none"/>
              </w:rPr>
              <w:t>3</w:t>
            </w:r>
          </w:p>
        </w:tc>
        <w:tc>
          <w:tcPr>
            <w:tcW w:w="776" w:type="pct"/>
            <w:noWrap w:val="0"/>
            <w:vAlign w:val="top"/>
          </w:tcPr>
          <w:p w14:paraId="3F508895">
            <w:pPr>
              <w:rPr>
                <w:rFonts w:ascii="宋体" w:hAnsi="宋体" w:eastAsia="宋体"/>
                <w:color w:val="auto"/>
                <w:sz w:val="24"/>
                <w:highlight w:val="none"/>
              </w:rPr>
            </w:pPr>
          </w:p>
        </w:tc>
        <w:tc>
          <w:tcPr>
            <w:tcW w:w="772" w:type="pct"/>
            <w:noWrap w:val="0"/>
            <w:vAlign w:val="top"/>
          </w:tcPr>
          <w:p w14:paraId="20B310BD">
            <w:pPr>
              <w:rPr>
                <w:rFonts w:ascii="宋体" w:hAnsi="宋体" w:eastAsia="宋体"/>
                <w:color w:val="auto"/>
                <w:sz w:val="24"/>
                <w:highlight w:val="none"/>
              </w:rPr>
            </w:pPr>
          </w:p>
        </w:tc>
        <w:tc>
          <w:tcPr>
            <w:tcW w:w="772" w:type="pct"/>
            <w:noWrap w:val="0"/>
            <w:vAlign w:val="top"/>
          </w:tcPr>
          <w:p w14:paraId="09A7230D">
            <w:pPr>
              <w:rPr>
                <w:rFonts w:ascii="宋体" w:hAnsi="宋体" w:eastAsia="宋体"/>
                <w:color w:val="auto"/>
                <w:sz w:val="24"/>
                <w:highlight w:val="none"/>
              </w:rPr>
            </w:pPr>
          </w:p>
        </w:tc>
        <w:tc>
          <w:tcPr>
            <w:tcW w:w="394" w:type="pct"/>
            <w:noWrap w:val="0"/>
            <w:vAlign w:val="top"/>
          </w:tcPr>
          <w:p w14:paraId="275F91C4">
            <w:pPr>
              <w:rPr>
                <w:rFonts w:ascii="宋体" w:hAnsi="宋体" w:eastAsia="宋体"/>
                <w:color w:val="auto"/>
                <w:sz w:val="24"/>
                <w:highlight w:val="none"/>
              </w:rPr>
            </w:pPr>
          </w:p>
        </w:tc>
        <w:tc>
          <w:tcPr>
            <w:tcW w:w="394" w:type="pct"/>
            <w:noWrap w:val="0"/>
            <w:vAlign w:val="top"/>
          </w:tcPr>
          <w:p w14:paraId="6E9B5D37">
            <w:pPr>
              <w:rPr>
                <w:rFonts w:ascii="宋体" w:hAnsi="宋体" w:eastAsia="宋体"/>
                <w:color w:val="auto"/>
                <w:sz w:val="24"/>
                <w:highlight w:val="none"/>
              </w:rPr>
            </w:pPr>
          </w:p>
        </w:tc>
        <w:tc>
          <w:tcPr>
            <w:tcW w:w="551" w:type="pct"/>
            <w:noWrap w:val="0"/>
            <w:vAlign w:val="top"/>
          </w:tcPr>
          <w:p w14:paraId="7D351FDC">
            <w:pPr>
              <w:rPr>
                <w:rFonts w:ascii="宋体" w:hAnsi="宋体" w:eastAsia="宋体"/>
                <w:color w:val="auto"/>
                <w:sz w:val="24"/>
                <w:highlight w:val="none"/>
              </w:rPr>
            </w:pPr>
          </w:p>
        </w:tc>
        <w:tc>
          <w:tcPr>
            <w:tcW w:w="551" w:type="pct"/>
            <w:noWrap w:val="0"/>
            <w:vAlign w:val="top"/>
          </w:tcPr>
          <w:p w14:paraId="68D6AC0F">
            <w:pPr>
              <w:rPr>
                <w:rFonts w:ascii="宋体" w:hAnsi="宋体" w:eastAsia="宋体"/>
                <w:color w:val="auto"/>
                <w:sz w:val="24"/>
                <w:highlight w:val="none"/>
              </w:rPr>
            </w:pPr>
          </w:p>
        </w:tc>
        <w:tc>
          <w:tcPr>
            <w:tcW w:w="393" w:type="pct"/>
            <w:noWrap w:val="0"/>
            <w:vAlign w:val="top"/>
          </w:tcPr>
          <w:p w14:paraId="2EB92AF3">
            <w:pPr>
              <w:rPr>
                <w:rFonts w:ascii="宋体" w:hAnsi="宋体" w:eastAsia="宋体"/>
                <w:color w:val="auto"/>
                <w:sz w:val="24"/>
                <w:highlight w:val="none"/>
              </w:rPr>
            </w:pPr>
          </w:p>
        </w:tc>
      </w:tr>
      <w:tr w14:paraId="6233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noWrap w:val="0"/>
            <w:vAlign w:val="top"/>
          </w:tcPr>
          <w:p w14:paraId="7DD361CA">
            <w:pPr>
              <w:jc w:val="center"/>
              <w:rPr>
                <w:rFonts w:ascii="宋体" w:hAnsi="宋体" w:eastAsia="宋体"/>
                <w:color w:val="auto"/>
                <w:sz w:val="24"/>
                <w:highlight w:val="none"/>
              </w:rPr>
            </w:pPr>
            <w:r>
              <w:rPr>
                <w:rFonts w:hint="eastAsia" w:ascii="宋体" w:hAnsi="宋体" w:eastAsia="宋体"/>
                <w:color w:val="auto"/>
                <w:sz w:val="24"/>
                <w:highlight w:val="none"/>
              </w:rPr>
              <w:t>…</w:t>
            </w:r>
          </w:p>
        </w:tc>
        <w:tc>
          <w:tcPr>
            <w:tcW w:w="776" w:type="pct"/>
            <w:noWrap w:val="0"/>
            <w:vAlign w:val="top"/>
          </w:tcPr>
          <w:p w14:paraId="52FDDD29">
            <w:pPr>
              <w:rPr>
                <w:rFonts w:ascii="宋体" w:hAnsi="宋体" w:eastAsia="宋体"/>
                <w:color w:val="auto"/>
                <w:sz w:val="24"/>
                <w:highlight w:val="none"/>
              </w:rPr>
            </w:pPr>
          </w:p>
        </w:tc>
        <w:tc>
          <w:tcPr>
            <w:tcW w:w="772" w:type="pct"/>
            <w:noWrap w:val="0"/>
            <w:vAlign w:val="top"/>
          </w:tcPr>
          <w:p w14:paraId="0F448206">
            <w:pPr>
              <w:rPr>
                <w:rFonts w:ascii="宋体" w:hAnsi="宋体" w:eastAsia="宋体"/>
                <w:color w:val="auto"/>
                <w:sz w:val="24"/>
                <w:highlight w:val="none"/>
              </w:rPr>
            </w:pPr>
          </w:p>
        </w:tc>
        <w:tc>
          <w:tcPr>
            <w:tcW w:w="772" w:type="pct"/>
            <w:noWrap w:val="0"/>
            <w:vAlign w:val="top"/>
          </w:tcPr>
          <w:p w14:paraId="6F4523F1">
            <w:pPr>
              <w:rPr>
                <w:rFonts w:ascii="宋体" w:hAnsi="宋体" w:eastAsia="宋体"/>
                <w:color w:val="auto"/>
                <w:sz w:val="24"/>
                <w:highlight w:val="none"/>
              </w:rPr>
            </w:pPr>
          </w:p>
        </w:tc>
        <w:tc>
          <w:tcPr>
            <w:tcW w:w="394" w:type="pct"/>
            <w:noWrap w:val="0"/>
            <w:vAlign w:val="top"/>
          </w:tcPr>
          <w:p w14:paraId="5713503A">
            <w:pPr>
              <w:rPr>
                <w:rFonts w:ascii="宋体" w:hAnsi="宋体" w:eastAsia="宋体"/>
                <w:color w:val="auto"/>
                <w:sz w:val="24"/>
                <w:highlight w:val="none"/>
              </w:rPr>
            </w:pPr>
          </w:p>
        </w:tc>
        <w:tc>
          <w:tcPr>
            <w:tcW w:w="394" w:type="pct"/>
            <w:noWrap w:val="0"/>
            <w:vAlign w:val="top"/>
          </w:tcPr>
          <w:p w14:paraId="44B66D33">
            <w:pPr>
              <w:rPr>
                <w:rFonts w:ascii="宋体" w:hAnsi="宋体" w:eastAsia="宋体"/>
                <w:color w:val="auto"/>
                <w:sz w:val="24"/>
                <w:highlight w:val="none"/>
              </w:rPr>
            </w:pPr>
          </w:p>
        </w:tc>
        <w:tc>
          <w:tcPr>
            <w:tcW w:w="551" w:type="pct"/>
            <w:noWrap w:val="0"/>
            <w:vAlign w:val="top"/>
          </w:tcPr>
          <w:p w14:paraId="4D3028A2">
            <w:pPr>
              <w:rPr>
                <w:rFonts w:ascii="宋体" w:hAnsi="宋体" w:eastAsia="宋体"/>
                <w:color w:val="auto"/>
                <w:sz w:val="24"/>
                <w:highlight w:val="none"/>
              </w:rPr>
            </w:pPr>
          </w:p>
        </w:tc>
        <w:tc>
          <w:tcPr>
            <w:tcW w:w="551" w:type="pct"/>
            <w:noWrap w:val="0"/>
            <w:vAlign w:val="top"/>
          </w:tcPr>
          <w:p w14:paraId="1790092E">
            <w:pPr>
              <w:rPr>
                <w:rFonts w:ascii="宋体" w:hAnsi="宋体" w:eastAsia="宋体"/>
                <w:color w:val="auto"/>
                <w:sz w:val="24"/>
                <w:highlight w:val="none"/>
              </w:rPr>
            </w:pPr>
          </w:p>
        </w:tc>
        <w:tc>
          <w:tcPr>
            <w:tcW w:w="393" w:type="pct"/>
            <w:noWrap w:val="0"/>
            <w:vAlign w:val="top"/>
          </w:tcPr>
          <w:p w14:paraId="578F6552">
            <w:pPr>
              <w:rPr>
                <w:rFonts w:ascii="宋体" w:hAnsi="宋体" w:eastAsia="宋体"/>
                <w:color w:val="auto"/>
                <w:sz w:val="24"/>
                <w:highlight w:val="none"/>
              </w:rPr>
            </w:pPr>
          </w:p>
        </w:tc>
      </w:tr>
      <w:tr w14:paraId="388B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054" w:type="pct"/>
            <w:gridSpan w:val="7"/>
            <w:noWrap w:val="0"/>
            <w:vAlign w:val="center"/>
          </w:tcPr>
          <w:p w14:paraId="5461A2A8">
            <w:pPr>
              <w:jc w:val="center"/>
              <w:rPr>
                <w:rFonts w:ascii="宋体" w:hAnsi="宋体" w:eastAsia="宋体"/>
                <w:color w:val="auto"/>
                <w:sz w:val="24"/>
                <w:highlight w:val="none"/>
              </w:rPr>
            </w:pPr>
            <w:r>
              <w:rPr>
                <w:rFonts w:hint="eastAsia" w:ascii="宋体" w:hAnsi="宋体" w:eastAsia="宋体"/>
                <w:b/>
                <w:color w:val="auto"/>
                <w:sz w:val="24"/>
                <w:highlight w:val="none"/>
              </w:rPr>
              <w:t>合计</w:t>
            </w:r>
            <w:r>
              <w:rPr>
                <w:rFonts w:hint="eastAsia" w:ascii="宋体" w:hAnsi="宋体" w:eastAsia="宋体"/>
                <w:b/>
                <w:color w:val="auto"/>
                <w:sz w:val="24"/>
                <w:highlight w:val="none"/>
                <w:lang w:val="en-US" w:eastAsia="zh-CN"/>
              </w:rPr>
              <w:t>金额</w:t>
            </w:r>
            <w:r>
              <w:rPr>
                <w:rFonts w:hint="eastAsia" w:ascii="宋体" w:hAnsi="宋体" w:eastAsia="宋体"/>
                <w:b/>
                <w:color w:val="auto"/>
                <w:sz w:val="24"/>
                <w:highlight w:val="none"/>
              </w:rPr>
              <w:t>（元）</w:t>
            </w:r>
          </w:p>
        </w:tc>
        <w:tc>
          <w:tcPr>
            <w:tcW w:w="945" w:type="pct"/>
            <w:gridSpan w:val="2"/>
            <w:noWrap w:val="0"/>
            <w:vAlign w:val="top"/>
          </w:tcPr>
          <w:p w14:paraId="559957D4">
            <w:pPr>
              <w:rPr>
                <w:rFonts w:ascii="宋体" w:hAnsi="宋体" w:eastAsia="宋体"/>
                <w:color w:val="auto"/>
                <w:sz w:val="24"/>
                <w:highlight w:val="none"/>
              </w:rPr>
            </w:pPr>
          </w:p>
        </w:tc>
      </w:tr>
    </w:tbl>
    <w:p w14:paraId="4C7090A7">
      <w:pPr>
        <w:pStyle w:val="50"/>
        <w:jc w:val="both"/>
        <w:rPr>
          <w:rFonts w:hint="default" w:ascii="宋体" w:hAnsi="宋体" w:eastAsia="宋体"/>
          <w:b/>
          <w:bCs/>
          <w:i/>
          <w:iCs/>
          <w:color w:val="auto"/>
          <w:highlight w:val="none"/>
          <w:lang w:val="en-US" w:eastAsia="zh-CN"/>
        </w:rPr>
      </w:pPr>
      <w:r>
        <w:rPr>
          <w:rFonts w:hint="eastAsia" w:ascii="宋体" w:hAnsi="宋体" w:eastAsia="宋体"/>
          <w:b/>
          <w:bCs/>
          <w:color w:val="auto"/>
          <w:highlight w:val="none"/>
          <w:lang w:val="en-US" w:eastAsia="zh-CN"/>
        </w:rPr>
        <w:t>5-2服务部分</w:t>
      </w:r>
      <w:r>
        <w:rPr>
          <w:rFonts w:hint="eastAsia" w:ascii="宋体" w:hAnsi="宋体" w:eastAsia="宋体"/>
          <w:b/>
          <w:bCs/>
          <w:i/>
          <w:iCs/>
          <w:color w:val="auto"/>
          <w:highlight w:val="none"/>
        </w:rPr>
        <w:t>（仅供参考，投标人可自行制作格式）</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3109"/>
        <w:gridCol w:w="1357"/>
        <w:gridCol w:w="1698"/>
        <w:gridCol w:w="1566"/>
      </w:tblGrid>
      <w:tr w14:paraId="4A9E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63" w:type="pct"/>
            <w:noWrap w:val="0"/>
            <w:vAlign w:val="center"/>
          </w:tcPr>
          <w:p w14:paraId="1CDA59D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序号</w:t>
            </w:r>
          </w:p>
        </w:tc>
        <w:tc>
          <w:tcPr>
            <w:tcW w:w="1824" w:type="pct"/>
            <w:noWrap w:val="0"/>
            <w:vAlign w:val="center"/>
          </w:tcPr>
          <w:p w14:paraId="17CB7DC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服务内容</w:t>
            </w:r>
          </w:p>
        </w:tc>
        <w:tc>
          <w:tcPr>
            <w:tcW w:w="796" w:type="pct"/>
            <w:noWrap w:val="0"/>
            <w:vAlign w:val="center"/>
          </w:tcPr>
          <w:p w14:paraId="69CD1F0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项</w:t>
            </w:r>
          </w:p>
        </w:tc>
        <w:tc>
          <w:tcPr>
            <w:tcW w:w="996" w:type="pct"/>
            <w:noWrap w:val="0"/>
            <w:vAlign w:val="center"/>
          </w:tcPr>
          <w:p w14:paraId="3C73F4D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单价</w:t>
            </w:r>
          </w:p>
        </w:tc>
        <w:tc>
          <w:tcPr>
            <w:tcW w:w="919" w:type="pct"/>
            <w:noWrap w:val="0"/>
            <w:vAlign w:val="center"/>
          </w:tcPr>
          <w:p w14:paraId="18231BFF">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b/>
                <w:color w:val="auto"/>
                <w:sz w:val="24"/>
                <w:highlight w:val="none"/>
              </w:rPr>
            </w:pPr>
            <w:r>
              <w:rPr>
                <w:rFonts w:hint="eastAsia" w:ascii="宋体" w:hAnsi="宋体" w:eastAsia="宋体"/>
                <w:b/>
                <w:color w:val="auto"/>
                <w:sz w:val="24"/>
                <w:highlight w:val="none"/>
              </w:rPr>
              <w:t>小计（元）</w:t>
            </w:r>
          </w:p>
        </w:tc>
      </w:tr>
      <w:tr w14:paraId="4603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tcBorders>
              <w:bottom w:val="single" w:color="auto" w:sz="4" w:space="0"/>
            </w:tcBorders>
            <w:noWrap w:val="0"/>
            <w:vAlign w:val="center"/>
          </w:tcPr>
          <w:p w14:paraId="3C2A581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color w:val="auto"/>
                <w:sz w:val="24"/>
                <w:highlight w:val="none"/>
              </w:rPr>
              <w:t>1</w:t>
            </w:r>
          </w:p>
        </w:tc>
        <w:tc>
          <w:tcPr>
            <w:tcW w:w="1824" w:type="pct"/>
            <w:noWrap w:val="0"/>
            <w:vAlign w:val="center"/>
          </w:tcPr>
          <w:p w14:paraId="176E8AA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2C5909C3">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575AA4E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60C54B4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3CDC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1D70D3F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color w:val="auto"/>
                <w:sz w:val="24"/>
                <w:highlight w:val="none"/>
              </w:rPr>
              <w:t>2</w:t>
            </w:r>
          </w:p>
        </w:tc>
        <w:tc>
          <w:tcPr>
            <w:tcW w:w="1824" w:type="pct"/>
            <w:noWrap w:val="0"/>
            <w:vAlign w:val="center"/>
          </w:tcPr>
          <w:p w14:paraId="72BE937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6158F3C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6122CBD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560FF55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00EF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63730EC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color w:val="auto"/>
                <w:sz w:val="24"/>
                <w:highlight w:val="none"/>
              </w:rPr>
              <w:t>3</w:t>
            </w:r>
          </w:p>
        </w:tc>
        <w:tc>
          <w:tcPr>
            <w:tcW w:w="1824" w:type="pct"/>
            <w:noWrap w:val="0"/>
            <w:vAlign w:val="center"/>
          </w:tcPr>
          <w:p w14:paraId="666FC2C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210A863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6D90EEB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2087A30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23B5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63" w:type="pct"/>
            <w:noWrap w:val="0"/>
            <w:vAlign w:val="center"/>
          </w:tcPr>
          <w:p w14:paraId="7A4BB65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ascii="宋体" w:hAnsi="宋体" w:eastAsia="宋体"/>
                <w:color w:val="auto"/>
                <w:sz w:val="24"/>
                <w:highlight w:val="none"/>
              </w:rPr>
              <w:t>…</w:t>
            </w:r>
          </w:p>
        </w:tc>
        <w:tc>
          <w:tcPr>
            <w:tcW w:w="1824" w:type="pct"/>
            <w:noWrap w:val="0"/>
            <w:vAlign w:val="center"/>
          </w:tcPr>
          <w:p w14:paraId="1508F16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796" w:type="pct"/>
            <w:noWrap w:val="0"/>
            <w:vAlign w:val="center"/>
          </w:tcPr>
          <w:p w14:paraId="2DA9BCC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96" w:type="pct"/>
            <w:noWrap w:val="0"/>
            <w:vAlign w:val="center"/>
          </w:tcPr>
          <w:p w14:paraId="3AC8085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c>
          <w:tcPr>
            <w:tcW w:w="919" w:type="pct"/>
            <w:noWrap w:val="0"/>
            <w:vAlign w:val="center"/>
          </w:tcPr>
          <w:p w14:paraId="7CCB6ABB">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r w14:paraId="6C5F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080" w:type="pct"/>
            <w:gridSpan w:val="4"/>
            <w:noWrap w:val="0"/>
            <w:vAlign w:val="center"/>
          </w:tcPr>
          <w:p w14:paraId="6FBEAEB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r>
              <w:rPr>
                <w:rFonts w:hint="eastAsia" w:ascii="宋体" w:hAnsi="宋体" w:eastAsia="宋体"/>
                <w:b/>
                <w:color w:val="auto"/>
                <w:sz w:val="24"/>
                <w:highlight w:val="none"/>
              </w:rPr>
              <w:t>合计金额（元）</w:t>
            </w:r>
          </w:p>
        </w:tc>
        <w:tc>
          <w:tcPr>
            <w:tcW w:w="919" w:type="pct"/>
            <w:noWrap w:val="0"/>
            <w:vAlign w:val="center"/>
          </w:tcPr>
          <w:p w14:paraId="5005406A">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olor w:val="auto"/>
                <w:sz w:val="24"/>
                <w:highlight w:val="none"/>
              </w:rPr>
            </w:pPr>
          </w:p>
        </w:tc>
      </w:tr>
    </w:tbl>
    <w:p w14:paraId="6AD76037">
      <w:pPr>
        <w:spacing w:line="360" w:lineRule="auto"/>
        <w:ind w:firstLine="435"/>
        <w:jc w:val="right"/>
        <w:rPr>
          <w:rFonts w:hint="eastAsia" w:ascii="宋体" w:hAnsi="宋体" w:eastAsia="宋体"/>
          <w:b/>
          <w:bCs/>
          <w:color w:val="auto"/>
          <w:highlight w:val="none"/>
          <w:lang w:val="en-US" w:eastAsia="zh-CN"/>
        </w:rPr>
      </w:pPr>
      <w:r>
        <w:rPr>
          <w:rFonts w:hint="eastAsia" w:ascii="宋体" w:hAnsi="宋体" w:eastAsia="宋体"/>
          <w:bCs/>
          <w:color w:val="auto"/>
          <w:sz w:val="24"/>
          <w:szCs w:val="28"/>
          <w:highlight w:val="none"/>
          <w:u w:val="single"/>
        </w:rPr>
        <w:t xml:space="preserve">       </w:t>
      </w:r>
    </w:p>
    <w:p w14:paraId="7C354805">
      <w:pPr>
        <w:pStyle w:val="50"/>
        <w:jc w:val="both"/>
        <w:rPr>
          <w:rFonts w:hint="eastAsia" w:ascii="宋体" w:hAnsi="宋体" w:eastAsia="宋体"/>
          <w:b/>
          <w:bCs/>
          <w:color w:val="auto"/>
          <w:highlight w:val="none"/>
          <w:lang w:val="en-US" w:eastAsia="zh-CN"/>
        </w:rPr>
      </w:pPr>
      <w:r>
        <w:rPr>
          <w:rFonts w:hint="eastAsia" w:ascii="宋体" w:hAnsi="宋体" w:eastAsia="宋体"/>
          <w:b/>
          <w:bCs/>
          <w:color w:val="auto"/>
          <w:highlight w:val="none"/>
          <w:lang w:val="en-US" w:eastAsia="zh-CN"/>
        </w:rPr>
        <w:t>5-3 符合本国产品标准的产品成本之和占比</w:t>
      </w:r>
    </w:p>
    <w:tbl>
      <w:tblPr>
        <w:tblStyle w:val="25"/>
        <w:tblW w:w="9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7"/>
        <w:gridCol w:w="1732"/>
      </w:tblGrid>
      <w:tr w14:paraId="73E1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627" w:type="dxa"/>
            <w:noWrap w:val="0"/>
            <w:vAlign w:val="top"/>
          </w:tcPr>
          <w:p w14:paraId="4DECA2F7">
            <w:pPr>
              <w:spacing w:line="360" w:lineRule="auto"/>
              <w:rPr>
                <w:rFonts w:hint="eastAsia" w:ascii="宋体" w:hAnsi="宋体" w:eastAsia="宋体"/>
                <w:b/>
                <w:bCs/>
                <w:color w:val="auto"/>
                <w:sz w:val="21"/>
                <w:szCs w:val="21"/>
                <w:highlight w:val="none"/>
                <w:vertAlign w:val="baseline"/>
                <w:lang w:eastAsia="zh-CN"/>
              </w:rPr>
            </w:pPr>
            <w:r>
              <w:rPr>
                <w:rFonts w:hint="eastAsia" w:ascii="宋体" w:hAnsi="宋体" w:eastAsia="宋体" w:cs="宋体"/>
                <w:color w:val="auto"/>
                <w:sz w:val="24"/>
                <w:szCs w:val="24"/>
                <w:highlight w:val="none"/>
              </w:rPr>
              <w:t>本公司（单位）提供的符合本国产品标准的产品成本之和占提供的全部产品成本之和的比例</w:t>
            </w:r>
          </w:p>
        </w:tc>
        <w:tc>
          <w:tcPr>
            <w:tcW w:w="1732" w:type="dxa"/>
            <w:noWrap w:val="0"/>
            <w:vAlign w:val="top"/>
          </w:tcPr>
          <w:p w14:paraId="6345AD47">
            <w:pPr>
              <w:spacing w:line="360" w:lineRule="auto"/>
              <w:rPr>
                <w:rFonts w:hint="eastAsia" w:ascii="宋体" w:hAnsi="宋体" w:eastAsia="宋体" w:cs="宋体"/>
                <w:color w:val="auto"/>
                <w:sz w:val="24"/>
                <w:szCs w:val="24"/>
                <w:highlight w:val="none"/>
                <w:u w:val="single"/>
                <w:lang w:val="en-US" w:eastAsia="zh-CN"/>
              </w:rPr>
            </w:pPr>
          </w:p>
          <w:p w14:paraId="218CB0CA">
            <w:pPr>
              <w:spacing w:line="360" w:lineRule="auto"/>
              <w:rPr>
                <w:rFonts w:hint="eastAsia" w:ascii="宋体" w:hAnsi="宋体" w:eastAsia="宋体"/>
                <w:b/>
                <w:bCs/>
                <w:color w:val="auto"/>
                <w:sz w:val="21"/>
                <w:szCs w:val="21"/>
                <w:highlight w:val="none"/>
                <w:vertAlign w:val="baseline"/>
                <w:lang w:eastAsia="zh-CN"/>
              </w:rPr>
            </w:pP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Times New Roman"/>
                <w:b w:val="0"/>
                <w:bCs/>
                <w:color w:val="auto"/>
                <w:szCs w:val="24"/>
                <w:highlight w:val="none"/>
                <w:lang w:val="en-US" w:eastAsia="zh-CN"/>
              </w:rPr>
              <w:t>%</w:t>
            </w:r>
          </w:p>
        </w:tc>
      </w:tr>
      <w:tr w14:paraId="3752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9359" w:type="dxa"/>
            <w:gridSpan w:val="2"/>
            <w:noWrap w:val="0"/>
            <w:vAlign w:val="top"/>
          </w:tcPr>
          <w:p w14:paraId="6902F005">
            <w:pPr>
              <w:tabs>
                <w:tab w:val="left" w:pos="4620"/>
              </w:tabs>
              <w:spacing w:line="360" w:lineRule="auto"/>
              <w:jc w:val="left"/>
              <w:rPr>
                <w:rFonts w:hint="eastAsia" w:ascii="宋体" w:hAnsi="宋体" w:eastAsia="宋体" w:cs="Times New Roman"/>
                <w:b/>
                <w:bCs w:val="0"/>
                <w:color w:val="auto"/>
                <w:szCs w:val="24"/>
                <w:highlight w:val="none"/>
                <w:lang w:val="en-US" w:eastAsia="zh-CN"/>
              </w:rPr>
            </w:pPr>
            <w:r>
              <w:rPr>
                <w:rFonts w:hint="eastAsia" w:ascii="宋体" w:hAnsi="宋体" w:eastAsia="宋体" w:cs="Times New Roman"/>
                <w:b/>
                <w:bCs w:val="0"/>
                <w:color w:val="auto"/>
                <w:szCs w:val="24"/>
                <w:highlight w:val="none"/>
                <w:lang w:val="en-US" w:eastAsia="zh-CN"/>
              </w:rPr>
              <w:t>提醒：</w:t>
            </w:r>
          </w:p>
          <w:p w14:paraId="4211CC09">
            <w:pPr>
              <w:tabs>
                <w:tab w:val="left" w:pos="4620"/>
              </w:tabs>
              <w:spacing w:line="360" w:lineRule="auto"/>
              <w:jc w:val="left"/>
              <w:rPr>
                <w:rFonts w:hint="eastAsia"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1.投标人为该采购项目或者采购包提供的符合本国产品标准的产品成本之和占该投标人提供的全部产品成本之和的比例达到80%以上时，对该投标人提供的全部产品给予价格评审优惠。</w:t>
            </w:r>
          </w:p>
          <w:p w14:paraId="22252D7C">
            <w:pPr>
              <w:spacing w:line="360" w:lineRule="auto"/>
              <w:rPr>
                <w:rFonts w:hint="eastAsia"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2.投标人应当根据“投标分项报价表-货物部分”的内容对符合本国产品标准的产品成本进行测算（比例未达到80%或未进行比例测算的，对该投标人提供的全部产品不予价格评审优惠），如有虚假响应，投标人承担全部责任。</w:t>
            </w:r>
          </w:p>
          <w:p w14:paraId="12230B6B">
            <w:pPr>
              <w:spacing w:line="360" w:lineRule="auto"/>
              <w:rPr>
                <w:rFonts w:hint="default"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3.</w:t>
            </w:r>
            <w:r>
              <w:rPr>
                <w:rFonts w:hint="eastAsia" w:ascii="宋体" w:hAnsi="宋体" w:eastAsia="宋体" w:cs="宋体"/>
                <w:b w:val="0"/>
                <w:bCs/>
                <w:color w:val="auto"/>
                <w:kern w:val="2"/>
                <w:sz w:val="21"/>
                <w:szCs w:val="21"/>
                <w:highlight w:val="none"/>
                <w:lang w:val="en-US" w:eastAsia="zh-CN" w:bidi="ar"/>
              </w:rPr>
              <w:t>上表中全部产品成本之和是指表5-1和表5-2包含的全部货物、服务产品成本之和。</w:t>
            </w:r>
          </w:p>
        </w:tc>
      </w:tr>
    </w:tbl>
    <w:p w14:paraId="41DF4DBB">
      <w:pPr>
        <w:spacing w:line="360" w:lineRule="auto"/>
        <w:rPr>
          <w:rFonts w:hint="eastAsia" w:ascii="宋体" w:hAnsi="宋体" w:eastAsia="宋体"/>
          <w:b/>
          <w:bCs/>
          <w:color w:val="auto"/>
          <w:sz w:val="21"/>
          <w:szCs w:val="21"/>
          <w:highlight w:val="none"/>
          <w:lang w:eastAsia="zh-CN"/>
        </w:rPr>
      </w:pPr>
    </w:p>
    <w:p w14:paraId="725986D4">
      <w:pPr>
        <w:spacing w:line="360" w:lineRule="auto"/>
        <w:ind w:firstLine="4800" w:firstLineChars="2000"/>
        <w:jc w:val="center"/>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43493136">
      <w:pPr>
        <w:tabs>
          <w:tab w:val="left" w:pos="630"/>
        </w:tabs>
        <w:spacing w:line="360" w:lineRule="auto"/>
        <w:ind w:firstLine="4800" w:firstLineChars="2000"/>
        <w:jc w:val="center"/>
        <w:rPr>
          <w:rFonts w:ascii="宋体" w:hAnsi="宋体" w:eastAsia="宋体"/>
          <w:color w:val="auto"/>
          <w:sz w:val="24"/>
          <w:highlight w:val="non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290C4559">
      <w:pPr>
        <w:spacing w:line="360" w:lineRule="auto"/>
        <w:rPr>
          <w:rFonts w:hint="eastAsia" w:ascii="宋体" w:hAnsi="宋体" w:eastAsia="宋体"/>
          <w:b/>
          <w:bCs/>
          <w:color w:val="auto"/>
          <w:sz w:val="21"/>
          <w:szCs w:val="21"/>
          <w:highlight w:val="none"/>
          <w:lang w:eastAsia="zh-CN"/>
        </w:rPr>
      </w:pPr>
      <w:r>
        <w:rPr>
          <w:rFonts w:hint="eastAsia" w:ascii="宋体" w:hAnsi="宋体" w:eastAsia="宋体"/>
          <w:b/>
          <w:bCs/>
          <w:color w:val="auto"/>
          <w:sz w:val="21"/>
          <w:szCs w:val="21"/>
          <w:highlight w:val="none"/>
          <w:lang w:eastAsia="zh-CN"/>
        </w:rPr>
        <w:t>注：</w:t>
      </w:r>
    </w:p>
    <w:p w14:paraId="0FC5F10B">
      <w:pPr>
        <w:spacing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1.表5-1</w:t>
      </w:r>
      <w:r>
        <w:rPr>
          <w:rFonts w:hint="eastAsia" w:ascii="宋体" w:hAnsi="宋体" w:eastAsia="宋体"/>
          <w:color w:val="auto"/>
          <w:sz w:val="21"/>
          <w:szCs w:val="21"/>
          <w:highlight w:val="none"/>
        </w:rPr>
        <w:t>中须明确列出所投产品的货物名称、品牌、型号规格、原产地及生产厂商，否则可能导致</w:t>
      </w:r>
      <w:r>
        <w:rPr>
          <w:rFonts w:hint="eastAsia" w:ascii="宋体" w:hAnsi="宋体" w:eastAsia="宋体"/>
          <w:b/>
          <w:bCs/>
          <w:color w:val="auto"/>
          <w:sz w:val="21"/>
          <w:szCs w:val="21"/>
          <w:highlight w:val="none"/>
        </w:rPr>
        <w:t>投标无效</w:t>
      </w:r>
      <w:r>
        <w:rPr>
          <w:rFonts w:hint="eastAsia" w:ascii="宋体" w:hAnsi="宋体" w:eastAsia="宋体"/>
          <w:b/>
          <w:bCs/>
          <w:color w:val="auto"/>
          <w:sz w:val="21"/>
          <w:szCs w:val="21"/>
          <w:highlight w:val="none"/>
          <w:lang w:eastAsia="zh-CN"/>
        </w:rPr>
        <w:t>。</w:t>
      </w:r>
    </w:p>
    <w:p w14:paraId="6F8C7329">
      <w:pPr>
        <w:spacing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2.上述报价为投标人完成本项目内容的全部费用（总报价为表5-1和表5-2合计金额之和），</w:t>
      </w:r>
      <w:r>
        <w:rPr>
          <w:rFonts w:hint="eastAsia" w:ascii="宋体" w:hAnsi="宋体" w:eastAsia="宋体"/>
          <w:color w:val="auto"/>
          <w:sz w:val="21"/>
          <w:szCs w:val="21"/>
          <w:highlight w:val="none"/>
        </w:rPr>
        <w:t>如有漏项或缺项，</w:t>
      </w:r>
      <w:r>
        <w:rPr>
          <w:rFonts w:hint="eastAsia" w:ascii="宋体" w:hAnsi="宋体" w:eastAsia="宋体"/>
          <w:color w:val="auto"/>
          <w:sz w:val="21"/>
          <w:szCs w:val="21"/>
          <w:highlight w:val="none"/>
          <w:lang w:val="en-US" w:eastAsia="zh-CN"/>
        </w:rPr>
        <w:t>自行</w:t>
      </w:r>
      <w:r>
        <w:rPr>
          <w:rFonts w:hint="eastAsia" w:ascii="宋体" w:hAnsi="宋体" w:eastAsia="宋体"/>
          <w:color w:val="auto"/>
          <w:sz w:val="21"/>
          <w:szCs w:val="21"/>
          <w:highlight w:val="none"/>
        </w:rPr>
        <w:t>承担全部责任。</w:t>
      </w:r>
    </w:p>
    <w:p w14:paraId="192633EA">
      <w:pPr>
        <w:pStyle w:val="8"/>
        <w:rPr>
          <w:rFonts w:hint="eastAsia" w:asciiTheme="minorEastAsia" w:hAnsiTheme="minorEastAsia" w:eastAsiaTheme="minorEastAsia"/>
          <w:color w:val="auto"/>
          <w:sz w:val="24"/>
          <w:highlight w:val="none"/>
        </w:rPr>
      </w:pPr>
    </w:p>
    <w:p w14:paraId="5393638D">
      <w:pPr>
        <w:rPr>
          <w:rFonts w:hint="eastAsia" w:asciiTheme="minorEastAsia" w:hAnsiTheme="minorEastAsia" w:eastAsiaTheme="minorEastAsia"/>
          <w:b/>
          <w:color w:val="auto"/>
          <w:sz w:val="24"/>
          <w:highlight w:val="none"/>
        </w:rPr>
      </w:pPr>
      <w:bookmarkStart w:id="216" w:name="_Toc20329"/>
      <w:r>
        <w:rPr>
          <w:rFonts w:hint="eastAsia" w:asciiTheme="minorEastAsia" w:hAnsiTheme="minorEastAsia" w:eastAsiaTheme="minorEastAsia"/>
          <w:b/>
          <w:color w:val="auto"/>
          <w:sz w:val="24"/>
          <w:highlight w:val="none"/>
        </w:rPr>
        <w:br w:type="page"/>
      </w:r>
    </w:p>
    <w:p w14:paraId="5DEDB01C">
      <w:pPr>
        <w:spacing w:line="360" w:lineRule="auto"/>
        <w:jc w:val="center"/>
        <w:outlineLvl w:val="1"/>
        <w:rPr>
          <w:rFonts w:hint="default" w:asciiTheme="minorEastAsia" w:hAnsiTheme="minorEastAsia" w:eastAsiaTheme="minorEastAsia"/>
          <w:b/>
          <w:color w:val="auto"/>
          <w:sz w:val="24"/>
          <w:highlight w:val="none"/>
          <w:lang w:val="en-US" w:eastAsia="zh-CN"/>
        </w:rPr>
      </w:pPr>
      <w:bookmarkStart w:id="217" w:name="_Toc15209"/>
      <w:r>
        <w:rPr>
          <w:rFonts w:hint="eastAsia" w:asciiTheme="minorEastAsia" w:hAnsiTheme="minorEastAsia" w:eastAsiaTheme="minorEastAsia"/>
          <w:b/>
          <w:color w:val="auto"/>
          <w:sz w:val="24"/>
          <w:highlight w:val="none"/>
          <w:lang w:val="en-US" w:eastAsia="zh-CN"/>
        </w:rPr>
        <w:t>七</w:t>
      </w:r>
      <w:r>
        <w:rPr>
          <w:rFonts w:hint="eastAsia" w:asciiTheme="minorEastAsia" w:hAnsiTheme="minorEastAsia" w:eastAsiaTheme="minorEastAsia"/>
          <w:b/>
          <w:color w:val="auto"/>
          <w:sz w:val="24"/>
          <w:highlight w:val="none"/>
        </w:rPr>
        <w:t>、投标响应表</w:t>
      </w:r>
      <w:bookmarkEnd w:id="216"/>
      <w:bookmarkEnd w:id="217"/>
    </w:p>
    <w:p w14:paraId="4D3FEC0F">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6</w:t>
      </w: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rPr>
        <w:t>商务响应表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20D1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vAlign w:val="center"/>
          </w:tcPr>
          <w:p w14:paraId="20FAFC0C">
            <w:pPr>
              <w:pStyle w:val="12"/>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序号</w:t>
            </w:r>
          </w:p>
        </w:tc>
        <w:tc>
          <w:tcPr>
            <w:tcW w:w="1124" w:type="pct"/>
            <w:vAlign w:val="center"/>
          </w:tcPr>
          <w:p w14:paraId="2FA34CBE">
            <w:pPr>
              <w:pStyle w:val="12"/>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1465" w:type="pct"/>
            <w:vAlign w:val="center"/>
          </w:tcPr>
          <w:p w14:paraId="74A19CF6">
            <w:pPr>
              <w:pStyle w:val="12"/>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招标文件要求</w:t>
            </w:r>
          </w:p>
        </w:tc>
        <w:tc>
          <w:tcPr>
            <w:tcW w:w="1510" w:type="pct"/>
            <w:vAlign w:val="center"/>
          </w:tcPr>
          <w:p w14:paraId="6BA3BA1F">
            <w:pPr>
              <w:pStyle w:val="12"/>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投标人承诺</w:t>
            </w:r>
          </w:p>
        </w:tc>
        <w:tc>
          <w:tcPr>
            <w:tcW w:w="475" w:type="pct"/>
            <w:vAlign w:val="center"/>
          </w:tcPr>
          <w:p w14:paraId="7E68FBD3">
            <w:pPr>
              <w:pStyle w:val="12"/>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12BE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3FF509F9">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124" w:type="pct"/>
            <w:vAlign w:val="center"/>
          </w:tcPr>
          <w:p w14:paraId="7D50C9E8">
            <w:pPr>
              <w:jc w:val="center"/>
              <w:rPr>
                <w:rFonts w:ascii="宋体" w:hAnsi="宋体" w:eastAsia="宋体"/>
                <w:color w:val="auto"/>
                <w:sz w:val="24"/>
                <w:highlight w:val="none"/>
              </w:rPr>
            </w:pPr>
            <w:r>
              <w:rPr>
                <w:rFonts w:asciiTheme="minorEastAsia" w:hAnsiTheme="minorEastAsia" w:eastAsiaTheme="minorEastAsia"/>
                <w:color w:val="auto"/>
                <w:sz w:val="24"/>
                <w:highlight w:val="none"/>
              </w:rPr>
              <w:t>付款方式</w:t>
            </w:r>
          </w:p>
        </w:tc>
        <w:tc>
          <w:tcPr>
            <w:tcW w:w="1465" w:type="pct"/>
            <w:vAlign w:val="center"/>
          </w:tcPr>
          <w:p w14:paraId="0A2F25C5">
            <w:pPr>
              <w:jc w:val="center"/>
              <w:rPr>
                <w:rFonts w:asciiTheme="minorEastAsia" w:hAnsiTheme="minorEastAsia" w:eastAsiaTheme="minorEastAsia"/>
                <w:color w:val="auto"/>
                <w:sz w:val="24"/>
                <w:highlight w:val="none"/>
              </w:rPr>
            </w:pPr>
          </w:p>
        </w:tc>
        <w:tc>
          <w:tcPr>
            <w:tcW w:w="1510" w:type="pct"/>
            <w:vAlign w:val="center"/>
          </w:tcPr>
          <w:p w14:paraId="4AACB388">
            <w:pPr>
              <w:jc w:val="center"/>
              <w:rPr>
                <w:rFonts w:asciiTheme="minorEastAsia" w:hAnsiTheme="minorEastAsia" w:eastAsiaTheme="minorEastAsia"/>
                <w:color w:val="auto"/>
                <w:sz w:val="24"/>
                <w:highlight w:val="none"/>
              </w:rPr>
            </w:pPr>
          </w:p>
        </w:tc>
        <w:tc>
          <w:tcPr>
            <w:tcW w:w="475" w:type="pct"/>
            <w:vAlign w:val="center"/>
          </w:tcPr>
          <w:p w14:paraId="169FC21D">
            <w:pPr>
              <w:jc w:val="center"/>
              <w:rPr>
                <w:rFonts w:asciiTheme="minorEastAsia" w:hAnsiTheme="minorEastAsia" w:eastAsiaTheme="minorEastAsia"/>
                <w:color w:val="auto"/>
                <w:sz w:val="24"/>
                <w:highlight w:val="none"/>
              </w:rPr>
            </w:pPr>
          </w:p>
        </w:tc>
      </w:tr>
      <w:tr w14:paraId="5647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481F4B95">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124" w:type="pct"/>
            <w:vAlign w:val="center"/>
          </w:tcPr>
          <w:p w14:paraId="24201629">
            <w:pPr>
              <w:jc w:val="center"/>
              <w:rPr>
                <w:rFonts w:ascii="宋体" w:hAnsi="宋体" w:eastAsia="宋体"/>
                <w:color w:val="auto"/>
                <w:sz w:val="24"/>
                <w:highlight w:val="none"/>
              </w:rPr>
            </w:pPr>
            <w:r>
              <w:rPr>
                <w:rFonts w:hint="eastAsia" w:ascii="宋体" w:hAnsi="宋体" w:eastAsia="宋体"/>
                <w:color w:val="auto"/>
                <w:sz w:val="24"/>
                <w:highlight w:val="none"/>
              </w:rPr>
              <w:t>服务地点</w:t>
            </w:r>
          </w:p>
        </w:tc>
        <w:tc>
          <w:tcPr>
            <w:tcW w:w="1465" w:type="pct"/>
            <w:vAlign w:val="center"/>
          </w:tcPr>
          <w:p w14:paraId="67F4817C">
            <w:pPr>
              <w:jc w:val="center"/>
              <w:rPr>
                <w:rFonts w:asciiTheme="minorEastAsia" w:hAnsiTheme="minorEastAsia" w:eastAsiaTheme="minorEastAsia"/>
                <w:color w:val="auto"/>
                <w:sz w:val="24"/>
                <w:highlight w:val="none"/>
              </w:rPr>
            </w:pPr>
          </w:p>
        </w:tc>
        <w:tc>
          <w:tcPr>
            <w:tcW w:w="1510" w:type="pct"/>
            <w:vAlign w:val="center"/>
          </w:tcPr>
          <w:p w14:paraId="41802496">
            <w:pPr>
              <w:jc w:val="center"/>
              <w:rPr>
                <w:rFonts w:asciiTheme="minorEastAsia" w:hAnsiTheme="minorEastAsia" w:eastAsiaTheme="minorEastAsia"/>
                <w:color w:val="auto"/>
                <w:sz w:val="24"/>
                <w:highlight w:val="none"/>
              </w:rPr>
            </w:pPr>
          </w:p>
        </w:tc>
        <w:tc>
          <w:tcPr>
            <w:tcW w:w="475" w:type="pct"/>
            <w:vAlign w:val="center"/>
          </w:tcPr>
          <w:p w14:paraId="05FCF4B6">
            <w:pPr>
              <w:jc w:val="center"/>
              <w:rPr>
                <w:rFonts w:asciiTheme="minorEastAsia" w:hAnsiTheme="minorEastAsia" w:eastAsiaTheme="minorEastAsia"/>
                <w:color w:val="auto"/>
                <w:sz w:val="24"/>
                <w:highlight w:val="none"/>
              </w:rPr>
            </w:pPr>
          </w:p>
        </w:tc>
      </w:tr>
      <w:tr w14:paraId="19E7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6AF782D0">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124" w:type="pct"/>
            <w:vAlign w:val="center"/>
          </w:tcPr>
          <w:p w14:paraId="23B144F3">
            <w:pPr>
              <w:jc w:val="center"/>
              <w:rPr>
                <w:rFonts w:ascii="宋体" w:hAnsi="宋体" w:eastAsia="宋体"/>
                <w:color w:val="auto"/>
                <w:sz w:val="24"/>
                <w:highlight w:val="none"/>
              </w:rPr>
            </w:pPr>
            <w:r>
              <w:rPr>
                <w:rFonts w:hint="eastAsia" w:ascii="宋体" w:hAnsi="宋体" w:eastAsia="宋体"/>
                <w:color w:val="auto"/>
                <w:sz w:val="24"/>
                <w:highlight w:val="none"/>
              </w:rPr>
              <w:t>服务期限</w:t>
            </w:r>
          </w:p>
        </w:tc>
        <w:tc>
          <w:tcPr>
            <w:tcW w:w="1465" w:type="pct"/>
            <w:vAlign w:val="center"/>
          </w:tcPr>
          <w:p w14:paraId="4672209D">
            <w:pPr>
              <w:jc w:val="center"/>
              <w:rPr>
                <w:rFonts w:asciiTheme="minorEastAsia" w:hAnsiTheme="minorEastAsia" w:eastAsiaTheme="minorEastAsia"/>
                <w:color w:val="auto"/>
                <w:sz w:val="24"/>
                <w:highlight w:val="none"/>
              </w:rPr>
            </w:pPr>
          </w:p>
        </w:tc>
        <w:tc>
          <w:tcPr>
            <w:tcW w:w="1510" w:type="pct"/>
            <w:vAlign w:val="center"/>
          </w:tcPr>
          <w:p w14:paraId="0BF28904">
            <w:pPr>
              <w:pStyle w:val="50"/>
              <w:jc w:val="center"/>
              <w:rPr>
                <w:rFonts w:asciiTheme="minorEastAsia" w:hAnsiTheme="minorEastAsia" w:eastAsiaTheme="minorEastAsia"/>
                <w:color w:val="auto"/>
                <w:highlight w:val="none"/>
              </w:rPr>
            </w:pPr>
          </w:p>
        </w:tc>
        <w:tc>
          <w:tcPr>
            <w:tcW w:w="475" w:type="pct"/>
            <w:vAlign w:val="center"/>
          </w:tcPr>
          <w:p w14:paraId="1E58C4A5">
            <w:pPr>
              <w:jc w:val="center"/>
              <w:rPr>
                <w:rFonts w:asciiTheme="minorEastAsia" w:hAnsiTheme="minorEastAsia" w:eastAsiaTheme="minorEastAsia"/>
                <w:color w:val="auto"/>
                <w:sz w:val="24"/>
                <w:highlight w:val="none"/>
              </w:rPr>
            </w:pPr>
          </w:p>
        </w:tc>
      </w:tr>
      <w:tr w14:paraId="1DCF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vAlign w:val="center"/>
          </w:tcPr>
          <w:p w14:paraId="5A202A3D">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p>
        </w:tc>
        <w:tc>
          <w:tcPr>
            <w:tcW w:w="1124" w:type="pct"/>
            <w:vAlign w:val="center"/>
          </w:tcPr>
          <w:p w14:paraId="6DD5AF62">
            <w:pPr>
              <w:jc w:val="center"/>
              <w:rPr>
                <w:rFonts w:ascii="宋体" w:hAnsi="宋体" w:eastAsia="宋体"/>
                <w:color w:val="auto"/>
                <w:sz w:val="24"/>
                <w:highlight w:val="none"/>
              </w:rPr>
            </w:pPr>
          </w:p>
        </w:tc>
        <w:tc>
          <w:tcPr>
            <w:tcW w:w="1465" w:type="pct"/>
            <w:vAlign w:val="center"/>
          </w:tcPr>
          <w:p w14:paraId="3A4F9EF9">
            <w:pPr>
              <w:jc w:val="center"/>
              <w:rPr>
                <w:rFonts w:asciiTheme="minorEastAsia" w:hAnsiTheme="minorEastAsia" w:eastAsiaTheme="minorEastAsia"/>
                <w:color w:val="auto"/>
                <w:sz w:val="24"/>
                <w:highlight w:val="none"/>
              </w:rPr>
            </w:pPr>
          </w:p>
        </w:tc>
        <w:tc>
          <w:tcPr>
            <w:tcW w:w="1510" w:type="pct"/>
            <w:vAlign w:val="center"/>
          </w:tcPr>
          <w:p w14:paraId="5B3E2E16">
            <w:pPr>
              <w:jc w:val="center"/>
              <w:rPr>
                <w:rFonts w:asciiTheme="minorEastAsia" w:hAnsiTheme="minorEastAsia" w:eastAsiaTheme="minorEastAsia"/>
                <w:color w:val="auto"/>
                <w:sz w:val="24"/>
                <w:highlight w:val="none"/>
              </w:rPr>
            </w:pPr>
          </w:p>
        </w:tc>
        <w:tc>
          <w:tcPr>
            <w:tcW w:w="475" w:type="pct"/>
            <w:vAlign w:val="center"/>
          </w:tcPr>
          <w:p w14:paraId="37E7B00F">
            <w:pPr>
              <w:jc w:val="center"/>
              <w:rPr>
                <w:rFonts w:asciiTheme="minorEastAsia" w:hAnsiTheme="minorEastAsia" w:eastAsiaTheme="minorEastAsia"/>
                <w:color w:val="auto"/>
                <w:sz w:val="24"/>
                <w:highlight w:val="none"/>
              </w:rPr>
            </w:pPr>
          </w:p>
        </w:tc>
      </w:tr>
    </w:tbl>
    <w:p w14:paraId="4E4AEA89">
      <w:pPr>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投标人电子签章：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938353A">
      <w:pPr>
        <w:tabs>
          <w:tab w:val="left" w:pos="630"/>
        </w:tabs>
        <w:spacing w:line="360" w:lineRule="auto"/>
        <w:ind w:firstLine="4800" w:firstLineChars="2000"/>
        <w:rPr>
          <w:rFonts w:ascii="宋体" w:hAnsi="宋体" w:eastAsia="宋体"/>
          <w:color w:val="auto"/>
          <w:sz w:val="24"/>
          <w:highlight w:val="none"/>
          <w:u w:val="single"/>
        </w:rPr>
      </w:pPr>
      <w:r>
        <w:rPr>
          <w:rFonts w:hint="eastAsia" w:ascii="宋体" w:hAnsi="宋体" w:eastAsia="宋体"/>
          <w:color w:val="auto"/>
          <w:sz w:val="24"/>
          <w:highlight w:val="none"/>
        </w:rPr>
        <w:t xml:space="preserve">日     </w:t>
      </w:r>
      <w:r>
        <w:rPr>
          <w:rFonts w:ascii="宋体" w:hAnsi="宋体" w:eastAsia="宋体"/>
          <w:color w:val="auto"/>
          <w:sz w:val="24"/>
          <w:highlight w:val="none"/>
        </w:rPr>
        <w:t xml:space="preserve">    </w:t>
      </w:r>
      <w:r>
        <w:rPr>
          <w:rFonts w:hint="eastAsia" w:ascii="宋体" w:hAnsi="宋体" w:eastAsia="宋体"/>
          <w:color w:val="auto"/>
          <w:sz w:val="24"/>
          <w:highlight w:val="none"/>
        </w:rPr>
        <w:t xml:space="preserve"> 期：</w:t>
      </w:r>
      <w:r>
        <w:rPr>
          <w:rFonts w:hint="eastAsia" w:ascii="宋体" w:hAnsi="宋体" w:eastAsia="宋体"/>
          <w:color w:val="auto"/>
          <w:sz w:val="24"/>
          <w:highlight w:val="none"/>
          <w:u w:val="single"/>
        </w:rPr>
        <w:t xml:space="preserve">             </w:t>
      </w:r>
    </w:p>
    <w:p w14:paraId="5CD0FD3B">
      <w:pPr>
        <w:pStyle w:val="13"/>
        <w:spacing w:line="360" w:lineRule="auto"/>
        <w:rPr>
          <w:rFonts w:asciiTheme="minorEastAsia" w:hAnsiTheme="minorEastAsia" w:eastAsiaTheme="minorEastAsia"/>
          <w:b w:val="0"/>
          <w:color w:val="auto"/>
          <w:sz w:val="24"/>
          <w:highlight w:val="none"/>
        </w:rPr>
      </w:pPr>
      <w:r>
        <w:rPr>
          <w:rFonts w:asciiTheme="minorEastAsia" w:hAnsiTheme="minorEastAsia" w:eastAsiaTheme="minorEastAsia"/>
          <w:b w:val="0"/>
          <w:color w:val="auto"/>
          <w:sz w:val="24"/>
          <w:highlight w:val="none"/>
        </w:rPr>
        <w:br w:type="page"/>
      </w:r>
    </w:p>
    <w:p w14:paraId="51A8DB9B">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218" w:name="_Toc23068"/>
      <w:r>
        <w:rPr>
          <w:rFonts w:hint="eastAsia" w:asciiTheme="minorEastAsia" w:hAnsiTheme="minorEastAsia" w:eastAsiaTheme="minorEastAsia"/>
          <w:b/>
          <w:color w:val="auto"/>
          <w:sz w:val="24"/>
          <w:highlight w:val="none"/>
          <w:lang w:val="en-US" w:eastAsia="zh-CN"/>
        </w:rPr>
        <w:t>八、中小企业声明函</w:t>
      </w:r>
      <w:bookmarkEnd w:id="218"/>
    </w:p>
    <w:p w14:paraId="22DD704D">
      <w:pPr>
        <w:pStyle w:val="8"/>
        <w:jc w:val="center"/>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非中小企业投标</w:t>
      </w:r>
      <w:r>
        <w:rPr>
          <w:rFonts w:hint="eastAsia" w:ascii="宋体" w:hAnsi="宋体" w:eastAsia="宋体"/>
          <w:b w:val="0"/>
          <w:i/>
          <w:color w:val="auto"/>
          <w:sz w:val="24"/>
          <w:highlight w:val="none"/>
          <w:lang w:val="en-US" w:eastAsia="zh-CN"/>
        </w:rPr>
        <w:t>，不需此件，请删去“中小企业声明函”）</w:t>
      </w:r>
    </w:p>
    <w:p w14:paraId="095E382C">
      <w:pPr>
        <w:rPr>
          <w:rFonts w:asciiTheme="minorEastAsia" w:hAnsiTheme="minorEastAsia" w:eastAsiaTheme="minorEastAsia"/>
          <w:color w:val="auto"/>
          <w:sz w:val="24"/>
          <w:szCs w:val="24"/>
          <w:highlight w:val="none"/>
        </w:rPr>
      </w:pPr>
    </w:p>
    <w:p w14:paraId="448AE030">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olor w:val="auto"/>
          <w:sz w:val="24"/>
          <w:szCs w:val="24"/>
          <w:highlight w:val="none"/>
          <w:u w:val="single"/>
          <w:lang w:val="zh-CN"/>
        </w:rPr>
        <w:t>单位</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）的（</w:t>
      </w:r>
      <w:r>
        <w:rPr>
          <w:rFonts w:hint="eastAsia" w:ascii="宋体" w:hAnsi="宋体" w:eastAsia="宋体"/>
          <w:color w:val="auto"/>
          <w:sz w:val="24"/>
          <w:szCs w:val="24"/>
          <w:highlight w:val="none"/>
          <w:u w:val="single"/>
          <w:lang w:val="zh-CN"/>
        </w:rPr>
        <w:t>项目</w:t>
      </w:r>
      <w:r>
        <w:rPr>
          <w:rFonts w:hint="eastAsia" w:ascii="宋体" w:hAnsi="宋体" w:eastAsia="宋体"/>
          <w:color w:val="auto"/>
          <w:sz w:val="24"/>
          <w:szCs w:val="24"/>
          <w:highlight w:val="none"/>
          <w:u w:val="single"/>
          <w:lang w:val="en-US" w:eastAsia="zh-CN"/>
        </w:rPr>
        <w:t>名称</w:t>
      </w:r>
      <w:r>
        <w:rPr>
          <w:rFonts w:hint="eastAsia" w:ascii="宋体" w:hAnsi="宋体" w:eastAsia="宋体"/>
          <w:color w:val="auto"/>
          <w:sz w:val="24"/>
          <w:szCs w:val="24"/>
          <w:highlight w:val="none"/>
          <w:lang w:val="zh-CN"/>
        </w:rPr>
        <w:t xml:space="preserve">）采购活动，服务全部由符合政策要求的中小企业承接。相关企业（含联合体中的中小企业、签订分包意向协议的中小企业）的具体情况如下： </w:t>
      </w:r>
    </w:p>
    <w:p w14:paraId="331FEF35">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1.</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73B11353">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2.</w:t>
      </w:r>
      <w:r>
        <w:rPr>
          <w:rFonts w:hint="eastAsia" w:ascii="宋体" w:hAnsi="宋体" w:eastAsia="宋体"/>
          <w:color w:val="auto"/>
          <w:sz w:val="24"/>
          <w:szCs w:val="24"/>
          <w:highlight w:val="none"/>
          <w:u w:val="single"/>
          <w:lang w:val="zh-CN"/>
        </w:rPr>
        <w:t xml:space="preserve"> （标的名称） </w:t>
      </w:r>
      <w:r>
        <w:rPr>
          <w:rFonts w:hint="eastAsia" w:ascii="宋体" w:hAnsi="宋体" w:eastAsia="宋体"/>
          <w:color w:val="auto"/>
          <w:sz w:val="24"/>
          <w:szCs w:val="24"/>
          <w:highlight w:val="none"/>
          <w:lang w:val="zh-CN"/>
        </w:rPr>
        <w:t>，属于</w:t>
      </w:r>
      <w:r>
        <w:rPr>
          <w:rFonts w:hint="eastAsia" w:ascii="宋体" w:hAnsi="宋体" w:eastAsia="宋体"/>
          <w:color w:val="auto"/>
          <w:sz w:val="24"/>
          <w:szCs w:val="24"/>
          <w:highlight w:val="none"/>
          <w:u w:val="single"/>
          <w:lang w:val="zh-CN"/>
        </w:rPr>
        <w:t>（采购文件中明确的所属行业）</w:t>
      </w:r>
      <w:r>
        <w:rPr>
          <w:rFonts w:hint="eastAsia" w:ascii="宋体" w:hAnsi="宋体" w:eastAsia="宋体"/>
          <w:color w:val="auto"/>
          <w:sz w:val="24"/>
          <w:szCs w:val="24"/>
          <w:highlight w:val="none"/>
          <w:lang w:val="zh-CN"/>
        </w:rPr>
        <w:t>行业；承接企业为</w:t>
      </w:r>
      <w:r>
        <w:rPr>
          <w:rFonts w:hint="eastAsia" w:ascii="宋体" w:hAnsi="宋体" w:eastAsia="宋体"/>
          <w:color w:val="auto"/>
          <w:sz w:val="24"/>
          <w:szCs w:val="24"/>
          <w:highlight w:val="none"/>
          <w:u w:val="single"/>
          <w:lang w:val="zh-CN"/>
        </w:rPr>
        <w:t>（企业名称）</w:t>
      </w:r>
      <w:r>
        <w:rPr>
          <w:rFonts w:hint="eastAsia" w:ascii="宋体" w:hAnsi="宋体" w:eastAsia="宋体"/>
          <w:color w:val="auto"/>
          <w:sz w:val="24"/>
          <w:szCs w:val="24"/>
          <w:highlight w:val="none"/>
          <w:lang w:val="zh-CN"/>
        </w:rPr>
        <w:t>，从业人员</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人，营业收入为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万元，资产总额为</w:t>
      </w:r>
      <w:r>
        <w:rPr>
          <w:rFonts w:hint="eastAsia" w:ascii="宋体" w:hAnsi="宋体" w:eastAsia="宋体"/>
          <w:color w:val="auto"/>
          <w:sz w:val="24"/>
          <w:szCs w:val="24"/>
          <w:highlight w:val="none"/>
          <w:u w:val="single"/>
          <w:lang w:val="zh-CN"/>
        </w:rPr>
        <w:t xml:space="preserve">     </w:t>
      </w:r>
      <w:r>
        <w:rPr>
          <w:rFonts w:hint="eastAsia" w:ascii="宋体" w:hAnsi="宋体" w:eastAsia="宋体"/>
          <w:color w:val="auto"/>
          <w:sz w:val="24"/>
          <w:szCs w:val="24"/>
          <w:highlight w:val="none"/>
          <w:lang w:val="zh-CN"/>
        </w:rPr>
        <w:t>万元，属于</w:t>
      </w:r>
      <w:r>
        <w:rPr>
          <w:rFonts w:hint="eastAsia" w:ascii="宋体" w:hAnsi="宋体" w:eastAsia="宋体"/>
          <w:color w:val="auto"/>
          <w:sz w:val="24"/>
          <w:szCs w:val="24"/>
          <w:highlight w:val="none"/>
          <w:u w:val="single"/>
          <w:lang w:val="zh-CN"/>
        </w:rPr>
        <w:t>（中型企业、小型企业、微型企业）</w:t>
      </w:r>
      <w:r>
        <w:rPr>
          <w:rFonts w:hint="eastAsia" w:ascii="宋体" w:hAnsi="宋体" w:eastAsia="宋体"/>
          <w:color w:val="auto"/>
          <w:sz w:val="24"/>
          <w:szCs w:val="24"/>
          <w:highlight w:val="none"/>
          <w:lang w:val="zh-CN"/>
        </w:rPr>
        <w:t xml:space="preserve">； </w:t>
      </w:r>
    </w:p>
    <w:p w14:paraId="18A367B7">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w:t>
      </w:r>
    </w:p>
    <w:p w14:paraId="7218096B">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以上企业，不属于大企业的分支机构，不存在控股股东为大企业的情形，也不存在与大企业的负责人为同一人的情形。</w:t>
      </w:r>
    </w:p>
    <w:p w14:paraId="26908B50">
      <w:pPr>
        <w:spacing w:line="360" w:lineRule="auto"/>
        <w:ind w:firstLine="435"/>
        <w:rPr>
          <w:rFonts w:ascii="宋体" w:hAnsi="宋体" w:eastAsia="宋体"/>
          <w:color w:val="auto"/>
          <w:sz w:val="24"/>
          <w:szCs w:val="24"/>
          <w:highlight w:val="none"/>
          <w:lang w:val="zh-CN"/>
        </w:rPr>
      </w:pPr>
      <w:r>
        <w:rPr>
          <w:rFonts w:hint="eastAsia" w:ascii="宋体" w:hAnsi="宋体" w:eastAsia="宋体"/>
          <w:color w:val="auto"/>
          <w:sz w:val="24"/>
          <w:szCs w:val="24"/>
          <w:highlight w:val="none"/>
          <w:lang w:val="zh-CN"/>
        </w:rPr>
        <w:t xml:space="preserve">本企业对上述声明内容的真实性负责。如有虚假，将依法承担相应责任。 </w:t>
      </w:r>
    </w:p>
    <w:p w14:paraId="0E5E2B70">
      <w:pPr>
        <w:spacing w:line="360" w:lineRule="auto"/>
        <w:ind w:firstLine="435"/>
        <w:rPr>
          <w:rFonts w:asciiTheme="minorEastAsia" w:hAnsiTheme="minorEastAsia" w:eastAsiaTheme="minorEastAsia"/>
          <w:color w:val="auto"/>
          <w:sz w:val="24"/>
          <w:szCs w:val="24"/>
          <w:highlight w:val="none"/>
        </w:rPr>
      </w:pPr>
    </w:p>
    <w:p w14:paraId="23214991">
      <w:pPr>
        <w:spacing w:line="360" w:lineRule="auto"/>
        <w:ind w:firstLine="435"/>
        <w:rPr>
          <w:rFonts w:asciiTheme="minorEastAsia" w:hAnsiTheme="minorEastAsia" w:eastAsiaTheme="minorEastAsia"/>
          <w:color w:val="auto"/>
          <w:sz w:val="24"/>
          <w:szCs w:val="24"/>
          <w:highlight w:val="none"/>
        </w:rPr>
      </w:pPr>
    </w:p>
    <w:p w14:paraId="6CB239E9">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4F8B5AB1">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05494887">
      <w:pPr>
        <w:tabs>
          <w:tab w:val="left" w:pos="4620"/>
        </w:tabs>
        <w:spacing w:line="360" w:lineRule="auto"/>
        <w:jc w:val="left"/>
        <w:rPr>
          <w:rFonts w:asciiTheme="minorEastAsia" w:hAnsiTheme="minorEastAsia" w:eastAsiaTheme="minorEastAsia"/>
          <w:color w:val="auto"/>
          <w:sz w:val="24"/>
          <w:szCs w:val="24"/>
          <w:highlight w:val="none"/>
        </w:rPr>
      </w:pPr>
    </w:p>
    <w:p w14:paraId="71AA652B">
      <w:pPr>
        <w:tabs>
          <w:tab w:val="left" w:pos="4620"/>
        </w:tabs>
        <w:spacing w:line="360" w:lineRule="auto"/>
        <w:jc w:val="left"/>
        <w:rPr>
          <w:rFonts w:asciiTheme="minorEastAsia" w:hAnsiTheme="minorEastAsia" w:eastAsiaTheme="minorEastAsia"/>
          <w:color w:val="auto"/>
          <w:sz w:val="24"/>
          <w:szCs w:val="24"/>
          <w:highlight w:val="none"/>
        </w:rPr>
      </w:pPr>
    </w:p>
    <w:p w14:paraId="3A54EB8D">
      <w:pPr>
        <w:tabs>
          <w:tab w:val="left" w:pos="4620"/>
        </w:tabs>
        <w:spacing w:line="360" w:lineRule="auto"/>
        <w:jc w:val="left"/>
        <w:rPr>
          <w:rFonts w:asciiTheme="minorEastAsia" w:hAnsiTheme="minorEastAsia" w:eastAsiaTheme="minorEastAsia"/>
          <w:color w:val="auto"/>
          <w:sz w:val="24"/>
          <w:szCs w:val="24"/>
          <w:highlight w:val="none"/>
        </w:rPr>
      </w:pPr>
    </w:p>
    <w:p w14:paraId="7C444092">
      <w:pPr>
        <w:tabs>
          <w:tab w:val="left" w:pos="4620"/>
        </w:tabs>
        <w:spacing w:line="360" w:lineRule="auto"/>
        <w:jc w:val="left"/>
        <w:rPr>
          <w:rFonts w:asciiTheme="minorEastAsia" w:hAnsiTheme="minorEastAsia" w:eastAsiaTheme="minorEastAsia"/>
          <w:color w:val="auto"/>
          <w:sz w:val="24"/>
          <w:szCs w:val="24"/>
          <w:highlight w:val="none"/>
        </w:rPr>
      </w:pPr>
    </w:p>
    <w:p w14:paraId="0EAEBB9F">
      <w:pPr>
        <w:tabs>
          <w:tab w:val="left" w:pos="4620"/>
        </w:tabs>
        <w:spacing w:line="360" w:lineRule="auto"/>
        <w:jc w:val="left"/>
        <w:outlineLvl w:val="9"/>
        <w:rPr>
          <w:rFonts w:hint="eastAsia" w:asciiTheme="minorEastAsia" w:hAnsiTheme="minorEastAsia" w:eastAsiaTheme="minorEastAsia"/>
          <w:b/>
          <w:color w:val="auto"/>
          <w:szCs w:val="24"/>
          <w:highlight w:val="none"/>
          <w:lang w:eastAsia="zh-CN"/>
        </w:rPr>
      </w:pPr>
      <w:r>
        <w:rPr>
          <w:rFonts w:hint="eastAsia" w:asciiTheme="minorEastAsia" w:hAnsiTheme="minorEastAsia" w:eastAsiaTheme="minorEastAsia"/>
          <w:b/>
          <w:color w:val="auto"/>
          <w:szCs w:val="24"/>
          <w:highlight w:val="none"/>
          <w:lang w:eastAsia="zh-CN"/>
        </w:rPr>
        <w:t>注：</w:t>
      </w:r>
    </w:p>
    <w:p w14:paraId="18F0C2DB">
      <w:pPr>
        <w:tabs>
          <w:tab w:val="left" w:pos="4620"/>
        </w:tabs>
        <w:spacing w:line="360" w:lineRule="auto"/>
        <w:rPr>
          <w:rFonts w:asciiTheme="minorEastAsia" w:hAnsiTheme="minorEastAsia" w:eastAsiaTheme="minorEastAsia"/>
          <w:color w:val="auto"/>
          <w:szCs w:val="24"/>
          <w:highlight w:val="none"/>
        </w:rPr>
      </w:pPr>
      <w:r>
        <w:rPr>
          <w:rFonts w:asciiTheme="minorEastAsia" w:hAnsiTheme="minorEastAsia" w:eastAsiaTheme="minorEastAsia"/>
          <w:color w:val="auto"/>
          <w:szCs w:val="24"/>
          <w:highlight w:val="none"/>
        </w:rPr>
        <w:t>1.从业人员、营业收入、资产总额填报上一年数据，无上一年数据的新成立企业可不填报。</w:t>
      </w:r>
    </w:p>
    <w:p w14:paraId="55C6C4B1">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2．投标人应根据《政府采购促进中小企业发展管理办法》（财库﹝2020﹞46号）和《关于印发中小企业划型标准规定的通知》(工信部联企业〔2011〕300号)相关规定，如实填写中小企业声明函。</w:t>
      </w:r>
      <w:r>
        <w:rPr>
          <w:rFonts w:hint="eastAsia" w:ascii="宋体" w:hAnsi="宋体" w:eastAsia="宋体" w:cs="宋体"/>
          <w:b/>
          <w:bCs/>
          <w:color w:val="auto"/>
          <w:szCs w:val="21"/>
          <w:highlight w:val="none"/>
          <w:lang w:val="zh-CN"/>
        </w:rPr>
        <w:t>如有虚假，将依法承担相应责任。</w:t>
      </w:r>
      <w:r>
        <w:rPr>
          <w:rFonts w:hint="eastAsia" w:ascii="宋体" w:hAnsi="宋体" w:eastAsia="宋体" w:cs="宋体"/>
          <w:b/>
          <w:bCs/>
          <w:color w:val="auto"/>
          <w:szCs w:val="21"/>
          <w:highlight w:val="none"/>
        </w:rPr>
        <w:t>投标人自行登录工业和信息化部官网进行中小企业规模类型自测（查询网址https://www.miit.gov.cn/）。</w:t>
      </w:r>
    </w:p>
    <w:p w14:paraId="252DCAA8">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3.上述“</w:t>
      </w:r>
      <w:r>
        <w:rPr>
          <w:rFonts w:hint="eastAsia" w:ascii="宋体" w:hAnsi="宋体" w:eastAsia="宋体" w:cs="宋体"/>
          <w:b/>
          <w:bCs/>
          <w:color w:val="auto"/>
          <w:szCs w:val="21"/>
          <w:highlight w:val="none"/>
          <w:u w:val="single"/>
          <w:lang w:val="zh-CN"/>
        </w:rPr>
        <w:t>标的名称</w:t>
      </w:r>
      <w:r>
        <w:rPr>
          <w:rFonts w:hint="eastAsia" w:ascii="宋体" w:hAnsi="宋体" w:eastAsia="宋体" w:cs="宋体"/>
          <w:b/>
          <w:bCs/>
          <w:color w:val="auto"/>
          <w:szCs w:val="21"/>
          <w:highlight w:val="none"/>
        </w:rPr>
        <w:t>”，详见第三章采购需求前附表中明确的“标的名称”。</w:t>
      </w:r>
    </w:p>
    <w:p w14:paraId="69F96805">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4.上述“</w:t>
      </w:r>
      <w:r>
        <w:rPr>
          <w:rFonts w:hint="eastAsia" w:ascii="宋体" w:hAnsi="宋体" w:eastAsia="宋体" w:cs="宋体"/>
          <w:b/>
          <w:bCs/>
          <w:color w:val="auto"/>
          <w:szCs w:val="21"/>
          <w:highlight w:val="none"/>
          <w:u w:val="single"/>
        </w:rPr>
        <w:t>采购文件中明确的所属行业</w:t>
      </w:r>
      <w:r>
        <w:rPr>
          <w:rFonts w:hint="eastAsia" w:ascii="宋体" w:hAnsi="宋体" w:eastAsia="宋体" w:cs="宋体"/>
          <w:b/>
          <w:bCs/>
          <w:color w:val="auto"/>
          <w:szCs w:val="21"/>
          <w:highlight w:val="none"/>
        </w:rPr>
        <w:t>”，详见第三章采购需求前附表中明确的“所属行业”。</w:t>
      </w:r>
    </w:p>
    <w:p w14:paraId="2285CC67">
      <w:pPr>
        <w:tabs>
          <w:tab w:val="left" w:pos="4620"/>
        </w:tabs>
        <w:spacing w:line="360" w:lineRule="auto"/>
        <w:jc w:val="left"/>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5．填写示例：</w:t>
      </w:r>
      <w:r>
        <w:rPr>
          <w:rFonts w:hint="eastAsia" w:ascii="宋体" w:hAnsi="宋体" w:eastAsia="宋体" w:cs="宋体"/>
          <w:b/>
          <w:bCs/>
          <w:color w:val="auto"/>
          <w:szCs w:val="21"/>
          <w:highlight w:val="none"/>
          <w:u w:val="single"/>
        </w:rPr>
        <w:t>某标的名称</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u w:val="single"/>
        </w:rPr>
        <w:t>填写第三章采购需求前附表中明确的“标的名称”</w:t>
      </w:r>
      <w:r>
        <w:rPr>
          <w:rFonts w:hint="eastAsia" w:ascii="宋体" w:hAnsi="宋体" w:eastAsia="宋体" w:cs="宋体"/>
          <w:b/>
          <w:bCs/>
          <w:color w:val="auto"/>
          <w:szCs w:val="21"/>
          <w:highlight w:val="none"/>
        </w:rPr>
        <w:t>），属于</w:t>
      </w:r>
      <w:r>
        <w:rPr>
          <w:rFonts w:hint="eastAsia" w:ascii="宋体" w:hAnsi="宋体" w:eastAsia="宋体" w:cs="宋体"/>
          <w:b/>
          <w:bCs/>
          <w:color w:val="auto"/>
          <w:szCs w:val="21"/>
          <w:highlight w:val="none"/>
          <w:u w:val="single"/>
        </w:rPr>
        <w:t>（填写第三章采购需求前附表中明确的“所属行业”，如软件和信息技术服务业）</w:t>
      </w:r>
      <w:r>
        <w:rPr>
          <w:rFonts w:hint="eastAsia" w:ascii="宋体" w:hAnsi="宋体" w:eastAsia="宋体" w:cs="宋体"/>
          <w:b/>
          <w:bCs/>
          <w:color w:val="auto"/>
          <w:szCs w:val="21"/>
          <w:highlight w:val="none"/>
        </w:rPr>
        <w:t>行业；承接企业为</w:t>
      </w:r>
      <w:r>
        <w:rPr>
          <w:rFonts w:hint="eastAsia" w:ascii="宋体" w:hAnsi="宋体" w:eastAsia="宋体" w:cs="宋体"/>
          <w:b/>
          <w:bCs/>
          <w:color w:val="auto"/>
          <w:szCs w:val="21"/>
          <w:highlight w:val="none"/>
          <w:u w:val="single"/>
          <w:lang w:val="zh-CN"/>
        </w:rPr>
        <w:t>某</w:t>
      </w:r>
      <w:r>
        <w:rPr>
          <w:rFonts w:hint="eastAsia" w:ascii="宋体" w:hAnsi="宋体" w:eastAsia="宋体" w:cs="宋体"/>
          <w:b/>
          <w:bCs/>
          <w:color w:val="auto"/>
          <w:szCs w:val="21"/>
          <w:highlight w:val="none"/>
          <w:u w:val="single"/>
        </w:rPr>
        <w:t>企业</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从业人员</w:t>
      </w:r>
      <w:r>
        <w:rPr>
          <w:rFonts w:hint="eastAsia" w:ascii="宋体" w:hAnsi="宋体" w:eastAsia="宋体" w:cs="宋体"/>
          <w:b/>
          <w:bCs/>
          <w:color w:val="auto"/>
          <w:szCs w:val="21"/>
          <w:highlight w:val="none"/>
          <w:u w:val="single"/>
        </w:rPr>
        <w:t>100</w:t>
      </w:r>
      <w:r>
        <w:rPr>
          <w:rFonts w:hint="eastAsia" w:ascii="宋体" w:hAnsi="宋体" w:eastAsia="宋体" w:cs="宋体"/>
          <w:b/>
          <w:bCs/>
          <w:color w:val="auto"/>
          <w:szCs w:val="21"/>
          <w:highlight w:val="none"/>
          <w:lang w:val="zh-CN"/>
        </w:rPr>
        <w:t>人</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营业收入为</w:t>
      </w:r>
      <w:r>
        <w:rPr>
          <w:rFonts w:hint="eastAsia" w:ascii="宋体" w:hAnsi="宋体" w:eastAsia="宋体" w:cs="宋体"/>
          <w:b/>
          <w:bCs/>
          <w:color w:val="auto"/>
          <w:szCs w:val="21"/>
          <w:highlight w:val="none"/>
          <w:u w:val="single"/>
        </w:rPr>
        <w:t>10000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资产总额为</w:t>
      </w:r>
      <w:r>
        <w:rPr>
          <w:rFonts w:hint="eastAsia" w:ascii="宋体" w:hAnsi="宋体" w:eastAsia="宋体" w:cs="宋体"/>
          <w:b/>
          <w:bCs/>
          <w:color w:val="auto"/>
          <w:szCs w:val="21"/>
          <w:highlight w:val="none"/>
          <w:u w:val="single"/>
        </w:rPr>
        <w:t>5000</w:t>
      </w:r>
      <w:r>
        <w:rPr>
          <w:rFonts w:hint="eastAsia" w:ascii="宋体" w:hAnsi="宋体" w:eastAsia="宋体" w:cs="宋体"/>
          <w:b/>
          <w:bCs/>
          <w:color w:val="auto"/>
          <w:szCs w:val="21"/>
          <w:highlight w:val="none"/>
          <w:lang w:val="zh-CN"/>
        </w:rPr>
        <w:t>万元</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val="zh-CN"/>
        </w:rPr>
        <w:t>属于</w:t>
      </w:r>
      <w:r>
        <w:rPr>
          <w:rFonts w:hint="eastAsia" w:ascii="宋体" w:hAnsi="宋体" w:eastAsia="宋体" w:cs="宋体"/>
          <w:b/>
          <w:bCs/>
          <w:color w:val="auto"/>
          <w:szCs w:val="21"/>
          <w:highlight w:val="none"/>
        </w:rPr>
        <w:t>中</w:t>
      </w:r>
      <w:r>
        <w:rPr>
          <w:rFonts w:hint="eastAsia" w:ascii="宋体" w:hAnsi="宋体" w:eastAsia="宋体" w:cs="宋体"/>
          <w:b/>
          <w:bCs/>
          <w:color w:val="auto"/>
          <w:szCs w:val="21"/>
          <w:highlight w:val="none"/>
          <w:u w:val="single"/>
          <w:lang w:val="zh-CN"/>
        </w:rPr>
        <w:t>型</w:t>
      </w:r>
      <w:r>
        <w:rPr>
          <w:rFonts w:hint="eastAsia" w:ascii="宋体" w:hAnsi="宋体" w:eastAsia="宋体" w:cs="宋体"/>
          <w:b/>
          <w:bCs/>
          <w:color w:val="auto"/>
          <w:szCs w:val="21"/>
          <w:highlight w:val="none"/>
          <w:lang w:val="zh-CN"/>
        </w:rPr>
        <w:t>企业</w:t>
      </w:r>
      <w:r>
        <w:rPr>
          <w:rFonts w:hint="eastAsia" w:ascii="宋体" w:hAnsi="宋体" w:eastAsia="宋体" w:cs="宋体"/>
          <w:b/>
          <w:bCs/>
          <w:color w:val="auto"/>
          <w:szCs w:val="21"/>
          <w:highlight w:val="none"/>
        </w:rPr>
        <w:t>[投标人自行登录工业和信息化部官网进行中小企业规模类型自测（查询网址https://www.miit.gov.cn/）]</w:t>
      </w:r>
      <w:r>
        <w:rPr>
          <w:rFonts w:hint="eastAsia" w:ascii="宋体" w:hAnsi="宋体" w:eastAsia="宋体" w:cs="宋体"/>
          <w:b/>
          <w:bCs/>
          <w:color w:val="auto"/>
          <w:szCs w:val="21"/>
          <w:highlight w:val="none"/>
          <w:lang w:val="zh-CN"/>
        </w:rPr>
        <w:t>。</w:t>
      </w:r>
    </w:p>
    <w:p w14:paraId="5486CDE7">
      <w:pPr>
        <w:pStyle w:val="8"/>
        <w:rPr>
          <w:rFonts w:hint="eastAsia" w:asciiTheme="minorEastAsia" w:hAnsiTheme="minorEastAsia" w:eastAsiaTheme="minorEastAsia"/>
          <w:b/>
          <w:bCs/>
          <w:color w:val="auto"/>
          <w:szCs w:val="24"/>
          <w:highlight w:val="none"/>
        </w:rPr>
      </w:pPr>
    </w:p>
    <w:p w14:paraId="1E5754CC">
      <w:pPr>
        <w:rPr>
          <w:rFonts w:hint="eastAsia" w:asciiTheme="minorEastAsia" w:hAnsiTheme="minorEastAsia" w:eastAsiaTheme="minorEastAsia"/>
          <w:b/>
          <w:color w:val="auto"/>
          <w:sz w:val="24"/>
          <w:highlight w:val="none"/>
        </w:rPr>
      </w:pPr>
      <w:bookmarkStart w:id="219" w:name="_Toc16713"/>
      <w:r>
        <w:rPr>
          <w:rFonts w:hint="eastAsia" w:asciiTheme="minorEastAsia" w:hAnsiTheme="minorEastAsia" w:eastAsiaTheme="minorEastAsia"/>
          <w:b/>
          <w:color w:val="auto"/>
          <w:sz w:val="24"/>
          <w:highlight w:val="none"/>
        </w:rPr>
        <w:br w:type="page"/>
      </w:r>
    </w:p>
    <w:p w14:paraId="23FB3173">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220" w:name="_Toc17315"/>
      <w:r>
        <w:rPr>
          <w:rFonts w:hint="eastAsia" w:asciiTheme="minorEastAsia" w:hAnsiTheme="minorEastAsia" w:eastAsiaTheme="minorEastAsia"/>
          <w:b/>
          <w:color w:val="auto"/>
          <w:sz w:val="24"/>
          <w:highlight w:val="none"/>
          <w:lang w:val="en-US" w:eastAsia="zh-CN"/>
        </w:rPr>
        <w:t>九、残疾人福利性单位声明函</w:t>
      </w:r>
      <w:bookmarkEnd w:id="219"/>
      <w:bookmarkEnd w:id="220"/>
    </w:p>
    <w:p w14:paraId="790FF97C">
      <w:pPr>
        <w:pStyle w:val="8"/>
        <w:jc w:val="center"/>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（非残疾人福利性单位投标，请删去“残疾人福利性单位声明函”）</w:t>
      </w:r>
    </w:p>
    <w:p w14:paraId="5C34D28E">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w:t>
      </w:r>
      <w:r>
        <w:rPr>
          <w:rFonts w:hint="eastAsia" w:asciiTheme="minorEastAsia" w:hAnsiTheme="minorEastAsia" w:eastAsiaTheme="minorEastAsia"/>
          <w:color w:val="auto"/>
          <w:sz w:val="24"/>
          <w:highlight w:val="none"/>
        </w:rPr>
        <w:t>郑重</w:t>
      </w:r>
      <w:r>
        <w:rPr>
          <w:rFonts w:hint="eastAsia" w:asciiTheme="minorEastAsia" w:hAnsiTheme="minorEastAsia" w:eastAsiaTheme="minorEastAsia"/>
          <w:color w:val="auto"/>
          <w:spacing w:val="6"/>
          <w:sz w:val="24"/>
          <w:szCs w:val="24"/>
          <w:highlight w:val="none"/>
        </w:rPr>
        <w:t>声明，根据《财政部 民政部 中国残疾人联合会关于促进残疾人就业政府采购政策的通知》（财库</w:t>
      </w:r>
      <w:r>
        <w:rPr>
          <w:rFonts w:hint="eastAsia" w:asciiTheme="minorEastAsia" w:hAnsiTheme="minorEastAsia" w:eastAsiaTheme="minorEastAsia"/>
          <w:color w:val="auto"/>
          <w:sz w:val="24"/>
          <w:szCs w:val="24"/>
          <w:highlight w:val="none"/>
        </w:rPr>
        <w:t>〔2017〕141</w:t>
      </w:r>
      <w:r>
        <w:rPr>
          <w:rFonts w:hint="eastAsia" w:asciiTheme="minorEastAsia" w:hAnsiTheme="minorEastAsia" w:eastAsiaTheme="minorEastAsia"/>
          <w:color w:val="auto"/>
          <w:spacing w:val="6"/>
          <w:sz w:val="24"/>
          <w:szCs w:val="24"/>
          <w:highlight w:val="none"/>
        </w:rPr>
        <w:t>号）的规定，本单位为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788B783E">
      <w:pPr>
        <w:spacing w:line="360" w:lineRule="auto"/>
        <w:ind w:firstLine="435"/>
        <w:rPr>
          <w:rFonts w:asciiTheme="minorEastAsia" w:hAnsiTheme="minorEastAsia" w:eastAsiaTheme="minorEastAsia"/>
          <w:color w:val="auto"/>
          <w:spacing w:val="6"/>
          <w:sz w:val="24"/>
          <w:szCs w:val="24"/>
          <w:highlight w:val="none"/>
        </w:rPr>
      </w:pPr>
      <w:r>
        <w:rPr>
          <w:rFonts w:hint="eastAsia" w:asciiTheme="minorEastAsia" w:hAnsiTheme="minorEastAsia" w:eastAsiaTheme="minorEastAsia"/>
          <w:color w:val="auto"/>
          <w:spacing w:val="6"/>
          <w:sz w:val="24"/>
          <w:szCs w:val="24"/>
          <w:highlight w:val="none"/>
        </w:rPr>
        <w:t>本单位对上述声明的真实性负责。如有虚假，将依法承担相应责任。</w:t>
      </w:r>
    </w:p>
    <w:p w14:paraId="6B6F03E7">
      <w:pPr>
        <w:spacing w:line="360" w:lineRule="auto"/>
        <w:ind w:firstLine="4228" w:firstLineChars="1762"/>
        <w:rPr>
          <w:rFonts w:asciiTheme="minorEastAsia" w:hAnsiTheme="minorEastAsia" w:eastAsiaTheme="minorEastAsia"/>
          <w:color w:val="auto"/>
          <w:sz w:val="24"/>
          <w:szCs w:val="24"/>
          <w:highlight w:val="none"/>
        </w:rPr>
      </w:pPr>
    </w:p>
    <w:p w14:paraId="0641654C">
      <w:pPr>
        <w:spacing w:line="360" w:lineRule="auto"/>
        <w:ind w:firstLine="4228" w:firstLineChars="1762"/>
        <w:rPr>
          <w:rFonts w:asciiTheme="minorEastAsia" w:hAnsiTheme="minorEastAsia" w:eastAsiaTheme="minorEastAsia"/>
          <w:color w:val="auto"/>
          <w:sz w:val="24"/>
          <w:szCs w:val="24"/>
          <w:highlight w:val="none"/>
        </w:rPr>
      </w:pPr>
    </w:p>
    <w:p w14:paraId="32BCD5DE">
      <w:pPr>
        <w:spacing w:line="360" w:lineRule="auto"/>
        <w:ind w:firstLine="4228" w:firstLineChars="176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投标人</w:t>
      </w:r>
      <w:r>
        <w:rPr>
          <w:rFonts w:asciiTheme="minorEastAsia" w:hAnsiTheme="minorEastAsia" w:eastAsiaTheme="minorEastAsia"/>
          <w:color w:val="auto"/>
          <w:sz w:val="24"/>
          <w:szCs w:val="24"/>
          <w:highlight w:val="none"/>
        </w:rPr>
        <w:t>电子签章</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u w:val="single"/>
        </w:rPr>
        <w:t xml:space="preserve">             </w:t>
      </w:r>
    </w:p>
    <w:p w14:paraId="1F39CAD4">
      <w:pPr>
        <w:tabs>
          <w:tab w:val="left" w:pos="4620"/>
        </w:tabs>
        <w:spacing w:line="360" w:lineRule="auto"/>
        <w:ind w:firstLine="4252" w:firstLineChars="1772"/>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日</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 xml:space="preserve">    期：</w:t>
      </w:r>
      <w:r>
        <w:rPr>
          <w:rFonts w:asciiTheme="minorEastAsia" w:hAnsiTheme="minorEastAsia" w:eastAsiaTheme="minorEastAsia"/>
          <w:color w:val="auto"/>
          <w:sz w:val="24"/>
          <w:szCs w:val="24"/>
          <w:highlight w:val="none"/>
          <w:u w:val="single"/>
        </w:rPr>
        <w:t xml:space="preserve">             </w:t>
      </w:r>
    </w:p>
    <w:p w14:paraId="7619F1F0">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27D46E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heme="minorEastAsia" w:hAnsiTheme="minorEastAsia" w:eastAsiaTheme="minorEastAsia"/>
          <w:b/>
          <w:color w:val="auto"/>
          <w:sz w:val="24"/>
          <w:highlight w:val="none"/>
          <w:lang w:val="en-US" w:eastAsia="zh-CN"/>
        </w:rPr>
      </w:pPr>
      <w:bookmarkStart w:id="221" w:name="_Toc300210382"/>
      <w:bookmarkStart w:id="222" w:name="_Toc520299348"/>
      <w:bookmarkStart w:id="223" w:name="_Toc457768004"/>
      <w:bookmarkStart w:id="224" w:name="_Toc23860"/>
      <w:bookmarkStart w:id="225" w:name="_Toc26536"/>
      <w:bookmarkStart w:id="226" w:name="_Hlk11701496"/>
      <w:r>
        <w:rPr>
          <w:rFonts w:hint="eastAsia" w:asciiTheme="minorEastAsia" w:hAnsiTheme="minorEastAsia" w:eastAsiaTheme="minorEastAsia"/>
          <w:b/>
          <w:color w:val="auto"/>
          <w:sz w:val="24"/>
          <w:highlight w:val="none"/>
          <w:lang w:val="en-US" w:eastAsia="zh-CN"/>
        </w:rPr>
        <w:t>十、</w:t>
      </w:r>
      <w:r>
        <w:rPr>
          <w:rFonts w:hint="eastAsia" w:ascii="宋体" w:hAnsi="宋体" w:eastAsia="宋体" w:cs="@仿宋_GB2312"/>
          <w:b/>
          <w:color w:val="auto"/>
          <w:sz w:val="24"/>
          <w:szCs w:val="20"/>
          <w:highlight w:val="none"/>
        </w:rPr>
        <w:t>关于符合本国产品标准的声明函</w:t>
      </w:r>
    </w:p>
    <w:p w14:paraId="71F6D4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i w:val="0"/>
          <w:iCs w:val="0"/>
          <w:caps w:val="0"/>
          <w:color w:val="auto"/>
          <w:spacing w:val="0"/>
          <w:sz w:val="24"/>
          <w:szCs w:val="24"/>
          <w:highlight w:val="none"/>
          <w:u w:val="none"/>
          <w:shd w:val="clear" w:color="auto" w:fill="FFFFFF"/>
          <w:vertAlign w:val="baseline"/>
        </w:rPr>
      </w:pPr>
      <w:r>
        <w:rPr>
          <w:rFonts w:hint="eastAsia" w:ascii="宋体" w:hAnsi="宋体" w:eastAsia="宋体"/>
          <w:b w:val="0"/>
          <w:i/>
          <w:color w:val="auto"/>
          <w:sz w:val="24"/>
          <w:highlight w:val="none"/>
          <w:lang w:val="en-US" w:eastAsia="zh-CN"/>
        </w:rPr>
        <w:t>（不符合本国产品扶持政策，不需此件）</w:t>
      </w:r>
    </w:p>
    <w:p w14:paraId="6FB7725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344EF7B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1.</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rPr>
        <w:t>（产品名称1）</w:t>
      </w:r>
      <w:r>
        <w:rPr>
          <w:rStyle w:val="29"/>
          <w:rFonts w:hint="eastAsia" w:ascii="宋体" w:hAnsi="宋体" w:eastAsia="宋体" w:cs="宋体"/>
          <w:i w:val="0"/>
          <w:iCs w:val="0"/>
          <w:caps w:val="0"/>
          <w:color w:val="auto"/>
          <w:spacing w:val="0"/>
          <w:sz w:val="24"/>
          <w:szCs w:val="24"/>
          <w:highlight w:val="none"/>
          <w:u w:val="none"/>
          <w:shd w:val="clear" w:color="auto" w:fill="FFFFFF"/>
          <w:vertAlign w:val="superscript"/>
        </w:rPr>
        <w:t>1</w:t>
      </w:r>
      <w:r>
        <w:rPr>
          <w:rFonts w:hint="eastAsia" w:ascii="宋体" w:hAnsi="宋体" w:eastAsia="宋体" w:cs="宋体"/>
          <w:i w:val="0"/>
          <w:iCs w:val="0"/>
          <w:caps w:val="0"/>
          <w:color w:val="auto"/>
          <w:spacing w:val="0"/>
          <w:sz w:val="24"/>
          <w:szCs w:val="24"/>
          <w:highlight w:val="none"/>
          <w:u w:val="none"/>
          <w:shd w:val="clear" w:color="auto" w:fill="FFFFFF"/>
          <w:vertAlign w:val="baseline"/>
        </w:rPr>
        <w:t>，生产厂为</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rPr>
        <w:t>（厂名）</w:t>
      </w:r>
      <w:r>
        <w:rPr>
          <w:rStyle w:val="29"/>
          <w:rFonts w:hint="eastAsia" w:ascii="宋体" w:hAnsi="宋体" w:eastAsia="宋体" w:cs="宋体"/>
          <w:i w:val="0"/>
          <w:iCs w:val="0"/>
          <w:caps w:val="0"/>
          <w:color w:val="auto"/>
          <w:spacing w:val="0"/>
          <w:sz w:val="24"/>
          <w:szCs w:val="24"/>
          <w:highlight w:val="none"/>
          <w:u w:val="none"/>
          <w:shd w:val="clear" w:color="auto" w:fill="FFFFFF"/>
          <w:vertAlign w:val="superscript"/>
        </w:rPr>
        <w:t>2</w:t>
      </w:r>
      <w:r>
        <w:rPr>
          <w:rFonts w:hint="eastAsia" w:ascii="宋体" w:hAnsi="宋体" w:eastAsia="宋体" w:cs="宋体"/>
          <w:i w:val="0"/>
          <w:iCs w:val="0"/>
          <w:caps w:val="0"/>
          <w:color w:val="auto"/>
          <w:spacing w:val="0"/>
          <w:sz w:val="24"/>
          <w:szCs w:val="24"/>
          <w:highlight w:val="none"/>
          <w:u w:val="none"/>
          <w:shd w:val="clear" w:color="auto" w:fill="FFFFFF"/>
          <w:vertAlign w:val="baseline"/>
        </w:rPr>
        <w:t>，厂址为</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rPr>
        <w:t>（生产厂址）</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的中国境内生产的组件成本占比≥</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在中国境内生产。</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在中国境内完成。</w:t>
      </w:r>
    </w:p>
    <w:p w14:paraId="31ED8C2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2.</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u w:val="none"/>
          <w:shd w:val="clear" w:color="auto" w:fill="FFFFFF"/>
          <w:vertAlign w:val="baseline"/>
        </w:rPr>
        <w:t>，生产厂为</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rPr>
        <w:t>（厂名）</w:t>
      </w:r>
      <w:r>
        <w:rPr>
          <w:rFonts w:hint="eastAsia" w:ascii="宋体" w:hAnsi="宋体" w:eastAsia="宋体" w:cs="宋体"/>
          <w:i w:val="0"/>
          <w:iCs w:val="0"/>
          <w:caps w:val="0"/>
          <w:color w:val="auto"/>
          <w:spacing w:val="0"/>
          <w:sz w:val="24"/>
          <w:szCs w:val="24"/>
          <w:highlight w:val="none"/>
          <w:u w:val="none"/>
          <w:shd w:val="clear" w:color="auto" w:fill="FFFFFF"/>
          <w:vertAlign w:val="baseline"/>
        </w:rPr>
        <w:t>，厂址为</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rPr>
        <w:t>（生产厂址）</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的中国境内生产的组件成本占比≥</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在中国境内生产。</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29"/>
          <w:rFonts w:hint="eastAsia" w:ascii="宋体" w:hAnsi="宋体" w:eastAsia="宋体" w:cs="宋体"/>
          <w:i w:val="0"/>
          <w:iCs w:val="0"/>
          <w:caps w:val="0"/>
          <w:color w:val="auto"/>
          <w:spacing w:val="0"/>
          <w:sz w:val="24"/>
          <w:szCs w:val="24"/>
          <w:highlight w:val="none"/>
          <w:u w:val="single"/>
          <w:shd w:val="clear" w:color="auto" w:fill="FFFFFF"/>
          <w:vertAlign w:val="baseline"/>
          <w:lang w:val="en-US" w:eastAsia="zh-CN"/>
        </w:rPr>
        <w:t xml:space="preserve">  /  </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在中国境内完成。</w:t>
      </w:r>
    </w:p>
    <w:p w14:paraId="7190735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w:t>
      </w:r>
    </w:p>
    <w:p w14:paraId="59B25A0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本公司（单位）对上述声明内容的真实性负责。如有虚假，愿承担相应法律责任。</w:t>
      </w:r>
    </w:p>
    <w:p w14:paraId="0DEA17DF">
      <w:pPr>
        <w:keepNext w:val="0"/>
        <w:keepLines w:val="0"/>
        <w:pageBreakBefore w:val="0"/>
        <w:widowControl w:val="0"/>
        <w:kinsoku/>
        <w:wordWrap/>
        <w:overflowPunct/>
        <w:topLinePunct w:val="0"/>
        <w:autoSpaceDE/>
        <w:autoSpaceDN/>
        <w:bidi w:val="0"/>
        <w:adjustRightInd/>
        <w:snapToGrid/>
        <w:spacing w:line="360" w:lineRule="auto"/>
        <w:ind w:firstLine="4228" w:firstLineChars="1762"/>
        <w:textAlignment w:val="auto"/>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投标人</w:t>
      </w:r>
      <w:r>
        <w:rPr>
          <w:rFonts w:ascii="宋体" w:hAnsi="宋体" w:eastAsia="宋体"/>
          <w:color w:val="auto"/>
          <w:sz w:val="24"/>
          <w:szCs w:val="24"/>
          <w:highlight w:val="none"/>
        </w:rPr>
        <w:t>电子签章</w:t>
      </w:r>
      <w:r>
        <w:rPr>
          <w:rFonts w:hint="eastAsia" w:ascii="宋体" w:hAnsi="宋体" w:eastAsia="宋体"/>
          <w:color w:val="auto"/>
          <w:sz w:val="24"/>
          <w:szCs w:val="24"/>
          <w:highlight w:val="none"/>
        </w:rPr>
        <w:t>：</w:t>
      </w:r>
      <w:r>
        <w:rPr>
          <w:rFonts w:ascii="宋体" w:hAnsi="宋体" w:eastAsia="宋体"/>
          <w:color w:val="auto"/>
          <w:sz w:val="24"/>
          <w:szCs w:val="24"/>
          <w:highlight w:val="none"/>
          <w:u w:val="single"/>
        </w:rPr>
        <w:t xml:space="preserve">             </w:t>
      </w:r>
    </w:p>
    <w:p w14:paraId="33233788">
      <w:pPr>
        <w:keepNext w:val="0"/>
        <w:keepLines w:val="0"/>
        <w:pageBreakBefore w:val="0"/>
        <w:widowControl w:val="0"/>
        <w:tabs>
          <w:tab w:val="left" w:pos="4620"/>
        </w:tabs>
        <w:kinsoku/>
        <w:wordWrap/>
        <w:overflowPunct/>
        <w:topLinePunct w:val="0"/>
        <w:autoSpaceDE/>
        <w:autoSpaceDN/>
        <w:bidi w:val="0"/>
        <w:adjustRightInd/>
        <w:snapToGrid/>
        <w:spacing w:line="360" w:lineRule="auto"/>
        <w:ind w:firstLine="4252" w:firstLineChars="1772"/>
        <w:textAlignment w:val="auto"/>
        <w:rPr>
          <w:rFonts w:hint="eastAsia" w:ascii="宋体" w:hAnsi="宋体" w:eastAsia="宋体" w:cs="宋体"/>
          <w:i w:val="0"/>
          <w:iCs w:val="0"/>
          <w:caps w:val="0"/>
          <w:color w:val="auto"/>
          <w:spacing w:val="0"/>
          <w:sz w:val="24"/>
          <w:szCs w:val="24"/>
          <w:highlight w:val="none"/>
          <w:u w:val="none"/>
          <w:shd w:val="clear" w:color="auto" w:fill="FFFFFF"/>
          <w:vertAlign w:val="baseline"/>
        </w:rPr>
      </w:pPr>
      <w:r>
        <w:rPr>
          <w:rFonts w:hint="eastAsia" w:ascii="宋体" w:hAnsi="宋体" w:eastAsia="宋体"/>
          <w:color w:val="auto"/>
          <w:sz w:val="24"/>
          <w:szCs w:val="24"/>
          <w:highlight w:val="none"/>
        </w:rPr>
        <w:t>日</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    期：</w:t>
      </w:r>
      <w:r>
        <w:rPr>
          <w:rFonts w:ascii="宋体" w:hAnsi="宋体" w:eastAsia="宋体"/>
          <w:color w:val="auto"/>
          <w:sz w:val="24"/>
          <w:szCs w:val="24"/>
          <w:highlight w:val="none"/>
          <w:u w:val="single"/>
        </w:rPr>
        <w:t xml:space="preserve">             </w:t>
      </w:r>
    </w:p>
    <w:p w14:paraId="7283C02E">
      <w:pPr>
        <w:tabs>
          <w:tab w:val="left" w:pos="4620"/>
        </w:tabs>
        <w:spacing w:line="360" w:lineRule="auto"/>
        <w:jc w:val="left"/>
        <w:rPr>
          <w:rFonts w:hint="eastAsia" w:ascii="宋体" w:hAnsi="宋体" w:eastAsia="宋体"/>
          <w:b w:val="0"/>
          <w:bCs/>
          <w:color w:val="auto"/>
          <w:szCs w:val="24"/>
          <w:highlight w:val="none"/>
          <w:lang w:eastAsia="zh-CN"/>
        </w:rPr>
      </w:pPr>
      <w:r>
        <w:rPr>
          <w:rFonts w:hint="eastAsia" w:ascii="宋体" w:hAnsi="宋体" w:eastAsia="宋体" w:cs="Times New Roman"/>
          <w:b/>
          <w:color w:val="auto"/>
          <w:szCs w:val="24"/>
          <w:highlight w:val="none"/>
          <w:lang w:val="en-US" w:eastAsia="zh-CN"/>
        </w:rPr>
        <w:t>注：</w:t>
      </w:r>
    </w:p>
    <w:p w14:paraId="5114D191">
      <w:pPr>
        <w:tabs>
          <w:tab w:val="left" w:pos="4620"/>
        </w:tabs>
        <w:spacing w:line="360" w:lineRule="auto"/>
        <w:jc w:val="left"/>
        <w:rPr>
          <w:rFonts w:hint="eastAsia" w:ascii="宋体" w:hAnsi="宋体" w:eastAsia="宋体"/>
          <w:b w:val="0"/>
          <w:bCs/>
          <w:color w:val="auto"/>
          <w:szCs w:val="24"/>
          <w:highlight w:val="none"/>
          <w:lang w:eastAsia="zh-CN"/>
        </w:rPr>
      </w:pPr>
      <w:r>
        <w:rPr>
          <w:rFonts w:hint="eastAsia" w:ascii="宋体" w:hAnsi="宋体" w:eastAsia="宋体"/>
          <w:b w:val="0"/>
          <w:bCs/>
          <w:color w:val="auto"/>
          <w:szCs w:val="24"/>
          <w:highlight w:val="none"/>
          <w:lang w:eastAsia="zh-CN"/>
        </w:rPr>
        <w:t>1.产品如有型号，请在“产品名称”栏一并填写。</w:t>
      </w:r>
    </w:p>
    <w:p w14:paraId="3B3A64A6">
      <w:pPr>
        <w:tabs>
          <w:tab w:val="left" w:pos="4620"/>
        </w:tabs>
        <w:spacing w:line="360" w:lineRule="auto"/>
        <w:jc w:val="left"/>
        <w:rPr>
          <w:rFonts w:hint="eastAsia" w:ascii="宋体" w:hAnsi="宋体" w:eastAsia="宋体"/>
          <w:b w:val="0"/>
          <w:bCs/>
          <w:color w:val="auto"/>
          <w:szCs w:val="24"/>
          <w:highlight w:val="none"/>
          <w:lang w:eastAsia="zh-CN"/>
        </w:rPr>
      </w:pPr>
      <w:r>
        <w:rPr>
          <w:rFonts w:hint="eastAsia" w:ascii="宋体" w:hAnsi="宋体" w:eastAsia="宋体"/>
          <w:b w:val="0"/>
          <w:bCs/>
          <w:color w:val="auto"/>
          <w:szCs w:val="24"/>
          <w:highlight w:val="none"/>
          <w:lang w:eastAsia="zh-CN"/>
        </w:rPr>
        <w:t>2.生产厂名与厂址应与生产厂营业执照载明的相关信息保持一致。</w:t>
      </w:r>
    </w:p>
    <w:p w14:paraId="19816030">
      <w:pPr>
        <w:tabs>
          <w:tab w:val="left" w:pos="4620"/>
        </w:tabs>
        <w:spacing w:line="360" w:lineRule="auto"/>
        <w:jc w:val="left"/>
        <w:rPr>
          <w:rFonts w:hint="eastAsia"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Cs w:val="24"/>
          <w:highlight w:val="none"/>
          <w:lang w:val="en-US" w:eastAsia="zh-CN"/>
        </w:rPr>
        <w:t>3.上述声明函中标注</w:t>
      </w:r>
      <w:r>
        <w:rPr>
          <w:rFonts w:hint="eastAsia" w:ascii="宋体" w:hAnsi="宋体" w:eastAsia="宋体" w:cs="Times New Roman"/>
          <w:b w:val="0"/>
          <w:bCs/>
          <w:color w:val="auto"/>
          <w:szCs w:val="24"/>
          <w:highlight w:val="none"/>
          <w:u w:val="single"/>
          <w:lang w:val="en-US" w:eastAsia="zh-CN"/>
        </w:rPr>
        <w:t xml:space="preserve">  /  </w:t>
      </w:r>
      <w:r>
        <w:rPr>
          <w:rFonts w:hint="eastAsia" w:ascii="宋体" w:hAnsi="宋体" w:eastAsia="宋体" w:cs="Times New Roman"/>
          <w:b w:val="0"/>
          <w:bCs/>
          <w:color w:val="auto"/>
          <w:szCs w:val="24"/>
          <w:highlight w:val="none"/>
          <w:lang w:val="en-US" w:eastAsia="zh-CN"/>
        </w:rPr>
        <w:t>的，无需填写。</w:t>
      </w:r>
    </w:p>
    <w:p w14:paraId="2F2A5335">
      <w:pPr>
        <w:tabs>
          <w:tab w:val="left" w:pos="4620"/>
        </w:tabs>
        <w:spacing w:line="360" w:lineRule="auto"/>
        <w:jc w:val="left"/>
        <w:rPr>
          <w:rFonts w:hint="default" w:ascii="宋体" w:hAnsi="宋体" w:eastAsia="宋体" w:cs="Times New Roman"/>
          <w:b w:val="0"/>
          <w:bCs/>
          <w:color w:val="auto"/>
          <w:szCs w:val="24"/>
          <w:highlight w:val="none"/>
          <w:lang w:val="en-US" w:eastAsia="zh-CN"/>
        </w:rPr>
      </w:pPr>
      <w:r>
        <w:rPr>
          <w:rFonts w:hint="eastAsia" w:ascii="宋体" w:hAnsi="宋体" w:eastAsia="宋体" w:cs="Times New Roman"/>
          <w:b w:val="0"/>
          <w:bCs/>
          <w:color w:val="auto"/>
          <w:sz w:val="21"/>
          <w:szCs w:val="21"/>
          <w:highlight w:val="none"/>
          <w:lang w:val="en-US" w:eastAsia="zh-CN"/>
        </w:rPr>
        <w:t>4.投标人应当结合“五、投标分项报价表-货物部分”相关信息进行填写。</w:t>
      </w:r>
    </w:p>
    <w:p w14:paraId="73A07190">
      <w:pPr>
        <w:spacing w:line="360" w:lineRule="auto"/>
        <w:jc w:val="center"/>
        <w:outlineLvl w:val="9"/>
        <w:rPr>
          <w:rFonts w:hint="eastAsia" w:ascii="宋体" w:hAnsi="宋体" w:eastAsia="宋体" w:cs="Times New Roman"/>
          <w:b w:val="0"/>
          <w:bCs/>
          <w:color w:val="auto"/>
          <w:sz w:val="21"/>
          <w:szCs w:val="21"/>
          <w:highlight w:val="none"/>
          <w:lang w:val="en-US" w:eastAsia="zh-CN"/>
        </w:rPr>
      </w:pPr>
      <w:r>
        <w:rPr>
          <w:rFonts w:hint="eastAsia" w:ascii="宋体" w:hAnsi="宋体" w:eastAsia="宋体" w:cs="Times New Roman"/>
          <w:b w:val="0"/>
          <w:bCs/>
          <w:color w:val="auto"/>
          <w:sz w:val="21"/>
          <w:szCs w:val="21"/>
          <w:highlight w:val="none"/>
          <w:lang w:val="en-US" w:eastAsia="zh-CN"/>
        </w:rPr>
        <w:t>5.根据《国务院办公厅关于在政府采购中实施本国产品标准及相关政策的通知》（</w:t>
      </w:r>
      <w:r>
        <w:rPr>
          <w:rFonts w:hint="eastAsia" w:ascii="宋体" w:hAnsi="宋体" w:eastAsia="宋体" w:cs="Times New Roman"/>
          <w:b w:val="0"/>
          <w:bCs/>
          <w:color w:val="auto"/>
          <w:sz w:val="21"/>
          <w:szCs w:val="21"/>
          <w:highlight w:val="none"/>
          <w:lang w:eastAsia="zh-CN"/>
        </w:rPr>
        <w:t>国办发〔2025〕34号）</w:t>
      </w:r>
      <w:r>
        <w:rPr>
          <w:rFonts w:hint="eastAsia" w:ascii="宋体" w:hAnsi="宋体" w:eastAsia="宋体" w:cs="Times New Roman"/>
          <w:b w:val="0"/>
          <w:bCs/>
          <w:color w:val="auto"/>
          <w:sz w:val="21"/>
          <w:szCs w:val="21"/>
          <w:highlight w:val="none"/>
          <w:lang w:val="en-US" w:eastAsia="zh-CN"/>
        </w:rPr>
        <w:t>和财政部工业和信息化部关于贯彻落实《国务院办公厅关于在政府采购中实施本国产品标准及相关政策的通知》的意见（财库〔2025〕30号），本项目所称的本国产品是指在</w:t>
      </w:r>
      <w:r>
        <w:rPr>
          <w:rFonts w:hint="eastAsia" w:ascii="宋体" w:hAnsi="宋体" w:eastAsia="宋体" w:cs="Times New Roman"/>
          <w:b w:val="0"/>
          <w:bCs/>
          <w:color w:val="auto"/>
          <w:sz w:val="21"/>
          <w:szCs w:val="21"/>
          <w:highlight w:val="none"/>
          <w:lang w:eastAsia="zh-CN"/>
        </w:rPr>
        <w:t>中国境内生产</w:t>
      </w:r>
      <w:r>
        <w:rPr>
          <w:rFonts w:hint="eastAsia" w:ascii="宋体" w:hAnsi="宋体" w:eastAsia="宋体" w:cs="Times New Roman"/>
          <w:b w:val="0"/>
          <w:bCs/>
          <w:color w:val="auto"/>
          <w:sz w:val="21"/>
          <w:szCs w:val="21"/>
          <w:highlight w:val="none"/>
          <w:lang w:val="en-US" w:eastAsia="zh-CN"/>
        </w:rPr>
        <w:t>的产品</w:t>
      </w:r>
      <w:r>
        <w:rPr>
          <w:rFonts w:hint="eastAsia" w:ascii="宋体" w:hAnsi="宋体" w:eastAsia="宋体" w:cs="Times New Roman"/>
          <w:b w:val="0"/>
          <w:bCs/>
          <w:color w:val="auto"/>
          <w:sz w:val="21"/>
          <w:szCs w:val="21"/>
          <w:highlight w:val="none"/>
          <w:lang w:eastAsia="zh-CN"/>
        </w:rPr>
        <w:t>，即在中华人民共和国关境内实现从原材料、组件到产品的属性改变。</w:t>
      </w:r>
      <w:r>
        <w:rPr>
          <w:rFonts w:hint="eastAsia" w:ascii="宋体" w:hAnsi="宋体" w:eastAsia="宋体" w:cs="Times New Roman"/>
          <w:b w:val="0"/>
          <w:bCs/>
          <w:color w:val="auto"/>
          <w:sz w:val="21"/>
          <w:szCs w:val="21"/>
          <w:highlight w:val="none"/>
          <w:lang w:val="en-US" w:eastAsia="zh-CN"/>
        </w:rPr>
        <w:t>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F337779">
      <w:pPr>
        <w:rPr>
          <w:rFonts w:hint="eastAsia" w:ascii="宋体" w:hAnsi="宋体" w:eastAsia="宋体" w:cs="Times New Roman"/>
          <w:b w:val="0"/>
          <w:bCs/>
          <w:color w:val="auto"/>
          <w:sz w:val="21"/>
          <w:szCs w:val="21"/>
          <w:highlight w:val="none"/>
          <w:lang w:val="en-US" w:eastAsia="zh-CN"/>
        </w:rPr>
      </w:pPr>
      <w:r>
        <w:rPr>
          <w:rFonts w:hint="eastAsia" w:ascii="宋体" w:hAnsi="宋体" w:eastAsia="宋体" w:cs="Times New Roman"/>
          <w:b w:val="0"/>
          <w:bCs/>
          <w:color w:val="auto"/>
          <w:sz w:val="21"/>
          <w:szCs w:val="21"/>
          <w:highlight w:val="none"/>
          <w:lang w:val="en-US" w:eastAsia="zh-CN"/>
        </w:rPr>
        <w:br w:type="page"/>
      </w:r>
    </w:p>
    <w:p w14:paraId="58C53534">
      <w:pPr>
        <w:spacing w:line="360" w:lineRule="auto"/>
        <w:jc w:val="center"/>
        <w:outlineLvl w:val="1"/>
        <w:rPr>
          <w:rFonts w:hint="eastAsia"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十一、</w:t>
      </w:r>
      <w:bookmarkEnd w:id="221"/>
      <w:bookmarkEnd w:id="222"/>
      <w:bookmarkEnd w:id="223"/>
      <w:r>
        <w:rPr>
          <w:rFonts w:hint="eastAsia" w:asciiTheme="minorEastAsia" w:hAnsiTheme="minorEastAsia" w:eastAsiaTheme="minorEastAsia"/>
          <w:b/>
          <w:color w:val="auto"/>
          <w:sz w:val="24"/>
          <w:highlight w:val="none"/>
          <w:lang w:val="en-US" w:eastAsia="zh-CN"/>
        </w:rPr>
        <w:t>诚信履约承诺函</w:t>
      </w:r>
      <w:bookmarkEnd w:id="224"/>
      <w:bookmarkEnd w:id="225"/>
    </w:p>
    <w:p w14:paraId="5DE995B7">
      <w:pPr>
        <w:spacing w:line="360" w:lineRule="auto"/>
        <w:rPr>
          <w:rFonts w:asciiTheme="minorEastAsia" w:hAnsiTheme="minorEastAsia" w:eastAsiaTheme="minorEastAsia"/>
          <w:b/>
          <w:bCs/>
          <w:color w:val="auto"/>
          <w:sz w:val="24"/>
          <w:highlight w:val="none"/>
        </w:rPr>
      </w:pPr>
    </w:p>
    <w:p w14:paraId="4A7B338F">
      <w:pPr>
        <w:spacing w:line="360" w:lineRule="auto"/>
        <w:rPr>
          <w:rFonts w:hint="eastAsia" w:asciiTheme="minorEastAsia" w:hAnsiTheme="minorEastAsia" w:eastAsiaTheme="minorEastAsia"/>
          <w:b/>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none"/>
          <w:lang w:eastAsia="zh-CN"/>
        </w:rPr>
        <w:t>采购人</w:t>
      </w:r>
    </w:p>
    <w:p w14:paraId="07A24498">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0DDA297F">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72AE55EC">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275D7269">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0AEFF99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4DFACF0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3538F6A1">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CC48780">
      <w:pPr>
        <w:spacing w:line="360" w:lineRule="auto"/>
        <w:rPr>
          <w:rFonts w:asciiTheme="minorEastAsia" w:hAnsiTheme="minorEastAsia" w:eastAsiaTheme="minorEastAsia"/>
          <w:bCs/>
          <w:color w:val="auto"/>
          <w:sz w:val="24"/>
          <w:highlight w:val="none"/>
        </w:rPr>
      </w:pPr>
    </w:p>
    <w:p w14:paraId="5C404290">
      <w:pPr>
        <w:spacing w:line="360" w:lineRule="auto"/>
        <w:rPr>
          <w:rFonts w:asciiTheme="minorEastAsia" w:hAnsiTheme="minorEastAsia" w:eastAsiaTheme="minorEastAsia"/>
          <w:bCs/>
          <w:color w:val="auto"/>
          <w:sz w:val="24"/>
          <w:highlight w:val="none"/>
        </w:rPr>
      </w:pPr>
    </w:p>
    <w:p w14:paraId="31FBCB4D">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投标人电子签章：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111BBB82">
      <w:pPr>
        <w:spacing w:line="360" w:lineRule="auto"/>
        <w:ind w:firstLine="4320" w:firstLineChars="18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7DBB82A2">
      <w:pPr>
        <w:widowControl/>
        <w:jc w:val="left"/>
        <w:rPr>
          <w:rFonts w:ascii="宋体" w:hAnsi="宋体" w:eastAsia="宋体" w:cs="Arial"/>
          <w:color w:val="auto"/>
          <w:sz w:val="24"/>
          <w:highlight w:val="none"/>
        </w:rPr>
      </w:pPr>
      <w:r>
        <w:rPr>
          <w:rFonts w:ascii="宋体" w:hAnsi="宋体" w:eastAsia="宋体" w:cs="Arial"/>
          <w:color w:val="auto"/>
          <w:sz w:val="24"/>
          <w:highlight w:val="none"/>
        </w:rPr>
        <w:br w:type="page"/>
      </w:r>
    </w:p>
    <w:bookmarkEnd w:id="226"/>
    <w:p w14:paraId="1B7E2883">
      <w:pPr>
        <w:spacing w:line="360" w:lineRule="auto"/>
        <w:jc w:val="center"/>
        <w:outlineLvl w:val="1"/>
        <w:rPr>
          <w:rFonts w:hint="eastAsia" w:asciiTheme="minorEastAsia" w:hAnsiTheme="minorEastAsia" w:eastAsiaTheme="minorEastAsia"/>
          <w:b/>
          <w:color w:val="auto"/>
          <w:sz w:val="24"/>
          <w:highlight w:val="none"/>
          <w:lang w:val="en-US" w:eastAsia="zh-CN"/>
        </w:rPr>
      </w:pPr>
      <w:bookmarkStart w:id="227" w:name="_Toc32633"/>
      <w:bookmarkStart w:id="228" w:name="_Toc31807"/>
      <w:r>
        <w:rPr>
          <w:rFonts w:hint="eastAsia" w:asciiTheme="minorEastAsia" w:hAnsiTheme="minorEastAsia" w:eastAsiaTheme="minorEastAsia"/>
          <w:b/>
          <w:color w:val="auto"/>
          <w:sz w:val="24"/>
          <w:highlight w:val="none"/>
          <w:lang w:val="en-US" w:eastAsia="zh-CN"/>
        </w:rPr>
        <w:t>十二、其他相关证明材料</w:t>
      </w:r>
      <w:bookmarkEnd w:id="227"/>
      <w:bookmarkEnd w:id="228"/>
    </w:p>
    <w:p w14:paraId="75407AA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提供符合投标邀请、采购需求及评标方法和标准规定的相关证明文件。</w:t>
      </w:r>
    </w:p>
    <w:p w14:paraId="541A62A2">
      <w:pPr>
        <w:spacing w:line="360" w:lineRule="auto"/>
        <w:ind w:firstLine="480" w:firstLineChars="200"/>
        <w:rPr>
          <w:rFonts w:asciiTheme="minorEastAsia" w:hAnsiTheme="minorEastAsia" w:eastAsiaTheme="minorEastAsia"/>
          <w:color w:val="auto"/>
          <w:sz w:val="24"/>
          <w:highlight w:val="none"/>
        </w:rPr>
      </w:pPr>
    </w:p>
    <w:p w14:paraId="20C34398">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1DBF0F1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投标人在投标文件制作时可在此栏内上传</w:t>
      </w:r>
      <w:r>
        <w:rPr>
          <w:rFonts w:asciiTheme="minorEastAsia" w:hAnsiTheme="minorEastAsia" w:eastAsiaTheme="minorEastAsia"/>
          <w:color w:val="auto"/>
          <w:sz w:val="24"/>
          <w:highlight w:val="none"/>
        </w:rPr>
        <w:t>招标文件要求上传的证明资料</w:t>
      </w:r>
      <w:r>
        <w:rPr>
          <w:rFonts w:hint="eastAsia" w:asciiTheme="minorEastAsia" w:hAnsiTheme="minorEastAsia" w:eastAsiaTheme="minorEastAsia"/>
          <w:color w:val="auto"/>
          <w:sz w:val="24"/>
          <w:highlight w:val="none"/>
          <w:lang w:val="en-US" w:eastAsia="zh-CN"/>
        </w:rPr>
        <w:t>及评审资料</w:t>
      </w:r>
      <w:r>
        <w:rPr>
          <w:rFonts w:hint="eastAsia" w:asciiTheme="minorEastAsia" w:hAnsiTheme="minorEastAsia" w:eastAsiaTheme="minorEastAsia"/>
          <w:color w:val="auto"/>
          <w:sz w:val="24"/>
          <w:highlight w:val="none"/>
        </w:rPr>
        <w:t>，如营业执照、证书</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技术标方案</w:t>
      </w:r>
      <w:r>
        <w:rPr>
          <w:rFonts w:asciiTheme="minorEastAsia" w:hAnsiTheme="minorEastAsia" w:eastAsiaTheme="minorEastAsia"/>
          <w:color w:val="auto"/>
          <w:sz w:val="24"/>
          <w:highlight w:val="none"/>
        </w:rPr>
        <w:t>等，应将上述证明材料制作成扫描件上传。</w:t>
      </w:r>
    </w:p>
    <w:p w14:paraId="5E56F64A">
      <w:pPr>
        <w:widowControl/>
        <w:jc w:val="left"/>
        <w:rPr>
          <w:rFonts w:ascii="宋体" w:hAnsi="宋体" w:eastAsia="宋体"/>
          <w:bCs/>
          <w:color w:val="auto"/>
          <w:sz w:val="24"/>
          <w:highlight w:val="none"/>
        </w:rPr>
      </w:pPr>
      <w:r>
        <w:rPr>
          <w:rFonts w:ascii="宋体" w:hAnsi="宋体" w:eastAsia="宋体"/>
          <w:bCs/>
          <w:color w:val="auto"/>
          <w:sz w:val="24"/>
          <w:highlight w:val="none"/>
        </w:rPr>
        <w:br w:type="page"/>
      </w:r>
    </w:p>
    <w:p w14:paraId="44CB71BD">
      <w:pPr>
        <w:spacing w:line="360" w:lineRule="auto"/>
        <w:jc w:val="center"/>
        <w:outlineLvl w:val="0"/>
        <w:rPr>
          <w:rFonts w:ascii="宋体" w:hAnsi="宋体" w:eastAsia="宋体"/>
          <w:b/>
          <w:bCs/>
          <w:color w:val="auto"/>
          <w:sz w:val="28"/>
          <w:highlight w:val="none"/>
        </w:rPr>
      </w:pPr>
      <w:bookmarkStart w:id="229" w:name="_Toc6435"/>
      <w:bookmarkStart w:id="230" w:name="_Toc20819"/>
      <w:r>
        <w:rPr>
          <w:rFonts w:hint="eastAsia" w:asciiTheme="minorEastAsia" w:hAnsiTheme="minorEastAsia" w:eastAsiaTheme="minorEastAsia"/>
          <w:b/>
          <w:color w:val="auto"/>
          <w:sz w:val="28"/>
          <w:highlight w:val="none"/>
        </w:rPr>
        <w:t>第</w:t>
      </w:r>
      <w:r>
        <w:rPr>
          <w:rFonts w:hint="eastAsia" w:asciiTheme="minorEastAsia" w:hAnsiTheme="minorEastAsia" w:eastAsiaTheme="minorEastAsia"/>
          <w:b/>
          <w:color w:val="auto"/>
          <w:sz w:val="28"/>
          <w:highlight w:val="none"/>
          <w:lang w:val="en-US" w:eastAsia="zh-CN"/>
        </w:rPr>
        <w:t>七</w:t>
      </w:r>
      <w:r>
        <w:rPr>
          <w:rFonts w:hint="eastAsia" w:asciiTheme="minorEastAsia" w:hAnsiTheme="minorEastAsia" w:eastAsiaTheme="minorEastAsia"/>
          <w:b/>
          <w:color w:val="auto"/>
          <w:sz w:val="28"/>
          <w:highlight w:val="none"/>
        </w:rPr>
        <w:t>章</w:t>
      </w:r>
      <w:r>
        <w:rPr>
          <w:rFonts w:hint="eastAsia" w:ascii="宋体" w:hAnsi="宋体" w:eastAsia="宋体"/>
          <w:b/>
          <w:bCs/>
          <w:color w:val="auto"/>
          <w:sz w:val="28"/>
          <w:highlight w:val="none"/>
        </w:rPr>
        <w:t xml:space="preserve">  政府采购</w:t>
      </w:r>
      <w:r>
        <w:rPr>
          <w:rFonts w:hint="eastAsia" w:asciiTheme="minorEastAsia" w:hAnsiTheme="minorEastAsia" w:eastAsiaTheme="minorEastAsia"/>
          <w:b/>
          <w:color w:val="auto"/>
          <w:sz w:val="28"/>
          <w:highlight w:val="none"/>
        </w:rPr>
        <w:t>供应</w:t>
      </w:r>
      <w:r>
        <w:rPr>
          <w:rFonts w:hint="eastAsia" w:ascii="宋体" w:hAnsi="宋体" w:eastAsia="宋体"/>
          <w:b/>
          <w:bCs/>
          <w:color w:val="auto"/>
          <w:sz w:val="28"/>
          <w:highlight w:val="none"/>
        </w:rPr>
        <w:t>商询问函和质疑函范本</w:t>
      </w:r>
      <w:bookmarkEnd w:id="229"/>
      <w:bookmarkEnd w:id="230"/>
    </w:p>
    <w:p w14:paraId="2F844E93">
      <w:pPr>
        <w:spacing w:line="360" w:lineRule="auto"/>
        <w:jc w:val="center"/>
        <w:outlineLvl w:val="1"/>
        <w:rPr>
          <w:rFonts w:ascii="仿宋" w:hAnsi="仿宋" w:eastAsia="仿宋" w:cs="仿宋"/>
          <w:b/>
          <w:bCs/>
          <w:color w:val="auto"/>
          <w:sz w:val="32"/>
          <w:szCs w:val="44"/>
          <w:highlight w:val="none"/>
        </w:rPr>
      </w:pPr>
      <w:bookmarkStart w:id="231" w:name="_Toc27159"/>
      <w:bookmarkStart w:id="232" w:name="_Toc6955"/>
      <w:r>
        <w:rPr>
          <w:rFonts w:hint="eastAsia" w:ascii="仿宋" w:hAnsi="仿宋" w:eastAsia="仿宋" w:cs="仿宋"/>
          <w:b/>
          <w:bCs/>
          <w:color w:val="auto"/>
          <w:sz w:val="32"/>
          <w:szCs w:val="44"/>
          <w:highlight w:val="none"/>
        </w:rPr>
        <w:t>询问函范本</w:t>
      </w:r>
      <w:bookmarkEnd w:id="231"/>
      <w:bookmarkEnd w:id="232"/>
    </w:p>
    <w:p w14:paraId="4334B616">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1F4667E4">
      <w:pPr>
        <w:adjustRightInd w:val="0"/>
        <w:snapToGrid w:val="0"/>
        <w:spacing w:line="360" w:lineRule="auto"/>
        <w:rPr>
          <w:rFonts w:hint="eastAsia" w:cs="仿宋" w:asciiTheme="minorEastAsia" w:hAnsiTheme="minorEastAsia" w:eastAsiaTheme="minorEastAsia"/>
          <w:b/>
          <w:bCs/>
          <w:color w:val="auto"/>
          <w:sz w:val="24"/>
          <w:szCs w:val="24"/>
          <w:highlight w:val="none"/>
          <w:u w:val="single"/>
          <w:lang w:eastAsia="zh-CN"/>
        </w:rPr>
      </w:pPr>
      <w:r>
        <w:rPr>
          <w:rFonts w:hint="eastAsia" w:cs="仿宋" w:asciiTheme="minorEastAsia" w:hAnsiTheme="minorEastAsia" w:eastAsiaTheme="minorEastAsia"/>
          <w:b/>
          <w:bCs/>
          <w:color w:val="auto"/>
          <w:sz w:val="24"/>
          <w:szCs w:val="24"/>
          <w:highlight w:val="none"/>
          <w:lang w:val="en-US" w:eastAsia="zh-CN"/>
        </w:rPr>
        <w:t>致：</w:t>
      </w:r>
      <w:r>
        <w:rPr>
          <w:rFonts w:hint="eastAsia" w:cs="仿宋" w:asciiTheme="minorEastAsia" w:hAnsiTheme="minorEastAsia" w:eastAsiaTheme="minorEastAsia"/>
          <w:b/>
          <w:bCs/>
          <w:color w:val="auto"/>
          <w:sz w:val="24"/>
          <w:szCs w:val="24"/>
          <w:highlight w:val="none"/>
          <w:u w:val="none"/>
          <w:lang w:eastAsia="zh-CN"/>
        </w:rPr>
        <w:t>采购人</w:t>
      </w:r>
    </w:p>
    <w:p w14:paraId="7F26864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我单位拟参与</w:t>
      </w:r>
      <w:r>
        <w:rPr>
          <w:rFonts w:hint="eastAsia" w:cs="仿宋" w:asciiTheme="minorEastAsia" w:hAnsiTheme="minorEastAsia" w:eastAsiaTheme="minorEastAsia"/>
          <w:color w:val="auto"/>
          <w:sz w:val="24"/>
          <w:szCs w:val="24"/>
          <w:highlight w:val="none"/>
          <w:u w:val="single"/>
          <w:lang w:val="en-US" w:eastAsia="zh-CN"/>
        </w:rPr>
        <w:t xml:space="preserve">           </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i/>
          <w:iCs/>
          <w:color w:val="auto"/>
          <w:sz w:val="24"/>
          <w:szCs w:val="24"/>
          <w:highlight w:val="none"/>
          <w:u w:val="none"/>
          <w:lang w:val="en-US" w:eastAsia="zh-CN"/>
        </w:rPr>
        <w:t>项目名称、编号</w:t>
      </w:r>
      <w:r>
        <w:rPr>
          <w:rFonts w:hint="eastAsia" w:cs="仿宋" w:asciiTheme="minorEastAsia" w:hAnsiTheme="minorEastAsia" w:eastAsiaTheme="minorEastAsia"/>
          <w:color w:val="auto"/>
          <w:sz w:val="24"/>
          <w:szCs w:val="24"/>
          <w:highlight w:val="none"/>
          <w:u w:val="none"/>
          <w:lang w:val="en-US" w:eastAsia="zh-CN"/>
        </w:rPr>
        <w:t>）</w:t>
      </w:r>
      <w:r>
        <w:rPr>
          <w:rFonts w:hint="eastAsia" w:cs="仿宋" w:asciiTheme="minorEastAsia" w:hAnsiTheme="minorEastAsia" w:eastAsiaTheme="minorEastAsia"/>
          <w:color w:val="auto"/>
          <w:sz w:val="24"/>
          <w:szCs w:val="24"/>
          <w:highlight w:val="none"/>
        </w:rPr>
        <w:t>的采购活动，现有以下内容(或条款)存在疑问(或无法理解)，特提出询问。</w:t>
      </w:r>
    </w:p>
    <w:p w14:paraId="256A5BAF">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233" w:name="_Toc13899"/>
      <w:r>
        <w:rPr>
          <w:rFonts w:hint="eastAsia" w:cs="仿宋" w:asciiTheme="minorEastAsia" w:hAnsiTheme="minorEastAsia" w:eastAsiaTheme="minorEastAsia"/>
          <w:color w:val="auto"/>
          <w:sz w:val="24"/>
          <w:szCs w:val="24"/>
          <w:highlight w:val="none"/>
        </w:rPr>
        <w:t>一、(事项一)</w:t>
      </w:r>
      <w:bookmarkEnd w:id="233"/>
    </w:p>
    <w:p w14:paraId="348DB46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39F8305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4F06D82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6440CE37">
      <w:pPr>
        <w:adjustRightInd w:val="0"/>
        <w:snapToGrid w:val="0"/>
        <w:spacing w:line="360" w:lineRule="auto"/>
        <w:ind w:firstLine="480" w:firstLineChars="200"/>
        <w:outlineLvl w:val="9"/>
        <w:rPr>
          <w:rFonts w:cs="仿宋" w:asciiTheme="minorEastAsia" w:hAnsiTheme="minorEastAsia" w:eastAsiaTheme="minorEastAsia"/>
          <w:color w:val="auto"/>
          <w:sz w:val="24"/>
          <w:szCs w:val="24"/>
          <w:highlight w:val="none"/>
        </w:rPr>
      </w:pPr>
      <w:bookmarkStart w:id="234" w:name="_Toc3352"/>
      <w:r>
        <w:rPr>
          <w:rFonts w:hint="eastAsia" w:cs="仿宋" w:asciiTheme="minorEastAsia" w:hAnsiTheme="minorEastAsia" w:eastAsiaTheme="minorEastAsia"/>
          <w:color w:val="auto"/>
          <w:sz w:val="24"/>
          <w:szCs w:val="24"/>
          <w:highlight w:val="none"/>
        </w:rPr>
        <w:t>二、(事项二)</w:t>
      </w:r>
      <w:bookmarkEnd w:id="234"/>
    </w:p>
    <w:p w14:paraId="571E276A">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FC44D9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684328C0">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5D84F24E">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5AA6D9EC">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324B498B">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3B35B92B">
      <w:pPr>
        <w:jc w:val="center"/>
        <w:outlineLvl w:val="1"/>
        <w:rPr>
          <w:rFonts w:ascii="仿宋" w:hAnsi="仿宋" w:eastAsia="仿宋" w:cs="仿宋"/>
          <w:b/>
          <w:bCs/>
          <w:color w:val="auto"/>
          <w:sz w:val="32"/>
          <w:szCs w:val="44"/>
          <w:highlight w:val="none"/>
        </w:rPr>
      </w:pPr>
      <w:bookmarkStart w:id="235" w:name="_Toc857"/>
      <w:bookmarkStart w:id="236" w:name="_Toc1575"/>
      <w:r>
        <w:rPr>
          <w:rFonts w:hint="eastAsia" w:ascii="仿宋" w:hAnsi="仿宋" w:eastAsia="仿宋" w:cs="仿宋"/>
          <w:b/>
          <w:bCs/>
          <w:color w:val="auto"/>
          <w:sz w:val="32"/>
          <w:szCs w:val="44"/>
          <w:highlight w:val="none"/>
        </w:rPr>
        <w:t>质疑函范本</w:t>
      </w:r>
      <w:bookmarkEnd w:id="235"/>
      <w:bookmarkEnd w:id="236"/>
    </w:p>
    <w:p w14:paraId="0719FFBD">
      <w:pPr>
        <w:adjustRightInd w:val="0"/>
        <w:snapToGrid w:val="0"/>
        <w:spacing w:before="312" w:beforeLines="100" w:line="360" w:lineRule="auto"/>
        <w:outlineLvl w:val="9"/>
        <w:rPr>
          <w:rFonts w:cs="仿宋" w:asciiTheme="minorEastAsia" w:hAnsiTheme="minorEastAsia" w:eastAsiaTheme="minorEastAsia"/>
          <w:b/>
          <w:bCs/>
          <w:color w:val="auto"/>
          <w:sz w:val="24"/>
          <w:szCs w:val="24"/>
          <w:highlight w:val="none"/>
        </w:rPr>
      </w:pPr>
      <w:bookmarkStart w:id="237" w:name="_Toc21381"/>
      <w:r>
        <w:rPr>
          <w:rFonts w:hint="eastAsia" w:cs="仿宋" w:asciiTheme="minorEastAsia" w:hAnsiTheme="minorEastAsia" w:eastAsiaTheme="minorEastAsia"/>
          <w:b/>
          <w:bCs/>
          <w:color w:val="auto"/>
          <w:sz w:val="24"/>
          <w:szCs w:val="24"/>
          <w:highlight w:val="none"/>
        </w:rPr>
        <w:t>一、质疑供应商基本信息</w:t>
      </w:r>
      <w:bookmarkEnd w:id="237"/>
    </w:p>
    <w:p w14:paraId="6BFD0B88">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5010B6F7">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0D406EF7">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D9B979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1486CBEB">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r>
        <w:rPr>
          <w:rFonts w:cs="仿宋" w:asciiTheme="minorEastAsia" w:hAnsiTheme="minorEastAsia" w:eastAsiaTheme="minorEastAsia"/>
          <w:color w:val="auto"/>
          <w:sz w:val="24"/>
          <w:szCs w:val="24"/>
          <w:highlight w:val="none"/>
        </w:rPr>
        <w:t xml:space="preserve"> </w:t>
      </w:r>
    </w:p>
    <w:p w14:paraId="64DF0ECB">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5CF354DF">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238" w:name="_Toc28415"/>
      <w:r>
        <w:rPr>
          <w:rFonts w:hint="eastAsia" w:cs="仿宋" w:asciiTheme="minorEastAsia" w:hAnsiTheme="minorEastAsia" w:eastAsiaTheme="minorEastAsia"/>
          <w:b/>
          <w:bCs/>
          <w:color w:val="auto"/>
          <w:sz w:val="24"/>
          <w:szCs w:val="24"/>
          <w:highlight w:val="none"/>
        </w:rPr>
        <w:t>二、质疑项目基本情况</w:t>
      </w:r>
      <w:bookmarkEnd w:id="238"/>
    </w:p>
    <w:p w14:paraId="366688A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16D8313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1A9E4E1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1AC8E22D">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4D903C5D">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239" w:name="_Toc19014"/>
      <w:r>
        <w:rPr>
          <w:rFonts w:hint="eastAsia" w:cs="仿宋" w:asciiTheme="minorEastAsia" w:hAnsiTheme="minorEastAsia" w:eastAsiaTheme="minorEastAsia"/>
          <w:b/>
          <w:bCs/>
          <w:color w:val="auto"/>
          <w:sz w:val="24"/>
          <w:szCs w:val="24"/>
          <w:highlight w:val="none"/>
        </w:rPr>
        <w:t>三、质疑事项具体内容</w:t>
      </w:r>
      <w:bookmarkEnd w:id="239"/>
    </w:p>
    <w:p w14:paraId="3FBD369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063668D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61E255EC">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4E51E9A0">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26EBA81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0C6F5FD6">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78E889A2">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07583B86">
      <w:pPr>
        <w:adjustRightInd w:val="0"/>
        <w:snapToGrid w:val="0"/>
        <w:spacing w:line="360" w:lineRule="auto"/>
        <w:outlineLvl w:val="9"/>
        <w:rPr>
          <w:rFonts w:cs="仿宋" w:asciiTheme="minorEastAsia" w:hAnsiTheme="minorEastAsia" w:eastAsiaTheme="minorEastAsia"/>
          <w:b/>
          <w:bCs/>
          <w:color w:val="auto"/>
          <w:sz w:val="24"/>
          <w:szCs w:val="24"/>
          <w:highlight w:val="none"/>
        </w:rPr>
      </w:pPr>
      <w:bookmarkStart w:id="240" w:name="_Toc17919"/>
      <w:r>
        <w:rPr>
          <w:rFonts w:hint="eastAsia" w:cs="仿宋" w:asciiTheme="minorEastAsia" w:hAnsiTheme="minorEastAsia" w:eastAsiaTheme="minorEastAsia"/>
          <w:b/>
          <w:bCs/>
          <w:color w:val="auto"/>
          <w:sz w:val="24"/>
          <w:szCs w:val="24"/>
          <w:highlight w:val="none"/>
        </w:rPr>
        <w:t>四、与质疑事项相关的质疑请求</w:t>
      </w:r>
      <w:bookmarkEnd w:id="240"/>
    </w:p>
    <w:p w14:paraId="3D63D033">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76660B01">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3BA687DC">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7DA8AB48">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5888E1CE">
      <w:pPr>
        <w:outlineLvl w:val="0"/>
        <w:rPr>
          <w:rFonts w:asciiTheme="minorEastAsia" w:hAnsiTheme="minorEastAsia" w:eastAsiaTheme="minorEastAsia"/>
          <w:b/>
          <w:color w:val="auto"/>
          <w:sz w:val="28"/>
          <w:szCs w:val="32"/>
          <w:highlight w:val="none"/>
        </w:rPr>
      </w:pPr>
      <w:bookmarkStart w:id="241" w:name="_Toc22239"/>
      <w:bookmarkStart w:id="242" w:name="_Toc9754"/>
      <w:r>
        <w:rPr>
          <w:rFonts w:hint="eastAsia" w:asciiTheme="minorEastAsia" w:hAnsiTheme="minorEastAsia" w:eastAsiaTheme="minorEastAsia"/>
          <w:b/>
          <w:color w:val="auto"/>
          <w:sz w:val="28"/>
          <w:szCs w:val="32"/>
          <w:highlight w:val="none"/>
        </w:rPr>
        <w:t>质疑函制作说明：</w:t>
      </w:r>
      <w:bookmarkEnd w:id="241"/>
      <w:bookmarkEnd w:id="242"/>
    </w:p>
    <w:p w14:paraId="41BC987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3D4ACF0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662E80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4BA16BE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12075F2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4478821D">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33A6106C">
      <w:pP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br w:type="page"/>
      </w:r>
    </w:p>
    <w:p w14:paraId="4DD37971">
      <w:pPr>
        <w:keepNext/>
        <w:keepLines/>
        <w:spacing w:before="200" w:after="200" w:line="600" w:lineRule="exact"/>
        <w:outlineLvl w:val="0"/>
        <w:rPr>
          <w:rFonts w:hint="eastAsia" w:ascii="宋体" w:hAnsi="宋体" w:eastAsia="宋体" w:cs="宋体"/>
          <w:b/>
          <w:bCs/>
          <w:color w:val="auto"/>
          <w:kern w:val="44"/>
          <w:sz w:val="28"/>
          <w:szCs w:val="28"/>
          <w:highlight w:val="none"/>
        </w:rPr>
      </w:pPr>
      <w:bookmarkStart w:id="243" w:name="OLE_LINK7"/>
      <w:bookmarkStart w:id="244" w:name="OLE_LINK25"/>
      <w:bookmarkStart w:id="245" w:name="OLE_LINK24"/>
      <w:r>
        <w:rPr>
          <w:rFonts w:hint="eastAsia" w:ascii="宋体" w:hAnsi="宋体" w:eastAsia="宋体" w:cs="宋体"/>
          <w:b/>
          <w:bCs/>
          <w:color w:val="auto"/>
          <w:kern w:val="44"/>
          <w:sz w:val="36"/>
          <w:szCs w:val="28"/>
          <w:highlight w:val="none"/>
        </w:rPr>
        <w:t>附件1关于联合惩戒失信行为加强信用查询管理的通知</w:t>
      </w:r>
    </w:p>
    <w:bookmarkEnd w:id="243"/>
    <w:p w14:paraId="7622E302">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一、失信行为联合惩戒的范围和查询渠道</w:t>
      </w:r>
    </w:p>
    <w:p w14:paraId="426ECF5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在我市公共资源交易活动中对存在下列失信行为的投标人、法定代表人及其项目经理（建造师）实施联合惩戒，禁止参与我市公共资源交易活动。</w:t>
      </w:r>
    </w:p>
    <w:p w14:paraId="4274D998">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（一）工程建设项目</w:t>
      </w:r>
    </w:p>
    <w:bookmarkEnd w:id="244"/>
    <w:bookmarkEnd w:id="245"/>
    <w:p w14:paraId="7224CB04">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1、“信用中国”网站（www.creditchina.gov.cn）查询</w:t>
      </w:r>
      <w:bookmarkStart w:id="246" w:name="OLE_LINK92"/>
      <w:bookmarkStart w:id="247" w:name="OLE_LINK91"/>
      <w:bookmarkStart w:id="248" w:name="OLE_LINK93"/>
      <w:bookmarkStart w:id="249" w:name="OLE_LINK103"/>
      <w:r>
        <w:rPr>
          <w:rFonts w:hint="eastAsia" w:ascii="宋体" w:hAnsi="宋体" w:eastAsia="宋体" w:cs="宋体"/>
          <w:color w:val="auto"/>
          <w:sz w:val="28"/>
          <w:szCs w:val="28"/>
          <w:highlight w:val="none"/>
        </w:rPr>
        <w:t>投标人、法定代表人及其项目经理(建造师)</w:t>
      </w:r>
      <w:bookmarkEnd w:id="246"/>
      <w:bookmarkEnd w:id="247"/>
      <w:bookmarkEnd w:id="248"/>
      <w:bookmarkEnd w:id="249"/>
      <w:r>
        <w:rPr>
          <w:rFonts w:hint="eastAsia" w:ascii="宋体" w:hAnsi="宋体" w:eastAsia="宋体" w:cs="宋体"/>
          <w:color w:val="auto"/>
          <w:sz w:val="28"/>
          <w:szCs w:val="28"/>
          <w:highlight w:val="none"/>
        </w:rPr>
        <w:t>以下失信行为：</w:t>
      </w:r>
    </w:p>
    <w:p w14:paraId="3FC9234A">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250" w:name="OLE_LINK86"/>
      <w:bookmarkStart w:id="251" w:name="OLE_LINK3"/>
      <w:bookmarkStart w:id="252" w:name="OLE_LINK87"/>
      <w:bookmarkStart w:id="253" w:name="OLE_LINK94"/>
      <w:bookmarkStart w:id="254" w:name="OLE_LINK119"/>
      <w:r>
        <w:rPr>
          <w:rFonts w:hint="eastAsia" w:ascii="宋体" w:hAnsi="宋体" w:eastAsia="宋体" w:cs="宋体"/>
          <w:color w:val="auto"/>
          <w:sz w:val="28"/>
          <w:szCs w:val="28"/>
          <w:highlight w:val="none"/>
        </w:rPr>
        <w:t>①被列入“失信被执行人”的;</w:t>
      </w:r>
    </w:p>
    <w:p w14:paraId="394B108B">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②被列入</w:t>
      </w:r>
      <w:bookmarkStart w:id="255" w:name="OLE_LINK116"/>
      <w:bookmarkStart w:id="256" w:name="OLE_LINK118"/>
      <w:bookmarkStart w:id="257" w:name="OLE_LINK117"/>
      <w:bookmarkStart w:id="258" w:name="OLE_LINK115"/>
      <w:r>
        <w:rPr>
          <w:rFonts w:hint="eastAsia" w:ascii="宋体" w:hAnsi="宋体" w:eastAsia="宋体" w:cs="宋体"/>
          <w:color w:val="auto"/>
          <w:sz w:val="28"/>
          <w:szCs w:val="28"/>
          <w:highlight w:val="none"/>
        </w:rPr>
        <w:t>“重大税收违法失信主体”</w:t>
      </w:r>
      <w:bookmarkEnd w:id="255"/>
      <w:bookmarkEnd w:id="256"/>
      <w:bookmarkEnd w:id="257"/>
      <w:bookmarkEnd w:id="258"/>
      <w:r>
        <w:rPr>
          <w:rFonts w:hint="eastAsia" w:ascii="宋体" w:hAnsi="宋体" w:eastAsia="宋体" w:cs="宋体"/>
          <w:color w:val="auto"/>
          <w:sz w:val="28"/>
          <w:szCs w:val="28"/>
          <w:highlight w:val="none"/>
        </w:rPr>
        <w:t>的；</w:t>
      </w:r>
    </w:p>
    <w:p w14:paraId="56273F31">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259" w:name="OLE_LINK1"/>
      <w:bookmarkStart w:id="260" w:name="OLE_LINK2"/>
      <w:r>
        <w:rPr>
          <w:rFonts w:hint="eastAsia" w:ascii="宋体" w:hAnsi="宋体" w:eastAsia="宋体" w:cs="宋体"/>
          <w:color w:val="auto"/>
          <w:sz w:val="28"/>
          <w:szCs w:val="28"/>
          <w:highlight w:val="none"/>
        </w:rPr>
        <w:t>③被列入“拖欠</w:t>
      </w:r>
      <w:bookmarkStart w:id="261" w:name="OLE_LINK85"/>
      <w:bookmarkStart w:id="262" w:name="OLE_LINK84"/>
      <w:r>
        <w:rPr>
          <w:rFonts w:hint="eastAsia" w:ascii="宋体" w:hAnsi="宋体" w:eastAsia="宋体" w:cs="宋体"/>
          <w:color w:val="auto"/>
          <w:sz w:val="28"/>
          <w:szCs w:val="28"/>
          <w:highlight w:val="none"/>
        </w:rPr>
        <w:t>农民工工资失信联合惩戒对象</w:t>
      </w:r>
      <w:bookmarkEnd w:id="261"/>
      <w:bookmarkEnd w:id="262"/>
      <w:r>
        <w:rPr>
          <w:rFonts w:hint="eastAsia" w:ascii="宋体" w:hAnsi="宋体" w:eastAsia="宋体" w:cs="宋体"/>
          <w:color w:val="auto"/>
          <w:sz w:val="28"/>
          <w:szCs w:val="28"/>
          <w:highlight w:val="none"/>
        </w:rPr>
        <w:t>名单”的；</w:t>
      </w:r>
      <w:bookmarkEnd w:id="259"/>
      <w:bookmarkEnd w:id="260"/>
    </w:p>
    <w:p w14:paraId="0770792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④被列入“严重失信主体名单”的；</w:t>
      </w:r>
    </w:p>
    <w:p w14:paraId="3B176D4E">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⑤在“信用中国”网站上披露的仍在公示期的严重失信行为(具体行为类别及判定依据见附件2)的。</w:t>
      </w:r>
    </w:p>
    <w:bookmarkEnd w:id="250"/>
    <w:bookmarkEnd w:id="251"/>
    <w:bookmarkEnd w:id="252"/>
    <w:bookmarkEnd w:id="253"/>
    <w:bookmarkEnd w:id="254"/>
    <w:p w14:paraId="0D8E84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bookmarkStart w:id="263" w:name="OLE_LINK130"/>
      <w:r>
        <w:rPr>
          <w:rFonts w:hint="eastAsia" w:ascii="宋体" w:hAnsi="宋体" w:eastAsia="宋体" w:cs="宋体"/>
          <w:color w:val="auto"/>
          <w:sz w:val="28"/>
          <w:szCs w:val="28"/>
          <w:highlight w:val="none"/>
        </w:rPr>
        <w:t>国家企业信用信息公示系统网站</w:t>
      </w:r>
      <w:bookmarkEnd w:id="263"/>
      <w:r>
        <w:rPr>
          <w:rFonts w:hint="eastAsia" w:ascii="宋体" w:hAnsi="宋体" w:eastAsia="宋体" w:cs="宋体"/>
          <w:color w:val="auto"/>
          <w:sz w:val="28"/>
          <w:szCs w:val="28"/>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"http://www.gsxt.gov.cn）查询" </w:instrText>
      </w:r>
      <w:r>
        <w:rPr>
          <w:rFonts w:hint="eastAsia" w:ascii="宋体" w:hAnsi="宋体" w:eastAsia="宋体" w:cs="宋体"/>
          <w:color w:val="auto"/>
          <w:highlight w:val="none"/>
        </w:rPr>
        <w:fldChar w:fldCharType="separate"/>
      </w:r>
      <w:bookmarkStart w:id="264" w:name="OLE_LINK89"/>
      <w:bookmarkStart w:id="265" w:name="OLE_LINK90"/>
      <w:r>
        <w:rPr>
          <w:rStyle w:val="34"/>
          <w:rFonts w:hint="eastAsia" w:ascii="宋体" w:hAnsi="宋体" w:eastAsia="宋体" w:cs="宋体"/>
          <w:color w:val="auto"/>
          <w:sz w:val="28"/>
          <w:szCs w:val="28"/>
          <w:highlight w:val="none"/>
        </w:rPr>
        <w:t>www.gsxt.gov.cn</w:t>
      </w:r>
      <w:bookmarkEnd w:id="264"/>
      <w:bookmarkEnd w:id="265"/>
      <w:r>
        <w:rPr>
          <w:rStyle w:val="34"/>
          <w:rFonts w:hint="eastAsia" w:ascii="宋体" w:hAnsi="宋体" w:eastAsia="宋体" w:cs="宋体"/>
          <w:color w:val="auto"/>
          <w:sz w:val="28"/>
          <w:szCs w:val="28"/>
          <w:highlight w:val="none"/>
        </w:rPr>
        <w:t>）</w:t>
      </w:r>
      <w:r>
        <w:rPr>
          <w:rStyle w:val="34"/>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查询投标人以下失信行为：</w:t>
      </w:r>
    </w:p>
    <w:p w14:paraId="404EC1CC">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266" w:name="OLE_LINK121"/>
      <w:bookmarkStart w:id="267" w:name="OLE_LINK122"/>
      <w:bookmarkStart w:id="268" w:name="OLE_LINK120"/>
      <w:r>
        <w:rPr>
          <w:rFonts w:hint="eastAsia" w:ascii="宋体" w:hAnsi="宋体" w:eastAsia="宋体" w:cs="宋体"/>
          <w:color w:val="auto"/>
          <w:sz w:val="28"/>
          <w:szCs w:val="28"/>
          <w:highlight w:val="none"/>
        </w:rPr>
        <w:t>①被列入“经营异常名录”或者“严重违法失信名单”的。</w:t>
      </w:r>
      <w:bookmarkEnd w:id="266"/>
      <w:bookmarkEnd w:id="267"/>
      <w:bookmarkEnd w:id="268"/>
    </w:p>
    <w:p w14:paraId="723A7A3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3、由</w:t>
      </w:r>
      <w:r>
        <w:rPr>
          <w:rFonts w:hint="eastAsia" w:ascii="宋体" w:hAnsi="宋体" w:eastAsia="宋体" w:cs="宋体"/>
          <w:color w:val="auto"/>
          <w:kern w:val="0"/>
          <w:sz w:val="28"/>
          <w:szCs w:val="28"/>
          <w:highlight w:val="none"/>
        </w:rPr>
        <w:t>投标人、法定代表人及其项目经理(建造师)</w:t>
      </w:r>
      <w:r>
        <w:rPr>
          <w:rFonts w:hint="eastAsia" w:ascii="宋体" w:hAnsi="宋体" w:eastAsia="宋体" w:cs="宋体"/>
          <w:color w:val="auto"/>
          <w:sz w:val="28"/>
          <w:szCs w:val="28"/>
          <w:highlight w:val="none"/>
        </w:rPr>
        <w:t>进行承诺，不进行现场网上信用查询的失信行为：</w:t>
      </w:r>
    </w:p>
    <w:p w14:paraId="5C98D27D">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269" w:name="OLE_LINK123"/>
      <w:bookmarkStart w:id="270" w:name="OLE_LINK124"/>
      <w:r>
        <w:rPr>
          <w:rFonts w:hint="eastAsia" w:ascii="宋体" w:hAnsi="宋体" w:eastAsia="宋体" w:cs="宋体"/>
          <w:color w:val="auto"/>
          <w:sz w:val="28"/>
          <w:szCs w:val="28"/>
          <w:highlight w:val="none"/>
        </w:rPr>
        <w:t>①前三年有行贿犯罪行为的单位和个人；</w:t>
      </w:r>
    </w:p>
    <w:p w14:paraId="60932CC4">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②被滁州市县两级公管部门取消在一定期限内的投标资格且在取消期限内的；</w:t>
      </w:r>
    </w:p>
    <w:p w14:paraId="2120FCD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③被滁州市县两级各行业主管部门取消在一定期限内的投标资格且在取消期限内的；</w:t>
      </w:r>
    </w:p>
    <w:p w14:paraId="3E6286D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④因拖欠农民工工资被</w:t>
      </w:r>
      <w:bookmarkStart w:id="271" w:name="OLE_LINK107"/>
      <w:bookmarkStart w:id="272" w:name="OLE_LINK108"/>
      <w:r>
        <w:rPr>
          <w:rFonts w:hint="eastAsia" w:ascii="宋体" w:hAnsi="宋体" w:eastAsia="宋体" w:cs="宋体"/>
          <w:color w:val="auto"/>
          <w:sz w:val="28"/>
          <w:szCs w:val="28"/>
          <w:highlight w:val="none"/>
        </w:rPr>
        <w:t>县级及以上有关行政主管部门限制投标资格且在限制期限内的</w:t>
      </w:r>
      <w:bookmarkEnd w:id="271"/>
      <w:bookmarkEnd w:id="272"/>
      <w:r>
        <w:rPr>
          <w:rFonts w:hint="eastAsia" w:ascii="宋体" w:hAnsi="宋体" w:eastAsia="宋体" w:cs="宋体"/>
          <w:color w:val="auto"/>
          <w:sz w:val="28"/>
          <w:szCs w:val="28"/>
          <w:highlight w:val="none"/>
        </w:rPr>
        <w:t>；</w:t>
      </w:r>
    </w:p>
    <w:p w14:paraId="7EA0B08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bookmarkEnd w:id="269"/>
    <w:bookmarkEnd w:id="270"/>
    <w:p w14:paraId="762AA085">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（二）政府采购项目</w:t>
      </w:r>
    </w:p>
    <w:p w14:paraId="120192A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1、“信用中国”网站（</w:t>
      </w:r>
      <w:r>
        <w:rPr>
          <w:rStyle w:val="34"/>
          <w:rFonts w:hint="eastAsia" w:ascii="宋体" w:hAnsi="宋体" w:eastAsia="宋体" w:cs="宋体"/>
          <w:color w:val="auto"/>
          <w:sz w:val="28"/>
          <w:szCs w:val="28"/>
          <w:highlight w:val="none"/>
        </w:rPr>
        <w:t>www.creditchina.gov.cn</w:t>
      </w:r>
      <w:r>
        <w:rPr>
          <w:rFonts w:hint="eastAsia" w:ascii="宋体" w:hAnsi="宋体" w:eastAsia="宋体" w:cs="宋体"/>
          <w:color w:val="auto"/>
          <w:sz w:val="28"/>
          <w:szCs w:val="28"/>
          <w:highlight w:val="none"/>
        </w:rPr>
        <w:t>）查询供应商、法定代表人及其项目负责人以下失信行为：</w:t>
      </w:r>
    </w:p>
    <w:p w14:paraId="55E348B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①被列入“失信被执行人”的;</w:t>
      </w:r>
    </w:p>
    <w:p w14:paraId="494A863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②被列入“重大税收违法失信主体”的；</w:t>
      </w:r>
    </w:p>
    <w:p w14:paraId="74A6F169">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③被列入“严重失信主体名单”的；</w:t>
      </w:r>
    </w:p>
    <w:p w14:paraId="6B2A18F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④在“信用中国”网站上披露的仍在公示期的严重失信行为(具体行为类别及判定依据见附件2)的；</w:t>
      </w:r>
    </w:p>
    <w:p w14:paraId="2D5CD86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2、国家企业信用信息公示系统网站（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"http://www.gsxt.gov.cn）查询"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www.gsxt.gov.cn）</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查询供应商以下失信行为：</w:t>
      </w:r>
    </w:p>
    <w:p w14:paraId="4DA3D09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w:t>
      </w:r>
      <w:bookmarkStart w:id="273" w:name="OLE_LINK102"/>
      <w:bookmarkStart w:id="274" w:name="OLE_LINK100"/>
      <w:bookmarkStart w:id="275" w:name="OLE_LINK101"/>
      <w:r>
        <w:rPr>
          <w:rFonts w:hint="eastAsia" w:ascii="宋体" w:hAnsi="宋体" w:eastAsia="宋体" w:cs="宋体"/>
          <w:color w:val="auto"/>
          <w:sz w:val="28"/>
          <w:szCs w:val="28"/>
          <w:highlight w:val="none"/>
        </w:rPr>
        <w:t>被列入“经营异常名录”或者“严重违法失信名单”的</w:t>
      </w:r>
      <w:bookmarkEnd w:id="273"/>
      <w:bookmarkEnd w:id="274"/>
      <w:bookmarkEnd w:id="275"/>
      <w:r>
        <w:rPr>
          <w:rFonts w:hint="eastAsia" w:ascii="宋体" w:hAnsi="宋体" w:eastAsia="宋体" w:cs="宋体"/>
          <w:color w:val="auto"/>
          <w:sz w:val="28"/>
          <w:szCs w:val="28"/>
          <w:highlight w:val="none"/>
        </w:rPr>
        <w:t>。</w:t>
      </w:r>
    </w:p>
    <w:p w14:paraId="745C284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3、中国政府采购网站（</w:t>
      </w:r>
      <w:bookmarkStart w:id="276" w:name="OLE_LINK96"/>
      <w:bookmarkStart w:id="277" w:name="OLE_LINK95"/>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"http://www.ccgp.gov.cn"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www.ccgp.gov.cn</w:t>
      </w:r>
      <w:r>
        <w:rPr>
          <w:rFonts w:hint="eastAsia" w:ascii="宋体" w:hAnsi="宋体" w:eastAsia="宋体" w:cs="宋体"/>
          <w:color w:val="auto"/>
          <w:sz w:val="28"/>
          <w:szCs w:val="28"/>
          <w:highlight w:val="none"/>
        </w:rPr>
        <w:fldChar w:fldCharType="end"/>
      </w:r>
      <w:bookmarkEnd w:id="276"/>
      <w:bookmarkEnd w:id="277"/>
      <w:r>
        <w:rPr>
          <w:rFonts w:hint="eastAsia" w:ascii="宋体" w:hAnsi="宋体" w:eastAsia="宋体" w:cs="宋体"/>
          <w:color w:val="auto"/>
          <w:sz w:val="28"/>
          <w:szCs w:val="28"/>
          <w:highlight w:val="none"/>
        </w:rPr>
        <w:t>）查询以下失信行为：</w:t>
      </w:r>
    </w:p>
    <w:p w14:paraId="57DA266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w:t>
      </w:r>
      <w:bookmarkStart w:id="278" w:name="OLE_LINK104"/>
      <w:bookmarkStart w:id="279" w:name="OLE_LINK106"/>
      <w:bookmarkStart w:id="280" w:name="OLE_LINK105"/>
      <w:r>
        <w:rPr>
          <w:rFonts w:hint="eastAsia" w:ascii="宋体" w:hAnsi="宋体" w:eastAsia="宋体" w:cs="宋体"/>
          <w:color w:val="auto"/>
          <w:sz w:val="28"/>
          <w:szCs w:val="28"/>
          <w:highlight w:val="none"/>
        </w:rPr>
        <w:t>被列入“政府采购严重违法失信行为信息记录”的</w:t>
      </w:r>
      <w:bookmarkEnd w:id="278"/>
      <w:bookmarkEnd w:id="279"/>
      <w:bookmarkEnd w:id="280"/>
      <w:r>
        <w:rPr>
          <w:rFonts w:hint="eastAsia" w:ascii="宋体" w:hAnsi="宋体" w:eastAsia="宋体" w:cs="宋体"/>
          <w:color w:val="auto"/>
          <w:sz w:val="28"/>
          <w:szCs w:val="28"/>
          <w:highlight w:val="none"/>
        </w:rPr>
        <w:t>。</w:t>
      </w:r>
    </w:p>
    <w:p w14:paraId="5F3F36C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4、由竞争主体进行承诺，不进行现场网上信用查询的失信行为：</w:t>
      </w:r>
    </w:p>
    <w:p w14:paraId="048BD97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①前三年有行贿犯罪行为的单位和个人。</w:t>
      </w:r>
    </w:p>
    <w:p w14:paraId="15921C66">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二、在开评标活动中的查询程序</w:t>
      </w:r>
    </w:p>
    <w:p w14:paraId="433EAA36">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2A7C695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6AD57E74">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3、项目单位及其委托的代理机构应当做好信用查询结果截图和记录留存。</w:t>
      </w:r>
    </w:p>
    <w:p w14:paraId="6CD08F08">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三、相关要求</w:t>
      </w:r>
    </w:p>
    <w:p w14:paraId="706F544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1、参与公共资源交易活动的竞争主体根据上述范围查询的内容进行自查并承诺，出具《诚信投标承诺书》（诚信投标承诺书包括但不限于上述自查并承诺内容）并注明承诺日期（投标截止时间前5日内）。</w:t>
      </w:r>
    </w:p>
    <w:p w14:paraId="55B6F7B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2CF15704">
      <w:pPr>
        <w:wordWrap w:val="0"/>
        <w:adjustRightInd w:val="0"/>
        <w:snapToGrid w:val="0"/>
        <w:spacing w:line="560" w:lineRule="exact"/>
        <w:ind w:firstLine="560" w:firstLineChars="200"/>
        <w:rPr>
          <w:rFonts w:hint="eastAsia" w:ascii="宋体" w:hAnsi="宋体" w:eastAsia="宋体" w:cs="宋体"/>
          <w:color w:val="auto"/>
          <w:szCs w:val="24"/>
          <w:highlight w:val="none"/>
        </w:rPr>
      </w:pPr>
      <w:r>
        <w:rPr>
          <w:rFonts w:hint="eastAsia" w:ascii="宋体" w:hAnsi="宋体" w:eastAsia="宋体" w:cs="宋体"/>
          <w:color w:val="auto"/>
          <w:sz w:val="28"/>
          <w:szCs w:val="28"/>
          <w:highlight w:val="none"/>
        </w:rPr>
        <w:t>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信用中国(安徽)”网站信用报告核验系统(</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"https://credit.ah.gov.cn/xinyong-fuwu/xvbahv/index.html"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https://credit.ah.gov.cn/xinyong-fuwu/xvbahv/index.html</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623B5B8C">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2、“信用中国”查询的严重失信行为判定依据为各行业主管部门下发的联合惩戒文件中规定的行为（按附件2执行）。</w:t>
      </w:r>
    </w:p>
    <w:p w14:paraId="6E4EA3B6">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3、资格预审的项目以递交资格预审申请文件截止时间查询为准；资格后审的项目以递交投标文件截止时间查询为准。</w:t>
      </w:r>
    </w:p>
    <w:p w14:paraId="46278AEF">
      <w:pPr>
        <w:ind w:right="960"/>
        <w:rPr>
          <w:rFonts w:hint="eastAsia" w:ascii="宋体" w:hAnsi="宋体" w:eastAsia="宋体" w:cs="宋体"/>
          <w:color w:val="auto"/>
          <w:sz w:val="32"/>
          <w:szCs w:val="32"/>
          <w:highlight w:val="none"/>
        </w:rPr>
      </w:pPr>
    </w:p>
    <w:p w14:paraId="7171715E">
      <w:pPr>
        <w:ind w:right="960"/>
        <w:rPr>
          <w:rFonts w:hint="eastAsia" w:ascii="宋体" w:hAnsi="宋体" w:eastAsia="宋体" w:cs="宋体"/>
          <w:color w:val="auto"/>
          <w:sz w:val="32"/>
          <w:szCs w:val="32"/>
          <w:highlight w:val="none"/>
        </w:rPr>
      </w:pPr>
    </w:p>
    <w:p w14:paraId="536D5AA4">
      <w:pPr>
        <w:ind w:right="960"/>
        <w:rPr>
          <w:rFonts w:hint="eastAsia" w:ascii="宋体" w:hAnsi="宋体" w:eastAsia="宋体" w:cs="宋体"/>
          <w:color w:val="auto"/>
          <w:sz w:val="32"/>
          <w:szCs w:val="32"/>
          <w:highlight w:val="none"/>
        </w:rPr>
      </w:pPr>
    </w:p>
    <w:p w14:paraId="51C52106">
      <w:pPr>
        <w:ind w:right="960"/>
        <w:rPr>
          <w:rFonts w:hint="eastAsia" w:ascii="宋体" w:hAnsi="宋体" w:eastAsia="宋体" w:cs="宋体"/>
          <w:color w:val="auto"/>
          <w:sz w:val="32"/>
          <w:szCs w:val="32"/>
          <w:highlight w:val="none"/>
        </w:rPr>
      </w:pPr>
    </w:p>
    <w:p w14:paraId="6F9A3509">
      <w:pPr>
        <w:ind w:right="960"/>
        <w:rPr>
          <w:rFonts w:hint="eastAsia" w:ascii="宋体" w:hAnsi="宋体" w:eastAsia="宋体" w:cs="宋体"/>
          <w:color w:val="auto"/>
          <w:sz w:val="32"/>
          <w:szCs w:val="32"/>
          <w:highlight w:val="none"/>
        </w:rPr>
      </w:pPr>
    </w:p>
    <w:p w14:paraId="2DCE2639">
      <w:pPr>
        <w:ind w:right="960"/>
        <w:rPr>
          <w:rFonts w:hint="eastAsia" w:ascii="宋体" w:hAnsi="宋体" w:eastAsia="宋体" w:cs="宋体"/>
          <w:color w:val="auto"/>
          <w:sz w:val="32"/>
          <w:szCs w:val="32"/>
          <w:highlight w:val="none"/>
        </w:rPr>
      </w:pPr>
    </w:p>
    <w:p w14:paraId="728BB737">
      <w:pPr>
        <w:ind w:right="960"/>
        <w:rPr>
          <w:rFonts w:hint="eastAsia" w:ascii="宋体" w:hAnsi="宋体" w:eastAsia="宋体" w:cs="宋体"/>
          <w:color w:val="auto"/>
          <w:sz w:val="32"/>
          <w:szCs w:val="32"/>
          <w:highlight w:val="none"/>
        </w:rPr>
      </w:pPr>
    </w:p>
    <w:p w14:paraId="68496F50">
      <w:pPr>
        <w:ind w:right="960"/>
        <w:rPr>
          <w:rFonts w:hint="eastAsia" w:ascii="宋体" w:hAnsi="宋体" w:eastAsia="宋体" w:cs="宋体"/>
          <w:color w:val="auto"/>
          <w:sz w:val="32"/>
          <w:szCs w:val="32"/>
          <w:highlight w:val="none"/>
        </w:rPr>
      </w:pPr>
    </w:p>
    <w:p w14:paraId="6D822132">
      <w:pPr>
        <w:ind w:right="960"/>
        <w:rPr>
          <w:rFonts w:hint="eastAsia" w:ascii="宋体" w:hAnsi="宋体" w:eastAsia="宋体" w:cs="宋体"/>
          <w:color w:val="auto"/>
          <w:sz w:val="32"/>
          <w:szCs w:val="32"/>
          <w:highlight w:val="none"/>
        </w:rPr>
      </w:pPr>
    </w:p>
    <w:p w14:paraId="690963C5">
      <w:pPr>
        <w:keepNext/>
        <w:keepLines/>
        <w:spacing w:before="200" w:after="200" w:line="600" w:lineRule="exact"/>
        <w:outlineLvl w:val="0"/>
        <w:rPr>
          <w:rFonts w:hint="eastAsia" w:ascii="宋体" w:hAnsi="宋体" w:eastAsia="宋体" w:cs="宋体"/>
          <w:b/>
          <w:bCs/>
          <w:color w:val="auto"/>
          <w:kern w:val="44"/>
          <w:sz w:val="36"/>
          <w:szCs w:val="28"/>
          <w:highlight w:val="none"/>
        </w:rPr>
      </w:pPr>
      <w:bookmarkStart w:id="281" w:name="_Toc95223549"/>
      <w:bookmarkStart w:id="282" w:name="OLE_LINK32"/>
      <w:bookmarkStart w:id="283" w:name="OLE_LINK31"/>
      <w:bookmarkStart w:id="284" w:name="OLE_LINK41"/>
      <w:r>
        <w:rPr>
          <w:rFonts w:hint="eastAsia" w:ascii="宋体" w:hAnsi="宋体" w:eastAsia="宋体" w:cs="宋体"/>
          <w:b/>
          <w:bCs/>
          <w:color w:val="auto"/>
          <w:kern w:val="44"/>
          <w:sz w:val="36"/>
          <w:szCs w:val="28"/>
          <w:highlight w:val="none"/>
        </w:rPr>
        <w:br w:type="page"/>
      </w:r>
      <w:r>
        <w:rPr>
          <w:rFonts w:hint="eastAsia" w:ascii="宋体" w:hAnsi="宋体" w:eastAsia="宋体" w:cs="宋体"/>
          <w:b/>
          <w:bCs/>
          <w:color w:val="auto"/>
          <w:kern w:val="44"/>
          <w:sz w:val="36"/>
          <w:szCs w:val="28"/>
          <w:highlight w:val="none"/>
        </w:rPr>
        <w:t>附件2</w:t>
      </w:r>
      <w:bookmarkStart w:id="285" w:name="OLE_LINK75"/>
      <w:bookmarkStart w:id="286" w:name="OLE_LINK74"/>
      <w:r>
        <w:rPr>
          <w:rFonts w:hint="eastAsia" w:ascii="宋体" w:hAnsi="宋体" w:eastAsia="宋体" w:cs="宋体"/>
          <w:b/>
          <w:bCs/>
          <w:color w:val="auto"/>
          <w:kern w:val="44"/>
          <w:sz w:val="36"/>
          <w:szCs w:val="28"/>
          <w:highlight w:val="none"/>
        </w:rPr>
        <w:t>“信用中国”查询的严重失信行为</w:t>
      </w:r>
      <w:bookmarkStart w:id="287" w:name="OLE_LINK76"/>
      <w:bookmarkStart w:id="288" w:name="OLE_LINK40"/>
      <w:bookmarkStart w:id="289" w:name="OLE_LINK39"/>
      <w:bookmarkStart w:id="290" w:name="OLE_LINK38"/>
      <w:r>
        <w:rPr>
          <w:rFonts w:hint="eastAsia" w:ascii="宋体" w:hAnsi="宋体" w:eastAsia="宋体" w:cs="宋体"/>
          <w:b/>
          <w:bCs/>
          <w:color w:val="auto"/>
          <w:kern w:val="44"/>
          <w:sz w:val="36"/>
          <w:szCs w:val="28"/>
          <w:highlight w:val="none"/>
        </w:rPr>
        <w:t>类别及判定依据</w:t>
      </w:r>
      <w:bookmarkEnd w:id="281"/>
      <w:bookmarkEnd w:id="285"/>
      <w:bookmarkEnd w:id="286"/>
      <w:bookmarkEnd w:id="287"/>
      <w:bookmarkEnd w:id="288"/>
      <w:bookmarkEnd w:id="289"/>
      <w:bookmarkEnd w:id="290"/>
    </w:p>
    <w:bookmarkEnd w:id="282"/>
    <w:bookmarkEnd w:id="283"/>
    <w:bookmarkEnd w:id="284"/>
    <w:p w14:paraId="7A91F413">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32"/>
          <w:szCs w:val="32"/>
          <w:highlight w:val="none"/>
        </w:rPr>
        <w:t>“</w:t>
      </w:r>
      <w:r>
        <w:rPr>
          <w:rFonts w:hint="eastAsia" w:ascii="宋体" w:hAnsi="宋体" w:eastAsia="宋体" w:cs="宋体"/>
          <w:color w:val="auto"/>
          <w:sz w:val="28"/>
          <w:szCs w:val="28"/>
          <w:highlight w:val="none"/>
        </w:rPr>
        <w:t>信用中国”查询的严重失信行为判定依据为各行业主管部门下发的联合惩戒文件中规定的行为。下面将部分类别的严重失信行为列举如下：</w:t>
      </w:r>
    </w:p>
    <w:p w14:paraId="5E0B8E08">
      <w:pPr>
        <w:adjustRightInd w:val="0"/>
        <w:snapToGrid w:val="0"/>
        <w:spacing w:line="560" w:lineRule="exact"/>
        <w:ind w:firstLine="645"/>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一、安全生产领域严重失信行为：</w:t>
      </w:r>
    </w:p>
    <w:p w14:paraId="18A92E70">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（一）下列发生生产安全事故的生产经营单位及其有关人员应当列入严重失信主体名单：</w:t>
      </w:r>
    </w:p>
    <w:p w14:paraId="389993EF">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1、发生特别重大、重大生产安全事故的生产经营单位及其主要负责人，以及经调查认定对该事故发生负有责任，应当列入名单的其他单位和人员；</w:t>
      </w:r>
    </w:p>
    <w:p w14:paraId="709A7751">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2、12个月内累计发生2起以上较大生产安全事故的生产经营单位及其主要负责人；</w:t>
      </w:r>
    </w:p>
    <w:p w14:paraId="13B77209">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3、发生生产安全事故，情节特别严重、影响特别恶劣，依照《中华人民共和国安全生产法》第一百一十四条的规定被处以罚款数额2倍以上5倍以下罚款的生产经营单位及其主要负责人；</w:t>
      </w:r>
    </w:p>
    <w:p w14:paraId="3267CDA6">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4、瞒报、谎报生产安全事故的生产经营单位及其有关责任人员；</w:t>
      </w:r>
    </w:p>
    <w:p w14:paraId="51E03E15">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5、发生生产安全事故后，不立即组织抢救或者在事故调查处理期间擅离职守或者逃匿的生产经营单位主要负责人。</w:t>
      </w:r>
    </w:p>
    <w:p w14:paraId="2FBC8890">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（二）下列未发生生产安全事故，但因安全生产违法行为，受到行政处罚的生产经营单位或者机构及其有关人员，应当列入严重失信主体名单：</w:t>
      </w:r>
    </w:p>
    <w:p w14:paraId="1031181F">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1、未依法取得安全生产相关许可或者许可被暂扣、吊销期间从事相关生产经营活动的生产经营单位及其主要负责人；</w:t>
      </w:r>
    </w:p>
    <w:p w14:paraId="576B50C0">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2、承担安全评价、认证、检测、检验职责的机构及其直接责任人员租借资质、挂靠、出具虚假报告或者证书的；</w:t>
      </w:r>
    </w:p>
    <w:p w14:paraId="3B44C3B6">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3、在应急管理部门作出行政处罚后，有执行能力拒不执行或者逃避执行的生产经营单位及其主要负责人；</w:t>
      </w:r>
    </w:p>
    <w:p w14:paraId="66811EB3">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4、其他违反安全生产法律法规受到行政处罚，且性质恶劣、情节严重的。</w:t>
      </w:r>
    </w:p>
    <w:p w14:paraId="61D4F464">
      <w:pPr>
        <w:adjustRightInd w:val="0"/>
        <w:snapToGrid w:val="0"/>
        <w:spacing w:line="560" w:lineRule="exact"/>
        <w:ind w:firstLine="645"/>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依据：《安全生产严重失信主体名单管理办法》（2023年8月8日应急管理部令第11号）</w:t>
      </w:r>
    </w:p>
    <w:p w14:paraId="686DCCE0">
      <w:pPr>
        <w:adjustRightInd w:val="0"/>
        <w:snapToGrid w:val="0"/>
        <w:spacing w:line="560" w:lineRule="exact"/>
        <w:ind w:firstLine="645"/>
        <w:jc w:val="left"/>
        <w:rPr>
          <w:rFonts w:hint="eastAsia" w:ascii="宋体" w:hAnsi="宋体" w:eastAsia="宋体" w:cs="宋体"/>
          <w:b/>
          <w:color w:val="auto"/>
          <w:sz w:val="28"/>
          <w:szCs w:val="28"/>
          <w:highlight w:val="none"/>
        </w:rPr>
      </w:pPr>
    </w:p>
    <w:p w14:paraId="684322F2">
      <w:pPr>
        <w:adjustRightInd w:val="0"/>
        <w:snapToGrid w:val="0"/>
        <w:spacing w:line="560" w:lineRule="exact"/>
        <w:ind w:firstLine="645"/>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二、环境保护领域严重失信行为：</w:t>
      </w:r>
    </w:p>
    <w:p w14:paraId="60812FD2">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（一）因为环境违法构成</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"https://baike.sogou.com/m/fullLemma?lid=10403954&amp;g_ut=3"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环境犯罪</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的；</w:t>
      </w:r>
    </w:p>
    <w:p w14:paraId="37D78C3F">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"https://baike.sogou.com/m/fullLemma?lid=76033123&amp;g_ut=3"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建设项目环境影响评价</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文件未按规定通过审批，擅自开工建设的；</w:t>
      </w:r>
    </w:p>
    <w:p w14:paraId="2D165AC5">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（三）建设项目环保设施未建成、环保措施未落实、未通过</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"https://baike.sogou.com/m/fullLemma?lid=6470550&amp;g_ut=3"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竣工环保验收</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或者验收不合格，主体工程正式投入生产或者使用的；</w:t>
      </w:r>
    </w:p>
    <w:p w14:paraId="22F1CF6B">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（四）建设项目性质、规模、地点、采用的生产工艺或者防治污染、防止生态破坏的措施发生重大变动，未重新报批环境影响评价文件，擅自投入生产或者使用的；</w:t>
      </w:r>
    </w:p>
    <w:p w14:paraId="54033F1D">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（五）主要污染物排放总量超过控制指标的；</w:t>
      </w:r>
    </w:p>
    <w:p w14:paraId="39E59E6E">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（六）私设暗管或者利用</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"https://baike.sogou.com/m/fullLemma?lid=41657319&amp;g_ut=3"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渗井</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、渗坑、裂隙、溶洞等排放、倾倒、处置水污染物，或者通过私设旁路排放</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"https://baike.sogou.com/m/fullLemma?lid=7758328&amp;g_ut=3"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大气污染物</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的；</w:t>
      </w:r>
    </w:p>
    <w:p w14:paraId="5DF4552C">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（七）非法排放、倾倒、处置危险废物，或者向无</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"https://baike.sogou.com/m/fullLemma?lid=5923292&amp;g_ut=3"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经营许可证</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或者超出经营许可范围的单位或个人提供或者委托其收集、贮存、利用、处置危险废物的；</w:t>
      </w:r>
    </w:p>
    <w:p w14:paraId="6CB4CDD0">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"https://baike.sogou.com/m/fullLemma?lid=167759803&amp;g_ut=3"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环境违法行为</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造成集中式生活饮用水水源取水中断的；</w:t>
      </w:r>
    </w:p>
    <w:p w14:paraId="090CE9C7">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（九）环境违法行为对生活饮用水水源保护区、自然保护区、</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"https://baike.sogou.com/m/fullLemma?lid=155199213&amp;g_ut=3"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国家重点生态功能区</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、风景名胜区、居住功能区、</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"https://baike.sogou.com/m/fullLemma?lid=7757164&amp;g_ut=3" \t "https://baike.sogou.com/m/_blank"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t>基本农田保护区</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t>等环境敏感区造成重大不利影响的；</w:t>
      </w:r>
    </w:p>
    <w:p w14:paraId="43A70C77">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（十）违法从事自然资源开发、交通基础设施建设，以及其他开发建设活动，造成严重生态破坏的；</w:t>
      </w:r>
    </w:p>
    <w:p w14:paraId="694C1D45">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（十一）发生较大及以上突发环境事件的；</w:t>
      </w:r>
    </w:p>
    <w:p w14:paraId="79AFC6F5">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（十二）被环保部门挂牌督办，整改逾期未完成的；</w:t>
      </w:r>
    </w:p>
    <w:p w14:paraId="40A37335">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（十三）以暴力、威胁等方式拒绝、阻挠环保部门工作人员现场检查的；</w:t>
      </w:r>
    </w:p>
    <w:p w14:paraId="6671C235">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（十四）违反重污染天气应急预案有关规定，对重污染天气响应不力的。</w:t>
      </w:r>
    </w:p>
    <w:p w14:paraId="7ADA8ECE">
      <w:pPr>
        <w:adjustRightInd w:val="0"/>
        <w:snapToGrid w:val="0"/>
        <w:spacing w:line="560" w:lineRule="exact"/>
        <w:ind w:firstLine="645"/>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依据：《</w:t>
      </w:r>
      <w:bookmarkStart w:id="291" w:name="OLE_LINK8"/>
      <w:bookmarkStart w:id="292" w:name="OLE_LINK10"/>
      <w:bookmarkStart w:id="293" w:name="OLE_LINK9"/>
      <w:r>
        <w:rPr>
          <w:rFonts w:hint="eastAsia" w:ascii="宋体" w:hAnsi="宋体" w:eastAsia="宋体" w:cs="宋体"/>
          <w:b/>
          <w:color w:val="auto"/>
          <w:sz w:val="28"/>
          <w:szCs w:val="28"/>
          <w:highlight w:val="none"/>
        </w:rPr>
        <w:t>关于对环境保护领域失信生产经营单位及其有关人员开展联合惩戒的合作备忘录</w:t>
      </w:r>
      <w:bookmarkEnd w:id="291"/>
      <w:bookmarkEnd w:id="292"/>
      <w:bookmarkEnd w:id="293"/>
      <w:r>
        <w:rPr>
          <w:rFonts w:hint="eastAsia" w:ascii="宋体" w:hAnsi="宋体" w:eastAsia="宋体" w:cs="宋体"/>
          <w:b/>
          <w:color w:val="auto"/>
          <w:sz w:val="28"/>
          <w:szCs w:val="28"/>
          <w:highlight w:val="none"/>
        </w:rPr>
        <w:t>》、《</w:t>
      </w:r>
      <w:bookmarkStart w:id="294" w:name="OLE_LINK12"/>
      <w:bookmarkStart w:id="295" w:name="OLE_LINK11"/>
      <w:r>
        <w:rPr>
          <w:rFonts w:hint="eastAsia" w:ascii="宋体" w:hAnsi="宋体" w:eastAsia="宋体" w:cs="宋体"/>
          <w:b/>
          <w:color w:val="auto"/>
          <w:sz w:val="28"/>
          <w:szCs w:val="28"/>
          <w:highlight w:val="none"/>
        </w:rPr>
        <w:t>企业环境信用评价办法（试行）</w:t>
      </w:r>
      <w:bookmarkEnd w:id="294"/>
      <w:bookmarkEnd w:id="295"/>
      <w:r>
        <w:rPr>
          <w:rFonts w:hint="eastAsia" w:ascii="宋体" w:hAnsi="宋体" w:eastAsia="宋体" w:cs="宋体"/>
          <w:b/>
          <w:color w:val="auto"/>
          <w:sz w:val="28"/>
          <w:szCs w:val="28"/>
          <w:highlight w:val="none"/>
        </w:rPr>
        <w:t>》（环发〔2013〕150号）</w:t>
      </w:r>
    </w:p>
    <w:p w14:paraId="5CF28E32">
      <w:pPr>
        <w:adjustRightInd w:val="0"/>
        <w:snapToGrid w:val="0"/>
        <w:spacing w:line="560" w:lineRule="exact"/>
        <w:ind w:firstLine="645"/>
        <w:jc w:val="left"/>
        <w:rPr>
          <w:rFonts w:hint="eastAsia" w:ascii="宋体" w:hAnsi="宋体" w:eastAsia="宋体" w:cs="宋体"/>
          <w:b/>
          <w:color w:val="auto"/>
          <w:sz w:val="28"/>
          <w:szCs w:val="28"/>
          <w:highlight w:val="none"/>
        </w:rPr>
      </w:pPr>
    </w:p>
    <w:p w14:paraId="1EAB9396">
      <w:pPr>
        <w:adjustRightInd w:val="0"/>
        <w:snapToGrid w:val="0"/>
        <w:spacing w:line="560" w:lineRule="exact"/>
        <w:ind w:firstLine="645"/>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w:t>
      </w:r>
      <w:r>
        <w:rPr>
          <w:rFonts w:hint="eastAsia" w:ascii="宋体" w:hAnsi="宋体" w:eastAsia="宋体" w:cs="宋体"/>
          <w:b/>
          <w:bCs/>
          <w:color w:val="auto"/>
          <w:sz w:val="28"/>
          <w:szCs w:val="28"/>
          <w:highlight w:val="none"/>
        </w:rPr>
        <w:t>公共资源交易领域严重失信行为</w:t>
      </w:r>
    </w:p>
    <w:p w14:paraId="1024A0A2">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（一）违反法律规定，必须进行招标的项目而不招标的，将必须进行招标的项目化整为零或者以其他任何方式规避招标的；</w:t>
      </w:r>
    </w:p>
    <w:p w14:paraId="64427498">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（二）招标代理机构违反法律规定，泄露应当保密的与招标投标活动有关的情况和资料的，或者与招标人、投标人串通损害国家利益、社会公共利益或者他人合法权益的；</w:t>
      </w:r>
    </w:p>
    <w:p w14:paraId="6C055237">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（三）招标人以不合理的条件限制或者排斥潜在投标人的，对潜在投标人实行歧视待遇的，强制要求投标人组成联合体共同投标的，或者限制投标人之间竞争的；</w:t>
      </w:r>
    </w:p>
    <w:p w14:paraId="4550614F">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（四）依法必须进行招标的项目的招标人向他人透露已获取招标文件的潜在投标人的名称、数量或者可能影响公平竞争的有关招标投标的其他情况的，或者泄露标底的；</w:t>
      </w:r>
    </w:p>
    <w:p w14:paraId="3FA855CC">
      <w:pPr>
        <w:adjustRightInd w:val="0"/>
        <w:snapToGrid w:val="0"/>
        <w:spacing w:line="560" w:lineRule="exact"/>
        <w:ind w:firstLine="560" w:firstLineChars="20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（五）投标人相互串通投标或者与招标人串通投标的，投标人以向招标人或者评标委员会成员行贿的手段谋取中标的；</w:t>
      </w:r>
    </w:p>
    <w:p w14:paraId="30791E25">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（六）投标人以他人名义投标或者以其他方式弄虚作假，骗取中标的；</w:t>
      </w:r>
    </w:p>
    <w:p w14:paraId="201716AC">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（七）依法必须进行招标的项目，招标人违反法律规定，与投标人就投标价格、投标方案等实质性内容进行谈判的；</w:t>
      </w:r>
    </w:p>
    <w:p w14:paraId="75977C9C">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（八）评标委员会成员收受投标人的财物或者其他好处的，评标委员会成员或者参加评标的有关工作人员向他人透露对投标文件的评审和比较、中标候选人的推荐以及与评标有关的其他情况的；</w:t>
      </w:r>
    </w:p>
    <w:p w14:paraId="02AD0AC3">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（九）招标人在评标委员会依法推荐的中标候选人以外确定中标人的，依法必须进行招标的项目在所有投标被评标委员会否决后自行确定中标人的；</w:t>
      </w:r>
    </w:p>
    <w:p w14:paraId="175C6DB4">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（十）中标人将中标项目转让给他人的，将中标项目肢解后分别转让给他人的，违反法律规定将中标项目的部分主体、关键性工作分包给他人的，或者分包人再次分包的；</w:t>
      </w:r>
    </w:p>
    <w:p w14:paraId="191110D2">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（十一）招标人与中标人不按照招标文件和中标人的投标文件订立合同的，或者招标人、中标人订立背离合同实质性内容的协议的；</w:t>
      </w:r>
    </w:p>
    <w:p w14:paraId="6A02DF28">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（十二）中标人不按照与招标人订立的合同履行义务，情节严重的；</w:t>
      </w:r>
    </w:p>
    <w:p w14:paraId="0EA3AC06">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三）采购人、采购代理机构存在应当采用公开招标方式而擅自采用其他方式采购，擅自提高采购标准，以不合理的条件对供应商实行差别待遇或者歧视待遇，在招标采购过程中与投标人进行协商谈判，中标、成交通知书发出后不与中标、成交供应商签订采购合同，或者拒绝有关部门依法实施监督检查等情形的；</w:t>
      </w:r>
    </w:p>
    <w:p w14:paraId="6C5E5D4C">
      <w:pPr>
        <w:adjustRightInd w:val="0"/>
        <w:snapToGrid w:val="0"/>
        <w:spacing w:line="560" w:lineRule="exact"/>
        <w:ind w:firstLine="645"/>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四）采购人、采购代理机构及其工作人员存在与供应商或者采购代理机构恶意串通，在采购过程中接受贿赂或者获取其他不正当利益，在有关部门依法实施的监督检查中提供虚假情况，或者开标前泄露标底等情形的；</w:t>
      </w:r>
    </w:p>
    <w:p w14:paraId="7DBB9E2C">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（十五）采购人对应当实行集中采购的政府采购项目，不委托集中采购机构实行集中采购的；</w:t>
      </w:r>
    </w:p>
    <w:p w14:paraId="7BF7BB24">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（十六）采购人、采购代理机构违反法律规定隐匿、销毁应当保存的采购文件或者伪造、变造采购文件的；</w:t>
      </w:r>
    </w:p>
    <w:p w14:paraId="3261FD4E">
      <w:pPr>
        <w:adjustRightInd w:val="0"/>
        <w:snapToGrid w:val="0"/>
        <w:spacing w:line="560" w:lineRule="exact"/>
        <w:ind w:firstLine="645"/>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七）供应商存在提供虚假材料谋取中标、成交，采取不正当手段诋毁、排挤其他供应商，与采购人、其他供应商或者采购代理机构恶意串通，向采购人、采购代理机构行贿或者提供其他不正当利益，在招标采购过程中与采购人进行协商谈判，或拒绝有关部门监督检查或者提供虚假情况等情形的；</w:t>
      </w:r>
    </w:p>
    <w:p w14:paraId="2D5B9AA7">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（十八）疫苗生产企业向县级疾病预防控制机构以外的单位或者个人销售第二类疫苗的；</w:t>
      </w:r>
    </w:p>
    <w:p w14:paraId="3158E3ED">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（十九）存在其他违反公共资源交易法律法规行为的。</w:t>
      </w:r>
    </w:p>
    <w:p w14:paraId="69F8EAA8">
      <w:pPr>
        <w:adjustRightInd w:val="0"/>
        <w:snapToGrid w:val="0"/>
        <w:spacing w:line="560" w:lineRule="exact"/>
        <w:ind w:firstLine="894" w:firstLineChars="318"/>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依据：《</w:t>
      </w:r>
      <w:bookmarkStart w:id="296" w:name="OLE_LINK13"/>
      <w:bookmarkStart w:id="297" w:name="OLE_LINK14"/>
      <w:r>
        <w:rPr>
          <w:rFonts w:hint="eastAsia" w:ascii="宋体" w:hAnsi="宋体" w:eastAsia="宋体" w:cs="宋体"/>
          <w:b/>
          <w:color w:val="auto"/>
          <w:sz w:val="28"/>
          <w:szCs w:val="28"/>
          <w:highlight w:val="none"/>
        </w:rPr>
        <w:t>关于对公共资源交易领域严重失信主体开展联合惩戒的备忘录</w:t>
      </w:r>
      <w:bookmarkEnd w:id="296"/>
      <w:bookmarkEnd w:id="297"/>
      <w:r>
        <w:rPr>
          <w:rFonts w:hint="eastAsia" w:ascii="宋体" w:hAnsi="宋体" w:eastAsia="宋体" w:cs="宋体"/>
          <w:b/>
          <w:color w:val="auto"/>
          <w:sz w:val="28"/>
          <w:szCs w:val="28"/>
          <w:highlight w:val="none"/>
        </w:rPr>
        <w:t>》（发改法规〔2018〕457号）</w:t>
      </w:r>
    </w:p>
    <w:p w14:paraId="00CECBE7">
      <w:pPr>
        <w:adjustRightInd w:val="0"/>
        <w:snapToGrid w:val="0"/>
        <w:spacing w:line="560" w:lineRule="exact"/>
        <w:ind w:firstLine="645"/>
        <w:jc w:val="left"/>
        <w:rPr>
          <w:rFonts w:hint="eastAsia" w:ascii="宋体" w:hAnsi="宋体" w:eastAsia="宋体" w:cs="宋体"/>
          <w:color w:val="auto"/>
          <w:sz w:val="28"/>
          <w:szCs w:val="28"/>
          <w:highlight w:val="none"/>
        </w:rPr>
      </w:pPr>
    </w:p>
    <w:p w14:paraId="61402494">
      <w:pPr>
        <w:adjustRightInd w:val="0"/>
        <w:snapToGrid w:val="0"/>
        <w:spacing w:line="560" w:lineRule="exact"/>
        <w:ind w:firstLine="645"/>
        <w:jc w:val="left"/>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四、</w:t>
      </w:r>
      <w:r>
        <w:rPr>
          <w:rFonts w:hint="eastAsia" w:ascii="宋体" w:hAnsi="宋体" w:eastAsia="宋体" w:cs="宋体"/>
          <w:b/>
          <w:bCs/>
          <w:color w:val="auto"/>
          <w:sz w:val="28"/>
          <w:szCs w:val="28"/>
          <w:highlight w:val="none"/>
        </w:rPr>
        <w:t>社会保险领域严重失信行为</w:t>
      </w:r>
    </w:p>
    <w:p w14:paraId="6DE9E48F">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（一）用人单位未按相关规定参加社会保险且拒不整改的；</w:t>
      </w:r>
    </w:p>
    <w:p w14:paraId="58497E59">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（二）用人单位未如实申报社会保险缴费基数且拒不整改的；</w:t>
      </w:r>
    </w:p>
    <w:p w14:paraId="49500323">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（三）应缴纳社会保险费却拒不缴纳的；</w:t>
      </w:r>
    </w:p>
    <w:p w14:paraId="0747F868">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（四）隐匿、转移、侵占、挪用社会保险费款、基金或者违规投资运营的；</w:t>
      </w:r>
    </w:p>
    <w:p w14:paraId="13110F38">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（五）以欺诈、伪造证明材料或者其他手段参加、申报社会保险和骗取社会保险基金支出或社会保险待遇的；</w:t>
      </w:r>
    </w:p>
    <w:p w14:paraId="58762163">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（六）非法获取、出售或变相交易社会保险个人权益数据的；</w:t>
      </w:r>
    </w:p>
    <w:p w14:paraId="1FDD80B4">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（七）社会保险服务机构违反服务协议或相关规定的；</w:t>
      </w:r>
    </w:p>
    <w:p w14:paraId="11CDE8BD">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（八）拒绝协助社会保险行政部门、经办机构对事故和问题进行调查核实的；拒绝接受或协助税务部门对社会保险实施监督检查，不如实提供与社会保险相关各项资料的；</w:t>
      </w:r>
    </w:p>
    <w:p w14:paraId="778E01E4">
      <w:pPr>
        <w:adjustRightInd w:val="0"/>
        <w:snapToGrid w:val="0"/>
        <w:spacing w:line="560" w:lineRule="exact"/>
        <w:ind w:left="141" w:leftChars="67" w:firstLine="420" w:firstLineChars="15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（九）其他违反法律法规规定的。</w:t>
      </w:r>
    </w:p>
    <w:p w14:paraId="7A678442">
      <w:pPr>
        <w:adjustRightInd w:val="0"/>
        <w:snapToGrid w:val="0"/>
        <w:spacing w:line="560" w:lineRule="exact"/>
        <w:ind w:firstLine="551" w:firstLineChars="196"/>
        <w:jc w:val="left"/>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依据：《</w:t>
      </w:r>
      <w:bookmarkStart w:id="298" w:name="OLE_LINK15"/>
      <w:bookmarkStart w:id="299" w:name="OLE_LINK16"/>
      <w:r>
        <w:rPr>
          <w:rFonts w:hint="eastAsia" w:ascii="宋体" w:hAnsi="宋体" w:eastAsia="宋体" w:cs="宋体"/>
          <w:b/>
          <w:color w:val="auto"/>
          <w:sz w:val="28"/>
          <w:szCs w:val="28"/>
          <w:highlight w:val="none"/>
        </w:rPr>
        <w:t>关于对社会保险领域严重失信企业及其有关人员实施联合惩戒的合作备忘录</w:t>
      </w:r>
      <w:bookmarkEnd w:id="298"/>
      <w:bookmarkEnd w:id="299"/>
      <w:r>
        <w:rPr>
          <w:rFonts w:hint="eastAsia" w:ascii="宋体" w:hAnsi="宋体" w:eastAsia="宋体" w:cs="宋体"/>
          <w:b/>
          <w:color w:val="auto"/>
          <w:sz w:val="28"/>
          <w:szCs w:val="28"/>
          <w:highlight w:val="none"/>
        </w:rPr>
        <w:t>》（发改财金〔2018〕1704号）</w:t>
      </w:r>
    </w:p>
    <w:p w14:paraId="053FE111">
      <w:pPr>
        <w:adjustRightInd w:val="0"/>
        <w:snapToGrid w:val="0"/>
        <w:spacing w:line="560" w:lineRule="exact"/>
        <w:jc w:val="left"/>
        <w:rPr>
          <w:rFonts w:hint="eastAsia" w:ascii="宋体" w:hAnsi="宋体" w:eastAsia="宋体" w:cs="宋体"/>
          <w:color w:val="auto"/>
          <w:sz w:val="28"/>
          <w:szCs w:val="28"/>
          <w:highlight w:val="none"/>
          <w:lang w:eastAsia="zh-CN"/>
        </w:rPr>
      </w:pPr>
    </w:p>
    <w:p w14:paraId="0707285E">
      <w:pPr>
        <w:adjustRightInd w:val="0"/>
        <w:snapToGrid w:val="0"/>
        <w:spacing w:line="560" w:lineRule="exact"/>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五、建筑市场领域</w:t>
      </w:r>
      <w:r>
        <w:rPr>
          <w:rFonts w:hint="eastAsia" w:ascii="宋体" w:hAnsi="宋体" w:eastAsia="宋体" w:cs="宋体"/>
          <w:b/>
          <w:bCs/>
          <w:color w:val="auto"/>
          <w:sz w:val="28"/>
          <w:szCs w:val="28"/>
          <w:highlight w:val="none"/>
        </w:rPr>
        <w:t>严重失信行为</w:t>
      </w:r>
    </w:p>
    <w:p w14:paraId="022F0950">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（一）利用虚假材料、以欺骗手段取得企业资质的；</w:t>
      </w:r>
    </w:p>
    <w:p w14:paraId="0310A88D">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（二）发生转包、出借资质，受到行政处罚的；</w:t>
      </w:r>
    </w:p>
    <w:p w14:paraId="704720CD">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（三）发生重大及以上工程质量安全事故，或1年内累计发生2次及以上较大工程质量安全事故，或发生性质恶劣、危害性严重、社会影响大的较大工程质量安全事故，受到行政处罚的；</w:t>
      </w:r>
    </w:p>
    <w:p w14:paraId="53776F7B">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（四）经法院判决或仲裁机构裁决，认定为拖欠工程款,且拒不履行生效法律文书确定的义务的。</w:t>
      </w:r>
    </w:p>
    <w:p w14:paraId="4AA19464">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各级住房城乡建设主管部门应当参照建筑市场主体“黑名单”，对被人力资源社会保障行政部门列入拖欠农民工工资“黑名单”的建筑市场各方主体加强监管。</w:t>
      </w:r>
    </w:p>
    <w:p w14:paraId="766F2E07">
      <w:pPr>
        <w:ind w:firstLine="562" w:firstLineChars="200"/>
        <w:jc w:val="left"/>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依据：《</w:t>
      </w:r>
      <w:bookmarkStart w:id="300" w:name="OLE_LINK17"/>
      <w:bookmarkStart w:id="301" w:name="OLE_LINK18"/>
      <w:r>
        <w:rPr>
          <w:rFonts w:hint="eastAsia" w:ascii="宋体" w:hAnsi="宋体" w:eastAsia="宋体" w:cs="宋体"/>
          <w:b/>
          <w:color w:val="auto"/>
          <w:sz w:val="28"/>
          <w:szCs w:val="28"/>
          <w:highlight w:val="none"/>
        </w:rPr>
        <w:t>建筑市场信用管理暂行办法</w:t>
      </w:r>
      <w:bookmarkEnd w:id="300"/>
      <w:bookmarkEnd w:id="301"/>
      <w:r>
        <w:rPr>
          <w:rFonts w:hint="eastAsia" w:ascii="宋体" w:hAnsi="宋体" w:eastAsia="宋体" w:cs="宋体"/>
          <w:b/>
          <w:color w:val="auto"/>
          <w:sz w:val="28"/>
          <w:szCs w:val="28"/>
          <w:highlight w:val="none"/>
        </w:rPr>
        <w:t>》（建市〔2017〕241号）</w:t>
      </w:r>
    </w:p>
    <w:p w14:paraId="754EC6A7">
      <w:pPr>
        <w:adjustRightInd w:val="0"/>
        <w:snapToGrid w:val="0"/>
        <w:spacing w:line="560" w:lineRule="exact"/>
        <w:rPr>
          <w:rFonts w:hint="eastAsia" w:ascii="宋体" w:hAnsi="宋体" w:eastAsia="宋体" w:cs="宋体"/>
          <w:b/>
          <w:color w:val="auto"/>
          <w:sz w:val="28"/>
          <w:szCs w:val="28"/>
          <w:highlight w:val="none"/>
        </w:rPr>
      </w:pPr>
    </w:p>
    <w:p w14:paraId="27B14BC7">
      <w:pPr>
        <w:adjustRightInd w:val="0"/>
        <w:snapToGrid w:val="0"/>
        <w:spacing w:line="560" w:lineRule="exact"/>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w:t>
      </w:r>
      <w:bookmarkStart w:id="302" w:name="OLE_LINK19"/>
      <w:bookmarkStart w:id="303" w:name="OLE_LINK20"/>
      <w:r>
        <w:rPr>
          <w:rFonts w:hint="eastAsia" w:ascii="宋体" w:hAnsi="宋体" w:eastAsia="宋体" w:cs="宋体"/>
          <w:b/>
          <w:color w:val="auto"/>
          <w:sz w:val="28"/>
          <w:szCs w:val="28"/>
          <w:highlight w:val="none"/>
        </w:rPr>
        <w:t>政府采购严重失信行为</w:t>
      </w:r>
      <w:bookmarkEnd w:id="302"/>
      <w:bookmarkEnd w:id="303"/>
    </w:p>
    <w:p w14:paraId="5B8B9F78">
      <w:pPr>
        <w:adjustRightInd w:val="0"/>
        <w:snapToGrid w:val="0"/>
        <w:spacing w:line="560" w:lineRule="exact"/>
        <w:ind w:firstLine="61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供应商、采购代理机构在三年内受到财政部门作出下列情形之一的行政处罚，列入政府采购严重违法失信行为记录名单。</w:t>
      </w:r>
      <w:r>
        <w:rPr>
          <w:rFonts w:hint="eastAsia" w:ascii="宋体" w:hAnsi="宋体" w:eastAsia="宋体" w:cs="宋体"/>
          <w:color w:val="auto"/>
          <w:sz w:val="28"/>
          <w:szCs w:val="28"/>
          <w:highlight w:val="none"/>
        </w:rPr>
        <w:br w:type="textWrapping"/>
      </w:r>
      <w:r>
        <w:rPr>
          <w:rFonts w:hint="eastAsia" w:ascii="宋体" w:hAnsi="宋体" w:eastAsia="宋体" w:cs="宋体"/>
          <w:color w:val="auto"/>
          <w:sz w:val="28"/>
          <w:szCs w:val="28"/>
          <w:highlight w:val="none"/>
        </w:rPr>
        <w:t>　　（一）三万元以上罚款；</w:t>
      </w:r>
      <w:r>
        <w:rPr>
          <w:rFonts w:hint="eastAsia" w:ascii="宋体" w:hAnsi="宋体" w:eastAsia="宋体" w:cs="宋体"/>
          <w:color w:val="auto"/>
          <w:sz w:val="28"/>
          <w:szCs w:val="28"/>
          <w:highlight w:val="none"/>
        </w:rPr>
        <w:br w:type="textWrapping"/>
      </w:r>
      <w:r>
        <w:rPr>
          <w:rFonts w:hint="eastAsia" w:ascii="宋体" w:hAnsi="宋体" w:eastAsia="宋体" w:cs="宋体"/>
          <w:color w:val="auto"/>
          <w:sz w:val="28"/>
          <w:szCs w:val="28"/>
          <w:highlight w:val="none"/>
        </w:rPr>
        <w:t>　　（二）在一至三年内禁止参加政府采购活动（处罚期限届满的除外）；</w:t>
      </w:r>
      <w:r>
        <w:rPr>
          <w:rFonts w:hint="eastAsia" w:ascii="宋体" w:hAnsi="宋体" w:eastAsia="宋体" w:cs="宋体"/>
          <w:color w:val="auto"/>
          <w:sz w:val="28"/>
          <w:szCs w:val="28"/>
          <w:highlight w:val="none"/>
        </w:rPr>
        <w:br w:type="textWrapping"/>
      </w:r>
      <w:r>
        <w:rPr>
          <w:rFonts w:hint="eastAsia" w:ascii="宋体" w:hAnsi="宋体" w:eastAsia="宋体" w:cs="宋体"/>
          <w:color w:val="auto"/>
          <w:sz w:val="28"/>
          <w:szCs w:val="28"/>
          <w:highlight w:val="none"/>
        </w:rPr>
        <w:t>　　（三）在一至三年内禁止代理政府采购业务（处罚期限届满的除外）；</w:t>
      </w:r>
      <w:r>
        <w:rPr>
          <w:rFonts w:hint="eastAsia" w:ascii="宋体" w:hAnsi="宋体" w:eastAsia="宋体" w:cs="宋体"/>
          <w:color w:val="auto"/>
          <w:sz w:val="28"/>
          <w:szCs w:val="28"/>
          <w:highlight w:val="none"/>
        </w:rPr>
        <w:br w:type="textWrapping"/>
      </w:r>
      <w:r>
        <w:rPr>
          <w:rFonts w:hint="eastAsia" w:ascii="宋体" w:hAnsi="宋体" w:eastAsia="宋体" w:cs="宋体"/>
          <w:color w:val="auto"/>
          <w:sz w:val="28"/>
          <w:szCs w:val="28"/>
          <w:highlight w:val="none"/>
        </w:rPr>
        <w:t>　（四）撤销政府采购代理机构资格（仅针对《政府采购法》第78条修改前作出的处罚决定）。</w:t>
      </w:r>
    </w:p>
    <w:p w14:paraId="30FF54F9">
      <w:pPr>
        <w:adjustRightInd w:val="0"/>
        <w:snapToGrid w:val="0"/>
        <w:spacing w:line="560" w:lineRule="exact"/>
        <w:ind w:firstLine="562" w:firstLineChars="2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依据：《关于报送政府采购严重违法失信行为信息记录的通知》（财办库〔2014〕526号）</w:t>
      </w:r>
    </w:p>
    <w:p w14:paraId="1C575481">
      <w:pPr>
        <w:adjustRightInd w:val="0"/>
        <w:snapToGrid w:val="0"/>
        <w:spacing w:line="560" w:lineRule="exact"/>
        <w:rPr>
          <w:rFonts w:hint="eastAsia" w:ascii="宋体" w:hAnsi="宋体" w:eastAsia="宋体" w:cs="宋体"/>
          <w:b/>
          <w:color w:val="auto"/>
          <w:sz w:val="28"/>
          <w:szCs w:val="28"/>
          <w:highlight w:val="none"/>
        </w:rPr>
      </w:pPr>
    </w:p>
    <w:p w14:paraId="059E96FA">
      <w:pPr>
        <w:spacing w:line="360" w:lineRule="auto"/>
        <w:ind w:firstLine="435"/>
        <w:rPr>
          <w:rFonts w:hint="eastAsia" w:ascii="宋体" w:hAnsi="宋体" w:eastAsia="宋体" w:cs="宋体"/>
          <w:color w:val="auto"/>
          <w:sz w:val="24"/>
          <w:highlight w:val="none"/>
        </w:rPr>
      </w:pPr>
      <w:r>
        <w:rPr>
          <w:rFonts w:hint="eastAsia" w:ascii="宋体" w:hAnsi="宋体" w:eastAsia="宋体" w:cs="宋体"/>
          <w:b/>
          <w:color w:val="auto"/>
          <w:sz w:val="28"/>
          <w:szCs w:val="28"/>
          <w:highlight w:val="none"/>
        </w:rPr>
        <w:t>未列出的其他类别严重失信行为，由招标人（代理机构）根据各类别行业主管部门下发的联合惩戒文件进行判</w:t>
      </w:r>
      <w:r>
        <w:rPr>
          <w:rFonts w:hint="eastAsia" w:ascii="宋体" w:hAnsi="宋体" w:eastAsia="宋体" w:cs="宋体"/>
          <w:b/>
          <w:color w:val="auto"/>
          <w:sz w:val="32"/>
          <w:szCs w:val="32"/>
          <w:highlight w:val="none"/>
        </w:rPr>
        <w:t>断。</w:t>
      </w:r>
    </w:p>
    <w:p w14:paraId="3BF1EDC8">
      <w:pPr>
        <w:pStyle w:val="4"/>
        <w:rPr>
          <w:color w:val="auto"/>
          <w:highlight w:val="none"/>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onospace">
    <w:altName w:val="XcGJSymbol"/>
    <w:panose1 w:val="00000000000000000000"/>
    <w:charset w:val="00"/>
    <w:family w:val="auto"/>
    <w:pitch w:val="default"/>
    <w:sig w:usb0="00000000" w:usb1="00000000" w:usb2="00000000" w:usb3="00000000" w:csb0="00000000" w:csb1="00000000"/>
  </w:font>
  <w:font w:name="XcGJSymbol">
    <w:panose1 w:val="02000500000000000000"/>
    <w:charset w:val="00"/>
    <w:family w:val="auto"/>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var(--dsw-font-markdown-table-h">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KSOF429D5CD3">
    <w:panose1 w:val="020B0503020204020204"/>
    <w:charset w:val="86"/>
    <w:family w:val="auto"/>
    <w:pitch w:val="default"/>
    <w:sig w:usb0="00000001" w:usb1="00000000" w:usb2="00000000" w:usb3="00000000" w:csb0="00040001" w:csb1="00000000"/>
  </w:font>
  <w:font w:name="KSOF44523572">
    <w:panose1 w:val="020B0703020204020201"/>
    <w:charset w:val="86"/>
    <w:family w:val="auto"/>
    <w:pitch w:val="default"/>
    <w:sig w:usb0="00000001" w:usb1="00000000" w:usb2="00000000" w:usb3="00000000" w:csb0="00040001" w:csb1="00000000"/>
  </w:font>
  <w:font w:name="ActionIcon">
    <w:altName w:val="XcGJSymbol"/>
    <w:panose1 w:val="00000000000000000000"/>
    <w:charset w:val="00"/>
    <w:family w:val="auto"/>
    <w:pitch w:val="default"/>
    <w:sig w:usb0="00000000" w:usb1="00000000" w:usb2="00000000" w:usb3="00000000" w:csb0="00000000" w:csb1="00000000"/>
  </w:font>
  <w:font w:name="SourceHanSansCN-Regular">
    <w:altName w:val="XcGJSymbol"/>
    <w:panose1 w:val="00000000000000000000"/>
    <w:charset w:val="00"/>
    <w:family w:val="auto"/>
    <w:pitch w:val="default"/>
    <w:sig w:usb0="00000000" w:usb1="00000000" w:usb2="00000000" w:usb3="00000000" w:csb0="00000000" w:csb1="00000000"/>
  </w:font>
  <w:font w:name="ModIcon">
    <w:altName w:val="XcGJ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8240E">
    <w:pPr>
      <w:pStyle w:val="15"/>
      <w:jc w:val="center"/>
      <w:rPr>
        <w:rFonts w:asciiTheme="minorEastAsia" w:hAnsiTheme="minorEastAsia" w:eastAsiaTheme="minorEastAsia"/>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0447">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262AB">
                          <w:pPr>
                            <w:pStyle w:val="15"/>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1C262AB">
                    <w:pPr>
                      <w:pStyle w:val="15"/>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64</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DDA69">
    <w:pPr>
      <w:pStyle w:val="16"/>
      <w:jc w:val="left"/>
      <w:rPr>
        <w:rFonts w:asciiTheme="minorEastAsia" w:hAnsiTheme="minorEastAsia" w:eastAsiaTheme="minorEastAsia"/>
      </w:rPr>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项目公开</w:t>
    </w:r>
    <w:r>
      <w:rPr>
        <w:rFonts w:hint="eastAsia" w:asciiTheme="minorEastAsia" w:hAnsiTheme="minorEastAsia" w:eastAsiaTheme="minorEastAsia"/>
      </w:rPr>
      <w:t>招标文件</w:t>
    </w:r>
    <w:r>
      <w:rPr>
        <w:rFonts w:hint="eastAsia" w:asciiTheme="minorEastAsia" w:hAnsiTheme="minorEastAsia" w:eastAsiaTheme="minorEastAsia"/>
        <w:lang w:eastAsia="zh-CN"/>
      </w:rPr>
      <w:t>示范文本（</w:t>
    </w:r>
    <w:r>
      <w:rPr>
        <w:rFonts w:hint="eastAsia" w:asciiTheme="minorEastAsia" w:hAnsiTheme="minorEastAsia" w:eastAsiaTheme="minorEastAsia"/>
        <w:lang w:val="en-US" w:eastAsia="zh-CN"/>
      </w:rPr>
      <w:t>服务类</w:t>
    </w:r>
    <w:r>
      <w:rPr>
        <w:rFonts w:hint="eastAsia" w:asciiTheme="minorEastAsia" w:hAnsiTheme="minorEastAsia" w:eastAsiaTheme="minorEastAsia"/>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E58A">
    <w:pPr>
      <w:pStyle w:val="16"/>
      <w:jc w:val="left"/>
      <w:rPr>
        <w:rFonts w:hint="eastAsia"/>
      </w:rPr>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项目公开</w:t>
    </w:r>
    <w:r>
      <w:rPr>
        <w:rFonts w:hint="eastAsia" w:asciiTheme="minorEastAsia" w:hAnsiTheme="minorEastAsia" w:eastAsiaTheme="minorEastAsia"/>
      </w:rPr>
      <w:t>招标文件</w:t>
    </w:r>
    <w:r>
      <w:rPr>
        <w:rFonts w:hint="eastAsia" w:asciiTheme="minorEastAsia" w:hAnsiTheme="minorEastAsia" w:eastAsiaTheme="minorEastAsia"/>
        <w:lang w:eastAsia="zh-CN"/>
      </w:rPr>
      <w:t>示范文本（服务类）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CEF719"/>
    <w:multiLevelType w:val="singleLevel"/>
    <w:tmpl w:val="B7CEF719"/>
    <w:lvl w:ilvl="0" w:tentative="0">
      <w:start w:val="2"/>
      <w:numFmt w:val="decimal"/>
      <w:suff w:val="nothing"/>
      <w:lvlText w:val="%1、"/>
      <w:lvlJc w:val="left"/>
    </w:lvl>
  </w:abstractNum>
  <w:abstractNum w:abstractNumId="1">
    <w:nsid w:val="E17E5F91"/>
    <w:multiLevelType w:val="singleLevel"/>
    <w:tmpl w:val="E17E5F91"/>
    <w:lvl w:ilvl="0" w:tentative="0">
      <w:start w:val="3"/>
      <w:numFmt w:val="decimal"/>
      <w:suff w:val="nothing"/>
      <w:lvlText w:val="%1、"/>
      <w:lvlJc w:val="left"/>
    </w:lvl>
  </w:abstractNum>
  <w:abstractNum w:abstractNumId="2">
    <w:nsid w:val="0E2460F2"/>
    <w:multiLevelType w:val="singleLevel"/>
    <w:tmpl w:val="0E2460F2"/>
    <w:lvl w:ilvl="0" w:tentative="0">
      <w:start w:val="1"/>
      <w:numFmt w:val="decimal"/>
      <w:suff w:val="nothing"/>
      <w:lvlText w:val="（%1）"/>
      <w:lvlJc w:val="left"/>
    </w:lvl>
  </w:abstractNum>
  <w:abstractNum w:abstractNumId="3">
    <w:nsid w:val="18CE10E4"/>
    <w:multiLevelType w:val="singleLevel"/>
    <w:tmpl w:val="18CE10E4"/>
    <w:lvl w:ilvl="0" w:tentative="0">
      <w:start w:val="1"/>
      <w:numFmt w:val="decimal"/>
      <w:suff w:val="nothing"/>
      <w:lvlText w:val="%1、"/>
      <w:lvlJc w:val="left"/>
    </w:lvl>
  </w:abstractNum>
  <w:abstractNum w:abstractNumId="4">
    <w:nsid w:val="2A064A37"/>
    <w:multiLevelType w:val="singleLevel"/>
    <w:tmpl w:val="2A064A37"/>
    <w:lvl w:ilvl="0" w:tentative="0">
      <w:start w:val="3"/>
      <w:numFmt w:val="chineseCounting"/>
      <w:suff w:val="space"/>
      <w:lvlText w:val="第%1章"/>
      <w:lvlJc w:val="left"/>
      <w:rPr>
        <w:rFonts w:hint="eastAsi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lYjQzMDhiYzA3NWZlODA5OTkxMDRiNDU3ZjExNjEifQ=="/>
  </w:docVars>
  <w:rsids>
    <w:rsidRoot w:val="00276BA1"/>
    <w:rsid w:val="0000043F"/>
    <w:rsid w:val="00003F56"/>
    <w:rsid w:val="000049DA"/>
    <w:rsid w:val="00004F40"/>
    <w:rsid w:val="000056B7"/>
    <w:rsid w:val="00012A13"/>
    <w:rsid w:val="000131F7"/>
    <w:rsid w:val="00016B6C"/>
    <w:rsid w:val="00017EC7"/>
    <w:rsid w:val="00020B57"/>
    <w:rsid w:val="00033B5B"/>
    <w:rsid w:val="00037DBE"/>
    <w:rsid w:val="00042139"/>
    <w:rsid w:val="00042B14"/>
    <w:rsid w:val="00044347"/>
    <w:rsid w:val="00044F49"/>
    <w:rsid w:val="000450C3"/>
    <w:rsid w:val="00046AFF"/>
    <w:rsid w:val="00050A3F"/>
    <w:rsid w:val="000530EC"/>
    <w:rsid w:val="000544DE"/>
    <w:rsid w:val="000648D2"/>
    <w:rsid w:val="00070E0E"/>
    <w:rsid w:val="00076DB7"/>
    <w:rsid w:val="00080B7B"/>
    <w:rsid w:val="00080FEB"/>
    <w:rsid w:val="00081B81"/>
    <w:rsid w:val="000868D6"/>
    <w:rsid w:val="000942BA"/>
    <w:rsid w:val="00094D41"/>
    <w:rsid w:val="00097CB9"/>
    <w:rsid w:val="000A3569"/>
    <w:rsid w:val="000A4640"/>
    <w:rsid w:val="000A6345"/>
    <w:rsid w:val="000A6693"/>
    <w:rsid w:val="000A6B73"/>
    <w:rsid w:val="000A7D94"/>
    <w:rsid w:val="000B1511"/>
    <w:rsid w:val="000B54F4"/>
    <w:rsid w:val="000C1DB1"/>
    <w:rsid w:val="000D3F37"/>
    <w:rsid w:val="000D431F"/>
    <w:rsid w:val="000E2208"/>
    <w:rsid w:val="000E3C74"/>
    <w:rsid w:val="000E3F9B"/>
    <w:rsid w:val="000E6689"/>
    <w:rsid w:val="000F00A3"/>
    <w:rsid w:val="000F014C"/>
    <w:rsid w:val="000F172B"/>
    <w:rsid w:val="000F1C24"/>
    <w:rsid w:val="000F2198"/>
    <w:rsid w:val="000F39B6"/>
    <w:rsid w:val="000F6B7B"/>
    <w:rsid w:val="00100B0F"/>
    <w:rsid w:val="0010187C"/>
    <w:rsid w:val="001037E3"/>
    <w:rsid w:val="00110911"/>
    <w:rsid w:val="00116A70"/>
    <w:rsid w:val="0012143A"/>
    <w:rsid w:val="001222C6"/>
    <w:rsid w:val="00136D80"/>
    <w:rsid w:val="00137C7C"/>
    <w:rsid w:val="00140687"/>
    <w:rsid w:val="00141707"/>
    <w:rsid w:val="00142AAF"/>
    <w:rsid w:val="00146421"/>
    <w:rsid w:val="001467FF"/>
    <w:rsid w:val="001479CF"/>
    <w:rsid w:val="00150567"/>
    <w:rsid w:val="00155F64"/>
    <w:rsid w:val="00157148"/>
    <w:rsid w:val="00157856"/>
    <w:rsid w:val="00160729"/>
    <w:rsid w:val="00160D83"/>
    <w:rsid w:val="001644D1"/>
    <w:rsid w:val="00164D27"/>
    <w:rsid w:val="00166ED8"/>
    <w:rsid w:val="001714C9"/>
    <w:rsid w:val="001754E2"/>
    <w:rsid w:val="00177DAF"/>
    <w:rsid w:val="0018119B"/>
    <w:rsid w:val="001812B3"/>
    <w:rsid w:val="00181D07"/>
    <w:rsid w:val="001826D0"/>
    <w:rsid w:val="00183344"/>
    <w:rsid w:val="00183897"/>
    <w:rsid w:val="001844AB"/>
    <w:rsid w:val="00190F1F"/>
    <w:rsid w:val="001944B8"/>
    <w:rsid w:val="00195399"/>
    <w:rsid w:val="00196DA3"/>
    <w:rsid w:val="00197AC4"/>
    <w:rsid w:val="001A0DCD"/>
    <w:rsid w:val="001A5D34"/>
    <w:rsid w:val="001A68E5"/>
    <w:rsid w:val="001B21DF"/>
    <w:rsid w:val="001B2A54"/>
    <w:rsid w:val="001B5014"/>
    <w:rsid w:val="001B7327"/>
    <w:rsid w:val="001C1409"/>
    <w:rsid w:val="001C67F2"/>
    <w:rsid w:val="001D53B4"/>
    <w:rsid w:val="001E744D"/>
    <w:rsid w:val="001F28D2"/>
    <w:rsid w:val="001F2F45"/>
    <w:rsid w:val="001F3023"/>
    <w:rsid w:val="001F35F6"/>
    <w:rsid w:val="001F74CA"/>
    <w:rsid w:val="002003B6"/>
    <w:rsid w:val="002020CB"/>
    <w:rsid w:val="002049B4"/>
    <w:rsid w:val="0020520B"/>
    <w:rsid w:val="00213C55"/>
    <w:rsid w:val="002163CF"/>
    <w:rsid w:val="002168C4"/>
    <w:rsid w:val="002178B1"/>
    <w:rsid w:val="00223CF4"/>
    <w:rsid w:val="00224C4A"/>
    <w:rsid w:val="002338E2"/>
    <w:rsid w:val="0023407E"/>
    <w:rsid w:val="00240B40"/>
    <w:rsid w:val="002440D8"/>
    <w:rsid w:val="00244182"/>
    <w:rsid w:val="00246810"/>
    <w:rsid w:val="00260860"/>
    <w:rsid w:val="00260B94"/>
    <w:rsid w:val="00264F2E"/>
    <w:rsid w:val="00271245"/>
    <w:rsid w:val="00272E6E"/>
    <w:rsid w:val="00274A9E"/>
    <w:rsid w:val="00276292"/>
    <w:rsid w:val="00276BA1"/>
    <w:rsid w:val="00277094"/>
    <w:rsid w:val="00286BB6"/>
    <w:rsid w:val="002A1A1D"/>
    <w:rsid w:val="002A28AD"/>
    <w:rsid w:val="002A3AEE"/>
    <w:rsid w:val="002A400A"/>
    <w:rsid w:val="002B08E7"/>
    <w:rsid w:val="002B0C18"/>
    <w:rsid w:val="002B5318"/>
    <w:rsid w:val="002B5373"/>
    <w:rsid w:val="002B6D27"/>
    <w:rsid w:val="002C3776"/>
    <w:rsid w:val="002C4BA9"/>
    <w:rsid w:val="002D1258"/>
    <w:rsid w:val="002D128A"/>
    <w:rsid w:val="002D2965"/>
    <w:rsid w:val="002D3D02"/>
    <w:rsid w:val="002D4CB5"/>
    <w:rsid w:val="002D684B"/>
    <w:rsid w:val="002E3B26"/>
    <w:rsid w:val="002E4AB8"/>
    <w:rsid w:val="002F092B"/>
    <w:rsid w:val="002F5981"/>
    <w:rsid w:val="002F72EE"/>
    <w:rsid w:val="00310070"/>
    <w:rsid w:val="003110EC"/>
    <w:rsid w:val="00313029"/>
    <w:rsid w:val="00324D38"/>
    <w:rsid w:val="00327C92"/>
    <w:rsid w:val="0033245B"/>
    <w:rsid w:val="00333292"/>
    <w:rsid w:val="003344E7"/>
    <w:rsid w:val="0033580B"/>
    <w:rsid w:val="0033628B"/>
    <w:rsid w:val="003365E7"/>
    <w:rsid w:val="003378D5"/>
    <w:rsid w:val="003419E9"/>
    <w:rsid w:val="003447AE"/>
    <w:rsid w:val="003473D7"/>
    <w:rsid w:val="00351AC8"/>
    <w:rsid w:val="00353075"/>
    <w:rsid w:val="00363E02"/>
    <w:rsid w:val="00373A96"/>
    <w:rsid w:val="003826C2"/>
    <w:rsid w:val="00383728"/>
    <w:rsid w:val="00383B8D"/>
    <w:rsid w:val="00391586"/>
    <w:rsid w:val="00394128"/>
    <w:rsid w:val="003947A4"/>
    <w:rsid w:val="00395235"/>
    <w:rsid w:val="0039561A"/>
    <w:rsid w:val="00397C7D"/>
    <w:rsid w:val="003A004F"/>
    <w:rsid w:val="003B4130"/>
    <w:rsid w:val="003B67D3"/>
    <w:rsid w:val="003B6C76"/>
    <w:rsid w:val="003B715B"/>
    <w:rsid w:val="003C4630"/>
    <w:rsid w:val="003D1D14"/>
    <w:rsid w:val="003D6C7C"/>
    <w:rsid w:val="003D6EFB"/>
    <w:rsid w:val="003D7E52"/>
    <w:rsid w:val="003E25C6"/>
    <w:rsid w:val="003E6BEB"/>
    <w:rsid w:val="003F145B"/>
    <w:rsid w:val="003F2122"/>
    <w:rsid w:val="003F326A"/>
    <w:rsid w:val="004011AA"/>
    <w:rsid w:val="0040202C"/>
    <w:rsid w:val="00406508"/>
    <w:rsid w:val="0041456E"/>
    <w:rsid w:val="00414F7E"/>
    <w:rsid w:val="004164F8"/>
    <w:rsid w:val="00417FD0"/>
    <w:rsid w:val="00420B7F"/>
    <w:rsid w:val="004234BA"/>
    <w:rsid w:val="0042488B"/>
    <w:rsid w:val="004427B7"/>
    <w:rsid w:val="0044349F"/>
    <w:rsid w:val="00445F1F"/>
    <w:rsid w:val="00451F60"/>
    <w:rsid w:val="00452BB2"/>
    <w:rsid w:val="00455467"/>
    <w:rsid w:val="0045656D"/>
    <w:rsid w:val="00462D98"/>
    <w:rsid w:val="00472A44"/>
    <w:rsid w:val="00473A89"/>
    <w:rsid w:val="00474D3B"/>
    <w:rsid w:val="00475899"/>
    <w:rsid w:val="004802A8"/>
    <w:rsid w:val="00482C78"/>
    <w:rsid w:val="004874AE"/>
    <w:rsid w:val="00492E2B"/>
    <w:rsid w:val="00494D24"/>
    <w:rsid w:val="004951D1"/>
    <w:rsid w:val="004A27D0"/>
    <w:rsid w:val="004A4D67"/>
    <w:rsid w:val="004A6FD2"/>
    <w:rsid w:val="004B2D4C"/>
    <w:rsid w:val="004C7378"/>
    <w:rsid w:val="004D1030"/>
    <w:rsid w:val="004D3D4B"/>
    <w:rsid w:val="004D5498"/>
    <w:rsid w:val="004D66A5"/>
    <w:rsid w:val="004D6B00"/>
    <w:rsid w:val="004D7951"/>
    <w:rsid w:val="004E0AE0"/>
    <w:rsid w:val="004E1D50"/>
    <w:rsid w:val="004E502F"/>
    <w:rsid w:val="004F0396"/>
    <w:rsid w:val="00501382"/>
    <w:rsid w:val="00503E2F"/>
    <w:rsid w:val="005054B9"/>
    <w:rsid w:val="00506E4F"/>
    <w:rsid w:val="00510798"/>
    <w:rsid w:val="00514ED8"/>
    <w:rsid w:val="00515F12"/>
    <w:rsid w:val="00522B2E"/>
    <w:rsid w:val="00524A11"/>
    <w:rsid w:val="00527768"/>
    <w:rsid w:val="005327FB"/>
    <w:rsid w:val="00533FCA"/>
    <w:rsid w:val="00541C0B"/>
    <w:rsid w:val="0054317E"/>
    <w:rsid w:val="00544C2A"/>
    <w:rsid w:val="00546D49"/>
    <w:rsid w:val="00556D4C"/>
    <w:rsid w:val="005614B4"/>
    <w:rsid w:val="005616B5"/>
    <w:rsid w:val="00571315"/>
    <w:rsid w:val="00582075"/>
    <w:rsid w:val="00584A63"/>
    <w:rsid w:val="00585EB3"/>
    <w:rsid w:val="00591688"/>
    <w:rsid w:val="00592509"/>
    <w:rsid w:val="00594986"/>
    <w:rsid w:val="00597B15"/>
    <w:rsid w:val="005A044C"/>
    <w:rsid w:val="005B5C95"/>
    <w:rsid w:val="005B6740"/>
    <w:rsid w:val="005D0200"/>
    <w:rsid w:val="005D44EF"/>
    <w:rsid w:val="005D4814"/>
    <w:rsid w:val="005D5112"/>
    <w:rsid w:val="005F03E3"/>
    <w:rsid w:val="005F3914"/>
    <w:rsid w:val="005F3B5A"/>
    <w:rsid w:val="005F6AB4"/>
    <w:rsid w:val="00610A66"/>
    <w:rsid w:val="00613177"/>
    <w:rsid w:val="00613F7C"/>
    <w:rsid w:val="00614BF2"/>
    <w:rsid w:val="0061618E"/>
    <w:rsid w:val="00620560"/>
    <w:rsid w:val="006208CB"/>
    <w:rsid w:val="00623DE2"/>
    <w:rsid w:val="00627601"/>
    <w:rsid w:val="006300D0"/>
    <w:rsid w:val="00632012"/>
    <w:rsid w:val="00634694"/>
    <w:rsid w:val="00635F9D"/>
    <w:rsid w:val="00636517"/>
    <w:rsid w:val="00637690"/>
    <w:rsid w:val="00640E1E"/>
    <w:rsid w:val="0064389A"/>
    <w:rsid w:val="00645442"/>
    <w:rsid w:val="006525CD"/>
    <w:rsid w:val="00653353"/>
    <w:rsid w:val="00653F7F"/>
    <w:rsid w:val="00662EE8"/>
    <w:rsid w:val="00663813"/>
    <w:rsid w:val="00663C3B"/>
    <w:rsid w:val="00664AFD"/>
    <w:rsid w:val="00667567"/>
    <w:rsid w:val="0067391A"/>
    <w:rsid w:val="00674173"/>
    <w:rsid w:val="00674602"/>
    <w:rsid w:val="0067535A"/>
    <w:rsid w:val="00683CA0"/>
    <w:rsid w:val="00690DB1"/>
    <w:rsid w:val="00693404"/>
    <w:rsid w:val="006953D9"/>
    <w:rsid w:val="00697FE9"/>
    <w:rsid w:val="006A5FEE"/>
    <w:rsid w:val="006B1242"/>
    <w:rsid w:val="006B1DBC"/>
    <w:rsid w:val="006B63B7"/>
    <w:rsid w:val="006B7D9A"/>
    <w:rsid w:val="006C06D9"/>
    <w:rsid w:val="006C464F"/>
    <w:rsid w:val="006C5716"/>
    <w:rsid w:val="006C74A9"/>
    <w:rsid w:val="006D07DE"/>
    <w:rsid w:val="006D394E"/>
    <w:rsid w:val="006E06D9"/>
    <w:rsid w:val="006E1D40"/>
    <w:rsid w:val="006E2E1F"/>
    <w:rsid w:val="006E4BE8"/>
    <w:rsid w:val="006F5FFF"/>
    <w:rsid w:val="006F6E33"/>
    <w:rsid w:val="006F7AF3"/>
    <w:rsid w:val="00702CF1"/>
    <w:rsid w:val="00703635"/>
    <w:rsid w:val="007054AA"/>
    <w:rsid w:val="00706D4B"/>
    <w:rsid w:val="00707B8C"/>
    <w:rsid w:val="00710804"/>
    <w:rsid w:val="00711FC6"/>
    <w:rsid w:val="007130B1"/>
    <w:rsid w:val="00715071"/>
    <w:rsid w:val="0072140F"/>
    <w:rsid w:val="007231E9"/>
    <w:rsid w:val="00727C59"/>
    <w:rsid w:val="00734E5D"/>
    <w:rsid w:val="00735AF1"/>
    <w:rsid w:val="00736013"/>
    <w:rsid w:val="00737661"/>
    <w:rsid w:val="00755D75"/>
    <w:rsid w:val="00756245"/>
    <w:rsid w:val="0076130F"/>
    <w:rsid w:val="00761662"/>
    <w:rsid w:val="00764043"/>
    <w:rsid w:val="007757CF"/>
    <w:rsid w:val="00776FFC"/>
    <w:rsid w:val="0078128F"/>
    <w:rsid w:val="0078683C"/>
    <w:rsid w:val="00790EDB"/>
    <w:rsid w:val="00791538"/>
    <w:rsid w:val="007918F0"/>
    <w:rsid w:val="0079326E"/>
    <w:rsid w:val="00796EDE"/>
    <w:rsid w:val="00797A02"/>
    <w:rsid w:val="007A27A9"/>
    <w:rsid w:val="007A5A58"/>
    <w:rsid w:val="007A6740"/>
    <w:rsid w:val="007B1C56"/>
    <w:rsid w:val="007B4996"/>
    <w:rsid w:val="007C3CD5"/>
    <w:rsid w:val="007C61EF"/>
    <w:rsid w:val="007D1C0D"/>
    <w:rsid w:val="007D2D23"/>
    <w:rsid w:val="007D7644"/>
    <w:rsid w:val="007E27D6"/>
    <w:rsid w:val="007E3921"/>
    <w:rsid w:val="007E5DDE"/>
    <w:rsid w:val="00801028"/>
    <w:rsid w:val="00802CE2"/>
    <w:rsid w:val="00803793"/>
    <w:rsid w:val="0080643F"/>
    <w:rsid w:val="00814052"/>
    <w:rsid w:val="008149FD"/>
    <w:rsid w:val="00817A01"/>
    <w:rsid w:val="00824F21"/>
    <w:rsid w:val="0082500C"/>
    <w:rsid w:val="00825E35"/>
    <w:rsid w:val="008334F8"/>
    <w:rsid w:val="008341AA"/>
    <w:rsid w:val="00835D8E"/>
    <w:rsid w:val="008372F6"/>
    <w:rsid w:val="008377CA"/>
    <w:rsid w:val="00844D03"/>
    <w:rsid w:val="00847B0F"/>
    <w:rsid w:val="00852994"/>
    <w:rsid w:val="00873D89"/>
    <w:rsid w:val="00876659"/>
    <w:rsid w:val="00876677"/>
    <w:rsid w:val="0087734C"/>
    <w:rsid w:val="00882141"/>
    <w:rsid w:val="00887E3B"/>
    <w:rsid w:val="008922A8"/>
    <w:rsid w:val="00895728"/>
    <w:rsid w:val="00895BD5"/>
    <w:rsid w:val="0089742B"/>
    <w:rsid w:val="008A16C4"/>
    <w:rsid w:val="008A6FED"/>
    <w:rsid w:val="008B39C5"/>
    <w:rsid w:val="008B51AA"/>
    <w:rsid w:val="008B7932"/>
    <w:rsid w:val="008C4704"/>
    <w:rsid w:val="008C67F2"/>
    <w:rsid w:val="008D064A"/>
    <w:rsid w:val="008D0FDB"/>
    <w:rsid w:val="008D2B0F"/>
    <w:rsid w:val="008D30BC"/>
    <w:rsid w:val="008D4BC4"/>
    <w:rsid w:val="008E449E"/>
    <w:rsid w:val="008E7062"/>
    <w:rsid w:val="008F187F"/>
    <w:rsid w:val="008F402F"/>
    <w:rsid w:val="008F55FA"/>
    <w:rsid w:val="008F76E8"/>
    <w:rsid w:val="008F7CD0"/>
    <w:rsid w:val="00902902"/>
    <w:rsid w:val="00902A4B"/>
    <w:rsid w:val="009078A1"/>
    <w:rsid w:val="00911E9C"/>
    <w:rsid w:val="00915083"/>
    <w:rsid w:val="00917405"/>
    <w:rsid w:val="00920035"/>
    <w:rsid w:val="00920F7C"/>
    <w:rsid w:val="00934CAE"/>
    <w:rsid w:val="0094257D"/>
    <w:rsid w:val="00942F60"/>
    <w:rsid w:val="0095211B"/>
    <w:rsid w:val="0095467C"/>
    <w:rsid w:val="00954A61"/>
    <w:rsid w:val="00955C6F"/>
    <w:rsid w:val="00966C7B"/>
    <w:rsid w:val="009701DC"/>
    <w:rsid w:val="009715D8"/>
    <w:rsid w:val="00980D0D"/>
    <w:rsid w:val="00985C4B"/>
    <w:rsid w:val="00995BF9"/>
    <w:rsid w:val="00997C3C"/>
    <w:rsid w:val="009A0CAF"/>
    <w:rsid w:val="009A1474"/>
    <w:rsid w:val="009A2207"/>
    <w:rsid w:val="009A5147"/>
    <w:rsid w:val="009A74C4"/>
    <w:rsid w:val="009B02D2"/>
    <w:rsid w:val="009B6C42"/>
    <w:rsid w:val="009D31F7"/>
    <w:rsid w:val="009D32C2"/>
    <w:rsid w:val="009D50DB"/>
    <w:rsid w:val="009E3A0A"/>
    <w:rsid w:val="009F26D4"/>
    <w:rsid w:val="009F3E91"/>
    <w:rsid w:val="009F6CE7"/>
    <w:rsid w:val="009F7D7D"/>
    <w:rsid w:val="00A01670"/>
    <w:rsid w:val="00A1499B"/>
    <w:rsid w:val="00A20879"/>
    <w:rsid w:val="00A20AFC"/>
    <w:rsid w:val="00A23E47"/>
    <w:rsid w:val="00A314C2"/>
    <w:rsid w:val="00A43B9C"/>
    <w:rsid w:val="00A53155"/>
    <w:rsid w:val="00A56FFA"/>
    <w:rsid w:val="00A63E86"/>
    <w:rsid w:val="00A65A1C"/>
    <w:rsid w:val="00A757C3"/>
    <w:rsid w:val="00A75E5B"/>
    <w:rsid w:val="00A7684A"/>
    <w:rsid w:val="00A82AED"/>
    <w:rsid w:val="00A83B69"/>
    <w:rsid w:val="00A86533"/>
    <w:rsid w:val="00A9176A"/>
    <w:rsid w:val="00A91CA2"/>
    <w:rsid w:val="00A92FB8"/>
    <w:rsid w:val="00A948F1"/>
    <w:rsid w:val="00AA1D7D"/>
    <w:rsid w:val="00AA7525"/>
    <w:rsid w:val="00AB0EA9"/>
    <w:rsid w:val="00AB139D"/>
    <w:rsid w:val="00AB2C46"/>
    <w:rsid w:val="00AB3EFB"/>
    <w:rsid w:val="00AB5EF7"/>
    <w:rsid w:val="00AC0B05"/>
    <w:rsid w:val="00AC763F"/>
    <w:rsid w:val="00AD079A"/>
    <w:rsid w:val="00AD1890"/>
    <w:rsid w:val="00AE2149"/>
    <w:rsid w:val="00AE33AE"/>
    <w:rsid w:val="00AE3785"/>
    <w:rsid w:val="00AE3F91"/>
    <w:rsid w:val="00AE452F"/>
    <w:rsid w:val="00AE76E6"/>
    <w:rsid w:val="00B00ACC"/>
    <w:rsid w:val="00B039E3"/>
    <w:rsid w:val="00B043C1"/>
    <w:rsid w:val="00B22838"/>
    <w:rsid w:val="00B27D52"/>
    <w:rsid w:val="00B32BC1"/>
    <w:rsid w:val="00B33E95"/>
    <w:rsid w:val="00B34EE1"/>
    <w:rsid w:val="00B35B5E"/>
    <w:rsid w:val="00B3720B"/>
    <w:rsid w:val="00B40EE3"/>
    <w:rsid w:val="00B4535A"/>
    <w:rsid w:val="00B55271"/>
    <w:rsid w:val="00B5558A"/>
    <w:rsid w:val="00B56513"/>
    <w:rsid w:val="00B56B2E"/>
    <w:rsid w:val="00B64376"/>
    <w:rsid w:val="00B71533"/>
    <w:rsid w:val="00B7401F"/>
    <w:rsid w:val="00B806C3"/>
    <w:rsid w:val="00B838F5"/>
    <w:rsid w:val="00B84FCA"/>
    <w:rsid w:val="00B9089F"/>
    <w:rsid w:val="00B91AEE"/>
    <w:rsid w:val="00B94F71"/>
    <w:rsid w:val="00B95F5A"/>
    <w:rsid w:val="00B96EAD"/>
    <w:rsid w:val="00BA22AF"/>
    <w:rsid w:val="00BA4B42"/>
    <w:rsid w:val="00BA79F5"/>
    <w:rsid w:val="00BB02E8"/>
    <w:rsid w:val="00BB3AB6"/>
    <w:rsid w:val="00BB766D"/>
    <w:rsid w:val="00BC007B"/>
    <w:rsid w:val="00BC15E7"/>
    <w:rsid w:val="00BC26BA"/>
    <w:rsid w:val="00BC35F8"/>
    <w:rsid w:val="00BC49BF"/>
    <w:rsid w:val="00BC5043"/>
    <w:rsid w:val="00BC7140"/>
    <w:rsid w:val="00BD1B89"/>
    <w:rsid w:val="00BD3944"/>
    <w:rsid w:val="00BF376F"/>
    <w:rsid w:val="00BF46A6"/>
    <w:rsid w:val="00BF62CF"/>
    <w:rsid w:val="00BF6B98"/>
    <w:rsid w:val="00BF73D6"/>
    <w:rsid w:val="00C06545"/>
    <w:rsid w:val="00C1161C"/>
    <w:rsid w:val="00C17F66"/>
    <w:rsid w:val="00C220FC"/>
    <w:rsid w:val="00C23C86"/>
    <w:rsid w:val="00C24DFA"/>
    <w:rsid w:val="00C35561"/>
    <w:rsid w:val="00C4202A"/>
    <w:rsid w:val="00C4211F"/>
    <w:rsid w:val="00C46A36"/>
    <w:rsid w:val="00C47037"/>
    <w:rsid w:val="00C53625"/>
    <w:rsid w:val="00C602C1"/>
    <w:rsid w:val="00C61C98"/>
    <w:rsid w:val="00C63FC0"/>
    <w:rsid w:val="00C66392"/>
    <w:rsid w:val="00C74C5E"/>
    <w:rsid w:val="00C77487"/>
    <w:rsid w:val="00C827A2"/>
    <w:rsid w:val="00C82B69"/>
    <w:rsid w:val="00C85394"/>
    <w:rsid w:val="00C8657D"/>
    <w:rsid w:val="00C91B28"/>
    <w:rsid w:val="00C91F3A"/>
    <w:rsid w:val="00C94A6F"/>
    <w:rsid w:val="00CA06E3"/>
    <w:rsid w:val="00CB328B"/>
    <w:rsid w:val="00CB5797"/>
    <w:rsid w:val="00CB6050"/>
    <w:rsid w:val="00CC1202"/>
    <w:rsid w:val="00CC4099"/>
    <w:rsid w:val="00CC45C1"/>
    <w:rsid w:val="00CD09E1"/>
    <w:rsid w:val="00CD5078"/>
    <w:rsid w:val="00CD6202"/>
    <w:rsid w:val="00CE2486"/>
    <w:rsid w:val="00CE4913"/>
    <w:rsid w:val="00CE66BD"/>
    <w:rsid w:val="00CF0671"/>
    <w:rsid w:val="00CF44AD"/>
    <w:rsid w:val="00CF4FC0"/>
    <w:rsid w:val="00CF7642"/>
    <w:rsid w:val="00D03909"/>
    <w:rsid w:val="00D1072F"/>
    <w:rsid w:val="00D108A5"/>
    <w:rsid w:val="00D14585"/>
    <w:rsid w:val="00D20EFF"/>
    <w:rsid w:val="00D30F1B"/>
    <w:rsid w:val="00D30FC0"/>
    <w:rsid w:val="00D34F0D"/>
    <w:rsid w:val="00D3516E"/>
    <w:rsid w:val="00D4064C"/>
    <w:rsid w:val="00D47F9F"/>
    <w:rsid w:val="00D53ED8"/>
    <w:rsid w:val="00D56380"/>
    <w:rsid w:val="00D56A47"/>
    <w:rsid w:val="00D64857"/>
    <w:rsid w:val="00D6493A"/>
    <w:rsid w:val="00D64EE2"/>
    <w:rsid w:val="00D67875"/>
    <w:rsid w:val="00D71CBD"/>
    <w:rsid w:val="00D71E86"/>
    <w:rsid w:val="00D731C6"/>
    <w:rsid w:val="00D745C5"/>
    <w:rsid w:val="00D75327"/>
    <w:rsid w:val="00D76473"/>
    <w:rsid w:val="00D80C36"/>
    <w:rsid w:val="00D86779"/>
    <w:rsid w:val="00D86EE1"/>
    <w:rsid w:val="00D9120E"/>
    <w:rsid w:val="00D913B1"/>
    <w:rsid w:val="00D93793"/>
    <w:rsid w:val="00D96126"/>
    <w:rsid w:val="00DB4B1C"/>
    <w:rsid w:val="00DB5085"/>
    <w:rsid w:val="00DB7706"/>
    <w:rsid w:val="00DC1062"/>
    <w:rsid w:val="00DC132C"/>
    <w:rsid w:val="00DC774B"/>
    <w:rsid w:val="00DD43F0"/>
    <w:rsid w:val="00DD44DE"/>
    <w:rsid w:val="00DE09AB"/>
    <w:rsid w:val="00DE4A3F"/>
    <w:rsid w:val="00DE4E53"/>
    <w:rsid w:val="00DE7AE9"/>
    <w:rsid w:val="00DF4367"/>
    <w:rsid w:val="00E0574A"/>
    <w:rsid w:val="00E1243D"/>
    <w:rsid w:val="00E12742"/>
    <w:rsid w:val="00E12E4A"/>
    <w:rsid w:val="00E146D4"/>
    <w:rsid w:val="00E20976"/>
    <w:rsid w:val="00E22079"/>
    <w:rsid w:val="00E22B44"/>
    <w:rsid w:val="00E236D8"/>
    <w:rsid w:val="00E30ACD"/>
    <w:rsid w:val="00E3184B"/>
    <w:rsid w:val="00E32735"/>
    <w:rsid w:val="00E5391D"/>
    <w:rsid w:val="00E544E5"/>
    <w:rsid w:val="00E66E36"/>
    <w:rsid w:val="00E6781E"/>
    <w:rsid w:val="00E702ED"/>
    <w:rsid w:val="00E705CC"/>
    <w:rsid w:val="00E709A4"/>
    <w:rsid w:val="00E73822"/>
    <w:rsid w:val="00E772DB"/>
    <w:rsid w:val="00E86012"/>
    <w:rsid w:val="00E86BAB"/>
    <w:rsid w:val="00E901A1"/>
    <w:rsid w:val="00E94E10"/>
    <w:rsid w:val="00E954BD"/>
    <w:rsid w:val="00E96743"/>
    <w:rsid w:val="00E96A42"/>
    <w:rsid w:val="00EA0A36"/>
    <w:rsid w:val="00EA49C5"/>
    <w:rsid w:val="00EB1C1C"/>
    <w:rsid w:val="00EB5027"/>
    <w:rsid w:val="00EC1836"/>
    <w:rsid w:val="00EC3990"/>
    <w:rsid w:val="00EC484B"/>
    <w:rsid w:val="00ED15FA"/>
    <w:rsid w:val="00ED1E00"/>
    <w:rsid w:val="00EE228F"/>
    <w:rsid w:val="00EE238D"/>
    <w:rsid w:val="00EE6E9A"/>
    <w:rsid w:val="00EF0BF1"/>
    <w:rsid w:val="00EF27DA"/>
    <w:rsid w:val="00EF2AC4"/>
    <w:rsid w:val="00EF397E"/>
    <w:rsid w:val="00F06F68"/>
    <w:rsid w:val="00F1332D"/>
    <w:rsid w:val="00F1534B"/>
    <w:rsid w:val="00F1713B"/>
    <w:rsid w:val="00F212CB"/>
    <w:rsid w:val="00F23C7D"/>
    <w:rsid w:val="00F243DB"/>
    <w:rsid w:val="00F24C2D"/>
    <w:rsid w:val="00F24F1B"/>
    <w:rsid w:val="00F27356"/>
    <w:rsid w:val="00F32A81"/>
    <w:rsid w:val="00F46998"/>
    <w:rsid w:val="00F47100"/>
    <w:rsid w:val="00F5382D"/>
    <w:rsid w:val="00F53D9C"/>
    <w:rsid w:val="00F5462B"/>
    <w:rsid w:val="00F634AD"/>
    <w:rsid w:val="00F63677"/>
    <w:rsid w:val="00F63ABE"/>
    <w:rsid w:val="00F75B81"/>
    <w:rsid w:val="00F804C4"/>
    <w:rsid w:val="00F82F83"/>
    <w:rsid w:val="00F832E5"/>
    <w:rsid w:val="00F90F40"/>
    <w:rsid w:val="00F92B30"/>
    <w:rsid w:val="00F933B9"/>
    <w:rsid w:val="00F94674"/>
    <w:rsid w:val="00F94919"/>
    <w:rsid w:val="00F94A59"/>
    <w:rsid w:val="00FA25B6"/>
    <w:rsid w:val="00FA2FAF"/>
    <w:rsid w:val="00FA5CCF"/>
    <w:rsid w:val="00FA64B1"/>
    <w:rsid w:val="00FA70F3"/>
    <w:rsid w:val="00FA71CD"/>
    <w:rsid w:val="00FB0453"/>
    <w:rsid w:val="00FB0C07"/>
    <w:rsid w:val="00FB298D"/>
    <w:rsid w:val="00FC1439"/>
    <w:rsid w:val="00FC58BE"/>
    <w:rsid w:val="00FC7225"/>
    <w:rsid w:val="00FC724B"/>
    <w:rsid w:val="00FC767C"/>
    <w:rsid w:val="00FC7910"/>
    <w:rsid w:val="00FD0834"/>
    <w:rsid w:val="00FD6EA4"/>
    <w:rsid w:val="00FE13AD"/>
    <w:rsid w:val="00FE348D"/>
    <w:rsid w:val="00FE51C8"/>
    <w:rsid w:val="00FE53B6"/>
    <w:rsid w:val="00FE72A6"/>
    <w:rsid w:val="00FF0ABF"/>
    <w:rsid w:val="00FF0DA7"/>
    <w:rsid w:val="00FF44E0"/>
    <w:rsid w:val="00FF4CB6"/>
    <w:rsid w:val="00FF5834"/>
    <w:rsid w:val="00FF6C72"/>
    <w:rsid w:val="0214602E"/>
    <w:rsid w:val="03486B27"/>
    <w:rsid w:val="040A094E"/>
    <w:rsid w:val="04E36C96"/>
    <w:rsid w:val="056800F4"/>
    <w:rsid w:val="056F201D"/>
    <w:rsid w:val="05B664D4"/>
    <w:rsid w:val="07076C01"/>
    <w:rsid w:val="071C12AC"/>
    <w:rsid w:val="074E231E"/>
    <w:rsid w:val="07A934B3"/>
    <w:rsid w:val="08B15E54"/>
    <w:rsid w:val="0980799C"/>
    <w:rsid w:val="0A0F6376"/>
    <w:rsid w:val="0A353CEA"/>
    <w:rsid w:val="0A6A18DB"/>
    <w:rsid w:val="0AEF3828"/>
    <w:rsid w:val="0BBB665B"/>
    <w:rsid w:val="0CB7664E"/>
    <w:rsid w:val="0E816EC5"/>
    <w:rsid w:val="0EEA6FC1"/>
    <w:rsid w:val="0F4277C2"/>
    <w:rsid w:val="0F954485"/>
    <w:rsid w:val="0FBF344F"/>
    <w:rsid w:val="10505F32"/>
    <w:rsid w:val="105A27E6"/>
    <w:rsid w:val="119B0711"/>
    <w:rsid w:val="12197477"/>
    <w:rsid w:val="12F933E5"/>
    <w:rsid w:val="13587E2C"/>
    <w:rsid w:val="1466407E"/>
    <w:rsid w:val="14834E28"/>
    <w:rsid w:val="148E7D65"/>
    <w:rsid w:val="151D4243"/>
    <w:rsid w:val="15231BF9"/>
    <w:rsid w:val="179F5278"/>
    <w:rsid w:val="1A3B68AA"/>
    <w:rsid w:val="1A3E1C1E"/>
    <w:rsid w:val="1C141836"/>
    <w:rsid w:val="1E6B6A14"/>
    <w:rsid w:val="1FC234F7"/>
    <w:rsid w:val="20550D9A"/>
    <w:rsid w:val="21714B53"/>
    <w:rsid w:val="218E2416"/>
    <w:rsid w:val="226915FE"/>
    <w:rsid w:val="22E14C32"/>
    <w:rsid w:val="24B97929"/>
    <w:rsid w:val="2520252D"/>
    <w:rsid w:val="26163BC1"/>
    <w:rsid w:val="262221C3"/>
    <w:rsid w:val="285F40CA"/>
    <w:rsid w:val="28C01ECB"/>
    <w:rsid w:val="28EC3ECC"/>
    <w:rsid w:val="29BF71E3"/>
    <w:rsid w:val="2A127B63"/>
    <w:rsid w:val="2AAA4765"/>
    <w:rsid w:val="2AC21606"/>
    <w:rsid w:val="2AF63C5E"/>
    <w:rsid w:val="2B7E7608"/>
    <w:rsid w:val="2B7F04E9"/>
    <w:rsid w:val="2C305555"/>
    <w:rsid w:val="2C324425"/>
    <w:rsid w:val="2C9A21B9"/>
    <w:rsid w:val="2CE20523"/>
    <w:rsid w:val="2D496D68"/>
    <w:rsid w:val="2E6672CB"/>
    <w:rsid w:val="2E7A48DE"/>
    <w:rsid w:val="2EDC3ED8"/>
    <w:rsid w:val="2F2D046C"/>
    <w:rsid w:val="2F6351B4"/>
    <w:rsid w:val="2FCF199E"/>
    <w:rsid w:val="30483E83"/>
    <w:rsid w:val="30AA0E97"/>
    <w:rsid w:val="334E4CD8"/>
    <w:rsid w:val="343C0775"/>
    <w:rsid w:val="34AA76A9"/>
    <w:rsid w:val="356C50EC"/>
    <w:rsid w:val="361108CD"/>
    <w:rsid w:val="3700166C"/>
    <w:rsid w:val="3727617F"/>
    <w:rsid w:val="375969FE"/>
    <w:rsid w:val="38694EE9"/>
    <w:rsid w:val="393C6E91"/>
    <w:rsid w:val="3AE724D1"/>
    <w:rsid w:val="3B365CC9"/>
    <w:rsid w:val="3B9A7B88"/>
    <w:rsid w:val="3BC114FF"/>
    <w:rsid w:val="3C2660C6"/>
    <w:rsid w:val="3D2C7AC8"/>
    <w:rsid w:val="3D855D12"/>
    <w:rsid w:val="3D8B42FF"/>
    <w:rsid w:val="3D8C02DD"/>
    <w:rsid w:val="3DC20089"/>
    <w:rsid w:val="3DF36A6E"/>
    <w:rsid w:val="3F1138E1"/>
    <w:rsid w:val="3F792F1E"/>
    <w:rsid w:val="40824826"/>
    <w:rsid w:val="40E63923"/>
    <w:rsid w:val="4140333C"/>
    <w:rsid w:val="41700A39"/>
    <w:rsid w:val="42545C34"/>
    <w:rsid w:val="42B443F4"/>
    <w:rsid w:val="42F43FD4"/>
    <w:rsid w:val="43A91E5B"/>
    <w:rsid w:val="44330E67"/>
    <w:rsid w:val="44BC3308"/>
    <w:rsid w:val="45BA48DB"/>
    <w:rsid w:val="45BE11FB"/>
    <w:rsid w:val="463A3650"/>
    <w:rsid w:val="469F0116"/>
    <w:rsid w:val="475259B7"/>
    <w:rsid w:val="48831CF9"/>
    <w:rsid w:val="49A165B8"/>
    <w:rsid w:val="49B1408D"/>
    <w:rsid w:val="4A7D4FD2"/>
    <w:rsid w:val="4A913C9A"/>
    <w:rsid w:val="4AE22D2F"/>
    <w:rsid w:val="4B1F70AC"/>
    <w:rsid w:val="4B240F94"/>
    <w:rsid w:val="4B386AE5"/>
    <w:rsid w:val="4BA75287"/>
    <w:rsid w:val="4BED70D6"/>
    <w:rsid w:val="4C3C565C"/>
    <w:rsid w:val="4C936C5D"/>
    <w:rsid w:val="4CCC79C7"/>
    <w:rsid w:val="4D7555C7"/>
    <w:rsid w:val="4EAE6DA0"/>
    <w:rsid w:val="4FD037EF"/>
    <w:rsid w:val="5016514B"/>
    <w:rsid w:val="502857C7"/>
    <w:rsid w:val="50476D3D"/>
    <w:rsid w:val="50F72CFD"/>
    <w:rsid w:val="51CB1C78"/>
    <w:rsid w:val="51FD6A51"/>
    <w:rsid w:val="526B680A"/>
    <w:rsid w:val="52C90BE7"/>
    <w:rsid w:val="53150D15"/>
    <w:rsid w:val="5352083E"/>
    <w:rsid w:val="541A5D30"/>
    <w:rsid w:val="54F24195"/>
    <w:rsid w:val="553E632F"/>
    <w:rsid w:val="55F068CD"/>
    <w:rsid w:val="566C3136"/>
    <w:rsid w:val="568D04F2"/>
    <w:rsid w:val="57244AC3"/>
    <w:rsid w:val="588D6DD7"/>
    <w:rsid w:val="58943156"/>
    <w:rsid w:val="5A526582"/>
    <w:rsid w:val="5A5F5C77"/>
    <w:rsid w:val="5A933291"/>
    <w:rsid w:val="5BBE39CD"/>
    <w:rsid w:val="5BC11A60"/>
    <w:rsid w:val="5C7A4D54"/>
    <w:rsid w:val="5CD23B73"/>
    <w:rsid w:val="5F127819"/>
    <w:rsid w:val="5F63752A"/>
    <w:rsid w:val="60F1503F"/>
    <w:rsid w:val="61025188"/>
    <w:rsid w:val="61057D5F"/>
    <w:rsid w:val="614D4977"/>
    <w:rsid w:val="63C60FC0"/>
    <w:rsid w:val="64BA3D7A"/>
    <w:rsid w:val="64F179BC"/>
    <w:rsid w:val="65C94C55"/>
    <w:rsid w:val="665704D3"/>
    <w:rsid w:val="673148E2"/>
    <w:rsid w:val="675445CD"/>
    <w:rsid w:val="67C065A4"/>
    <w:rsid w:val="67D359C9"/>
    <w:rsid w:val="68FE36DD"/>
    <w:rsid w:val="694E60FC"/>
    <w:rsid w:val="69EF4042"/>
    <w:rsid w:val="6C410A63"/>
    <w:rsid w:val="6C675CE6"/>
    <w:rsid w:val="6CEF35AF"/>
    <w:rsid w:val="6D4F4321"/>
    <w:rsid w:val="6DCE74FE"/>
    <w:rsid w:val="6DFF7360"/>
    <w:rsid w:val="6E7A5F73"/>
    <w:rsid w:val="6F2B0C76"/>
    <w:rsid w:val="6F2E3798"/>
    <w:rsid w:val="6FD74228"/>
    <w:rsid w:val="70B33744"/>
    <w:rsid w:val="70FE5EDF"/>
    <w:rsid w:val="71633091"/>
    <w:rsid w:val="73081CA5"/>
    <w:rsid w:val="73483525"/>
    <w:rsid w:val="74545B7C"/>
    <w:rsid w:val="7487762D"/>
    <w:rsid w:val="75385498"/>
    <w:rsid w:val="769962BD"/>
    <w:rsid w:val="76BC207F"/>
    <w:rsid w:val="76EB4904"/>
    <w:rsid w:val="777378F5"/>
    <w:rsid w:val="777A2D3C"/>
    <w:rsid w:val="78537BEA"/>
    <w:rsid w:val="79074B81"/>
    <w:rsid w:val="794F0939"/>
    <w:rsid w:val="79AF0FCA"/>
    <w:rsid w:val="79EF2560"/>
    <w:rsid w:val="7AF9279C"/>
    <w:rsid w:val="7BA7602B"/>
    <w:rsid w:val="7CC51958"/>
    <w:rsid w:val="7CEC40B6"/>
    <w:rsid w:val="7E2936C3"/>
    <w:rsid w:val="7E2E365C"/>
    <w:rsid w:val="7E6411B9"/>
    <w:rsid w:val="7E855A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_GB2312" w:eastAsia="@仿宋_GB2312" w:cs="@仿宋_GB2312"/>
      <w:kern w:val="2"/>
      <w:sz w:val="21"/>
      <w:lang w:val="en-US" w:eastAsia="zh-CN" w:bidi="ar-SA"/>
    </w:rPr>
  </w:style>
  <w:style w:type="paragraph" w:styleId="2">
    <w:name w:val="heading 1"/>
    <w:basedOn w:val="1"/>
    <w:next w:val="1"/>
    <w:link w:val="5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59"/>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4"/>
    <w:autoRedefine/>
    <w:qFormat/>
    <w:uiPriority w:val="0"/>
    <w:pPr>
      <w:keepNext/>
      <w:keepLines/>
      <w:spacing w:before="280" w:after="290" w:line="376" w:lineRule="auto"/>
      <w:outlineLvl w:val="3"/>
    </w:pPr>
    <w:rPr>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utoSpaceDE w:val="0"/>
      <w:autoSpaceDN w:val="0"/>
      <w:adjustRightInd w:val="0"/>
      <w:ind w:firstLine="420"/>
      <w:jc w:val="left"/>
    </w:pPr>
    <w:rPr>
      <w:rFonts w:ascii="宋体" w:hAnsi="Times New Roman" w:eastAsia="宋体" w:cs="Times New Roman"/>
      <w:kern w:val="0"/>
      <w:sz w:val="24"/>
    </w:rPr>
  </w:style>
  <w:style w:type="paragraph" w:styleId="7">
    <w:name w:val="annotation text"/>
    <w:basedOn w:val="1"/>
    <w:link w:val="56"/>
    <w:autoRedefine/>
    <w:qFormat/>
    <w:uiPriority w:val="0"/>
    <w:pPr>
      <w:jc w:val="left"/>
    </w:pPr>
    <w:rPr>
      <w:rFonts w:ascii="Arial" w:hAnsi="Arial" w:eastAsia="黑体" w:cs="Arial"/>
    </w:rPr>
  </w:style>
  <w:style w:type="paragraph" w:styleId="8">
    <w:name w:val="Body Text"/>
    <w:basedOn w:val="1"/>
    <w:autoRedefine/>
    <w:qFormat/>
    <w:uiPriority w:val="0"/>
    <w:pPr>
      <w:spacing w:after="120"/>
    </w:pPr>
    <w:rPr>
      <w:rFonts w:ascii="@微软简标宋" w:hAnsi="@微软简标宋" w:eastAsia="@微软简标宋" w:cs="@微软简标宋"/>
      <w:szCs w:val="24"/>
      <w:lang w:val="zh-CN"/>
    </w:rPr>
  </w:style>
  <w:style w:type="paragraph" w:styleId="9">
    <w:name w:val="Body Text Indent"/>
    <w:basedOn w:val="1"/>
    <w:next w:val="10"/>
    <w:unhideWhenUsed/>
    <w:qFormat/>
    <w:uiPriority w:val="0"/>
    <w:pPr>
      <w:spacing w:after="120"/>
      <w:ind w:left="420" w:leftChars="200"/>
    </w:pPr>
    <w:rPr>
      <w:rFonts w:asciiTheme="minorHAnsi" w:hAnsiTheme="minorHAnsi"/>
      <w:szCs w:val="22"/>
    </w:rPr>
  </w:style>
  <w:style w:type="paragraph" w:styleId="10">
    <w:name w:val="envelope return"/>
    <w:basedOn w:val="1"/>
    <w:qFormat/>
    <w:uiPriority w:val="0"/>
    <w:pPr>
      <w:snapToGrid w:val="0"/>
    </w:pPr>
    <w:rPr>
      <w:rFonts w:ascii="Arial" w:hAnsi="Arial"/>
    </w:rPr>
  </w:style>
  <w:style w:type="paragraph" w:styleId="11">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2">
    <w:name w:val="Plain Text"/>
    <w:basedOn w:val="1"/>
    <w:link w:val="46"/>
    <w:autoRedefine/>
    <w:qFormat/>
    <w:uiPriority w:val="99"/>
    <w:rPr>
      <w:rFonts w:ascii="宋体" w:hAnsi="Courier New" w:eastAsiaTheme="minorEastAsia" w:cstheme="minorBidi"/>
      <w:szCs w:val="22"/>
    </w:rPr>
  </w:style>
  <w:style w:type="paragraph" w:styleId="13">
    <w:name w:val="Date"/>
    <w:basedOn w:val="1"/>
    <w:next w:val="1"/>
    <w:link w:val="53"/>
    <w:autoRedefine/>
    <w:qFormat/>
    <w:uiPriority w:val="0"/>
    <w:rPr>
      <w:rFonts w:ascii="Arial" w:hAnsi="Arial" w:eastAsia="宋体" w:cs="Arial"/>
      <w:b/>
      <w:sz w:val="28"/>
    </w:rPr>
  </w:style>
  <w:style w:type="paragraph" w:styleId="14">
    <w:name w:val="Balloon Text"/>
    <w:basedOn w:val="1"/>
    <w:link w:val="40"/>
    <w:autoRedefine/>
    <w:semiHidden/>
    <w:unhideWhenUsed/>
    <w:qFormat/>
    <w:uiPriority w:val="99"/>
    <w:rPr>
      <w:sz w:val="18"/>
      <w:szCs w:val="18"/>
    </w:rPr>
  </w:style>
  <w:style w:type="paragraph" w:styleId="15">
    <w:name w:val="footer"/>
    <w:basedOn w:val="1"/>
    <w:link w:val="45"/>
    <w:autoRedefine/>
    <w:unhideWhenUsed/>
    <w:qFormat/>
    <w:uiPriority w:val="99"/>
    <w:pPr>
      <w:tabs>
        <w:tab w:val="center" w:pos="4153"/>
        <w:tab w:val="right" w:pos="8306"/>
      </w:tabs>
      <w:snapToGrid w:val="0"/>
      <w:jc w:val="left"/>
    </w:pPr>
    <w:rPr>
      <w:sz w:val="18"/>
      <w:szCs w:val="18"/>
    </w:rPr>
  </w:style>
  <w:style w:type="paragraph" w:styleId="16">
    <w:name w:val="header"/>
    <w:basedOn w:val="1"/>
    <w:link w:val="4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8">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9">
    <w:name w:val="Normal (Web)"/>
    <w:basedOn w:val="1"/>
    <w:autoRedefine/>
    <w:qFormat/>
    <w:uiPriority w:val="0"/>
    <w:pPr>
      <w:spacing w:before="100" w:beforeAutospacing="1" w:after="100" w:afterAutospacing="1"/>
      <w:jc w:val="left"/>
    </w:pPr>
    <w:rPr>
      <w:rFonts w:cs="Times New Roman"/>
      <w:kern w:val="0"/>
      <w:sz w:val="24"/>
    </w:rPr>
  </w:style>
  <w:style w:type="paragraph" w:styleId="20">
    <w:name w:val="index 1"/>
    <w:basedOn w:val="1"/>
    <w:next w:val="1"/>
    <w:autoRedefine/>
    <w:qFormat/>
    <w:uiPriority w:val="0"/>
    <w:pPr>
      <w:jc w:val="center"/>
    </w:pPr>
    <w:rPr>
      <w:rFonts w:ascii="Arial" w:hAnsi="Arial" w:eastAsia="Arial" w:cs="Arial"/>
      <w:b/>
      <w:bCs/>
      <w:sz w:val="28"/>
    </w:rPr>
  </w:style>
  <w:style w:type="paragraph" w:styleId="21">
    <w:name w:val="annotation subject"/>
    <w:basedOn w:val="7"/>
    <w:next w:val="7"/>
    <w:link w:val="67"/>
    <w:autoRedefine/>
    <w:semiHidden/>
    <w:unhideWhenUsed/>
    <w:qFormat/>
    <w:uiPriority w:val="99"/>
    <w:rPr>
      <w:rFonts w:ascii="@仿宋_GB2312" w:hAnsi="@仿宋_GB2312" w:eastAsia="@仿宋_GB2312" w:cs="@仿宋_GB2312"/>
      <w:b/>
      <w:bCs/>
    </w:rPr>
  </w:style>
  <w:style w:type="paragraph" w:styleId="22">
    <w:name w:val="Body Text First Indent"/>
    <w:basedOn w:val="8"/>
    <w:autoRedefine/>
    <w:unhideWhenUsed/>
    <w:qFormat/>
    <w:uiPriority w:val="99"/>
    <w:pPr>
      <w:ind w:firstLine="420" w:firstLineChars="100"/>
    </w:pPr>
  </w:style>
  <w:style w:type="paragraph" w:styleId="23">
    <w:name w:val="Body Text First Indent 2"/>
    <w:basedOn w:val="9"/>
    <w:next w:val="1"/>
    <w:qFormat/>
    <w:uiPriority w:val="0"/>
    <w:pPr>
      <w:spacing w:line="360" w:lineRule="auto"/>
      <w:ind w:firstLine="200"/>
    </w:pPr>
  </w:style>
  <w:style w:type="table" w:styleId="25">
    <w:name w:val="Table Grid"/>
    <w:basedOn w:val="24"/>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autoRedefine/>
    <w:qFormat/>
    <w:uiPriority w:val="0"/>
    <w:rPr>
      <w:b/>
      <w:bCs/>
    </w:rPr>
  </w:style>
  <w:style w:type="character" w:styleId="28">
    <w:name w:val="FollowedHyperlink"/>
    <w:basedOn w:val="26"/>
    <w:semiHidden/>
    <w:unhideWhenUsed/>
    <w:qFormat/>
    <w:uiPriority w:val="99"/>
    <w:rPr>
      <w:color w:val="5C5C5C"/>
      <w:u w:val="none"/>
    </w:rPr>
  </w:style>
  <w:style w:type="character" w:styleId="29">
    <w:name w:val="Emphasis"/>
    <w:basedOn w:val="26"/>
    <w:qFormat/>
    <w:uiPriority w:val="0"/>
    <w:rPr>
      <w:b/>
      <w:bCs/>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rPr>
      <w:bdr w:val="none" w:color="auto" w:sz="0" w:space="0"/>
    </w:rPr>
  </w:style>
  <w:style w:type="character" w:styleId="33">
    <w:name w:val="HTML Variable"/>
    <w:basedOn w:val="26"/>
    <w:semiHidden/>
    <w:unhideWhenUsed/>
    <w:qFormat/>
    <w:uiPriority w:val="99"/>
  </w:style>
  <w:style w:type="character" w:styleId="34">
    <w:name w:val="Hyperlink"/>
    <w:basedOn w:val="26"/>
    <w:autoRedefine/>
    <w:unhideWhenUsed/>
    <w:qFormat/>
    <w:uiPriority w:val="99"/>
    <w:rPr>
      <w:color w:val="0000FF" w:themeColor="hyperlink"/>
      <w:u w:val="single"/>
      <w14:textFill>
        <w14:solidFill>
          <w14:schemeClr w14:val="hlink"/>
        </w14:solidFill>
      </w14:textFill>
    </w:rPr>
  </w:style>
  <w:style w:type="character" w:styleId="35">
    <w:name w:val="HTML Code"/>
    <w:basedOn w:val="26"/>
    <w:semiHidden/>
    <w:unhideWhenUsed/>
    <w:qFormat/>
    <w:uiPriority w:val="99"/>
    <w:rPr>
      <w:rFonts w:ascii="monospace" w:hAnsi="monospace" w:eastAsia="monospace" w:cs="monospace"/>
      <w:sz w:val="20"/>
    </w:rPr>
  </w:style>
  <w:style w:type="character" w:styleId="36">
    <w:name w:val="annotation reference"/>
    <w:basedOn w:val="26"/>
    <w:autoRedefine/>
    <w:semiHidden/>
    <w:unhideWhenUsed/>
    <w:qFormat/>
    <w:uiPriority w:val="99"/>
    <w:rPr>
      <w:sz w:val="21"/>
      <w:szCs w:val="21"/>
    </w:rPr>
  </w:style>
  <w:style w:type="character" w:styleId="37">
    <w:name w:val="HTML Cite"/>
    <w:basedOn w:val="26"/>
    <w:semiHidden/>
    <w:unhideWhenUsed/>
    <w:qFormat/>
    <w:uiPriority w:val="99"/>
  </w:style>
  <w:style w:type="character" w:styleId="38">
    <w:name w:val="HTML Keyboard"/>
    <w:basedOn w:val="26"/>
    <w:semiHidden/>
    <w:unhideWhenUsed/>
    <w:qFormat/>
    <w:uiPriority w:val="99"/>
    <w:rPr>
      <w:rFonts w:hint="default" w:ascii="monospace" w:hAnsi="monospace" w:eastAsia="monospace" w:cs="monospace"/>
      <w:sz w:val="20"/>
      <w:bdr w:val="single" w:color="D6D6D6" w:sz="6" w:space="0"/>
      <w:shd w:val="clear" w:fill="FFFFFF"/>
    </w:rPr>
  </w:style>
  <w:style w:type="character" w:styleId="39">
    <w:name w:val="HTML Sample"/>
    <w:basedOn w:val="26"/>
    <w:semiHidden/>
    <w:unhideWhenUsed/>
    <w:qFormat/>
    <w:uiPriority w:val="99"/>
    <w:rPr>
      <w:rFonts w:hint="default" w:ascii="monospace" w:hAnsi="monospace" w:eastAsia="monospace" w:cs="monospace"/>
    </w:rPr>
  </w:style>
  <w:style w:type="character" w:customStyle="1" w:styleId="40">
    <w:name w:val="批注框文本 Char"/>
    <w:basedOn w:val="26"/>
    <w:link w:val="14"/>
    <w:autoRedefine/>
    <w:semiHidden/>
    <w:qFormat/>
    <w:uiPriority w:val="99"/>
    <w:rPr>
      <w:rFonts w:ascii="@仿宋_GB2312" w:hAnsi="@仿宋_GB2312" w:eastAsia="@仿宋_GB2312" w:cs="@仿宋_GB2312"/>
      <w:sz w:val="18"/>
      <w:szCs w:val="18"/>
    </w:rPr>
  </w:style>
  <w:style w:type="paragraph" w:customStyle="1" w:styleId="41">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4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43">
    <w:name w:val="D&amp;L"/>
    <w:basedOn w:val="16"/>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44">
    <w:name w:val="页眉 Char"/>
    <w:basedOn w:val="26"/>
    <w:link w:val="16"/>
    <w:autoRedefine/>
    <w:qFormat/>
    <w:uiPriority w:val="99"/>
    <w:rPr>
      <w:rFonts w:ascii="@仿宋_GB2312" w:hAnsi="@仿宋_GB2312" w:eastAsia="@仿宋_GB2312" w:cs="@仿宋_GB2312"/>
      <w:sz w:val="18"/>
      <w:szCs w:val="18"/>
    </w:rPr>
  </w:style>
  <w:style w:type="character" w:customStyle="1" w:styleId="45">
    <w:name w:val="页脚 Char"/>
    <w:basedOn w:val="26"/>
    <w:link w:val="15"/>
    <w:autoRedefine/>
    <w:qFormat/>
    <w:uiPriority w:val="99"/>
    <w:rPr>
      <w:rFonts w:ascii="@仿宋_GB2312" w:hAnsi="@仿宋_GB2312" w:eastAsia="@仿宋_GB2312" w:cs="@仿宋_GB2312"/>
      <w:sz w:val="18"/>
      <w:szCs w:val="18"/>
    </w:rPr>
  </w:style>
  <w:style w:type="character" w:customStyle="1" w:styleId="46">
    <w:name w:val="纯文本 Char"/>
    <w:link w:val="12"/>
    <w:autoRedefine/>
    <w:qFormat/>
    <w:uiPriority w:val="0"/>
    <w:rPr>
      <w:rFonts w:ascii="宋体" w:hAnsi="Courier New"/>
    </w:rPr>
  </w:style>
  <w:style w:type="character" w:customStyle="1" w:styleId="47">
    <w:name w:val="纯文本 字符1"/>
    <w:basedOn w:val="26"/>
    <w:autoRedefine/>
    <w:semiHidden/>
    <w:qFormat/>
    <w:uiPriority w:val="99"/>
    <w:rPr>
      <w:rFonts w:hAnsi="Courier New" w:cs="Courier New" w:asciiTheme="minorEastAsia"/>
      <w:szCs w:val="20"/>
    </w:rPr>
  </w:style>
  <w:style w:type="character" w:customStyle="1" w:styleId="48">
    <w:name w:val="未处理的提及1"/>
    <w:basedOn w:val="26"/>
    <w:autoRedefine/>
    <w:semiHidden/>
    <w:unhideWhenUsed/>
    <w:qFormat/>
    <w:uiPriority w:val="99"/>
    <w:rPr>
      <w:color w:val="605E5C"/>
      <w:shd w:val="clear" w:color="auto" w:fill="E1DFDD"/>
    </w:rPr>
  </w:style>
  <w:style w:type="paragraph" w:styleId="49">
    <w:name w:val="List Paragraph"/>
    <w:basedOn w:val="1"/>
    <w:autoRedefine/>
    <w:qFormat/>
    <w:uiPriority w:val="34"/>
    <w:pPr>
      <w:ind w:firstLine="420" w:firstLineChars="200"/>
    </w:pPr>
  </w:style>
  <w:style w:type="paragraph" w:customStyle="1" w:styleId="50">
    <w:name w:val="Char Char Char Char Char Char Char1 Char"/>
    <w:basedOn w:val="1"/>
    <w:autoRedefine/>
    <w:qFormat/>
    <w:uiPriority w:val="0"/>
    <w:rPr>
      <w:rFonts w:ascii="Arial" w:hAnsi="Arial" w:eastAsia="宋体" w:cs="Arial"/>
      <w:sz w:val="24"/>
    </w:rPr>
  </w:style>
  <w:style w:type="table" w:customStyle="1" w:styleId="51">
    <w:name w:val="网格表 1 浅色1"/>
    <w:basedOn w:val="24"/>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52">
    <w:name w:val="日期 字符"/>
    <w:basedOn w:val="26"/>
    <w:autoRedefine/>
    <w:semiHidden/>
    <w:qFormat/>
    <w:uiPriority w:val="99"/>
    <w:rPr>
      <w:rFonts w:ascii="@仿宋_GB2312" w:hAnsi="@仿宋_GB2312" w:eastAsia="@仿宋_GB2312" w:cs="@仿宋_GB2312"/>
      <w:szCs w:val="20"/>
    </w:rPr>
  </w:style>
  <w:style w:type="character" w:customStyle="1" w:styleId="53">
    <w:name w:val="日期 Char"/>
    <w:link w:val="13"/>
    <w:autoRedefine/>
    <w:qFormat/>
    <w:uiPriority w:val="0"/>
    <w:rPr>
      <w:rFonts w:ascii="Arial" w:hAnsi="Arial" w:eastAsia="宋体" w:cs="Arial"/>
      <w:b/>
      <w:sz w:val="28"/>
      <w:szCs w:val="20"/>
    </w:rPr>
  </w:style>
  <w:style w:type="character" w:customStyle="1" w:styleId="54">
    <w:name w:val="纯文本 Char1"/>
    <w:autoRedefine/>
    <w:qFormat/>
    <w:locked/>
    <w:uiPriority w:val="99"/>
    <w:rPr>
      <w:rFonts w:ascii="Arial" w:hAnsi="Arial" w:eastAsia="Arial"/>
      <w:kern w:val="2"/>
      <w:sz w:val="21"/>
      <w:lang w:val="en-US" w:eastAsia="zh-CN" w:bidi="ar-SA"/>
    </w:rPr>
  </w:style>
  <w:style w:type="character" w:customStyle="1" w:styleId="55">
    <w:name w:val="批注文字 Char"/>
    <w:basedOn w:val="26"/>
    <w:autoRedefine/>
    <w:semiHidden/>
    <w:qFormat/>
    <w:uiPriority w:val="99"/>
    <w:rPr>
      <w:rFonts w:ascii="@仿宋_GB2312" w:hAnsi="@仿宋_GB2312" w:eastAsia="@仿宋_GB2312" w:cs="@仿宋_GB2312"/>
      <w:szCs w:val="20"/>
    </w:rPr>
  </w:style>
  <w:style w:type="character" w:customStyle="1" w:styleId="56">
    <w:name w:val="批注文字 Char1"/>
    <w:link w:val="7"/>
    <w:autoRedefine/>
    <w:qFormat/>
    <w:uiPriority w:val="0"/>
    <w:rPr>
      <w:rFonts w:ascii="Arial" w:hAnsi="Arial" w:eastAsia="黑体" w:cs="Arial"/>
      <w:szCs w:val="20"/>
    </w:rPr>
  </w:style>
  <w:style w:type="character" w:customStyle="1" w:styleId="57">
    <w:name w:val="标题 1 Char"/>
    <w:basedOn w:val="26"/>
    <w:link w:val="2"/>
    <w:autoRedefine/>
    <w:qFormat/>
    <w:uiPriority w:val="9"/>
    <w:rPr>
      <w:rFonts w:ascii="@仿宋_GB2312" w:hAnsi="@仿宋_GB2312" w:eastAsia="@仿宋_GB2312" w:cs="@仿宋_GB2312"/>
      <w:b/>
      <w:bCs/>
      <w:kern w:val="44"/>
      <w:sz w:val="44"/>
      <w:szCs w:val="44"/>
    </w:rPr>
  </w:style>
  <w:style w:type="paragraph" w:customStyle="1" w:styleId="58">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9">
    <w:name w:val="标题 3 Char"/>
    <w:basedOn w:val="26"/>
    <w:link w:val="4"/>
    <w:autoRedefine/>
    <w:semiHidden/>
    <w:qFormat/>
    <w:uiPriority w:val="9"/>
    <w:rPr>
      <w:rFonts w:ascii="@仿宋_GB2312" w:hAnsi="@仿宋_GB2312" w:eastAsia="@仿宋_GB2312" w:cs="@仿宋_GB2312"/>
      <w:b/>
      <w:bCs/>
      <w:sz w:val="32"/>
      <w:szCs w:val="32"/>
    </w:rPr>
  </w:style>
  <w:style w:type="character" w:customStyle="1" w:styleId="60">
    <w:name w:val="fontstyle01"/>
    <w:basedOn w:val="26"/>
    <w:autoRedefine/>
    <w:qFormat/>
    <w:uiPriority w:val="0"/>
    <w:rPr>
      <w:rFonts w:hint="eastAsia" w:ascii="宋体" w:hAnsi="宋体" w:eastAsia="宋体"/>
      <w:color w:val="000000"/>
      <w:sz w:val="22"/>
      <w:szCs w:val="22"/>
    </w:rPr>
  </w:style>
  <w:style w:type="character" w:customStyle="1" w:styleId="61">
    <w:name w:val="fontstyle21"/>
    <w:basedOn w:val="26"/>
    <w:autoRedefine/>
    <w:qFormat/>
    <w:uiPriority w:val="0"/>
    <w:rPr>
      <w:rFonts w:hint="default" w:ascii="TimesNewRomanPSMT" w:hAnsi="TimesNewRomanPSMT"/>
      <w:color w:val="000000"/>
      <w:sz w:val="22"/>
      <w:szCs w:val="22"/>
    </w:rPr>
  </w:style>
  <w:style w:type="character" w:customStyle="1" w:styleId="62">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63">
    <w:name w:val="标题 4 字符"/>
    <w:basedOn w:val="26"/>
    <w:autoRedefine/>
    <w:semiHidden/>
    <w:qFormat/>
    <w:uiPriority w:val="9"/>
    <w:rPr>
      <w:rFonts w:asciiTheme="majorHAnsi" w:hAnsiTheme="majorHAnsi" w:eastAsiaTheme="majorEastAsia" w:cstheme="majorBidi"/>
      <w:b/>
      <w:bCs/>
      <w:sz w:val="28"/>
      <w:szCs w:val="28"/>
    </w:rPr>
  </w:style>
  <w:style w:type="character" w:customStyle="1" w:styleId="64">
    <w:name w:val="标题 4 Char1"/>
    <w:link w:val="5"/>
    <w:autoRedefine/>
    <w:qFormat/>
    <w:uiPriority w:val="0"/>
    <w:rPr>
      <w:rFonts w:ascii="@仿宋_GB2312" w:hAnsi="@仿宋_GB2312" w:eastAsia="@仿宋_GB2312" w:cs="@仿宋_GB2312"/>
      <w:b/>
      <w:bCs/>
      <w:sz w:val="28"/>
      <w:szCs w:val="28"/>
    </w:rPr>
  </w:style>
  <w:style w:type="character" w:customStyle="1" w:styleId="65">
    <w:name w:val="标题 4 Char"/>
    <w:autoRedefine/>
    <w:qFormat/>
    <w:uiPriority w:val="0"/>
    <w:rPr>
      <w:rFonts w:ascii="Arial" w:hAnsi="Arial" w:eastAsia="Arial"/>
      <w:b/>
      <w:bCs/>
      <w:kern w:val="2"/>
      <w:sz w:val="28"/>
      <w:szCs w:val="28"/>
      <w:lang w:val="en-US" w:eastAsia="zh-CN" w:bidi="ar-SA"/>
    </w:rPr>
  </w:style>
  <w:style w:type="table" w:customStyle="1" w:styleId="66">
    <w:name w:val="网格型1"/>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7">
    <w:name w:val="批注主题 Char"/>
    <w:basedOn w:val="56"/>
    <w:link w:val="21"/>
    <w:autoRedefine/>
    <w:semiHidden/>
    <w:qFormat/>
    <w:uiPriority w:val="99"/>
    <w:rPr>
      <w:rFonts w:ascii="@仿宋_GB2312" w:hAnsi="@仿宋_GB2312" w:eastAsia="@仿宋_GB2312" w:cs="@仿宋_GB2312"/>
      <w:b/>
      <w:bCs/>
      <w:szCs w:val="20"/>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paragraph" w:customStyle="1" w:styleId="69">
    <w:name w:val="Table Text"/>
    <w:basedOn w:val="1"/>
    <w:autoRedefine/>
    <w:semiHidden/>
    <w:qFormat/>
    <w:uiPriority w:val="0"/>
    <w:rPr>
      <w:rFonts w:ascii="Arial" w:hAnsi="Arial" w:eastAsia="Arial" w:cs="Arial"/>
      <w:sz w:val="21"/>
      <w:szCs w:val="21"/>
      <w:lang w:val="en-US" w:eastAsia="en-US" w:bidi="ar-SA"/>
    </w:rPr>
  </w:style>
  <w:style w:type="paragraph" w:customStyle="1" w:styleId="70">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71">
    <w:name w:val="hover"/>
    <w:basedOn w:val="26"/>
    <w:qFormat/>
    <w:uiPriority w:val="0"/>
    <w:rPr>
      <w:color w:val="2590EB"/>
    </w:rPr>
  </w:style>
  <w:style w:type="character" w:customStyle="1" w:styleId="72">
    <w:name w:val="hover1"/>
    <w:basedOn w:val="26"/>
    <w:qFormat/>
    <w:uiPriority w:val="0"/>
    <w:rPr>
      <w:color w:val="2590EB"/>
    </w:rPr>
  </w:style>
  <w:style w:type="character" w:customStyle="1" w:styleId="73">
    <w:name w:val="hover2"/>
    <w:basedOn w:val="26"/>
    <w:qFormat/>
    <w:uiPriority w:val="0"/>
  </w:style>
  <w:style w:type="character" w:customStyle="1" w:styleId="74">
    <w:name w:val="hover3"/>
    <w:basedOn w:val="26"/>
    <w:qFormat/>
    <w:uiPriority w:val="0"/>
    <w:rPr>
      <w:color w:val="2590EB"/>
      <w:shd w:val="clear" w:fill="E9F4FD"/>
    </w:rPr>
  </w:style>
  <w:style w:type="character" w:customStyle="1" w:styleId="75">
    <w:name w:val="hover4"/>
    <w:basedOn w:val="26"/>
    <w:qFormat/>
    <w:uiPriority w:val="0"/>
    <w:rPr>
      <w:color w:val="2590EB"/>
      <w:shd w:val="clear" w:fill="E9F4FD"/>
    </w:rPr>
  </w:style>
  <w:style w:type="character" w:customStyle="1" w:styleId="76">
    <w:name w:val="room"/>
    <w:basedOn w:val="26"/>
    <w:uiPriority w:val="0"/>
  </w:style>
  <w:style w:type="character" w:customStyle="1" w:styleId="77">
    <w:name w:val="layui-layer-tabnow"/>
    <w:basedOn w:val="26"/>
    <w:uiPriority w:val="0"/>
    <w:rPr>
      <w:bdr w:val="single" w:color="CCCCCC" w:sz="6" w:space="0"/>
      <w:shd w:val="clear" w:fill="FFFFFF"/>
    </w:rPr>
  </w:style>
  <w:style w:type="character" w:customStyle="1" w:styleId="78">
    <w:name w:val="timeaxis"/>
    <w:basedOn w:val="26"/>
    <w:uiPriority w:val="0"/>
  </w:style>
  <w:style w:type="character" w:customStyle="1" w:styleId="79">
    <w:name w:val="first-child"/>
    <w:basedOn w:val="26"/>
    <w:uiPriority w:val="0"/>
    <w:rPr>
      <w:bdr w:val="none" w:color="auto" w:sz="0" w:space="0"/>
    </w:rPr>
  </w:style>
  <w:style w:type="paragraph" w:customStyle="1" w:styleId="80">
    <w:name w:val="card-title"/>
    <w:basedOn w:val="1"/>
    <w:uiPriority w:val="0"/>
    <w:pPr>
      <w:spacing w:line="600" w:lineRule="atLeast"/>
      <w:ind w:right="750"/>
      <w:jc w:val="left"/>
    </w:pPr>
    <w:rPr>
      <w:color w:val="666666"/>
      <w:kern w:val="0"/>
      <w:lang w:val="en-US" w:eastAsia="zh-CN" w:bidi="ar"/>
    </w:rPr>
  </w:style>
  <w:style w:type="character" w:customStyle="1" w:styleId="81">
    <w:name w:val="hover5"/>
    <w:basedOn w:val="26"/>
    <w:uiPriority w:val="0"/>
    <w:rPr>
      <w:color w:val="2590EB"/>
    </w:rPr>
  </w:style>
  <w:style w:type="character" w:customStyle="1" w:styleId="82">
    <w:name w:val="hover6"/>
    <w:basedOn w:val="26"/>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C3C6-84CB-4D2E-AFC0-C8AD46F7C0BA}">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94</Pages>
  <Words>43366</Words>
  <Characters>45570</Characters>
  <Lines>244</Lines>
  <Paragraphs>68</Paragraphs>
  <TotalTime>15</TotalTime>
  <ScaleCrop>false</ScaleCrop>
  <LinksUpToDate>false</LinksUpToDate>
  <CharactersWithSpaces>48236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朱启</cp:lastModifiedBy>
  <cp:lastPrinted>2019-12-07T15:18:00Z</cp:lastPrinted>
  <dcterms:modified xsi:type="dcterms:W3CDTF">2026-04-09T07:27:01Z</dcterms:modified>
  <cp:revision>388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A35E03ED0EA84A99B1A9A945A367F4B2_13</vt:lpwstr>
  </property>
  <property fmtid="{D5CDD505-2E9C-101B-9397-08002B2CF9AE}" pid="4" name="KSOTemplateDocerSaveRecord">
    <vt:lpwstr>eyJoZGlkIjoiZTQ4OTM2MTIyODI3Njc5MTE5MDBiNjA4NzIzYTUzZmEiLCJ1c2VySWQiOiI3MDAwNjg2OTUifQ==</vt:lpwstr>
  </property>
</Properties>
</file>