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76DC9B">
      <w:pPr>
        <w:ind w:right="-315" w:rightChars="-150"/>
        <w:jc w:val="center"/>
        <w:rPr>
          <w:rFonts w:hint="eastAsia" w:ascii="宋体" w:hAnsi="宋体" w:eastAsia="宋体" w:cs="宋体"/>
          <w:b/>
          <w:bCs/>
          <w:color w:val="auto"/>
          <w:sz w:val="92"/>
          <w:szCs w:val="92"/>
          <w:highlight w:val="none"/>
          <w:u w:val="single"/>
          <w:vertAlign w:val="subscript"/>
        </w:rPr>
      </w:pPr>
    </w:p>
    <w:p w14:paraId="6B503F7B">
      <w:pPr>
        <w:spacing w:line="720" w:lineRule="auto"/>
        <w:jc w:val="center"/>
        <w:rPr>
          <w:rFonts w:hint="eastAsia" w:ascii="宋体" w:hAnsi="宋体" w:eastAsia="宋体" w:cs="宋体"/>
          <w:b/>
          <w:bCs/>
          <w:color w:val="auto"/>
          <w:spacing w:val="-10"/>
          <w:sz w:val="52"/>
          <w:szCs w:val="52"/>
          <w:highlight w:val="none"/>
          <w:lang w:val="en-US" w:eastAsia="zh-CN"/>
        </w:rPr>
      </w:pPr>
      <w:r>
        <w:rPr>
          <w:rFonts w:hint="eastAsia" w:ascii="宋体" w:hAnsi="宋体" w:cs="宋体"/>
          <w:b/>
          <w:bCs/>
          <w:color w:val="auto"/>
          <w:spacing w:val="-10"/>
          <w:sz w:val="52"/>
          <w:szCs w:val="52"/>
          <w:highlight w:val="none"/>
          <w:lang w:val="en-US" w:eastAsia="zh-CN"/>
        </w:rPr>
        <w:t>城南绿廊公园水体清淤及治理项目等两个项目跟踪审计项目</w:t>
      </w:r>
    </w:p>
    <w:p w14:paraId="5854E797">
      <w:pPr>
        <w:spacing w:line="400" w:lineRule="atLeast"/>
        <w:jc w:val="center"/>
        <w:rPr>
          <w:rFonts w:hint="eastAsia" w:ascii="宋体" w:hAnsi="宋体" w:eastAsia="宋体" w:cs="宋体"/>
          <w:b/>
          <w:bCs/>
          <w:color w:val="auto"/>
          <w:sz w:val="98"/>
          <w:szCs w:val="98"/>
          <w:highlight w:val="none"/>
        </w:rPr>
      </w:pPr>
    </w:p>
    <w:p w14:paraId="559D772C">
      <w:pPr>
        <w:spacing w:line="400" w:lineRule="atLeast"/>
        <w:jc w:val="center"/>
        <w:rPr>
          <w:rFonts w:hint="eastAsia" w:ascii="宋体" w:hAnsi="宋体" w:eastAsia="宋体" w:cs="宋体"/>
          <w:b/>
          <w:bCs/>
          <w:color w:val="auto"/>
          <w:sz w:val="98"/>
          <w:szCs w:val="98"/>
          <w:highlight w:val="none"/>
        </w:rPr>
      </w:pP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19F15149">
      <w:pPr>
        <w:spacing w:line="480" w:lineRule="exact"/>
        <w:ind w:firstLine="2880" w:firstLineChars="900"/>
        <w:rPr>
          <w:rFonts w:hint="eastAsia" w:ascii="宋体" w:hAnsi="宋体" w:eastAsia="宋体" w:cs="宋体"/>
          <w:color w:val="auto"/>
          <w:sz w:val="32"/>
          <w:highlight w:val="none"/>
          <w:u w:val="none"/>
          <w:lang w:val="en-US" w:eastAsia="zh-CN"/>
        </w:rPr>
      </w:pPr>
    </w:p>
    <w:p w14:paraId="5E1922AA">
      <w:pPr>
        <w:spacing w:line="480" w:lineRule="exact"/>
        <w:jc w:val="center"/>
        <w:rPr>
          <w:rFonts w:hint="eastAsia" w:ascii="宋体" w:hAnsi="宋体" w:eastAsia="宋体" w:cs="宋体"/>
          <w:color w:val="auto"/>
          <w:sz w:val="32"/>
          <w:highlight w:val="none"/>
          <w:u w:val="none"/>
          <w:lang w:val="en-US" w:eastAsia="zh-CN"/>
        </w:rPr>
      </w:pPr>
    </w:p>
    <w:p w14:paraId="6228E25F">
      <w:pPr>
        <w:spacing w:line="480" w:lineRule="exact"/>
        <w:jc w:val="center"/>
        <w:rPr>
          <w:rFonts w:hint="default" w:ascii="宋体" w:hAnsi="宋体" w:eastAsia="宋体" w:cs="宋体"/>
          <w:color w:val="auto"/>
          <w:sz w:val="32"/>
          <w:highlight w:val="none"/>
          <w:u w:val="none"/>
          <w:lang w:val="en-US" w:eastAsia="zh-CN"/>
        </w:rPr>
      </w:pPr>
      <w:r>
        <w:rPr>
          <w:rFonts w:hint="eastAsia" w:ascii="宋体" w:hAnsi="宋体" w:eastAsia="宋体" w:cs="宋体"/>
          <w:color w:val="auto"/>
          <w:sz w:val="32"/>
          <w:highlight w:val="none"/>
          <w:u w:val="none"/>
          <w:lang w:val="en-US" w:eastAsia="zh-CN"/>
        </w:rPr>
        <w:t xml:space="preserve">项目编号：HXJY1110001054526 </w:t>
      </w:r>
      <w:r>
        <w:rPr>
          <w:rFonts w:hint="eastAsia" w:ascii="宋体" w:hAnsi="宋体" w:cs="宋体"/>
          <w:color w:val="auto"/>
          <w:sz w:val="32"/>
          <w:highlight w:val="none"/>
          <w:u w:val="none"/>
          <w:lang w:val="en-US" w:eastAsia="zh-CN"/>
        </w:rPr>
        <w:t xml:space="preserve"> </w:t>
      </w:r>
    </w:p>
    <w:p w14:paraId="1CCCA184">
      <w:pPr>
        <w:spacing w:line="480" w:lineRule="exact"/>
        <w:ind w:firstLine="643" w:firstLineChars="200"/>
        <w:jc w:val="center"/>
        <w:rPr>
          <w:rFonts w:hint="eastAsia" w:ascii="宋体" w:hAnsi="宋体" w:eastAsia="宋体" w:cs="宋体"/>
          <w:b/>
          <w:bCs/>
          <w:color w:val="auto"/>
          <w:sz w:val="32"/>
          <w:szCs w:val="32"/>
          <w:highlight w:val="none"/>
        </w:rPr>
      </w:pPr>
    </w:p>
    <w:p w14:paraId="2968F6F1">
      <w:pPr>
        <w:spacing w:line="480" w:lineRule="exact"/>
        <w:ind w:firstLine="472" w:firstLineChars="147"/>
        <w:rPr>
          <w:rFonts w:hint="eastAsia" w:ascii="宋体" w:hAnsi="宋体" w:eastAsia="宋体" w:cs="宋体"/>
          <w:b/>
          <w:bCs/>
          <w:color w:val="auto"/>
          <w:sz w:val="32"/>
          <w:szCs w:val="32"/>
          <w:highlight w:val="none"/>
        </w:rPr>
      </w:pPr>
    </w:p>
    <w:p w14:paraId="07CE3B8E">
      <w:pPr>
        <w:spacing w:line="480" w:lineRule="exact"/>
        <w:ind w:firstLine="472" w:firstLineChars="147"/>
        <w:rPr>
          <w:rFonts w:hint="eastAsia" w:ascii="宋体" w:hAnsi="宋体" w:eastAsia="宋体" w:cs="宋体"/>
          <w:b/>
          <w:bCs/>
          <w:color w:val="auto"/>
          <w:sz w:val="32"/>
          <w:szCs w:val="32"/>
          <w:highlight w:val="none"/>
        </w:rPr>
      </w:pPr>
    </w:p>
    <w:p w14:paraId="536C2082">
      <w:pPr>
        <w:spacing w:line="480" w:lineRule="exact"/>
        <w:rPr>
          <w:rFonts w:hint="eastAsia" w:ascii="宋体" w:hAnsi="宋体" w:eastAsia="宋体" w:cs="宋体"/>
          <w:b/>
          <w:bCs/>
          <w:color w:val="auto"/>
          <w:sz w:val="32"/>
          <w:szCs w:val="32"/>
          <w:highlight w:val="none"/>
        </w:rPr>
      </w:pPr>
    </w:p>
    <w:p w14:paraId="0292DE31">
      <w:pPr>
        <w:rPr>
          <w:rFonts w:hint="eastAsia" w:ascii="宋体" w:hAnsi="宋体" w:eastAsia="宋体" w:cs="宋体"/>
          <w:color w:val="auto"/>
          <w:sz w:val="32"/>
          <w:highlight w:val="none"/>
        </w:rPr>
      </w:pPr>
    </w:p>
    <w:p w14:paraId="20B531C3">
      <w:pPr>
        <w:spacing w:line="800" w:lineRule="exact"/>
        <w:jc w:val="center"/>
        <w:rPr>
          <w:rFonts w:hint="eastAsia" w:ascii="宋体" w:hAnsi="宋体" w:eastAsia="宋体" w:cs="宋体"/>
          <w:color w:val="auto"/>
          <w:sz w:val="32"/>
          <w:highlight w:val="none"/>
          <w:lang w:val="en-US" w:eastAsia="zh-CN"/>
        </w:rPr>
      </w:pPr>
    </w:p>
    <w:p w14:paraId="44D60B52">
      <w:pPr>
        <w:spacing w:line="800" w:lineRule="exact"/>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招标</w:t>
      </w:r>
      <w:r>
        <w:rPr>
          <w:rFonts w:hint="eastAsia" w:ascii="宋体" w:hAnsi="宋体" w:eastAsia="宋体" w:cs="宋体"/>
          <w:color w:val="auto"/>
          <w:sz w:val="32"/>
          <w:highlight w:val="none"/>
        </w:rPr>
        <w:t>单位：</w:t>
      </w:r>
      <w:r>
        <w:rPr>
          <w:rFonts w:hint="eastAsia" w:ascii="宋体" w:cs="宋体"/>
          <w:color w:val="auto"/>
          <w:sz w:val="32"/>
          <w:highlight w:val="none"/>
          <w:u w:val="single"/>
          <w:lang w:val="en-US" w:eastAsia="zh-CN"/>
        </w:rPr>
        <w:t>滁州市园林景观管理中心</w:t>
      </w:r>
      <w:r>
        <w:rPr>
          <w:rFonts w:hint="eastAsia" w:ascii="宋体" w:hAnsi="宋体" w:eastAsia="宋体" w:cs="宋体"/>
          <w:color w:val="auto"/>
          <w:sz w:val="32"/>
          <w:highlight w:val="none"/>
          <w:u w:val="single"/>
        </w:rPr>
        <w:t>（盖章）</w:t>
      </w:r>
    </w:p>
    <w:p w14:paraId="7964B908">
      <w:pPr>
        <w:spacing w:line="800" w:lineRule="exact"/>
        <w:jc w:val="center"/>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滁州市城投工程咨询管理有限公司（盖章）</w:t>
      </w:r>
    </w:p>
    <w:p w14:paraId="6435FF63">
      <w:pPr>
        <w:spacing w:line="800" w:lineRule="exact"/>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u w:val="single"/>
        </w:rPr>
        <w:t>202</w:t>
      </w:r>
      <w:r>
        <w:rPr>
          <w:rFonts w:hint="eastAsia" w:ascii="宋体" w:hAnsi="宋体" w:cs="宋体"/>
          <w:color w:val="auto"/>
          <w:sz w:val="32"/>
          <w:highlight w:val="none"/>
          <w:u w:val="single"/>
          <w:lang w:val="en-US" w:eastAsia="zh-CN"/>
        </w:rPr>
        <w:t>6</w:t>
      </w:r>
      <w:r>
        <w:rPr>
          <w:rFonts w:hint="eastAsia" w:ascii="宋体" w:hAnsi="宋体" w:eastAsia="宋体" w:cs="宋体"/>
          <w:color w:val="auto"/>
          <w:sz w:val="32"/>
          <w:highlight w:val="none"/>
        </w:rPr>
        <w:t>年</w:t>
      </w:r>
      <w:r>
        <w:rPr>
          <w:rFonts w:hint="eastAsia" w:ascii="宋体" w:hAnsi="宋体" w:cs="宋体"/>
          <w:color w:val="auto"/>
          <w:sz w:val="32"/>
          <w:highlight w:val="none"/>
          <w:u w:val="single"/>
          <w:lang w:val="en-US" w:eastAsia="zh-CN"/>
        </w:rPr>
        <w:t xml:space="preserve"> 4 </w:t>
      </w:r>
      <w:r>
        <w:rPr>
          <w:rFonts w:hint="eastAsia" w:ascii="宋体" w:hAnsi="宋体" w:eastAsia="宋体" w:cs="宋体"/>
          <w:color w:val="auto"/>
          <w:sz w:val="32"/>
          <w:highlight w:val="none"/>
        </w:rPr>
        <w:t>月</w:t>
      </w:r>
    </w:p>
    <w:p w14:paraId="236D7D19">
      <w:pP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br w:type="page"/>
      </w:r>
    </w:p>
    <w:p w14:paraId="35F77A08">
      <w:pPr>
        <w:spacing w:line="800" w:lineRule="exact"/>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1"/>
        <w:tabs>
          <w:tab w:val="right" w:leader="dot" w:pos="9541"/>
          <w:tab w:val="clear" w:pos="8296"/>
        </w:tabs>
        <w:rPr>
          <w:rFonts w:hint="eastAsia" w:ascii="宋体" w:hAnsi="宋体" w:eastAsia="宋体" w:cs="宋体"/>
          <w:b w:val="0"/>
          <w:bCs w:val="0"/>
          <w:color w:val="auto"/>
          <w:sz w:val="24"/>
          <w:szCs w:val="24"/>
          <w:highlight w:val="none"/>
        </w:rPr>
      </w:pPr>
    </w:p>
    <w:p w14:paraId="5F0FFD1A">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"1-2"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_Toc16309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A、</w:t>
      </w:r>
      <w:r>
        <w:rPr>
          <w:rFonts w:hint="eastAsia" w:hAnsi="宋体" w:eastAsia="宋体" w:cs="宋体"/>
          <w:color w:val="auto"/>
          <w:highlight w:val="none"/>
          <w:lang w:val="en-US" w:eastAsia="zh-CN"/>
        </w:rPr>
        <w:t>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_Toc16309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4CD5E4E4">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_Toc2525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w:t>
      </w:r>
      <w:r>
        <w:rPr>
          <w:rFonts w:hint="eastAsia" w:hAnsi="宋体" w:eastAsia="宋体" w:cs="宋体"/>
          <w:color w:val="auto"/>
          <w:highlight w:val="none"/>
          <w:lang w:val="en-US" w:eastAsia="zh-CN"/>
        </w:rPr>
        <w:t>人</w:t>
      </w:r>
      <w:r>
        <w:rPr>
          <w:rFonts w:hint="eastAsia" w:ascii="宋体" w:hAnsi="宋体" w:eastAsia="宋体" w:cs="宋体"/>
          <w:color w:val="auto"/>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37667979">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_Toc13234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第二章 评标办法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65E06610">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_Toc3848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44"/>
          <w:highlight w:val="none"/>
          <w:lang w:val="en-US" w:eastAsia="zh-CN"/>
        </w:rPr>
        <w:t>第三章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02A250ED">
      <w:pPr>
        <w:pStyle w:val="31"/>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_Toc30675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第四章 投标文件格式</w:t>
      </w:r>
      <w:r>
        <w:rPr>
          <w:rFonts w:hint="eastAsia" w:ascii="宋体" w:hAnsi="宋体" w:eastAsia="宋体" w:cs="宋体"/>
          <w:color w:val="auto"/>
          <w:highlight w:val="none"/>
        </w:rPr>
        <w:tab/>
      </w:r>
      <w:r>
        <w:rPr>
          <w:rFonts w:hint="eastAsia" w:hAnsi="宋体" w:eastAsia="宋体" w:cs="宋体"/>
          <w:color w:val="auto"/>
          <w:highlight w:val="none"/>
          <w:lang w:val="en-US" w:eastAsia="zh-CN"/>
        </w:rPr>
        <w:t>2</w:t>
      </w:r>
      <w:r>
        <w:rPr>
          <w:rFonts w:hint="eastAsia" w:ascii="宋体" w:hAnsi="宋体" w:eastAsia="宋体" w:cs="宋体"/>
          <w:bCs w:val="0"/>
          <w:color w:val="auto"/>
          <w:szCs w:val="24"/>
          <w:highlight w:val="none"/>
        </w:rPr>
        <w:fldChar w:fldCharType="end"/>
      </w:r>
      <w:r>
        <w:rPr>
          <w:rFonts w:hint="eastAsia" w:hAnsi="宋体" w:eastAsia="宋体" w:cs="宋体"/>
          <w:bCs w:val="0"/>
          <w:color w:val="auto"/>
          <w:szCs w:val="24"/>
          <w:highlight w:val="none"/>
          <w:lang w:val="en-US" w:eastAsia="zh-CN"/>
        </w:rPr>
        <w:t>9</w:t>
      </w:r>
    </w:p>
    <w:p w14:paraId="703F52F3">
      <w:pPr>
        <w:pStyle w:val="31"/>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_Toc31498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第五章 招标单位、招标代理机构对本招标文件的确认</w:t>
      </w:r>
      <w:r>
        <w:rPr>
          <w:rFonts w:hint="eastAsia" w:ascii="宋体" w:hAnsi="宋体" w:eastAsia="宋体" w:cs="宋体"/>
          <w:color w:val="auto"/>
          <w:highlight w:val="none"/>
        </w:rPr>
        <w:tab/>
      </w:r>
      <w:r>
        <w:rPr>
          <w:rFonts w:hint="eastAsia" w:hAnsi="宋体" w:eastAsia="宋体" w:cs="宋体"/>
          <w:color w:val="auto"/>
          <w:highlight w:val="none"/>
          <w:lang w:val="en-US" w:eastAsia="zh-CN"/>
        </w:rPr>
        <w:t>3</w:t>
      </w:r>
      <w:r>
        <w:rPr>
          <w:rFonts w:hint="eastAsia" w:ascii="宋体" w:hAnsi="宋体" w:eastAsia="宋体" w:cs="宋体"/>
          <w:bCs w:val="0"/>
          <w:color w:val="auto"/>
          <w:szCs w:val="24"/>
          <w:highlight w:val="none"/>
        </w:rPr>
        <w:fldChar w:fldCharType="end"/>
      </w:r>
      <w:r>
        <w:rPr>
          <w:rFonts w:hint="eastAsia" w:hAnsi="宋体" w:eastAsia="宋体" w:cs="宋体"/>
          <w:bCs w:val="0"/>
          <w:color w:val="auto"/>
          <w:szCs w:val="24"/>
          <w:highlight w:val="none"/>
          <w:lang w:val="en-US" w:eastAsia="zh-CN"/>
        </w:rPr>
        <w:t>4</w:t>
      </w:r>
    </w:p>
    <w:p w14:paraId="2E1D2DC7">
      <w:pPr>
        <w:pStyle w:val="2"/>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val="0"/>
          <w:color w:val="auto"/>
          <w:szCs w:val="24"/>
          <w:highlight w:val="none"/>
        </w:rPr>
        <w:fldChar w:fldCharType="end"/>
      </w:r>
      <w:r>
        <w:rPr>
          <w:rFonts w:hint="eastAsia" w:ascii="宋体" w:hAnsi="宋体" w:eastAsia="宋体" w:cs="宋体"/>
          <w:b w:val="0"/>
          <w:bCs w:val="0"/>
          <w:color w:val="auto"/>
          <w:sz w:val="24"/>
          <w:szCs w:val="24"/>
          <w:highlight w:val="none"/>
          <w:lang w:val="en-US" w:eastAsia="zh-CN"/>
        </w:rPr>
        <w:t xml:space="preserve"> </w:t>
      </w:r>
    </w:p>
    <w:p w14:paraId="7DC563D7">
      <w:pPr>
        <w:rPr>
          <w:rFonts w:hint="eastAsia" w:ascii="宋体" w:hAnsi="宋体" w:eastAsia="宋体" w:cs="宋体"/>
          <w:color w:val="auto"/>
          <w:highlight w:val="none"/>
        </w:rPr>
        <w:sectPr>
          <w:footerReference r:id="rId5" w:type="first"/>
          <w:headerReference r:id="rId3" w:type="default"/>
          <w:footerReference r:id="rId4"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3D41C168">
      <w:pPr>
        <w:pStyle w:val="2"/>
        <w:keepNext/>
        <w:keepLines/>
        <w:pageBreakBefore w:val="0"/>
        <w:widowControl w:val="0"/>
        <w:numPr>
          <w:ilvl w:val="0"/>
          <w:numId w:val="1"/>
        </w:numPr>
        <w:kinsoku/>
        <w:wordWrap/>
        <w:overflowPunct/>
        <w:topLinePunct w:val="0"/>
        <w:bidi w:val="0"/>
        <w:snapToGrid/>
        <w:spacing w:before="0" w:after="0" w:line="500" w:lineRule="exact"/>
        <w:textAlignment w:val="auto"/>
        <w:rPr>
          <w:rFonts w:hint="eastAsia" w:ascii="宋体" w:hAnsi="宋体" w:eastAsia="宋体" w:cs="宋体"/>
          <w:color w:val="auto"/>
          <w:highlight w:val="none"/>
          <w:lang w:val="en-US" w:eastAsia="zh-CN"/>
        </w:rPr>
      </w:pPr>
      <w:bookmarkStart w:id="0" w:name="_Toc16309"/>
      <w:r>
        <w:rPr>
          <w:rFonts w:hint="eastAsia" w:ascii="宋体" w:hAnsi="宋体" w:eastAsia="宋体" w:cs="宋体"/>
          <w:color w:val="auto"/>
          <w:highlight w:val="none"/>
          <w:lang w:val="en-US" w:eastAsia="zh-CN"/>
        </w:rPr>
        <w:t>招标公告</w:t>
      </w:r>
    </w:p>
    <w:p w14:paraId="6AFAA93A">
      <w:pPr>
        <w:pStyle w:val="2"/>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rPr>
          <w:rFonts w:hint="eastAsia" w:ascii="宋体" w:hAnsi="宋体" w:eastAsia="宋体" w:cs="宋体"/>
          <w:b/>
          <w:bCs/>
          <w:color w:val="auto"/>
          <w:sz w:val="21"/>
          <w:szCs w:val="21"/>
          <w:highlight w:val="none"/>
        </w:rPr>
      </w:pPr>
      <w:bookmarkStart w:id="1" w:name="_Toc14627"/>
      <w:bookmarkStart w:id="2" w:name="_Toc21262"/>
      <w:r>
        <w:rPr>
          <w:rFonts w:hint="eastAsia" w:ascii="华文中宋" w:hAnsi="华文中宋" w:eastAsia="华文中宋" w:cs="Times New Roman"/>
          <w:color w:val="auto"/>
          <w:highlight w:val="none"/>
          <w:lang w:val="en-US" w:eastAsia="zh-CN"/>
        </w:rPr>
        <w:t>城南绿廊公园水体清淤及治理项目等两个项目跟踪审计项目</w:t>
      </w:r>
      <w:r>
        <w:rPr>
          <w:rFonts w:hint="eastAsia" w:ascii="华文中宋" w:hAnsi="华文中宋" w:eastAsia="华文中宋" w:cs="Times New Roman"/>
          <w:color w:val="auto"/>
          <w:highlight w:val="none"/>
          <w:lang w:eastAsia="zh-CN"/>
        </w:rPr>
        <w:t>招标公告</w:t>
      </w:r>
      <w:bookmarkEnd w:id="1"/>
      <w:bookmarkEnd w:id="2"/>
      <w:bookmarkStart w:id="3" w:name="_Toc11704"/>
      <w:bookmarkStart w:id="4" w:name="_Toc23993"/>
      <w:bookmarkStart w:id="5" w:name="_Toc35393790"/>
      <w:bookmarkStart w:id="6" w:name="_Toc31215"/>
      <w:bookmarkStart w:id="7" w:name="_Toc35393621"/>
      <w:bookmarkStart w:id="8" w:name="_Toc28359079"/>
      <w:bookmarkStart w:id="9" w:name="_Toc28359002"/>
      <w:bookmarkStart w:id="10" w:name="_Hlk24379207"/>
    </w:p>
    <w:p w14:paraId="0105351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bookmarkEnd w:id="3"/>
      <w:bookmarkEnd w:id="4"/>
      <w:bookmarkEnd w:id="5"/>
      <w:bookmarkEnd w:id="6"/>
      <w:bookmarkEnd w:id="7"/>
      <w:bookmarkEnd w:id="8"/>
      <w:bookmarkEnd w:id="9"/>
    </w:p>
    <w:bookmarkEnd w:id="10"/>
    <w:p w14:paraId="660E96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bookmarkStart w:id="11" w:name="_Toc35393791"/>
      <w:bookmarkStart w:id="12" w:name="_Toc28359003"/>
      <w:bookmarkStart w:id="13" w:name="_Toc4879"/>
      <w:bookmarkStart w:id="14" w:name="_Toc35393622"/>
      <w:bookmarkStart w:id="15" w:name="_Toc28359080"/>
      <w:bookmarkStart w:id="16" w:name="_Toc28004"/>
      <w:r>
        <w:rPr>
          <w:rFonts w:hint="eastAsia" w:ascii="宋体" w:hAnsi="宋体" w:eastAsia="宋体" w:cs="宋体"/>
          <w:i w:val="0"/>
          <w:iCs w:val="0"/>
          <w:caps w:val="0"/>
          <w:color w:val="auto"/>
          <w:spacing w:val="0"/>
          <w:kern w:val="0"/>
          <w:sz w:val="21"/>
          <w:szCs w:val="21"/>
          <w:highlight w:val="none"/>
          <w:shd w:val="clear" w:fill="FFFFFF"/>
          <w:lang w:val="en-US" w:eastAsia="zh-CN" w:bidi="ar"/>
        </w:rPr>
        <w:t xml:space="preserve">项目编号：HXJY1110001054526 </w:t>
      </w:r>
      <w:r>
        <w:rPr>
          <w:rFonts w:hint="eastAsia" w:ascii="宋体" w:hAnsi="宋体" w:cs="宋体"/>
          <w:i w:val="0"/>
          <w:iCs w:val="0"/>
          <w:caps w:val="0"/>
          <w:color w:val="auto"/>
          <w:spacing w:val="0"/>
          <w:kern w:val="0"/>
          <w:sz w:val="21"/>
          <w:szCs w:val="21"/>
          <w:highlight w:val="none"/>
          <w:shd w:val="clear" w:fill="FFFFFF"/>
          <w:lang w:val="en-US" w:eastAsia="zh-CN" w:bidi="ar"/>
        </w:rPr>
        <w:t xml:space="preserve"> </w:t>
      </w:r>
    </w:p>
    <w:p w14:paraId="1E27E1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项目名称：</w:t>
      </w:r>
      <w:r>
        <w:rPr>
          <w:rFonts w:hint="eastAsia" w:ascii="宋体" w:hAnsi="宋体" w:cs="宋体"/>
          <w:i w:val="0"/>
          <w:iCs w:val="0"/>
          <w:caps w:val="0"/>
          <w:color w:val="auto"/>
          <w:spacing w:val="0"/>
          <w:kern w:val="0"/>
          <w:sz w:val="21"/>
          <w:szCs w:val="21"/>
          <w:highlight w:val="none"/>
          <w:shd w:val="clear" w:fill="FFFFFF"/>
          <w:lang w:val="en-US" w:eastAsia="zh-CN" w:bidi="ar"/>
        </w:rPr>
        <w:t>城南绿廊公园水体清淤及治理项目等两个项目跟踪审计项目</w:t>
      </w:r>
    </w:p>
    <w:p w14:paraId="1991BF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预算金额：</w:t>
      </w:r>
      <w:r>
        <w:rPr>
          <w:rFonts w:hint="eastAsia" w:ascii="宋体" w:hAnsi="宋体" w:cs="宋体"/>
          <w:i w:val="0"/>
          <w:iCs w:val="0"/>
          <w:caps w:val="0"/>
          <w:color w:val="auto"/>
          <w:spacing w:val="0"/>
          <w:kern w:val="0"/>
          <w:sz w:val="21"/>
          <w:szCs w:val="21"/>
          <w:highlight w:val="none"/>
          <w:shd w:val="clear" w:fill="FFFFFF"/>
          <w:lang w:val="en-US" w:eastAsia="zh-CN" w:bidi="ar"/>
        </w:rPr>
        <w:t>约0.3万元。</w:t>
      </w:r>
    </w:p>
    <w:p w14:paraId="5705B9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最高限价：本项目的最高限价为基本费率3‰；审核成果费率4%（审核成果费率为不可竞争费率，固定不变），</w:t>
      </w:r>
      <w:r>
        <w:rPr>
          <w:rFonts w:hint="eastAsia" w:ascii="宋体" w:hAnsi="宋体" w:cs="宋体"/>
          <w:i w:val="0"/>
          <w:iCs w:val="0"/>
          <w:caps w:val="0"/>
          <w:color w:val="auto"/>
          <w:spacing w:val="0"/>
          <w:kern w:val="0"/>
          <w:sz w:val="21"/>
          <w:szCs w:val="21"/>
          <w:highlight w:val="none"/>
          <w:shd w:val="clear" w:fill="FFFFFF"/>
          <w:lang w:val="en-US" w:eastAsia="zh-CN" w:bidi="ar"/>
        </w:rPr>
        <w:t>基本费率由投标人自主报价，不得高于上述基本费率最高限价且不可以填报0或负数，否则按无效标处理。（投标报价费率要求精确到小数点后两位。）</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45CFA0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采购需求：城南绿廊公园水体清淤及治理项目工程投资额约50万元（具体以实际发生为准），跟踪审计服务费约</w:t>
      </w:r>
      <w:r>
        <w:rPr>
          <w:rFonts w:hint="eastAsia" w:ascii="宋体" w:hAnsi="宋体" w:cs="宋体"/>
          <w:i w:val="0"/>
          <w:iCs w:val="0"/>
          <w:caps w:val="0"/>
          <w:color w:val="auto"/>
          <w:spacing w:val="0"/>
          <w:kern w:val="0"/>
          <w:sz w:val="21"/>
          <w:szCs w:val="21"/>
          <w:highlight w:val="none"/>
          <w:shd w:val="clear" w:fill="FFFFFF"/>
          <w:lang w:val="en-US" w:eastAsia="zh-CN" w:bidi="ar"/>
        </w:rPr>
        <w:t>0.2</w:t>
      </w:r>
      <w:r>
        <w:rPr>
          <w:rFonts w:hint="eastAsia" w:ascii="宋体" w:hAnsi="宋体" w:eastAsia="宋体" w:cs="宋体"/>
          <w:i w:val="0"/>
          <w:iCs w:val="0"/>
          <w:caps w:val="0"/>
          <w:color w:val="auto"/>
          <w:spacing w:val="0"/>
          <w:kern w:val="0"/>
          <w:sz w:val="21"/>
          <w:szCs w:val="21"/>
          <w:highlight w:val="none"/>
          <w:shd w:val="clear" w:fill="FFFFFF"/>
          <w:lang w:val="en-US" w:eastAsia="zh-CN" w:bidi="ar"/>
        </w:rPr>
        <w:t>万元。2025年口袋公园项目工程投资额约20万元（具体以实际发生为准），跟踪审计服务费约</w:t>
      </w:r>
      <w:r>
        <w:rPr>
          <w:rFonts w:hint="eastAsia" w:ascii="宋体" w:hAnsi="宋体" w:cs="宋体"/>
          <w:i w:val="0"/>
          <w:iCs w:val="0"/>
          <w:caps w:val="0"/>
          <w:color w:val="auto"/>
          <w:spacing w:val="0"/>
          <w:kern w:val="0"/>
          <w:sz w:val="21"/>
          <w:szCs w:val="21"/>
          <w:highlight w:val="none"/>
          <w:shd w:val="clear" w:fill="FFFFFF"/>
          <w:lang w:val="en-US" w:eastAsia="zh-CN" w:bidi="ar"/>
        </w:rPr>
        <w:t>0.1</w:t>
      </w:r>
      <w:r>
        <w:rPr>
          <w:rFonts w:hint="eastAsia" w:ascii="宋体" w:hAnsi="宋体" w:eastAsia="宋体" w:cs="宋体"/>
          <w:i w:val="0"/>
          <w:iCs w:val="0"/>
          <w:caps w:val="0"/>
          <w:color w:val="auto"/>
          <w:spacing w:val="0"/>
          <w:kern w:val="0"/>
          <w:sz w:val="21"/>
          <w:szCs w:val="21"/>
          <w:highlight w:val="none"/>
          <w:shd w:val="clear" w:fill="FFFFFF"/>
          <w:lang w:val="en-US" w:eastAsia="zh-CN" w:bidi="ar"/>
        </w:rPr>
        <w:t>万元。本次招标需求为上述工程的跟踪（结算）审计服务。</w:t>
      </w:r>
    </w:p>
    <w:p w14:paraId="1042DD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标段（包别）划分：1个标段。</w:t>
      </w:r>
    </w:p>
    <w:p w14:paraId="20F129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本项目不接受联合体。</w:t>
      </w:r>
    </w:p>
    <w:p w14:paraId="101A37A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17" w:name="_Toc30013"/>
      <w:r>
        <w:rPr>
          <w:rFonts w:hint="eastAsia" w:ascii="宋体" w:hAnsi="宋体" w:eastAsia="宋体" w:cs="宋体"/>
          <w:b/>
          <w:bCs/>
          <w:color w:val="auto"/>
          <w:sz w:val="21"/>
          <w:szCs w:val="21"/>
          <w:highlight w:val="none"/>
        </w:rPr>
        <w:t>二、申请人的资格要求</w:t>
      </w:r>
      <w:bookmarkEnd w:id="11"/>
      <w:bookmarkEnd w:id="12"/>
      <w:bookmarkEnd w:id="13"/>
      <w:bookmarkEnd w:id="14"/>
      <w:bookmarkEnd w:id="15"/>
      <w:bookmarkEnd w:id="16"/>
      <w:bookmarkEnd w:id="17"/>
    </w:p>
    <w:p w14:paraId="75DA90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bookmarkStart w:id="18" w:name="_Toc35393623"/>
      <w:bookmarkStart w:id="19" w:name="_Toc7189"/>
      <w:bookmarkStart w:id="20" w:name="_Toc2689"/>
      <w:bookmarkStart w:id="21" w:name="_Toc35393792"/>
      <w:bookmarkStart w:id="22" w:name="_Toc28359081"/>
      <w:bookmarkStart w:id="23" w:name="_Toc28172"/>
      <w:bookmarkStart w:id="24" w:name="_Toc28359004"/>
      <w:r>
        <w:rPr>
          <w:rFonts w:hint="eastAsia" w:ascii="宋体" w:hAnsi="宋体" w:eastAsia="宋体" w:cs="宋体"/>
          <w:i w:val="0"/>
          <w:iCs w:val="0"/>
          <w:caps w:val="0"/>
          <w:color w:val="auto"/>
          <w:spacing w:val="0"/>
          <w:kern w:val="0"/>
          <w:sz w:val="21"/>
          <w:szCs w:val="21"/>
          <w:highlight w:val="none"/>
          <w:shd w:val="clear" w:fill="FFFFFF"/>
          <w:lang w:val="en-US" w:eastAsia="zh-CN" w:bidi="ar"/>
        </w:rPr>
        <w:t>1.投标人要求：具备独立承担民事责任能力，具有有效的营业执照或事业单位法人证书；</w:t>
      </w:r>
    </w:p>
    <w:p w14:paraId="151749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2.项目负责人要求：必须具有建设部颁发的中华人民共和国注册造价工程师（或一级造价师）注册执业证书，专业为</w:t>
      </w:r>
      <w:r>
        <w:rPr>
          <w:rFonts w:hint="eastAsia" w:ascii="宋体" w:hAnsi="宋体" w:cs="宋体"/>
          <w:i w:val="0"/>
          <w:iCs w:val="0"/>
          <w:caps w:val="0"/>
          <w:color w:val="auto"/>
          <w:spacing w:val="0"/>
          <w:kern w:val="0"/>
          <w:sz w:val="21"/>
          <w:szCs w:val="21"/>
          <w:highlight w:val="none"/>
          <w:shd w:val="clear" w:fill="FFFFFF"/>
          <w:lang w:val="en-US" w:eastAsia="zh-CN" w:bidi="ar"/>
        </w:rPr>
        <w:t>土木建筑工程</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6CCB93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cs="宋体"/>
          <w:i w:val="0"/>
          <w:iCs w:val="0"/>
          <w:caps w:val="0"/>
          <w:color w:val="auto"/>
          <w:spacing w:val="0"/>
          <w:kern w:val="0"/>
          <w:sz w:val="21"/>
          <w:szCs w:val="21"/>
          <w:highlight w:val="none"/>
          <w:shd w:val="clear" w:fill="FFFFFF"/>
          <w:lang w:val="en-US" w:eastAsia="zh-CN" w:bidi="ar"/>
        </w:rPr>
        <w:t>3</w:t>
      </w:r>
      <w:r>
        <w:rPr>
          <w:rFonts w:hint="eastAsia" w:ascii="宋体" w:hAnsi="宋体" w:eastAsia="宋体" w:cs="宋体"/>
          <w:i w:val="0"/>
          <w:iCs w:val="0"/>
          <w:caps w:val="0"/>
          <w:color w:val="auto"/>
          <w:spacing w:val="0"/>
          <w:kern w:val="0"/>
          <w:sz w:val="21"/>
          <w:szCs w:val="21"/>
          <w:highlight w:val="none"/>
          <w:shd w:val="clear" w:fill="FFFFFF"/>
          <w:lang w:val="en-US" w:eastAsia="zh-CN" w:bidi="ar"/>
        </w:rPr>
        <w:t>.项目组其他成员（不含项目负责人）要求：二级（或以上）注册造价师至少1名。</w:t>
      </w:r>
    </w:p>
    <w:p w14:paraId="2AEC28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2"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三、获取</w:t>
      </w:r>
      <w:bookmarkEnd w:id="18"/>
      <w:bookmarkEnd w:id="19"/>
      <w:bookmarkEnd w:id="20"/>
      <w:bookmarkEnd w:id="21"/>
      <w:bookmarkEnd w:id="22"/>
      <w:bookmarkEnd w:id="23"/>
      <w:bookmarkEnd w:id="24"/>
      <w:r>
        <w:rPr>
          <w:rFonts w:hint="eastAsia" w:ascii="宋体" w:hAnsi="宋体" w:eastAsia="宋体" w:cs="宋体"/>
          <w:b/>
          <w:bCs/>
          <w:color w:val="auto"/>
          <w:sz w:val="21"/>
          <w:szCs w:val="21"/>
          <w:highlight w:val="none"/>
          <w:lang w:eastAsia="zh-CN"/>
        </w:rPr>
        <w:t>招标文件</w:t>
      </w:r>
    </w:p>
    <w:p w14:paraId="32031D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时间：</w:t>
      </w:r>
      <w:r>
        <w:rPr>
          <w:rFonts w:hint="eastAsia" w:ascii="宋体" w:hAnsi="宋体" w:cs="宋体"/>
          <w:i w:val="0"/>
          <w:iCs w:val="0"/>
          <w:caps w:val="0"/>
          <w:color w:val="auto"/>
          <w:spacing w:val="0"/>
          <w:kern w:val="0"/>
          <w:sz w:val="21"/>
          <w:szCs w:val="21"/>
          <w:highlight w:val="none"/>
          <w:shd w:val="clear" w:fill="FFFFFF"/>
          <w:lang w:val="en-US" w:eastAsia="zh-CN" w:bidi="ar"/>
        </w:rPr>
        <w:t>2026年4月17日</w:t>
      </w:r>
      <w:r>
        <w:rPr>
          <w:rFonts w:hint="eastAsia" w:ascii="宋体" w:hAnsi="宋体" w:eastAsia="宋体" w:cs="宋体"/>
          <w:i w:val="0"/>
          <w:iCs w:val="0"/>
          <w:caps w:val="0"/>
          <w:color w:val="auto"/>
          <w:spacing w:val="0"/>
          <w:kern w:val="0"/>
          <w:sz w:val="21"/>
          <w:szCs w:val="21"/>
          <w:highlight w:val="none"/>
          <w:shd w:val="clear" w:fill="FFFFFF"/>
          <w:lang w:val="en-US" w:eastAsia="zh-CN" w:bidi="ar"/>
        </w:rPr>
        <w:t>至202</w:t>
      </w:r>
      <w:r>
        <w:rPr>
          <w:rFonts w:hint="eastAsia" w:ascii="宋体" w:hAnsi="宋体" w:cs="宋体"/>
          <w:i w:val="0"/>
          <w:iCs w:val="0"/>
          <w:caps w:val="0"/>
          <w:color w:val="auto"/>
          <w:spacing w:val="0"/>
          <w:kern w:val="0"/>
          <w:sz w:val="21"/>
          <w:szCs w:val="21"/>
          <w:highlight w:val="none"/>
          <w:shd w:val="clear"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fill="FFFFFF"/>
          <w:lang w:val="en-US" w:eastAsia="zh-CN" w:bidi="ar"/>
        </w:rPr>
        <w:t>年</w:t>
      </w:r>
      <w:bookmarkStart w:id="69" w:name="_GoBack"/>
      <w:bookmarkEnd w:id="69"/>
      <w:r>
        <w:rPr>
          <w:rFonts w:hint="eastAsia" w:ascii="宋体" w:hAnsi="宋体" w:cs="宋体"/>
          <w:i w:val="0"/>
          <w:iCs w:val="0"/>
          <w:caps w:val="0"/>
          <w:color w:val="auto"/>
          <w:spacing w:val="0"/>
          <w:kern w:val="0"/>
          <w:sz w:val="21"/>
          <w:szCs w:val="21"/>
          <w:highlight w:val="none"/>
          <w:shd w:val="clear" w:fill="FFFFFF"/>
          <w:lang w:val="en-US" w:eastAsia="zh-CN" w:bidi="ar"/>
        </w:rPr>
        <w:t>4月22日15时3</w:t>
      </w:r>
      <w:r>
        <w:rPr>
          <w:rFonts w:hint="eastAsia" w:ascii="宋体" w:hAnsi="宋体" w:eastAsia="宋体" w:cs="宋体"/>
          <w:i w:val="0"/>
          <w:iCs w:val="0"/>
          <w:caps w:val="0"/>
          <w:color w:val="auto"/>
          <w:spacing w:val="0"/>
          <w:kern w:val="0"/>
          <w:sz w:val="21"/>
          <w:szCs w:val="21"/>
          <w:highlight w:val="none"/>
          <w:shd w:val="clear" w:fill="FFFFFF"/>
          <w:lang w:val="en-US" w:eastAsia="zh-CN" w:bidi="ar"/>
        </w:rPr>
        <w:t>0分。</w:t>
      </w:r>
    </w:p>
    <w:p w14:paraId="57BDCE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地点：请于公告发布之日起从滁州市城投工程咨询管理有限公司（https://www.czctgczx.com/）网站下载。</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投标人自行承担因未按要求获取招标文件导致无法上传电子投标文件的风险。</w:t>
      </w:r>
    </w:p>
    <w:p w14:paraId="205D54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bookmarkStart w:id="25" w:name="_Toc28359082"/>
      <w:bookmarkStart w:id="26" w:name="_Toc28359005"/>
      <w:bookmarkStart w:id="27" w:name="_Toc23486"/>
      <w:bookmarkStart w:id="28" w:name="_Toc35393793"/>
      <w:bookmarkStart w:id="29" w:name="_Toc6135"/>
      <w:bookmarkStart w:id="30" w:name="_Toc19139"/>
      <w:bookmarkStart w:id="31" w:name="_Toc35393624"/>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（工作日）。  </w:t>
      </w:r>
    </w:p>
    <w:p w14:paraId="3BBAFA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（2）投标人登录新点电子交易平台【滁州专区】获取招标文件及其它资料（含澄清和补充说明等）。如在招标文件获取过程中遇到系统问题，请拨打技术支持服务热线</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或者网站首页在线客服。</w:t>
      </w:r>
    </w:p>
    <w:p w14:paraId="179D1E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2、招标文件及相关资料售价：人民币0元/套（含清单控制价、图纸及澄清答疑文件）</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09247A6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四、提交投标文件</w:t>
      </w:r>
      <w:bookmarkEnd w:id="25"/>
      <w:bookmarkEnd w:id="26"/>
      <w:r>
        <w:rPr>
          <w:rFonts w:hint="eastAsia" w:ascii="宋体" w:hAnsi="宋体" w:eastAsia="宋体" w:cs="宋体"/>
          <w:b/>
          <w:bCs/>
          <w:color w:val="auto"/>
          <w:sz w:val="21"/>
          <w:szCs w:val="21"/>
          <w:highlight w:val="none"/>
          <w:lang w:eastAsia="zh-CN"/>
        </w:rPr>
        <w:t>截止时间、开标时间和地点</w:t>
      </w:r>
      <w:bookmarkEnd w:id="27"/>
      <w:bookmarkEnd w:id="28"/>
      <w:bookmarkEnd w:id="29"/>
      <w:bookmarkEnd w:id="30"/>
      <w:bookmarkEnd w:id="31"/>
    </w:p>
    <w:p w14:paraId="78DDBB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bookmarkStart w:id="32" w:name="_Toc19623"/>
      <w:bookmarkStart w:id="33" w:name="_Toc5602"/>
      <w:bookmarkStart w:id="34" w:name="_Toc35393625"/>
      <w:bookmarkStart w:id="35" w:name="_Toc28359084"/>
      <w:bookmarkStart w:id="36" w:name="_Toc28359007"/>
      <w:bookmarkStart w:id="37" w:name="_Toc35393794"/>
      <w:bookmarkStart w:id="38" w:name="_Toc1913"/>
      <w:r>
        <w:rPr>
          <w:rFonts w:hint="eastAsia" w:ascii="宋体" w:hAnsi="宋体" w:eastAsia="宋体" w:cs="宋体"/>
          <w:i w:val="0"/>
          <w:iCs w:val="0"/>
          <w:caps w:val="0"/>
          <w:color w:val="auto"/>
          <w:spacing w:val="0"/>
          <w:kern w:val="0"/>
          <w:sz w:val="21"/>
          <w:szCs w:val="21"/>
          <w:highlight w:val="none"/>
          <w:shd w:val="clear" w:fill="FFFFFF"/>
          <w:lang w:val="en-US" w:eastAsia="zh-CN" w:bidi="ar"/>
        </w:rPr>
        <w:t>1、投标文件递交的截止时间为2026年</w:t>
      </w:r>
      <w:r>
        <w:rPr>
          <w:rFonts w:hint="eastAsia" w:ascii="宋体" w:hAnsi="宋体" w:cs="宋体"/>
          <w:i w:val="0"/>
          <w:iCs w:val="0"/>
          <w:caps w:val="0"/>
          <w:color w:val="auto"/>
          <w:spacing w:val="0"/>
          <w:kern w:val="0"/>
          <w:sz w:val="21"/>
          <w:szCs w:val="21"/>
          <w:highlight w:val="none"/>
          <w:shd w:val="clear" w:fill="FFFFFF"/>
          <w:lang w:val="en-US" w:eastAsia="zh-CN" w:bidi="ar"/>
        </w:rPr>
        <w:t>4月22日15时</w:t>
      </w:r>
      <w:r>
        <w:rPr>
          <w:rFonts w:hint="eastAsia" w:ascii="宋体" w:hAnsi="宋体" w:eastAsia="宋体" w:cs="宋体"/>
          <w:i w:val="0"/>
          <w:iCs w:val="0"/>
          <w:caps w:val="0"/>
          <w:color w:val="auto"/>
          <w:spacing w:val="0"/>
          <w:kern w:val="0"/>
          <w:sz w:val="21"/>
          <w:szCs w:val="21"/>
          <w:highlight w:val="none"/>
          <w:shd w:val="clear" w:fill="FFFFFF"/>
          <w:lang w:val="en-US" w:eastAsia="zh-CN" w:bidi="ar"/>
        </w:rPr>
        <w:t>30分；</w:t>
      </w:r>
    </w:p>
    <w:p w14:paraId="5E1653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2、网上开标，投标人登录滁州市城投工程咨询有限公司不见面开标系统参与网上开标（网址：http://js.etrading.cn/EpointBidOpening/bidopeninghallaction/hall/login）。</w:t>
      </w:r>
    </w:p>
    <w:p w14:paraId="11B425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3、投标人应在投标截止时间之前，登陆新点电子交易平台【滁州专区】上传投标文件。</w:t>
      </w:r>
    </w:p>
    <w:p w14:paraId="68E703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4、投标人逾期上传投标文件的，电子系统不予受理。</w:t>
      </w:r>
    </w:p>
    <w:p w14:paraId="39276E8D">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五、公告</w:t>
      </w:r>
      <w:bookmarkEnd w:id="32"/>
      <w:bookmarkEnd w:id="33"/>
      <w:bookmarkEnd w:id="34"/>
      <w:bookmarkEnd w:id="35"/>
      <w:bookmarkEnd w:id="36"/>
      <w:bookmarkEnd w:id="37"/>
      <w:bookmarkEnd w:id="38"/>
      <w:r>
        <w:rPr>
          <w:rFonts w:hint="eastAsia" w:ascii="宋体" w:hAnsi="宋体" w:eastAsia="宋体" w:cs="宋体"/>
          <w:b/>
          <w:bCs/>
          <w:color w:val="auto"/>
          <w:sz w:val="21"/>
          <w:szCs w:val="21"/>
          <w:highlight w:val="none"/>
          <w:lang w:val="en-US" w:eastAsia="zh-CN"/>
        </w:rPr>
        <w:t>发布期限及媒体</w:t>
      </w:r>
    </w:p>
    <w:p w14:paraId="70ADAE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自本公告发布之日起至投标截止时间止。</w:t>
      </w:r>
    </w:p>
    <w:p w14:paraId="55C898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次招标公告同时在中国招标公共服务平台（http://www.cebpubservice.com/）、安徽省招标投标信息网（www.ahtba.org.cn）、滁州市城投工程咨询管理有限公司（https://www.czctgczx.com/）、滁州市重点工程建设管理处（http://zdc.chuzhou.gov.cn/）网站上发布。</w:t>
      </w:r>
    </w:p>
    <w:p w14:paraId="25B232D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六、投标保证金金额及缴纳账户</w:t>
      </w:r>
    </w:p>
    <w:p w14:paraId="1B54B9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是否要求投标人提交投标保证金：不要求。</w:t>
      </w:r>
    </w:p>
    <w:p w14:paraId="464AC67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lang w:eastAsia="zh-CN"/>
        </w:rPr>
        <w:t>、重要提醒</w:t>
      </w:r>
    </w:p>
    <w:p w14:paraId="73ADC5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438E66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02598D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i w:val="0"/>
          <w:iCs w:val="0"/>
          <w:caps w:val="0"/>
          <w:color w:val="auto"/>
          <w:spacing w:val="0"/>
          <w:kern w:val="0"/>
          <w:sz w:val="21"/>
          <w:szCs w:val="21"/>
          <w:highlight w:val="none"/>
          <w:shd w:val="clear"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fill="FFFFFF"/>
          <w:lang w:val="en-US" w:eastAsia="zh-CN" w:bidi="ar"/>
        </w:rPr>
        <w:t>（工作日）。</w:t>
      </w:r>
    </w:p>
    <w:p w14:paraId="2C7C5F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4.投标人登录新点电子交易平台【滁州专区】获取招标文件及其它资料（含澄清和补充说明等）。如在招标文件获取过程中遇到系统问题，请拨打技术支持服务热线</w:t>
      </w:r>
      <w:r>
        <w:rPr>
          <w:rFonts w:hint="eastAsia" w:ascii="宋体" w:hAnsi="宋体" w:cs="宋体"/>
          <w:i w:val="0"/>
          <w:iCs w:val="0"/>
          <w:caps w:val="0"/>
          <w:color w:val="auto"/>
          <w:spacing w:val="0"/>
          <w:kern w:val="0"/>
          <w:sz w:val="21"/>
          <w:szCs w:val="21"/>
          <w:highlight w:val="none"/>
          <w:shd w:val="clear"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fill="FFFFFF"/>
          <w:lang w:val="en-US" w:eastAsia="zh-CN" w:bidi="ar"/>
        </w:rPr>
        <w:t>或者网站首页在线客服。投标人自行承担因未按要求获取招标文件导致无法上传电子投标文件的风险。</w:t>
      </w:r>
    </w:p>
    <w:p w14:paraId="4CE712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5.本项目采用不见面开标，投标人登录滁州市城投工程咨询有限公司不见面开标系统参与网上开标（网址：http://js.etrading.cn/EpointBidOpening/bidopeninghallaction/hall/login）。</w:t>
      </w:r>
    </w:p>
    <w:p w14:paraId="01C1FB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6.投标人应在投标截止时间之前，登录新点电子交易平台【滁州专区】上传投标文件。投标人逾期上传投标文件的，电子系统不予受理。</w:t>
      </w:r>
    </w:p>
    <w:p w14:paraId="1B85BE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769CA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8.投标人的联系人电话(手机)、电子邮箱等通讯方式在开标过程中必须保持畅通，否则因上述原因造成的后果，责任自负。</w:t>
      </w:r>
    </w:p>
    <w:p w14:paraId="0369C8D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eastAsia="zh-CN"/>
        </w:rPr>
        <w:t>对本次招标提出询问，请按以下方式联系</w:t>
      </w:r>
    </w:p>
    <w:p w14:paraId="611008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w:t>
      </w:r>
      <w:bookmarkStart w:id="39" w:name="_Toc28359010"/>
      <w:bookmarkStart w:id="40" w:name="_Toc28359087"/>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招标人信息</w:t>
      </w:r>
    </w:p>
    <w:p w14:paraId="34462E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名    称：滁州市园林景观管理中心 </w:t>
      </w:r>
    </w:p>
    <w:p w14:paraId="353A0E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地    址：</w:t>
      </w:r>
      <w:r>
        <w:rPr>
          <w:rFonts w:hint="eastAsia" w:ascii="宋体" w:hAnsi="宋体" w:cs="宋体"/>
          <w:i w:val="0"/>
          <w:iCs w:val="0"/>
          <w:caps w:val="0"/>
          <w:color w:val="auto"/>
          <w:spacing w:val="0"/>
          <w:kern w:val="0"/>
          <w:sz w:val="21"/>
          <w:szCs w:val="21"/>
          <w:highlight w:val="none"/>
          <w:shd w:val="clear" w:color="auto" w:fill="FFFFFF"/>
          <w:lang w:val="en-US" w:eastAsia="zh-CN" w:bidi="ar"/>
        </w:rPr>
        <w:t xml:space="preserve">滁州市花园西路81号林业大厦8楼 </w:t>
      </w:r>
    </w:p>
    <w:p w14:paraId="33C435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联系方式：</w:t>
      </w:r>
      <w:r>
        <w:rPr>
          <w:rFonts w:hint="eastAsia" w:ascii="宋体" w:hAnsi="宋体" w:cs="宋体"/>
          <w:i w:val="0"/>
          <w:iCs w:val="0"/>
          <w:caps w:val="0"/>
          <w:color w:val="auto"/>
          <w:spacing w:val="0"/>
          <w:kern w:val="0"/>
          <w:sz w:val="21"/>
          <w:szCs w:val="21"/>
          <w:highlight w:val="none"/>
          <w:shd w:val="clear" w:color="auto" w:fill="FFFFFF"/>
          <w:lang w:val="en-US" w:eastAsia="zh-CN" w:bidi="ar"/>
        </w:rPr>
        <w:t>0550-3010861</w:t>
      </w:r>
    </w:p>
    <w:p w14:paraId="0B48B4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2.代理机构信息</w:t>
      </w:r>
    </w:p>
    <w:p w14:paraId="7AB4B9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名    称：滁州市城投工程咨询管理有限公司</w:t>
      </w:r>
    </w:p>
    <w:p w14:paraId="3B4872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地　　址：滁州市龙蟠大道109号房产商务大厦6楼</w:t>
      </w:r>
    </w:p>
    <w:p w14:paraId="0EF11D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联系方式：</w:t>
      </w:r>
      <w:r>
        <w:rPr>
          <w:rFonts w:hint="eastAsia" w:ascii="宋体" w:hAnsi="宋体" w:cs="宋体"/>
          <w:i w:val="0"/>
          <w:iCs w:val="0"/>
          <w:caps w:val="0"/>
          <w:color w:val="auto"/>
          <w:spacing w:val="0"/>
          <w:kern w:val="0"/>
          <w:sz w:val="21"/>
          <w:szCs w:val="21"/>
          <w:highlight w:val="none"/>
          <w:shd w:val="clear" w:color="auto" w:fill="FFFFFF"/>
          <w:lang w:val="en-US" w:eastAsia="zh-CN" w:bidi="ar"/>
        </w:rPr>
        <w:t xml:space="preserve">18712012204 </w:t>
      </w:r>
    </w:p>
    <w:p w14:paraId="48E6D2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3.项目联系方式</w:t>
      </w:r>
    </w:p>
    <w:p w14:paraId="631FBA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项目联系人：</w:t>
      </w:r>
      <w:r>
        <w:rPr>
          <w:rFonts w:hint="eastAsia" w:ascii="宋体" w:hAnsi="宋体" w:cs="宋体"/>
          <w:i w:val="0"/>
          <w:iCs w:val="0"/>
          <w:caps w:val="0"/>
          <w:color w:val="auto"/>
          <w:spacing w:val="0"/>
          <w:kern w:val="0"/>
          <w:sz w:val="21"/>
          <w:szCs w:val="21"/>
          <w:highlight w:val="none"/>
          <w:shd w:val="clear" w:color="auto" w:fill="FFFFFF"/>
          <w:lang w:val="en-US" w:eastAsia="zh-CN" w:bidi="ar"/>
        </w:rPr>
        <w:t>曾建博</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r>
        <w:rPr>
          <w:rFonts w:hint="eastAsia" w:ascii="宋体" w:hAnsi="宋体" w:cs="宋体"/>
          <w:i w:val="0"/>
          <w:iCs w:val="0"/>
          <w:caps w:val="0"/>
          <w:color w:val="auto"/>
          <w:spacing w:val="0"/>
          <w:kern w:val="0"/>
          <w:sz w:val="21"/>
          <w:szCs w:val="21"/>
          <w:highlight w:val="none"/>
          <w:shd w:val="clear" w:color="auto" w:fill="FFFFFF"/>
          <w:lang w:val="en-US" w:eastAsia="zh-CN" w:bidi="ar"/>
        </w:rPr>
        <w:t>曹思敏</w:t>
      </w:r>
    </w:p>
    <w:p w14:paraId="703091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电　　 话：</w:t>
      </w:r>
      <w:r>
        <w:rPr>
          <w:rFonts w:hint="eastAsia" w:ascii="宋体" w:hAnsi="宋体" w:cs="宋体"/>
          <w:i w:val="0"/>
          <w:iCs w:val="0"/>
          <w:caps w:val="0"/>
          <w:color w:val="auto"/>
          <w:spacing w:val="0"/>
          <w:kern w:val="0"/>
          <w:sz w:val="21"/>
          <w:szCs w:val="21"/>
          <w:highlight w:val="none"/>
          <w:shd w:val="clear" w:color="auto" w:fill="FFFFFF"/>
          <w:lang w:val="en-US" w:eastAsia="zh-CN" w:bidi="ar"/>
        </w:rPr>
        <w:t>0550-3010861</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r>
        <w:rPr>
          <w:rFonts w:hint="eastAsia" w:ascii="宋体" w:hAnsi="宋体" w:cs="宋体"/>
          <w:i w:val="0"/>
          <w:iCs w:val="0"/>
          <w:caps w:val="0"/>
          <w:color w:val="auto"/>
          <w:spacing w:val="0"/>
          <w:kern w:val="0"/>
          <w:sz w:val="21"/>
          <w:szCs w:val="21"/>
          <w:highlight w:val="none"/>
          <w:shd w:val="clear" w:color="auto" w:fill="FFFFFF"/>
          <w:lang w:val="en-US" w:eastAsia="zh-CN" w:bidi="ar"/>
        </w:rPr>
        <w:t xml:space="preserve">18712012204 </w:t>
      </w:r>
    </w:p>
    <w:bookmarkEnd w:id="39"/>
    <w:bookmarkEnd w:id="40"/>
    <w:p w14:paraId="6230337C">
      <w:pPr>
        <w:pStyle w:val="44"/>
        <w:rPr>
          <w:rFonts w:hint="eastAsia"/>
          <w:color w:val="auto"/>
          <w:highlight w:val="none"/>
          <w:lang w:val="en-US" w:eastAsia="zh-CN"/>
        </w:rPr>
      </w:pPr>
    </w:p>
    <w:p w14:paraId="0B7C01C1">
      <w:pPr>
        <w:pStyle w:val="2"/>
        <w:keepNext/>
        <w:keepLines/>
        <w:pageBreakBefore/>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lang w:eastAsia="zh-CN"/>
        </w:rPr>
      </w:pPr>
      <w:bookmarkStart w:id="41" w:name="_Toc252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1"/>
      <w:r>
        <w:rPr>
          <w:rFonts w:hint="eastAsia" w:ascii="宋体" w:hAnsi="宋体" w:eastAsia="宋体" w:cs="宋体"/>
          <w:color w:val="auto"/>
          <w:highlight w:val="none"/>
          <w:lang w:eastAsia="zh-CN"/>
        </w:rPr>
        <w:t>投标人须知</w:t>
      </w:r>
    </w:p>
    <w:p w14:paraId="11A55803">
      <w:pPr>
        <w:pStyle w:val="2"/>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0"/>
    </w:p>
    <w:tbl>
      <w:tblPr>
        <w:tblStyle w:val="45"/>
        <w:tblW w:w="9588" w:type="dxa"/>
        <w:tblInd w:w="2" w:type="dxa"/>
        <w:tblLayout w:type="fixed"/>
        <w:tblCellMar>
          <w:top w:w="0" w:type="dxa"/>
          <w:left w:w="0" w:type="dxa"/>
          <w:bottom w:w="0" w:type="dxa"/>
          <w:right w:w="0" w:type="dxa"/>
        </w:tblCellMar>
      </w:tblPr>
      <w:tblGrid>
        <w:gridCol w:w="731"/>
        <w:gridCol w:w="1654"/>
        <w:gridCol w:w="7203"/>
      </w:tblGrid>
      <w:tr w14:paraId="78EF493F">
        <w:tblPrEx>
          <w:tblCellMar>
            <w:top w:w="0" w:type="dxa"/>
            <w:left w:w="0" w:type="dxa"/>
            <w:bottom w:w="0" w:type="dxa"/>
            <w:right w:w="0" w:type="dxa"/>
          </w:tblCellMar>
        </w:tblPrEx>
        <w:trPr>
          <w:trHeight w:val="474" w:hRule="atLeast"/>
        </w:trPr>
        <w:tc>
          <w:tcPr>
            <w:tcW w:w="731"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编号</w:t>
            </w:r>
          </w:p>
        </w:tc>
        <w:tc>
          <w:tcPr>
            <w:tcW w:w="1654"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w:t>
            </w:r>
          </w:p>
        </w:tc>
        <w:tc>
          <w:tcPr>
            <w:tcW w:w="7203"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说明与要求</w:t>
            </w:r>
          </w:p>
        </w:tc>
      </w:tr>
      <w:tr w14:paraId="726904A0">
        <w:tblPrEx>
          <w:tblCellMar>
            <w:top w:w="0" w:type="dxa"/>
            <w:left w:w="0" w:type="dxa"/>
            <w:bottom w:w="0" w:type="dxa"/>
            <w:right w:w="0" w:type="dxa"/>
          </w:tblCellMar>
        </w:tblPrEx>
        <w:trPr>
          <w:trHeight w:val="986" w:hRule="atLeast"/>
        </w:trPr>
        <w:tc>
          <w:tcPr>
            <w:tcW w:w="731"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54"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203" w:type="dxa"/>
            <w:tcBorders>
              <w:top w:val="single" w:color="auto" w:sz="8" w:space="0"/>
              <w:left w:val="single" w:color="auto" w:sz="4" w:space="0"/>
              <w:bottom w:val="single" w:color="auto" w:sz="8" w:space="0"/>
              <w:right w:val="single" w:color="auto" w:sz="8" w:space="0"/>
            </w:tcBorders>
            <w:vAlign w:val="center"/>
          </w:tcPr>
          <w:p w14:paraId="5594D2C0">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城南绿廊公园水体清淤及治理项目等两个项目跟踪审计项目</w:t>
            </w:r>
          </w:p>
          <w:p w14:paraId="3D870AD5">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70D97D96">
            <w:pPr>
              <w:keepNext w:val="0"/>
              <w:keepLines w:val="0"/>
              <w:pageBreakBefore w:val="0"/>
              <w:widowControl w:val="0"/>
              <w:kinsoku/>
              <w:wordWrap w:val="0"/>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rPr>
              <w:t>建设规模：</w:t>
            </w:r>
            <w:r>
              <w:rPr>
                <w:rFonts w:hint="eastAsia" w:ascii="宋体" w:hAnsi="宋体" w:eastAsia="宋体" w:cs="宋体"/>
                <w:i w:val="0"/>
                <w:iCs w:val="0"/>
                <w:caps w:val="0"/>
                <w:color w:val="auto"/>
                <w:spacing w:val="0"/>
                <w:kern w:val="0"/>
                <w:sz w:val="21"/>
                <w:szCs w:val="21"/>
                <w:highlight w:val="none"/>
                <w:shd w:val="clear" w:fill="FFFFFF"/>
                <w:lang w:val="en-US" w:eastAsia="zh-CN" w:bidi="ar"/>
              </w:rPr>
              <w:t>城南绿廊公园水体清淤及治理项目工程投资额约50万元（具体以实际发生为准），跟踪审计服务费约</w:t>
            </w:r>
            <w:r>
              <w:rPr>
                <w:rFonts w:hint="eastAsia" w:ascii="宋体" w:hAnsi="宋体" w:cs="宋体"/>
                <w:i w:val="0"/>
                <w:iCs w:val="0"/>
                <w:caps w:val="0"/>
                <w:color w:val="auto"/>
                <w:spacing w:val="0"/>
                <w:kern w:val="0"/>
                <w:sz w:val="21"/>
                <w:szCs w:val="21"/>
                <w:highlight w:val="none"/>
                <w:shd w:val="clear" w:fill="FFFFFF"/>
                <w:lang w:val="en-US" w:eastAsia="zh-CN" w:bidi="ar"/>
              </w:rPr>
              <w:t>0.2</w:t>
            </w:r>
            <w:r>
              <w:rPr>
                <w:rFonts w:hint="eastAsia" w:ascii="宋体" w:hAnsi="宋体" w:eastAsia="宋体" w:cs="宋体"/>
                <w:i w:val="0"/>
                <w:iCs w:val="0"/>
                <w:caps w:val="0"/>
                <w:color w:val="auto"/>
                <w:spacing w:val="0"/>
                <w:kern w:val="0"/>
                <w:sz w:val="21"/>
                <w:szCs w:val="21"/>
                <w:highlight w:val="none"/>
                <w:shd w:val="clear" w:fill="FFFFFF"/>
                <w:lang w:val="en-US" w:eastAsia="zh-CN" w:bidi="ar"/>
              </w:rPr>
              <w:t>万元。2025年口袋公园项目工程投资额约20万元（具体以实际发生为准），跟踪审计服务费约</w:t>
            </w:r>
            <w:r>
              <w:rPr>
                <w:rFonts w:hint="eastAsia" w:ascii="宋体" w:hAnsi="宋体" w:cs="宋体"/>
                <w:i w:val="0"/>
                <w:iCs w:val="0"/>
                <w:caps w:val="0"/>
                <w:color w:val="auto"/>
                <w:spacing w:val="0"/>
                <w:kern w:val="0"/>
                <w:sz w:val="21"/>
                <w:szCs w:val="21"/>
                <w:highlight w:val="none"/>
                <w:shd w:val="clear" w:fill="FFFFFF"/>
                <w:lang w:val="en-US" w:eastAsia="zh-CN" w:bidi="ar"/>
              </w:rPr>
              <w:t>0.1</w:t>
            </w:r>
            <w:r>
              <w:rPr>
                <w:rFonts w:hint="eastAsia" w:ascii="宋体" w:hAnsi="宋体" w:eastAsia="宋体" w:cs="宋体"/>
                <w:i w:val="0"/>
                <w:iCs w:val="0"/>
                <w:caps w:val="0"/>
                <w:color w:val="auto"/>
                <w:spacing w:val="0"/>
                <w:kern w:val="0"/>
                <w:sz w:val="21"/>
                <w:szCs w:val="21"/>
                <w:highlight w:val="none"/>
                <w:shd w:val="clear" w:fill="FFFFFF"/>
                <w:lang w:val="en-US" w:eastAsia="zh-CN" w:bidi="ar"/>
              </w:rPr>
              <w:t>万元。</w:t>
            </w:r>
          </w:p>
        </w:tc>
      </w:tr>
      <w:tr w14:paraId="4047B0BA">
        <w:tblPrEx>
          <w:tblCellMar>
            <w:top w:w="0" w:type="dxa"/>
            <w:left w:w="0" w:type="dxa"/>
            <w:bottom w:w="0" w:type="dxa"/>
            <w:right w:w="0" w:type="dxa"/>
          </w:tblCellMar>
        </w:tblPrEx>
        <w:trPr>
          <w:trHeight w:val="255" w:hRule="atLeast"/>
        </w:trPr>
        <w:tc>
          <w:tcPr>
            <w:tcW w:w="731"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54"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203" w:type="dxa"/>
            <w:tcBorders>
              <w:top w:val="single" w:color="auto" w:sz="8" w:space="0"/>
              <w:left w:val="single" w:color="auto" w:sz="4" w:space="0"/>
              <w:bottom w:val="single" w:color="auto" w:sz="8" w:space="0"/>
              <w:right w:val="single" w:color="auto" w:sz="8" w:space="0"/>
            </w:tcBorders>
            <w:vAlign w:val="center"/>
          </w:tcPr>
          <w:p w14:paraId="0003F08F">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跟踪（结算）审计服务</w:t>
            </w:r>
            <w:r>
              <w:rPr>
                <w:rFonts w:hint="eastAsia" w:ascii="宋体" w:hAnsi="宋体" w:eastAsia="宋体" w:cs="宋体"/>
                <w:color w:val="auto"/>
                <w:kern w:val="0"/>
                <w:sz w:val="21"/>
                <w:szCs w:val="21"/>
                <w:highlight w:val="none"/>
                <w:lang w:eastAsia="zh-CN"/>
              </w:rPr>
              <w:t>。</w:t>
            </w:r>
          </w:p>
        </w:tc>
      </w:tr>
      <w:tr w14:paraId="597FACB0">
        <w:tblPrEx>
          <w:tblCellMar>
            <w:top w:w="0" w:type="dxa"/>
            <w:left w:w="0" w:type="dxa"/>
            <w:bottom w:w="0" w:type="dxa"/>
            <w:right w:w="0" w:type="dxa"/>
          </w:tblCellMar>
        </w:tblPrEx>
        <w:trPr>
          <w:trHeight w:val="315" w:hRule="atLeast"/>
        </w:trPr>
        <w:tc>
          <w:tcPr>
            <w:tcW w:w="731"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654"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203" w:type="dxa"/>
            <w:tcBorders>
              <w:top w:val="single" w:color="auto" w:sz="8" w:space="0"/>
              <w:left w:val="single" w:color="auto" w:sz="4" w:space="0"/>
              <w:bottom w:val="single" w:color="auto" w:sz="8" w:space="0"/>
              <w:right w:val="single" w:color="auto" w:sz="8" w:space="0"/>
            </w:tcBorders>
            <w:vAlign w:val="center"/>
          </w:tcPr>
          <w:p w14:paraId="5DB7864B">
            <w:pPr>
              <w:keepNext w:val="0"/>
              <w:keepLines w:val="0"/>
              <w:pageBreakBefore w:val="0"/>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满足关于印发《工程造价咨询服务管理办法》的通知（滁重〔2022〕55号）规定</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要求。</w:t>
            </w:r>
          </w:p>
        </w:tc>
      </w:tr>
      <w:tr w14:paraId="24784F21">
        <w:tblPrEx>
          <w:tblCellMar>
            <w:top w:w="0" w:type="dxa"/>
            <w:left w:w="0" w:type="dxa"/>
            <w:bottom w:w="0" w:type="dxa"/>
            <w:right w:w="0" w:type="dxa"/>
          </w:tblCellMar>
        </w:tblPrEx>
        <w:trPr>
          <w:trHeight w:val="425" w:hRule="atLeast"/>
        </w:trPr>
        <w:tc>
          <w:tcPr>
            <w:tcW w:w="731"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654"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203"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kinsoku/>
              <w:wordWrap/>
              <w:overflowPunct/>
              <w:topLinePunct w:val="0"/>
              <w:autoSpaceDE/>
              <w:autoSpaceDN/>
              <w:bidi w:val="0"/>
              <w:adjustRightInd/>
              <w:snapToGrid/>
              <w:spacing w:line="440" w:lineRule="exact"/>
              <w:ind w:left="57" w:leftChars="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投标人出具的工程造价咨询成果文件质量应符合现行国家或行业工程计价有关规定、标准、规范的要求</w:t>
            </w:r>
            <w:r>
              <w:rPr>
                <w:rFonts w:hint="eastAsia" w:ascii="宋体" w:hAnsi="宋体" w:eastAsia="宋体" w:cs="宋体"/>
                <w:color w:val="auto"/>
                <w:kern w:val="0"/>
                <w:sz w:val="21"/>
                <w:szCs w:val="21"/>
                <w:highlight w:val="none"/>
                <w:lang w:eastAsia="zh-CN"/>
              </w:rPr>
              <w:t>；</w:t>
            </w:r>
          </w:p>
        </w:tc>
      </w:tr>
      <w:tr w14:paraId="21D1049F">
        <w:tblPrEx>
          <w:tblCellMar>
            <w:top w:w="0" w:type="dxa"/>
            <w:left w:w="0" w:type="dxa"/>
            <w:bottom w:w="0" w:type="dxa"/>
            <w:right w:w="0" w:type="dxa"/>
          </w:tblCellMar>
        </w:tblPrEx>
        <w:trPr>
          <w:trHeight w:val="286" w:hRule="atLeast"/>
        </w:trPr>
        <w:tc>
          <w:tcPr>
            <w:tcW w:w="731"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654"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kinsoku/>
              <w:wordWrap/>
              <w:overflowPunct/>
              <w:topLinePunct w:val="0"/>
              <w:autoSpaceDE/>
              <w:autoSpaceDN/>
              <w:bidi w:val="0"/>
              <w:adjustRightInd/>
              <w:snapToGrid/>
              <w:spacing w:line="48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kinsoku/>
              <w:wordWrap/>
              <w:overflowPunct/>
              <w:topLinePunct w:val="0"/>
              <w:autoSpaceDE/>
              <w:autoSpaceDN/>
              <w:bidi w:val="0"/>
              <w:adjustRightInd/>
              <w:snapToGrid/>
              <w:spacing w:line="48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203"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详</w:t>
            </w:r>
            <w:r>
              <w:rPr>
                <w:rFonts w:hint="eastAsia" w:ascii="宋体" w:hAnsi="宋体" w:eastAsia="宋体" w:cs="宋体"/>
                <w:color w:val="auto"/>
                <w:kern w:val="0"/>
                <w:sz w:val="21"/>
                <w:szCs w:val="21"/>
                <w:highlight w:val="none"/>
                <w:lang w:val="en-US" w:eastAsia="zh-CN"/>
              </w:rPr>
              <w:t>见招标公告</w:t>
            </w:r>
            <w:r>
              <w:rPr>
                <w:rFonts w:hint="eastAsia" w:ascii="宋体" w:hAnsi="宋体" w:eastAsia="宋体" w:cs="宋体"/>
                <w:color w:val="auto"/>
                <w:kern w:val="0"/>
                <w:sz w:val="21"/>
                <w:szCs w:val="21"/>
                <w:highlight w:val="none"/>
              </w:rPr>
              <w:t>。</w:t>
            </w:r>
          </w:p>
        </w:tc>
      </w:tr>
      <w:tr w14:paraId="26978DB0">
        <w:tblPrEx>
          <w:tblCellMar>
            <w:top w:w="0" w:type="dxa"/>
            <w:left w:w="0" w:type="dxa"/>
            <w:bottom w:w="0" w:type="dxa"/>
            <w:right w:w="0" w:type="dxa"/>
          </w:tblCellMar>
        </w:tblPrEx>
        <w:trPr>
          <w:trHeight w:val="656" w:hRule="atLeast"/>
        </w:trPr>
        <w:tc>
          <w:tcPr>
            <w:tcW w:w="731"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654"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203"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435" w:hRule="atLeast"/>
        </w:trPr>
        <w:tc>
          <w:tcPr>
            <w:tcW w:w="731"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654" w:type="dxa"/>
            <w:tcBorders>
              <w:top w:val="single" w:color="auto" w:sz="8" w:space="0"/>
              <w:left w:val="single" w:color="auto" w:sz="4" w:space="0"/>
              <w:bottom w:val="single" w:color="auto" w:sz="8" w:space="0"/>
              <w:right w:val="single" w:color="auto" w:sz="4" w:space="0"/>
            </w:tcBorders>
            <w:vAlign w:val="center"/>
          </w:tcPr>
          <w:p w14:paraId="396C664A">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招标方式</w:t>
            </w:r>
          </w:p>
        </w:tc>
        <w:tc>
          <w:tcPr>
            <w:tcW w:w="7203" w:type="dxa"/>
            <w:tcBorders>
              <w:top w:val="single" w:color="auto" w:sz="8" w:space="0"/>
              <w:left w:val="single" w:color="auto" w:sz="4" w:space="0"/>
              <w:bottom w:val="single" w:color="auto" w:sz="8" w:space="0"/>
              <w:right w:val="single" w:color="auto" w:sz="8" w:space="0"/>
            </w:tcBorders>
            <w:vAlign w:val="center"/>
          </w:tcPr>
          <w:p w14:paraId="59739CC9">
            <w:pPr>
              <w:pStyle w:val="24"/>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kern w:val="0"/>
                <w:sz w:val="21"/>
                <w:szCs w:val="21"/>
                <w:highlight w:val="none"/>
              </w:rPr>
            </w:pPr>
            <w:r>
              <w:rPr>
                <w:rFonts w:hint="eastAsia" w:ascii="宋体" w:hAnsi="宋体" w:eastAsia="宋体" w:cs="宋体"/>
                <w:b/>
                <w:bCs w:val="0"/>
                <w:color w:val="auto"/>
                <w:sz w:val="21"/>
                <w:szCs w:val="21"/>
                <w:highlight w:val="none"/>
              </w:rPr>
              <w:t xml:space="preserve">公开招标(本项目采用网上电子招投标) </w:t>
            </w:r>
          </w:p>
        </w:tc>
      </w:tr>
      <w:tr w14:paraId="0DEE0E5F">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654"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203" w:type="dxa"/>
            <w:tcBorders>
              <w:top w:val="single" w:color="auto" w:sz="8" w:space="0"/>
              <w:left w:val="single" w:color="auto" w:sz="4" w:space="0"/>
              <w:bottom w:val="single" w:color="auto" w:sz="8" w:space="0"/>
              <w:right w:val="single" w:color="auto" w:sz="8" w:space="0"/>
            </w:tcBorders>
            <w:vAlign w:val="center"/>
          </w:tcPr>
          <w:p w14:paraId="455EC4D9">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本项目的</w:t>
            </w:r>
            <w:r>
              <w:rPr>
                <w:rFonts w:hint="eastAsia" w:ascii="宋体" w:hAnsi="宋体" w:eastAsia="宋体" w:cs="宋体"/>
                <w:color w:val="auto"/>
                <w:sz w:val="21"/>
                <w:szCs w:val="21"/>
                <w:highlight w:val="none"/>
                <w:lang w:val="en-US" w:eastAsia="zh-CN"/>
              </w:rPr>
              <w:t>最高限价</w:t>
            </w:r>
            <w:r>
              <w:rPr>
                <w:rFonts w:hint="eastAsia" w:ascii="宋体" w:hAnsi="宋体" w:eastAsia="宋体" w:cs="宋体"/>
                <w:color w:val="auto"/>
                <w:sz w:val="21"/>
                <w:szCs w:val="21"/>
                <w:highlight w:val="none"/>
              </w:rPr>
              <w:t>为基本费率</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审核成果费率</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%（审核成果费率</w:t>
            </w:r>
            <w:r>
              <w:rPr>
                <w:rFonts w:hint="eastAsia" w:ascii="宋体" w:hAnsi="宋体" w:eastAsia="宋体" w:cs="宋体"/>
                <w:color w:val="auto"/>
                <w:sz w:val="21"/>
                <w:szCs w:val="21"/>
                <w:highlight w:val="none"/>
                <w:lang w:val="en-US" w:eastAsia="zh-CN"/>
              </w:rPr>
              <w:t>为不可竞争费率，</w:t>
            </w:r>
            <w:r>
              <w:rPr>
                <w:rFonts w:hint="eastAsia" w:ascii="宋体" w:hAnsi="宋体" w:eastAsia="宋体" w:cs="宋体"/>
                <w:color w:val="auto"/>
                <w:sz w:val="21"/>
                <w:szCs w:val="21"/>
                <w:highlight w:val="none"/>
              </w:rPr>
              <w:t>固定不变）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基本费率由投标人自主报价，不得高于上述基本费率最高限价且不可以填报0或负数，</w:t>
            </w:r>
            <w:r>
              <w:rPr>
                <w:rFonts w:hint="eastAsia" w:ascii="宋体" w:hAnsi="宋体" w:eastAsia="宋体" w:cs="宋体"/>
                <w:color w:val="auto"/>
                <w:sz w:val="21"/>
                <w:szCs w:val="21"/>
                <w:highlight w:val="none"/>
                <w:lang w:eastAsia="zh-CN"/>
              </w:rPr>
              <w:t>否则按无效标处理。（投标报价费率要求精确到小数点后</w:t>
            </w:r>
            <w:r>
              <w:rPr>
                <w:rFonts w:hint="eastAsia" w:ascii="宋体" w:hAnsi="宋体" w:eastAsia="宋体" w:cs="宋体"/>
                <w:color w:val="auto"/>
                <w:sz w:val="21"/>
                <w:szCs w:val="21"/>
                <w:highlight w:val="none"/>
                <w:lang w:val="en-US" w:eastAsia="zh-CN"/>
              </w:rPr>
              <w:t>两位。</w:t>
            </w:r>
            <w:r>
              <w:rPr>
                <w:rFonts w:hint="eastAsia" w:ascii="宋体" w:hAnsi="宋体" w:eastAsia="宋体" w:cs="宋体"/>
                <w:color w:val="auto"/>
                <w:sz w:val="21"/>
                <w:szCs w:val="21"/>
                <w:highlight w:val="none"/>
                <w:lang w:eastAsia="zh-CN"/>
              </w:rPr>
              <w:t>）</w:t>
            </w:r>
          </w:p>
          <w:p w14:paraId="3F53467E">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5704048A">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无论任何原因（包含但不限于设计图纸变更等）导致的项目期限延长，委托人均不再增加</w:t>
            </w:r>
            <w:r>
              <w:rPr>
                <w:rFonts w:hint="eastAsia" w:ascii="宋体" w:hAnsi="宋体" w:eastAsia="宋体" w:cs="宋体"/>
                <w:color w:val="auto"/>
                <w:sz w:val="21"/>
                <w:szCs w:val="21"/>
                <w:highlight w:val="none"/>
                <w:lang w:val="en-US" w:eastAsia="zh-CN"/>
              </w:rPr>
              <w:t>审计服务</w:t>
            </w:r>
            <w:r>
              <w:rPr>
                <w:rFonts w:hint="eastAsia" w:ascii="宋体" w:hAnsi="宋体" w:eastAsia="宋体" w:cs="宋体"/>
                <w:color w:val="auto"/>
                <w:sz w:val="21"/>
                <w:szCs w:val="21"/>
                <w:highlight w:val="none"/>
              </w:rPr>
              <w:t>费用</w:t>
            </w:r>
            <w:r>
              <w:rPr>
                <w:rFonts w:hint="eastAsia" w:ascii="宋体" w:hAnsi="宋体" w:cs="宋体"/>
                <w:color w:val="auto"/>
                <w:sz w:val="21"/>
                <w:szCs w:val="21"/>
                <w:highlight w:val="none"/>
                <w:lang w:eastAsia="zh-CN"/>
              </w:rPr>
              <w:t>。</w:t>
            </w:r>
          </w:p>
          <w:p w14:paraId="77F81A81">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投标人须认真研究项目的招标文件，并仔细踏勘现场，若对</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有异议，应在投标答疑时向招标人提出</w:t>
            </w:r>
            <w:r>
              <w:rPr>
                <w:rFonts w:hint="eastAsia" w:ascii="宋体" w:hAnsi="宋体" w:eastAsia="宋体" w:cs="宋体"/>
                <w:color w:val="auto"/>
                <w:sz w:val="21"/>
                <w:szCs w:val="21"/>
                <w:highlight w:val="none"/>
                <w:lang w:eastAsia="zh-CN"/>
              </w:rPr>
              <w:t>。</w:t>
            </w:r>
          </w:p>
          <w:p w14:paraId="688F025F">
            <w:pPr>
              <w:keepNext w:val="0"/>
              <w:keepLines w:val="0"/>
              <w:pageBreakBefore w:val="0"/>
              <w:kinsoku/>
              <w:wordWrap/>
              <w:overflowPunct/>
              <w:topLinePunct w:val="0"/>
              <w:autoSpaceDE/>
              <w:autoSpaceDN/>
              <w:bidi w:val="0"/>
              <w:adjustRightInd/>
              <w:snapToGrid/>
              <w:spacing w:line="440" w:lineRule="exact"/>
              <w:ind w:left="57"/>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3、系统生成投标文件时系统默认费率单位为%，投标人可直接填写</w:t>
            </w:r>
            <w:r>
              <w:rPr>
                <w:rFonts w:hint="eastAsia" w:ascii="宋体" w:hAnsi="宋体" w:cs="宋体"/>
                <w:b/>
                <w:bCs/>
                <w:color w:val="auto"/>
                <w:sz w:val="21"/>
                <w:szCs w:val="21"/>
                <w:highlight w:val="none"/>
                <w:lang w:val="en-US" w:eastAsia="zh-CN"/>
              </w:rPr>
              <w:t>所报</w:t>
            </w:r>
            <w:r>
              <w:rPr>
                <w:rFonts w:hint="eastAsia" w:ascii="宋体" w:hAnsi="宋体" w:eastAsia="宋体" w:cs="宋体"/>
                <w:b/>
                <w:bCs/>
                <w:color w:val="auto"/>
                <w:sz w:val="21"/>
                <w:szCs w:val="21"/>
                <w:highlight w:val="none"/>
                <w:lang w:val="en-US" w:eastAsia="zh-CN"/>
              </w:rPr>
              <w:t>投标费率</w:t>
            </w:r>
            <w:r>
              <w:rPr>
                <w:rFonts w:hint="eastAsia" w:ascii="宋体" w:hAnsi="宋体" w:cs="宋体"/>
                <w:b/>
                <w:bCs/>
                <w:color w:val="auto"/>
                <w:sz w:val="21"/>
                <w:szCs w:val="21"/>
                <w:highlight w:val="none"/>
                <w:lang w:val="en-US" w:eastAsia="zh-CN"/>
              </w:rPr>
              <w:t>即可</w:t>
            </w:r>
            <w:r>
              <w:rPr>
                <w:rFonts w:hint="eastAsia" w:ascii="宋体" w:hAnsi="宋体" w:eastAsia="宋体" w:cs="宋体"/>
                <w:b/>
                <w:bCs/>
                <w:color w:val="auto"/>
                <w:sz w:val="21"/>
                <w:szCs w:val="21"/>
                <w:highlight w:val="none"/>
                <w:lang w:val="en-US" w:eastAsia="zh-CN"/>
              </w:rPr>
              <w:t>，无需考虑</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转</w:t>
            </w:r>
            <w:r>
              <w:rPr>
                <w:rFonts w:hint="eastAsia" w:ascii="宋体" w:hAnsi="宋体" w:cs="宋体"/>
                <w:b/>
                <w:bCs/>
                <w:color w:val="auto"/>
                <w:sz w:val="21"/>
                <w:szCs w:val="21"/>
                <w:highlight w:val="none"/>
                <w:lang w:val="en-US" w:eastAsia="zh-CN"/>
              </w:rPr>
              <w:t>化</w:t>
            </w:r>
            <w:r>
              <w:rPr>
                <w:rFonts w:hint="eastAsia" w:ascii="宋体" w:hAnsi="宋体" w:eastAsia="宋体" w:cs="宋体"/>
                <w:b/>
                <w:bCs/>
                <w:color w:val="auto"/>
                <w:sz w:val="21"/>
                <w:szCs w:val="21"/>
                <w:highlight w:val="none"/>
                <w:lang w:val="en-US" w:eastAsia="zh-CN"/>
              </w:rPr>
              <w:t>为%问题。</w:t>
            </w:r>
          </w:p>
        </w:tc>
      </w:tr>
      <w:tr w14:paraId="689F356F">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654" w:type="dxa"/>
            <w:tcBorders>
              <w:top w:val="single" w:color="auto" w:sz="8" w:space="0"/>
              <w:left w:val="single" w:color="auto" w:sz="4" w:space="0"/>
              <w:bottom w:val="single" w:color="auto" w:sz="8" w:space="0"/>
              <w:right w:val="single" w:color="auto" w:sz="4" w:space="0"/>
            </w:tcBorders>
            <w:vAlign w:val="center"/>
          </w:tcPr>
          <w:p w14:paraId="0CDB768E">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156BE6F6">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203"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kinsoku/>
              <w:wordWrap w:val="0"/>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如投标人对招标文件有疑问，请于202</w:t>
            </w:r>
            <w:r>
              <w:rPr>
                <w:rFonts w:hint="eastAsia" w:ascii="宋体" w:hAnsi="宋体" w:cs="宋体"/>
                <w:color w:val="auto"/>
                <w:spacing w:val="-4"/>
                <w:kern w:val="0"/>
                <w:sz w:val="21"/>
                <w:szCs w:val="21"/>
                <w:highlight w:val="none"/>
                <w:lang w:val="en-US" w:eastAsia="zh-CN"/>
              </w:rPr>
              <w:t>6</w:t>
            </w:r>
            <w:r>
              <w:rPr>
                <w:rFonts w:hint="eastAsia" w:ascii="宋体" w:hAnsi="宋体" w:eastAsia="宋体" w:cs="宋体"/>
                <w:color w:val="auto"/>
                <w:spacing w:val="-4"/>
                <w:kern w:val="0"/>
                <w:sz w:val="21"/>
                <w:szCs w:val="21"/>
                <w:highlight w:val="none"/>
              </w:rPr>
              <w:t>年</w:t>
            </w:r>
            <w:r>
              <w:rPr>
                <w:rFonts w:hint="eastAsia" w:ascii="宋体" w:hAnsi="宋体" w:cs="宋体"/>
                <w:color w:val="auto"/>
                <w:spacing w:val="-4"/>
                <w:kern w:val="0"/>
                <w:sz w:val="21"/>
                <w:szCs w:val="21"/>
                <w:highlight w:val="none"/>
                <w:lang w:val="en-US" w:eastAsia="zh-CN"/>
              </w:rPr>
              <w:t>4</w:t>
            </w:r>
            <w:r>
              <w:rPr>
                <w:rFonts w:hint="eastAsia" w:ascii="宋体" w:hAnsi="宋体" w:eastAsia="宋体" w:cs="宋体"/>
                <w:color w:val="auto"/>
                <w:spacing w:val="-4"/>
                <w:kern w:val="0"/>
                <w:sz w:val="21"/>
                <w:szCs w:val="21"/>
                <w:highlight w:val="none"/>
              </w:rPr>
              <w:t>月</w:t>
            </w:r>
            <w:r>
              <w:rPr>
                <w:rFonts w:hint="eastAsia" w:ascii="宋体" w:hAnsi="宋体" w:cs="宋体"/>
                <w:color w:val="auto"/>
                <w:spacing w:val="-4"/>
                <w:kern w:val="0"/>
                <w:sz w:val="21"/>
                <w:szCs w:val="21"/>
                <w:highlight w:val="none"/>
                <w:lang w:val="en-US" w:eastAsia="zh-CN"/>
              </w:rPr>
              <w:t>19</w:t>
            </w:r>
            <w:r>
              <w:rPr>
                <w:rFonts w:hint="eastAsia" w:ascii="宋体" w:hAnsi="宋体" w:eastAsia="宋体" w:cs="宋体"/>
                <w:color w:val="auto"/>
                <w:spacing w:val="-4"/>
                <w:kern w:val="0"/>
                <w:sz w:val="21"/>
                <w:szCs w:val="21"/>
                <w:highlight w:val="none"/>
              </w:rPr>
              <w:fldChar w:fldCharType="begin"/>
            </w:r>
            <w:r>
              <w:rPr>
                <w:rFonts w:hint="eastAsia" w:ascii="宋体" w:hAnsi="宋体" w:eastAsia="宋体" w:cs="宋体"/>
                <w:color w:val="auto"/>
                <w:spacing w:val="-4"/>
                <w:kern w:val="0"/>
                <w:sz w:val="21"/>
                <w:szCs w:val="21"/>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color w:val="auto"/>
                <w:spacing w:val="-4"/>
                <w:kern w:val="0"/>
                <w:sz w:val="21"/>
                <w:szCs w:val="21"/>
                <w:highlight w:val="none"/>
              </w:rPr>
              <w:fldChar w:fldCharType="separate"/>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时前</w:t>
            </w:r>
            <w:r>
              <w:rPr>
                <w:rFonts w:hint="eastAsia" w:ascii="宋体" w:hAnsi="宋体" w:eastAsia="宋体" w:cs="宋体"/>
                <w:color w:val="auto"/>
                <w:kern w:val="0"/>
                <w:sz w:val="21"/>
                <w:szCs w:val="21"/>
                <w:highlight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rPr>
              <w:t>，招标人将在202</w:t>
            </w:r>
            <w:r>
              <w:rPr>
                <w:rFonts w:hint="eastAsia" w:ascii="宋体" w:hAnsi="宋体" w:cs="宋体"/>
                <w:color w:val="auto"/>
                <w:spacing w:val="-4"/>
                <w:kern w:val="0"/>
                <w:sz w:val="21"/>
                <w:szCs w:val="21"/>
                <w:highlight w:val="none"/>
                <w:lang w:val="en-US" w:eastAsia="zh-CN"/>
              </w:rPr>
              <w:t>6</w:t>
            </w:r>
            <w:r>
              <w:rPr>
                <w:rFonts w:hint="eastAsia" w:ascii="宋体" w:hAnsi="宋体" w:eastAsia="宋体" w:cs="宋体"/>
                <w:color w:val="auto"/>
                <w:spacing w:val="-4"/>
                <w:kern w:val="0"/>
                <w:sz w:val="21"/>
                <w:szCs w:val="21"/>
                <w:highlight w:val="none"/>
              </w:rPr>
              <w:t>年</w:t>
            </w:r>
            <w:r>
              <w:rPr>
                <w:rFonts w:hint="eastAsia" w:ascii="宋体" w:hAnsi="宋体" w:cs="宋体"/>
                <w:color w:val="auto"/>
                <w:spacing w:val="-4"/>
                <w:kern w:val="0"/>
                <w:sz w:val="21"/>
                <w:szCs w:val="21"/>
                <w:highlight w:val="none"/>
                <w:lang w:val="en-US" w:eastAsia="zh-CN"/>
              </w:rPr>
              <w:t>4</w:t>
            </w:r>
            <w:r>
              <w:rPr>
                <w:rFonts w:hint="eastAsia" w:ascii="宋体" w:hAnsi="宋体" w:eastAsia="宋体" w:cs="宋体"/>
                <w:color w:val="auto"/>
                <w:spacing w:val="-4"/>
                <w:kern w:val="0"/>
                <w:sz w:val="21"/>
                <w:szCs w:val="21"/>
                <w:highlight w:val="none"/>
              </w:rPr>
              <w:t>月</w:t>
            </w:r>
            <w:r>
              <w:rPr>
                <w:rFonts w:hint="eastAsia" w:ascii="宋体" w:hAnsi="宋体" w:eastAsia="宋体" w:cs="宋体"/>
                <w:color w:val="auto"/>
                <w:spacing w:val="-4"/>
                <w:kern w:val="0"/>
                <w:sz w:val="21"/>
                <w:szCs w:val="21"/>
                <w:highlight w:val="none"/>
              </w:rPr>
              <w:fldChar w:fldCharType="end"/>
            </w:r>
            <w:r>
              <w:rPr>
                <w:rFonts w:hint="eastAsia" w:ascii="宋体" w:hAnsi="宋体" w:cs="宋体"/>
                <w:color w:val="auto"/>
                <w:spacing w:val="-4"/>
                <w:kern w:val="0"/>
                <w:sz w:val="21"/>
                <w:szCs w:val="21"/>
                <w:highlight w:val="none"/>
                <w:lang w:val="en-US" w:eastAsia="zh-CN"/>
              </w:rPr>
              <w:t>20</w:t>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654" w:type="dxa"/>
            <w:tcBorders>
              <w:top w:val="single" w:color="auto" w:sz="8" w:space="0"/>
              <w:left w:val="single" w:color="auto" w:sz="4" w:space="0"/>
              <w:bottom w:val="single" w:color="auto" w:sz="8" w:space="0"/>
              <w:right w:val="single" w:color="auto" w:sz="4" w:space="0"/>
            </w:tcBorders>
            <w:vAlign w:val="center"/>
          </w:tcPr>
          <w:p w14:paraId="0B644D17">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w:t>
            </w:r>
          </w:p>
        </w:tc>
        <w:tc>
          <w:tcPr>
            <w:tcW w:w="7203" w:type="dxa"/>
            <w:tcBorders>
              <w:top w:val="single" w:color="auto" w:sz="8" w:space="0"/>
              <w:left w:val="single" w:color="auto" w:sz="4" w:space="0"/>
              <w:bottom w:val="single" w:color="auto" w:sz="8" w:space="0"/>
              <w:right w:val="single" w:color="auto" w:sz="8" w:space="0"/>
            </w:tcBorders>
            <w:vAlign w:val="center"/>
          </w:tcPr>
          <w:p w14:paraId="0CB8330D">
            <w:pPr>
              <w:pStyle w:val="24"/>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654" w:type="dxa"/>
            <w:tcBorders>
              <w:top w:val="single" w:color="auto" w:sz="8" w:space="0"/>
              <w:left w:val="single" w:color="auto" w:sz="4" w:space="0"/>
              <w:bottom w:val="single" w:color="auto" w:sz="8" w:space="0"/>
              <w:right w:val="single" w:color="auto" w:sz="4" w:space="0"/>
            </w:tcBorders>
            <w:vAlign w:val="center"/>
          </w:tcPr>
          <w:p w14:paraId="32269176">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en-US" w:eastAsia="zh-CN"/>
              </w:rPr>
              <w:t>递交</w:t>
            </w:r>
          </w:p>
        </w:tc>
        <w:tc>
          <w:tcPr>
            <w:tcW w:w="7203"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kinsoku/>
              <w:wordWrap w:val="0"/>
              <w:overflowPunct/>
              <w:topLinePunct w:val="0"/>
              <w:autoSpaceDE/>
              <w:autoSpaceDN/>
              <w:bidi w:val="0"/>
              <w:adjustRightInd w:val="0"/>
              <w:snapToGrid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加密电子投标文件投标人应在投标截止时间前通过新点电子交易平台后在【滁州专区】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https://www.etrading.cn/BREpointSSO/login/oauth2login?regioncode=DQ_ChuZhou</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交易系统递交电子投标文件。</w:t>
            </w:r>
          </w:p>
          <w:p w14:paraId="6AD718D2">
            <w:pPr>
              <w:keepNext w:val="0"/>
              <w:keepLines w:val="0"/>
              <w:pageBreakBefore w:val="0"/>
              <w:widowControl/>
              <w:kinsoku/>
              <w:overflowPunct/>
              <w:topLinePunct w:val="0"/>
              <w:autoSpaceDE/>
              <w:autoSpaceDN/>
              <w:bidi w:val="0"/>
              <w:spacing w:line="440" w:lineRule="exact"/>
              <w:ind w:left="57"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rPr>
              <w:t>（投标人中标后须递交与网上电子投标文件完全一致的纸质版投标文件，并按要求加盖单位章；份数：正本</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b/>
                <w:color w:val="auto"/>
                <w:kern w:val="0"/>
                <w:sz w:val="21"/>
                <w:szCs w:val="21"/>
                <w:highlight w:val="none"/>
              </w:rPr>
              <w:t>份，副本</w:t>
            </w:r>
            <w:r>
              <w:rPr>
                <w:rFonts w:hint="eastAsia" w:ascii="宋体" w:hAnsi="宋体" w:eastAsia="宋体" w:cs="宋体"/>
                <w:b/>
                <w:color w:val="auto"/>
                <w:kern w:val="0"/>
                <w:sz w:val="21"/>
                <w:szCs w:val="21"/>
                <w:highlight w:val="none"/>
                <w:u w:val="single"/>
              </w:rPr>
              <w:t xml:space="preserve"> </w:t>
            </w:r>
            <w:r>
              <w:rPr>
                <w:rFonts w:hint="eastAsia" w:ascii="宋体" w:hAnsi="宋体" w:cs="宋体"/>
                <w:b/>
                <w:color w:val="auto"/>
                <w:kern w:val="0"/>
                <w:sz w:val="21"/>
                <w:szCs w:val="21"/>
                <w:highlight w:val="none"/>
                <w:u w:val="single"/>
                <w:lang w:val="en-US" w:eastAsia="zh-CN"/>
              </w:rPr>
              <w:t>2</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654" w:type="dxa"/>
            <w:tcBorders>
              <w:top w:val="single" w:color="auto" w:sz="8" w:space="0"/>
              <w:left w:val="single" w:color="auto" w:sz="4" w:space="0"/>
              <w:bottom w:val="single" w:color="auto" w:sz="8" w:space="0"/>
              <w:right w:val="single" w:color="auto" w:sz="4" w:space="0"/>
            </w:tcBorders>
            <w:vAlign w:val="center"/>
          </w:tcPr>
          <w:p w14:paraId="6AF10602">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203" w:type="dxa"/>
            <w:tcBorders>
              <w:top w:val="single" w:color="auto" w:sz="8" w:space="0"/>
              <w:left w:val="single" w:color="auto" w:sz="4" w:space="0"/>
              <w:bottom w:val="single" w:color="auto" w:sz="8" w:space="0"/>
              <w:right w:val="single" w:color="auto" w:sz="8" w:space="0"/>
            </w:tcBorders>
            <w:vAlign w:val="center"/>
          </w:tcPr>
          <w:p w14:paraId="4FCD2EB5">
            <w:pPr>
              <w:pStyle w:val="44"/>
              <w:keepNext w:val="0"/>
              <w:keepLines w:val="0"/>
              <w:pageBreakBefore w:val="0"/>
              <w:kinsoku/>
              <w:overflowPunct/>
              <w:topLinePunct w:val="0"/>
              <w:autoSpaceDE/>
              <w:autoSpaceDN/>
              <w:bidi w:val="0"/>
              <w:spacing w:line="440" w:lineRule="exact"/>
              <w:ind w:left="57" w:leftChars="0" w:firstLine="0" w:firstLineChars="0"/>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招标文件中“签章”是指签字或盖章。在“投标文件格式”中要求</w:t>
            </w:r>
            <w:r>
              <w:rPr>
                <w:rFonts w:hint="eastAsia" w:ascii="宋体" w:hAnsi="宋体" w:cs="宋体"/>
                <w:b/>
                <w:color w:val="auto"/>
                <w:kern w:val="0"/>
                <w:sz w:val="21"/>
                <w:szCs w:val="21"/>
                <w:highlight w:val="none"/>
                <w:lang w:val="en-US" w:eastAsia="zh-CN" w:bidi="ar-SA"/>
              </w:rPr>
              <w:t>单位</w:t>
            </w:r>
            <w:r>
              <w:rPr>
                <w:rFonts w:hint="eastAsia" w:ascii="宋体" w:hAnsi="宋体" w:eastAsia="宋体" w:cs="宋体"/>
                <w:b/>
                <w:color w:val="auto"/>
                <w:kern w:val="0"/>
                <w:sz w:val="21"/>
                <w:szCs w:val="21"/>
                <w:highlight w:val="none"/>
                <w:lang w:val="en-US" w:eastAsia="zh-CN" w:bidi="ar-SA"/>
              </w:rPr>
              <w:t>签章</w:t>
            </w:r>
            <w:r>
              <w:rPr>
                <w:rFonts w:hint="eastAsia" w:ascii="宋体" w:hAnsi="宋体" w:cs="宋体"/>
                <w:b/>
                <w:color w:val="auto"/>
                <w:kern w:val="0"/>
                <w:sz w:val="21"/>
                <w:szCs w:val="21"/>
                <w:highlight w:val="none"/>
                <w:lang w:val="en-US" w:eastAsia="zh-CN" w:bidi="ar-SA"/>
              </w:rPr>
              <w:t>的</w:t>
            </w:r>
            <w:r>
              <w:rPr>
                <w:rFonts w:hint="eastAsia" w:ascii="宋体" w:hAnsi="宋体" w:eastAsia="宋体" w:cs="宋体"/>
                <w:b/>
                <w:color w:val="auto"/>
                <w:kern w:val="0"/>
                <w:sz w:val="21"/>
                <w:szCs w:val="21"/>
                <w:highlight w:val="none"/>
                <w:lang w:val="en-US" w:eastAsia="zh-CN" w:bidi="ar-SA"/>
              </w:rPr>
              <w:t>，投标人应加盖投标人单位电子印章或直接上传加盖投标人单位印章原件彩色扫描件。</w:t>
            </w:r>
            <w:r>
              <w:rPr>
                <w:rFonts w:hint="eastAsia" w:ascii="宋体" w:hAnsi="宋体" w:cs="宋体"/>
                <w:b/>
                <w:color w:val="auto"/>
                <w:kern w:val="0"/>
                <w:sz w:val="21"/>
                <w:szCs w:val="21"/>
                <w:highlight w:val="none"/>
                <w:lang w:val="en-US" w:eastAsia="zh-CN" w:bidi="ar-SA"/>
              </w:rPr>
              <w:t>要求个人签章的，加盖相应人员</w:t>
            </w:r>
            <w:r>
              <w:rPr>
                <w:rFonts w:hint="eastAsia" w:ascii="宋体" w:hAnsi="宋体" w:eastAsia="宋体" w:cs="宋体"/>
                <w:b/>
                <w:color w:val="auto"/>
                <w:kern w:val="0"/>
                <w:sz w:val="21"/>
                <w:szCs w:val="21"/>
                <w:highlight w:val="none"/>
                <w:lang w:val="en-US" w:eastAsia="zh-CN" w:bidi="ar-SA"/>
              </w:rPr>
              <w:t>印章</w:t>
            </w:r>
            <w:r>
              <w:rPr>
                <w:rFonts w:hint="eastAsia" w:ascii="宋体" w:hAnsi="宋体" w:cs="宋体"/>
                <w:b/>
                <w:color w:val="auto"/>
                <w:kern w:val="0"/>
                <w:sz w:val="21"/>
                <w:szCs w:val="21"/>
                <w:highlight w:val="none"/>
                <w:lang w:val="en-US" w:eastAsia="zh-CN" w:bidi="ar-SA"/>
              </w:rPr>
              <w:t>（或电子印章）</w:t>
            </w:r>
            <w:r>
              <w:rPr>
                <w:rFonts w:hint="eastAsia" w:ascii="宋体" w:hAnsi="宋体" w:eastAsia="宋体" w:cs="宋体"/>
                <w:b/>
                <w:color w:val="auto"/>
                <w:kern w:val="0"/>
                <w:sz w:val="21"/>
                <w:szCs w:val="21"/>
                <w:highlight w:val="none"/>
                <w:lang w:val="en-US" w:eastAsia="zh-CN" w:bidi="ar-SA"/>
              </w:rPr>
              <w:t>或</w:t>
            </w:r>
            <w:r>
              <w:rPr>
                <w:rFonts w:hint="eastAsia" w:ascii="宋体" w:hAnsi="宋体" w:cs="宋体"/>
                <w:b/>
                <w:color w:val="auto"/>
                <w:kern w:val="0"/>
                <w:sz w:val="21"/>
                <w:szCs w:val="21"/>
                <w:highlight w:val="none"/>
                <w:lang w:val="en-US" w:eastAsia="zh-CN" w:bidi="ar-SA"/>
              </w:rPr>
              <w:t>相应人员</w:t>
            </w:r>
            <w:r>
              <w:rPr>
                <w:rFonts w:hint="eastAsia" w:ascii="宋体" w:hAnsi="宋体" w:eastAsia="宋体" w:cs="宋体"/>
                <w:b/>
                <w:color w:val="auto"/>
                <w:kern w:val="0"/>
                <w:sz w:val="21"/>
                <w:szCs w:val="21"/>
                <w:highlight w:val="none"/>
                <w:lang w:val="en-US" w:eastAsia="zh-CN" w:bidi="ar-SA"/>
              </w:rPr>
              <w:t>签字</w:t>
            </w:r>
            <w:r>
              <w:rPr>
                <w:rFonts w:hint="eastAsia" w:ascii="宋体" w:hAnsi="宋体" w:cs="宋体"/>
                <w:b/>
                <w:color w:val="auto"/>
                <w:kern w:val="0"/>
                <w:sz w:val="21"/>
                <w:szCs w:val="21"/>
                <w:highlight w:val="none"/>
                <w:lang w:val="en-US" w:eastAsia="zh-CN" w:bidi="ar-SA"/>
              </w:rPr>
              <w:t>均可。</w:t>
            </w:r>
          </w:p>
          <w:p w14:paraId="66A35DAC">
            <w:pPr>
              <w:keepNext w:val="0"/>
              <w:keepLines w:val="0"/>
              <w:pageBreakBefore w:val="0"/>
              <w:widowControl/>
              <w:kinsoku/>
              <w:overflowPunct/>
              <w:topLinePunct w:val="0"/>
              <w:autoSpaceDE/>
              <w:autoSpaceDN/>
              <w:bidi w:val="0"/>
              <w:spacing w:line="440" w:lineRule="exact"/>
              <w:ind w:left="57" w:firstLine="89" w:firstLineChars="42"/>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bidi="ar-SA"/>
              </w:rPr>
              <w:t>否则经评委会一致认定后，按照无效投标处理。</w:t>
            </w:r>
          </w:p>
        </w:tc>
      </w:tr>
      <w:tr w14:paraId="443033B5">
        <w:tblPrEx>
          <w:tblCellMar>
            <w:top w:w="0" w:type="dxa"/>
            <w:left w:w="0" w:type="dxa"/>
            <w:bottom w:w="0" w:type="dxa"/>
            <w:right w:w="0" w:type="dxa"/>
          </w:tblCellMar>
        </w:tblPrEx>
        <w:trPr>
          <w:trHeight w:val="1573" w:hRule="atLeast"/>
        </w:trPr>
        <w:tc>
          <w:tcPr>
            <w:tcW w:w="731"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13</w:t>
            </w:r>
          </w:p>
        </w:tc>
        <w:tc>
          <w:tcPr>
            <w:tcW w:w="1654" w:type="dxa"/>
            <w:tcBorders>
              <w:top w:val="single" w:color="auto" w:sz="8" w:space="0"/>
              <w:left w:val="single" w:color="auto" w:sz="4" w:space="0"/>
              <w:bottom w:val="single" w:color="auto" w:sz="8" w:space="0"/>
              <w:right w:val="single" w:color="auto" w:sz="4" w:space="0"/>
            </w:tcBorders>
            <w:vAlign w:val="center"/>
          </w:tcPr>
          <w:p w14:paraId="5C83C75F">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投标文件提交截止时间</w:t>
            </w:r>
          </w:p>
        </w:tc>
        <w:tc>
          <w:tcPr>
            <w:tcW w:w="7203" w:type="dxa"/>
            <w:tcBorders>
              <w:top w:val="single" w:color="auto" w:sz="8" w:space="0"/>
              <w:left w:val="single" w:color="auto" w:sz="4" w:space="0"/>
              <w:bottom w:val="single" w:color="auto" w:sz="8" w:space="0"/>
              <w:right w:val="single" w:color="auto" w:sz="8" w:space="0"/>
            </w:tcBorders>
            <w:vAlign w:val="center"/>
          </w:tcPr>
          <w:p w14:paraId="4AACE522">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网上递交投标文件截止时间：2026年</w:t>
            </w:r>
            <w:r>
              <w:rPr>
                <w:rFonts w:hint="eastAsia" w:ascii="宋体" w:hAnsi="宋体" w:cs="宋体"/>
                <w:color w:val="auto"/>
                <w:sz w:val="21"/>
                <w:szCs w:val="21"/>
                <w:highlight w:val="none"/>
                <w:lang w:eastAsia="zh-CN"/>
              </w:rPr>
              <w:t>4月22日15时</w:t>
            </w:r>
            <w:r>
              <w:rPr>
                <w:rFonts w:hint="eastAsia" w:ascii="宋体" w:hAnsi="宋体" w:eastAsia="宋体" w:cs="宋体"/>
                <w:color w:val="auto"/>
                <w:sz w:val="21"/>
                <w:szCs w:val="21"/>
                <w:highlight w:val="none"/>
              </w:rPr>
              <w:t>30分</w:t>
            </w:r>
            <w:r>
              <w:rPr>
                <w:rFonts w:hint="eastAsia" w:ascii="宋体" w:hAnsi="宋体" w:eastAsia="宋体" w:cs="宋体"/>
                <w:b/>
                <w:bCs/>
                <w:color w:val="auto"/>
                <w:sz w:val="21"/>
                <w:szCs w:val="21"/>
                <w:highlight w:val="none"/>
              </w:rPr>
              <w:t>（北京时间）</w:t>
            </w:r>
          </w:p>
          <w:p w14:paraId="6FF010F2">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注：以投标人在投标截止时间前网上递交的电子投标文件为准，逾期提交的，投标文件将被拒绝。</w:t>
            </w:r>
          </w:p>
          <w:p w14:paraId="2D17B673">
            <w:pPr>
              <w:keepNext w:val="0"/>
              <w:keepLines w:val="0"/>
              <w:pageBreakBefore w:val="0"/>
              <w:kinsoku/>
              <w:wordWrap w:val="0"/>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1.解密程序开始后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0分钟内（以本项目网上招投标系统解密倒计时为准）。</w:t>
            </w:r>
          </w:p>
        </w:tc>
      </w:tr>
      <w:tr w14:paraId="39CAD765">
        <w:tblPrEx>
          <w:tblCellMar>
            <w:top w:w="0" w:type="dxa"/>
            <w:left w:w="0" w:type="dxa"/>
            <w:bottom w:w="0" w:type="dxa"/>
            <w:right w:w="0" w:type="dxa"/>
          </w:tblCellMar>
        </w:tblPrEx>
        <w:trPr>
          <w:trHeight w:val="688" w:hRule="atLeast"/>
        </w:trPr>
        <w:tc>
          <w:tcPr>
            <w:tcW w:w="731"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654" w:type="dxa"/>
            <w:tcBorders>
              <w:top w:val="single" w:color="auto" w:sz="8" w:space="0"/>
              <w:left w:val="single" w:color="auto" w:sz="4" w:space="0"/>
              <w:bottom w:val="single" w:color="auto" w:sz="8" w:space="0"/>
              <w:right w:val="single" w:color="auto" w:sz="4" w:space="0"/>
            </w:tcBorders>
            <w:vAlign w:val="center"/>
          </w:tcPr>
          <w:p w14:paraId="03D51B63">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7203" w:type="dxa"/>
            <w:tcBorders>
              <w:top w:val="single" w:color="auto" w:sz="8" w:space="0"/>
              <w:left w:val="single" w:color="auto" w:sz="4" w:space="0"/>
              <w:bottom w:val="single" w:color="auto" w:sz="8" w:space="0"/>
              <w:right w:val="single" w:color="auto" w:sz="8" w:space="0"/>
            </w:tcBorders>
            <w:vAlign w:val="center"/>
          </w:tcPr>
          <w:p w14:paraId="626B5B3B">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66A8CA8">
        <w:tblPrEx>
          <w:tblCellMar>
            <w:top w:w="0" w:type="dxa"/>
            <w:left w:w="0" w:type="dxa"/>
            <w:bottom w:w="0" w:type="dxa"/>
            <w:right w:w="0" w:type="dxa"/>
          </w:tblCellMar>
        </w:tblPrEx>
        <w:trPr>
          <w:trHeight w:val="544" w:hRule="atLeast"/>
        </w:trPr>
        <w:tc>
          <w:tcPr>
            <w:tcW w:w="731"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15</w:t>
            </w:r>
          </w:p>
        </w:tc>
        <w:tc>
          <w:tcPr>
            <w:tcW w:w="1654" w:type="dxa"/>
            <w:tcBorders>
              <w:top w:val="single" w:color="auto" w:sz="8" w:space="0"/>
              <w:left w:val="single" w:color="auto" w:sz="4" w:space="0"/>
              <w:bottom w:val="single" w:color="auto" w:sz="8" w:space="0"/>
              <w:right w:val="single" w:color="auto" w:sz="4" w:space="0"/>
            </w:tcBorders>
            <w:vAlign w:val="center"/>
          </w:tcPr>
          <w:p w14:paraId="53C0A74C">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开标时间及地点</w:t>
            </w:r>
          </w:p>
        </w:tc>
        <w:tc>
          <w:tcPr>
            <w:tcW w:w="7203" w:type="dxa"/>
            <w:tcBorders>
              <w:top w:val="single" w:color="auto" w:sz="8" w:space="0"/>
              <w:left w:val="single" w:color="auto" w:sz="4" w:space="0"/>
              <w:bottom w:val="single" w:color="auto" w:sz="8" w:space="0"/>
              <w:right w:val="single" w:color="auto" w:sz="8" w:space="0"/>
            </w:tcBorders>
            <w:vAlign w:val="center"/>
          </w:tcPr>
          <w:p w14:paraId="18B45F6F">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见招标公告</w:t>
            </w:r>
          </w:p>
        </w:tc>
      </w:tr>
      <w:tr w14:paraId="076992A3">
        <w:tblPrEx>
          <w:tblCellMar>
            <w:top w:w="0" w:type="dxa"/>
            <w:left w:w="0" w:type="dxa"/>
            <w:bottom w:w="0" w:type="dxa"/>
            <w:right w:w="0" w:type="dxa"/>
          </w:tblCellMar>
        </w:tblPrEx>
        <w:trPr>
          <w:trHeight w:val="445" w:hRule="atLeast"/>
        </w:trPr>
        <w:tc>
          <w:tcPr>
            <w:tcW w:w="731"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16</w:t>
            </w:r>
          </w:p>
        </w:tc>
        <w:tc>
          <w:tcPr>
            <w:tcW w:w="1654" w:type="dxa"/>
            <w:tcBorders>
              <w:top w:val="single" w:color="auto" w:sz="8" w:space="0"/>
              <w:left w:val="single" w:color="auto" w:sz="4" w:space="0"/>
              <w:bottom w:val="single" w:color="auto" w:sz="8" w:space="0"/>
              <w:right w:val="single" w:color="auto" w:sz="4" w:space="0"/>
            </w:tcBorders>
            <w:vAlign w:val="center"/>
          </w:tcPr>
          <w:p w14:paraId="57F847A2">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开标程序</w:t>
            </w:r>
          </w:p>
        </w:tc>
        <w:tc>
          <w:tcPr>
            <w:tcW w:w="7203" w:type="dxa"/>
            <w:tcBorders>
              <w:top w:val="single" w:color="auto" w:sz="8" w:space="0"/>
              <w:left w:val="single" w:color="auto" w:sz="4" w:space="0"/>
              <w:bottom w:val="single" w:color="auto" w:sz="8" w:space="0"/>
              <w:right w:val="single" w:color="auto" w:sz="8" w:space="0"/>
            </w:tcBorders>
            <w:vAlign w:val="center"/>
          </w:tcPr>
          <w:p w14:paraId="476CEA77">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开标顺序：解密电子投标文件后，由评标委员会评审。</w:t>
            </w:r>
          </w:p>
        </w:tc>
      </w:tr>
      <w:tr w14:paraId="6EC3DC31">
        <w:tblPrEx>
          <w:tblCellMar>
            <w:top w:w="0" w:type="dxa"/>
            <w:left w:w="0" w:type="dxa"/>
            <w:bottom w:w="0" w:type="dxa"/>
            <w:right w:w="0" w:type="dxa"/>
          </w:tblCellMar>
        </w:tblPrEx>
        <w:trPr>
          <w:trHeight w:val="786" w:hRule="atLeast"/>
        </w:trPr>
        <w:tc>
          <w:tcPr>
            <w:tcW w:w="731"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17</w:t>
            </w:r>
          </w:p>
        </w:tc>
        <w:tc>
          <w:tcPr>
            <w:tcW w:w="1654" w:type="dxa"/>
            <w:tcBorders>
              <w:top w:val="single" w:color="auto" w:sz="8" w:space="0"/>
              <w:left w:val="single" w:color="auto" w:sz="4" w:space="0"/>
              <w:bottom w:val="single" w:color="auto" w:sz="8" w:space="0"/>
              <w:right w:val="single" w:color="auto" w:sz="4" w:space="0"/>
            </w:tcBorders>
            <w:vAlign w:val="center"/>
          </w:tcPr>
          <w:p w14:paraId="5CB513ED">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203" w:type="dxa"/>
            <w:tcBorders>
              <w:top w:val="single" w:color="auto" w:sz="8" w:space="0"/>
              <w:left w:val="single" w:color="auto" w:sz="4" w:space="0"/>
              <w:bottom w:val="single" w:color="auto" w:sz="8" w:space="0"/>
              <w:right w:val="single" w:color="auto" w:sz="8" w:space="0"/>
            </w:tcBorders>
            <w:vAlign w:val="top"/>
          </w:tcPr>
          <w:p w14:paraId="4FB4DBB5">
            <w:pPr>
              <w:pStyle w:val="157"/>
              <w:keepNext w:val="0"/>
              <w:keepLines w:val="0"/>
              <w:pageBreakBefore w:val="0"/>
              <w:kinsoku/>
              <w:overflowPunct/>
              <w:topLinePunct w:val="0"/>
              <w:autoSpaceDE/>
              <w:autoSpaceDN/>
              <w:bidi w:val="0"/>
              <w:adjustRightInd/>
              <w:snapToGrid/>
              <w:spacing w:line="440" w:lineRule="exact"/>
              <w:ind w:left="5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w:t>
            </w:r>
            <w:r>
              <w:rPr>
                <w:rFonts w:hint="eastAsia" w:ascii="宋体" w:hAnsi="宋体" w:eastAsia="宋体" w:cs="宋体"/>
                <w:color w:val="auto"/>
                <w:sz w:val="21"/>
                <w:szCs w:val="21"/>
                <w:highlight w:val="none"/>
                <w:lang w:val="en-US" w:eastAsia="zh-CN"/>
              </w:rPr>
              <w:t>招标人依法组建</w:t>
            </w:r>
            <w:r>
              <w:rPr>
                <w:rFonts w:hint="eastAsia" w:ascii="宋体" w:hAnsi="宋体" w:eastAsia="宋体" w:cs="宋体"/>
                <w:color w:val="auto"/>
                <w:sz w:val="21"/>
                <w:szCs w:val="21"/>
                <w:highlight w:val="none"/>
              </w:rPr>
              <w:t>；</w:t>
            </w:r>
          </w:p>
          <w:p w14:paraId="6B4E98E9">
            <w:pPr>
              <w:pStyle w:val="24"/>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评标专家确定方式：专家评委由采购人在开标前从专家库中随机抽取。</w:t>
            </w:r>
          </w:p>
        </w:tc>
      </w:tr>
      <w:tr w14:paraId="02D6C8AD">
        <w:tblPrEx>
          <w:tblCellMar>
            <w:top w:w="0" w:type="dxa"/>
            <w:left w:w="0" w:type="dxa"/>
            <w:bottom w:w="0" w:type="dxa"/>
            <w:right w:w="0" w:type="dxa"/>
          </w:tblCellMar>
        </w:tblPrEx>
        <w:trPr>
          <w:trHeight w:val="786" w:hRule="atLeast"/>
        </w:trPr>
        <w:tc>
          <w:tcPr>
            <w:tcW w:w="731"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18</w:t>
            </w:r>
          </w:p>
        </w:tc>
        <w:tc>
          <w:tcPr>
            <w:tcW w:w="1654" w:type="dxa"/>
            <w:tcBorders>
              <w:top w:val="single" w:color="auto" w:sz="8" w:space="0"/>
              <w:left w:val="single" w:color="auto" w:sz="4" w:space="0"/>
              <w:bottom w:val="single" w:color="auto" w:sz="8" w:space="0"/>
              <w:right w:val="single" w:color="auto" w:sz="4" w:space="0"/>
            </w:tcBorders>
            <w:vAlign w:val="center"/>
          </w:tcPr>
          <w:p w14:paraId="289798AF">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7203" w:type="dxa"/>
            <w:tcBorders>
              <w:top w:val="single" w:color="auto" w:sz="8" w:space="0"/>
              <w:left w:val="single" w:color="auto" w:sz="4" w:space="0"/>
              <w:bottom w:val="single" w:color="auto" w:sz="8" w:space="0"/>
              <w:right w:val="single" w:color="auto" w:sz="8" w:space="0"/>
            </w:tcBorders>
            <w:vAlign w:val="center"/>
          </w:tcPr>
          <w:p w14:paraId="50C3E122">
            <w:pPr>
              <w:pStyle w:val="24"/>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评标委员会推荐</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2</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名中标候选人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并标明排序</w:t>
            </w:r>
            <w:r>
              <w:rPr>
                <w:rFonts w:hint="eastAsia" w:ascii="宋体" w:hAnsi="宋体" w:eastAsia="宋体" w:cs="宋体"/>
                <w:color w:val="auto"/>
                <w:sz w:val="21"/>
                <w:szCs w:val="21"/>
                <w:highlight w:val="none"/>
              </w:rPr>
              <w:t>。</w:t>
            </w:r>
          </w:p>
        </w:tc>
      </w:tr>
      <w:tr w14:paraId="191E86E8">
        <w:tblPrEx>
          <w:tblCellMar>
            <w:top w:w="0" w:type="dxa"/>
            <w:left w:w="0" w:type="dxa"/>
            <w:bottom w:w="0" w:type="dxa"/>
            <w:right w:w="0" w:type="dxa"/>
          </w:tblCellMar>
        </w:tblPrEx>
        <w:trPr>
          <w:trHeight w:val="786" w:hRule="atLeast"/>
        </w:trPr>
        <w:tc>
          <w:tcPr>
            <w:tcW w:w="731"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19</w:t>
            </w:r>
          </w:p>
        </w:tc>
        <w:tc>
          <w:tcPr>
            <w:tcW w:w="1654" w:type="dxa"/>
            <w:tcBorders>
              <w:top w:val="single" w:color="auto" w:sz="8" w:space="0"/>
              <w:left w:val="single" w:color="auto" w:sz="4" w:space="0"/>
              <w:bottom w:val="single" w:color="auto" w:sz="8" w:space="0"/>
              <w:right w:val="single" w:color="auto" w:sz="4" w:space="0"/>
            </w:tcBorders>
            <w:vAlign w:val="center"/>
          </w:tcPr>
          <w:p w14:paraId="77F75070">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中标结果公告媒介</w:t>
            </w:r>
          </w:p>
        </w:tc>
        <w:tc>
          <w:tcPr>
            <w:tcW w:w="7203" w:type="dxa"/>
            <w:tcBorders>
              <w:top w:val="single" w:color="auto" w:sz="8" w:space="0"/>
              <w:left w:val="single" w:color="auto" w:sz="4" w:space="0"/>
              <w:bottom w:val="single" w:color="auto" w:sz="8" w:space="0"/>
              <w:right w:val="single" w:color="auto" w:sz="8" w:space="0"/>
            </w:tcBorders>
            <w:vAlign w:val="top"/>
          </w:tcPr>
          <w:p w14:paraId="2F0DB711">
            <w:pPr>
              <w:pStyle w:val="24"/>
              <w:keepNext w:val="0"/>
              <w:keepLines w:val="0"/>
              <w:pageBreakBefore w:val="0"/>
              <w:kinsoku/>
              <w:wordWrap w:val="0"/>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滁州市重点工程建设管理处（http://zdc.chuzhou.gov.cn/）</w:t>
            </w:r>
            <w:r>
              <w:rPr>
                <w:rFonts w:hint="eastAsia" w:ascii="宋体" w:hAnsi="宋体" w:eastAsia="宋体" w:cs="宋体"/>
                <w:color w:val="auto"/>
                <w:spacing w:val="-4"/>
                <w:sz w:val="21"/>
                <w:szCs w:val="21"/>
                <w:highlight w:val="none"/>
              </w:rPr>
              <w:t>等网站</w:t>
            </w:r>
          </w:p>
        </w:tc>
      </w:tr>
      <w:tr w14:paraId="6EA640C0">
        <w:tblPrEx>
          <w:tblCellMar>
            <w:top w:w="0" w:type="dxa"/>
            <w:left w:w="0" w:type="dxa"/>
            <w:bottom w:w="0" w:type="dxa"/>
            <w:right w:w="0" w:type="dxa"/>
          </w:tblCellMar>
        </w:tblPrEx>
        <w:trPr>
          <w:trHeight w:val="478" w:hRule="atLeast"/>
        </w:trPr>
        <w:tc>
          <w:tcPr>
            <w:tcW w:w="731"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20</w:t>
            </w:r>
          </w:p>
        </w:tc>
        <w:tc>
          <w:tcPr>
            <w:tcW w:w="1654" w:type="dxa"/>
            <w:tcBorders>
              <w:top w:val="single" w:color="auto" w:sz="8" w:space="0"/>
              <w:left w:val="single" w:color="auto" w:sz="4" w:space="0"/>
              <w:bottom w:val="single" w:color="auto" w:sz="8" w:space="0"/>
              <w:right w:val="single" w:color="auto" w:sz="4" w:space="0"/>
            </w:tcBorders>
            <w:vAlign w:val="center"/>
          </w:tcPr>
          <w:p w14:paraId="5C02703D">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203" w:type="dxa"/>
            <w:tcBorders>
              <w:top w:val="single" w:color="auto" w:sz="8" w:space="0"/>
              <w:left w:val="single" w:color="auto" w:sz="4" w:space="0"/>
              <w:bottom w:val="single" w:color="auto" w:sz="8" w:space="0"/>
              <w:right w:val="single" w:color="auto" w:sz="8" w:space="0"/>
            </w:tcBorders>
            <w:vAlign w:val="center"/>
          </w:tcPr>
          <w:p w14:paraId="492E7E00">
            <w:pPr>
              <w:keepNext w:val="0"/>
              <w:keepLines w:val="0"/>
              <w:pageBreakBefore w:val="0"/>
              <w:widowControl/>
              <w:kinsoku/>
              <w:overflowPunct/>
              <w:topLinePunct w:val="0"/>
              <w:autoSpaceDE/>
              <w:autoSpaceDN/>
              <w:bidi w:val="0"/>
              <w:spacing w:line="440" w:lineRule="exact"/>
              <w:ind w:left="5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是否收取履约担保：□收取，</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不收取</w:t>
            </w:r>
          </w:p>
        </w:tc>
      </w:tr>
      <w:tr w14:paraId="53B9F13B">
        <w:tblPrEx>
          <w:tblCellMar>
            <w:top w:w="0" w:type="dxa"/>
            <w:left w:w="0" w:type="dxa"/>
            <w:bottom w:w="0" w:type="dxa"/>
            <w:right w:w="0" w:type="dxa"/>
          </w:tblCellMar>
        </w:tblPrEx>
        <w:trPr>
          <w:trHeight w:val="478" w:hRule="atLeast"/>
        </w:trPr>
        <w:tc>
          <w:tcPr>
            <w:tcW w:w="9588" w:type="dxa"/>
            <w:gridSpan w:val="3"/>
            <w:tcBorders>
              <w:top w:val="single" w:color="auto" w:sz="8" w:space="0"/>
              <w:left w:val="single" w:color="auto" w:sz="8" w:space="0"/>
              <w:bottom w:val="single" w:color="auto" w:sz="8" w:space="0"/>
              <w:right w:val="single" w:color="auto" w:sz="8" w:space="0"/>
            </w:tcBorders>
            <w:vAlign w:val="center"/>
          </w:tcPr>
          <w:p w14:paraId="0FD01F5C">
            <w:pPr>
              <w:keepNext w:val="0"/>
              <w:keepLines w:val="0"/>
              <w:pageBreakBefore w:val="0"/>
              <w:widowControl/>
              <w:kinsoku/>
              <w:overflowPunct/>
              <w:topLinePunct w:val="0"/>
              <w:autoSpaceDE/>
              <w:autoSpaceDN/>
              <w:bidi w:val="0"/>
              <w:spacing w:line="440" w:lineRule="exact"/>
              <w:ind w:left="57"/>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需要补充的其他内容</w:t>
            </w:r>
          </w:p>
        </w:tc>
      </w:tr>
      <w:tr w14:paraId="54EFCC42">
        <w:tblPrEx>
          <w:tblCellMar>
            <w:top w:w="0" w:type="dxa"/>
            <w:left w:w="0" w:type="dxa"/>
            <w:bottom w:w="0" w:type="dxa"/>
            <w:right w:w="0" w:type="dxa"/>
          </w:tblCellMar>
        </w:tblPrEx>
        <w:trPr>
          <w:trHeight w:val="478"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5A46107E">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电子招标投标</w:t>
            </w:r>
          </w:p>
        </w:tc>
        <w:tc>
          <w:tcPr>
            <w:tcW w:w="7203" w:type="dxa"/>
            <w:tcBorders>
              <w:top w:val="single" w:color="auto" w:sz="8" w:space="0"/>
              <w:left w:val="single" w:color="auto" w:sz="4" w:space="0"/>
              <w:bottom w:val="single" w:color="auto" w:sz="8" w:space="0"/>
              <w:right w:val="single" w:color="auto" w:sz="8" w:space="0"/>
            </w:tcBorders>
            <w:vAlign w:val="center"/>
          </w:tcPr>
          <w:p w14:paraId="042E25F9">
            <w:pPr>
              <w:keepNext w:val="0"/>
              <w:keepLines w:val="0"/>
              <w:pageBreakBefore w:val="0"/>
              <w:kinsoku/>
              <w:overflowPunct/>
              <w:topLinePunct w:val="0"/>
              <w:autoSpaceDE/>
              <w:autoSpaceDN/>
              <w:bidi w:val="0"/>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1140AE85">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41EEFE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限制投标情形</w:t>
            </w:r>
          </w:p>
        </w:tc>
        <w:tc>
          <w:tcPr>
            <w:tcW w:w="7203" w:type="dxa"/>
            <w:tcBorders>
              <w:top w:val="single" w:color="auto" w:sz="8" w:space="0"/>
              <w:left w:val="single" w:color="auto" w:sz="4" w:space="0"/>
              <w:bottom w:val="single" w:color="auto" w:sz="8" w:space="0"/>
              <w:right w:val="single" w:color="auto" w:sz="8" w:space="0"/>
            </w:tcBorders>
            <w:vAlign w:val="center"/>
          </w:tcPr>
          <w:p w14:paraId="544763DD">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1.限制近两年内在承接我单位工程造价、审计结算等业务过程中，因工作疏漏对我单位产生不良影响的咨询公司参加投标。</w:t>
            </w:r>
          </w:p>
          <w:p w14:paraId="148E1483">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2.在我处限制承揽业务期限内的企业不予参加。</w:t>
            </w:r>
          </w:p>
          <w:p w14:paraId="6543D70B">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3.被市重点处列入“不良行为企业名单”和“暂停委托项目跟踪审计的工程造价咨询企业名单”的单位不得参加。</w:t>
            </w:r>
          </w:p>
          <w:p w14:paraId="5F2A2E55">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4.本项目招标代理单位、清单控制价编制单位及监理单位不得参加投标。</w:t>
            </w:r>
          </w:p>
        </w:tc>
      </w:tr>
      <w:tr w14:paraId="234C8D6C">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359C7E4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203" w:type="dxa"/>
            <w:tcBorders>
              <w:top w:val="single" w:color="auto" w:sz="8" w:space="0"/>
              <w:left w:val="single" w:color="auto" w:sz="4" w:space="0"/>
              <w:bottom w:val="single" w:color="auto" w:sz="8" w:space="0"/>
              <w:right w:val="single" w:color="auto" w:sz="8" w:space="0"/>
            </w:tcBorders>
            <w:vAlign w:val="center"/>
          </w:tcPr>
          <w:p w14:paraId="7ED64295">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1、项目建设期间，相关部门将对跟踪审计工作进行不定期检查，如发现有不符合《跟踪审计委托协议》相关工作要求的行为，我处将按照约定给予相应的处罚。</w:t>
            </w:r>
          </w:p>
          <w:p w14:paraId="6D70A519">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2、我单位将严格执行《工程造价咨询服务管理办法》。</w:t>
            </w:r>
          </w:p>
          <w:p w14:paraId="1470349C">
            <w:pPr>
              <w:pStyle w:val="44"/>
              <w:keepNext w:val="0"/>
              <w:keepLines w:val="0"/>
              <w:pageBreakBefore w:val="0"/>
              <w:kinsoku/>
              <w:overflowPunct/>
              <w:topLinePunct w:val="0"/>
              <w:autoSpaceDE/>
              <w:autoSpaceDN/>
              <w:bidi w:val="0"/>
              <w:spacing w:line="440" w:lineRule="exact"/>
              <w:ind w:left="57" w:leftChars="0" w:firstLine="0" w:firstLineChars="0"/>
              <w:textAlignment w:val="auto"/>
              <w:rPr>
                <w:rFonts w:hint="default"/>
                <w:b/>
                <w:bCs/>
                <w:color w:val="auto"/>
                <w:highlight w:val="none"/>
                <w:lang w:val="en-US" w:eastAsia="zh-CN"/>
              </w:rPr>
            </w:pPr>
            <w:r>
              <w:rPr>
                <w:rFonts w:hint="eastAsia" w:ascii="宋体" w:hAnsi="宋体" w:cs="宋体"/>
                <w:b/>
                <w:bCs/>
                <w:color w:val="auto"/>
                <w:kern w:val="0"/>
                <w:sz w:val="21"/>
                <w:szCs w:val="21"/>
                <w:highlight w:val="none"/>
                <w:lang w:val="en-US" w:eastAsia="zh-CN"/>
              </w:rPr>
              <w:t>3、本项目</w:t>
            </w:r>
            <w:r>
              <w:rPr>
                <w:rFonts w:hint="eastAsia" w:ascii="宋体" w:hAnsi="宋体" w:eastAsia="宋体" w:cs="宋体"/>
                <w:b/>
                <w:bCs/>
                <w:color w:val="auto"/>
                <w:kern w:val="0"/>
                <w:sz w:val="21"/>
                <w:szCs w:val="21"/>
                <w:highlight w:val="none"/>
                <w:lang w:val="en-US" w:eastAsia="zh-CN"/>
              </w:rPr>
              <w:t>服务费结算款仅支付给中标单位，不支持支付给授权的分公司、子公司等分支机构。（请款</w:t>
            </w:r>
            <w:r>
              <w:rPr>
                <w:rFonts w:hint="eastAsia" w:ascii="宋体" w:hAnsi="宋体" w:cs="宋体"/>
                <w:b/>
                <w:bCs/>
                <w:color w:val="auto"/>
                <w:kern w:val="0"/>
                <w:sz w:val="21"/>
                <w:szCs w:val="21"/>
                <w:highlight w:val="none"/>
                <w:lang w:val="en-US" w:eastAsia="zh-CN"/>
              </w:rPr>
              <w:t>所提供的发票名称须与中标单位名称保持一致）。</w:t>
            </w:r>
          </w:p>
          <w:p w14:paraId="549DC940">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中标单位项目组人员变更，变更后人员必须满足本项目招标要求。由中标单位向综合计划科提出申请并提供相应证明，由中标单位向业主单位提出申请并提供相应证明，业主单位会商提出意见，报业主单位领导批准后予以备案。</w:t>
            </w:r>
          </w:p>
          <w:p w14:paraId="589A0E2D">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E099D79">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203" w:type="dxa"/>
            <w:tcBorders>
              <w:top w:val="single" w:color="auto" w:sz="8" w:space="0"/>
              <w:left w:val="single" w:color="auto" w:sz="4" w:space="0"/>
              <w:bottom w:val="single" w:color="auto" w:sz="8" w:space="0"/>
              <w:right w:val="single" w:color="auto" w:sz="8" w:space="0"/>
            </w:tcBorders>
            <w:vAlign w:val="center"/>
          </w:tcPr>
          <w:p w14:paraId="67DB5D0C">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出具审核报告，经招标人审查备案通过后，按照备案金额为基数结算支付审计服务费用。（注：发包人请款额度须在政府资金调度会批准且发票送达后完成支付）。</w:t>
            </w:r>
          </w:p>
        </w:tc>
      </w:tr>
      <w:tr w14:paraId="25B900FF">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招标代理费及专家评审费</w:t>
            </w:r>
          </w:p>
        </w:tc>
        <w:tc>
          <w:tcPr>
            <w:tcW w:w="7203" w:type="dxa"/>
            <w:tcBorders>
              <w:top w:val="single" w:color="auto" w:sz="8" w:space="0"/>
              <w:left w:val="single" w:color="auto" w:sz="4" w:space="0"/>
              <w:bottom w:val="single" w:color="auto" w:sz="8" w:space="0"/>
              <w:right w:val="single" w:color="auto" w:sz="8" w:space="0"/>
            </w:tcBorders>
            <w:vAlign w:val="center"/>
          </w:tcPr>
          <w:p w14:paraId="63D232A1">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本项目招标代理服务费用</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en-US" w:eastAsia="zh-CN"/>
              </w:rPr>
              <w:t>元，专家评审费另计（最终以实际发生为准</w:t>
            </w:r>
            <w:r>
              <w:rPr>
                <w:rFonts w:hint="eastAsia" w:ascii="宋体" w:hAnsi="宋体" w:cs="宋体"/>
                <w:color w:val="auto"/>
                <w:kern w:val="0"/>
                <w:sz w:val="21"/>
                <w:szCs w:val="21"/>
                <w:highlight w:val="none"/>
                <w:lang w:val="en-US" w:eastAsia="zh-CN"/>
              </w:rPr>
              <w:t>，约1240元</w:t>
            </w:r>
            <w:r>
              <w:rPr>
                <w:rFonts w:hint="eastAsia" w:ascii="宋体" w:hAnsi="宋体" w:eastAsia="宋体" w:cs="宋体"/>
                <w:color w:val="auto"/>
                <w:kern w:val="0"/>
                <w:sz w:val="21"/>
                <w:szCs w:val="21"/>
                <w:highlight w:val="none"/>
                <w:lang w:val="en-US" w:eastAsia="zh-CN"/>
              </w:rPr>
              <w:t>），中标单位在领取中标通知书前一次性支付给代理公司</w:t>
            </w:r>
            <w:r>
              <w:rPr>
                <w:rFonts w:hint="eastAsia" w:ascii="宋体" w:hAnsi="宋体" w:eastAsia="宋体" w:cs="宋体"/>
                <w:b/>
                <w:bCs/>
                <w:color w:val="auto"/>
                <w:kern w:val="0"/>
                <w:sz w:val="21"/>
                <w:szCs w:val="21"/>
                <w:highlight w:val="none"/>
                <w:lang w:val="en-US" w:eastAsia="zh-CN"/>
              </w:rPr>
              <w:t>。</w:t>
            </w:r>
          </w:p>
        </w:tc>
      </w:tr>
      <w:tr w14:paraId="6C5E33CA">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DBB6D63">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sz w:val="21"/>
                <w:szCs w:val="21"/>
                <w:highlight w:val="none"/>
              </w:rPr>
              <w:t>评标过程中的澄清、说明或补正</w:t>
            </w:r>
          </w:p>
        </w:tc>
        <w:tc>
          <w:tcPr>
            <w:tcW w:w="7203"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）评标委员会通过</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系统将需要澄清、说明或补正的内容以询标函的形式发送给投标人，投标人应安排专人登录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系统并保持在线状态，以便及时接收评标委员会可能发出的询标函。</w:t>
            </w:r>
          </w:p>
          <w:p w14:paraId="6C77080F">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）因投标人未登录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2410C0F2">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705F4D2">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bookmarkStart w:id="42" w:name="_Toc13663"/>
            <w:bookmarkStart w:id="43" w:name="_Toc515"/>
            <w:r>
              <w:rPr>
                <w:rFonts w:hint="eastAsia" w:ascii="宋体" w:hAnsi="宋体" w:eastAsia="宋体" w:cs="宋体"/>
                <w:color w:val="auto"/>
                <w:sz w:val="21"/>
                <w:szCs w:val="21"/>
                <w:highlight w:val="none"/>
              </w:rPr>
              <w:t>解释权</w:t>
            </w:r>
          </w:p>
        </w:tc>
        <w:tc>
          <w:tcPr>
            <w:tcW w:w="7203" w:type="dxa"/>
            <w:tcBorders>
              <w:top w:val="single" w:color="auto" w:sz="8" w:space="0"/>
              <w:left w:val="single" w:color="auto" w:sz="4" w:space="0"/>
              <w:bottom w:val="single" w:color="auto" w:sz="8" w:space="0"/>
              <w:right w:val="single" w:color="auto" w:sz="8" w:space="0"/>
            </w:tcBorders>
            <w:vAlign w:val="center"/>
          </w:tcPr>
          <w:p w14:paraId="742D0067">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1、构成本招标文件的各个组成文件应互为解释，互为说明；</w:t>
            </w:r>
          </w:p>
          <w:p w14:paraId="7558CB5B">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2、同一组成文件中就同一事项的规定或约定不一致的，以编排顺序在后者为准；</w:t>
            </w:r>
          </w:p>
          <w:p w14:paraId="12A1C4B2">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3、如有不明确或不一致，构成合同文件组成内容的，以合同文件约定内容为准，且以专用合同条款约定的合同文件优先顺序解释；</w:t>
            </w:r>
          </w:p>
          <w:p w14:paraId="166A876D">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4、系统中提供的表格（或格式文件）与招标文件中不一致时，以招标文件中提供的为准；</w:t>
            </w:r>
          </w:p>
          <w:p w14:paraId="4FAE2F1B">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5、按本款前述规定仍不能形成结论的，由招标人负责解释。</w:t>
            </w:r>
          </w:p>
        </w:tc>
      </w:tr>
    </w:tbl>
    <w:p w14:paraId="768D0C63">
      <w:pPr>
        <w:pStyle w:val="44"/>
        <w:rPr>
          <w:rFonts w:hint="eastAsia"/>
          <w:color w:val="auto"/>
          <w:highlight w:val="none"/>
        </w:rPr>
      </w:pPr>
    </w:p>
    <w:p w14:paraId="5115A68F">
      <w:pPr>
        <w:pStyle w:val="44"/>
        <w:rPr>
          <w:rFonts w:hint="eastAsia"/>
          <w:color w:val="auto"/>
          <w:highlight w:val="none"/>
        </w:rPr>
      </w:pPr>
    </w:p>
    <w:p w14:paraId="4F1B10CE">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p>
    <w:p w14:paraId="727A26BE">
      <w:pP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14:paraId="6094F76D">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2"/>
      <w:bookmarkEnd w:id="43"/>
    </w:p>
    <w:p w14:paraId="5FB3339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53A8EFA9">
      <w:pPr>
        <w:keepNext w:val="0"/>
        <w:keepLines w:val="0"/>
        <w:pageBreakBefore w:val="0"/>
        <w:widowControl w:val="0"/>
        <w:kinsoku/>
        <w:wordWrap w:val="0"/>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城南绿廊公园水体清淤及治理项目等两个项目跟踪审计项目</w:t>
      </w:r>
    </w:p>
    <w:p w14:paraId="26F9FD99">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cs="宋体"/>
          <w:color w:val="auto"/>
          <w:sz w:val="21"/>
          <w:szCs w:val="21"/>
          <w:highlight w:val="none"/>
          <w:u w:val="none"/>
          <w:lang w:eastAsia="zh-CN"/>
        </w:rPr>
        <w:t>滁州市园林景观管理中心</w:t>
      </w:r>
      <w:r>
        <w:rPr>
          <w:rFonts w:hint="eastAsia" w:ascii="宋体" w:hAnsi="宋体" w:eastAsia="宋体" w:cs="宋体"/>
          <w:color w:val="auto"/>
          <w:sz w:val="21"/>
          <w:szCs w:val="21"/>
          <w:highlight w:val="none"/>
          <w:u w:val="none"/>
          <w:lang w:eastAsia="zh-CN"/>
        </w:rPr>
        <w:t xml:space="preserve"> </w:t>
      </w:r>
    </w:p>
    <w:p w14:paraId="2F9C62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cs="宋体"/>
          <w:color w:val="auto"/>
          <w:sz w:val="21"/>
          <w:szCs w:val="21"/>
          <w:highlight w:val="none"/>
          <w:u w:val="none"/>
          <w:lang w:val="en-US" w:eastAsia="zh-CN"/>
        </w:rPr>
        <w:t>详见前附表</w:t>
      </w:r>
      <w:r>
        <w:rPr>
          <w:rFonts w:hint="eastAsia" w:ascii="宋体" w:hAnsi="宋体" w:eastAsia="宋体" w:cs="宋体"/>
          <w:color w:val="auto"/>
          <w:kern w:val="0"/>
          <w:sz w:val="21"/>
          <w:szCs w:val="21"/>
          <w:highlight w:val="none"/>
          <w:u w:val="none"/>
          <w:lang w:val="en-US" w:eastAsia="zh-CN"/>
        </w:rPr>
        <w:t>。</w:t>
      </w:r>
    </w:p>
    <w:p w14:paraId="67586197">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cs="宋体"/>
          <w:color w:val="auto"/>
          <w:sz w:val="21"/>
          <w:szCs w:val="21"/>
          <w:highlight w:val="none"/>
          <w:lang w:val="en-US" w:eastAsia="zh-CN"/>
        </w:rPr>
        <w:t>服务需求</w:t>
      </w:r>
    </w:p>
    <w:p w14:paraId="67DEE0C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0FE54FE">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7F96507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w:t>
      </w:r>
      <w:r>
        <w:rPr>
          <w:rFonts w:hint="eastAsia" w:ascii="宋体" w:hAnsi="宋体" w:cs="宋体"/>
          <w:color w:val="auto"/>
          <w:sz w:val="21"/>
          <w:szCs w:val="21"/>
          <w:highlight w:val="none"/>
          <w:lang w:val="en-US" w:eastAsia="zh-CN"/>
        </w:rPr>
        <w:t>费率</w:t>
      </w:r>
      <w:r>
        <w:rPr>
          <w:rFonts w:hint="eastAsia" w:ascii="宋体" w:hAnsi="宋体" w:eastAsia="宋体" w:cs="宋体"/>
          <w:color w:val="auto"/>
          <w:sz w:val="21"/>
          <w:szCs w:val="21"/>
          <w:highlight w:val="none"/>
        </w:rPr>
        <w:t>。</w:t>
      </w:r>
    </w:p>
    <w:p w14:paraId="06FDAF9B">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2E0A7DF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0BCBF344">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4592EB5D">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796160D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1DAD49D1">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788E000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04B3D66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6562C8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2EB90A2C">
      <w:pPr>
        <w:keepNext w:val="0"/>
        <w:keepLines w:val="0"/>
        <w:pageBreakBefore w:val="0"/>
        <w:widowControl w:val="0"/>
        <w:kinsoku/>
        <w:wordWrap/>
        <w:overflowPunct/>
        <w:topLinePunct w:val="0"/>
        <w:autoSpaceDE/>
        <w:autoSpaceDN/>
        <w:bidi w:val="0"/>
        <w:adjustRightInd/>
        <w:snapToGrid/>
        <w:spacing w:line="48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个标段  </w:t>
      </w:r>
    </w:p>
    <w:p w14:paraId="084D1B0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585C687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4E82FFB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A62DB5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lang w:val="en-US" w:eastAsia="zh-CN"/>
        </w:rPr>
        <w:t>固定费率</w:t>
      </w:r>
      <w:r>
        <w:rPr>
          <w:rFonts w:hint="eastAsia" w:ascii="宋体" w:hAnsi="宋体" w:eastAsia="宋体" w:cs="宋体"/>
          <w:color w:val="auto"/>
          <w:sz w:val="21"/>
          <w:szCs w:val="21"/>
          <w:highlight w:val="none"/>
        </w:rPr>
        <w:t>。</w:t>
      </w:r>
    </w:p>
    <w:p w14:paraId="08A7EAA4">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综合评分法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章评标办法）。</w:t>
      </w:r>
    </w:p>
    <w:p w14:paraId="2DD47ABF">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4" w:name="_Toc17301"/>
      <w:bookmarkStart w:id="45" w:name="_Toc29988"/>
      <w:r>
        <w:rPr>
          <w:rFonts w:hint="eastAsia" w:ascii="宋体" w:hAnsi="宋体" w:eastAsia="宋体" w:cs="宋体"/>
          <w:b/>
          <w:bCs/>
          <w:color w:val="auto"/>
          <w:sz w:val="28"/>
          <w:highlight w:val="none"/>
        </w:rPr>
        <w:t>二、招标文件</w:t>
      </w:r>
      <w:bookmarkEnd w:id="44"/>
      <w:bookmarkEnd w:id="45"/>
    </w:p>
    <w:p w14:paraId="62AC36E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default" w:eastAsia="宋体"/>
          <w:color w:val="auto"/>
          <w:highlight w:val="none"/>
          <w:lang w:val="en-US" w:eastAsia="zh-CN"/>
        </w:rPr>
      </w:pPr>
      <w:r>
        <w:rPr>
          <w:rFonts w:hint="eastAsia" w:ascii="宋体" w:hAnsi="宋体" w:eastAsia="宋体" w:cs="宋体"/>
          <w:b/>
          <w:bCs/>
          <w:color w:val="auto"/>
          <w:kern w:val="0"/>
          <w:sz w:val="21"/>
          <w:szCs w:val="21"/>
          <w:highlight w:val="none"/>
          <w:lang w:val="en-US" w:eastAsia="zh-CN"/>
        </w:rPr>
        <w:t>13.4投标人可以通过新点电子交易平台【滁州专区】对招标文件提出澄清（质疑）。招标文件的澄清将在滁州市城投工程咨询管理有限公司（https://www.czctgczx.com/）、滁州市重点工程建设管理处（http://zdc.chuzhou.gov.cn/）发布，但不指明澄清问题的来源。如果澄清内容影响投标文件编制的，将相应延长投标截止时间。</w:t>
      </w:r>
    </w:p>
    <w:p w14:paraId="182D12DA">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eastAsia="zh-CN"/>
        </w:rPr>
        <w:t>、滁州市重点工程建设管理处（http://zdc.chuzhou.gov.cn/）</w:t>
      </w:r>
      <w:r>
        <w:rPr>
          <w:rFonts w:hint="eastAsia"/>
          <w:color w:val="auto"/>
          <w:szCs w:val="21"/>
          <w:highlight w:val="none"/>
          <w:lang w:val="en-US" w:eastAsia="zh-CN"/>
        </w:rPr>
        <w:t>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32E39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17.1</w:t>
      </w:r>
      <w:r>
        <w:rPr>
          <w:rFonts w:hint="eastAsia" w:ascii="宋体" w:hAnsi="宋体" w:eastAsia="宋体" w:cs="宋体"/>
          <w:b/>
          <w:bCs/>
          <w:color w:val="auto"/>
          <w:sz w:val="21"/>
          <w:szCs w:val="21"/>
          <w:highlight w:val="none"/>
        </w:rPr>
        <w:t>本项目的</w:t>
      </w:r>
      <w:r>
        <w:rPr>
          <w:rFonts w:hint="eastAsia" w:ascii="宋体" w:hAnsi="宋体" w:eastAsia="宋体" w:cs="宋体"/>
          <w:b/>
          <w:bCs/>
          <w:color w:val="auto"/>
          <w:sz w:val="21"/>
          <w:szCs w:val="21"/>
          <w:highlight w:val="none"/>
          <w:lang w:val="en-US" w:eastAsia="zh-CN"/>
        </w:rPr>
        <w:t>最高限价</w:t>
      </w:r>
      <w:r>
        <w:rPr>
          <w:rFonts w:hint="eastAsia" w:ascii="宋体" w:hAnsi="宋体" w:eastAsia="宋体" w:cs="宋体"/>
          <w:b/>
          <w:bCs/>
          <w:color w:val="auto"/>
          <w:sz w:val="21"/>
          <w:szCs w:val="21"/>
          <w:highlight w:val="none"/>
        </w:rPr>
        <w:t>为基本费率</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审核成果费率</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%（审核成果费率</w:t>
      </w:r>
      <w:r>
        <w:rPr>
          <w:rFonts w:hint="eastAsia" w:ascii="宋体" w:hAnsi="宋体" w:cs="宋体"/>
          <w:b/>
          <w:bCs/>
          <w:color w:val="auto"/>
          <w:sz w:val="21"/>
          <w:szCs w:val="21"/>
          <w:highlight w:val="none"/>
          <w:lang w:val="en-US" w:eastAsia="zh-CN"/>
        </w:rPr>
        <w:t>为不可竞争费率，</w:t>
      </w:r>
      <w:r>
        <w:rPr>
          <w:rFonts w:hint="eastAsia" w:ascii="宋体" w:hAnsi="宋体" w:eastAsia="宋体" w:cs="宋体"/>
          <w:b/>
          <w:bCs/>
          <w:color w:val="auto"/>
          <w:sz w:val="21"/>
          <w:szCs w:val="21"/>
          <w:highlight w:val="none"/>
        </w:rPr>
        <w:t>固定不变）</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基本费率由投标人自主报价，不得高于上述基本费率最高限价且不可以填报0或负数</w:t>
      </w:r>
      <w:r>
        <w:rPr>
          <w:rFonts w:hint="eastAsia" w:ascii="宋体" w:hAnsi="宋体" w:eastAsia="宋体" w:cs="宋体"/>
          <w:b/>
          <w:bCs/>
          <w:color w:val="auto"/>
          <w:sz w:val="21"/>
          <w:szCs w:val="21"/>
          <w:highlight w:val="none"/>
        </w:rPr>
        <w:t>，否则按无效标处理。</w:t>
      </w:r>
    </w:p>
    <w:p w14:paraId="344A8BB9">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6" w:name="_Toc24852"/>
      <w:bookmarkStart w:id="47" w:name="_Toc6831"/>
      <w:r>
        <w:rPr>
          <w:rFonts w:hint="eastAsia" w:ascii="宋体" w:hAnsi="宋体" w:eastAsia="宋体" w:cs="宋体"/>
          <w:b/>
          <w:bCs/>
          <w:color w:val="auto"/>
          <w:sz w:val="28"/>
          <w:highlight w:val="none"/>
        </w:rPr>
        <w:t>三、投标文件的编制</w:t>
      </w:r>
      <w:bookmarkEnd w:id="46"/>
      <w:bookmarkEnd w:id="47"/>
    </w:p>
    <w:p w14:paraId="64695F4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458D520D">
      <w:pPr>
        <w:spacing w:line="440" w:lineRule="exact"/>
        <w:rPr>
          <w:rFonts w:hint="default" w:ascii="宋体" w:hAnsi="Calibri" w:eastAsia="宋体" w:cs="Times New Roman"/>
          <w:color w:val="auto"/>
          <w:szCs w:val="21"/>
          <w:highlight w:val="none"/>
          <w:lang w:val="en-US" w:eastAsia="zh-CN"/>
        </w:rPr>
      </w:pPr>
      <w:r>
        <w:rPr>
          <w:rFonts w:hint="eastAsia" w:ascii="宋体" w:hAnsi="Calibri" w:eastAsia="宋体" w:cs="Times New Roman"/>
          <w:color w:val="auto"/>
          <w:szCs w:val="21"/>
          <w:highlight w:val="none"/>
          <w:lang w:val="en-US" w:eastAsia="zh-CN"/>
        </w:rPr>
        <w:t>具体要求详见本招标文件第四章“投标文件格式”。</w:t>
      </w:r>
    </w:p>
    <w:p w14:paraId="6CFB64B6">
      <w:pPr>
        <w:numPr>
          <w:ilvl w:val="0"/>
          <w:numId w:val="0"/>
        </w:numPr>
        <w:spacing w:line="440" w:lineRule="exact"/>
        <w:jc w:val="both"/>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276CFE5B">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42834304">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投标人在投标文件编制、签章、上传过程中如有任何操作的疑问请及时联系技术支持，电话：0512-58151515（工作日）或者网站首页在线客服</w:t>
      </w:r>
      <w:r>
        <w:rPr>
          <w:rFonts w:hint="eastAsia" w:ascii="宋体" w:hAnsi="Calibri"/>
          <w:color w:val="auto"/>
          <w:szCs w:val="21"/>
          <w:highlight w:val="none"/>
          <w:lang w:val="en-US" w:eastAsia="zh-CN"/>
        </w:rPr>
        <w:t xml:space="preserve">。 </w:t>
      </w:r>
    </w:p>
    <w:p w14:paraId="1EADF7E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64DCFAF7">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6D4B70A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12304D1D">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62D31D9D">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44"/>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b/>
          <w:color w:val="auto"/>
          <w:szCs w:val="21"/>
          <w:highlight w:val="none"/>
          <w:lang w:val="en-US" w:eastAsia="zh-CN"/>
        </w:rPr>
        <w:t>。在“投标文件格式”中要求单位签章的，投标人应加盖投标人单位电子印章或直接上传加盖投标人单位印章原件彩色扫描件。要求个人签章的，加盖相应人员印章（或电子印章）或相应人员签字均可。</w:t>
      </w:r>
    </w:p>
    <w:p w14:paraId="52D2929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BE993A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color w:val="auto"/>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p>
    <w:p w14:paraId="235F67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cs="宋体"/>
          <w:color w:val="auto"/>
          <w:sz w:val="21"/>
          <w:szCs w:val="21"/>
          <w:highlight w:val="none"/>
          <w:lang w:val="en-US" w:eastAsia="zh-CN"/>
        </w:rPr>
        <w:t>招标代理费、</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0A229A7F">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color w:val="auto"/>
          <w:sz w:val="28"/>
          <w:szCs w:val="28"/>
          <w:highlight w:val="none"/>
        </w:rPr>
      </w:pPr>
      <w:bookmarkStart w:id="48" w:name="_Toc27519"/>
      <w:bookmarkStart w:id="49" w:name="_Toc13407"/>
      <w:r>
        <w:rPr>
          <w:rFonts w:hint="eastAsia" w:ascii="宋体" w:hAnsi="宋体" w:eastAsia="宋体" w:cs="宋体"/>
          <w:b/>
          <w:bCs/>
          <w:color w:val="auto"/>
          <w:sz w:val="28"/>
          <w:highlight w:val="none"/>
        </w:rPr>
        <w:t>四、投标文件的递交</w:t>
      </w:r>
      <w:bookmarkEnd w:id="48"/>
      <w:bookmarkEnd w:id="49"/>
    </w:p>
    <w:p w14:paraId="3545408C">
      <w:pPr>
        <w:numPr>
          <w:ilvl w:val="0"/>
          <w:numId w:val="0"/>
        </w:numPr>
        <w:spacing w:line="440" w:lineRule="exact"/>
        <w:jc w:val="both"/>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spacing w:line="440" w:lineRule="exact"/>
        <w:jc w:val="left"/>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spacing w:line="440" w:lineRule="exact"/>
        <w:jc w:val="left"/>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w:t>
      </w:r>
      <w:r>
        <w:rPr>
          <w:rFonts w:hint="eastAsia" w:ascii="宋体" w:hAnsi="宋体"/>
          <w:b/>
          <w:color w:val="auto"/>
          <w:szCs w:val="21"/>
          <w:highlight w:val="none"/>
        </w:rPr>
        <w:t>递</w:t>
      </w:r>
      <w:r>
        <w:rPr>
          <w:rFonts w:hint="eastAsia" w:ascii="宋体" w:hAnsi="宋体"/>
          <w:b/>
          <w:bCs/>
          <w:color w:val="auto"/>
          <w:szCs w:val="21"/>
          <w:highlight w:val="none"/>
        </w:rPr>
        <w:t>交</w:t>
      </w:r>
    </w:p>
    <w:p w14:paraId="7F8AEA8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8"/>
          <w:szCs w:val="28"/>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宋体" w:hAnsi="宋体" w:cs="宋体"/>
          <w:color w:val="auto"/>
          <w:szCs w:val="21"/>
          <w:highlight w:val="none"/>
          <w:lang w:eastAsia="zh-CN"/>
        </w:rPr>
        <w:t>。</w:t>
      </w:r>
    </w:p>
    <w:p w14:paraId="7500E7D0">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0" w:name="_Toc24005"/>
      <w:bookmarkStart w:id="51" w:name="_Toc18173"/>
      <w:r>
        <w:rPr>
          <w:rFonts w:hint="eastAsia" w:ascii="宋体" w:hAnsi="宋体" w:eastAsia="宋体" w:cs="宋体"/>
          <w:b/>
          <w:bCs/>
          <w:color w:val="auto"/>
          <w:sz w:val="28"/>
          <w:highlight w:val="none"/>
        </w:rPr>
        <w:t>五、开标、评标和定标</w:t>
      </w:r>
      <w:bookmarkEnd w:id="50"/>
      <w:bookmarkEnd w:id="51"/>
    </w:p>
    <w:p w14:paraId="066918F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 xml:space="preserve">（5）开标结束。 </w:t>
      </w:r>
    </w:p>
    <w:p w14:paraId="10B86A2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742AB9AD">
      <w:pPr>
        <w:pStyle w:val="44"/>
        <w:rPr>
          <w:rFonts w:hint="default"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spacing w:line="440" w:lineRule="exact"/>
        <w:jc w:val="left"/>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614AC1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34BBFE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6BFAB9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516CBD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694DE1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1A7EE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spacing w:line="440" w:lineRule="exact"/>
        <w:ind w:firstLine="205" w:firstLineChars="98"/>
        <w:jc w:val="left"/>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spacing w:line="440" w:lineRule="exact"/>
        <w:jc w:val="left"/>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4E4A2B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2A215D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196EDB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27.4.2投标截止时间后，投标人对投标报价或其它实质性内容修正的函件和增加的任何优惠条件，一律不得作为评标、定标的依据。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spacing w:line="440" w:lineRule="exact"/>
        <w:ind w:firstLine="205" w:firstLineChars="98"/>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评标委员会应当对投标人提供的报告、证明材料及详细说明认真研究。对存在意见分歧的，可采用投票方式表决决定（按多数评委意见为准）。</w:t>
      </w:r>
    </w:p>
    <w:p w14:paraId="630F06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spacing w:line="440" w:lineRule="exact"/>
        <w:ind w:firstLine="205" w:firstLineChars="98"/>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spacing w:line="440" w:lineRule="exact"/>
        <w:ind w:firstLine="422" w:firstLineChars="200"/>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招标人应将中标人的情况在滁州市城投工程咨询管理有限公司（https://www.czctgczx.com/）、滁州市重点工程建设管理处（http://zdc.chuzhou.gov.cn/）等网站上予以公告，公告期为3日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7CBC244B">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312012EC">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7A869D92">
      <w:pPr>
        <w:pStyle w:val="15"/>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eastAsia="宋体" w:cs="宋体"/>
          <w:color w:val="auto"/>
          <w:szCs w:val="21"/>
          <w:highlight w:val="none"/>
          <w:lang w:val="en-US" w:eastAsia="zh-CN"/>
        </w:rPr>
        <w:t>滁州市城投工程咨询管理有限公司（https://www.czctgczx.com/）、滁州市重点工程建设管理处（http://zdc.chuzhou.gov.cn/）等</w:t>
      </w:r>
      <w:r>
        <w:rPr>
          <w:rFonts w:hint="eastAsia" w:ascii="宋体" w:hAnsi="宋体" w:eastAsia="宋体" w:cs="宋体"/>
          <w:color w:val="auto"/>
          <w:szCs w:val="21"/>
          <w:highlight w:val="none"/>
        </w:rPr>
        <w:t>网站上公告。</w:t>
      </w:r>
    </w:p>
    <w:p w14:paraId="5604CD8A">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240A53A8">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556D50B6">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14:paraId="750F8A2C">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44A10C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7295FCC4">
      <w:pPr>
        <w:spacing w:line="440" w:lineRule="exact"/>
        <w:ind w:firstLine="625" w:firstLineChars="298"/>
        <w:jc w:val="left"/>
        <w:rPr>
          <w:rFonts w:hint="eastAsia" w:ascii="宋体" w:hAnsi="Times New Roman" w:eastAsia="宋体" w:cs="Times New Roman"/>
          <w:b w:val="0"/>
          <w:bCs/>
          <w:color w:val="auto"/>
          <w:szCs w:val="21"/>
          <w:highlight w:val="none"/>
          <w:lang w:val="en-US" w:eastAsia="zh-CN"/>
        </w:rPr>
      </w:pPr>
      <w:r>
        <w:rPr>
          <w:rFonts w:hint="eastAsia" w:ascii="宋体" w:hAnsi="Times New Roman" w:eastAsia="宋体" w:cs="Times New Roman"/>
          <w:b w:val="0"/>
          <w:bCs/>
          <w:color w:val="auto"/>
          <w:szCs w:val="21"/>
          <w:highlight w:val="none"/>
          <w:lang w:val="en-US" w:eastAsia="zh-CN"/>
        </w:rPr>
        <w:t xml:space="preserve">/。 </w:t>
      </w:r>
    </w:p>
    <w:p w14:paraId="6CB16242">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2" w:name="_Toc21491"/>
      <w:bookmarkStart w:id="53" w:name="_Toc22926"/>
      <w:r>
        <w:rPr>
          <w:rFonts w:hint="eastAsia" w:ascii="宋体" w:hAnsi="宋体" w:eastAsia="宋体" w:cs="宋体"/>
          <w:b/>
          <w:bCs/>
          <w:color w:val="auto"/>
          <w:sz w:val="28"/>
          <w:highlight w:val="none"/>
        </w:rPr>
        <w:t>六、合同的授予</w:t>
      </w:r>
      <w:bookmarkEnd w:id="52"/>
      <w:bookmarkEnd w:id="53"/>
    </w:p>
    <w:p w14:paraId="2EDC141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4" w:name="_Toc3222"/>
      <w:bookmarkStart w:id="55" w:name="_Toc31589_WPSOffice_Level1"/>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 xml:space="preserve">人不得泄漏招标投标活动中应当保密的情况和资料，不得与投标人串通损害国家利益，社会公共利益或者他人合法权益。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.1评标委员会成员不得收受他人的财物或者其他好处，不得向他人透漏对投标文件的评审和比较、中标候选人的推荐情况以及评标有关的其他情况。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adjustRightInd w:val="0"/>
        <w:snapToGrid w:val="0"/>
        <w:spacing w:line="440" w:lineRule="exact"/>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6"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6"/>
    </w:p>
    <w:p w14:paraId="1CD4C1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投标人和其他利害关系人认为本次招标活动违反法律、法规和规章规定的，有权向有关行政监督部门投诉。投诉应当有明确的请求和必要的证明材料。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一份质疑（异议）函只能针对一个项目提出质疑（异议），且针对同一招标采购程序环节的质疑（异议）应当一次性提出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36.4参与投标的投标人对中标公告提出的质疑，负有举证的责任。投标人提出质疑应当提交质疑函和必要的证明材料。质疑函应当包括下列内容：</w:t>
      </w:r>
    </w:p>
    <w:p w14:paraId="1CBAEEF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（二）质疑项目的名称、编号；</w:t>
      </w:r>
    </w:p>
    <w:p w14:paraId="2B5293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（三）具体、明确的质疑事项和与质疑事项相关的请求；</w:t>
      </w:r>
    </w:p>
    <w:p w14:paraId="0CC942E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（四）事实依据；</w:t>
      </w:r>
    </w:p>
    <w:p w14:paraId="0F584D0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（五）必要的法律依据；</w:t>
      </w:r>
    </w:p>
    <w:p w14:paraId="615070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（六）提出质疑的日期。</w:t>
      </w:r>
    </w:p>
    <w:p w14:paraId="07F11C0E">
      <w:pPr>
        <w:keepNext w:val="0"/>
        <w:keepLines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2DFD0EC6">
      <w:pPr>
        <w:pStyle w:val="2"/>
        <w:spacing w:before="0" w:after="0"/>
        <w:rPr>
          <w:rFonts w:hint="eastAsia" w:ascii="宋体" w:hAnsi="宋体" w:eastAsia="宋体" w:cs="宋体"/>
          <w:color w:val="auto"/>
          <w:highlight w:val="none"/>
          <w:lang w:val="en-US" w:eastAsia="zh-CN"/>
        </w:rPr>
      </w:pPr>
    </w:p>
    <w:p w14:paraId="32EDDA19">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7" w:name="_Toc13234"/>
      <w:r>
        <w:rPr>
          <w:rFonts w:hint="eastAsia" w:ascii="宋体" w:hAnsi="宋体" w:eastAsia="宋体" w:cs="宋体"/>
          <w:color w:val="auto"/>
          <w:highlight w:val="none"/>
          <w:lang w:val="en-US" w:eastAsia="zh-CN"/>
        </w:rPr>
        <w:t>第二章 评标办法</w:t>
      </w:r>
      <w:bookmarkEnd w:id="57"/>
    </w:p>
    <w:p w14:paraId="4E420E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58" w:name="_Toc14912"/>
      <w:r>
        <w:rPr>
          <w:rFonts w:hint="eastAsia" w:ascii="宋体" w:hAnsi="宋体" w:eastAsia="宋体" w:cs="宋体"/>
          <w:b/>
          <w:bCs/>
          <w:color w:val="auto"/>
          <w:sz w:val="24"/>
          <w:szCs w:val="24"/>
          <w:highlight w:val="none"/>
          <w:lang w:val="en-US" w:eastAsia="zh-CN"/>
        </w:rPr>
        <w:t>一、总则</w:t>
      </w:r>
      <w:bookmarkEnd w:id="58"/>
    </w:p>
    <w:p w14:paraId="068C5033">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 本次评标采用</w:t>
      </w:r>
      <w:r>
        <w:rPr>
          <w:rFonts w:hint="eastAsia" w:ascii="宋体" w:hAnsi="宋体" w:cs="宋体"/>
          <w:b/>
          <w:bCs/>
          <w:color w:val="auto"/>
          <w:sz w:val="21"/>
          <w:szCs w:val="21"/>
          <w:highlight w:val="none"/>
          <w:lang w:val="en-US" w:eastAsia="zh-CN"/>
        </w:rPr>
        <w:t>综合评分法</w:t>
      </w:r>
    </w:p>
    <w:p w14:paraId="64AB08B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综合评分法</w:t>
      </w:r>
      <w:r>
        <w:rPr>
          <w:rFonts w:hint="eastAsia" w:ascii="宋体" w:hAnsi="宋体" w:eastAsia="宋体" w:cs="宋体"/>
          <w:color w:val="auto"/>
          <w:sz w:val="21"/>
          <w:szCs w:val="21"/>
          <w:highlight w:val="none"/>
          <w:lang w:val="en-US" w:eastAsia="zh-CN"/>
        </w:rPr>
        <w:t>，评标委员会按照本章规定的评分标准进行打分，</w:t>
      </w:r>
      <w:r>
        <w:rPr>
          <w:rFonts w:hint="eastAsia" w:ascii="宋体" w:hAnsi="宋体" w:cs="宋体"/>
          <w:b/>
          <w:bCs/>
          <w:color w:val="auto"/>
          <w:szCs w:val="21"/>
          <w:highlight w:val="none"/>
        </w:rPr>
        <w:t>并按总得分由高到低顺序推荐</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名中标候选人，并标明排序</w:t>
      </w:r>
      <w:r>
        <w:rPr>
          <w:rFonts w:hint="eastAsia" w:ascii="宋体" w:hAnsi="宋体" w:cs="宋体"/>
          <w:b/>
          <w:bCs/>
          <w:color w:val="auto"/>
          <w:szCs w:val="21"/>
          <w:highlight w:val="none"/>
          <w:lang w:eastAsia="zh-CN"/>
        </w:rPr>
        <w:t>，但投标报价低于其成本的除外</w:t>
      </w:r>
      <w:r>
        <w:rPr>
          <w:rFonts w:hint="eastAsia" w:ascii="宋体" w:hAnsi="宋体" w:eastAsia="宋体" w:cs="宋体"/>
          <w:color w:val="auto"/>
          <w:sz w:val="21"/>
          <w:szCs w:val="21"/>
          <w:highlight w:val="none"/>
          <w:lang w:val="en-US" w:eastAsia="zh-CN"/>
        </w:rPr>
        <w:t>。得分最高的为第一中标候选人，第二高的为第二中标候选人。</w:t>
      </w:r>
      <w:r>
        <w:rPr>
          <w:rFonts w:hint="eastAsia" w:ascii="宋体" w:hAnsi="宋体" w:eastAsia="宋体" w:cs="宋体"/>
          <w:b/>
          <w:bCs/>
          <w:color w:val="auto"/>
          <w:sz w:val="21"/>
          <w:szCs w:val="21"/>
          <w:highlight w:val="none"/>
        </w:rPr>
        <w:t>如总得分相等，以投标报价低的优先，投标报价仍相等，由评标委员会或招标人随机抽取确定排名，不得并列</w:t>
      </w:r>
      <w:r>
        <w:rPr>
          <w:rFonts w:hint="eastAsia" w:ascii="宋体" w:hAnsi="宋体" w:eastAsia="宋体" w:cs="宋体"/>
          <w:color w:val="auto"/>
          <w:sz w:val="21"/>
          <w:szCs w:val="21"/>
          <w:highlight w:val="none"/>
        </w:rPr>
        <w:t>。</w:t>
      </w:r>
    </w:p>
    <w:p w14:paraId="403526C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2．评标程序</w:t>
      </w:r>
    </w:p>
    <w:p w14:paraId="59C70429">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先对投标人报价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以投标文件投标函中填写报价为准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按计算标准计算得分，得分按照从高到低进行排序（如总得分相等，以投标报价低的优先，投标报价仍相等，由招标人</w:t>
      </w:r>
      <w:r>
        <w:rPr>
          <w:rFonts w:hint="eastAsia" w:ascii="宋体" w:hAnsi="宋体" w:eastAsia="宋体" w:cs="宋体"/>
          <w:b/>
          <w:bCs/>
          <w:color w:val="auto"/>
          <w:sz w:val="21"/>
          <w:szCs w:val="21"/>
          <w:highlight w:val="none"/>
          <w:lang w:val="en-US" w:eastAsia="zh-CN"/>
        </w:rPr>
        <w:t>或评标委员会</w:t>
      </w:r>
      <w:r>
        <w:rPr>
          <w:rFonts w:hint="eastAsia" w:ascii="宋体" w:hAnsi="宋体" w:eastAsia="宋体" w:cs="宋体"/>
          <w:b/>
          <w:bCs/>
          <w:color w:val="auto"/>
          <w:sz w:val="21"/>
          <w:szCs w:val="21"/>
          <w:highlight w:val="none"/>
        </w:rPr>
        <w:t>随机抽取确定排名，不得并列）。对排序前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名的投标人投标文件进行评审并确定中标候选人。若排序前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文件评审不通过，则按得分排序递补至</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家投标人进行</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eastAsia="zh-CN"/>
        </w:rPr>
        <w:t>。</w:t>
      </w:r>
    </w:p>
    <w:p w14:paraId="591D37D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2.1投标文件的初审</w:t>
      </w:r>
    </w:p>
    <w:p w14:paraId="29ADB92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2.1.1资格性检查。依据法律法规和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的规定，对投标文件中的资格证明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等进行审查，以确定投标人是否具备投标资格。</w:t>
      </w:r>
    </w:p>
    <w:p w14:paraId="0B195F5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2.1.2符合性检查。依据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的规定，从投标文件的有效性、完整性和对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的响应程度进行审查，以确定投标人是否对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的实质性要求作出响应。</w:t>
      </w:r>
    </w:p>
    <w:p w14:paraId="7593A8C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2.2投标文件的澄清</w:t>
      </w:r>
    </w:p>
    <w:p w14:paraId="11B3623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0684D5D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79CAB15D">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sz w:val="21"/>
          <w:szCs w:val="21"/>
          <w:highlight w:val="none"/>
        </w:rPr>
        <w:t>2.2.3  招标人不接受投标单位主动提出的澄清。</w:t>
      </w:r>
    </w:p>
    <w:p w14:paraId="34335270">
      <w:pPr>
        <w:keepNext w:val="0"/>
        <w:keepLines w:val="0"/>
        <w:pageBreakBefore w:val="0"/>
        <w:widowControl w:val="0"/>
        <w:kinsoku/>
        <w:wordWrap/>
        <w:overflowPunct/>
        <w:topLinePunct w:val="0"/>
        <w:autoSpaceDE/>
        <w:autoSpaceDN/>
        <w:bidi w:val="0"/>
        <w:adjustRightInd/>
        <w:snapToGrid/>
        <w:spacing w:before="313" w:beforeLines="100"/>
        <w:jc w:val="center"/>
        <w:textAlignment w:val="auto"/>
        <w:outlineLvl w:val="1"/>
        <w:rPr>
          <w:rFonts w:hint="eastAsia" w:ascii="宋体"/>
          <w:b/>
          <w:color w:val="auto"/>
          <w:sz w:val="28"/>
          <w:szCs w:val="28"/>
          <w:highlight w:val="none"/>
        </w:rPr>
      </w:pPr>
      <w:bookmarkStart w:id="59" w:name="_Toc449028878"/>
      <w:bookmarkStart w:id="60" w:name="_Toc58430318"/>
      <w:bookmarkStart w:id="61" w:name="_Toc29779"/>
      <w:r>
        <w:rPr>
          <w:rFonts w:hint="eastAsia" w:ascii="宋体"/>
          <w:b/>
          <w:color w:val="auto"/>
          <w:sz w:val="28"/>
          <w:szCs w:val="28"/>
          <w:highlight w:val="none"/>
        </w:rPr>
        <w:t>二、投标文件初审</w:t>
      </w:r>
      <w:bookmarkEnd w:id="59"/>
      <w:bookmarkEnd w:id="60"/>
    </w:p>
    <w:p w14:paraId="60FE3D0D">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31119948">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10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757"/>
      </w:tblGrid>
      <w:tr w14:paraId="1697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CC68F38">
            <w:pPr>
              <w:spacing w:line="320" w:lineRule="exact"/>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7F5E48E7">
            <w:pPr>
              <w:spacing w:line="320" w:lineRule="exact"/>
              <w:jc w:val="center"/>
              <w:rPr>
                <w:rFonts w:hint="eastAsia"/>
                <w:color w:val="auto"/>
                <w:highlight w:val="none"/>
              </w:rPr>
            </w:pPr>
            <w:r>
              <w:rPr>
                <w:rFonts w:hint="eastAsia" w:ascii="宋体" w:hAnsi="宋体"/>
                <w:color w:val="auto"/>
                <w:szCs w:val="21"/>
                <w:highlight w:val="none"/>
              </w:rPr>
              <w:t>评审因素</w:t>
            </w:r>
          </w:p>
        </w:tc>
        <w:tc>
          <w:tcPr>
            <w:tcW w:w="2757" w:type="dxa"/>
            <w:noWrap w:val="0"/>
            <w:vAlign w:val="center"/>
          </w:tcPr>
          <w:p w14:paraId="52F81DF4">
            <w:pPr>
              <w:spacing w:line="320" w:lineRule="exact"/>
              <w:jc w:val="center"/>
              <w:rPr>
                <w:rFonts w:hint="eastAsia"/>
                <w:color w:val="auto"/>
                <w:highlight w:val="none"/>
              </w:rPr>
            </w:pPr>
            <w:r>
              <w:rPr>
                <w:rFonts w:hint="eastAsia" w:ascii="宋体" w:hAnsi="宋体"/>
                <w:color w:val="auto"/>
                <w:szCs w:val="21"/>
                <w:highlight w:val="none"/>
              </w:rPr>
              <w:t>评审标准</w:t>
            </w:r>
          </w:p>
        </w:tc>
      </w:tr>
      <w:tr w14:paraId="5D7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0B9A4B5D">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034F54A">
            <w:pPr>
              <w:spacing w:line="320" w:lineRule="exact"/>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79A38230">
            <w:pPr>
              <w:spacing w:line="320" w:lineRule="exact"/>
              <w:rPr>
                <w:rFonts w:hint="eastAsia" w:ascii="宋体" w:hAnsi="宋体"/>
                <w:color w:val="auto"/>
                <w:szCs w:val="21"/>
                <w:highlight w:val="none"/>
              </w:rPr>
            </w:pPr>
            <w:r>
              <w:rPr>
                <w:rFonts w:hint="eastAsia"/>
                <w:color w:val="auto"/>
                <w:highlight w:val="none"/>
              </w:rPr>
              <w:t>（1）法定代表人身份证明和本人有效身份证(或法定代表人授权委托书和委托代理人有效身份证)</w:t>
            </w:r>
          </w:p>
        </w:tc>
        <w:tc>
          <w:tcPr>
            <w:tcW w:w="2757" w:type="dxa"/>
            <w:noWrap w:val="0"/>
            <w:vAlign w:val="center"/>
          </w:tcPr>
          <w:p w14:paraId="27142348">
            <w:pPr>
              <w:spacing w:line="320" w:lineRule="exact"/>
              <w:jc w:val="left"/>
              <w:rPr>
                <w:rFonts w:hint="eastAsia" w:ascii="宋体" w:hAnsi="宋体"/>
                <w:color w:val="auto"/>
                <w:szCs w:val="21"/>
                <w:highlight w:val="none"/>
              </w:rPr>
            </w:pPr>
            <w:r>
              <w:rPr>
                <w:rFonts w:hint="eastAsia"/>
                <w:color w:val="auto"/>
                <w:highlight w:val="none"/>
              </w:rPr>
              <w:t>检验电子标书。</w:t>
            </w:r>
          </w:p>
        </w:tc>
      </w:tr>
      <w:tr w14:paraId="206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399706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C913C04">
            <w:pPr>
              <w:spacing w:line="320" w:lineRule="exact"/>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3C024E83">
            <w:pPr>
              <w:keepNext w:val="0"/>
              <w:keepLines w:val="0"/>
              <w:suppressLineNumbers w:val="0"/>
              <w:spacing w:before="0" w:beforeAutospacing="0" w:after="0" w:afterAutospacing="0" w:line="320" w:lineRule="exact"/>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（2）具有为本项目提供相应服务的能力</w:t>
            </w:r>
          </w:p>
        </w:tc>
        <w:tc>
          <w:tcPr>
            <w:tcW w:w="2757" w:type="dxa"/>
            <w:noWrap w:val="0"/>
            <w:vAlign w:val="center"/>
          </w:tcPr>
          <w:p w14:paraId="607FD99B">
            <w:pPr>
              <w:spacing w:line="320" w:lineRule="exact"/>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734641F7">
            <w:pPr>
              <w:spacing w:line="320" w:lineRule="exact"/>
              <w:rPr>
                <w:rFonts w:hint="eastAsia" w:ascii="宋体"/>
                <w:color w:val="auto"/>
                <w:szCs w:val="21"/>
                <w:highlight w:val="none"/>
              </w:rPr>
            </w:pPr>
            <w:r>
              <w:rPr>
                <w:rFonts w:hint="eastAsia"/>
                <w:color w:val="auto"/>
                <w:highlight w:val="none"/>
              </w:rPr>
              <w:t>投标人有效的营业执照、税务登记证、组</w:t>
            </w:r>
            <w:r>
              <w:rPr>
                <w:rFonts w:hint="eastAsia" w:ascii="Times New Roman" w:hAnsi="Times New Roman" w:eastAsia="宋体" w:cs="Times New Roman"/>
                <w:color w:val="auto"/>
                <w:highlight w:val="none"/>
              </w:rPr>
              <w:t>织机构码证（或“三证合一证书”）</w:t>
            </w:r>
          </w:p>
        </w:tc>
      </w:tr>
      <w:tr w14:paraId="7F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63A776DE">
            <w:pPr>
              <w:spacing w:line="320" w:lineRule="exact"/>
              <w:jc w:val="center"/>
              <w:rPr>
                <w:rFonts w:hint="eastAsia" w:ascii="宋体" w:hAnsi="宋体"/>
                <w:color w:val="auto"/>
                <w:szCs w:val="21"/>
                <w:highlight w:val="none"/>
              </w:rPr>
            </w:pPr>
          </w:p>
        </w:tc>
        <w:tc>
          <w:tcPr>
            <w:tcW w:w="1235" w:type="dxa"/>
            <w:vMerge w:val="continue"/>
            <w:noWrap w:val="0"/>
            <w:vAlign w:val="center"/>
          </w:tcPr>
          <w:p w14:paraId="7227E239">
            <w:pPr>
              <w:spacing w:line="320" w:lineRule="exact"/>
              <w:rPr>
                <w:rFonts w:hint="eastAsia" w:ascii="宋体" w:hAnsi="宋体"/>
                <w:color w:val="auto"/>
                <w:szCs w:val="21"/>
                <w:highlight w:val="none"/>
              </w:rPr>
            </w:pPr>
          </w:p>
        </w:tc>
        <w:tc>
          <w:tcPr>
            <w:tcW w:w="5296" w:type="dxa"/>
            <w:noWrap w:val="0"/>
            <w:vAlign w:val="center"/>
          </w:tcPr>
          <w:p w14:paraId="45201212">
            <w:pPr>
              <w:keepNext w:val="0"/>
              <w:keepLines w:val="0"/>
              <w:suppressLineNumbers w:val="0"/>
              <w:spacing w:before="0" w:beforeAutospacing="0" w:after="0" w:afterAutospacing="0" w:line="320" w:lineRule="exact"/>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）项目人员配备表</w:t>
            </w:r>
          </w:p>
        </w:tc>
        <w:tc>
          <w:tcPr>
            <w:tcW w:w="2757" w:type="dxa"/>
            <w:noWrap w:val="0"/>
            <w:vAlign w:val="center"/>
          </w:tcPr>
          <w:p w14:paraId="2E0E8AE1">
            <w:pPr>
              <w:spacing w:line="360" w:lineRule="exact"/>
              <w:jc w:val="both"/>
              <w:rPr>
                <w:rFonts w:hint="eastAsia" w:ascii="宋体"/>
                <w:b/>
                <w:color w:val="auto"/>
                <w:szCs w:val="21"/>
                <w:highlight w:val="none"/>
              </w:rPr>
            </w:pPr>
            <w:r>
              <w:rPr>
                <w:rFonts w:hint="eastAsia"/>
                <w:color w:val="auto"/>
                <w:highlight w:val="none"/>
              </w:rPr>
              <w:t>格式见附件，检验电子标书</w:t>
            </w:r>
          </w:p>
        </w:tc>
      </w:tr>
      <w:tr w14:paraId="5B8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DD7B0EC">
            <w:pPr>
              <w:spacing w:line="320" w:lineRule="exact"/>
              <w:jc w:val="center"/>
              <w:rPr>
                <w:rFonts w:hint="eastAsia" w:ascii="宋体" w:hAnsi="宋体"/>
                <w:color w:val="auto"/>
                <w:szCs w:val="21"/>
                <w:highlight w:val="none"/>
              </w:rPr>
            </w:pPr>
          </w:p>
        </w:tc>
        <w:tc>
          <w:tcPr>
            <w:tcW w:w="1235" w:type="dxa"/>
            <w:vMerge w:val="continue"/>
            <w:noWrap w:val="0"/>
            <w:vAlign w:val="center"/>
          </w:tcPr>
          <w:p w14:paraId="2744FACC">
            <w:pPr>
              <w:spacing w:line="320" w:lineRule="exact"/>
              <w:rPr>
                <w:rFonts w:hint="eastAsia" w:ascii="宋体" w:hAnsi="宋体"/>
                <w:color w:val="auto"/>
                <w:szCs w:val="21"/>
                <w:highlight w:val="none"/>
              </w:rPr>
            </w:pPr>
          </w:p>
        </w:tc>
        <w:tc>
          <w:tcPr>
            <w:tcW w:w="5296" w:type="dxa"/>
            <w:noWrap w:val="0"/>
            <w:vAlign w:val="center"/>
          </w:tcPr>
          <w:p w14:paraId="69BC9D2B">
            <w:pPr>
              <w:spacing w:line="360" w:lineRule="exact"/>
              <w:jc w:val="both"/>
              <w:rPr>
                <w:rFonts w:hint="eastAsia"/>
                <w:color w:val="auto"/>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p>
        </w:tc>
        <w:tc>
          <w:tcPr>
            <w:tcW w:w="2757" w:type="dxa"/>
            <w:noWrap w:val="0"/>
            <w:vAlign w:val="center"/>
          </w:tcPr>
          <w:p w14:paraId="68DD7B74">
            <w:pPr>
              <w:spacing w:line="360" w:lineRule="exact"/>
              <w:jc w:val="both"/>
              <w:rPr>
                <w:rFonts w:hint="eastAsia"/>
                <w:color w:val="auto"/>
                <w:highlight w:val="none"/>
              </w:rPr>
            </w:pPr>
            <w:r>
              <w:rPr>
                <w:rFonts w:hint="eastAsia"/>
                <w:color w:val="auto"/>
                <w:highlight w:val="none"/>
              </w:rPr>
              <w:t>检验电子标书</w:t>
            </w:r>
          </w:p>
        </w:tc>
      </w:tr>
      <w:tr w14:paraId="4FBF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546C486">
            <w:pPr>
              <w:spacing w:line="320" w:lineRule="exact"/>
              <w:jc w:val="center"/>
              <w:rPr>
                <w:rFonts w:hint="eastAsia" w:ascii="宋体" w:hAnsi="宋体"/>
                <w:color w:val="auto"/>
                <w:szCs w:val="21"/>
                <w:highlight w:val="none"/>
              </w:rPr>
            </w:pPr>
          </w:p>
        </w:tc>
        <w:tc>
          <w:tcPr>
            <w:tcW w:w="1235" w:type="dxa"/>
            <w:vMerge w:val="continue"/>
            <w:noWrap w:val="0"/>
            <w:vAlign w:val="center"/>
          </w:tcPr>
          <w:p w14:paraId="7B141123">
            <w:pPr>
              <w:spacing w:line="320" w:lineRule="exact"/>
              <w:rPr>
                <w:rFonts w:hint="eastAsia" w:ascii="宋体" w:hAnsi="宋体"/>
                <w:color w:val="auto"/>
                <w:szCs w:val="21"/>
                <w:highlight w:val="none"/>
              </w:rPr>
            </w:pPr>
          </w:p>
        </w:tc>
        <w:tc>
          <w:tcPr>
            <w:tcW w:w="5296" w:type="dxa"/>
            <w:noWrap w:val="0"/>
            <w:vAlign w:val="center"/>
          </w:tcPr>
          <w:p w14:paraId="6F4CA723">
            <w:pPr>
              <w:spacing w:line="360" w:lineRule="exact"/>
              <w:jc w:val="both"/>
              <w:rPr>
                <w:rFonts w:hint="eastAsia"/>
                <w:color w:val="auto"/>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rPr>
              <w:t>不少于</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名注册在投标单位的二级及以上造价工程师</w:t>
            </w:r>
          </w:p>
        </w:tc>
        <w:tc>
          <w:tcPr>
            <w:tcW w:w="2757" w:type="dxa"/>
            <w:noWrap w:val="0"/>
            <w:vAlign w:val="center"/>
          </w:tcPr>
          <w:p w14:paraId="551EAE52">
            <w:pPr>
              <w:spacing w:line="360" w:lineRule="exact"/>
              <w:jc w:val="both"/>
              <w:rPr>
                <w:rFonts w:hint="eastAsia"/>
                <w:color w:val="auto"/>
                <w:highlight w:val="none"/>
              </w:rPr>
            </w:pPr>
            <w:r>
              <w:rPr>
                <w:rFonts w:hint="eastAsia"/>
                <w:color w:val="auto"/>
                <w:highlight w:val="none"/>
              </w:rPr>
              <w:t>检验电子标书</w:t>
            </w:r>
          </w:p>
        </w:tc>
      </w:tr>
      <w:tr w14:paraId="708A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05D7143">
            <w:pPr>
              <w:spacing w:line="320" w:lineRule="exact"/>
              <w:jc w:val="center"/>
              <w:rPr>
                <w:rFonts w:hint="eastAsia" w:ascii="宋体" w:hAnsi="宋体"/>
                <w:color w:val="auto"/>
                <w:szCs w:val="21"/>
                <w:highlight w:val="none"/>
              </w:rPr>
            </w:pPr>
          </w:p>
        </w:tc>
        <w:tc>
          <w:tcPr>
            <w:tcW w:w="1235" w:type="dxa"/>
            <w:vMerge w:val="continue"/>
            <w:noWrap w:val="0"/>
            <w:vAlign w:val="center"/>
          </w:tcPr>
          <w:p w14:paraId="28996A16">
            <w:pPr>
              <w:spacing w:line="320" w:lineRule="exact"/>
              <w:rPr>
                <w:rFonts w:hint="eastAsia" w:ascii="宋体" w:hAnsi="宋体"/>
                <w:color w:val="auto"/>
                <w:szCs w:val="21"/>
                <w:highlight w:val="none"/>
              </w:rPr>
            </w:pPr>
          </w:p>
        </w:tc>
        <w:tc>
          <w:tcPr>
            <w:tcW w:w="5296" w:type="dxa"/>
            <w:noWrap w:val="0"/>
            <w:vAlign w:val="center"/>
          </w:tcPr>
          <w:p w14:paraId="2BA92C2C">
            <w:pPr>
              <w:spacing w:line="360" w:lineRule="exact"/>
              <w:jc w:val="both"/>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须持有社保部门出具的本单位为其缴纳的投标前近三个月内任意一月的养老保险证明，或投标人提供承诺已为上述人员缴纳养老保险证明的承诺书（格式自拟）</w:t>
            </w:r>
          </w:p>
        </w:tc>
        <w:tc>
          <w:tcPr>
            <w:tcW w:w="2757" w:type="dxa"/>
            <w:noWrap w:val="0"/>
            <w:vAlign w:val="center"/>
          </w:tcPr>
          <w:p w14:paraId="4606370E">
            <w:pPr>
              <w:spacing w:line="360" w:lineRule="exact"/>
              <w:jc w:val="both"/>
              <w:rPr>
                <w:rFonts w:hint="eastAsia"/>
                <w:color w:val="auto"/>
                <w:highlight w:val="none"/>
              </w:rPr>
            </w:pPr>
            <w:r>
              <w:rPr>
                <w:rFonts w:hint="eastAsia"/>
                <w:color w:val="auto"/>
                <w:highlight w:val="none"/>
              </w:rPr>
              <w:t>检验电子标书</w:t>
            </w:r>
          </w:p>
        </w:tc>
      </w:tr>
      <w:tr w14:paraId="646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25" w:type="dxa"/>
            <w:vMerge w:val="continue"/>
            <w:noWrap w:val="0"/>
            <w:vAlign w:val="center"/>
          </w:tcPr>
          <w:p w14:paraId="1E9B2A14">
            <w:pPr>
              <w:spacing w:line="320" w:lineRule="exact"/>
              <w:jc w:val="center"/>
              <w:rPr>
                <w:rFonts w:hint="eastAsia" w:ascii="宋体" w:hAnsi="宋体"/>
                <w:color w:val="auto"/>
                <w:szCs w:val="21"/>
                <w:highlight w:val="none"/>
              </w:rPr>
            </w:pPr>
          </w:p>
        </w:tc>
        <w:tc>
          <w:tcPr>
            <w:tcW w:w="1235" w:type="dxa"/>
            <w:vMerge w:val="continue"/>
            <w:noWrap w:val="0"/>
            <w:vAlign w:val="center"/>
          </w:tcPr>
          <w:p w14:paraId="2546461F">
            <w:pPr>
              <w:spacing w:line="320" w:lineRule="exact"/>
              <w:rPr>
                <w:rFonts w:hint="eastAsia" w:ascii="宋体" w:hAnsi="宋体"/>
                <w:color w:val="auto"/>
                <w:szCs w:val="21"/>
                <w:highlight w:val="none"/>
              </w:rPr>
            </w:pPr>
          </w:p>
        </w:tc>
        <w:tc>
          <w:tcPr>
            <w:tcW w:w="5296" w:type="dxa"/>
            <w:noWrap w:val="0"/>
            <w:vAlign w:val="center"/>
          </w:tcPr>
          <w:p w14:paraId="202375EC">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）投标函</w:t>
            </w:r>
          </w:p>
        </w:tc>
        <w:tc>
          <w:tcPr>
            <w:tcW w:w="2757" w:type="dxa"/>
            <w:noWrap w:val="0"/>
            <w:vAlign w:val="center"/>
          </w:tcPr>
          <w:p w14:paraId="3BC905C0">
            <w:pPr>
              <w:spacing w:line="360" w:lineRule="exact"/>
              <w:jc w:val="both"/>
              <w:rPr>
                <w:rFonts w:hint="eastAsia"/>
                <w:color w:val="auto"/>
                <w:highlight w:val="none"/>
              </w:rPr>
            </w:pPr>
            <w:r>
              <w:rPr>
                <w:rFonts w:hint="eastAsia"/>
                <w:color w:val="auto"/>
                <w:highlight w:val="none"/>
              </w:rPr>
              <w:t>格式见附件，检验电子标书</w:t>
            </w:r>
          </w:p>
        </w:tc>
      </w:tr>
    </w:tbl>
    <w:p w14:paraId="609AB6C5">
      <w:pPr>
        <w:spacing w:line="400" w:lineRule="exact"/>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5DB09720">
      <w:pPr>
        <w:spacing w:line="440" w:lineRule="exact"/>
        <w:rPr>
          <w:rFonts w:hint="eastAsia" w:asci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涉及到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 xml:space="preserve">。 </w:t>
      </w:r>
    </w:p>
    <w:p w14:paraId="3E11B30C">
      <w:pPr>
        <w:spacing w:line="440" w:lineRule="exact"/>
        <w:ind w:firstLine="310" w:firstLineChars="147"/>
        <w:rPr>
          <w:rFonts w:hint="eastAsia" w:ascii="宋体"/>
          <w:b/>
          <w:color w:val="auto"/>
          <w:szCs w:val="21"/>
          <w:highlight w:val="none"/>
        </w:rPr>
      </w:pPr>
      <w:r>
        <w:rPr>
          <w:rFonts w:hint="eastAsia" w:ascii="宋体"/>
          <w:b/>
          <w:color w:val="auto"/>
          <w:szCs w:val="21"/>
          <w:highlight w:val="none"/>
        </w:rPr>
        <w:t>4.符合性审查</w:t>
      </w:r>
    </w:p>
    <w:p w14:paraId="52B4741C">
      <w:pPr>
        <w:spacing w:line="440" w:lineRule="exact"/>
        <w:ind w:firstLine="315" w:firstLineChars="150"/>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5101"/>
      </w:tblGrid>
      <w:tr w14:paraId="21C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4B6CA4D">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39163DAC">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5101" w:type="dxa"/>
            <w:noWrap w:val="0"/>
            <w:vAlign w:val="center"/>
          </w:tcPr>
          <w:p w14:paraId="40130CA8">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97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31" w:type="dxa"/>
            <w:vMerge w:val="restart"/>
            <w:noWrap w:val="0"/>
            <w:vAlign w:val="center"/>
          </w:tcPr>
          <w:p w14:paraId="5E30E1AC">
            <w:pPr>
              <w:spacing w:line="320" w:lineRule="atLeast"/>
              <w:jc w:val="center"/>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4328F5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0151183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5101" w:type="dxa"/>
            <w:noWrap w:val="0"/>
            <w:vAlign w:val="center"/>
          </w:tcPr>
          <w:p w14:paraId="1DA41EB0">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553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7905205E">
            <w:pPr>
              <w:spacing w:line="320" w:lineRule="atLeast"/>
              <w:rPr>
                <w:color w:val="auto"/>
                <w:highlight w:val="none"/>
              </w:rPr>
            </w:pPr>
          </w:p>
        </w:tc>
        <w:tc>
          <w:tcPr>
            <w:tcW w:w="1204" w:type="dxa"/>
            <w:vMerge w:val="continue"/>
            <w:noWrap w:val="0"/>
            <w:vAlign w:val="center"/>
          </w:tcPr>
          <w:p w14:paraId="0C50280C">
            <w:pPr>
              <w:spacing w:line="320" w:lineRule="atLeast"/>
              <w:rPr>
                <w:color w:val="auto"/>
                <w:highlight w:val="none"/>
              </w:rPr>
            </w:pPr>
          </w:p>
        </w:tc>
        <w:tc>
          <w:tcPr>
            <w:tcW w:w="2931" w:type="dxa"/>
            <w:noWrap w:val="0"/>
            <w:vAlign w:val="center"/>
          </w:tcPr>
          <w:p w14:paraId="3A2D0D4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5101" w:type="dxa"/>
            <w:noWrap w:val="0"/>
            <w:vAlign w:val="center"/>
          </w:tcPr>
          <w:p w14:paraId="49240866">
            <w:pPr>
              <w:spacing w:line="320" w:lineRule="atLeast"/>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DA8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3B748B3B">
            <w:pPr>
              <w:spacing w:line="320" w:lineRule="atLeast"/>
              <w:rPr>
                <w:color w:val="auto"/>
                <w:highlight w:val="none"/>
              </w:rPr>
            </w:pPr>
          </w:p>
        </w:tc>
        <w:tc>
          <w:tcPr>
            <w:tcW w:w="1204" w:type="dxa"/>
            <w:vMerge w:val="continue"/>
            <w:noWrap w:val="0"/>
            <w:vAlign w:val="center"/>
          </w:tcPr>
          <w:p w14:paraId="58AA67A8">
            <w:pPr>
              <w:spacing w:line="320" w:lineRule="atLeast"/>
              <w:rPr>
                <w:color w:val="auto"/>
                <w:highlight w:val="none"/>
              </w:rPr>
            </w:pPr>
          </w:p>
        </w:tc>
        <w:tc>
          <w:tcPr>
            <w:tcW w:w="2931" w:type="dxa"/>
            <w:noWrap w:val="0"/>
            <w:vAlign w:val="center"/>
          </w:tcPr>
          <w:p w14:paraId="16A8D7B3">
            <w:pPr>
              <w:spacing w:line="320" w:lineRule="atLeast"/>
              <w:rPr>
                <w:rFonts w:hint="eastAsia" w:ascii="宋体" w:cs="仿宋_GB2312"/>
                <w:color w:val="auto"/>
                <w:szCs w:val="21"/>
                <w:highlight w:val="none"/>
                <w:lang w:val="zh-CN"/>
              </w:rPr>
            </w:pPr>
            <w:r>
              <w:rPr>
                <w:rFonts w:hint="eastAsia" w:ascii="宋体"/>
                <w:color w:val="auto"/>
                <w:szCs w:val="21"/>
                <w:highlight w:val="none"/>
              </w:rPr>
              <w:t>（3）报价唯一</w:t>
            </w:r>
          </w:p>
        </w:tc>
        <w:tc>
          <w:tcPr>
            <w:tcW w:w="5101" w:type="dxa"/>
            <w:noWrap w:val="0"/>
            <w:vAlign w:val="center"/>
          </w:tcPr>
          <w:p w14:paraId="5B76B05E">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6D9B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5BB5A752">
            <w:pPr>
              <w:spacing w:line="320" w:lineRule="atLeast"/>
              <w:rPr>
                <w:color w:val="auto"/>
                <w:highlight w:val="none"/>
              </w:rPr>
            </w:pPr>
          </w:p>
        </w:tc>
        <w:tc>
          <w:tcPr>
            <w:tcW w:w="1204" w:type="dxa"/>
            <w:vMerge w:val="continue"/>
            <w:noWrap w:val="0"/>
            <w:vAlign w:val="center"/>
          </w:tcPr>
          <w:p w14:paraId="3D464BDC">
            <w:pPr>
              <w:spacing w:line="320" w:lineRule="atLeast"/>
              <w:rPr>
                <w:color w:val="auto"/>
                <w:highlight w:val="none"/>
              </w:rPr>
            </w:pPr>
          </w:p>
        </w:tc>
        <w:tc>
          <w:tcPr>
            <w:tcW w:w="2931" w:type="dxa"/>
            <w:noWrap w:val="0"/>
            <w:vAlign w:val="center"/>
          </w:tcPr>
          <w:p w14:paraId="1570C2C0">
            <w:pPr>
              <w:spacing w:line="320" w:lineRule="atLeast"/>
              <w:rPr>
                <w:rFonts w:hint="eastAsia" w:ascii="宋体"/>
                <w:color w:val="auto"/>
                <w:szCs w:val="21"/>
                <w:highlight w:val="none"/>
              </w:rPr>
            </w:pPr>
            <w:r>
              <w:rPr>
                <w:rFonts w:hint="eastAsia" w:ascii="宋体"/>
                <w:color w:val="auto"/>
                <w:szCs w:val="21"/>
                <w:highlight w:val="none"/>
              </w:rPr>
              <w:t xml:space="preserve"> (4) 投标文件的有效期</w:t>
            </w:r>
          </w:p>
        </w:tc>
        <w:tc>
          <w:tcPr>
            <w:tcW w:w="5101" w:type="dxa"/>
            <w:noWrap w:val="0"/>
            <w:vAlign w:val="center"/>
          </w:tcPr>
          <w:p w14:paraId="0A10476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B6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731" w:type="dxa"/>
            <w:vMerge w:val="restart"/>
            <w:noWrap w:val="0"/>
            <w:vAlign w:val="center"/>
          </w:tcPr>
          <w:p w14:paraId="4503882E">
            <w:pPr>
              <w:spacing w:line="320" w:lineRule="atLeast"/>
              <w:jc w:val="center"/>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7F32534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5EF20D31">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5101" w:type="dxa"/>
            <w:noWrap w:val="0"/>
            <w:vAlign w:val="center"/>
          </w:tcPr>
          <w:p w14:paraId="0504A0B0">
            <w:pPr>
              <w:spacing w:line="320" w:lineRule="atLeast"/>
              <w:rPr>
                <w:rFonts w:hint="eastAsia" w:ascii="宋体" w:cs="宋体"/>
                <w:color w:val="auto"/>
                <w:szCs w:val="21"/>
                <w:highlight w:val="none"/>
              </w:rPr>
            </w:pPr>
            <w:r>
              <w:rPr>
                <w:rFonts w:hint="eastAsia" w:ascii="宋体" w:hAnsi="宋体" w:cs="宋体"/>
                <w:color w:val="auto"/>
                <w:szCs w:val="21"/>
                <w:highlight w:val="none"/>
              </w:rPr>
              <w:t>网上递交的电子投标文件：一份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r w14:paraId="2B6B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4C11AB6">
            <w:pPr>
              <w:spacing w:line="320" w:lineRule="atLeast"/>
              <w:rPr>
                <w:color w:val="auto"/>
                <w:highlight w:val="none"/>
              </w:rPr>
            </w:pPr>
          </w:p>
        </w:tc>
        <w:tc>
          <w:tcPr>
            <w:tcW w:w="1204" w:type="dxa"/>
            <w:vMerge w:val="continue"/>
            <w:noWrap w:val="0"/>
            <w:vAlign w:val="center"/>
          </w:tcPr>
          <w:p w14:paraId="068F4ED8">
            <w:pPr>
              <w:spacing w:line="320" w:lineRule="atLeast"/>
              <w:rPr>
                <w:color w:val="auto"/>
                <w:highlight w:val="none"/>
              </w:rPr>
            </w:pPr>
          </w:p>
        </w:tc>
        <w:tc>
          <w:tcPr>
            <w:tcW w:w="2931" w:type="dxa"/>
            <w:noWrap w:val="0"/>
            <w:vAlign w:val="center"/>
          </w:tcPr>
          <w:p w14:paraId="5F71AFEB">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5101" w:type="dxa"/>
            <w:noWrap w:val="0"/>
            <w:vAlign w:val="center"/>
          </w:tcPr>
          <w:p w14:paraId="253308E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bl>
    <w:p w14:paraId="63A99023">
      <w:pPr>
        <w:spacing w:line="400" w:lineRule="exact"/>
        <w:ind w:firstLine="506" w:firstLineChars="241"/>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4.2资格审查及评分细则中涉及的有关证明材料及相关证书，电子投标文件中须按招标文件要求上传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7F46A057">
      <w:pPr>
        <w:spacing w:line="400" w:lineRule="exact"/>
        <w:ind w:firstLine="506" w:firstLineChars="241"/>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12E29A7C">
      <w:pPr>
        <w:spacing w:line="400" w:lineRule="exact"/>
        <w:ind w:firstLine="506" w:firstLineChars="241"/>
        <w:rPr>
          <w:rFonts w:hint="eastAsia" w:ascii="宋体" w:hAnsi="宋体" w:eastAsia="宋体" w:cs="宋体"/>
          <w:b/>
          <w:bCs/>
          <w:color w:val="auto"/>
          <w:sz w:val="24"/>
          <w:szCs w:val="24"/>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7D924252">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投标文件的澄清和补正</w:t>
      </w:r>
      <w:bookmarkEnd w:id="61"/>
    </w:p>
    <w:p w14:paraId="4E35044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33FDDA61">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投标人的澄清、说明或者补</w:t>
      </w:r>
    </w:p>
    <w:p w14:paraId="267F1FA5">
      <w:pPr>
        <w:keepNext w:val="0"/>
        <w:keepLines w:val="0"/>
        <w:pageBreakBefore w:val="0"/>
        <w:widowControl w:val="0"/>
        <w:kinsoku/>
        <w:wordWrap/>
        <w:overflowPunct/>
        <w:topLinePunct w:val="0"/>
        <w:autoSpaceDE/>
        <w:autoSpaceDN/>
        <w:bidi w:val="0"/>
        <w:adjustRightInd/>
        <w:snapToGrid/>
        <w:spacing w:line="440" w:lineRule="exact"/>
        <w:ind w:firstLine="527" w:firstLineChars="250"/>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23841C5D">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1053594E">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2973CB46">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1138E099">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05EF3AE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p>
    <w:p w14:paraId="49A6CEAA">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2" w:name="_Toc30419"/>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、投标报价评分细则</w:t>
      </w:r>
      <w:bookmarkEnd w:id="62"/>
    </w:p>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5A1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14609569">
            <w:pPr>
              <w:spacing w:line="320" w:lineRule="atLeast"/>
              <w:jc w:val="center"/>
              <w:rPr>
                <w:rFonts w:hint="eastAsia" w:ascii="黑体" w:hAnsi="Times New Roman" w:eastAsia="黑体" w:cs="黑体"/>
                <w:b/>
                <w:bCs/>
                <w:color w:val="auto"/>
                <w:szCs w:val="21"/>
                <w:highlight w:val="none"/>
              </w:rPr>
            </w:pPr>
            <w:r>
              <w:rPr>
                <w:rFonts w:hint="eastAsia" w:ascii="黑体" w:hAnsi="Times New Roman" w:eastAsia="黑体" w:cs="黑体"/>
                <w:b/>
                <w:bCs/>
                <w:color w:val="auto"/>
                <w:szCs w:val="21"/>
                <w:highlight w:val="none"/>
              </w:rPr>
              <w:t>评审项</w:t>
            </w:r>
          </w:p>
        </w:tc>
        <w:tc>
          <w:tcPr>
            <w:tcW w:w="1842" w:type="dxa"/>
            <w:vAlign w:val="center"/>
          </w:tcPr>
          <w:p w14:paraId="2E66EDB0">
            <w:pPr>
              <w:spacing w:line="320" w:lineRule="atLeast"/>
              <w:jc w:val="center"/>
              <w:rPr>
                <w:rFonts w:hint="eastAsia" w:ascii="黑体" w:hAnsi="Times New Roman" w:eastAsia="黑体" w:cs="黑体"/>
                <w:b/>
                <w:bCs/>
                <w:color w:val="auto"/>
                <w:szCs w:val="21"/>
                <w:highlight w:val="none"/>
              </w:rPr>
            </w:pPr>
            <w:r>
              <w:rPr>
                <w:rFonts w:hint="eastAsia" w:ascii="黑体" w:hAnsi="Times New Roman" w:eastAsia="黑体" w:cs="黑体"/>
                <w:b/>
                <w:bCs/>
                <w:color w:val="auto"/>
                <w:szCs w:val="21"/>
                <w:highlight w:val="none"/>
              </w:rPr>
              <w:t>评审因素</w:t>
            </w:r>
          </w:p>
        </w:tc>
        <w:tc>
          <w:tcPr>
            <w:tcW w:w="6067" w:type="dxa"/>
            <w:vAlign w:val="center"/>
          </w:tcPr>
          <w:p w14:paraId="22D39B9C">
            <w:pPr>
              <w:spacing w:line="320" w:lineRule="atLeast"/>
              <w:jc w:val="center"/>
              <w:rPr>
                <w:rFonts w:hint="eastAsia" w:ascii="黑体" w:hAnsi="Times New Roman" w:eastAsia="黑体" w:cs="黑体"/>
                <w:b/>
                <w:bCs/>
                <w:color w:val="auto"/>
                <w:szCs w:val="21"/>
                <w:highlight w:val="none"/>
              </w:rPr>
            </w:pPr>
            <w:r>
              <w:rPr>
                <w:rFonts w:hint="eastAsia" w:ascii="黑体" w:hAnsi="Times New Roman" w:eastAsia="黑体" w:cs="黑体"/>
                <w:b/>
                <w:bCs/>
                <w:color w:val="auto"/>
                <w:szCs w:val="21"/>
                <w:highlight w:val="none"/>
              </w:rPr>
              <w:t>评审标准</w:t>
            </w:r>
          </w:p>
        </w:tc>
      </w:tr>
      <w:tr w14:paraId="5FC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46BB242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4F98269D">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2BBC26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4DD036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2A66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68D41E7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EB6DDCA">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5F207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2DA2E2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0D4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F6B7664">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2D64B55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69A3E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0E620C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506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37040A3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025AADEE">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7CFA88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7E1DB2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78A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69CF0CD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038F436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F8F846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7909" w:type="dxa"/>
            <w:gridSpan w:val="2"/>
            <w:vAlign w:val="center"/>
          </w:tcPr>
          <w:p w14:paraId="4B9CB1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auto"/>
                <w:sz w:val="21"/>
                <w:szCs w:val="21"/>
                <w:highlight w:val="none"/>
                <w:lang w:eastAsia="zh-CN"/>
              </w:rPr>
            </w:pPr>
            <w:r>
              <w:rPr>
                <w:rFonts w:ascii="宋体" w:hAnsi="宋体" w:cs="宋体"/>
                <w:color w:val="auto"/>
                <w:sz w:val="21"/>
                <w:szCs w:val="21"/>
                <w:highlight w:val="none"/>
              </w:rPr>
              <w:t>1</w:t>
            </w:r>
            <w:r>
              <w:rPr>
                <w:rFonts w:hint="eastAsia" w:ascii="宋体" w:hAnsi="宋体" w:cs="宋体"/>
                <w:color w:val="auto"/>
                <w:sz w:val="21"/>
                <w:szCs w:val="21"/>
                <w:highlight w:val="none"/>
              </w:rPr>
              <w:t>、招标人设置投标报价最高限价，各投标人有效报价不得高于最高限价，否则，其投标文件按无效标处理。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投标报价不可以填报0或负数，否则按无效标处理</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以基本费率作为评审价格</w:t>
            </w:r>
            <w:r>
              <w:rPr>
                <w:rFonts w:hint="eastAsia" w:ascii="宋体" w:hAnsi="宋体" w:eastAsia="宋体" w:cs="宋体"/>
                <w:b/>
                <w:bCs/>
                <w:color w:val="auto"/>
                <w:sz w:val="21"/>
                <w:szCs w:val="21"/>
                <w:highlight w:val="none"/>
                <w:lang w:eastAsia="zh-CN"/>
              </w:rPr>
              <w:t>）</w:t>
            </w:r>
          </w:p>
          <w:p w14:paraId="4CF931AD">
            <w:pPr>
              <w:keepNext w:val="0"/>
              <w:keepLines w:val="0"/>
              <w:pageBreakBefore w:val="0"/>
              <w:widowControl w:val="0"/>
              <w:tabs>
                <w:tab w:val="left" w:pos="1080"/>
              </w:tabs>
              <w:kinsoku/>
              <w:wordWrap/>
              <w:overflowPunct/>
              <w:topLinePunct w:val="0"/>
              <w:autoSpaceDE/>
              <w:autoSpaceDN/>
              <w:bidi w:val="0"/>
              <w:adjustRightInd/>
              <w:snapToGrid/>
              <w:spacing w:line="360" w:lineRule="exact"/>
              <w:ind w:right="105"/>
              <w:textAlignment w:val="auto"/>
              <w:rPr>
                <w:rFonts w:hint="eastAsia" w:ascii="宋体" w:hAnsi="宋体" w:eastAsia="宋体" w:cs="宋体"/>
                <w:color w:val="auto"/>
                <w:sz w:val="21"/>
                <w:szCs w:val="21"/>
                <w:highlight w:val="none"/>
                <w:lang w:eastAsia="zh-CN"/>
              </w:rPr>
            </w:pPr>
            <w:r>
              <w:rPr>
                <w:rFonts w:ascii="宋体" w:hAnsi="宋体" w:cs="宋体"/>
                <w:color w:val="auto"/>
                <w:sz w:val="21"/>
                <w:szCs w:val="21"/>
                <w:highlight w:val="none"/>
              </w:rPr>
              <w:t>2</w:t>
            </w:r>
            <w:r>
              <w:rPr>
                <w:rFonts w:hint="eastAsia" w:ascii="宋体" w:hAnsi="宋体" w:cs="宋体"/>
                <w:color w:val="auto"/>
                <w:sz w:val="21"/>
                <w:szCs w:val="21"/>
                <w:highlight w:val="none"/>
              </w:rPr>
              <w:t>、评标基准值为所有投标人投标报价的算术平均值</w:t>
            </w:r>
            <w:r>
              <w:rPr>
                <w:rFonts w:hint="eastAsia" w:ascii="宋体" w:hAnsi="宋体" w:cs="宋体"/>
                <w:color w:val="auto"/>
                <w:sz w:val="21"/>
                <w:szCs w:val="21"/>
                <w:highlight w:val="none"/>
                <w:lang w:eastAsia="zh-CN"/>
              </w:rPr>
              <w:t>。</w:t>
            </w:r>
          </w:p>
          <w:p w14:paraId="72384CD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、各投标人的投标总报价与评标基准值相比，相同的得100分，每高1个点扣1.0分，每低1个点扣0.5分；不足1个点的按插入法计算。</w:t>
            </w:r>
          </w:p>
          <w:p w14:paraId="6741A1B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、本项分值由招标代理机构计算，评标委员会复核。</w:t>
            </w:r>
          </w:p>
          <w:p w14:paraId="4561AEB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、评分计算示例：假设评标基准值为</w:t>
            </w:r>
            <w:r>
              <w:rPr>
                <w:rFonts w:hint="eastAsia" w:ascii="宋体" w:hAnsi="宋体" w:cs="宋体"/>
                <w:color w:val="auto"/>
                <w:sz w:val="21"/>
                <w:szCs w:val="21"/>
                <w:highlight w:val="none"/>
                <w:lang w:val="en-US" w:eastAsia="zh-CN"/>
              </w:rPr>
              <w:t>1.12‰</w:t>
            </w:r>
            <w:r>
              <w:rPr>
                <w:rFonts w:hint="eastAsia" w:ascii="宋体" w:hAnsi="宋体" w:cs="宋体"/>
                <w:color w:val="auto"/>
                <w:sz w:val="21"/>
                <w:szCs w:val="21"/>
                <w:highlight w:val="none"/>
              </w:rPr>
              <w:t>，投标人甲的报价为</w:t>
            </w:r>
            <w:r>
              <w:rPr>
                <w:rFonts w:hint="eastAsia" w:ascii="宋体" w:hAnsi="宋体" w:cs="宋体"/>
                <w:color w:val="auto"/>
                <w:sz w:val="21"/>
                <w:szCs w:val="21"/>
                <w:highlight w:val="none"/>
                <w:lang w:val="en-US" w:eastAsia="zh-CN"/>
              </w:rPr>
              <w:t>1.28‰</w:t>
            </w:r>
            <w:r>
              <w:rPr>
                <w:rFonts w:hint="eastAsia" w:ascii="宋体" w:hAnsi="宋体" w:cs="宋体"/>
                <w:color w:val="auto"/>
                <w:sz w:val="21"/>
                <w:szCs w:val="21"/>
                <w:highlight w:val="none"/>
              </w:rPr>
              <w:t>、投标人乙的报价为</w:t>
            </w:r>
            <w:r>
              <w:rPr>
                <w:rFonts w:hint="eastAsia" w:ascii="宋体" w:hAnsi="宋体" w:cs="宋体"/>
                <w:color w:val="auto"/>
                <w:sz w:val="21"/>
                <w:szCs w:val="21"/>
                <w:highlight w:val="none"/>
                <w:lang w:val="en-US" w:eastAsia="zh-CN"/>
              </w:rPr>
              <w:t>0.98‰</w:t>
            </w:r>
            <w:r>
              <w:rPr>
                <w:rFonts w:hint="eastAsia" w:ascii="宋体" w:hAnsi="宋体" w:cs="宋体"/>
                <w:color w:val="auto"/>
                <w:sz w:val="21"/>
                <w:szCs w:val="21"/>
                <w:highlight w:val="none"/>
              </w:rPr>
              <w:t>、投标人丙的报价为</w:t>
            </w:r>
            <w:r>
              <w:rPr>
                <w:rFonts w:hint="eastAsia" w:ascii="宋体" w:hAnsi="宋体" w:cs="宋体"/>
                <w:color w:val="auto"/>
                <w:sz w:val="21"/>
                <w:szCs w:val="21"/>
                <w:highlight w:val="none"/>
                <w:lang w:val="en-US" w:eastAsia="zh-CN"/>
              </w:rPr>
              <w:t>1.12‰</w:t>
            </w:r>
            <w:r>
              <w:rPr>
                <w:rFonts w:hint="eastAsia" w:ascii="宋体" w:hAnsi="宋体" w:cs="宋体"/>
                <w:color w:val="auto"/>
                <w:sz w:val="21"/>
                <w:szCs w:val="21"/>
                <w:highlight w:val="none"/>
              </w:rPr>
              <w:t>，计算各投标人得分如下：</w:t>
            </w:r>
          </w:p>
          <w:p w14:paraId="010D053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hint="eastAsia" w:ascii="宋体" w:hAnsi="宋体" w:cs="宋体"/>
                <w:color w:val="auto"/>
                <w:sz w:val="21"/>
                <w:szCs w:val="21"/>
                <w:highlight w:val="none"/>
              </w:rPr>
              <w:t>投标人甲：</w:t>
            </w:r>
            <w:r>
              <w:rPr>
                <w:rFonts w:hint="eastAsia" w:ascii="宋体" w:hAnsi="宋体" w:cs="宋体"/>
                <w:color w:val="auto"/>
                <w:sz w:val="21"/>
                <w:szCs w:val="21"/>
                <w:highlight w:val="none"/>
                <w:lang w:val="en-US" w:eastAsia="zh-CN"/>
              </w:rPr>
              <w:t>1.28</w:t>
            </w:r>
            <w:r>
              <w:rPr>
                <w:rFonts w:ascii="宋体" w:cs="宋体"/>
                <w:color w:val="auto"/>
                <w:sz w:val="21"/>
                <w:szCs w:val="21"/>
                <w:highlight w:val="none"/>
              </w:rPr>
              <w:t>-</w:t>
            </w:r>
            <w:r>
              <w:rPr>
                <w:rFonts w:hint="eastAsia" w:ascii="宋体" w:hAnsi="宋体" w:cs="宋体"/>
                <w:color w:val="auto"/>
                <w:sz w:val="21"/>
                <w:szCs w:val="21"/>
                <w:highlight w:val="none"/>
                <w:lang w:val="en-US" w:eastAsia="zh-CN"/>
              </w:rPr>
              <w:t>1.12</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0.16</w:t>
            </w:r>
            <w:r>
              <w:rPr>
                <w:rFonts w:hint="eastAsia" w:ascii="宋体" w:hAnsi="宋体" w:cs="宋体"/>
                <w:color w:val="auto"/>
                <w:sz w:val="21"/>
                <w:szCs w:val="21"/>
                <w:highlight w:val="none"/>
              </w:rPr>
              <w:t>，得分</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0.16*1.0</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99.84</w:t>
            </w:r>
            <w:r>
              <w:rPr>
                <w:rFonts w:hint="eastAsia" w:ascii="宋体" w:hAnsi="宋体" w:cs="宋体"/>
                <w:color w:val="auto"/>
                <w:sz w:val="21"/>
                <w:szCs w:val="21"/>
                <w:highlight w:val="none"/>
              </w:rPr>
              <w:t>；</w:t>
            </w:r>
          </w:p>
          <w:p w14:paraId="560EF8E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hint="eastAsia" w:ascii="宋体" w:hAnsi="宋体" w:cs="宋体"/>
                <w:color w:val="auto"/>
                <w:sz w:val="21"/>
                <w:szCs w:val="21"/>
                <w:highlight w:val="none"/>
              </w:rPr>
              <w:t>投标人乙：</w:t>
            </w:r>
            <w:r>
              <w:rPr>
                <w:rFonts w:hint="eastAsia" w:ascii="宋体" w:hAnsi="宋体" w:cs="宋体"/>
                <w:color w:val="auto"/>
                <w:sz w:val="21"/>
                <w:szCs w:val="21"/>
                <w:highlight w:val="none"/>
                <w:lang w:val="en-US" w:eastAsia="zh-CN"/>
              </w:rPr>
              <w:t>0.98-1.12</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-0.14</w:t>
            </w:r>
            <w:r>
              <w:rPr>
                <w:rFonts w:hint="eastAsia" w:ascii="宋体" w:hAnsi="宋体" w:cs="宋体"/>
                <w:color w:val="auto"/>
                <w:sz w:val="21"/>
                <w:szCs w:val="21"/>
                <w:highlight w:val="none"/>
              </w:rPr>
              <w:t>，得分</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100-0.14*0.5=99.93</w:t>
            </w:r>
            <w:r>
              <w:rPr>
                <w:rFonts w:hint="eastAsia" w:ascii="宋体" w:hAnsi="宋体" w:cs="宋体"/>
                <w:color w:val="auto"/>
                <w:sz w:val="21"/>
                <w:szCs w:val="21"/>
                <w:highlight w:val="none"/>
              </w:rPr>
              <w:t>；</w:t>
            </w:r>
          </w:p>
          <w:p w14:paraId="25EEC4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投标人丙：</w:t>
            </w:r>
            <w:r>
              <w:rPr>
                <w:rFonts w:hint="eastAsia" w:ascii="宋体" w:hAnsi="宋体" w:cs="宋体"/>
                <w:color w:val="auto"/>
                <w:sz w:val="21"/>
                <w:szCs w:val="21"/>
                <w:highlight w:val="none"/>
                <w:lang w:val="en-US" w:eastAsia="zh-CN"/>
              </w:rPr>
              <w:t>1.12-1.12</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，得分</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w:t>
            </w:r>
          </w:p>
          <w:p w14:paraId="4482D6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ascii="宋体" w:hAnsi="宋体" w:eastAsia="宋体" w:cs="宋体"/>
                <w:b/>
                <w:bCs/>
                <w:color w:val="auto"/>
                <w:kern w:val="2"/>
                <w:sz w:val="21"/>
                <w:szCs w:val="21"/>
                <w:highlight w:val="none"/>
                <w:lang w:val="en-US" w:eastAsia="zh-CN" w:bidi="ar-SA"/>
              </w:rPr>
              <w:t>注：计算过程中，评标基准值、偏差率、报价得分均保留两位小数，小数点后第三位四舍五入。</w:t>
            </w:r>
          </w:p>
        </w:tc>
      </w:tr>
    </w:tbl>
    <w:p w14:paraId="1DD67D2D">
      <w:pPr>
        <w:keepNext w:val="0"/>
        <w:keepLines w:val="0"/>
        <w:pageBreakBefore w:val="0"/>
        <w:widowControl w:val="0"/>
        <w:kinsoku/>
        <w:wordWrap/>
        <w:overflowPunct/>
        <w:topLinePunct w:val="0"/>
        <w:autoSpaceDE/>
        <w:autoSpaceDN/>
        <w:bidi w:val="0"/>
        <w:adjustRightInd/>
        <w:snapToGrid/>
        <w:spacing w:before="313" w:beforeLines="100" w:line="360" w:lineRule="exact"/>
        <w:jc w:val="center"/>
        <w:textAlignment w:val="auto"/>
        <w:outlineLvl w:val="1"/>
        <w:rPr>
          <w:rFonts w:hint="eastAsia" w:ascii="宋体" w:hAnsi="宋体" w:eastAsia="宋体" w:cs="宋体"/>
          <w:b/>
          <w:bCs/>
          <w:color w:val="auto"/>
          <w:sz w:val="24"/>
          <w:szCs w:val="24"/>
          <w:highlight w:val="none"/>
        </w:rPr>
      </w:pPr>
      <w:bookmarkStart w:id="63"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3"/>
    </w:p>
    <w:p w14:paraId="1BD855F9">
      <w:pPr>
        <w:pStyle w:val="44"/>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小组先</w:t>
      </w:r>
      <w:r>
        <w:rPr>
          <w:rFonts w:hint="eastAsia" w:ascii="宋体" w:hAnsi="宋体" w:cs="宋体"/>
          <w:color w:val="auto"/>
          <w:sz w:val="21"/>
          <w:szCs w:val="21"/>
          <w:highlight w:val="none"/>
          <w:lang w:val="en-US" w:eastAsia="zh-CN"/>
        </w:rPr>
        <w:t>按标段</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投标报价不高于投标限价的</w:t>
      </w:r>
      <w:r>
        <w:rPr>
          <w:rFonts w:hint="eastAsia" w:ascii="宋体" w:hAnsi="宋体" w:eastAsia="宋体" w:cs="宋体"/>
          <w:color w:val="auto"/>
          <w:sz w:val="21"/>
          <w:szCs w:val="21"/>
          <w:highlight w:val="none"/>
        </w:rPr>
        <w:t>投标人报价按计算标准计算得分，得分按照从高到低进行排序</w:t>
      </w:r>
      <w:r>
        <w:rPr>
          <w:rFonts w:hint="eastAsia" w:ascii="宋体" w:hAnsi="宋体" w:cs="宋体"/>
          <w:color w:val="auto"/>
          <w:sz w:val="21"/>
          <w:szCs w:val="21"/>
          <w:highlight w:val="none"/>
          <w:lang w:eastAsia="zh-CN"/>
        </w:rPr>
        <w:t>，但投标报价低于其成本的除外</w:t>
      </w:r>
      <w:r>
        <w:rPr>
          <w:rFonts w:hint="eastAsia" w:ascii="宋体" w:hAnsi="宋体" w:eastAsia="宋体" w:cs="宋体"/>
          <w:color w:val="auto"/>
          <w:sz w:val="21"/>
          <w:szCs w:val="21"/>
          <w:highlight w:val="none"/>
        </w:rPr>
        <w:t>（如总得分相等，以投标报价低的优先，投标报价仍相等，由招标人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随机抽取确定排名，不得并列）。对排序前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文件进行评审并确定中标候选人。若排序前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文件评审不通过，则按得分排序递补至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家投标人进行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w:t>
      </w:r>
    </w:p>
    <w:p w14:paraId="2D219C1B">
      <w:pPr>
        <w:snapToGrid w:val="0"/>
        <w:spacing w:line="400" w:lineRule="exact"/>
        <w:ind w:firstLine="570"/>
        <w:rPr>
          <w:rFonts w:hint="eastAsia" w:ascii="宋体"/>
          <w:b/>
          <w:color w:val="auto"/>
          <w:szCs w:val="21"/>
          <w:highlight w:val="none"/>
        </w:rPr>
      </w:pPr>
      <w:r>
        <w:rPr>
          <w:rFonts w:hint="eastAsia" w:ascii="宋体"/>
          <w:b/>
          <w:color w:val="auto"/>
          <w:szCs w:val="21"/>
          <w:highlight w:val="none"/>
          <w:lang w:val="en-US" w:eastAsia="zh-CN"/>
        </w:rPr>
        <w:t>9.</w:t>
      </w:r>
      <w:r>
        <w:rPr>
          <w:rFonts w:hint="eastAsia" w:ascii="宋体" w:hAnsi="宋体"/>
          <w:b/>
          <w:color w:val="auto"/>
          <w:sz w:val="24"/>
          <w:highlight w:val="none"/>
        </w:rPr>
        <w:t xml:space="preserve"> </w:t>
      </w:r>
      <w:r>
        <w:rPr>
          <w:rFonts w:hint="eastAsia" w:ascii="宋体"/>
          <w:b/>
          <w:color w:val="auto"/>
          <w:szCs w:val="21"/>
          <w:highlight w:val="none"/>
        </w:rPr>
        <w:t>无效投标条款</w:t>
      </w:r>
    </w:p>
    <w:p w14:paraId="4C4B7412">
      <w:pPr>
        <w:snapToGrid w:val="0"/>
        <w:spacing w:line="400" w:lineRule="exact"/>
        <w:ind w:firstLine="525" w:firstLineChars="250"/>
        <w:rPr>
          <w:rFonts w:hint="eastAsia" w:ascii="宋体" w:cs="宋体"/>
          <w:color w:val="auto"/>
          <w:szCs w:val="21"/>
          <w:highlight w:val="none"/>
        </w:rPr>
      </w:pPr>
      <w:r>
        <w:rPr>
          <w:rFonts w:hint="eastAsia" w:ascii="宋体" w:cs="宋体"/>
          <w:color w:val="auto"/>
          <w:szCs w:val="21"/>
          <w:highlight w:val="none"/>
          <w:lang w:val="en-US" w:eastAsia="zh-CN"/>
        </w:rPr>
        <w:t>9</w:t>
      </w:r>
      <w:r>
        <w:rPr>
          <w:rFonts w:hint="eastAsia" w:ascii="宋体" w:cs="宋体"/>
          <w:color w:val="auto"/>
          <w:szCs w:val="21"/>
          <w:highlight w:val="none"/>
        </w:rPr>
        <w:t>.1投标文件有下列情形之一的,其投标文件拒收:</w:t>
      </w:r>
    </w:p>
    <w:p w14:paraId="27A02168">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）未在开标截止时间前通过网上招标投标系统递交有效电子投标文件的，开标系统不予接收，投标将被拒绝。</w:t>
      </w:r>
    </w:p>
    <w:p w14:paraId="257D62F8">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0分钟，否则投标文件将被拒绝。</w:t>
      </w:r>
    </w:p>
    <w:p w14:paraId="74A3DC8C">
      <w:pPr>
        <w:snapToGrid w:val="0"/>
        <w:spacing w:line="400" w:lineRule="exact"/>
        <w:ind w:firstLine="525" w:firstLineChars="250"/>
        <w:rPr>
          <w:rFonts w:hint="eastAsia" w:ascii="宋体" w:hAnsi="Times New Roman" w:eastAsia="宋体" w:cs="宋体"/>
          <w:color w:val="auto"/>
          <w:szCs w:val="21"/>
          <w:highlight w:val="none"/>
          <w:lang w:eastAsia="zh-CN"/>
        </w:rPr>
      </w:pPr>
      <w:r>
        <w:rPr>
          <w:rFonts w:hint="eastAsia" w:ascii="宋体" w:hAnsi="Times New Roman" w:eastAsia="宋体" w:cs="宋体"/>
          <w:color w:val="auto"/>
          <w:szCs w:val="21"/>
          <w:highlight w:val="none"/>
          <w:lang w:val="en-US" w:eastAsia="zh-CN"/>
        </w:rPr>
        <w:t>9</w:t>
      </w:r>
      <w:r>
        <w:rPr>
          <w:rFonts w:hint="eastAsia" w:ascii="宋体" w:hAnsi="Times New Roman" w:eastAsia="宋体" w:cs="宋体"/>
          <w:color w:val="auto"/>
          <w:szCs w:val="21"/>
          <w:highlight w:val="none"/>
          <w:lang w:eastAsia="zh-CN"/>
        </w:rPr>
        <w:t>.2 投标人有下列情形之一的,资格审查后其投标作无效投标处理：</w:t>
      </w:r>
    </w:p>
    <w:p w14:paraId="1B1D699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(1)投标人为本项目提供招标代理服务的；</w:t>
      </w:r>
    </w:p>
    <w:p w14:paraId="126D240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(2)投标人与在本项目代理机构存在相互任职或工作的；</w:t>
      </w:r>
    </w:p>
    <w:p w14:paraId="459DB034">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(3)评标专家无法查看并检验电子投标文件中相关资料的；</w:t>
      </w:r>
    </w:p>
    <w:p w14:paraId="25FE51C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(4)联合体投标未提交联合体协议的；</w:t>
      </w:r>
    </w:p>
    <w:p w14:paraId="26ED93D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(5)</w:t>
      </w:r>
      <w:r>
        <w:rPr>
          <w:rFonts w:hint="eastAsia" w:ascii="宋体" w:hAnsi="宋体" w:eastAsia="宋体" w:cs="宋体"/>
          <w:b w:val="0"/>
          <w:bCs/>
          <w:color w:val="auto"/>
          <w:szCs w:val="21"/>
          <w:highlight w:val="none"/>
          <w:lang w:val="en-US" w:eastAsia="zh-CN"/>
        </w:rPr>
        <w:t>被责令停产停业的；</w:t>
      </w:r>
    </w:p>
    <w:p w14:paraId="185A7153">
      <w:pPr>
        <w:snapToGrid w:val="0"/>
        <w:spacing w:line="440" w:lineRule="exact"/>
        <w:ind w:right="-212" w:rightChars="-101"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eastAsia="zh-CN"/>
        </w:rPr>
        <w:t>(6)</w:t>
      </w:r>
      <w:r>
        <w:rPr>
          <w:rFonts w:hint="eastAsia" w:ascii="宋体" w:hAnsi="宋体" w:eastAsia="宋体" w:cs="宋体"/>
          <w:b w:val="0"/>
          <w:bCs/>
          <w:color w:val="auto"/>
          <w:szCs w:val="21"/>
          <w:highlight w:val="none"/>
          <w:lang w:val="en-US" w:eastAsia="zh-CN"/>
        </w:rPr>
        <w:t>被暂停或取消参与政府采购项目资格的；</w:t>
      </w:r>
    </w:p>
    <w:p w14:paraId="1729B442">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(7)</w:t>
      </w:r>
      <w:r>
        <w:rPr>
          <w:rFonts w:hint="eastAsia" w:ascii="宋体" w:hAnsi="宋体" w:eastAsia="宋体" w:cs="宋体"/>
          <w:b w:val="0"/>
          <w:bCs/>
          <w:color w:val="auto"/>
          <w:szCs w:val="21"/>
          <w:highlight w:val="none"/>
          <w:lang w:val="en-US" w:eastAsia="zh-CN"/>
        </w:rPr>
        <w:t>投标人单位负责人为同一人或者存在直接控股、管理关系的不同单位的；</w:t>
      </w:r>
    </w:p>
    <w:p w14:paraId="360473C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(8)保证金不按第二章“投标人须知”及其前附表要求提交投标保证金的；</w:t>
      </w:r>
    </w:p>
    <w:p w14:paraId="18F42FC9">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(9)投标人基本资格条件和特定资格条件中有一项及以上不符合要求的；</w:t>
      </w:r>
    </w:p>
    <w:p w14:paraId="2EE6A9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(10)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CF61F88">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(11)投标人单方面出现其他投标人材料的；</w:t>
      </w:r>
    </w:p>
    <w:p w14:paraId="24A30557">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(12)其它情形，经评标委员会委提出按无效投标处理；</w:t>
      </w:r>
    </w:p>
    <w:p w14:paraId="2607D00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(13)招标文件规定的其它无效投标情形。</w:t>
      </w:r>
    </w:p>
    <w:p w14:paraId="719A569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.3 投标人有下列情形之一的,符合性审查后其投标按无效投标处理：</w:t>
      </w:r>
    </w:p>
    <w:p w14:paraId="39CA70E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(1)投标文件签字、盖章不全，经评标委员会一致认定对开评标内容有实质性影响的；</w:t>
      </w:r>
    </w:p>
    <w:p w14:paraId="4DFA38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(2)未按规定的格式填写导致实质性内容不全以及实质上不响应，或者关键字迹模糊、无法辨认的；</w:t>
      </w:r>
    </w:p>
    <w:p w14:paraId="531B491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(3)同一投标人提交两个以上不同的投标文件或者投标报价，但招标文件规定提交备选方案的除外；</w:t>
      </w:r>
    </w:p>
    <w:p w14:paraId="478E67A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(4)投标文件没有对招标文件的实质性要求和条件作出响应；</w:t>
      </w:r>
    </w:p>
    <w:p w14:paraId="57126E6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 xml:space="preserve">(5)投标报价超出规定的投标限价或公布的采购预算的或投标人的投标报价各项单价高于招标文件给定的单价最高限价； </w:t>
      </w:r>
    </w:p>
    <w:p w14:paraId="0ABE2C5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(6)不按评标委员会要求澄清、说明或补正的，或者评标委员会根据招标文件的规定对</w:t>
      </w:r>
      <w:r>
        <w:rPr>
          <w:rFonts w:hint="eastAsia" w:ascii="宋体" w:hAnsi="宋体" w:cs="宋体"/>
          <w:b w:val="0"/>
          <w:bCs/>
          <w:color w:val="auto"/>
          <w:szCs w:val="21"/>
          <w:highlight w:val="none"/>
          <w:lang w:val="en-US" w:eastAsia="zh-CN"/>
        </w:rPr>
        <w:t>投标</w:t>
      </w:r>
      <w:r>
        <w:rPr>
          <w:rFonts w:hint="eastAsia" w:ascii="宋体" w:hAnsi="宋体" w:cs="宋体"/>
          <w:b w:val="0"/>
          <w:bCs/>
          <w:color w:val="auto"/>
          <w:szCs w:val="21"/>
          <w:highlight w:val="none"/>
          <w:lang w:eastAsia="zh-CN"/>
        </w:rPr>
        <w:t>文件的计算错误进行修正后，投标人不接受修正的投标报价的；</w:t>
      </w:r>
    </w:p>
    <w:p w14:paraId="250B22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lang w:eastAsia="zh-CN"/>
        </w:rPr>
        <w:t>)其它情形，经评标委员会委提出按无效投标处理的；</w:t>
      </w:r>
    </w:p>
    <w:p w14:paraId="65D34F3C">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lang w:eastAsia="zh-CN"/>
        </w:rPr>
        <w:t>)投标文件含有招标人不能接受的附加条件的；</w:t>
      </w:r>
    </w:p>
    <w:p w14:paraId="4329233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)招标文件规定的其它无效投标情形。</w:t>
      </w:r>
    </w:p>
    <w:p w14:paraId="6A75F89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.4 投标人有下列情形之一的, 详细评审后其投标按无效投标处理：</w:t>
      </w:r>
    </w:p>
    <w:p w14:paraId="185F4F6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(1)投标产品不符合必须强制执行的国家标准的；</w:t>
      </w:r>
    </w:p>
    <w:p w14:paraId="556521D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(2)投标人有串通投标、弄虚作假、行贿等违法行为；</w:t>
      </w:r>
    </w:p>
    <w:p w14:paraId="7BE964DB">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(3)投标文件含有违反国家法律、法规的内容，或附有招标人不能接受的条件的；</w:t>
      </w:r>
    </w:p>
    <w:p w14:paraId="303DB01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lang w:eastAsia="zh-CN"/>
        </w:rPr>
        <w:t>)报价明显低于其他投标人，且不能证明报价合理性的投标无效；</w:t>
      </w:r>
    </w:p>
    <w:p w14:paraId="2851407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)拒不确认评标委员会评审修正的投标无效；</w:t>
      </w:r>
    </w:p>
    <w:p w14:paraId="767B61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lang w:eastAsia="zh-CN"/>
        </w:rPr>
        <w:t>)其它情形，经评标委员会委提出按无效投标处理的；</w:t>
      </w:r>
    </w:p>
    <w:p w14:paraId="0A5A1B4A">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lang w:eastAsia="zh-CN"/>
        </w:rPr>
        <w:t>)招标文件规定的其它无效投标情形。</w:t>
      </w:r>
    </w:p>
    <w:p w14:paraId="3C562433">
      <w:pPr>
        <w:rPr>
          <w:rFonts w:hint="eastAsia"/>
          <w:color w:val="auto"/>
          <w:highlight w:val="none"/>
        </w:rPr>
      </w:pPr>
    </w:p>
    <w:p w14:paraId="79D4181F">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bookmarkStart w:id="64" w:name="_Toc3848"/>
      <w:r>
        <w:rPr>
          <w:rFonts w:hint="eastAsia" w:ascii="宋体" w:hAnsi="宋体" w:eastAsia="宋体" w:cs="宋体"/>
          <w:color w:val="auto"/>
          <w:sz w:val="44"/>
          <w:szCs w:val="44"/>
          <w:highlight w:val="none"/>
          <w:lang w:val="en-US" w:eastAsia="zh-CN"/>
        </w:rPr>
        <w:t>第三章 合同条款</w:t>
      </w:r>
      <w:bookmarkEnd w:id="54"/>
      <w:bookmarkEnd w:id="55"/>
      <w:bookmarkEnd w:id="64"/>
    </w:p>
    <w:p w14:paraId="209DF1AC">
      <w:pPr>
        <w:rPr>
          <w:rFonts w:hint="eastAsia" w:ascii="宋体" w:hAnsi="宋体" w:eastAsia="宋体" w:cs="宋体"/>
          <w:color w:val="auto"/>
          <w:highlight w:val="none"/>
        </w:rPr>
      </w:pPr>
    </w:p>
    <w:p w14:paraId="4F6DA2D9">
      <w:pPr>
        <w:spacing w:line="360" w:lineRule="auto"/>
        <w:jc w:val="center"/>
        <w:rPr>
          <w:rFonts w:hint="eastAsia" w:ascii="宋体"/>
          <w:b/>
          <w:color w:val="auto"/>
          <w:sz w:val="52"/>
          <w:szCs w:val="24"/>
          <w:highlight w:val="none"/>
        </w:rPr>
      </w:pPr>
    </w:p>
    <w:p w14:paraId="20035B76">
      <w:pPr>
        <w:spacing w:line="360" w:lineRule="auto"/>
        <w:jc w:val="center"/>
        <w:rPr>
          <w:rFonts w:hint="eastAsia" w:ascii="宋体"/>
          <w:b/>
          <w:color w:val="auto"/>
          <w:sz w:val="52"/>
          <w:szCs w:val="24"/>
          <w:highlight w:val="none"/>
        </w:rPr>
      </w:pPr>
    </w:p>
    <w:p w14:paraId="7ADF00C0">
      <w:pPr>
        <w:spacing w:line="360" w:lineRule="auto"/>
        <w:jc w:val="center"/>
        <w:rPr>
          <w:rFonts w:hint="eastAsia" w:ascii="宋体"/>
          <w:b/>
          <w:color w:val="auto"/>
          <w:sz w:val="52"/>
          <w:szCs w:val="24"/>
          <w:highlight w:val="none"/>
        </w:rPr>
      </w:pPr>
      <w:r>
        <w:rPr>
          <w:rFonts w:hint="eastAsia" w:ascii="宋体"/>
          <w:b/>
          <w:color w:val="auto"/>
          <w:sz w:val="52"/>
          <w:szCs w:val="24"/>
          <w:highlight w:val="none"/>
        </w:rPr>
        <w:t>委</w:t>
      </w:r>
    </w:p>
    <w:p w14:paraId="34EBF081">
      <w:pPr>
        <w:spacing w:line="360" w:lineRule="auto"/>
        <w:jc w:val="center"/>
        <w:rPr>
          <w:rFonts w:hint="eastAsia" w:ascii="宋体"/>
          <w:b/>
          <w:color w:val="auto"/>
          <w:sz w:val="52"/>
          <w:szCs w:val="24"/>
          <w:highlight w:val="none"/>
        </w:rPr>
      </w:pPr>
      <w:r>
        <w:rPr>
          <w:rFonts w:hint="eastAsia" w:ascii="宋体"/>
          <w:b/>
          <w:color w:val="auto"/>
          <w:sz w:val="52"/>
          <w:szCs w:val="24"/>
          <w:highlight w:val="none"/>
        </w:rPr>
        <w:t>托</w:t>
      </w:r>
    </w:p>
    <w:p w14:paraId="38D336A5">
      <w:pPr>
        <w:spacing w:line="360" w:lineRule="auto"/>
        <w:jc w:val="center"/>
        <w:rPr>
          <w:rFonts w:hint="eastAsia" w:ascii="宋体"/>
          <w:b/>
          <w:color w:val="auto"/>
          <w:sz w:val="52"/>
          <w:szCs w:val="24"/>
          <w:highlight w:val="none"/>
        </w:rPr>
      </w:pPr>
      <w:r>
        <w:rPr>
          <w:rFonts w:hint="eastAsia" w:ascii="宋体"/>
          <w:b/>
          <w:color w:val="auto"/>
          <w:sz w:val="52"/>
          <w:szCs w:val="24"/>
          <w:highlight w:val="none"/>
        </w:rPr>
        <w:t>协</w:t>
      </w:r>
    </w:p>
    <w:p w14:paraId="13559191">
      <w:pPr>
        <w:spacing w:line="360" w:lineRule="auto"/>
        <w:jc w:val="center"/>
        <w:rPr>
          <w:rFonts w:hint="eastAsia" w:ascii="宋体"/>
          <w:b/>
          <w:color w:val="auto"/>
          <w:sz w:val="52"/>
          <w:szCs w:val="24"/>
          <w:highlight w:val="none"/>
        </w:rPr>
      </w:pPr>
      <w:r>
        <w:rPr>
          <w:rFonts w:hint="eastAsia" w:ascii="宋体"/>
          <w:b/>
          <w:color w:val="auto"/>
          <w:sz w:val="52"/>
          <w:szCs w:val="24"/>
          <w:highlight w:val="none"/>
        </w:rPr>
        <w:t>议</w:t>
      </w:r>
    </w:p>
    <w:p w14:paraId="3355515F">
      <w:pPr>
        <w:jc w:val="center"/>
        <w:rPr>
          <w:rFonts w:hint="default" w:ascii="Times New Roman" w:hAnsi="Times New Roman" w:eastAsia="华文中宋"/>
          <w:b/>
          <w:color w:val="auto"/>
          <w:sz w:val="52"/>
          <w:szCs w:val="24"/>
          <w:highlight w:val="none"/>
        </w:rPr>
      </w:pPr>
    </w:p>
    <w:p w14:paraId="1E4A1E6C">
      <w:pPr>
        <w:spacing w:line="240" w:lineRule="exact"/>
        <w:rPr>
          <w:rFonts w:hint="default" w:ascii="Times New Roman" w:hAnsi="Times New Roman" w:eastAsia="楷体_GB2312"/>
          <w:b/>
          <w:color w:val="auto"/>
          <w:sz w:val="72"/>
          <w:szCs w:val="24"/>
          <w:highlight w:val="none"/>
        </w:rPr>
      </w:pPr>
    </w:p>
    <w:p w14:paraId="59121782">
      <w:pPr>
        <w:spacing w:line="240" w:lineRule="exact"/>
        <w:jc w:val="center"/>
        <w:rPr>
          <w:rFonts w:hint="default" w:ascii="Times New Roman" w:hAnsi="Times New Roman" w:eastAsia="楷体_GB2312"/>
          <w:b/>
          <w:color w:val="auto"/>
          <w:sz w:val="72"/>
          <w:szCs w:val="24"/>
          <w:highlight w:val="none"/>
        </w:rPr>
      </w:pPr>
    </w:p>
    <w:p w14:paraId="1F8B0DA3">
      <w:pPr>
        <w:spacing w:line="240" w:lineRule="exact"/>
        <w:jc w:val="center"/>
        <w:rPr>
          <w:rFonts w:hint="default" w:ascii="Times New Roman" w:hAnsi="Times New Roman" w:eastAsia="楷体_GB2312"/>
          <w:b/>
          <w:color w:val="auto"/>
          <w:sz w:val="72"/>
          <w:szCs w:val="24"/>
          <w:highlight w:val="none"/>
        </w:rPr>
      </w:pPr>
    </w:p>
    <w:p w14:paraId="454E283F">
      <w:pPr>
        <w:spacing w:line="800" w:lineRule="exact"/>
        <w:ind w:firstLine="944" w:firstLineChars="295"/>
        <w:rPr>
          <w:rFonts w:hint="eastAsia" w:ascii="宋体" w:hAnsi="宋体" w:eastAsia="仿宋_GB2312" w:cs="Times New Roman"/>
          <w:color w:val="auto"/>
          <w:kern w:val="2"/>
          <w:sz w:val="32"/>
          <w:szCs w:val="24"/>
          <w:highlight w:val="none"/>
          <w:lang w:val="en-US" w:eastAsia="zh-CN" w:bidi="ar-SA"/>
        </w:rPr>
      </w:pPr>
    </w:p>
    <w:p w14:paraId="44289530">
      <w:pPr>
        <w:spacing w:line="800" w:lineRule="exact"/>
        <w:ind w:firstLine="944" w:firstLineChars="295"/>
        <w:rPr>
          <w:rFonts w:hint="eastAsia" w:ascii="宋体" w:hAnsi="宋体" w:eastAsia="仿宋_GB2312" w:cs="Times New Roman"/>
          <w:color w:val="auto"/>
          <w:kern w:val="2"/>
          <w:sz w:val="32"/>
          <w:szCs w:val="24"/>
          <w:highlight w:val="none"/>
          <w:lang w:val="en-US" w:eastAsia="zh-CN" w:bidi="ar-SA"/>
        </w:rPr>
      </w:pPr>
    </w:p>
    <w:p w14:paraId="497509AE">
      <w:pPr>
        <w:spacing w:line="800" w:lineRule="exact"/>
        <w:ind w:firstLine="944" w:firstLineChars="295"/>
        <w:rPr>
          <w:rFonts w:hint="eastAsia" w:ascii="宋体"/>
          <w:color w:val="auto"/>
          <w:sz w:val="32"/>
          <w:szCs w:val="24"/>
          <w:highlight w:val="none"/>
          <w:u w:val="single"/>
        </w:rPr>
      </w:pPr>
      <w:r>
        <w:rPr>
          <w:rFonts w:hint="eastAsia" w:ascii="宋体" w:hAnsi="宋体" w:eastAsia="仿宋_GB2312" w:cs="Times New Roman"/>
          <w:color w:val="auto"/>
          <w:kern w:val="2"/>
          <w:sz w:val="32"/>
          <w:szCs w:val="24"/>
          <w:highlight w:val="none"/>
          <w:lang w:val="en-US" w:eastAsia="zh-CN" w:bidi="ar-SA"/>
        </w:rPr>
        <w:t>合同编号：</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single"/>
        </w:rPr>
        <w:t xml:space="preserve">                  </w:t>
      </w:r>
    </w:p>
    <w:p w14:paraId="01288131">
      <w:pPr>
        <w:pStyle w:val="26"/>
        <w:spacing w:line="800" w:lineRule="exact"/>
        <w:ind w:left="0" w:leftChars="0" w:firstLine="960" w:firstLineChars="300"/>
        <w:jc w:val="left"/>
        <w:rPr>
          <w:rFonts w:hint="eastAsia" w:ascii="宋体" w:hAnsi="宋体"/>
          <w:color w:val="auto"/>
          <w:spacing w:val="-20"/>
          <w:sz w:val="32"/>
          <w:szCs w:val="24"/>
          <w:highlight w:val="none"/>
          <w:u w:val="single"/>
        </w:rPr>
      </w:pPr>
      <w:r>
        <w:rPr>
          <w:rFonts w:hint="eastAsia" w:ascii="宋体" w:hAnsi="宋体" w:cs="Times New Roman"/>
          <w:color w:val="auto"/>
          <w:sz w:val="32"/>
          <w:szCs w:val="24"/>
          <w:highlight w:val="none"/>
        </w:rPr>
        <w:t>工程名称：</w:t>
      </w:r>
      <w:r>
        <w:rPr>
          <w:rFonts w:hint="eastAsia" w:ascii="宋体" w:hAnsi="宋体" w:cs="Times New Roman"/>
          <w:color w:val="auto"/>
          <w:sz w:val="32"/>
          <w:szCs w:val="24"/>
          <w:highlight w:val="none"/>
          <w:u w:val="single"/>
          <w:lang w:val="en-US" w:eastAsia="zh-CN"/>
        </w:rPr>
        <w:t xml:space="preserve"> </w:t>
      </w:r>
      <w:r>
        <w:rPr>
          <w:rFonts w:hint="eastAsia" w:ascii="宋体" w:hAnsi="宋体" w:cs="Times New Roman"/>
          <w:color w:val="auto"/>
          <w:sz w:val="32"/>
          <w:szCs w:val="24"/>
          <w:highlight w:val="none"/>
          <w:u w:val="single"/>
        </w:rPr>
        <w:t xml:space="preserve">   </w:t>
      </w:r>
      <w:r>
        <w:rPr>
          <w:rFonts w:hint="eastAsia" w:ascii="宋体" w:hAnsi="宋体" w:cs="Times New Roman"/>
          <w:color w:val="auto"/>
          <w:spacing w:val="-20"/>
          <w:sz w:val="32"/>
          <w:szCs w:val="24"/>
          <w:highlight w:val="none"/>
          <w:u w:val="single"/>
        </w:rPr>
        <w:t xml:space="preserve"> </w:t>
      </w:r>
      <w:r>
        <w:rPr>
          <w:rFonts w:hint="eastAsia" w:ascii="宋体" w:hAnsi="宋体"/>
          <w:color w:val="auto"/>
          <w:spacing w:val="-20"/>
          <w:sz w:val="32"/>
          <w:szCs w:val="24"/>
          <w:highlight w:val="none"/>
          <w:u w:val="single"/>
        </w:rPr>
        <w:t xml:space="preserve">        </w:t>
      </w:r>
    </w:p>
    <w:p w14:paraId="7BADD5C4">
      <w:pPr>
        <w:pStyle w:val="26"/>
        <w:spacing w:line="800" w:lineRule="exact"/>
        <w:ind w:left="0" w:leftChars="0" w:firstLine="944" w:firstLineChars="295"/>
        <w:rPr>
          <w:rFonts w:hint="eastAsia" w:ascii="宋体"/>
          <w:color w:val="auto"/>
          <w:sz w:val="32"/>
          <w:szCs w:val="24"/>
          <w:highlight w:val="none"/>
        </w:rPr>
      </w:pPr>
      <w:r>
        <w:rPr>
          <w:rFonts w:hint="eastAsia" w:ascii="宋体" w:hAnsi="宋体"/>
          <w:color w:val="auto"/>
          <w:sz w:val="32"/>
          <w:szCs w:val="24"/>
          <w:highlight w:val="none"/>
          <w:lang w:val="en-US" w:eastAsia="zh-CN"/>
        </w:rPr>
        <w:t>项目</w:t>
      </w:r>
      <w:r>
        <w:rPr>
          <w:rFonts w:hint="eastAsia" w:ascii="宋体" w:hAnsi="宋体"/>
          <w:color w:val="auto"/>
          <w:sz w:val="32"/>
          <w:szCs w:val="24"/>
          <w:highlight w:val="none"/>
        </w:rPr>
        <w:t>地点：</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none"/>
        </w:rPr>
        <w:t xml:space="preserve">               </w:t>
      </w:r>
      <w:r>
        <w:rPr>
          <w:rFonts w:hint="eastAsia" w:ascii="宋体" w:hAnsi="宋体"/>
          <w:color w:val="auto"/>
          <w:sz w:val="32"/>
          <w:szCs w:val="24"/>
          <w:highlight w:val="none"/>
          <w:u w:val="single"/>
        </w:rPr>
        <w:t xml:space="preserve">        </w:t>
      </w:r>
    </w:p>
    <w:p w14:paraId="2229D5A7">
      <w:pPr>
        <w:pStyle w:val="26"/>
        <w:spacing w:line="800" w:lineRule="exact"/>
        <w:ind w:left="0" w:leftChars="0" w:firstLine="944" w:firstLineChars="295"/>
        <w:rPr>
          <w:rFonts w:hint="eastAsia" w:ascii="宋体"/>
          <w:color w:val="auto"/>
          <w:sz w:val="32"/>
          <w:szCs w:val="24"/>
          <w:highlight w:val="none"/>
        </w:rPr>
      </w:pPr>
      <w:r>
        <w:rPr>
          <w:rFonts w:hint="eastAsia" w:ascii="宋体" w:hAnsi="宋体"/>
          <w:color w:val="auto"/>
          <w:sz w:val="32"/>
          <w:szCs w:val="24"/>
          <w:highlight w:val="none"/>
        </w:rPr>
        <w:t>签订时间：</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rPr>
        <w:t>年</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rPr>
        <w:t>月</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rPr>
        <w:t>日</w:t>
      </w:r>
    </w:p>
    <w:p w14:paraId="25971BA6">
      <w:pPr>
        <w:jc w:val="center"/>
        <w:rPr>
          <w:rFonts w:hint="default" w:ascii="Times New Roman" w:hAnsi="Times New Roman" w:eastAsia="黑体"/>
          <w:color w:val="auto"/>
          <w:sz w:val="52"/>
          <w:szCs w:val="24"/>
          <w:highlight w:val="none"/>
        </w:rPr>
      </w:pPr>
    </w:p>
    <w:p w14:paraId="0ABE6042">
      <w:pPr>
        <w:spacing w:line="240" w:lineRule="exact"/>
        <w:jc w:val="center"/>
        <w:rPr>
          <w:rFonts w:hint="default" w:ascii="Times New Roman" w:hAnsi="Times New Roman" w:eastAsia="黑体"/>
          <w:color w:val="auto"/>
          <w:sz w:val="52"/>
          <w:szCs w:val="24"/>
          <w:highlight w:val="none"/>
        </w:rPr>
      </w:pPr>
    </w:p>
    <w:p w14:paraId="068F415F">
      <w:pPr>
        <w:spacing w:line="360" w:lineRule="auto"/>
        <w:ind w:firstLine="2100" w:firstLineChars="1000"/>
        <w:rPr>
          <w:rFonts w:hint="eastAsia" w:ascii="华文中宋" w:hAnsi="华文中宋" w:eastAsia="华文中宋"/>
          <w:color w:val="auto"/>
          <w:spacing w:val="20"/>
          <w:sz w:val="32"/>
          <w:szCs w:val="24"/>
          <w:highlight w:val="none"/>
        </w:rPr>
        <w:sectPr>
          <w:footerReference r:id="rId6" w:type="default"/>
          <w:pgSz w:w="11906" w:h="16838"/>
          <w:pgMar w:top="1418" w:right="1028" w:bottom="1418" w:left="998" w:header="851" w:footer="907" w:gutter="0"/>
          <w:lnNumType w:countBy="0" w:distance="360"/>
          <w:pgNumType w:fmt="decimal" w:start="1"/>
          <w:cols w:space="720" w:num="1"/>
          <w:docGrid w:type="lines" w:linePitch="312" w:charSpace="0"/>
        </w:sectPr>
      </w:pPr>
      <w:r>
        <w:rPr>
          <w:rFonts w:hint="default"/>
          <w:color w:val="auto"/>
          <w:sz w:val="21"/>
          <w:szCs w:val="24"/>
          <w:highlight w:val="none"/>
        </w:rPr>
        <mc:AlternateContent>
          <mc:Choice Requires="wps">
            <w:drawing>
              <wp:anchor distT="0" distB="0" distL="114300" distR="114300" simplePos="0" relativeHeight="251661312" behindDoc="0" locked="0" layoutInCell="1" allowOverlap="1">
                <wp:simplePos x="0" y="0"/>
                <wp:positionH relativeFrom="column">
                  <wp:posOffset>3429635</wp:posOffset>
                </wp:positionH>
                <wp:positionV relativeFrom="paragraph">
                  <wp:posOffset>339725</wp:posOffset>
                </wp:positionV>
                <wp:extent cx="723900" cy="457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a:noFill/>
                        </a:ln>
                      </wps:spPr>
                      <wps:txbx>
                        <w:txbxContent>
                          <w:p w14:paraId="443750C3">
                            <w:pPr>
                              <w:spacing w:line="360" w:lineRule="auto"/>
                              <w:jc w:val="center"/>
                              <w:rPr>
                                <w:rFonts w:hint="eastAsia" w:ascii="宋体"/>
                                <w:b/>
                                <w:sz w:val="34"/>
                                <w:szCs w:val="24"/>
                              </w:rPr>
                            </w:pPr>
                          </w:p>
                        </w:txbxContent>
                      </wps:txbx>
                      <wps:bodyPr upright="1"/>
                    </wps:wsp>
                  </a:graphicData>
                </a:graphic>
              </wp:anchor>
            </w:drawing>
          </mc:Choice>
          <mc:Fallback>
            <w:pict>
              <v:shape id="_x0000_s1026" o:spid="_x0000_s1026" o:spt="202" type="#_x0000_t202" style="position:absolute;left:0pt;margin-left:270.05pt;margin-top:26.75pt;height:36pt;width:57pt;z-index:251661312;mso-width-relative:page;mso-height-relative:page;" filled="f" stroked="f" coordsize="21600,21600" o:gfxdata="UEsDBAoAAAAAAIdO4kAAAAAAAAAAAAAAAAAEAAAAZHJzL1BLAwQUAAAACACHTuJAtZBHB9YAAAAK&#10;AQAADwAAAGRycy9kb3ducmV2LnhtbE2Py07DMBBF90j9B2uQuqN22riCEKeLIrYgykNi58bTJCIe&#10;R7HbhL9nWMFuHkd3zpS72ffigmPsAhnIVgoEUh1cR42Bt9fHm1sQMVlytg+EBr4xwq5aXJW2cGGi&#10;F7wcUiM4hGJhDbQpDYWUsW7R27gKAxLvTmH0NnE7NtKNduJw38u1UlvpbUd8obUD7lusvw5nb+D9&#10;6fT5kavn5sHrYQqzkuTvpDHL60zdg0g4pz8YfvVZHSp2OoYzuSh6AzpXGaNcbDQIBrY658GRybXW&#10;IKtS/n+h+gFQSwMEFAAAAAgAh07iQGZLq8isAQAATQMAAA4AAABkcnMvZTJvRG9jLnhtbK1TwW4T&#10;MRC9I/EPlu9ktwlQWGVTCUXlggCp5QMcr521ZHssj5Pd/AD8AScu3PmufAdjb5rS9tIDF+94ZvbN&#10;vDfj5dXoLNuriAZ8yy9mNWfKS+iM37b82+31q3ecYRK+Exa8avlBIb9avXyxHEKj5tCD7VRkBOKx&#10;GULL+5RCU1Uoe+UEziAoT0EN0YlE17ituigGQne2mtf122qA2IUIUiGSdz0F+QkxPgcQtDZSrUHu&#10;nPJpQo3KikSUsDcB+ap0q7WS6YvWqBKzLSemqZxUhOxNPqvVUjTbKEJv5KkF8ZwWHnFywngqeoZa&#10;iyTYLponUM7ICAg6zSS4aiJSFCEWF/UjbW56EVThQlJjOIuO/w9Wft5/jcx0LV9w5oWjgR9//jj+&#10;+nP8/Z0tsjxDwIaybgLlpfEDjLQ0d34kZ2Y96ujyl/gwipO4h7O4akxMkvNyvnhfU0RS6PWbS1qF&#10;jFLd/xwipo8KHMtGyyPNrkgq9p8wTal3KbmWh2tjbZmf9Q8chJk9Ve586jBbadyMJzob6A7EZhei&#10;2fZUqvAp6aRy6em0EXmM/94L6P0rWP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ZBHB9YAAAAK&#10;AQAADwAAAAAAAAABACAAAAAiAAAAZHJzL2Rvd25yZXYueG1sUEsBAhQAFAAAAAgAh07iQGZLq8is&#10;AQAATQMAAA4AAAAAAAAAAQAgAAAAJQEAAGRycy9lMm9Eb2MueG1sUEsFBgAAAAAGAAYAWQEAAEMF&#10;AAAAAA==&#10;">
                <v:fill on="f" focussize="0,0"/>
                <v:stroke on="f"/>
                <v:imagedata o:title=""/>
                <o:lock v:ext="edit" aspectratio="f"/>
                <v:textbox>
                  <w:txbxContent>
                    <w:p w14:paraId="443750C3">
                      <w:pPr>
                        <w:spacing w:line="360" w:lineRule="auto"/>
                        <w:jc w:val="center"/>
                        <w:rPr>
                          <w:rFonts w:hint="eastAsia" w:ascii="宋体"/>
                          <w:b/>
                          <w:sz w:val="34"/>
                          <w:szCs w:val="24"/>
                        </w:rPr>
                      </w:pPr>
                    </w:p>
                  </w:txbxContent>
                </v:textbox>
              </v:shape>
            </w:pict>
          </mc:Fallback>
        </mc:AlternateContent>
      </w:r>
    </w:p>
    <w:p w14:paraId="12D65945">
      <w:pPr>
        <w:adjustRightInd w:val="0"/>
        <w:snapToGrid w:val="0"/>
        <w:spacing w:line="440" w:lineRule="exact"/>
        <w:jc w:val="center"/>
        <w:rPr>
          <w:rFonts w:hint="eastAsia" w:ascii="宋体" w:cs="宋体"/>
          <w:b/>
          <w:color w:val="auto"/>
          <w:kern w:val="0"/>
          <w:sz w:val="28"/>
          <w:szCs w:val="28"/>
          <w:highlight w:val="none"/>
        </w:rPr>
      </w:pPr>
      <w:r>
        <w:rPr>
          <w:rFonts w:hint="eastAsia" w:ascii="宋体" w:cs="宋体"/>
          <w:b/>
          <w:color w:val="auto"/>
          <w:kern w:val="0"/>
          <w:sz w:val="28"/>
          <w:szCs w:val="28"/>
          <w:highlight w:val="none"/>
          <w:lang w:val="en-US" w:eastAsia="zh-CN"/>
        </w:rPr>
        <w:t>城南绿廊公园水体清淤及治理项目等两个项目跟踪审计项目</w:t>
      </w:r>
      <w:r>
        <w:rPr>
          <w:rFonts w:hint="eastAsia" w:ascii="宋体" w:cs="宋体"/>
          <w:b/>
          <w:color w:val="auto"/>
          <w:kern w:val="0"/>
          <w:sz w:val="28"/>
          <w:szCs w:val="28"/>
          <w:highlight w:val="none"/>
        </w:rPr>
        <w:t>委托协议</w:t>
      </w:r>
    </w:p>
    <w:p w14:paraId="1F2F7CED">
      <w:pPr>
        <w:keepNext w:val="0"/>
        <w:keepLines w:val="0"/>
        <w:pageBreakBefore w:val="0"/>
        <w:kinsoku/>
        <w:overflowPunct/>
        <w:topLinePunct w:val="0"/>
        <w:autoSpaceDE/>
        <w:autoSpaceDN/>
        <w:bidi w:val="0"/>
        <w:adjustRightInd w:val="0"/>
        <w:snapToGrid w:val="0"/>
        <w:spacing w:line="312" w:lineRule="auto"/>
        <w:textAlignment w:val="auto"/>
        <w:rPr>
          <w:rFonts w:hint="eastAsia" w:ascii="宋体" w:cs="宋体"/>
          <w:color w:val="auto"/>
          <w:kern w:val="0"/>
          <w:sz w:val="24"/>
          <w:szCs w:val="24"/>
          <w:highlight w:val="none"/>
        </w:rPr>
      </w:pPr>
    </w:p>
    <w:p w14:paraId="0A914C52">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宋体" w:eastAsia="宋体" w:cs="宋体"/>
          <w:color w:val="auto"/>
          <w:kern w:val="0"/>
          <w:sz w:val="21"/>
          <w:szCs w:val="21"/>
          <w:highlight w:val="none"/>
          <w:lang w:val="en-US" w:eastAsia="zh-CN"/>
        </w:rPr>
      </w:pPr>
      <w:r>
        <w:rPr>
          <w:rFonts w:hint="eastAsia" w:ascii="宋体" w:cs="宋体"/>
          <w:color w:val="auto"/>
          <w:kern w:val="0"/>
          <w:sz w:val="21"/>
          <w:szCs w:val="21"/>
          <w:highlight w:val="none"/>
        </w:rPr>
        <w:t>委托方（甲方）：</w:t>
      </w:r>
      <w:r>
        <w:rPr>
          <w:rFonts w:hint="eastAsia" w:ascii="宋体" w:cs="宋体"/>
          <w:color w:val="auto"/>
          <w:kern w:val="0"/>
          <w:sz w:val="21"/>
          <w:szCs w:val="21"/>
          <w:highlight w:val="none"/>
          <w:u w:val="single"/>
          <w:lang w:val="en-US" w:eastAsia="zh-CN"/>
        </w:rPr>
        <w:t xml:space="preserve">                      </w:t>
      </w:r>
    </w:p>
    <w:p w14:paraId="6A23C706">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宋体" w:eastAsia="宋体" w:cs="宋体"/>
          <w:color w:val="auto"/>
          <w:kern w:val="0"/>
          <w:sz w:val="21"/>
          <w:szCs w:val="21"/>
          <w:highlight w:val="none"/>
          <w:lang w:val="en-US" w:eastAsia="zh-CN"/>
        </w:rPr>
      </w:pPr>
      <w:r>
        <w:rPr>
          <w:rFonts w:hint="eastAsia" w:ascii="宋体" w:cs="宋体"/>
          <w:color w:val="auto"/>
          <w:kern w:val="0"/>
          <w:sz w:val="21"/>
          <w:szCs w:val="21"/>
          <w:highlight w:val="none"/>
        </w:rPr>
        <w:t>受托方（乙方）：</w:t>
      </w:r>
      <w:r>
        <w:rPr>
          <w:rFonts w:hint="eastAsia" w:ascii="宋体" w:cs="宋体"/>
          <w:color w:val="auto"/>
          <w:kern w:val="0"/>
          <w:sz w:val="21"/>
          <w:szCs w:val="21"/>
          <w:highlight w:val="none"/>
          <w:u w:val="single"/>
        </w:rPr>
        <w:t xml:space="preserve">    </w:t>
      </w:r>
      <w:r>
        <w:rPr>
          <w:rFonts w:hint="eastAsia" w:ascii="宋体" w:cs="宋体"/>
          <w:color w:val="auto"/>
          <w:kern w:val="0"/>
          <w:sz w:val="21"/>
          <w:szCs w:val="21"/>
          <w:highlight w:val="none"/>
          <w:u w:val="single"/>
          <w:lang w:val="en-US" w:eastAsia="zh-CN"/>
        </w:rPr>
        <w:t xml:space="preserve">                  </w:t>
      </w:r>
    </w:p>
    <w:p w14:paraId="3CBECA3A">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为保证滁州市政府投资项目审计工作质量和效率，依据《中华人民共和国审计法》、《中华人民共和国</w:t>
      </w:r>
      <w:r>
        <w:rPr>
          <w:rFonts w:hint="eastAsia" w:ascii="宋体" w:cs="宋体"/>
          <w:color w:val="auto"/>
          <w:kern w:val="0"/>
          <w:sz w:val="21"/>
          <w:szCs w:val="21"/>
          <w:highlight w:val="none"/>
          <w:lang w:val="en-US" w:eastAsia="zh-CN"/>
        </w:rPr>
        <w:t>民法典</w:t>
      </w:r>
      <w:r>
        <w:rPr>
          <w:rFonts w:hint="eastAsia" w:ascii="宋体" w:cs="宋体"/>
          <w:color w:val="auto"/>
          <w:kern w:val="0"/>
          <w:sz w:val="21"/>
          <w:szCs w:val="21"/>
          <w:highlight w:val="none"/>
        </w:rPr>
        <w:t>》、《滁州市政府投资项目管理暂行办法》、《滁州市政府投资建设项目审计监督办法》等有关法律法规，甲、乙双方经协商一致，自愿签订本协议。</w:t>
      </w:r>
    </w:p>
    <w:p w14:paraId="09986841">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cs="宋体"/>
          <w:b/>
          <w:bCs/>
          <w:color w:val="auto"/>
          <w:kern w:val="0"/>
          <w:sz w:val="24"/>
          <w:szCs w:val="24"/>
          <w:highlight w:val="none"/>
        </w:rPr>
      </w:pPr>
      <w:r>
        <w:rPr>
          <w:rFonts w:hint="eastAsia" w:ascii="宋体" w:cs="宋体"/>
          <w:b/>
          <w:bCs/>
          <w:color w:val="auto"/>
          <w:kern w:val="0"/>
          <w:sz w:val="24"/>
          <w:szCs w:val="24"/>
          <w:highlight w:val="none"/>
        </w:rPr>
        <w:t>一、跟踪（结算）审计项目</w:t>
      </w:r>
    </w:p>
    <w:p w14:paraId="33EFA55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eastAsia="宋体" w:cs="宋体"/>
          <w:color w:val="auto"/>
          <w:kern w:val="0"/>
          <w:sz w:val="21"/>
          <w:szCs w:val="21"/>
          <w:highlight w:val="none"/>
          <w:lang w:eastAsia="zh-CN"/>
        </w:rPr>
      </w:pPr>
      <w:r>
        <w:rPr>
          <w:rFonts w:hint="eastAsia" w:ascii="宋体" w:cs="宋体"/>
          <w:color w:val="auto"/>
          <w:kern w:val="0"/>
          <w:sz w:val="21"/>
          <w:szCs w:val="21"/>
          <w:highlight w:val="none"/>
        </w:rPr>
        <w:t>1.项目名称：</w:t>
      </w:r>
      <w:r>
        <w:rPr>
          <w:rFonts w:hint="eastAsia" w:ascii="宋体" w:cs="宋体"/>
          <w:color w:val="auto"/>
          <w:kern w:val="0"/>
          <w:sz w:val="21"/>
          <w:szCs w:val="21"/>
          <w:highlight w:val="none"/>
          <w:lang w:val="en-US" w:eastAsia="zh-CN"/>
        </w:rPr>
        <w:t>城南绿廊公园水体清淤及治理项目等两个项目跟踪审计项目</w:t>
      </w:r>
    </w:p>
    <w:p w14:paraId="3F7A1B18">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eastAsia="宋体" w:cs="宋体"/>
          <w:color w:val="auto"/>
          <w:kern w:val="0"/>
          <w:sz w:val="21"/>
          <w:szCs w:val="21"/>
          <w:highlight w:val="none"/>
          <w:lang w:eastAsia="zh-CN"/>
        </w:rPr>
      </w:pPr>
      <w:r>
        <w:rPr>
          <w:rFonts w:hint="eastAsia" w:ascii="宋体" w:cs="宋体"/>
          <w:color w:val="auto"/>
          <w:kern w:val="0"/>
          <w:sz w:val="21"/>
          <w:szCs w:val="21"/>
          <w:highlight w:val="none"/>
        </w:rPr>
        <w:t>2.项目投资额：</w:t>
      </w:r>
      <w:r>
        <w:rPr>
          <w:rFonts w:hint="eastAsia" w:ascii="宋体" w:cs="宋体"/>
          <w:color w:val="auto"/>
          <w:kern w:val="0"/>
          <w:sz w:val="21"/>
          <w:szCs w:val="21"/>
          <w:highlight w:val="none"/>
          <w:lang w:val="en-US" w:eastAsia="zh-CN"/>
        </w:rPr>
        <w:t xml:space="preserve">      </w:t>
      </w:r>
      <w:r>
        <w:rPr>
          <w:rFonts w:hint="eastAsia" w:ascii="宋体" w:cs="宋体"/>
          <w:color w:val="auto"/>
          <w:kern w:val="0"/>
          <w:sz w:val="21"/>
          <w:szCs w:val="21"/>
          <w:highlight w:val="none"/>
          <w:lang w:eastAsia="zh-CN"/>
        </w:rPr>
        <w:t>。</w:t>
      </w:r>
    </w:p>
    <w:p w14:paraId="3CD0A40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3.委托内容：跟踪审计</w:t>
      </w:r>
    </w:p>
    <w:p w14:paraId="7568D35D">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1</w:t>
      </w:r>
      <w:r>
        <w:rPr>
          <w:rFonts w:hint="eastAsia" w:ascii="宋体"/>
          <w:color w:val="auto"/>
          <w:sz w:val="21"/>
          <w:szCs w:val="21"/>
          <w:highlight w:val="none"/>
          <w:lang w:eastAsia="zh-CN"/>
        </w:rPr>
        <w:t>）</w:t>
      </w:r>
      <w:r>
        <w:rPr>
          <w:rFonts w:hint="eastAsia" w:ascii="宋体"/>
          <w:color w:val="auto"/>
          <w:sz w:val="21"/>
          <w:szCs w:val="21"/>
          <w:highlight w:val="none"/>
        </w:rPr>
        <w:t xml:space="preserve">成立项目跟踪（结算）审计组，编制跟踪（结算）审计实施方案，确定投资控制目标、重点环节及应对措施； </w:t>
      </w:r>
    </w:p>
    <w:p w14:paraId="5167918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2</w:t>
      </w:r>
      <w:r>
        <w:rPr>
          <w:rFonts w:hint="eastAsia" w:ascii="宋体"/>
          <w:color w:val="auto"/>
          <w:sz w:val="21"/>
          <w:szCs w:val="21"/>
          <w:highlight w:val="none"/>
          <w:lang w:eastAsia="zh-CN"/>
        </w:rPr>
        <w:t>）</w:t>
      </w:r>
      <w:r>
        <w:rPr>
          <w:rFonts w:hint="eastAsia" w:ascii="宋体"/>
          <w:color w:val="auto"/>
          <w:sz w:val="21"/>
          <w:szCs w:val="21"/>
          <w:highlight w:val="none"/>
        </w:rPr>
        <w:t>审核项目前期资料（图纸、工程量清单及控制价、招标投标文件、施工合同等），向甲方提交审核结果；</w:t>
      </w:r>
    </w:p>
    <w:p w14:paraId="225E023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3</w:t>
      </w:r>
      <w:r>
        <w:rPr>
          <w:rFonts w:hint="eastAsia" w:ascii="宋体"/>
          <w:color w:val="auto"/>
          <w:sz w:val="21"/>
          <w:szCs w:val="21"/>
          <w:highlight w:val="none"/>
          <w:lang w:eastAsia="zh-CN"/>
        </w:rPr>
        <w:t>）</w:t>
      </w:r>
      <w:r>
        <w:rPr>
          <w:rFonts w:hint="eastAsia" w:ascii="宋体"/>
          <w:color w:val="auto"/>
          <w:sz w:val="21"/>
          <w:szCs w:val="21"/>
          <w:highlight w:val="none"/>
        </w:rPr>
        <w:t>对承包方上报的请款期已完成合格工程量的计量、计价进行审核，并提供按工程形象进度付款的意见、建议；</w:t>
      </w:r>
    </w:p>
    <w:p w14:paraId="4A9E963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4</w:t>
      </w:r>
      <w:r>
        <w:rPr>
          <w:rFonts w:hint="eastAsia" w:ascii="宋体"/>
          <w:color w:val="auto"/>
          <w:sz w:val="21"/>
          <w:szCs w:val="21"/>
          <w:highlight w:val="none"/>
          <w:lang w:eastAsia="zh-CN"/>
        </w:rPr>
        <w:t>）</w:t>
      </w:r>
      <w:r>
        <w:rPr>
          <w:rFonts w:hint="eastAsia" w:ascii="宋体"/>
          <w:color w:val="auto"/>
          <w:sz w:val="21"/>
          <w:szCs w:val="21"/>
          <w:highlight w:val="none"/>
        </w:rPr>
        <w:t>及时核定分阶段完工的项目分部、分项工程价款结算，项目竣工后，及时提交完整的竣工结算审核报告；</w:t>
      </w:r>
    </w:p>
    <w:p w14:paraId="2B3DEBC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5</w:t>
      </w:r>
      <w:r>
        <w:rPr>
          <w:rFonts w:hint="eastAsia" w:ascii="宋体"/>
          <w:color w:val="auto"/>
          <w:sz w:val="21"/>
          <w:szCs w:val="21"/>
          <w:highlight w:val="none"/>
          <w:lang w:eastAsia="zh-CN"/>
        </w:rPr>
        <w:t>）</w:t>
      </w:r>
      <w:r>
        <w:rPr>
          <w:rFonts w:hint="eastAsia" w:ascii="宋体"/>
          <w:color w:val="auto"/>
          <w:sz w:val="21"/>
          <w:szCs w:val="21"/>
          <w:highlight w:val="none"/>
        </w:rPr>
        <w:t>协助甲方及时审核设计变更、经济签证等发生的费用，超过一定限额的，提请甲方履行报批程序；</w:t>
      </w:r>
    </w:p>
    <w:p w14:paraId="5680E1A0">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6</w:t>
      </w:r>
      <w:r>
        <w:rPr>
          <w:rFonts w:hint="eastAsia" w:ascii="宋体"/>
          <w:color w:val="auto"/>
          <w:sz w:val="21"/>
          <w:szCs w:val="21"/>
          <w:highlight w:val="none"/>
          <w:lang w:eastAsia="zh-CN"/>
        </w:rPr>
        <w:t>）</w:t>
      </w:r>
      <w:r>
        <w:rPr>
          <w:rFonts w:hint="eastAsia" w:ascii="宋体"/>
          <w:color w:val="auto"/>
          <w:sz w:val="21"/>
          <w:szCs w:val="21"/>
          <w:highlight w:val="none"/>
        </w:rPr>
        <w:t>项目承、发包方发生工程价款结算争议时，为甲方提供咨询意见；</w:t>
      </w:r>
    </w:p>
    <w:p w14:paraId="63F7615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7</w:t>
      </w:r>
      <w:r>
        <w:rPr>
          <w:rFonts w:hint="eastAsia" w:ascii="宋体"/>
          <w:color w:val="auto"/>
          <w:sz w:val="21"/>
          <w:szCs w:val="21"/>
          <w:highlight w:val="none"/>
          <w:lang w:eastAsia="zh-CN"/>
        </w:rPr>
        <w:t>）</w:t>
      </w:r>
      <w:r>
        <w:rPr>
          <w:rFonts w:hint="eastAsia" w:ascii="宋体"/>
          <w:color w:val="auto"/>
          <w:sz w:val="21"/>
          <w:szCs w:val="21"/>
          <w:highlight w:val="none"/>
        </w:rPr>
        <w:t xml:space="preserve">参与项目建设管理的有关会议，对项目投资控制的有关事项发表独立审计意见； </w:t>
      </w:r>
    </w:p>
    <w:p w14:paraId="78096D1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8</w:t>
      </w:r>
      <w:r>
        <w:rPr>
          <w:rFonts w:hint="eastAsia" w:ascii="宋体"/>
          <w:color w:val="auto"/>
          <w:sz w:val="21"/>
          <w:szCs w:val="21"/>
          <w:highlight w:val="none"/>
          <w:lang w:eastAsia="zh-CN"/>
        </w:rPr>
        <w:t>）</w:t>
      </w:r>
      <w:r>
        <w:rPr>
          <w:rFonts w:hint="eastAsia" w:ascii="宋体"/>
          <w:color w:val="auto"/>
          <w:sz w:val="21"/>
          <w:szCs w:val="21"/>
          <w:highlight w:val="none"/>
        </w:rPr>
        <w:t>其他与项目投资控制相关的工作。</w:t>
      </w:r>
    </w:p>
    <w:p w14:paraId="3B4A51D7">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color w:val="auto"/>
          <w:sz w:val="24"/>
          <w:szCs w:val="24"/>
          <w:highlight w:val="none"/>
        </w:rPr>
      </w:pPr>
      <w:r>
        <w:rPr>
          <w:rFonts w:hint="eastAsia" w:ascii="宋体" w:cs="宋体"/>
          <w:b/>
          <w:bCs/>
          <w:color w:val="auto"/>
          <w:kern w:val="0"/>
          <w:sz w:val="24"/>
          <w:szCs w:val="24"/>
          <w:highlight w:val="none"/>
          <w:lang w:val="en-US" w:eastAsia="zh-CN"/>
        </w:rPr>
        <w:t>二</w:t>
      </w:r>
      <w:r>
        <w:rPr>
          <w:rFonts w:hint="eastAsia" w:ascii="宋体" w:cs="宋体"/>
          <w:b/>
          <w:bCs/>
          <w:color w:val="auto"/>
          <w:kern w:val="0"/>
          <w:sz w:val="24"/>
          <w:szCs w:val="24"/>
          <w:highlight w:val="none"/>
        </w:rPr>
        <w:t>、项目跟踪（结算）审计制度及相关要求</w:t>
      </w:r>
    </w:p>
    <w:p w14:paraId="50104B6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1.滁州市政府投资项目审计“八不准制度”和市重点处“工程建设十六条禁令”；</w:t>
      </w:r>
    </w:p>
    <w:p w14:paraId="44C87A3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2.滁州市政府投资项目竣工结算审计结果备案制度；</w:t>
      </w:r>
    </w:p>
    <w:p w14:paraId="5E2CA5E9">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3.滁州市建设项目施工阶段全过程造价控制管理暂行办法；</w:t>
      </w:r>
    </w:p>
    <w:p w14:paraId="123FE01F">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4.实行定期、分段报告制度。乙方应及时提交项目前期资料审核结果、跟踪（结算）审计月报、竣工结算审核报告；</w:t>
      </w:r>
    </w:p>
    <w:p w14:paraId="7AC2383A">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5.加强对项目变更事项的合理性、经济性审核。对涉及工程造价的重大事项须及时书面报告甲方，否则项目竣工结算不予审核备案，由此造成的后果由乙方承担；</w:t>
      </w:r>
    </w:p>
    <w:p w14:paraId="350FFCA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6.协助甲方完成项目投资控制的各项工作，接受甲方的项目现场管理。</w:t>
      </w:r>
    </w:p>
    <w:p w14:paraId="6FF92F17">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color w:val="auto"/>
          <w:sz w:val="24"/>
          <w:szCs w:val="24"/>
          <w:highlight w:val="none"/>
        </w:rPr>
      </w:pPr>
      <w:r>
        <w:rPr>
          <w:rFonts w:hint="eastAsia" w:ascii="宋体" w:cs="宋体"/>
          <w:b/>
          <w:bCs/>
          <w:color w:val="auto"/>
          <w:kern w:val="0"/>
          <w:sz w:val="24"/>
          <w:szCs w:val="24"/>
          <w:highlight w:val="none"/>
          <w:lang w:val="en-US" w:eastAsia="zh-CN"/>
        </w:rPr>
        <w:t>三、项目跟踪（结算）审计组及人员配备要求</w:t>
      </w:r>
    </w:p>
    <w:p w14:paraId="6C0C649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1.乙方须成立项目跟踪（结算）审计组，配备相应数量具有相关专业执业资质的审计人员（须为备选库入库人员）。本项目审计组负责人为</w:t>
      </w:r>
      <w:r>
        <w:rPr>
          <w:rFonts w:hint="eastAsia" w:ascii="宋体"/>
          <w:color w:val="auto"/>
          <w:sz w:val="21"/>
          <w:szCs w:val="21"/>
          <w:highlight w:val="none"/>
          <w:u w:val="single"/>
        </w:rPr>
        <w:t>姓名、注册造价师证书号、联系电话</w:t>
      </w:r>
      <w:r>
        <w:rPr>
          <w:rFonts w:hint="eastAsia" w:ascii="宋体"/>
          <w:color w:val="auto"/>
          <w:sz w:val="21"/>
          <w:szCs w:val="21"/>
          <w:highlight w:val="none"/>
        </w:rPr>
        <w:t>，成员为</w:t>
      </w:r>
      <w:r>
        <w:rPr>
          <w:rFonts w:hint="eastAsia" w:ascii="宋体"/>
          <w:color w:val="auto"/>
          <w:sz w:val="21"/>
          <w:szCs w:val="21"/>
          <w:highlight w:val="none"/>
          <w:u w:val="single"/>
        </w:rPr>
        <w:t>姓名、</w:t>
      </w:r>
      <w:r>
        <w:rPr>
          <w:rFonts w:hint="eastAsia" w:ascii="宋体"/>
          <w:color w:val="auto"/>
          <w:sz w:val="21"/>
          <w:szCs w:val="21"/>
          <w:highlight w:val="none"/>
          <w:u w:val="single"/>
          <w:lang w:val="en-US" w:eastAsia="zh-CN"/>
        </w:rPr>
        <w:t>造价师</w:t>
      </w:r>
      <w:r>
        <w:rPr>
          <w:rFonts w:hint="eastAsia" w:ascii="宋体"/>
          <w:color w:val="auto"/>
          <w:sz w:val="21"/>
          <w:szCs w:val="21"/>
          <w:highlight w:val="none"/>
          <w:u w:val="single"/>
        </w:rPr>
        <w:t>证书号、联系电话（现场负责人）</w:t>
      </w:r>
      <w:r>
        <w:rPr>
          <w:rFonts w:hint="eastAsia" w:ascii="宋体"/>
          <w:color w:val="auto"/>
          <w:sz w:val="21"/>
          <w:szCs w:val="21"/>
          <w:highlight w:val="none"/>
        </w:rPr>
        <w:t>；</w:t>
      </w:r>
    </w:p>
    <w:p w14:paraId="78211BD2">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2.项目审计人员须服从甲方的工作安排，未经甲方许可，乙方不得随意更换、调整审计组人员。</w:t>
      </w:r>
    </w:p>
    <w:p w14:paraId="20235ED6">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color w:val="auto"/>
          <w:kern w:val="2"/>
          <w:sz w:val="24"/>
          <w:szCs w:val="24"/>
          <w:highlight w:val="none"/>
        </w:rPr>
      </w:pPr>
      <w:r>
        <w:rPr>
          <w:rFonts w:hint="eastAsia" w:hAnsi="Times New Roman" w:eastAsia="宋体" w:cs="宋体"/>
          <w:b/>
          <w:bCs/>
          <w:color w:val="auto"/>
          <w:kern w:val="0"/>
          <w:sz w:val="24"/>
          <w:szCs w:val="24"/>
          <w:highlight w:val="none"/>
          <w:lang w:val="en-US" w:eastAsia="zh-CN" w:bidi="ar-SA"/>
        </w:rPr>
        <w:t>四</w:t>
      </w:r>
      <w:r>
        <w:rPr>
          <w:rFonts w:hint="eastAsia" w:ascii="宋体" w:hAnsi="Times New Roman" w:eastAsia="宋体" w:cs="宋体"/>
          <w:b/>
          <w:bCs/>
          <w:color w:val="auto"/>
          <w:kern w:val="0"/>
          <w:sz w:val="24"/>
          <w:szCs w:val="24"/>
          <w:highlight w:val="none"/>
          <w:lang w:val="en-US" w:eastAsia="zh-CN" w:bidi="ar-SA"/>
        </w:rPr>
        <w:t>、项目跟踪（结算）审计质量要求</w:t>
      </w:r>
    </w:p>
    <w:p w14:paraId="44F5B9E4">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项目跟踪审计、结算审核服务费的误差违约金处罚根据第三方复审、综合计划科复核或市财政工程造价审核中心的审核结果确定：</w:t>
      </w:r>
    </w:p>
    <w:p w14:paraId="29DA9FA9">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（一）审核结果误差在1%-2%（含）之间，以服务费的25%作为违约金；</w:t>
      </w:r>
    </w:p>
    <w:p w14:paraId="307F83FE">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（二）审核结果误差在2%-3%（含）之间，以服务费的50%作为违约金；</w:t>
      </w:r>
    </w:p>
    <w:p w14:paraId="268C8DAC">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（三）审核结果误差在3%-4%（含）之间，以服务费的75%作为违约金；</w:t>
      </w:r>
    </w:p>
    <w:p w14:paraId="6F776228">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（四）审核结果误差超过4%的, 以全额服务费作为违约金。同时，工程造价 1000-5000 万元项目，暂停业务6个月；工程造价 5000 万元以上项目，暂停业务12个月。</w:t>
      </w:r>
    </w:p>
    <w:p w14:paraId="4A3427E2">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hAnsi="Times New Roman" w:eastAsia="宋体" w:cs="宋体"/>
          <w:b/>
          <w:bCs/>
          <w:color w:val="auto"/>
          <w:kern w:val="0"/>
          <w:sz w:val="24"/>
          <w:szCs w:val="24"/>
          <w:highlight w:val="none"/>
          <w:lang w:val="en-US" w:eastAsia="zh-CN" w:bidi="ar-SA"/>
        </w:rPr>
      </w:pPr>
      <w:r>
        <w:rPr>
          <w:rFonts w:hint="eastAsia" w:hAnsi="Times New Roman" w:eastAsia="宋体" w:cs="宋体"/>
          <w:b/>
          <w:bCs/>
          <w:color w:val="auto"/>
          <w:kern w:val="0"/>
          <w:sz w:val="24"/>
          <w:szCs w:val="24"/>
          <w:highlight w:val="none"/>
          <w:lang w:val="en-US" w:eastAsia="zh-CN" w:bidi="ar-SA"/>
        </w:rPr>
        <w:t>五、项目跟踪（结算）审计服务费用标准及结算方式</w:t>
      </w:r>
    </w:p>
    <w:p w14:paraId="334EB0EB">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lang w:eastAsia="zh-CN"/>
        </w:rPr>
      </w:pPr>
      <w:r>
        <w:rPr>
          <w:rFonts w:hint="eastAsia" w:eastAsia="宋体" w:cs="Times New Roman"/>
          <w:color w:val="auto"/>
          <w:kern w:val="2"/>
          <w:sz w:val="21"/>
          <w:szCs w:val="21"/>
          <w:highlight w:val="none"/>
        </w:rPr>
        <w:t>（一）项目跟踪（结算）审计服务费用</w:t>
      </w:r>
      <w:r>
        <w:rPr>
          <w:rFonts w:hint="eastAsia" w:cs="Times New Roman"/>
          <w:color w:val="auto"/>
          <w:kern w:val="2"/>
          <w:sz w:val="21"/>
          <w:szCs w:val="21"/>
          <w:highlight w:val="none"/>
          <w:lang w:eastAsia="zh-CN"/>
        </w:rPr>
        <w:t>：为基本费率</w:t>
      </w:r>
      <w:r>
        <w:rPr>
          <w:rFonts w:hint="eastAsia" w:cs="Times New Roman"/>
          <w:color w:val="auto"/>
          <w:kern w:val="2"/>
          <w:sz w:val="21"/>
          <w:szCs w:val="21"/>
          <w:highlight w:val="none"/>
          <w:u w:val="single"/>
          <w:lang w:val="en-US" w:eastAsia="zh-CN"/>
        </w:rPr>
        <w:t xml:space="preserve">   </w:t>
      </w:r>
      <w:r>
        <w:rPr>
          <w:rFonts w:hint="eastAsia" w:cs="Times New Roman"/>
          <w:color w:val="auto"/>
          <w:kern w:val="2"/>
          <w:sz w:val="21"/>
          <w:szCs w:val="21"/>
          <w:highlight w:val="none"/>
          <w:lang w:eastAsia="zh-CN"/>
        </w:rPr>
        <w:t>‰、审核成果费率</w:t>
      </w:r>
      <w:r>
        <w:rPr>
          <w:rFonts w:hint="eastAsia" w:cs="Times New Roman"/>
          <w:color w:val="auto"/>
          <w:kern w:val="2"/>
          <w:sz w:val="21"/>
          <w:szCs w:val="21"/>
          <w:highlight w:val="none"/>
          <w:u w:val="single"/>
          <w:lang w:eastAsia="zh-CN"/>
        </w:rPr>
        <w:t>4</w:t>
      </w:r>
      <w:r>
        <w:rPr>
          <w:rFonts w:hint="eastAsia" w:cs="Times New Roman"/>
          <w:color w:val="auto"/>
          <w:kern w:val="2"/>
          <w:sz w:val="21"/>
          <w:szCs w:val="21"/>
          <w:highlight w:val="none"/>
          <w:lang w:eastAsia="zh-CN"/>
        </w:rPr>
        <w:t>%。</w:t>
      </w:r>
    </w:p>
    <w:p w14:paraId="1D3B6FE7">
      <w:pPr>
        <w:keepNext w:val="0"/>
        <w:keepLines w:val="0"/>
        <w:pageBreakBefore w:val="0"/>
        <w:kinsoku/>
        <w:wordWrap/>
        <w:overflowPunct/>
        <w:topLinePunct w:val="0"/>
        <w:autoSpaceDE/>
        <w:autoSpaceDN/>
        <w:bidi w:val="0"/>
        <w:adjustRightInd/>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费计算方式为：基本费+审核成果费。其中，跟踪审计服务基本费计算基数为审定金额；审核成果费计算基数为</w:t>
      </w:r>
      <w:r>
        <w:rPr>
          <w:rFonts w:hint="eastAsia" w:ascii="宋体" w:hAnsi="宋体" w:eastAsia="宋体" w:cs="宋体"/>
          <w:color w:val="auto"/>
          <w:sz w:val="21"/>
          <w:szCs w:val="21"/>
          <w:highlight w:val="none"/>
          <w:lang w:eastAsia="zh-CN"/>
        </w:rPr>
        <w:t>独立</w:t>
      </w:r>
      <w:r>
        <w:rPr>
          <w:rFonts w:hint="eastAsia" w:ascii="宋体" w:hAnsi="宋体" w:eastAsia="宋体" w:cs="宋体"/>
          <w:color w:val="auto"/>
          <w:sz w:val="21"/>
          <w:szCs w:val="21"/>
          <w:highlight w:val="none"/>
        </w:rPr>
        <w:t>核减金额。</w:t>
      </w:r>
    </w:p>
    <w:p w14:paraId="6CFCEB48">
      <w:pPr>
        <w:keepNext w:val="0"/>
        <w:keepLines w:val="0"/>
        <w:pageBreakBefore w:val="0"/>
        <w:numPr>
          <w:ilvl w:val="0"/>
          <w:numId w:val="0"/>
        </w:numPr>
        <w:kinsoku/>
        <w:wordWrap/>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工程造价审减率超过</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lang w:eastAsia="zh-CN"/>
        </w:rPr>
        <w:t>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将对施工单位进行处罚，处罚金额为</w:t>
      </w:r>
      <w:r>
        <w:rPr>
          <w:rFonts w:hint="eastAsia" w:ascii="宋体" w:hAnsi="宋体" w:eastAsia="宋体" w:cs="宋体"/>
          <w:color w:val="auto"/>
          <w:sz w:val="21"/>
          <w:szCs w:val="21"/>
          <w:highlight w:val="none"/>
        </w:rPr>
        <w:t>审减率</w:t>
      </w:r>
      <w:r>
        <w:rPr>
          <w:rFonts w:hint="eastAsia" w:ascii="宋体" w:hAnsi="宋体" w:eastAsia="宋体" w:cs="宋体"/>
          <w:color w:val="auto"/>
          <w:sz w:val="21"/>
          <w:szCs w:val="21"/>
          <w:highlight w:val="none"/>
          <w:lang w:eastAsia="zh-CN"/>
        </w:rPr>
        <w:t>超出</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以上的报送金额的</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由综合计划科在定案时明确处罚金额报工程监管科落实处罚</w:t>
      </w:r>
      <w:r>
        <w:rPr>
          <w:rFonts w:hint="eastAsia" w:ascii="宋体" w:hAnsi="宋体" w:eastAsia="宋体" w:cs="宋体"/>
          <w:b w:val="0"/>
          <w:bCs w:val="0"/>
          <w:color w:val="auto"/>
          <w:sz w:val="21"/>
          <w:szCs w:val="21"/>
          <w:highlight w:val="none"/>
        </w:rPr>
        <w:t>。</w:t>
      </w:r>
    </w:p>
    <w:p w14:paraId="2C08F6CB">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二</w:t>
      </w:r>
      <w:r>
        <w:rPr>
          <w:rFonts w:hint="eastAsia" w:eastAsia="宋体" w:cs="Times New Roman"/>
          <w:color w:val="auto"/>
          <w:kern w:val="2"/>
          <w:sz w:val="21"/>
          <w:szCs w:val="21"/>
          <w:highlight w:val="none"/>
        </w:rPr>
        <w:t>）项目跟踪（结算）审计费用结算方式</w:t>
      </w:r>
    </w:p>
    <w:p w14:paraId="0DB3ADB2">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2" w:firstLineChars="200"/>
        <w:textAlignment w:val="auto"/>
        <w:rPr>
          <w:rFonts w:hint="eastAsia" w:cs="Times New Roman"/>
          <w:b/>
          <w:bCs/>
          <w:color w:val="auto"/>
          <w:kern w:val="2"/>
          <w:sz w:val="21"/>
          <w:szCs w:val="21"/>
          <w:highlight w:val="none"/>
          <w:lang w:val="en-US" w:eastAsia="zh-CN"/>
        </w:rPr>
      </w:pPr>
      <w:r>
        <w:rPr>
          <w:rFonts w:hint="eastAsia" w:eastAsia="宋体" w:cs="Times New Roman"/>
          <w:b/>
          <w:bCs/>
          <w:color w:val="auto"/>
          <w:kern w:val="2"/>
          <w:sz w:val="21"/>
          <w:szCs w:val="21"/>
          <w:highlight w:val="none"/>
        </w:rPr>
        <w:t>（1）</w:t>
      </w:r>
      <w:r>
        <w:rPr>
          <w:rFonts w:hint="eastAsia" w:cs="Times New Roman"/>
          <w:b/>
          <w:bCs/>
          <w:color w:val="auto"/>
          <w:kern w:val="2"/>
          <w:sz w:val="21"/>
          <w:szCs w:val="21"/>
          <w:highlight w:val="none"/>
          <w:lang w:val="en-US" w:eastAsia="zh-CN"/>
        </w:rPr>
        <w:t>付款方式：出具审核报告，经招标人审查备案通过后，按照备案金额为基数结算支付审计服务费用。（注：发包人请款额度须在政府资金调度会批准且发票送达后完成支付）。</w:t>
      </w:r>
    </w:p>
    <w:p w14:paraId="3855DD4C">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2" w:firstLineChars="200"/>
        <w:textAlignment w:val="auto"/>
        <w:rPr>
          <w:rFonts w:hint="eastAsia" w:eastAsia="宋体" w:cs="Times New Roman"/>
          <w:b/>
          <w:bCs/>
          <w:color w:val="auto"/>
          <w:kern w:val="2"/>
          <w:sz w:val="21"/>
          <w:szCs w:val="21"/>
          <w:highlight w:val="none"/>
          <w:lang w:eastAsia="zh-CN"/>
        </w:rPr>
      </w:pPr>
      <w:r>
        <w:rPr>
          <w:rFonts w:hint="eastAsia" w:eastAsia="宋体" w:cs="Times New Roman"/>
          <w:b/>
          <w:bCs/>
          <w:color w:val="auto"/>
          <w:kern w:val="2"/>
          <w:sz w:val="21"/>
          <w:szCs w:val="21"/>
          <w:highlight w:val="none"/>
        </w:rPr>
        <w:t>（2）项目</w:t>
      </w:r>
      <w:r>
        <w:rPr>
          <w:rFonts w:hint="eastAsia" w:eastAsia="宋体" w:cs="Times New Roman"/>
          <w:b/>
          <w:bCs/>
          <w:color w:val="auto"/>
          <w:kern w:val="2"/>
          <w:sz w:val="21"/>
          <w:szCs w:val="21"/>
          <w:highlight w:val="none"/>
          <w:lang w:eastAsia="zh-CN"/>
        </w:rPr>
        <w:t>跟踪审计机构</w:t>
      </w:r>
      <w:r>
        <w:rPr>
          <w:rFonts w:hint="eastAsia" w:eastAsia="宋体" w:cs="Times New Roman"/>
          <w:b/>
          <w:bCs/>
          <w:color w:val="auto"/>
          <w:kern w:val="2"/>
          <w:sz w:val="21"/>
          <w:szCs w:val="21"/>
          <w:highlight w:val="none"/>
        </w:rPr>
        <w:t>未按要求完成协审工作并移交相关资料，招标人有权拒付审计服务费用，并按照《工程造价咨询服务管理办法》的有关规定追究该项目</w:t>
      </w:r>
      <w:r>
        <w:rPr>
          <w:rFonts w:hint="eastAsia" w:eastAsia="宋体" w:cs="Times New Roman"/>
          <w:b/>
          <w:bCs/>
          <w:color w:val="auto"/>
          <w:kern w:val="2"/>
          <w:sz w:val="21"/>
          <w:szCs w:val="21"/>
          <w:highlight w:val="none"/>
          <w:lang w:eastAsia="zh-CN"/>
        </w:rPr>
        <w:t>跟踪审计机构相关责任。</w:t>
      </w:r>
    </w:p>
    <w:p w14:paraId="3A106AD5">
      <w:pPr>
        <w:spacing w:line="440" w:lineRule="exact"/>
        <w:ind w:firstLine="600"/>
        <w:jc w:val="left"/>
        <w:rPr>
          <w:rFonts w:hint="default" w:ascii="宋体" w:hAnsi="宋体" w:eastAsia="宋体" w:cs="Times New Roman"/>
          <w:b/>
          <w:bCs/>
          <w:color w:val="auto"/>
          <w:kern w:val="2"/>
          <w:sz w:val="21"/>
          <w:szCs w:val="21"/>
          <w:highlight w:val="none"/>
          <w:lang w:val="en-US" w:eastAsia="zh-CN"/>
        </w:rPr>
      </w:pPr>
      <w:r>
        <w:rPr>
          <w:rFonts w:hint="eastAsia" w:ascii="宋体" w:hAnsi="宋体" w:eastAsia="宋体" w:cs="Times New Roman"/>
          <w:b/>
          <w:bCs/>
          <w:color w:val="auto"/>
          <w:kern w:val="2"/>
          <w:sz w:val="21"/>
          <w:szCs w:val="21"/>
          <w:highlight w:val="none"/>
          <w:lang w:val="en-US" w:eastAsia="zh-CN"/>
        </w:rPr>
        <w:t>（3）本项目费用由招标人指定的付款单位支付，发票付款单位名称为其付款单位。本项目工程款不与分公司结算，仅支付给中标单位（请款所提供的发票名称须与中标单位名称保持一致）。</w:t>
      </w:r>
    </w:p>
    <w:p w14:paraId="655744F8">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hAnsi="Times New Roman" w:eastAsia="宋体" w:cs="宋体"/>
          <w:b/>
          <w:bCs/>
          <w:color w:val="auto"/>
          <w:kern w:val="0"/>
          <w:sz w:val="24"/>
          <w:szCs w:val="24"/>
          <w:highlight w:val="none"/>
          <w:lang w:val="en-US" w:eastAsia="zh-CN" w:bidi="ar-SA"/>
        </w:rPr>
      </w:pPr>
      <w:r>
        <w:rPr>
          <w:rFonts w:hint="eastAsia" w:hAnsi="Times New Roman" w:eastAsia="宋体" w:cs="宋体"/>
          <w:b/>
          <w:bCs/>
          <w:color w:val="auto"/>
          <w:kern w:val="0"/>
          <w:sz w:val="24"/>
          <w:szCs w:val="24"/>
          <w:highlight w:val="none"/>
          <w:lang w:val="en-US" w:eastAsia="zh-CN" w:bidi="ar-SA"/>
        </w:rPr>
        <w:t>六、审计质量、时限及过程管理要求</w:t>
      </w:r>
    </w:p>
    <w:p w14:paraId="3582F073">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lang w:val="en-US" w:eastAsia="zh-CN"/>
        </w:rPr>
        <w:t>跟踪审计</w:t>
      </w:r>
      <w:r>
        <w:rPr>
          <w:rFonts w:hint="eastAsia" w:eastAsia="宋体" w:cs="Times New Roman"/>
          <w:color w:val="auto"/>
          <w:kern w:val="2"/>
          <w:sz w:val="21"/>
          <w:szCs w:val="21"/>
          <w:highlight w:val="none"/>
        </w:rPr>
        <w:t>机构应及时认真地分析阅读工程量清单及控制价、招投标文件、合同（协议）、施工图纸、设计变更、技术签证等相关文件资料，在施工现场勘察测量和了解实际情况并做好记录。</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应根据建设单位、监理单位、施工单位提供的有关资料在《工程造价咨询服务管理办法》文件规定的工作日内完成审核工作，不得无故拖延时间。</w:t>
      </w:r>
    </w:p>
    <w:p w14:paraId="0319EC1B">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lang w:val="en-US" w:eastAsia="zh-CN"/>
        </w:rPr>
        <w:t>跟踪审计</w:t>
      </w:r>
      <w:r>
        <w:rPr>
          <w:rFonts w:hint="eastAsia" w:eastAsia="宋体" w:cs="Times New Roman"/>
          <w:color w:val="auto"/>
          <w:kern w:val="2"/>
          <w:sz w:val="21"/>
          <w:szCs w:val="21"/>
          <w:highlight w:val="none"/>
        </w:rPr>
        <w:t>机构在</w:t>
      </w:r>
      <w:r>
        <w:rPr>
          <w:rFonts w:hint="eastAsia" w:eastAsia="宋体" w:cs="Times New Roman"/>
          <w:color w:val="auto"/>
          <w:kern w:val="2"/>
          <w:sz w:val="21"/>
          <w:szCs w:val="21"/>
          <w:highlight w:val="none"/>
          <w:lang w:val="en-US" w:eastAsia="zh-CN"/>
        </w:rPr>
        <w:t>跟踪审计</w:t>
      </w:r>
      <w:r>
        <w:rPr>
          <w:rFonts w:hint="eastAsia" w:eastAsia="宋体" w:cs="Times New Roman"/>
          <w:color w:val="auto"/>
          <w:kern w:val="2"/>
          <w:sz w:val="21"/>
          <w:szCs w:val="21"/>
          <w:highlight w:val="none"/>
        </w:rPr>
        <w:t>过程须遵守招标人制定的《工程造价咨询服务管理办法》</w:t>
      </w:r>
      <w:r>
        <w:rPr>
          <w:rFonts w:hint="eastAsia" w:eastAsia="宋体" w:cs="Times New Roman"/>
          <w:color w:val="auto"/>
          <w:kern w:val="2"/>
          <w:sz w:val="21"/>
          <w:szCs w:val="21"/>
          <w:highlight w:val="none"/>
          <w:lang w:eastAsia="zh-CN"/>
        </w:rPr>
        <w:t>、</w:t>
      </w:r>
      <w:r>
        <w:rPr>
          <w:rFonts w:hint="eastAsia" w:eastAsia="宋体" w:cs="Times New Roman"/>
          <w:color w:val="auto"/>
          <w:kern w:val="2"/>
          <w:sz w:val="21"/>
          <w:szCs w:val="21"/>
          <w:highlight w:val="none"/>
        </w:rPr>
        <w:t>以及为提升审计质量和效率、控制廉政风险等方面制定的各项规定。</w:t>
      </w:r>
    </w:p>
    <w:p w14:paraId="36487EBF">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b/>
          <w:bCs/>
          <w:color w:val="auto"/>
          <w:kern w:val="2"/>
          <w:sz w:val="24"/>
          <w:szCs w:val="24"/>
          <w:highlight w:val="none"/>
        </w:rPr>
      </w:pPr>
      <w:r>
        <w:rPr>
          <w:rFonts w:hint="eastAsia" w:eastAsia="宋体" w:cs="Times New Roman"/>
          <w:b/>
          <w:bCs/>
          <w:color w:val="auto"/>
          <w:kern w:val="2"/>
          <w:sz w:val="24"/>
          <w:szCs w:val="24"/>
          <w:highlight w:val="none"/>
          <w:lang w:val="en-US" w:eastAsia="zh-CN"/>
        </w:rPr>
        <w:t>七</w:t>
      </w:r>
      <w:r>
        <w:rPr>
          <w:rFonts w:hint="eastAsia" w:eastAsia="宋体" w:cs="Times New Roman"/>
          <w:b/>
          <w:bCs/>
          <w:color w:val="auto"/>
          <w:kern w:val="2"/>
          <w:sz w:val="24"/>
          <w:szCs w:val="24"/>
          <w:highlight w:val="none"/>
        </w:rPr>
        <w:t>、项目跟踪（结算）审计工作考核奖惩</w:t>
      </w:r>
    </w:p>
    <w:p w14:paraId="3B9364AA">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跟踪审计服务质量日常考核原则上每季度安排一次。考核以各造价企业单个审计项目为单位，对单个审计项目审计实施过程和完成情况进行综合考核，满分为</w:t>
      </w:r>
      <w:r>
        <w:rPr>
          <w:rFonts w:hint="default" w:ascii="宋体" w:hAnsi="宋体" w:eastAsia="宋体" w:cs="Times New Roman"/>
          <w:color w:val="auto"/>
          <w:kern w:val="2"/>
          <w:sz w:val="21"/>
          <w:szCs w:val="21"/>
          <w:highlight w:val="none"/>
          <w:lang w:eastAsia="zh-CN"/>
        </w:rPr>
        <w:t>100</w:t>
      </w:r>
      <w:r>
        <w:rPr>
          <w:rFonts w:hint="default" w:ascii="宋体" w:hAnsi="宋体" w:eastAsia="宋体" w:cs="Times New Roman"/>
          <w:color w:val="auto"/>
          <w:kern w:val="2"/>
          <w:sz w:val="21"/>
          <w:szCs w:val="21"/>
          <w:highlight w:val="none"/>
        </w:rPr>
        <w:t>分，考核标准见《滁州市重点工程建设管理处跟踪审计服务质量日常考核表》（附件</w:t>
      </w:r>
      <w:r>
        <w:rPr>
          <w:rFonts w:hint="default" w:ascii="宋体" w:hAnsi="宋体" w:eastAsia="宋体" w:cs="Times New Roman"/>
          <w:color w:val="auto"/>
          <w:kern w:val="2"/>
          <w:sz w:val="21"/>
          <w:szCs w:val="21"/>
          <w:highlight w:val="none"/>
          <w:lang w:val="en-US" w:eastAsia="zh-CN"/>
        </w:rPr>
        <w:t>2</w:t>
      </w:r>
      <w:r>
        <w:rPr>
          <w:rFonts w:hint="default" w:ascii="宋体" w:hAnsi="宋体" w:eastAsia="宋体" w:cs="Times New Roman"/>
          <w:color w:val="auto"/>
          <w:kern w:val="2"/>
          <w:sz w:val="21"/>
          <w:szCs w:val="21"/>
          <w:highlight w:val="none"/>
        </w:rPr>
        <w:t>）。考核结果设“优”、“良”、“中”、“差”四个等级，考核得分</w:t>
      </w:r>
      <w:r>
        <w:rPr>
          <w:rFonts w:hint="default" w:ascii="宋体" w:hAnsi="宋体" w:eastAsia="宋体" w:cs="Times New Roman"/>
          <w:color w:val="auto"/>
          <w:kern w:val="2"/>
          <w:sz w:val="21"/>
          <w:szCs w:val="21"/>
          <w:highlight w:val="none"/>
          <w:lang w:eastAsia="zh-CN"/>
        </w:rPr>
        <w:t>9</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分及以上的项目评“优”，考核得分</w:t>
      </w:r>
      <w:r>
        <w:rPr>
          <w:rFonts w:hint="default" w:ascii="宋体" w:hAnsi="宋体" w:eastAsia="宋体" w:cs="Times New Roman"/>
          <w:color w:val="auto"/>
          <w:kern w:val="2"/>
          <w:sz w:val="21"/>
          <w:szCs w:val="21"/>
          <w:highlight w:val="none"/>
          <w:lang w:eastAsia="zh-CN"/>
        </w:rPr>
        <w:t>8</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分（含）-</w:t>
      </w:r>
      <w:r>
        <w:rPr>
          <w:rFonts w:hint="default" w:ascii="宋体" w:hAnsi="宋体" w:eastAsia="宋体" w:cs="Times New Roman"/>
          <w:color w:val="auto"/>
          <w:kern w:val="2"/>
          <w:sz w:val="21"/>
          <w:szCs w:val="21"/>
          <w:highlight w:val="none"/>
          <w:lang w:eastAsia="zh-CN"/>
        </w:rPr>
        <w:t>9</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分的项目评“良”，考核得分</w:t>
      </w:r>
      <w:r>
        <w:rPr>
          <w:rFonts w:hint="default" w:ascii="宋体" w:hAnsi="宋体" w:eastAsia="宋体" w:cs="Times New Roman"/>
          <w:color w:val="auto"/>
          <w:kern w:val="2"/>
          <w:sz w:val="21"/>
          <w:szCs w:val="21"/>
          <w:highlight w:val="none"/>
          <w:lang w:eastAsia="zh-CN"/>
        </w:rPr>
        <w:t>70</w:t>
      </w:r>
      <w:r>
        <w:rPr>
          <w:rFonts w:hint="default" w:ascii="宋体" w:hAnsi="宋体" w:eastAsia="宋体" w:cs="Times New Roman"/>
          <w:color w:val="auto"/>
          <w:kern w:val="2"/>
          <w:sz w:val="21"/>
          <w:szCs w:val="21"/>
          <w:highlight w:val="none"/>
        </w:rPr>
        <w:t>分（含）-</w:t>
      </w:r>
      <w:r>
        <w:rPr>
          <w:rFonts w:hint="default" w:ascii="宋体" w:hAnsi="宋体" w:eastAsia="宋体" w:cs="Times New Roman"/>
          <w:color w:val="auto"/>
          <w:kern w:val="2"/>
          <w:sz w:val="21"/>
          <w:szCs w:val="21"/>
          <w:highlight w:val="none"/>
          <w:lang w:val="en-US" w:eastAsia="zh-CN"/>
        </w:rPr>
        <w:t>85</w:t>
      </w:r>
      <w:r>
        <w:rPr>
          <w:rFonts w:hint="default" w:ascii="宋体" w:hAnsi="宋体" w:eastAsia="宋体" w:cs="Times New Roman"/>
          <w:color w:val="auto"/>
          <w:kern w:val="2"/>
          <w:sz w:val="21"/>
          <w:szCs w:val="21"/>
          <w:highlight w:val="none"/>
        </w:rPr>
        <w:t>分的项目评“中”，</w:t>
      </w:r>
      <w:r>
        <w:rPr>
          <w:rFonts w:hint="default" w:ascii="宋体" w:hAnsi="宋体" w:eastAsia="宋体" w:cs="Times New Roman"/>
          <w:color w:val="auto"/>
          <w:kern w:val="2"/>
          <w:sz w:val="21"/>
          <w:szCs w:val="21"/>
          <w:highlight w:val="none"/>
          <w:lang w:eastAsia="zh-CN"/>
        </w:rPr>
        <w:t>70</w:t>
      </w:r>
      <w:r>
        <w:rPr>
          <w:rFonts w:hint="default" w:ascii="宋体" w:hAnsi="宋体" w:eastAsia="宋体" w:cs="Times New Roman"/>
          <w:color w:val="auto"/>
          <w:kern w:val="2"/>
          <w:sz w:val="21"/>
          <w:szCs w:val="21"/>
          <w:highlight w:val="none"/>
        </w:rPr>
        <w:t>分以下的项目评“差”。对评“优” 项目的审计组予以通报表扬；对评“中”项目的审计组进行约谈；评“差”项目的审计组予以通报批评，进行约谈</w:t>
      </w:r>
      <w:r>
        <w:rPr>
          <w:rFonts w:hint="default" w:ascii="宋体" w:hAnsi="宋体" w:eastAsia="宋体" w:cs="Times New Roman"/>
          <w:color w:val="auto"/>
          <w:kern w:val="2"/>
          <w:sz w:val="21"/>
          <w:szCs w:val="21"/>
          <w:highlight w:val="none"/>
          <w:lang w:eastAsia="zh-CN"/>
        </w:rPr>
        <w:t>，</w:t>
      </w:r>
      <w:r>
        <w:rPr>
          <w:rFonts w:hint="default" w:ascii="宋体" w:hAnsi="宋体" w:eastAsia="宋体" w:cs="Times New Roman"/>
          <w:color w:val="auto"/>
          <w:kern w:val="2"/>
          <w:sz w:val="21"/>
          <w:szCs w:val="21"/>
          <w:highlight w:val="none"/>
        </w:rPr>
        <w:t>处罚</w:t>
      </w:r>
      <w:r>
        <w:rPr>
          <w:rFonts w:hint="default" w:ascii="宋体" w:hAnsi="宋体" w:eastAsia="宋体" w:cs="Times New Roman"/>
          <w:color w:val="auto"/>
          <w:kern w:val="2"/>
          <w:sz w:val="21"/>
          <w:szCs w:val="21"/>
          <w:highlight w:val="none"/>
          <w:lang w:val="en-US" w:eastAsia="zh-CN"/>
        </w:rPr>
        <w:t>4</w:t>
      </w:r>
      <w:r>
        <w:rPr>
          <w:rFonts w:hint="default" w:ascii="宋体" w:hAnsi="宋体" w:eastAsia="宋体" w:cs="Times New Roman"/>
          <w:color w:val="auto"/>
          <w:kern w:val="2"/>
          <w:sz w:val="21"/>
          <w:szCs w:val="21"/>
          <w:highlight w:val="none"/>
          <w:lang w:eastAsia="zh-CN"/>
        </w:rPr>
        <w:t>000</w:t>
      </w:r>
      <w:r>
        <w:rPr>
          <w:rFonts w:hint="default" w:ascii="宋体" w:hAnsi="宋体" w:eastAsia="宋体" w:cs="Times New Roman"/>
          <w:color w:val="auto"/>
          <w:kern w:val="2"/>
          <w:sz w:val="21"/>
          <w:szCs w:val="21"/>
          <w:highlight w:val="none"/>
        </w:rPr>
        <w:t>元</w:t>
      </w:r>
      <w:r>
        <w:rPr>
          <w:rFonts w:hint="default" w:ascii="宋体" w:hAnsi="宋体" w:eastAsia="宋体" w:cs="Times New Roman"/>
          <w:color w:val="auto"/>
          <w:kern w:val="2"/>
          <w:sz w:val="21"/>
          <w:szCs w:val="21"/>
          <w:highlight w:val="none"/>
          <w:lang w:eastAsia="zh-CN"/>
        </w:rPr>
        <w:t>及</w:t>
      </w:r>
      <w:r>
        <w:rPr>
          <w:rFonts w:hint="default" w:ascii="宋体" w:hAnsi="宋体" w:eastAsia="宋体" w:cs="Times New Roman"/>
          <w:color w:val="auto"/>
          <w:kern w:val="2"/>
          <w:sz w:val="21"/>
          <w:szCs w:val="21"/>
          <w:highlight w:val="none"/>
          <w:lang w:val="en-US" w:eastAsia="zh-CN"/>
        </w:rPr>
        <w:t>暂停业务3</w:t>
      </w:r>
      <w:r>
        <w:rPr>
          <w:rFonts w:hint="default" w:ascii="宋体" w:hAnsi="宋体" w:eastAsia="宋体" w:cs="Times New Roman"/>
          <w:color w:val="auto"/>
          <w:kern w:val="2"/>
          <w:sz w:val="21"/>
          <w:szCs w:val="21"/>
          <w:highlight w:val="none"/>
        </w:rPr>
        <w:t>个月，</w:t>
      </w:r>
      <w:r>
        <w:rPr>
          <w:rFonts w:hint="default" w:ascii="宋体" w:hAnsi="宋体" w:eastAsia="宋体" w:cs="Times New Roman"/>
          <w:color w:val="auto"/>
          <w:kern w:val="2"/>
          <w:sz w:val="21"/>
          <w:szCs w:val="21"/>
          <w:highlight w:val="none"/>
          <w:lang w:val="en-US" w:eastAsia="zh-CN"/>
        </w:rPr>
        <w:t>连续两个</w:t>
      </w:r>
      <w:r>
        <w:rPr>
          <w:rFonts w:hint="default" w:ascii="宋体" w:hAnsi="宋体" w:eastAsia="宋体" w:cs="Times New Roman"/>
          <w:color w:val="auto"/>
          <w:kern w:val="2"/>
          <w:sz w:val="21"/>
          <w:szCs w:val="21"/>
          <w:highlight w:val="none"/>
          <w:lang w:eastAsia="zh-CN"/>
        </w:rPr>
        <w:t>季度评</w:t>
      </w:r>
      <w:r>
        <w:rPr>
          <w:rFonts w:hint="default" w:ascii="宋体" w:hAnsi="宋体" w:eastAsia="宋体" w:cs="Times New Roman"/>
          <w:color w:val="auto"/>
          <w:kern w:val="2"/>
          <w:sz w:val="21"/>
          <w:szCs w:val="21"/>
          <w:highlight w:val="none"/>
        </w:rPr>
        <w:t>“差”</w:t>
      </w:r>
      <w:r>
        <w:rPr>
          <w:rFonts w:hint="default" w:ascii="宋体" w:hAnsi="宋体" w:eastAsia="宋体" w:cs="Times New Roman"/>
          <w:color w:val="auto"/>
          <w:kern w:val="2"/>
          <w:sz w:val="21"/>
          <w:szCs w:val="21"/>
          <w:highlight w:val="none"/>
          <w:lang w:eastAsia="zh-CN"/>
        </w:rPr>
        <w:t>的，</w:t>
      </w:r>
      <w:r>
        <w:rPr>
          <w:rFonts w:hint="default" w:ascii="宋体" w:hAnsi="宋体" w:eastAsia="宋体" w:cs="Times New Roman"/>
          <w:color w:val="auto"/>
          <w:kern w:val="2"/>
          <w:sz w:val="21"/>
          <w:szCs w:val="21"/>
          <w:highlight w:val="none"/>
          <w:lang w:val="en-US" w:eastAsia="zh-CN"/>
        </w:rPr>
        <w:t>暂停业务12</w:t>
      </w:r>
      <w:r>
        <w:rPr>
          <w:rFonts w:hint="default" w:ascii="宋体" w:hAnsi="宋体" w:eastAsia="宋体" w:cs="Times New Roman"/>
          <w:color w:val="auto"/>
          <w:kern w:val="2"/>
          <w:sz w:val="21"/>
          <w:szCs w:val="21"/>
          <w:highlight w:val="none"/>
        </w:rPr>
        <w:t>个月。</w:t>
      </w:r>
    </w:p>
    <w:p w14:paraId="6B972934">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年度考核以当年所有项目日常考核结果</w:t>
      </w:r>
      <w:r>
        <w:rPr>
          <w:rFonts w:hint="default" w:ascii="宋体" w:hAnsi="宋体" w:eastAsia="宋体" w:cs="Times New Roman"/>
          <w:color w:val="auto"/>
          <w:kern w:val="2"/>
          <w:sz w:val="21"/>
          <w:szCs w:val="21"/>
          <w:highlight w:val="none"/>
          <w:lang w:eastAsia="zh-CN"/>
        </w:rPr>
        <w:t>（本年度至少参评两次及以上）</w:t>
      </w:r>
      <w:r>
        <w:rPr>
          <w:rFonts w:hint="default" w:ascii="宋体" w:hAnsi="宋体" w:eastAsia="宋体" w:cs="Times New Roman"/>
          <w:color w:val="auto"/>
          <w:kern w:val="2"/>
          <w:sz w:val="21"/>
          <w:szCs w:val="21"/>
          <w:highlight w:val="none"/>
        </w:rPr>
        <w:t>平均分作为年度综合评定分值，考核结果分设“优”、“良”、“中”、“差”四个等级。考核得分</w:t>
      </w:r>
      <w:r>
        <w:rPr>
          <w:rFonts w:hint="default" w:ascii="宋体" w:hAnsi="宋体" w:eastAsia="宋体" w:cs="Times New Roman"/>
          <w:color w:val="auto"/>
          <w:kern w:val="2"/>
          <w:sz w:val="21"/>
          <w:szCs w:val="21"/>
          <w:highlight w:val="none"/>
          <w:lang w:eastAsia="zh-CN"/>
        </w:rPr>
        <w:t>9</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分及以上的造价企业评“优”，考核得分</w:t>
      </w:r>
      <w:r>
        <w:rPr>
          <w:rFonts w:hint="default" w:ascii="宋体" w:hAnsi="宋体" w:eastAsia="宋体" w:cs="Times New Roman"/>
          <w:color w:val="auto"/>
          <w:kern w:val="2"/>
          <w:sz w:val="21"/>
          <w:szCs w:val="21"/>
          <w:highlight w:val="none"/>
          <w:lang w:eastAsia="zh-CN"/>
        </w:rPr>
        <w:t>8</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分（含）-</w:t>
      </w:r>
      <w:r>
        <w:rPr>
          <w:rFonts w:hint="default" w:ascii="宋体" w:hAnsi="宋体" w:eastAsia="宋体" w:cs="Times New Roman"/>
          <w:color w:val="auto"/>
          <w:kern w:val="2"/>
          <w:sz w:val="21"/>
          <w:szCs w:val="21"/>
          <w:highlight w:val="none"/>
          <w:lang w:eastAsia="zh-CN"/>
        </w:rPr>
        <w:t>9</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分的造价企业评“良”，考核得分</w:t>
      </w:r>
      <w:r>
        <w:rPr>
          <w:rFonts w:hint="default" w:ascii="宋体" w:hAnsi="宋体" w:eastAsia="宋体" w:cs="Times New Roman"/>
          <w:color w:val="auto"/>
          <w:kern w:val="2"/>
          <w:sz w:val="21"/>
          <w:szCs w:val="21"/>
          <w:highlight w:val="none"/>
          <w:lang w:eastAsia="zh-CN"/>
        </w:rPr>
        <w:t>70</w:t>
      </w:r>
      <w:r>
        <w:rPr>
          <w:rFonts w:hint="default" w:ascii="宋体" w:hAnsi="宋体" w:eastAsia="宋体" w:cs="Times New Roman"/>
          <w:color w:val="auto"/>
          <w:kern w:val="2"/>
          <w:sz w:val="21"/>
          <w:szCs w:val="21"/>
          <w:highlight w:val="none"/>
        </w:rPr>
        <w:t>分（含）-</w:t>
      </w:r>
      <w:r>
        <w:rPr>
          <w:rFonts w:hint="default" w:ascii="宋体" w:hAnsi="宋体" w:eastAsia="宋体" w:cs="Times New Roman"/>
          <w:color w:val="auto"/>
          <w:kern w:val="2"/>
          <w:sz w:val="21"/>
          <w:szCs w:val="21"/>
          <w:highlight w:val="none"/>
          <w:lang w:eastAsia="zh-CN"/>
        </w:rPr>
        <w:t>8</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分的造价企业评“中”，</w:t>
      </w:r>
      <w:r>
        <w:rPr>
          <w:rFonts w:hint="default" w:ascii="宋体" w:hAnsi="宋体" w:eastAsia="宋体" w:cs="Times New Roman"/>
          <w:color w:val="auto"/>
          <w:kern w:val="2"/>
          <w:sz w:val="21"/>
          <w:szCs w:val="21"/>
          <w:highlight w:val="none"/>
          <w:lang w:eastAsia="zh-CN"/>
        </w:rPr>
        <w:t>70</w:t>
      </w:r>
      <w:r>
        <w:rPr>
          <w:rFonts w:hint="default" w:ascii="宋体" w:hAnsi="宋体" w:eastAsia="宋体" w:cs="Times New Roman"/>
          <w:color w:val="auto"/>
          <w:kern w:val="2"/>
          <w:sz w:val="21"/>
          <w:szCs w:val="21"/>
          <w:highlight w:val="none"/>
        </w:rPr>
        <w:t>分以下的造价企业评“差”。年度考核评“优”的造价企业予以通报表扬；年度考核评“差”的造价企业予以通报批评且</w:t>
      </w:r>
      <w:r>
        <w:rPr>
          <w:rFonts w:hint="default" w:ascii="宋体" w:hAnsi="宋体" w:eastAsia="宋体" w:cs="Times New Roman"/>
          <w:color w:val="auto"/>
          <w:kern w:val="2"/>
          <w:sz w:val="21"/>
          <w:szCs w:val="21"/>
          <w:highlight w:val="none"/>
          <w:lang w:val="en-US" w:eastAsia="zh-CN"/>
        </w:rPr>
        <w:t>暂停业务</w:t>
      </w:r>
      <w:r>
        <w:rPr>
          <w:rFonts w:hint="default" w:ascii="宋体" w:hAnsi="宋体" w:eastAsia="宋体" w:cs="Times New Roman"/>
          <w:color w:val="auto"/>
          <w:kern w:val="2"/>
          <w:sz w:val="21"/>
          <w:szCs w:val="21"/>
          <w:highlight w:val="none"/>
          <w:lang w:eastAsia="zh-CN"/>
        </w:rPr>
        <w:t>12</w:t>
      </w:r>
      <w:r>
        <w:rPr>
          <w:rFonts w:hint="default" w:ascii="宋体" w:hAnsi="宋体" w:eastAsia="宋体" w:cs="Times New Roman"/>
          <w:color w:val="auto"/>
          <w:kern w:val="2"/>
          <w:sz w:val="21"/>
          <w:szCs w:val="21"/>
          <w:highlight w:val="none"/>
        </w:rPr>
        <w:t>个月。</w:t>
      </w:r>
    </w:p>
    <w:p w14:paraId="19858E5C">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lang w:val="en-US" w:eastAsia="zh-CN"/>
        </w:rPr>
        <w:t>3</w:t>
      </w:r>
      <w:r>
        <w:rPr>
          <w:rFonts w:hint="eastAsia" w:eastAsia="宋体" w:cs="Times New Roman"/>
          <w:color w:val="auto"/>
          <w:kern w:val="2"/>
          <w:sz w:val="21"/>
          <w:szCs w:val="21"/>
          <w:highlight w:val="none"/>
        </w:rPr>
        <w:t>.造价企业有下列情形之一的，可扣减审计服务费用，终止审计委托协议，提请行政主管部门给予警告、通报，有限期或无限期禁止从事我处项目等处罚，构成犯罪的，依法追究刑事责任：</w:t>
      </w:r>
    </w:p>
    <w:p w14:paraId="65ED82B6">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1</w:t>
      </w:r>
      <w:r>
        <w:rPr>
          <w:rFonts w:hint="eastAsia" w:eastAsia="宋体" w:cs="Times New Roman"/>
          <w:color w:val="auto"/>
          <w:kern w:val="2"/>
          <w:sz w:val="21"/>
          <w:szCs w:val="21"/>
          <w:highlight w:val="none"/>
        </w:rPr>
        <w:t>）工程结算审核报告存在重大失误或质量低劣；</w:t>
      </w:r>
    </w:p>
    <w:p w14:paraId="7DC53350">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2</w:t>
      </w:r>
      <w:r>
        <w:rPr>
          <w:rFonts w:hint="eastAsia" w:eastAsia="宋体" w:cs="Times New Roman"/>
          <w:color w:val="auto"/>
          <w:kern w:val="2"/>
          <w:sz w:val="21"/>
          <w:szCs w:val="21"/>
          <w:highlight w:val="none"/>
        </w:rPr>
        <w:t>）因自身工作错误或过失造成重大损失；</w:t>
      </w:r>
    </w:p>
    <w:p w14:paraId="671B960A">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3</w:t>
      </w:r>
      <w:r>
        <w:rPr>
          <w:rFonts w:hint="eastAsia" w:eastAsia="宋体" w:cs="Times New Roman"/>
          <w:color w:val="auto"/>
          <w:kern w:val="2"/>
          <w:sz w:val="21"/>
          <w:szCs w:val="21"/>
          <w:highlight w:val="none"/>
        </w:rPr>
        <w:t>）未经允许私自向施工单位透露审核情况或信息；</w:t>
      </w:r>
    </w:p>
    <w:p w14:paraId="751EB501">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4</w:t>
      </w:r>
      <w:r>
        <w:rPr>
          <w:rFonts w:hint="eastAsia" w:eastAsia="宋体" w:cs="Times New Roman"/>
          <w:color w:val="auto"/>
          <w:kern w:val="2"/>
          <w:sz w:val="21"/>
          <w:szCs w:val="21"/>
          <w:highlight w:val="none"/>
        </w:rPr>
        <w:t>）向相关单位或个人索要财物等谋取不正当利益；</w:t>
      </w:r>
    </w:p>
    <w:p w14:paraId="3F030942">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5</w:t>
      </w:r>
      <w:r>
        <w:rPr>
          <w:rFonts w:hint="eastAsia" w:eastAsia="宋体" w:cs="Times New Roman"/>
          <w:color w:val="auto"/>
          <w:kern w:val="2"/>
          <w:sz w:val="21"/>
          <w:szCs w:val="21"/>
          <w:highlight w:val="none"/>
        </w:rPr>
        <w:t>）单独或与其他各方串通舞弊、弄虚作假；</w:t>
      </w:r>
    </w:p>
    <w:p w14:paraId="16802531">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6</w:t>
      </w:r>
      <w:r>
        <w:rPr>
          <w:rFonts w:hint="eastAsia" w:eastAsia="宋体" w:cs="Times New Roman"/>
          <w:color w:val="auto"/>
          <w:kern w:val="2"/>
          <w:sz w:val="21"/>
          <w:szCs w:val="21"/>
          <w:highlight w:val="none"/>
        </w:rPr>
        <w:t>）其他违反法律法规和规定的行为。</w:t>
      </w:r>
    </w:p>
    <w:p w14:paraId="626627EC">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color w:val="auto"/>
          <w:kern w:val="2"/>
          <w:sz w:val="24"/>
          <w:szCs w:val="24"/>
          <w:highlight w:val="none"/>
        </w:rPr>
      </w:pPr>
      <w:r>
        <w:rPr>
          <w:rFonts w:hint="eastAsia" w:eastAsia="宋体" w:cs="Times New Roman"/>
          <w:b/>
          <w:bCs/>
          <w:color w:val="auto"/>
          <w:kern w:val="2"/>
          <w:sz w:val="24"/>
          <w:szCs w:val="24"/>
          <w:highlight w:val="none"/>
          <w:lang w:val="en-US" w:eastAsia="zh-CN"/>
        </w:rPr>
        <w:t>八</w:t>
      </w:r>
      <w:r>
        <w:rPr>
          <w:rFonts w:hint="eastAsia" w:eastAsia="宋体" w:cs="Times New Roman"/>
          <w:b/>
          <w:bCs/>
          <w:color w:val="auto"/>
          <w:kern w:val="2"/>
          <w:sz w:val="24"/>
          <w:szCs w:val="24"/>
          <w:highlight w:val="none"/>
        </w:rPr>
        <w:t>、甲乙双方的权利和义务</w:t>
      </w:r>
      <w:r>
        <w:rPr>
          <w:rFonts w:hint="eastAsia" w:eastAsia="宋体" w:cs="Times New Roman"/>
          <w:color w:val="auto"/>
          <w:kern w:val="2"/>
          <w:sz w:val="24"/>
          <w:szCs w:val="24"/>
          <w:highlight w:val="none"/>
        </w:rPr>
        <w:t xml:space="preserve"> </w:t>
      </w:r>
    </w:p>
    <w:p w14:paraId="0F763974">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 xml:space="preserve">1.甲方权利和义务 </w:t>
      </w:r>
    </w:p>
    <w:p w14:paraId="654C321B">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（1）甲方有权对乙方的跟踪（结算）审计项目实施监督，配合市跟审办对乙方审计工作程序、质量和效率等进行检查考核，考核结果作为奖惩和参与政府投资项目跟踪（结算）审计的重要依据；</w:t>
      </w:r>
    </w:p>
    <w:p w14:paraId="39A4D2B7">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（2）项目跟踪（结算）审计过程中，甲方如发现乙方所派审计人员不符合要求或不能胜任岗位工作职责的，甲方有权要求乙方及时调换，或视情况给予相应的处理、处罚；</w:t>
      </w:r>
    </w:p>
    <w:p w14:paraId="6FCD3CCB">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（3）甲方保证乙方审计服务费用的按时到位。</w:t>
      </w:r>
    </w:p>
    <w:p w14:paraId="07322FFD">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2.乙方权利和义务</w:t>
      </w:r>
    </w:p>
    <w:p w14:paraId="33AA2842">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（1）乙方在完成审计任务后，有权及时取得审计服务费用；</w:t>
      </w:r>
    </w:p>
    <w:p w14:paraId="3CB820EA">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（2）乙方须依照甲方工作要求及行业准则、规范，按时、保质、保量完成所承担的审计任务；</w:t>
      </w:r>
    </w:p>
    <w:p w14:paraId="221FB8C8">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乙方必须对审计人员进行廉政教育，如发现有违反廉洁自律规定的行为，应立即更换人员，并对其严肃处理。同时，甲方可根据性质及情节，扣减相应审计服务费用，并可提请市跟审办没收相应的质量及廉政保证金。</w:t>
      </w:r>
    </w:p>
    <w:p w14:paraId="7EA0C46A">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w:t>
      </w:r>
      <w:r>
        <w:rPr>
          <w:rFonts w:hint="eastAsia" w:cs="Times New Roman"/>
          <w:color w:val="auto"/>
          <w:kern w:val="2"/>
          <w:sz w:val="21"/>
          <w:szCs w:val="21"/>
          <w:highlight w:val="none"/>
          <w:lang w:val="en-US" w:eastAsia="zh-CN"/>
        </w:rPr>
        <w:t>.</w:t>
      </w:r>
      <w:r>
        <w:rPr>
          <w:rFonts w:hint="eastAsia" w:eastAsia="宋体" w:cs="Times New Roman"/>
          <w:color w:val="auto"/>
          <w:kern w:val="2"/>
          <w:sz w:val="21"/>
          <w:szCs w:val="21"/>
          <w:highlight w:val="none"/>
        </w:rPr>
        <w:t>双方权力和责任</w:t>
      </w:r>
    </w:p>
    <w:p w14:paraId="261D9675">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3.1 招标人有权进行现场调查和监督，随时调阅有关资料，参与审计的查证、对账和答疑等有关活动。若</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未按委托协议完成业务或审计工作中出现严重差错，招标人有权追究</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法律和经济责任，并视情节扣减部分或全部审计服务费用，直至终止委托关系。</w:t>
      </w:r>
    </w:p>
    <w:p w14:paraId="0243ECD8">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3.2 招标人监督协议的执行，协调和处理履约过程中的问题，对</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审计工作开展情况进行考核，主要内容包括审计程序、现场履职、审计质量和效率、廉政纪律等方面，考核结果作为经济奖惩和以后参与政府投资项目审计服务的重要依据。</w:t>
      </w:r>
    </w:p>
    <w:p w14:paraId="1FE6A7C1">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 xml:space="preserve">3.3 </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应本着客观、公正、公平的原则，正确履行审计职责，同时承担相应的法律责任。对</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滥用职权、与施工单位串通、徇私舞弊、玩忽职守的，视情节，按有关规定对</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及其当事人进行处理处罚；情节严重，涉嫌违法违纪的，依法移送纪检、司法机关查处。</w:t>
      </w:r>
    </w:p>
    <w:p w14:paraId="5545759E">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b/>
          <w:bCs/>
          <w:color w:val="auto"/>
          <w:kern w:val="2"/>
          <w:sz w:val="24"/>
          <w:szCs w:val="24"/>
          <w:highlight w:val="none"/>
        </w:rPr>
      </w:pPr>
      <w:r>
        <w:rPr>
          <w:rFonts w:hint="eastAsia" w:eastAsia="宋体" w:cs="Times New Roman"/>
          <w:b/>
          <w:bCs/>
          <w:color w:val="auto"/>
          <w:kern w:val="2"/>
          <w:sz w:val="24"/>
          <w:szCs w:val="24"/>
          <w:highlight w:val="none"/>
          <w:lang w:val="en-US" w:eastAsia="zh-CN"/>
        </w:rPr>
        <w:t>九</w:t>
      </w:r>
      <w:r>
        <w:rPr>
          <w:rFonts w:hint="eastAsia" w:eastAsia="宋体" w:cs="Times New Roman"/>
          <w:b/>
          <w:bCs/>
          <w:color w:val="auto"/>
          <w:kern w:val="2"/>
          <w:sz w:val="24"/>
          <w:szCs w:val="24"/>
          <w:highlight w:val="none"/>
        </w:rPr>
        <w:t>、附则</w:t>
      </w:r>
    </w:p>
    <w:p w14:paraId="219F5A99">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1.本协议一式肆份，具有同等法律效力，甲方、乙方各执贰份。</w:t>
      </w:r>
    </w:p>
    <w:p w14:paraId="51E0F887">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2.本协议未尽事宜，由甲乙双方协商解决。协商不成，提请滁州仲裁委员会裁决。 　</w:t>
      </w:r>
    </w:p>
    <w:p w14:paraId="25F4F5D3">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3.本合同自双方签章后生效。</w:t>
      </w:r>
    </w:p>
    <w:p w14:paraId="56CD9580">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 xml:space="preserve">甲方（签章）                              乙方（签章）           </w:t>
      </w:r>
    </w:p>
    <w:p w14:paraId="0DCB36CB">
      <w:pPr>
        <w:ind w:firstLine="1470" w:firstLineChars="700"/>
        <w:rPr>
          <w:rFonts w:hint="eastAsia" w:ascii="宋体" w:hAnsi="宋体" w:eastAsia="宋体" w:cs="宋体"/>
          <w:color w:val="auto"/>
          <w:sz w:val="21"/>
          <w:szCs w:val="21"/>
          <w:highlight w:val="none"/>
        </w:rPr>
      </w:pPr>
      <w:r>
        <w:rPr>
          <w:rFonts w:hint="eastAsia" w:eastAsia="宋体" w:cs="Times New Roman"/>
          <w:color w:val="auto"/>
          <w:kern w:val="2"/>
          <w:sz w:val="21"/>
          <w:szCs w:val="21"/>
          <w:highlight w:val="none"/>
        </w:rPr>
        <w:t>年   月   日                             年  月  日</w:t>
      </w:r>
    </w:p>
    <w:p w14:paraId="6BCD3E8E">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65" w:name="_Toc30675"/>
      <w:r>
        <w:rPr>
          <w:rFonts w:hint="eastAsia" w:ascii="宋体" w:hAnsi="宋体" w:eastAsia="宋体" w:cs="宋体"/>
          <w:color w:val="auto"/>
          <w:highlight w:val="none"/>
          <w:lang w:val="en-US" w:eastAsia="zh-CN"/>
        </w:rPr>
        <w:t>第四章 投标文件格式</w:t>
      </w:r>
      <w:bookmarkEnd w:id="65"/>
    </w:p>
    <w:p w14:paraId="2AC451A3">
      <w:pPr>
        <w:jc w:val="center"/>
        <w:rPr>
          <w:rFonts w:hint="eastAsia" w:ascii="宋体" w:hAnsi="宋体" w:eastAsia="宋体" w:cs="宋体"/>
          <w:color w:val="auto"/>
          <w:sz w:val="28"/>
          <w:szCs w:val="28"/>
          <w:highlight w:val="none"/>
          <w:u w:val="single"/>
        </w:rPr>
      </w:pPr>
    </w:p>
    <w:p w14:paraId="2BF899C5">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w:t>
      </w:r>
      <w:r>
        <w:rPr>
          <w:rFonts w:hint="eastAsia" w:ascii="宋体" w:hAnsi="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录</w:t>
      </w:r>
    </w:p>
    <w:p w14:paraId="4FDABD1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r>
        <w:rPr>
          <w:rFonts w:hint="eastAsia" w:ascii="宋体" w:hAnsi="宋体" w:cs="宋体"/>
          <w:color w:val="auto"/>
          <w:sz w:val="21"/>
          <w:szCs w:val="21"/>
          <w:highlight w:val="none"/>
          <w:lang w:val="en-US" w:eastAsia="zh-CN"/>
        </w:rPr>
        <w:t>（格式见附件）</w:t>
      </w:r>
    </w:p>
    <w:p w14:paraId="0187A6D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eastAsia="宋体" w:cs="宋体"/>
          <w:color w:val="auto"/>
          <w:sz w:val="21"/>
          <w:szCs w:val="21"/>
          <w:highlight w:val="none"/>
          <w:lang w:val="en-US" w:eastAsia="zh-CN"/>
        </w:rPr>
        <w:t xml:space="preserve"> </w:t>
      </w:r>
    </w:p>
    <w:p w14:paraId="197A11D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项目人员配备表；（格式见附件）</w:t>
      </w:r>
    </w:p>
    <w:p w14:paraId="6B8FA70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p>
    <w:p w14:paraId="2C308F9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rPr>
        <w:t>不少于</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名注册在投标单位的二级及以上造价工程师</w:t>
      </w:r>
    </w:p>
    <w:p w14:paraId="1966D4D3">
      <w:pPr>
        <w:keepNext w:val="0"/>
        <w:keepLines w:val="0"/>
        <w:pageBreakBefore w:val="0"/>
        <w:widowControl w:val="0"/>
        <w:numPr>
          <w:ilvl w:val="0"/>
          <w:numId w:val="0"/>
        </w:numPr>
        <w:kinsoku/>
        <w:wordWrap/>
        <w:overflowPunct/>
        <w:topLinePunct w:val="0"/>
        <w:autoSpaceDE/>
        <w:autoSpaceDN/>
        <w:bidi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须持有社保部门出具的本单位为其缴纳的投标前近三个月内任意一月的养老保险证明（含官网在线打印件，证明文件两个月内有效），或投标人提供承诺已为上述人员缴纳养老保险证明的承诺书</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（格式自拟）</w:t>
      </w:r>
    </w:p>
    <w:p w14:paraId="25725BF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（格式见附件）</w:t>
      </w:r>
    </w:p>
    <w:p w14:paraId="7AE780D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）投标人认为需要提供的其他材料。</w:t>
      </w:r>
    </w:p>
    <w:p w14:paraId="7525A41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spacing w:beforeLines="100" w:afterLines="100" w:line="480" w:lineRule="exact"/>
        <w:ind w:firstLine="180" w:firstLineChars="75"/>
        <w:rPr>
          <w:rFonts w:hint="eastAsia" w:ascii="宋体" w:hAnsi="宋体" w:eastAsia="宋体" w:cs="宋体"/>
          <w:b/>
          <w:color w:val="auto"/>
          <w:sz w:val="24"/>
          <w:szCs w:val="24"/>
          <w:highlight w:val="none"/>
        </w:rPr>
      </w:pPr>
      <w:bookmarkStart w:id="66"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66"/>
    <w:p w14:paraId="24F496D8">
      <w:pPr>
        <w:rPr>
          <w:rFonts w:hint="eastAsia" w:ascii="宋体" w:hAnsi="宋体" w:eastAsia="宋体" w:cs="宋体"/>
          <w:color w:val="auto"/>
          <w:sz w:val="24"/>
          <w:szCs w:val="24"/>
          <w:highlight w:val="none"/>
        </w:rPr>
      </w:pPr>
    </w:p>
    <w:p w14:paraId="1102F2A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0" w:firstLineChars="200"/>
        <w:rPr>
          <w:rFonts w:hint="eastAsia" w:ascii="宋体"/>
          <w:color w:val="auto"/>
          <w:sz w:val="24"/>
          <w:highlight w:val="none"/>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授权委托人有效身份证及法定代表人有效身份证</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2B8D027D">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33159A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10F35531">
      <w:pPr>
        <w:spacing w:line="480" w:lineRule="auto"/>
        <w:ind w:right="980" w:firstLine="482" w:firstLineChars="200"/>
        <w:jc w:val="center"/>
        <w:rPr>
          <w:rFonts w:hint="eastAsia" w:ascii="宋体" w:hAnsi="宋体" w:eastAsia="宋体" w:cs="宋体"/>
          <w:b/>
          <w:bCs/>
          <w:color w:val="auto"/>
          <w:kern w:val="0"/>
          <w:sz w:val="24"/>
          <w:szCs w:val="24"/>
          <w:highlight w:val="none"/>
        </w:rPr>
      </w:pPr>
    </w:p>
    <w:p w14:paraId="4C192855">
      <w:pP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rPr>
        <w:br w:type="page"/>
      </w:r>
    </w:p>
    <w:p w14:paraId="21FDDC94">
      <w:pPr>
        <w:pStyle w:val="41"/>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center"/>
        <w:rPr>
          <w:rFonts w:hint="eastAsia" w:ascii="宋体" w:hAnsi="宋体" w:eastAsia="宋体" w:cs="宋体"/>
          <w:color w:val="auto"/>
          <w:sz w:val="28"/>
          <w:szCs w:val="28"/>
          <w:highlight w:val="none"/>
          <w:u w:val="single"/>
        </w:rPr>
      </w:pP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44"/>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2FB0BF2A">
      <w:pPr>
        <w:jc w:val="center"/>
        <w:rPr>
          <w:rFonts w:hint="eastAsia" w:ascii="宋体" w:hAnsi="宋体" w:eastAsia="宋体" w:cs="宋体"/>
          <w:b/>
          <w:bCs/>
          <w:color w:val="auto"/>
          <w:sz w:val="28"/>
          <w:szCs w:val="28"/>
          <w:highlight w:val="none"/>
        </w:rPr>
      </w:pPr>
    </w:p>
    <w:p w14:paraId="2908FF31">
      <w:pPr>
        <w:jc w:val="center"/>
        <w:rPr>
          <w:rFonts w:hint="eastAsia" w:ascii="宋体" w:hAnsi="宋体" w:eastAsia="宋体" w:cs="宋体"/>
          <w:b/>
          <w:bCs/>
          <w:color w:val="auto"/>
          <w:sz w:val="28"/>
          <w:szCs w:val="28"/>
          <w:highlight w:val="none"/>
        </w:rPr>
      </w:pP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561AA3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14:paraId="0BB8801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招标</w:t>
      </w:r>
      <w:r>
        <w:rPr>
          <w:rFonts w:hint="eastAsia" w:ascii="宋体" w:hAnsi="宋体" w:eastAsia="宋体" w:cs="宋体"/>
          <w:color w:val="auto"/>
          <w:szCs w:val="21"/>
          <w:highlight w:val="none"/>
          <w:u w:val="single"/>
        </w:rPr>
        <w:t xml:space="preserve">人)       </w:t>
      </w:r>
      <w:r>
        <w:rPr>
          <w:rFonts w:hint="eastAsia" w:ascii="宋体" w:hAnsi="宋体" w:eastAsia="宋体" w:cs="宋体"/>
          <w:color w:val="auto"/>
          <w:szCs w:val="21"/>
          <w:highlight w:val="none"/>
        </w:rPr>
        <w:t xml:space="preserve"> </w:t>
      </w:r>
    </w:p>
    <w:p w14:paraId="0D5B4C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1.我们决定参加贵单位组织的“</w:t>
      </w:r>
      <w:r>
        <w:rPr>
          <w:rFonts w:hint="eastAsia" w:ascii="宋体" w:hAnsi="宋体" w:eastAsia="宋体" w:cs="宋体"/>
          <w:color w:val="auto"/>
          <w:szCs w:val="21"/>
          <w:highlight w:val="none"/>
          <w:u w:val="single"/>
        </w:rPr>
        <w:t xml:space="preserve"> （项目名称</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 xml:space="preserve">。我方授权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(姓名和职务)代表我方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（投标人的名称）全权处理本项目投标的有关事宜。</w:t>
      </w:r>
    </w:p>
    <w:p w14:paraId="2D1AB64B">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2.我方愿意按照招标文件规定的各项要求，向</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人提供</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rPr>
        <w:t>项目的服务，我方报价为基本费率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审核成果费率</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%。项目负责人为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，服务期：</w:t>
      </w:r>
      <w:r>
        <w:rPr>
          <w:rFonts w:hint="eastAsia" w:ascii="宋体" w:hAnsi="宋体" w:eastAsia="宋体" w:cs="宋体"/>
          <w:color w:val="auto"/>
          <w:sz w:val="21"/>
          <w:szCs w:val="21"/>
          <w:highlight w:val="none"/>
          <w:lang w:val="en-US" w:eastAsia="zh-CN"/>
        </w:rPr>
        <w:t>满足关于印发《工程造价咨询服务管理办法》的通知（滁重〔2022〕55号）规定</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要求。</w:t>
      </w:r>
    </w:p>
    <w:p w14:paraId="03D44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3.本项目投标有效期为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60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日历天（从投标截止之日算起）。</w:t>
      </w:r>
    </w:p>
    <w:p w14:paraId="73D569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4.一旦我方成为合同签字人，我方将严格履行合同规定的责任和义务。</w:t>
      </w:r>
    </w:p>
    <w:p w14:paraId="36FF69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.若我方中标，愿意为本项目提交的纸质投标文件一式</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份，其中正本一份、副本</w:t>
      </w:r>
      <w:r>
        <w:rPr>
          <w:rFonts w:hint="eastAsia" w:ascii="宋体" w:hAnsi="宋体" w:cs="宋体"/>
          <w:color w:val="auto"/>
          <w:szCs w:val="21"/>
          <w:highlight w:val="none"/>
          <w:lang w:val="en-US" w:eastAsia="zh-CN"/>
        </w:rPr>
        <w:t>二</w:t>
      </w:r>
      <w:r>
        <w:rPr>
          <w:rFonts w:hint="eastAsia" w:ascii="宋体" w:hAnsi="宋体" w:eastAsia="宋体" w:cs="宋体"/>
          <w:color w:val="auto"/>
          <w:szCs w:val="21"/>
          <w:highlight w:val="none"/>
        </w:rPr>
        <w:t>份。</w:t>
      </w:r>
    </w:p>
    <w:p w14:paraId="4C35FC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.我方愿意提供可能另外要求的、与采购投标有关的文件资料，并保证我方已提供和将要提供的文件是真实的、准确的。</w:t>
      </w:r>
    </w:p>
    <w:p w14:paraId="43EBE829">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.我单位提供如下通讯地址：</w:t>
      </w:r>
      <w:r>
        <w:rPr>
          <w:rFonts w:hint="eastAsia" w:ascii="宋体" w:hAnsi="宋体" w:eastAsia="宋体" w:cs="宋体"/>
          <w:color w:val="auto"/>
          <w:szCs w:val="21"/>
          <w:highlight w:val="none"/>
          <w:u w:val="single"/>
        </w:rPr>
        <w:t xml:space="preserve">                电子邮箱（地址）</w:t>
      </w:r>
      <w:r>
        <w:rPr>
          <w:rFonts w:hint="eastAsia" w:ascii="宋体" w:hAnsi="宋体" w:eastAsia="宋体" w:cs="宋体"/>
          <w:color w:val="auto"/>
          <w:szCs w:val="21"/>
          <w:highlight w:val="none"/>
        </w:rPr>
        <w:t>，确认本项目相关法律文书均通过提供的以上地址送达，相关文书只要发送至以上电子邮箱（地址）即视为送达，投标人愿意承担一切法律后果。</w:t>
      </w:r>
    </w:p>
    <w:p w14:paraId="02E68186">
      <w:pPr>
        <w:pStyle w:val="44"/>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签字或盖章</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4CE9E6A">
      <w:pPr>
        <w:spacing w:line="360" w:lineRule="auto"/>
        <w:rPr>
          <w:rFonts w:hint="eastAsia" w:ascii="宋体" w:hAnsi="宋体" w:cs="宋体"/>
          <w:b/>
          <w:color w:val="auto"/>
          <w:sz w:val="28"/>
          <w:szCs w:val="28"/>
          <w:highlight w:val="none"/>
          <w:lang w:val="en-US" w:eastAsia="zh-CN"/>
        </w:rPr>
      </w:pPr>
    </w:p>
    <w:p w14:paraId="35B540EB">
      <w:pPr>
        <w:spacing w:line="360" w:lineRule="auto"/>
        <w:rPr>
          <w:rFonts w:hint="eastAsia" w:ascii="宋体" w:hAnsi="宋体" w:cs="宋体"/>
          <w:b/>
          <w:color w:val="auto"/>
          <w:sz w:val="28"/>
          <w:szCs w:val="28"/>
          <w:highlight w:val="none"/>
          <w:lang w:val="en-US" w:eastAsia="zh-CN"/>
        </w:rPr>
      </w:pPr>
    </w:p>
    <w:p w14:paraId="265D13AF">
      <w:pPr>
        <w:spacing w:line="360" w:lineRule="auto"/>
        <w:jc w:val="center"/>
        <w:rPr>
          <w:rFonts w:hint="eastAsia" w:ascii="宋体" w:hAnsi="宋体" w:eastAsia="宋体" w:cs="宋体"/>
          <w:b/>
          <w:bCs/>
          <w:color w:val="auto"/>
          <w:kern w:val="0"/>
          <w:sz w:val="30"/>
          <w:szCs w:val="30"/>
          <w:highlight w:val="none"/>
        </w:rPr>
      </w:pPr>
      <w:r>
        <w:rPr>
          <w:rFonts w:hint="eastAsia" w:ascii="宋体" w:hAnsi="宋体" w:cs="宋体"/>
          <w:b/>
          <w:color w:val="auto"/>
          <w:sz w:val="28"/>
          <w:szCs w:val="28"/>
          <w:highlight w:val="none"/>
          <w:lang w:val="en-US" w:eastAsia="zh-CN"/>
        </w:rPr>
        <w:t>系统填报的投标费率与本投标函不一致时，以本投标函为准</w:t>
      </w:r>
    </w:p>
    <w:p w14:paraId="3718D3FE">
      <w:pPr>
        <w:pStyle w:val="2"/>
        <w:spacing w:before="0" w:after="0"/>
        <w:rPr>
          <w:rFonts w:hint="eastAsia" w:ascii="宋体" w:hAnsi="宋体" w:eastAsia="宋体" w:cs="宋体"/>
          <w:color w:val="auto"/>
          <w:highlight w:val="none"/>
          <w:lang w:val="en-US" w:eastAsia="zh-CN"/>
        </w:rPr>
      </w:pPr>
      <w:bookmarkStart w:id="67" w:name="_Toc31498"/>
      <w:r>
        <w:rPr>
          <w:rFonts w:hint="eastAsia" w:ascii="宋体" w:hAnsi="宋体" w:eastAsia="宋体" w:cs="宋体"/>
          <w:color w:val="auto"/>
          <w:highlight w:val="none"/>
          <w:lang w:val="en-US" w:eastAsia="zh-CN"/>
        </w:rPr>
        <w:t>第五章 招标单位、招标代理机构对本招标文件的确认</w:t>
      </w:r>
      <w:bookmarkEnd w:id="67"/>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689" w:type="dxa"/>
          </w:tcPr>
          <w:p w14:paraId="326BAA51">
            <w:pPr>
              <w:spacing w:line="320" w:lineRule="atLeast"/>
              <w:ind w:firstLine="560" w:firstLineChars="200"/>
              <w:rPr>
                <w:rFonts w:hint="eastAsia" w:ascii="宋体" w:hAnsi="宋体" w:eastAsia="宋体" w:cs="宋体"/>
                <w:color w:val="auto"/>
                <w:sz w:val="28"/>
                <w:szCs w:val="28"/>
                <w:highlight w:val="none"/>
              </w:rPr>
            </w:pPr>
          </w:p>
          <w:p w14:paraId="70D47DF8">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城南绿廊公园水体清淤及治理项目等两个项目跟踪审计项目</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41C4BDEF">
            <w:pPr>
              <w:widowControl/>
              <w:spacing w:line="360" w:lineRule="auto"/>
              <w:ind w:firstLine="600"/>
              <w:jc w:val="left"/>
              <w:rPr>
                <w:rFonts w:hint="eastAsia" w:ascii="宋体" w:hAnsi="宋体" w:eastAsia="宋体" w:cs="宋体"/>
                <w:color w:val="auto"/>
                <w:sz w:val="28"/>
                <w:szCs w:val="28"/>
                <w:highlight w:val="none"/>
              </w:rPr>
            </w:pPr>
          </w:p>
          <w:p w14:paraId="50BDAFF0">
            <w:pPr>
              <w:widowControl/>
              <w:spacing w:line="360" w:lineRule="auto"/>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招标单位：滁州市园林景观管理中心 </w:t>
            </w:r>
          </w:p>
          <w:p w14:paraId="42083025">
            <w:pPr>
              <w:widowControl/>
              <w:spacing w:line="360" w:lineRule="auto"/>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 办 人：</w:t>
            </w:r>
            <w:r>
              <w:rPr>
                <w:rFonts w:hint="eastAsia" w:ascii="宋体" w:hAnsi="宋体" w:cs="宋体"/>
                <w:color w:val="auto"/>
                <w:sz w:val="28"/>
                <w:szCs w:val="28"/>
                <w:highlight w:val="none"/>
                <w:lang w:val="en-US" w:eastAsia="zh-CN"/>
              </w:rPr>
              <w:t>曾建博</w:t>
            </w:r>
            <w:r>
              <w:rPr>
                <w:rFonts w:hint="eastAsia" w:ascii="宋体" w:hAnsi="宋体" w:eastAsia="宋体" w:cs="宋体"/>
                <w:color w:val="auto"/>
                <w:sz w:val="28"/>
                <w:szCs w:val="28"/>
                <w:highlight w:val="none"/>
              </w:rPr>
              <w:t xml:space="preserve"> </w:t>
            </w:r>
          </w:p>
          <w:p w14:paraId="3E7F1E22">
            <w:pPr>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val="en-US" w:eastAsia="zh-CN"/>
              </w:rPr>
              <w:t>0550-3010861</w:t>
            </w:r>
            <w:r>
              <w:rPr>
                <w:rFonts w:hint="eastAsia" w:ascii="宋体" w:hAnsi="宋体" w:eastAsia="宋体" w:cs="宋体"/>
                <w:color w:val="auto"/>
                <w:sz w:val="28"/>
                <w:szCs w:val="28"/>
                <w:highlight w:val="none"/>
                <w:lang w:val="en-US" w:eastAsia="zh-CN"/>
              </w:rPr>
              <w:t xml:space="preserve">  </w:t>
            </w:r>
          </w:p>
          <w:p w14:paraId="1E3913DA">
            <w:pPr>
              <w:spacing w:line="50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（单位盖章）</w:t>
            </w:r>
          </w:p>
          <w:p w14:paraId="33C2043A">
            <w:pPr>
              <w:ind w:firstLine="5320" w:firstLineChars="1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月</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9689" w:type="dxa"/>
          </w:tcPr>
          <w:p w14:paraId="2D346054">
            <w:pPr>
              <w:spacing w:line="320" w:lineRule="atLeast"/>
              <w:ind w:firstLine="560" w:firstLineChars="200"/>
              <w:rPr>
                <w:rFonts w:hint="eastAsia" w:ascii="宋体" w:hAnsi="宋体" w:eastAsia="宋体" w:cs="宋体"/>
                <w:color w:val="auto"/>
                <w:sz w:val="28"/>
                <w:szCs w:val="28"/>
                <w:highlight w:val="none"/>
              </w:rPr>
            </w:pPr>
          </w:p>
          <w:p w14:paraId="429FA252">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曹思敏</w:t>
            </w:r>
          </w:p>
          <w:p w14:paraId="3E3D785F">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eastAsia="zh-CN"/>
              </w:rPr>
              <w:t xml:space="preserve">18712012204 </w:t>
            </w:r>
          </w:p>
          <w:p w14:paraId="497AA04E">
            <w:pPr>
              <w:rPr>
                <w:rFonts w:hint="eastAsia" w:ascii="宋体" w:hAnsi="宋体" w:eastAsia="宋体" w:cs="宋体"/>
                <w:color w:val="auto"/>
                <w:sz w:val="28"/>
                <w:szCs w:val="28"/>
                <w:highlight w:val="none"/>
              </w:rPr>
            </w:pPr>
          </w:p>
          <w:p w14:paraId="00473FA3">
            <w:pPr>
              <w:ind w:firstLine="5040" w:firstLineChars="18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0AF574C">
            <w:pPr>
              <w:ind w:firstLine="6440" w:firstLineChars="2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（单位盖章）</w:t>
            </w:r>
          </w:p>
          <w:p w14:paraId="5AE54977">
            <w:pPr>
              <w:ind w:firstLine="5180" w:firstLineChars="18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月</w:t>
            </w:r>
          </w:p>
        </w:tc>
      </w:tr>
    </w:tbl>
    <w:p w14:paraId="22D2196B">
      <w:pPr>
        <w:pStyle w:val="17"/>
        <w:jc w:val="left"/>
        <w:rPr>
          <w:rFonts w:hint="eastAsia" w:ascii="宋体" w:hAnsi="宋体" w:eastAsia="宋体" w:cs="宋体"/>
          <w:color w:val="auto"/>
          <w:kern w:val="0"/>
          <w:sz w:val="24"/>
          <w:szCs w:val="24"/>
          <w:highlight w:val="none"/>
        </w:rPr>
      </w:pPr>
    </w:p>
    <w:p w14:paraId="63AE5489">
      <w:pPr>
        <w:pStyle w:val="17"/>
        <w:jc w:val="left"/>
        <w:rPr>
          <w:rFonts w:hint="eastAsia" w:ascii="宋体" w:hAnsi="宋体" w:eastAsia="宋体" w:cs="宋体"/>
          <w:color w:val="auto"/>
          <w:kern w:val="0"/>
          <w:sz w:val="24"/>
          <w:szCs w:val="24"/>
          <w:highlight w:val="none"/>
        </w:rPr>
      </w:pPr>
    </w:p>
    <w:p w14:paraId="542E3EE9">
      <w:pPr>
        <w:pStyle w:val="17"/>
        <w:jc w:val="left"/>
        <w:rPr>
          <w:rFonts w:hint="eastAsia" w:ascii="宋体" w:hAnsi="宋体" w:eastAsia="宋体" w:cs="宋体"/>
          <w:color w:val="auto"/>
          <w:kern w:val="0"/>
          <w:sz w:val="24"/>
          <w:szCs w:val="24"/>
          <w:highlight w:val="none"/>
        </w:rPr>
      </w:pPr>
    </w:p>
    <w:p w14:paraId="2D9AB935">
      <w:pPr>
        <w:pStyle w:val="17"/>
        <w:jc w:val="left"/>
        <w:rPr>
          <w:rFonts w:hint="eastAsia" w:ascii="宋体" w:hAnsi="宋体" w:eastAsia="宋体" w:cs="宋体"/>
          <w:color w:val="auto"/>
          <w:kern w:val="0"/>
          <w:sz w:val="24"/>
          <w:szCs w:val="24"/>
          <w:highlight w:val="none"/>
        </w:rPr>
      </w:pPr>
    </w:p>
    <w:p w14:paraId="21A15060">
      <w:pPr>
        <w:pStyle w:val="17"/>
        <w:jc w:val="left"/>
        <w:rPr>
          <w:rFonts w:hint="eastAsia" w:ascii="宋体" w:hAnsi="宋体" w:eastAsia="宋体" w:cs="宋体"/>
          <w:color w:val="auto"/>
          <w:kern w:val="0"/>
          <w:sz w:val="24"/>
          <w:szCs w:val="24"/>
          <w:highlight w:val="none"/>
        </w:rPr>
      </w:pPr>
    </w:p>
    <w:p w14:paraId="66B60817">
      <w:pPr>
        <w:pStyle w:val="44"/>
        <w:ind w:left="199" w:leftChars="95" w:firstLine="198" w:firstLineChars="66"/>
        <w:rPr>
          <w:rFonts w:hint="eastAsia" w:hAnsi="宋体"/>
          <w:color w:val="auto"/>
          <w:sz w:val="30"/>
          <w:szCs w:val="30"/>
          <w:highlight w:val="none"/>
        </w:rPr>
      </w:pPr>
    </w:p>
    <w:p w14:paraId="2AFFD4C9">
      <w:pPr>
        <w:pStyle w:val="44"/>
        <w:ind w:left="199" w:leftChars="95" w:firstLine="198" w:firstLineChars="66"/>
        <w:rPr>
          <w:rFonts w:hint="eastAsia" w:hAnsi="宋体"/>
          <w:color w:val="auto"/>
          <w:sz w:val="30"/>
          <w:szCs w:val="30"/>
          <w:highlight w:val="none"/>
        </w:rPr>
      </w:pPr>
      <w:r>
        <w:rPr>
          <w:rFonts w:hint="eastAsia" w:hAnsi="宋体"/>
          <w:color w:val="auto"/>
          <w:sz w:val="30"/>
          <w:szCs w:val="30"/>
          <w:highlight w:val="none"/>
        </w:rPr>
        <w:t>附件：</w:t>
      </w:r>
    </w:p>
    <w:p w14:paraId="5A6B21EF">
      <w:pPr>
        <w:pStyle w:val="44"/>
        <w:ind w:left="199" w:leftChars="95" w:firstLine="198" w:firstLineChars="66"/>
        <w:rPr>
          <w:rFonts w:hint="eastAsia" w:hAnsi="宋体"/>
          <w:color w:val="auto"/>
          <w:sz w:val="30"/>
          <w:szCs w:val="30"/>
          <w:highlight w:val="none"/>
        </w:rPr>
      </w:pPr>
    </w:p>
    <w:p w14:paraId="7786B853">
      <w:pPr>
        <w:rPr>
          <w:rFonts w:hint="eastAsia"/>
          <w:color w:val="auto"/>
          <w:highlight w:val="none"/>
        </w:rPr>
      </w:pPr>
    </w:p>
    <w:p w14:paraId="2A14C26E">
      <w:pPr>
        <w:pStyle w:val="44"/>
        <w:ind w:left="199" w:leftChars="95" w:firstLine="211" w:firstLineChars="66"/>
        <w:rPr>
          <w:rFonts w:hint="default" w:ascii="Times New Roman" w:hAnsi="Times New Roman" w:eastAsia="楷体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rPr>
        <w:t>滁重〔</w:t>
      </w:r>
      <w:r>
        <w:rPr>
          <w:rFonts w:hint="default" w:ascii="Times New Roman" w:hAnsi="Times New Roman" w:eastAsia="仿宋_GB2312" w:cs="Times New Roman"/>
          <w:color w:val="auto"/>
          <w:sz w:val="32"/>
          <w:szCs w:val="32"/>
          <w:highlight w:val="none"/>
          <w:shd w:val="clear" w:color="auto" w:fill="auto"/>
          <w:lang w:eastAsia="zh-CN"/>
        </w:rPr>
        <w:t>20</w:t>
      </w:r>
      <w:r>
        <w:rPr>
          <w:rFonts w:hint="default" w:ascii="Times New Roman" w:hAnsi="Times New Roman" w:eastAsia="仿宋_GB2312" w:cs="Times New Roman"/>
          <w:color w:val="auto"/>
          <w:sz w:val="32"/>
          <w:szCs w:val="32"/>
          <w:highlight w:val="none"/>
          <w:shd w:val="clear" w:color="auto" w:fill="auto"/>
          <w:lang w:val="en-US" w:eastAsia="zh-CN"/>
        </w:rPr>
        <w:t>22</w:t>
      </w:r>
      <w:r>
        <w:rPr>
          <w:rFonts w:hint="default" w:ascii="Times New Roman" w:hAnsi="Times New Roman" w:eastAsia="仿宋_GB2312"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shd w:val="clear" w:color="auto" w:fill="auto"/>
          <w:lang w:val="en-US" w:eastAsia="zh-CN"/>
        </w:rPr>
        <w:t>55号</w:t>
      </w:r>
    </w:p>
    <w:p w14:paraId="2BE8FE8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简体" w:cs="Times New Roman"/>
          <w:b w:val="0"/>
          <w:bCs/>
          <w:color w:val="auto"/>
          <w:spacing w:val="-11"/>
          <w:sz w:val="44"/>
          <w:szCs w:val="44"/>
          <w:highlight w:val="none"/>
        </w:rPr>
      </w:pPr>
      <w:r>
        <w:rPr>
          <w:rFonts w:hint="default" w:ascii="Times New Roman" w:hAnsi="Times New Roman" w:eastAsia="方正小标宋简体" w:cs="Times New Roman"/>
          <w:b w:val="0"/>
          <w:bCs/>
          <w:color w:val="auto"/>
          <w:spacing w:val="-11"/>
          <w:sz w:val="44"/>
          <w:szCs w:val="44"/>
          <w:highlight w:val="none"/>
        </w:rPr>
        <w:t>关于印发《工程造价咨询服务管理办法》的通知</w:t>
      </w:r>
    </w:p>
    <w:p w14:paraId="5291AEDD">
      <w:pPr>
        <w:spacing w:line="600" w:lineRule="exact"/>
        <w:rPr>
          <w:rFonts w:hint="default" w:ascii="Times New Roman" w:hAnsi="Times New Roman" w:eastAsia="宋体" w:cs="Times New Roman"/>
          <w:color w:val="auto"/>
          <w:szCs w:val="32"/>
          <w:highlight w:val="none"/>
        </w:rPr>
      </w:pPr>
    </w:p>
    <w:p w14:paraId="25140BF3">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仿宋_GB2312" w:eastAsia="仿宋_GB2312" w:cs="Times New Roman"/>
          <w:color w:val="auto"/>
          <w:sz w:val="32"/>
          <w:szCs w:val="32"/>
          <w:highlight w:val="none"/>
        </w:rPr>
        <w:t>机关各</w:t>
      </w:r>
      <w:r>
        <w:rPr>
          <w:rFonts w:hint="eastAsia" w:ascii="Times New Roman" w:hAnsi="仿宋_GB2312" w:eastAsia="仿宋_GB2312" w:cs="Times New Roman"/>
          <w:color w:val="auto"/>
          <w:sz w:val="32"/>
          <w:szCs w:val="32"/>
          <w:highlight w:val="none"/>
          <w:lang w:eastAsia="zh-CN"/>
        </w:rPr>
        <w:t>科室</w:t>
      </w:r>
      <w:r>
        <w:rPr>
          <w:rFonts w:hint="eastAsia" w:ascii="Times New Roman" w:hAnsi="仿宋_GB2312" w:eastAsia="仿宋_GB2312" w:cs="Times New Roman"/>
          <w:color w:val="auto"/>
          <w:sz w:val="32"/>
          <w:szCs w:val="32"/>
          <w:highlight w:val="none"/>
        </w:rPr>
        <w:t>、处属各</w:t>
      </w:r>
      <w:r>
        <w:rPr>
          <w:rFonts w:hint="eastAsia" w:ascii="Times New Roman" w:hAnsi="仿宋_GB2312" w:eastAsia="仿宋_GB2312" w:cs="Times New Roman"/>
          <w:color w:val="auto"/>
          <w:sz w:val="32"/>
          <w:szCs w:val="32"/>
          <w:highlight w:val="none"/>
          <w:lang w:val="en-US" w:eastAsia="zh-CN"/>
        </w:rPr>
        <w:t>单位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各工程造价咨询企业</w:t>
      </w:r>
      <w:r>
        <w:rPr>
          <w:rFonts w:hint="default" w:ascii="Times New Roman" w:hAnsi="Times New Roman" w:eastAsia="仿宋_GB2312" w:cs="Times New Roman"/>
          <w:color w:val="auto"/>
          <w:sz w:val="32"/>
          <w:szCs w:val="32"/>
          <w:highlight w:val="none"/>
        </w:rPr>
        <w:t>：</w:t>
      </w:r>
    </w:p>
    <w:p w14:paraId="14799CE0">
      <w:pPr>
        <w:keepNext w:val="0"/>
        <w:keepLines w:val="0"/>
        <w:pageBreakBefore w:val="0"/>
        <w:widowControl w:val="0"/>
        <w:kinsoku/>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规范工程</w:t>
      </w:r>
      <w:r>
        <w:rPr>
          <w:rFonts w:hint="default" w:ascii="Times New Roman" w:hAnsi="Times New Roman" w:eastAsia="仿宋_GB2312" w:cs="Times New Roman"/>
          <w:color w:val="auto"/>
          <w:spacing w:val="-4"/>
          <w:kern w:val="0"/>
          <w:sz w:val="32"/>
          <w:szCs w:val="32"/>
          <w:highlight w:val="none"/>
        </w:rPr>
        <w:t>造价咨询企业</w:t>
      </w:r>
      <w:r>
        <w:rPr>
          <w:rFonts w:hint="default" w:ascii="Times New Roman" w:hAnsi="Times New Roman" w:eastAsia="仿宋_GB2312" w:cs="Times New Roman"/>
          <w:color w:val="auto"/>
          <w:kern w:val="0"/>
          <w:sz w:val="32"/>
          <w:szCs w:val="32"/>
          <w:highlight w:val="none"/>
        </w:rPr>
        <w:t>考核工作，</w:t>
      </w:r>
      <w:r>
        <w:rPr>
          <w:rFonts w:hint="default" w:ascii="Times New Roman" w:hAnsi="Times New Roman" w:eastAsia="仿宋_GB2312" w:cs="Times New Roman"/>
          <w:color w:val="auto"/>
          <w:kern w:val="0"/>
          <w:sz w:val="32"/>
          <w:szCs w:val="32"/>
          <w:highlight w:val="none"/>
          <w:lang w:val="en-US" w:eastAsia="zh-CN"/>
        </w:rPr>
        <w:t>2020年10月印发了</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)，试行已满一年，结合工作实际，现予以修订。经2022</w:t>
      </w:r>
      <w:r>
        <w:rPr>
          <w:rFonts w:hint="default" w:ascii="Times New Roman" w:hAnsi="Times New Roman" w:eastAsia="仿宋_GB2312" w:cs="Times New Roman"/>
          <w:color w:val="auto"/>
          <w:sz w:val="32"/>
          <w:szCs w:val="32"/>
          <w:highlight w:val="none"/>
          <w:shd w:val="clear" w:color="auto" w:fill="auto"/>
          <w:lang w:val="en-US" w:eastAsia="zh-CN"/>
        </w:rPr>
        <w:t>年6月</w:t>
      </w:r>
      <w:r>
        <w:rPr>
          <w:rFonts w:hint="eastAsia" w:ascii="Times New Roman" w:hAnsi="Times New Roman" w:eastAsia="仿宋_GB2312" w:cs="Times New Roman"/>
          <w:color w:val="auto"/>
          <w:sz w:val="32"/>
          <w:szCs w:val="32"/>
          <w:highlight w:val="none"/>
          <w:shd w:val="clear" w:color="auto" w:fill="auto"/>
          <w:lang w:val="en-US" w:eastAsia="zh-CN"/>
        </w:rPr>
        <w:t>23日</w:t>
      </w:r>
      <w:r>
        <w:rPr>
          <w:rFonts w:hint="default" w:ascii="Times New Roman" w:hAnsi="Times New Roman" w:eastAsia="仿宋_GB2312" w:cs="Times New Roman"/>
          <w:color w:val="auto"/>
          <w:sz w:val="32"/>
          <w:szCs w:val="32"/>
          <w:highlight w:val="none"/>
          <w:shd w:val="clear" w:color="auto" w:fill="auto"/>
          <w:lang w:val="en-US" w:eastAsia="zh-CN"/>
        </w:rPr>
        <w:t>党组会</w:t>
      </w:r>
      <w:r>
        <w:rPr>
          <w:rFonts w:hint="default" w:ascii="Times New Roman" w:hAnsi="Times New Roman" w:eastAsia="仿宋_GB2312" w:cs="Times New Roman"/>
          <w:color w:val="auto"/>
          <w:sz w:val="32"/>
          <w:szCs w:val="32"/>
          <w:highlight w:val="none"/>
          <w:lang w:val="en-US" w:eastAsia="zh-CN"/>
        </w:rPr>
        <w:t>研究同意，</w:t>
      </w:r>
      <w:r>
        <w:rPr>
          <w:rFonts w:hint="default" w:ascii="Times New Roman" w:hAnsi="Times New Roman" w:eastAsia="仿宋_GB2312" w:cs="Times New Roman"/>
          <w:color w:val="auto"/>
          <w:kern w:val="0"/>
          <w:sz w:val="32"/>
          <w:szCs w:val="32"/>
          <w:highlight w:val="none"/>
          <w:lang w:eastAsia="zh-CN"/>
        </w:rPr>
        <w:t>现印发</w:t>
      </w:r>
      <w:r>
        <w:rPr>
          <w:rFonts w:hint="default" w:ascii="Times New Roman" w:hAnsi="Times New Roman" w:eastAsia="仿宋_GB2312" w:cs="Times New Roman"/>
          <w:color w:val="auto"/>
          <w:sz w:val="32"/>
          <w:szCs w:val="32"/>
          <w:highlight w:val="none"/>
        </w:rPr>
        <w:t>《工程造价咨询服务管理办法》，请认真贯彻执行</w:t>
      </w:r>
      <w:r>
        <w:rPr>
          <w:rFonts w:hint="default" w:ascii="Times New Roman" w:hAnsi="Times New Roman" w:eastAsia="仿宋_GB2312" w:cs="Times New Roman"/>
          <w:color w:val="auto"/>
          <w:kern w:val="0"/>
          <w:sz w:val="32"/>
          <w:szCs w:val="32"/>
          <w:highlight w:val="none"/>
        </w:rPr>
        <w:t>，并及时反馈执行中的意见和</w:t>
      </w:r>
      <w:r>
        <w:rPr>
          <w:rFonts w:hint="default" w:ascii="Times New Roman" w:hAnsi="Times New Roman" w:eastAsia="仿宋_GB2312" w:cs="Times New Roman"/>
          <w:color w:val="auto"/>
          <w:sz w:val="32"/>
          <w:szCs w:val="32"/>
          <w:highlight w:val="none"/>
        </w:rPr>
        <w:t>建议。《工程造价咨询服务管理办法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62C15C12">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color w:val="auto"/>
          <w:highlight w:val="none"/>
        </w:rPr>
      </w:pPr>
    </w:p>
    <w:p w14:paraId="2289BD93">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val="en-US" w:eastAsia="zh-CN"/>
        </w:rPr>
        <w:t xml:space="preserve">    </w:t>
      </w:r>
    </w:p>
    <w:p w14:paraId="77AC9903">
      <w:pPr>
        <w:keepNext w:val="0"/>
        <w:keepLines w:val="0"/>
        <w:pageBreakBefore w:val="0"/>
        <w:widowControl w:val="0"/>
        <w:kinsoku/>
        <w:overflowPunct/>
        <w:topLinePunct w:val="0"/>
        <w:autoSpaceDE/>
        <w:autoSpaceDN/>
        <w:bidi w:val="0"/>
        <w:adjustRightInd/>
        <w:snapToGrid/>
        <w:spacing w:line="600" w:lineRule="exact"/>
        <w:ind w:firstLine="5120" w:firstLineChars="16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日</w:t>
      </w:r>
    </w:p>
    <w:p w14:paraId="33FD1C3A">
      <w:pPr>
        <w:pStyle w:val="44"/>
        <w:rPr>
          <w:rFonts w:hint="default" w:ascii="Times New Roman" w:hAnsi="Times New Roman" w:eastAsia="仿宋_GB2312" w:cs="Times New Roman"/>
          <w:color w:val="auto"/>
          <w:sz w:val="32"/>
          <w:szCs w:val="32"/>
          <w:highlight w:val="none"/>
        </w:rPr>
      </w:pPr>
    </w:p>
    <w:p w14:paraId="397736C2">
      <w:pPr>
        <w:rPr>
          <w:rFonts w:hint="default"/>
          <w:color w:val="auto"/>
          <w:highlight w:val="none"/>
        </w:rPr>
      </w:pPr>
    </w:p>
    <w:p w14:paraId="7705CDE2">
      <w:pPr>
        <w:pStyle w:val="44"/>
        <w:rPr>
          <w:rFonts w:hint="default"/>
          <w:color w:val="auto"/>
          <w:highlight w:val="none"/>
        </w:rPr>
      </w:pPr>
    </w:p>
    <w:p w14:paraId="5DB0B83D">
      <w:pPr>
        <w:rPr>
          <w:rFonts w:hint="default"/>
          <w:color w:val="auto"/>
          <w:highlight w:val="none"/>
        </w:rPr>
      </w:pPr>
    </w:p>
    <w:p w14:paraId="60EFE524">
      <w:pPr>
        <w:pStyle w:val="44"/>
        <w:rPr>
          <w:rFonts w:hint="default"/>
          <w:color w:val="auto"/>
          <w:highlight w:val="none"/>
        </w:rPr>
      </w:pPr>
    </w:p>
    <w:p w14:paraId="1EBE0DBF">
      <w:pPr>
        <w:rPr>
          <w:rFonts w:hint="default"/>
          <w:color w:val="auto"/>
          <w:highlight w:val="none"/>
        </w:rPr>
      </w:pPr>
    </w:p>
    <w:p w14:paraId="6D9F484A">
      <w:pPr>
        <w:rPr>
          <w:rFonts w:hint="default"/>
          <w:color w:val="auto"/>
          <w:highlight w:val="none"/>
        </w:rPr>
      </w:pPr>
    </w:p>
    <w:p w14:paraId="1106052E">
      <w:pPr>
        <w:pStyle w:val="44"/>
        <w:rPr>
          <w:rFonts w:hint="default"/>
          <w:color w:val="auto"/>
          <w:highlight w:val="none"/>
        </w:rPr>
      </w:pPr>
    </w:p>
    <w:p w14:paraId="357B55F8">
      <w:pPr>
        <w:rPr>
          <w:rFonts w:hint="default"/>
          <w:color w:val="auto"/>
          <w:highlight w:val="none"/>
        </w:rPr>
      </w:pPr>
    </w:p>
    <w:p w14:paraId="70B718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bCs/>
          <w:color w:val="auto"/>
          <w:sz w:val="44"/>
          <w:szCs w:val="44"/>
          <w:highlight w:val="none"/>
          <w:lang w:eastAsia="zh-CN"/>
        </w:rPr>
      </w:pPr>
      <w:r>
        <w:rPr>
          <w:rFonts w:hint="default" w:ascii="Times New Roman" w:hAnsi="Times New Roman" w:eastAsia="方正小标宋简体" w:cs="Times New Roman"/>
          <w:b w:val="0"/>
          <w:bCs/>
          <w:color w:val="auto"/>
          <w:sz w:val="44"/>
          <w:szCs w:val="44"/>
          <w:highlight w:val="none"/>
        </w:rPr>
        <w:t>工程造价咨询服务管理办法</w:t>
      </w:r>
    </w:p>
    <w:p w14:paraId="0F2DEB20">
      <w:pPr>
        <w:keepNext w:val="0"/>
        <w:keepLines w:val="0"/>
        <w:pageBreakBefore w:val="0"/>
        <w:kinsoku/>
        <w:wordWrap/>
        <w:overflowPunct/>
        <w:topLinePunct w:val="0"/>
        <w:autoSpaceDE/>
        <w:autoSpaceDN/>
        <w:bidi w:val="0"/>
        <w:adjustRightInd/>
        <w:spacing w:line="400" w:lineRule="exact"/>
        <w:ind w:firstLine="3520" w:firstLineChars="1100"/>
        <w:textAlignment w:val="auto"/>
        <w:rPr>
          <w:rFonts w:hint="default" w:ascii="Times New Roman" w:hAnsi="Times New Roman" w:eastAsia="仿宋_GB2312" w:cs="Times New Roman"/>
          <w:color w:val="auto"/>
          <w:sz w:val="32"/>
          <w:szCs w:val="32"/>
          <w:highlight w:val="none"/>
        </w:rPr>
      </w:pPr>
    </w:p>
    <w:p w14:paraId="3D6DCC9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第一章 总则</w:t>
      </w:r>
    </w:p>
    <w:p w14:paraId="518BBA88">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第一条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，提高造价成果质量和工作效率，严格控制政府投资，防范风险，强化廉政建设，根据相关规定，结合我处实际，</w:t>
      </w:r>
      <w:r>
        <w:rPr>
          <w:rFonts w:hint="default" w:ascii="Times New Roman" w:hAnsi="Times New Roman" w:eastAsia="仿宋_GB2312" w:cs="Times New Roman"/>
          <w:color w:val="auto"/>
          <w:kern w:val="0"/>
          <w:sz w:val="32"/>
          <w:szCs w:val="32"/>
          <w:highlight w:val="none"/>
        </w:rPr>
        <w:t>制定</w:t>
      </w:r>
      <w:r>
        <w:rPr>
          <w:rFonts w:hint="default" w:ascii="Times New Roman" w:hAnsi="Times New Roman" w:eastAsia="仿宋_GB2312" w:cs="Times New Roman"/>
          <w:color w:val="auto"/>
          <w:sz w:val="32"/>
          <w:szCs w:val="32"/>
          <w:highlight w:val="none"/>
        </w:rPr>
        <w:t>本办法。</w:t>
      </w:r>
    </w:p>
    <w:p w14:paraId="0A4616F4">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第二条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我处委托工程造价咨询企业（以下简称“造价企业”）</w:t>
      </w:r>
      <w:r>
        <w:rPr>
          <w:rFonts w:hint="default" w:ascii="Times New Roman" w:hAnsi="Times New Roman" w:eastAsia="仿宋_GB2312" w:cs="Times New Roman"/>
          <w:color w:val="auto"/>
          <w:spacing w:val="-4"/>
          <w:kern w:val="0"/>
          <w:sz w:val="32"/>
          <w:szCs w:val="32"/>
          <w:highlight w:val="none"/>
          <w:lang w:eastAsia="zh-CN"/>
        </w:rPr>
        <w:t>的</w:t>
      </w:r>
      <w:r>
        <w:rPr>
          <w:rFonts w:hint="default" w:ascii="Times New Roman" w:hAnsi="Times New Roman" w:eastAsia="仿宋_GB2312" w:cs="Times New Roman"/>
          <w:color w:val="auto"/>
          <w:spacing w:val="-4"/>
          <w:kern w:val="0"/>
          <w:sz w:val="32"/>
          <w:szCs w:val="32"/>
          <w:highlight w:val="none"/>
        </w:rPr>
        <w:t>投资估算、设计概算、工程量清单</w:t>
      </w:r>
      <w:r>
        <w:rPr>
          <w:rFonts w:hint="default" w:ascii="Times New Roman" w:hAnsi="Times New Roman" w:eastAsia="仿宋_GB2312" w:cs="Times New Roman"/>
          <w:color w:val="auto"/>
          <w:spacing w:val="-4"/>
          <w:kern w:val="0"/>
          <w:sz w:val="32"/>
          <w:szCs w:val="32"/>
          <w:highlight w:val="none"/>
          <w:lang w:eastAsia="zh-CN"/>
        </w:rPr>
        <w:t>及</w:t>
      </w:r>
      <w:r>
        <w:rPr>
          <w:rFonts w:hint="default" w:ascii="Times New Roman" w:hAnsi="Times New Roman" w:eastAsia="仿宋_GB2312" w:cs="Times New Roman"/>
          <w:color w:val="auto"/>
          <w:spacing w:val="-4"/>
          <w:kern w:val="0"/>
          <w:sz w:val="32"/>
          <w:szCs w:val="32"/>
          <w:highlight w:val="none"/>
        </w:rPr>
        <w:t>最高投标限价编制</w:t>
      </w:r>
      <w:r>
        <w:rPr>
          <w:rFonts w:hint="default" w:ascii="Times New Roman" w:hAnsi="Times New Roman" w:eastAsia="仿宋_GB2312" w:cs="Times New Roman"/>
          <w:color w:val="auto"/>
          <w:spacing w:val="-4"/>
          <w:kern w:val="0"/>
          <w:sz w:val="32"/>
          <w:szCs w:val="32"/>
          <w:highlight w:val="none"/>
          <w:lang w:eastAsia="zh-CN"/>
        </w:rPr>
        <w:t>（以下简称“清单编制”）和审核</w:t>
      </w:r>
      <w:r>
        <w:rPr>
          <w:rFonts w:hint="default" w:ascii="Times New Roman" w:hAnsi="Times New Roman" w:eastAsia="仿宋_GB2312" w:cs="Times New Roman"/>
          <w:color w:val="auto"/>
          <w:spacing w:val="-4"/>
          <w:kern w:val="0"/>
          <w:sz w:val="32"/>
          <w:szCs w:val="32"/>
          <w:highlight w:val="none"/>
        </w:rPr>
        <w:t>、施工阶段全过程造价控制（以下简称“跟踪审计”）、结算审核、第三方复审等咨询业务均适用于本办法。</w:t>
      </w:r>
    </w:p>
    <w:p w14:paraId="6DBA81A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第二章 工作流程</w:t>
      </w:r>
    </w:p>
    <w:p w14:paraId="3F7EB5B4">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清单编制审核</w:t>
      </w:r>
      <w:r>
        <w:rPr>
          <w:rFonts w:hint="default" w:ascii="Times New Roman" w:hAnsi="Times New Roman" w:eastAsia="仿宋_GB2312" w:cs="Times New Roman"/>
          <w:color w:val="auto"/>
          <w:sz w:val="32"/>
          <w:szCs w:val="32"/>
          <w:highlight w:val="none"/>
        </w:rPr>
        <w:t>流程</w:t>
      </w:r>
    </w:p>
    <w:p w14:paraId="6F798ED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工程技术科提供图审合格的完整纸质图、电子图和勘察报告等相关设计文件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综合计划科委托造价企业</w:t>
      </w:r>
      <w:r>
        <w:rPr>
          <w:rFonts w:hint="default" w:ascii="Times New Roman" w:hAnsi="Times New Roman" w:eastAsia="仿宋_GB2312" w:cs="Times New Roman"/>
          <w:color w:val="auto"/>
          <w:sz w:val="32"/>
          <w:szCs w:val="32"/>
          <w:highlight w:val="none"/>
        </w:rPr>
        <w:t>编制清单→</w:t>
      </w:r>
      <w:r>
        <w:rPr>
          <w:rFonts w:hint="default" w:ascii="Times New Roman" w:hAnsi="Times New Roman" w:eastAsia="仿宋_GB2312" w:cs="Times New Roman"/>
          <w:color w:val="auto"/>
          <w:sz w:val="32"/>
          <w:szCs w:val="32"/>
          <w:highlight w:val="none"/>
          <w:lang w:eastAsia="zh-CN"/>
        </w:rPr>
        <w:t>项目分管领导牵头，组织综合计划科、工程技术科、工程建设科和设计（勘察）单位、清单编制单位等参加清单会审（投资较大、技术复杂、专业性较强的项目，可以委托第三方复审或组织专家论证）</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工程技术科督促设计单位按照会审意见限期完成修改，并对最终图纸进行确认</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编制单位出具会审备忘录（编制说明），按会审意见和终版图纸调整</w:t>
      </w:r>
      <w:r>
        <w:rPr>
          <w:rFonts w:hint="default" w:ascii="Times New Roman" w:hAnsi="Times New Roman" w:eastAsia="仿宋_GB2312" w:cs="Times New Roman"/>
          <w:color w:val="auto"/>
          <w:sz w:val="32"/>
          <w:szCs w:val="32"/>
          <w:highlight w:val="none"/>
        </w:rPr>
        <w:t>清单</w:t>
      </w:r>
      <w:r>
        <w:rPr>
          <w:rFonts w:hint="default" w:ascii="Times New Roman" w:hAnsi="Times New Roman" w:eastAsia="仿宋_GB2312" w:cs="Times New Roman"/>
          <w:color w:val="auto"/>
          <w:sz w:val="32"/>
          <w:szCs w:val="32"/>
          <w:highlight w:val="none"/>
          <w:lang w:eastAsia="zh-CN"/>
        </w:rPr>
        <w:t>。其中，</w:t>
      </w:r>
      <w:r>
        <w:rPr>
          <w:rFonts w:hint="default" w:ascii="Times New Roman" w:hAnsi="Times New Roman" w:eastAsia="仿宋_GB2312" w:cs="Times New Roman"/>
          <w:color w:val="auto"/>
          <w:sz w:val="32"/>
          <w:szCs w:val="32"/>
          <w:highlight w:val="none"/>
        </w:rPr>
        <w:t>最高</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限价</w:t>
      </w:r>
      <w:r>
        <w:rPr>
          <w:rFonts w:hint="default" w:ascii="Times New Roman" w:hAnsi="Times New Roman" w:eastAsia="仿宋_GB2312" w:cs="Times New Roman"/>
          <w:color w:val="auto"/>
          <w:sz w:val="32"/>
          <w:szCs w:val="32"/>
          <w:highlight w:val="none"/>
          <w:lang w:eastAsia="zh-CN"/>
        </w:rPr>
        <w:t>一亿元以上项目报送市财政工程造价审核中心审核。（上述限额标准根据市财政局规定同步调整）</w:t>
      </w:r>
    </w:p>
    <w:p w14:paraId="41BEBED0">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第四条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流程</w:t>
      </w:r>
    </w:p>
    <w:p w14:paraId="70B52543">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万元及以上（绿化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万元及以上）项目</w:t>
      </w:r>
    </w:p>
    <w:p w14:paraId="0BB590B2">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报告→综合计划科复核→跟踪审计单位</w:t>
      </w:r>
      <w:r>
        <w:rPr>
          <w:rFonts w:hint="default" w:ascii="Times New Roman" w:hAnsi="Times New Roman" w:eastAsia="仿宋_GB2312" w:cs="Times New Roman"/>
          <w:color w:val="auto"/>
          <w:sz w:val="32"/>
          <w:szCs w:val="32"/>
          <w:highlight w:val="none"/>
          <w:lang w:eastAsia="zh-CN"/>
        </w:rPr>
        <w:t>定稿结算审核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工程建设科报</w:t>
      </w:r>
      <w:r>
        <w:rPr>
          <w:rFonts w:hint="default" w:ascii="Times New Roman" w:hAnsi="Times New Roman" w:eastAsia="仿宋_GB2312" w:cs="Times New Roman"/>
          <w:color w:val="auto"/>
          <w:sz w:val="32"/>
          <w:szCs w:val="32"/>
          <w:highlight w:val="none"/>
        </w:rPr>
        <w:t>市财政工程造价审核中心出具审核意见书并备案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170F4BE5">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万元）及以上，</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万元）以下项目</w:t>
      </w:r>
    </w:p>
    <w:p w14:paraId="64AAF5E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报告→综合计划科委托第三方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审核并出具结算审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报告→综合计划科复核→第三方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调整结算审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6EFC5AC6">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outlineLvl w:val="0"/>
        <w:rPr>
          <w:rFonts w:hint="default" w:ascii="Times New Roman" w:hAnsi="Times New Roman" w:eastAsia="仿宋_GB2312" w:cs="Times New Roman"/>
          <w:color w:val="auto"/>
          <w:sz w:val="32"/>
          <w:szCs w:val="32"/>
          <w:highlight w:val="none"/>
        </w:rPr>
      </w:pPr>
      <w:bookmarkStart w:id="68" w:name="_Toc2443"/>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万元）以下项目</w:t>
      </w:r>
      <w:bookmarkEnd w:id="68"/>
    </w:p>
    <w:p w14:paraId="3A34358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审查→综合计划科复核→跟踪审计单位调整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7352322F">
      <w:pPr>
        <w:pStyle w:val="44"/>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上述限额标准根据市财政局规定同步调整。</w:t>
      </w:r>
    </w:p>
    <w:p w14:paraId="5FD0FE6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第三章 业务委托</w:t>
      </w:r>
    </w:p>
    <w:p w14:paraId="64705A60">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公开方式</w:t>
      </w:r>
    </w:p>
    <w:p w14:paraId="57505266">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综合计划科根据项目性质和特点，编制招标文件，经综合计划科</w:t>
      </w:r>
      <w:r>
        <w:rPr>
          <w:rFonts w:hint="default" w:ascii="Times New Roman" w:hAnsi="Times New Roman" w:eastAsia="仿宋_GB2312" w:cs="Times New Roman"/>
          <w:b w:val="0"/>
          <w:bCs w:val="0"/>
          <w:color w:val="auto"/>
          <w:sz w:val="32"/>
          <w:szCs w:val="32"/>
          <w:highlight w:val="none"/>
          <w:lang w:eastAsia="zh-CN"/>
        </w:rPr>
        <w:t>分管</w:t>
      </w:r>
      <w:r>
        <w:rPr>
          <w:rFonts w:hint="default" w:ascii="Times New Roman" w:hAnsi="Times New Roman" w:eastAsia="仿宋_GB2312" w:cs="Times New Roman"/>
          <w:b w:val="0"/>
          <w:bCs w:val="0"/>
          <w:color w:val="auto"/>
          <w:sz w:val="32"/>
          <w:szCs w:val="32"/>
          <w:highlight w:val="none"/>
        </w:rPr>
        <w:t>领导</w:t>
      </w:r>
      <w:r>
        <w:rPr>
          <w:rFonts w:hint="default" w:ascii="Times New Roman" w:hAnsi="Times New Roman" w:eastAsia="仿宋_GB2312" w:cs="Times New Roman"/>
          <w:color w:val="auto"/>
          <w:sz w:val="32"/>
          <w:szCs w:val="32"/>
          <w:highlight w:val="none"/>
        </w:rPr>
        <w:t>批准，在处门户网站公开招标。</w:t>
      </w:r>
    </w:p>
    <w:p w14:paraId="14597B4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造价企业</w:t>
      </w:r>
      <w:r>
        <w:rPr>
          <w:rFonts w:hint="default" w:ascii="Times New Roman" w:hAnsi="Times New Roman" w:eastAsia="仿宋_GB2312" w:cs="Times New Roman"/>
          <w:color w:val="auto"/>
          <w:kern w:val="0"/>
          <w:sz w:val="32"/>
          <w:szCs w:val="32"/>
          <w:highlight w:val="none"/>
          <w:lang w:eastAsia="zh-CN"/>
        </w:rPr>
        <w:t>自主报名，递交投标文件</w:t>
      </w:r>
      <w:r>
        <w:rPr>
          <w:rFonts w:hint="default" w:ascii="Times New Roman" w:hAnsi="Times New Roman" w:eastAsia="仿宋_GB2312" w:cs="Times New Roman"/>
          <w:color w:val="auto"/>
          <w:sz w:val="32"/>
          <w:szCs w:val="32"/>
          <w:highlight w:val="none"/>
        </w:rPr>
        <w:t>。</w:t>
      </w:r>
    </w:p>
    <w:p w14:paraId="457966BD">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开标时</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组织资格</w:t>
      </w:r>
      <w:r>
        <w:rPr>
          <w:rFonts w:hint="default" w:ascii="Times New Roman" w:hAnsi="Times New Roman" w:eastAsia="仿宋_GB2312" w:cs="Times New Roman"/>
          <w:color w:val="auto"/>
          <w:sz w:val="32"/>
          <w:szCs w:val="32"/>
          <w:highlight w:val="none"/>
        </w:rPr>
        <w:t>审查</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通过审查</w:t>
      </w:r>
      <w:r>
        <w:rPr>
          <w:rFonts w:hint="default" w:ascii="Times New Roman" w:hAnsi="Times New Roman" w:eastAsia="仿宋_GB2312" w:cs="Times New Roman"/>
          <w:color w:val="auto"/>
          <w:kern w:val="0"/>
          <w:sz w:val="32"/>
          <w:szCs w:val="32"/>
          <w:highlight w:val="none"/>
        </w:rPr>
        <w:t>的</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不</w:t>
      </w:r>
      <w:r>
        <w:rPr>
          <w:rFonts w:hint="default" w:ascii="Times New Roman" w:hAnsi="Times New Roman" w:eastAsia="仿宋_GB2312" w:cs="Times New Roman"/>
          <w:color w:val="auto"/>
          <w:kern w:val="0"/>
          <w:sz w:val="32"/>
          <w:szCs w:val="32"/>
          <w:highlight w:val="none"/>
          <w:lang w:eastAsia="zh-CN"/>
        </w:rPr>
        <w:t>得</w:t>
      </w:r>
      <w:r>
        <w:rPr>
          <w:rFonts w:hint="default" w:ascii="Times New Roman" w:hAnsi="Times New Roman" w:eastAsia="仿宋_GB2312" w:cs="Times New Roman"/>
          <w:color w:val="auto"/>
          <w:kern w:val="0"/>
          <w:sz w:val="32"/>
          <w:szCs w:val="32"/>
          <w:highlight w:val="none"/>
        </w:rPr>
        <w:t>少于三家，否则，再次</w:t>
      </w:r>
      <w:r>
        <w:rPr>
          <w:rFonts w:hint="default" w:ascii="Times New Roman" w:hAnsi="Times New Roman" w:eastAsia="仿宋_GB2312" w:cs="Times New Roman"/>
          <w:color w:val="auto"/>
          <w:sz w:val="32"/>
          <w:szCs w:val="32"/>
          <w:highlight w:val="none"/>
        </w:rPr>
        <w:t>发布项目招标公告，如第二次仍少于三家，可转为竞争性谈判或单一来源采购。</w:t>
      </w:r>
    </w:p>
    <w:p w14:paraId="5C4A789F">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现场公开</w:t>
      </w:r>
      <w:r>
        <w:rPr>
          <w:rFonts w:hint="default" w:ascii="Times New Roman" w:hAnsi="Times New Roman" w:eastAsia="仿宋_GB2312" w:cs="Times New Roman"/>
          <w:color w:val="auto"/>
          <w:sz w:val="32"/>
          <w:szCs w:val="32"/>
          <w:highlight w:val="none"/>
          <w:lang w:eastAsia="zh-CN"/>
        </w:rPr>
        <w:t>确</w:t>
      </w:r>
      <w:r>
        <w:rPr>
          <w:rFonts w:hint="default" w:ascii="Times New Roman" w:hAnsi="Times New Roman" w:eastAsia="仿宋_GB2312" w:cs="Times New Roman"/>
          <w:color w:val="auto"/>
          <w:sz w:val="32"/>
          <w:szCs w:val="32"/>
          <w:highlight w:val="none"/>
        </w:rPr>
        <w:t>定造价企业，</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结果在处门户网站公示。</w:t>
      </w:r>
    </w:p>
    <w:p w14:paraId="3548DCC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(五)</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公示期满无异议，综合计划科发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5D042B07">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邀请方式</w:t>
      </w:r>
    </w:p>
    <w:p w14:paraId="1E014C9B">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综合计划科根据项目性质和特点，筛选、</w:t>
      </w:r>
      <w:r>
        <w:rPr>
          <w:rFonts w:hint="default" w:ascii="Times New Roman" w:hAnsi="Times New Roman" w:eastAsia="仿宋_GB2312" w:cs="Times New Roman"/>
          <w:color w:val="auto"/>
          <w:sz w:val="32"/>
          <w:szCs w:val="32"/>
          <w:highlight w:val="none"/>
          <w:lang w:eastAsia="zh-CN"/>
        </w:rPr>
        <w:t>初审</w:t>
      </w:r>
      <w:r>
        <w:rPr>
          <w:rFonts w:hint="default" w:ascii="Times New Roman" w:hAnsi="Times New Roman" w:eastAsia="仿宋_GB2312" w:cs="Times New Roman"/>
          <w:color w:val="auto"/>
          <w:sz w:val="32"/>
          <w:szCs w:val="32"/>
          <w:highlight w:val="none"/>
        </w:rPr>
        <w:t>并推荐不少于</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家造价企业，综合计划科分管领导</w:t>
      </w:r>
      <w:r>
        <w:rPr>
          <w:rFonts w:hint="default" w:ascii="Times New Roman" w:hAnsi="Times New Roman" w:eastAsia="仿宋_GB2312" w:cs="Times New Roman"/>
          <w:color w:val="auto"/>
          <w:sz w:val="32"/>
          <w:szCs w:val="32"/>
          <w:highlight w:val="none"/>
          <w:lang w:eastAsia="zh-CN"/>
        </w:rPr>
        <w:t>组织审查，报</w:t>
      </w:r>
      <w:r>
        <w:rPr>
          <w:rFonts w:hint="default" w:ascii="Times New Roman" w:hAnsi="Times New Roman" w:eastAsia="仿宋_GB2312" w:cs="Times New Roman"/>
          <w:color w:val="auto"/>
          <w:sz w:val="32"/>
          <w:szCs w:val="32"/>
          <w:highlight w:val="none"/>
        </w:rPr>
        <w:t>主要领导</w:t>
      </w:r>
      <w:r>
        <w:rPr>
          <w:rFonts w:hint="default" w:ascii="Times New Roman" w:hAnsi="Times New Roman" w:eastAsia="仿宋_GB2312" w:cs="Times New Roman"/>
          <w:color w:val="auto"/>
          <w:sz w:val="32"/>
          <w:szCs w:val="32"/>
          <w:highlight w:val="none"/>
          <w:lang w:eastAsia="zh-CN"/>
        </w:rPr>
        <w:t>批准后</w:t>
      </w:r>
      <w:r>
        <w:rPr>
          <w:rFonts w:hint="default" w:ascii="Times New Roman" w:hAnsi="Times New Roman" w:eastAsia="仿宋_GB2312" w:cs="Times New Roman"/>
          <w:color w:val="auto"/>
          <w:sz w:val="32"/>
          <w:szCs w:val="32"/>
          <w:highlight w:val="none"/>
        </w:rPr>
        <w:t>向被推荐企业发出邀请。</w:t>
      </w:r>
    </w:p>
    <w:p w14:paraId="223B7545">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被推荐的造价企业按照要求，参加项目竞价</w:t>
      </w:r>
      <w:r>
        <w:rPr>
          <w:rFonts w:hint="default" w:ascii="Times New Roman" w:hAnsi="Times New Roman" w:eastAsia="仿宋_GB2312" w:cs="Times New Roman"/>
          <w:color w:val="auto"/>
          <w:sz w:val="32"/>
          <w:szCs w:val="32"/>
          <w:highlight w:val="none"/>
          <w:lang w:eastAsia="zh-CN"/>
        </w:rPr>
        <w:t>。</w:t>
      </w:r>
    </w:p>
    <w:p w14:paraId="0DCC7A98">
      <w:pPr>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2DD2C812">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指定方式</w:t>
      </w:r>
    </w:p>
    <w:p w14:paraId="7D6825B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涉铁、涉军、涉密、电力、供水、燃气、古建筑、智能化等特殊项目，</w:t>
      </w:r>
      <w:r>
        <w:rPr>
          <w:rFonts w:hint="default"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rPr>
        <w:t>只有</w:t>
      </w:r>
      <w:r>
        <w:rPr>
          <w:rFonts w:hint="default" w:ascii="Times New Roman" w:hAnsi="Times New Roman" w:eastAsia="仿宋_GB2312" w:cs="Times New Roman"/>
          <w:color w:val="auto"/>
          <w:sz w:val="32"/>
          <w:szCs w:val="32"/>
          <w:highlight w:val="none"/>
          <w:lang w:eastAsia="zh-CN"/>
        </w:rPr>
        <w:t>极</w:t>
      </w:r>
      <w:r>
        <w:rPr>
          <w:rFonts w:hint="default" w:ascii="Times New Roman" w:hAnsi="Times New Roman" w:eastAsia="仿宋_GB2312" w:cs="Times New Roman"/>
          <w:color w:val="auto"/>
          <w:sz w:val="32"/>
          <w:szCs w:val="32"/>
          <w:highlight w:val="none"/>
        </w:rPr>
        <w:t>少量潜在造价企业可供选择的，由综合计划科选择具备相应</w:t>
      </w:r>
      <w:r>
        <w:rPr>
          <w:rFonts w:hint="default" w:ascii="Times New Roman" w:hAnsi="Times New Roman" w:eastAsia="仿宋_GB2312" w:cs="Times New Roman"/>
          <w:color w:val="auto"/>
          <w:sz w:val="32"/>
          <w:szCs w:val="32"/>
          <w:highlight w:val="none"/>
          <w:lang w:eastAsia="zh-CN"/>
        </w:rPr>
        <w:t>业务能力</w:t>
      </w:r>
      <w:r>
        <w:rPr>
          <w:rFonts w:hint="default" w:ascii="Times New Roman" w:hAnsi="Times New Roman" w:eastAsia="仿宋_GB2312" w:cs="Times New Roman"/>
          <w:color w:val="auto"/>
          <w:sz w:val="32"/>
          <w:szCs w:val="32"/>
          <w:highlight w:val="none"/>
        </w:rPr>
        <w:t>的造价企业，经综合计划科分管领导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w:t>
      </w:r>
      <w:r>
        <w:rPr>
          <w:rFonts w:hint="default" w:ascii="Times New Roman" w:hAnsi="Times New Roman" w:eastAsia="仿宋_GB2312" w:cs="Times New Roman"/>
          <w:color w:val="auto"/>
          <w:sz w:val="32"/>
          <w:szCs w:val="32"/>
          <w:highlight w:val="none"/>
        </w:rPr>
        <w:t>主任办公会研究通过后进行委托。</w:t>
      </w:r>
    </w:p>
    <w:p w14:paraId="2FE1DC30">
      <w:pPr>
        <w:pStyle w:val="44"/>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w:t>
      </w:r>
      <w:r>
        <w:rPr>
          <w:rFonts w:hint="eastAsia" w:eastAsia="仿宋_GB2312" w:cs="Times New Roman"/>
          <w:b/>
          <w:bCs/>
          <w:color w:val="auto"/>
          <w:sz w:val="32"/>
          <w:szCs w:val="32"/>
          <w:highlight w:val="none"/>
          <w:lang w:val="en-US" w:eastAsia="zh-CN"/>
        </w:rPr>
        <w:t>八</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kern w:val="0"/>
          <w:sz w:val="32"/>
          <w:szCs w:val="32"/>
          <w:highlight w:val="none"/>
        </w:rPr>
        <w:t>造价咨询服务</w:t>
      </w:r>
      <w:r>
        <w:rPr>
          <w:rFonts w:hint="default" w:ascii="Times New Roman" w:hAnsi="Times New Roman" w:eastAsia="仿宋_GB2312" w:cs="Times New Roman"/>
          <w:color w:val="auto"/>
          <w:sz w:val="32"/>
          <w:szCs w:val="32"/>
          <w:highlight w:val="none"/>
        </w:rPr>
        <w:t>费单项合同估算价</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万元及以上项目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综合计划科根据项目性质和特点，编制招标文件，经综合计划科分管领导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报主要领导批准后在市公共资源交易中心</w:t>
      </w:r>
      <w:r>
        <w:rPr>
          <w:rFonts w:hint="default" w:ascii="Times New Roman" w:hAnsi="Times New Roman" w:eastAsia="仿宋_GB2312" w:cs="Times New Roman"/>
          <w:color w:val="auto"/>
          <w:sz w:val="32"/>
          <w:szCs w:val="32"/>
          <w:highlight w:val="none"/>
        </w:rPr>
        <w:t>公开招标。</w:t>
      </w:r>
    </w:p>
    <w:p w14:paraId="6C4CE35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第四章 服务费用</w:t>
      </w:r>
    </w:p>
    <w:p w14:paraId="6208F877">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清单编制服务费用、投资估算、设计概算等</w:t>
      </w:r>
      <w:r>
        <w:rPr>
          <w:rFonts w:hint="default" w:ascii="Times New Roman" w:hAnsi="Times New Roman" w:eastAsia="仿宋_GB2312" w:cs="Times New Roman"/>
          <w:color w:val="auto"/>
          <w:sz w:val="32"/>
          <w:szCs w:val="32"/>
          <w:highlight w:val="none"/>
        </w:rPr>
        <w:t>其他工程造价咨询服务</w:t>
      </w:r>
      <w:r>
        <w:rPr>
          <w:rFonts w:hint="default" w:ascii="Times New Roman" w:hAnsi="Times New Roman" w:eastAsia="仿宋_GB2312" w:cs="Times New Roman"/>
          <w:color w:val="auto"/>
          <w:kern w:val="0"/>
          <w:sz w:val="32"/>
          <w:szCs w:val="32"/>
          <w:highlight w:val="none"/>
        </w:rPr>
        <w:t>费</w:t>
      </w:r>
      <w:r>
        <w:rPr>
          <w:rFonts w:hint="default" w:ascii="Times New Roman" w:hAnsi="Times New Roman" w:eastAsia="仿宋_GB2312" w:cs="Times New Roman"/>
          <w:color w:val="auto"/>
          <w:sz w:val="32"/>
          <w:szCs w:val="32"/>
          <w:highlight w:val="none"/>
          <w:lang w:eastAsia="zh-CN"/>
        </w:rPr>
        <w:t>参照执行《安徽省建设工程造价咨询服务项目及收费标准》（皖价服</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 w:cs="Times New Roman"/>
          <w:color w:val="auto"/>
          <w:sz w:val="32"/>
          <w:szCs w:val="32"/>
          <w:highlight w:val="none"/>
          <w:shd w:val="clear" w:color="auto" w:fill="auto"/>
          <w:lang w:eastAsia="zh-CN"/>
        </w:rPr>
        <w:t>20</w:t>
      </w:r>
      <w:r>
        <w:rPr>
          <w:rFonts w:hint="default" w:ascii="Times New Roman" w:hAnsi="Times New Roman" w:eastAsia="仿宋" w:cs="Times New Roman"/>
          <w:color w:val="auto"/>
          <w:sz w:val="32"/>
          <w:szCs w:val="32"/>
          <w:highlight w:val="none"/>
          <w:shd w:val="clear" w:color="auto" w:fill="auto"/>
          <w:lang w:val="en-US" w:eastAsia="zh-CN"/>
        </w:rPr>
        <w:t>07</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lang w:val="en-US" w:eastAsia="zh-CN"/>
        </w:rPr>
        <w:t>86号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清单编制服务费由综合计划科按照工程难易程度提出下浮率（一般为</w:t>
      </w:r>
      <w:r>
        <w:rPr>
          <w:rFonts w:hint="default" w:ascii="Times New Roman" w:hAnsi="Times New Roman" w:eastAsia="仿宋_GB2312" w:cs="Times New Roman"/>
          <w:b/>
          <w:bCs/>
          <w:color w:val="auto"/>
          <w:sz w:val="32"/>
          <w:szCs w:val="32"/>
          <w:highlight w:val="none"/>
          <w:lang w:val="en-US" w:eastAsia="zh-CN"/>
        </w:rPr>
        <w:t>40%-60%）</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经综合计划科分管领导</w:t>
      </w:r>
      <w:r>
        <w:rPr>
          <w:rFonts w:hint="default" w:ascii="Times New Roman" w:hAnsi="Times New Roman" w:eastAsia="仿宋_GB2312" w:cs="Times New Roman"/>
          <w:b/>
          <w:bCs/>
          <w:color w:val="auto"/>
          <w:sz w:val="32"/>
          <w:szCs w:val="32"/>
          <w:highlight w:val="none"/>
          <w:lang w:eastAsia="zh-CN"/>
        </w:rPr>
        <w:t>批准后实施。特别复杂或特殊的项目报主任办公会研究通过后可不下浮。</w:t>
      </w:r>
    </w:p>
    <w:p w14:paraId="6E173CD0">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项目跟踪审计、结算审核固定费率执行下列标准：</w:t>
      </w:r>
    </w:p>
    <w:p w14:paraId="618147D6">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项目跟踪审计服务费标准</w:t>
      </w:r>
    </w:p>
    <w:tbl>
      <w:tblPr>
        <w:tblStyle w:val="45"/>
        <w:tblW w:w="8247" w:type="dxa"/>
        <w:jc w:val="center"/>
        <w:tblLayout w:type="fixed"/>
        <w:tblCellMar>
          <w:top w:w="0" w:type="dxa"/>
          <w:left w:w="108" w:type="dxa"/>
          <w:bottom w:w="0" w:type="dxa"/>
          <w:right w:w="108" w:type="dxa"/>
        </w:tblCellMar>
      </w:tblPr>
      <w:tblGrid>
        <w:gridCol w:w="3685"/>
        <w:gridCol w:w="2262"/>
        <w:gridCol w:w="2300"/>
      </w:tblGrid>
      <w:tr w14:paraId="46E30F16">
        <w:tblPrEx>
          <w:tblCellMar>
            <w:top w:w="0" w:type="dxa"/>
            <w:left w:w="108" w:type="dxa"/>
            <w:bottom w:w="0" w:type="dxa"/>
            <w:right w:w="108" w:type="dxa"/>
          </w:tblCellMar>
        </w:tblPrEx>
        <w:trPr>
          <w:trHeight w:val="70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58F64E4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070F92BE">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基本费</w:t>
            </w:r>
          </w:p>
        </w:tc>
        <w:tc>
          <w:tcPr>
            <w:tcW w:w="2300" w:type="dxa"/>
            <w:tcBorders>
              <w:top w:val="single" w:color="auto" w:sz="4" w:space="0"/>
              <w:left w:val="nil"/>
              <w:bottom w:val="single" w:color="auto" w:sz="4" w:space="0"/>
              <w:right w:val="single" w:color="auto" w:sz="4" w:space="0"/>
            </w:tcBorders>
            <w:noWrap w:val="0"/>
            <w:vAlign w:val="center"/>
          </w:tcPr>
          <w:p w14:paraId="5EB7A19C">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4C0A97E3">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430D09E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34735C6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4B5487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56D79294">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7E7BB88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nil"/>
              <w:bottom w:val="single" w:color="auto" w:sz="4" w:space="0"/>
              <w:right w:val="single" w:color="auto" w:sz="4" w:space="0"/>
            </w:tcBorders>
            <w:noWrap w:val="0"/>
            <w:vAlign w:val="center"/>
          </w:tcPr>
          <w:p w14:paraId="623D370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3276A496">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1906D17E">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27708E4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07FFE572">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9430B0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7D595D7C">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117CD81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lang w:eastAsia="zh-CN"/>
              </w:rPr>
              <w:t>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1C21E3E6">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174AED4A">
            <w:pPr>
              <w:keepNext w:val="0"/>
              <w:keepLines w:val="0"/>
              <w:pageBreakBefore w:val="0"/>
              <w:widowControl/>
              <w:kinsoku/>
              <w:wordWrap/>
              <w:overflowPunct/>
              <w:topLinePunct w:val="0"/>
              <w:autoSpaceDE/>
              <w:autoSpaceDN/>
              <w:bidi w:val="0"/>
              <w:adjustRightInd/>
              <w:spacing w:line="40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2300AFBB">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2986283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50000</w:t>
            </w:r>
            <w:r>
              <w:rPr>
                <w:rFonts w:hint="default" w:ascii="Times New Roman" w:hAnsi="Times New Roman" w:eastAsia="仿宋_GB2312" w:cs="Times New Roman"/>
                <w:color w:val="auto"/>
                <w:kern w:val="0"/>
                <w:sz w:val="32"/>
                <w:szCs w:val="32"/>
                <w:highlight w:val="none"/>
              </w:rPr>
              <w:t>以上</w:t>
            </w:r>
          </w:p>
        </w:tc>
        <w:tc>
          <w:tcPr>
            <w:tcW w:w="2262" w:type="dxa"/>
            <w:tcBorders>
              <w:top w:val="single" w:color="auto" w:sz="4" w:space="0"/>
              <w:left w:val="nil"/>
              <w:bottom w:val="single" w:color="auto" w:sz="4" w:space="0"/>
              <w:right w:val="single" w:color="auto" w:sz="4" w:space="0"/>
            </w:tcBorders>
            <w:noWrap w:val="0"/>
            <w:vAlign w:val="center"/>
          </w:tcPr>
          <w:p w14:paraId="68F3BE5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8</w:t>
            </w:r>
            <w:r>
              <w:rPr>
                <w:rFonts w:hint="default" w:ascii="Times New Roman" w:hAnsi="Times New Roman" w:eastAsia="仿宋_GB2312" w:cs="Times New Roman"/>
                <w:color w:val="auto"/>
                <w:kern w:val="0"/>
                <w:sz w:val="32"/>
                <w:szCs w:val="32"/>
                <w:highlight w:val="none"/>
              </w:rPr>
              <w:t>‰</w:t>
            </w:r>
          </w:p>
        </w:tc>
        <w:tc>
          <w:tcPr>
            <w:tcW w:w="2300" w:type="dxa"/>
            <w:tcBorders>
              <w:top w:val="single" w:color="auto" w:sz="4" w:space="0"/>
              <w:left w:val="nil"/>
              <w:bottom w:val="single" w:color="auto" w:sz="4" w:space="0"/>
              <w:right w:val="single" w:color="auto" w:sz="4" w:space="0"/>
            </w:tcBorders>
            <w:noWrap w:val="0"/>
            <w:vAlign w:val="center"/>
          </w:tcPr>
          <w:p w14:paraId="2F5339E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6B856C47">
      <w:pPr>
        <w:keepNext w:val="0"/>
        <w:keepLines w:val="0"/>
        <w:pageBreakBefore w:val="0"/>
        <w:numPr>
          <w:ilvl w:val="0"/>
          <w:numId w:val="2"/>
        </w:numPr>
        <w:kinsoku/>
        <w:wordWrap/>
        <w:overflowPunct/>
        <w:topLinePunct w:val="0"/>
        <w:autoSpaceDE/>
        <w:autoSpaceDN/>
        <w:bidi w:val="0"/>
        <w:adjustRightInd/>
        <w:snapToGrid w:val="0"/>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服务费标准</w:t>
      </w:r>
    </w:p>
    <w:tbl>
      <w:tblPr>
        <w:tblStyle w:val="45"/>
        <w:tblW w:w="0" w:type="auto"/>
        <w:jc w:val="center"/>
        <w:tblLayout w:type="fixed"/>
        <w:tblCellMar>
          <w:top w:w="0" w:type="dxa"/>
          <w:left w:w="108" w:type="dxa"/>
          <w:bottom w:w="0" w:type="dxa"/>
          <w:right w:w="108" w:type="dxa"/>
        </w:tblCellMar>
      </w:tblPr>
      <w:tblGrid>
        <w:gridCol w:w="3705"/>
        <w:gridCol w:w="2280"/>
        <w:gridCol w:w="2340"/>
      </w:tblGrid>
      <w:tr w14:paraId="45585103">
        <w:tblPrEx>
          <w:tblCellMar>
            <w:top w:w="0" w:type="dxa"/>
            <w:left w:w="108" w:type="dxa"/>
            <w:bottom w:w="0" w:type="dxa"/>
            <w:right w:w="108" w:type="dxa"/>
          </w:tblCellMar>
        </w:tblPrEx>
        <w:trPr>
          <w:trHeight w:val="435"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20237C1E">
            <w:pPr>
              <w:keepNext w:val="0"/>
              <w:keepLines w:val="0"/>
              <w:pageBreakBefore w:val="0"/>
              <w:widowControl/>
              <w:kinsoku/>
              <w:wordWrap/>
              <w:overflowPunct/>
              <w:topLinePunct w:val="0"/>
              <w:autoSpaceDE/>
              <w:autoSpaceDN/>
              <w:bidi w:val="0"/>
              <w:adjustRightInd/>
              <w:spacing w:line="400" w:lineRule="exact"/>
              <w:ind w:left="0" w:leftChars="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80" w:type="dxa"/>
            <w:tcBorders>
              <w:top w:val="single" w:color="auto" w:sz="4" w:space="0"/>
              <w:left w:val="nil"/>
              <w:bottom w:val="single" w:color="auto" w:sz="4" w:space="0"/>
              <w:right w:val="single" w:color="auto" w:sz="4" w:space="0"/>
            </w:tcBorders>
            <w:noWrap w:val="0"/>
            <w:vAlign w:val="center"/>
          </w:tcPr>
          <w:p w14:paraId="5561062D">
            <w:pPr>
              <w:keepNext w:val="0"/>
              <w:keepLines w:val="0"/>
              <w:pageBreakBefore w:val="0"/>
              <w:widowControl/>
              <w:kinsoku/>
              <w:wordWrap/>
              <w:overflowPunct/>
              <w:topLinePunct w:val="0"/>
              <w:autoSpaceDE/>
              <w:autoSpaceDN/>
              <w:bidi w:val="0"/>
              <w:adjustRightInd/>
              <w:spacing w:line="400" w:lineRule="exact"/>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基本费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元</w:t>
            </w:r>
            <w:r>
              <w:rPr>
                <w:rFonts w:hint="default" w:ascii="Times New Roman" w:hAnsi="Times New Roman" w:eastAsia="仿宋_GB2312" w:cs="Times New Roman"/>
                <w:color w:val="auto"/>
                <w:kern w:val="0"/>
                <w:sz w:val="32"/>
                <w:szCs w:val="32"/>
                <w:highlight w:val="none"/>
                <w:lang w:eastAsia="zh-CN"/>
              </w:rPr>
              <w:t>）</w:t>
            </w:r>
          </w:p>
        </w:tc>
        <w:tc>
          <w:tcPr>
            <w:tcW w:w="2340" w:type="dxa"/>
            <w:tcBorders>
              <w:top w:val="single" w:color="auto" w:sz="4" w:space="0"/>
              <w:left w:val="nil"/>
              <w:bottom w:val="single" w:color="auto" w:sz="4" w:space="0"/>
              <w:right w:val="single" w:color="auto" w:sz="4" w:space="0"/>
            </w:tcBorders>
            <w:noWrap w:val="0"/>
            <w:vAlign w:val="center"/>
          </w:tcPr>
          <w:p w14:paraId="13E3BED9">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47BC0585">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55AA603C">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以内</w:t>
            </w:r>
          </w:p>
        </w:tc>
        <w:tc>
          <w:tcPr>
            <w:tcW w:w="2280" w:type="dxa"/>
            <w:tcBorders>
              <w:top w:val="nil"/>
              <w:left w:val="nil"/>
              <w:bottom w:val="single" w:color="auto" w:sz="4" w:space="0"/>
              <w:right w:val="single" w:color="auto" w:sz="4" w:space="0"/>
            </w:tcBorders>
            <w:noWrap w:val="0"/>
            <w:vAlign w:val="center"/>
          </w:tcPr>
          <w:p w14:paraId="60E9908A">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p>
        </w:tc>
        <w:tc>
          <w:tcPr>
            <w:tcW w:w="2340" w:type="dxa"/>
            <w:tcBorders>
              <w:top w:val="nil"/>
              <w:left w:val="nil"/>
              <w:bottom w:val="single" w:color="auto" w:sz="4" w:space="0"/>
              <w:right w:val="single" w:color="auto" w:sz="4" w:space="0"/>
            </w:tcBorders>
            <w:noWrap w:val="0"/>
            <w:vAlign w:val="center"/>
          </w:tcPr>
          <w:p w14:paraId="14A4D1E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0AB279DC">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1D36C136">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80" w:type="dxa"/>
            <w:tcBorders>
              <w:top w:val="nil"/>
              <w:left w:val="nil"/>
              <w:bottom w:val="single" w:color="auto" w:sz="4" w:space="0"/>
              <w:right w:val="single" w:color="auto" w:sz="4" w:space="0"/>
            </w:tcBorders>
            <w:noWrap w:val="0"/>
            <w:vAlign w:val="center"/>
          </w:tcPr>
          <w:p w14:paraId="04D9695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8000</w:t>
            </w:r>
          </w:p>
        </w:tc>
        <w:tc>
          <w:tcPr>
            <w:tcW w:w="2340" w:type="dxa"/>
            <w:tcBorders>
              <w:top w:val="nil"/>
              <w:left w:val="nil"/>
              <w:bottom w:val="single" w:color="auto" w:sz="4" w:space="0"/>
              <w:right w:val="single" w:color="auto" w:sz="4" w:space="0"/>
            </w:tcBorders>
            <w:noWrap w:val="0"/>
            <w:vAlign w:val="center"/>
          </w:tcPr>
          <w:p w14:paraId="15EEA1C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664C2EE2">
        <w:tblPrEx>
          <w:tblCellMar>
            <w:top w:w="0" w:type="dxa"/>
            <w:left w:w="108" w:type="dxa"/>
            <w:bottom w:w="0" w:type="dxa"/>
            <w:right w:w="108" w:type="dxa"/>
          </w:tblCellMar>
        </w:tblPrEx>
        <w:trPr>
          <w:trHeight w:val="176"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2ED00D9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2EDB0A6F">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A100C96">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10F8DC70">
        <w:tblPrEx>
          <w:tblCellMar>
            <w:top w:w="0" w:type="dxa"/>
            <w:left w:w="108" w:type="dxa"/>
            <w:bottom w:w="0" w:type="dxa"/>
            <w:right w:w="108" w:type="dxa"/>
          </w:tblCellMar>
        </w:tblPrEx>
        <w:trPr>
          <w:trHeight w:val="430"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677B31E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以上</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5E77C512">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B13876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5244AE8B">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注：</w:t>
      </w:r>
      <w:r>
        <w:rPr>
          <w:rFonts w:hint="default" w:ascii="Times New Roman" w:hAnsi="Times New Roman" w:eastAsia="仿宋_GB2312" w:cs="Times New Roman"/>
          <w:color w:val="auto"/>
          <w:sz w:val="32"/>
          <w:szCs w:val="32"/>
          <w:highlight w:val="none"/>
          <w:lang w:val="en-US" w:eastAsia="zh-CN"/>
        </w:rPr>
        <w:t xml:space="preserve">1. </w:t>
      </w:r>
      <w:r>
        <w:rPr>
          <w:rFonts w:hint="default" w:ascii="Times New Roman" w:hAnsi="Times New Roman" w:eastAsia="仿宋_GB2312" w:cs="Times New Roman"/>
          <w:color w:val="auto"/>
          <w:sz w:val="32"/>
          <w:szCs w:val="32"/>
          <w:highlight w:val="none"/>
          <w:lang w:eastAsia="zh-CN"/>
        </w:rPr>
        <w:t>服务</w:t>
      </w:r>
      <w:r>
        <w:rPr>
          <w:rFonts w:hint="default" w:ascii="Times New Roman" w:hAnsi="Times New Roman" w:eastAsia="仿宋_GB2312" w:cs="Times New Roman"/>
          <w:color w:val="auto"/>
          <w:sz w:val="32"/>
          <w:szCs w:val="32"/>
          <w:highlight w:val="none"/>
        </w:rPr>
        <w:t>费计算方式为：基本费+审核成果费。其中，跟踪审计服务基本费计算基数为审定金额；审核成果费计算基数为</w:t>
      </w:r>
      <w:r>
        <w:rPr>
          <w:rFonts w:hint="default" w:ascii="Times New Roman" w:hAnsi="Times New Roman" w:eastAsia="仿宋_GB2312" w:cs="Times New Roman"/>
          <w:color w:val="auto"/>
          <w:sz w:val="32"/>
          <w:szCs w:val="32"/>
          <w:highlight w:val="none"/>
          <w:lang w:eastAsia="zh-CN"/>
        </w:rPr>
        <w:t>独立</w:t>
      </w:r>
      <w:r>
        <w:rPr>
          <w:rFonts w:hint="default" w:ascii="Times New Roman" w:hAnsi="Times New Roman" w:eastAsia="仿宋_GB2312" w:cs="Times New Roman"/>
          <w:color w:val="auto"/>
          <w:sz w:val="32"/>
          <w:szCs w:val="32"/>
          <w:highlight w:val="none"/>
        </w:rPr>
        <w:t>核减金额。</w:t>
      </w:r>
    </w:p>
    <w:p w14:paraId="4E0298C5">
      <w:pPr>
        <w:keepNext w:val="0"/>
        <w:keepLines w:val="0"/>
        <w:pageBreakBefore w:val="0"/>
        <w:numPr>
          <w:ilvl w:val="0"/>
          <w:numId w:val="3"/>
        </w:numPr>
        <w:kinsoku/>
        <w:wordWrap/>
        <w:overflowPunct/>
        <w:topLinePunct w:val="0"/>
        <w:autoSpaceDE/>
        <w:autoSpaceDN/>
        <w:bidi w:val="0"/>
        <w:adjustRightInd/>
        <w:spacing w:line="400" w:lineRule="exact"/>
        <w:ind w:left="0" w:leftChars="0" w:firstLine="1280" w:firstLineChars="4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工程造价审减率超过</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将对施工单位进行处罚，处罚金额为</w:t>
      </w:r>
      <w:r>
        <w:rPr>
          <w:rFonts w:hint="default" w:ascii="Times New Roman" w:hAnsi="Times New Roman" w:eastAsia="仿宋_GB2312" w:cs="Times New Roman"/>
          <w:color w:val="auto"/>
          <w:sz w:val="32"/>
          <w:szCs w:val="32"/>
          <w:highlight w:val="none"/>
        </w:rPr>
        <w:t>审减率</w:t>
      </w:r>
      <w:r>
        <w:rPr>
          <w:rFonts w:hint="default" w:ascii="Times New Roman" w:hAnsi="Times New Roman" w:eastAsia="仿宋_GB2312" w:cs="Times New Roman"/>
          <w:color w:val="auto"/>
          <w:sz w:val="32"/>
          <w:szCs w:val="32"/>
          <w:highlight w:val="none"/>
          <w:lang w:eastAsia="zh-CN"/>
        </w:rPr>
        <w:t>超出</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以上的报送金额的</w:t>
      </w:r>
      <w:r>
        <w:rPr>
          <w:rFonts w:hint="default"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由综合计划科在定案时明确处罚金额报工程监管科落实处罚</w:t>
      </w:r>
      <w:r>
        <w:rPr>
          <w:rFonts w:hint="default" w:ascii="Times New Roman" w:hAnsi="Times New Roman" w:eastAsia="仿宋_GB2312" w:cs="Times New Roman"/>
          <w:b w:val="0"/>
          <w:bCs w:val="0"/>
          <w:color w:val="auto"/>
          <w:sz w:val="32"/>
          <w:szCs w:val="32"/>
          <w:highlight w:val="none"/>
        </w:rPr>
        <w:t>。</w:t>
      </w:r>
    </w:p>
    <w:p w14:paraId="208AFE05">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对复杂项目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造价成果有争议或存疑项目可委托第三方复审</w:t>
      </w:r>
      <w:r>
        <w:rPr>
          <w:rFonts w:hint="default" w:ascii="Times New Roman" w:hAnsi="Times New Roman" w:eastAsia="仿宋_GB2312" w:cs="Times New Roman"/>
          <w:color w:val="auto"/>
          <w:sz w:val="32"/>
          <w:szCs w:val="32"/>
          <w:highlight w:val="none"/>
          <w:lang w:eastAsia="zh-CN"/>
        </w:rPr>
        <w:t>（清单编制复审、结算复审），服务</w:t>
      </w:r>
      <w:r>
        <w:rPr>
          <w:rFonts w:hint="default" w:ascii="Times New Roman" w:hAnsi="Times New Roman" w:eastAsia="仿宋_GB2312" w:cs="Times New Roman"/>
          <w:color w:val="auto"/>
          <w:sz w:val="32"/>
          <w:szCs w:val="32"/>
          <w:highlight w:val="none"/>
        </w:rPr>
        <w:t>费用</w:t>
      </w:r>
      <w:r>
        <w:rPr>
          <w:rFonts w:hint="default" w:ascii="Times New Roman" w:hAnsi="Times New Roman" w:eastAsia="仿宋_GB2312" w:cs="Times New Roman"/>
          <w:color w:val="auto"/>
          <w:sz w:val="32"/>
          <w:szCs w:val="32"/>
          <w:highlight w:val="none"/>
          <w:lang w:eastAsia="zh-CN"/>
        </w:rPr>
        <w:t>同</w:t>
      </w:r>
      <w:r>
        <w:rPr>
          <w:rFonts w:hint="default" w:ascii="Times New Roman" w:hAnsi="Times New Roman" w:eastAsia="仿宋_GB2312" w:cs="Times New Roman"/>
          <w:color w:val="auto"/>
          <w:sz w:val="32"/>
          <w:szCs w:val="32"/>
          <w:highlight w:val="none"/>
        </w:rPr>
        <w:t>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w:t>
      </w:r>
      <w:r>
        <w:rPr>
          <w:rFonts w:hint="default" w:ascii="Times New Roman" w:hAnsi="Times New Roman" w:eastAsia="黑体" w:cs="Times New Roman"/>
          <w:color w:val="auto"/>
          <w:sz w:val="32"/>
          <w:szCs w:val="32"/>
          <w:highlight w:val="none"/>
          <w:lang w:val="en-US" w:eastAsia="zh-CN"/>
        </w:rPr>
        <w:t xml:space="preserve">  </w:t>
      </w:r>
    </w:p>
    <w:p w14:paraId="11A0414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第五章 服务要求</w:t>
      </w:r>
    </w:p>
    <w:p w14:paraId="380A7A44">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需安排具备相应资格条件和类似业绩且经验丰富的造价人员编制清单及最高投标限价，严格执行三级复核制度，对工程造价咨询成果负经济、法律责任，编制人员必须进行现场踏勘，发现与设计不符的需经设计部门核实确认，变化较大的需重新设计。</w:t>
      </w:r>
    </w:p>
    <w:p w14:paraId="793F7404">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第十</w:t>
      </w:r>
      <w:r>
        <w:rPr>
          <w:rFonts w:hint="eastAsia"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跟踪审计</w:t>
      </w:r>
      <w:r>
        <w:rPr>
          <w:rFonts w:hint="default" w:ascii="Times New Roman" w:hAnsi="Times New Roman" w:eastAsia="仿宋_GB2312" w:cs="Times New Roman"/>
          <w:color w:val="auto"/>
          <w:sz w:val="32"/>
          <w:szCs w:val="32"/>
          <w:highlight w:val="none"/>
        </w:rPr>
        <w:t>项目开工前，造价企业需将项目任命文报综合计划科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工程建设科，同一个造价人员在我处同时承揽</w:t>
      </w:r>
      <w:r>
        <w:rPr>
          <w:rFonts w:hint="default" w:ascii="Times New Roman" w:hAnsi="Times New Roman" w:eastAsia="仿宋_GB2312" w:cs="Times New Roman"/>
          <w:color w:val="auto"/>
          <w:sz w:val="32"/>
          <w:szCs w:val="32"/>
          <w:highlight w:val="none"/>
          <w:lang w:eastAsia="zh-CN"/>
        </w:rPr>
        <w:t>跟踪审计业</w:t>
      </w:r>
      <w:r>
        <w:rPr>
          <w:rFonts w:hint="default" w:ascii="Times New Roman" w:hAnsi="Times New Roman" w:eastAsia="仿宋_GB2312" w:cs="Times New Roman"/>
          <w:color w:val="auto"/>
          <w:sz w:val="32"/>
          <w:szCs w:val="32"/>
          <w:highlight w:val="none"/>
        </w:rPr>
        <w:t>务不得超过</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个项目</w:t>
      </w:r>
      <w:r>
        <w:rPr>
          <w:rFonts w:hint="default" w:ascii="Times New Roman" w:hAnsi="Times New Roman" w:eastAsia="仿宋_GB2312" w:cs="Times New Roman"/>
          <w:color w:val="auto"/>
          <w:sz w:val="32"/>
          <w:szCs w:val="32"/>
          <w:highlight w:val="none"/>
          <w:lang w:eastAsia="zh-CN"/>
        </w:rPr>
        <w:t>，且不得在两个以上市本级以外的地区同时承揽业务</w:t>
      </w:r>
      <w:r>
        <w:rPr>
          <w:rFonts w:hint="default" w:ascii="Times New Roman" w:hAnsi="Times New Roman" w:eastAsia="仿宋_GB2312" w:cs="Times New Roman"/>
          <w:color w:val="auto"/>
          <w:sz w:val="32"/>
          <w:szCs w:val="32"/>
          <w:highlight w:val="none"/>
        </w:rPr>
        <w:t>。</w:t>
      </w:r>
    </w:p>
    <w:p w14:paraId="511B901A">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项目组</w:t>
      </w:r>
      <w:r>
        <w:rPr>
          <w:rFonts w:hint="default" w:ascii="Times New Roman" w:hAnsi="Times New Roman" w:eastAsia="仿宋_GB2312" w:cs="Times New Roman"/>
          <w:color w:val="auto"/>
          <w:sz w:val="32"/>
          <w:szCs w:val="32"/>
          <w:highlight w:val="none"/>
          <w:lang w:eastAsia="zh-CN"/>
        </w:rPr>
        <w:t>人员变更，</w:t>
      </w:r>
      <w:r>
        <w:rPr>
          <w:rFonts w:hint="default" w:ascii="Times New Roman" w:hAnsi="Times New Roman" w:eastAsia="仿宋_GB2312" w:cs="Times New Roman"/>
          <w:color w:val="auto"/>
          <w:sz w:val="32"/>
          <w:szCs w:val="32"/>
          <w:highlight w:val="none"/>
        </w:rPr>
        <w:t>变更后人员</w:t>
      </w:r>
      <w:r>
        <w:rPr>
          <w:rFonts w:hint="default" w:ascii="Times New Roman" w:hAnsi="Times New Roman" w:eastAsia="仿宋_GB2312" w:cs="Times New Roman"/>
          <w:color w:val="auto"/>
          <w:sz w:val="32"/>
          <w:szCs w:val="32"/>
          <w:highlight w:val="none"/>
          <w:lang w:eastAsia="zh-CN"/>
        </w:rPr>
        <w:t>必</w:t>
      </w:r>
      <w:r>
        <w:rPr>
          <w:rFonts w:hint="default" w:ascii="Times New Roman" w:hAnsi="Times New Roman" w:eastAsia="仿宋_GB2312" w:cs="Times New Roman"/>
          <w:color w:val="auto"/>
          <w:sz w:val="32"/>
          <w:szCs w:val="32"/>
          <w:highlight w:val="none"/>
        </w:rPr>
        <w:t>须</w:t>
      </w:r>
      <w:r>
        <w:rPr>
          <w:rFonts w:hint="default" w:ascii="Times New Roman" w:hAnsi="Times New Roman" w:eastAsia="仿宋_GB2312" w:cs="Times New Roman"/>
          <w:color w:val="auto"/>
          <w:sz w:val="32"/>
          <w:szCs w:val="32"/>
          <w:highlight w:val="none"/>
          <w:lang w:eastAsia="zh-CN"/>
        </w:rPr>
        <w:t>满足</w:t>
      </w:r>
      <w:r>
        <w:rPr>
          <w:rFonts w:hint="default" w:ascii="Times New Roman" w:hAnsi="Times New Roman" w:eastAsia="仿宋_GB2312" w:cs="Times New Roman"/>
          <w:color w:val="auto"/>
          <w:sz w:val="32"/>
          <w:szCs w:val="32"/>
          <w:highlight w:val="none"/>
        </w:rPr>
        <w:t>本项目</w:t>
      </w:r>
      <w:r>
        <w:rPr>
          <w:rFonts w:hint="default" w:ascii="Times New Roman" w:hAnsi="Times New Roman" w:eastAsia="仿宋_GB2312" w:cs="Times New Roman"/>
          <w:color w:val="auto"/>
          <w:sz w:val="32"/>
          <w:szCs w:val="32"/>
          <w:highlight w:val="none"/>
          <w:lang w:eastAsia="zh-CN"/>
        </w:rPr>
        <w:t>招标</w:t>
      </w:r>
      <w:r>
        <w:rPr>
          <w:rFonts w:hint="default" w:ascii="Times New Roman" w:hAnsi="Times New Roman" w:eastAsia="仿宋_GB2312" w:cs="Times New Roman"/>
          <w:color w:val="auto"/>
          <w:sz w:val="32"/>
          <w:szCs w:val="32"/>
          <w:highlight w:val="none"/>
        </w:rPr>
        <w:t>要求</w:t>
      </w:r>
      <w:r>
        <w:rPr>
          <w:rFonts w:hint="default" w:ascii="Times New Roman" w:hAnsi="Times New Roman" w:eastAsia="仿宋_GB2312" w:cs="Times New Roman"/>
          <w:color w:val="auto"/>
          <w:sz w:val="32"/>
          <w:szCs w:val="32"/>
          <w:highlight w:val="none"/>
          <w:lang w:eastAsia="zh-CN"/>
        </w:rPr>
        <w:t>。由造价企业向综合计划科提出申请并提供相应证明，工程建设</w:t>
      </w:r>
      <w:r>
        <w:rPr>
          <w:rFonts w:hint="default" w:ascii="Times New Roman" w:hAnsi="Times New Roman" w:eastAsia="仿宋_GB2312" w:cs="Times New Roman"/>
          <w:color w:val="auto"/>
          <w:sz w:val="32"/>
          <w:szCs w:val="32"/>
          <w:highlight w:val="none"/>
        </w:rPr>
        <w:t>科</w:t>
      </w:r>
      <w:r>
        <w:rPr>
          <w:rFonts w:hint="default" w:ascii="Times New Roman" w:hAnsi="Times New Roman" w:eastAsia="仿宋_GB2312" w:cs="Times New Roman"/>
          <w:color w:val="auto"/>
          <w:sz w:val="32"/>
          <w:szCs w:val="32"/>
          <w:highlight w:val="none"/>
          <w:lang w:eastAsia="zh-CN"/>
        </w:rPr>
        <w:t>和综合计划科会商提出意见，报综合计划科分管领导批准</w:t>
      </w:r>
      <w:r>
        <w:rPr>
          <w:rFonts w:hint="default" w:ascii="Times New Roman" w:hAnsi="Times New Roman" w:eastAsia="仿宋_GB2312" w:cs="Times New Roman"/>
          <w:color w:val="auto"/>
          <w:sz w:val="32"/>
          <w:szCs w:val="32"/>
          <w:highlight w:val="none"/>
        </w:rPr>
        <w:t>后予以备案</w:t>
      </w:r>
      <w:r>
        <w:rPr>
          <w:rFonts w:hint="default" w:ascii="Times New Roman" w:hAnsi="Times New Roman" w:eastAsia="仿宋_GB2312" w:cs="Times New Roman"/>
          <w:color w:val="auto"/>
          <w:sz w:val="32"/>
          <w:szCs w:val="32"/>
          <w:highlight w:val="none"/>
          <w:lang w:eastAsia="zh-CN"/>
        </w:rPr>
        <w:t>。</w:t>
      </w:r>
    </w:p>
    <w:p w14:paraId="704AD50D">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项目组负责人因以下原因变更不予处罚：①</w:t>
      </w:r>
      <w:r>
        <w:rPr>
          <w:rFonts w:hint="default" w:ascii="Times New Roman" w:hAnsi="Times New Roman" w:eastAsia="仿宋_GB2312" w:cs="Times New Roman"/>
          <w:color w:val="auto"/>
          <w:sz w:val="32"/>
          <w:szCs w:val="32"/>
          <w:highlight w:val="none"/>
        </w:rPr>
        <w:t>亡故</w:t>
      </w:r>
      <w:r>
        <w:rPr>
          <w:rFonts w:hint="default" w:ascii="Times New Roman" w:hAnsi="Times New Roman" w:eastAsia="仿宋_GB2312" w:cs="Times New Roman"/>
          <w:color w:val="auto"/>
          <w:sz w:val="32"/>
          <w:szCs w:val="32"/>
          <w:highlight w:val="none"/>
          <w:lang w:eastAsia="zh-CN"/>
        </w:rPr>
        <w:t>；②</w:t>
      </w:r>
      <w:r>
        <w:rPr>
          <w:rFonts w:hint="default" w:ascii="Times New Roman" w:hAnsi="Times New Roman" w:eastAsia="仿宋_GB2312" w:cs="Times New Roman"/>
          <w:color w:val="auto"/>
          <w:sz w:val="32"/>
          <w:szCs w:val="32"/>
          <w:highlight w:val="none"/>
        </w:rPr>
        <w:t>重病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或重伤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三个月以上，不能履行职责</w:t>
      </w:r>
      <w:r>
        <w:rPr>
          <w:rFonts w:hint="default" w:ascii="Times New Roman" w:hAnsi="Times New Roman" w:eastAsia="仿宋_GB2312" w:cs="Times New Roman"/>
          <w:color w:val="auto"/>
          <w:sz w:val="32"/>
          <w:szCs w:val="32"/>
          <w:highlight w:val="none"/>
          <w:lang w:eastAsia="zh-CN"/>
        </w:rPr>
        <w:t>；③</w:t>
      </w:r>
      <w:r>
        <w:rPr>
          <w:rFonts w:hint="default" w:ascii="Times New Roman" w:hAnsi="Times New Roman" w:eastAsia="仿宋_GB2312" w:cs="Times New Roman"/>
          <w:color w:val="auto"/>
          <w:sz w:val="32"/>
          <w:szCs w:val="32"/>
          <w:highlight w:val="none"/>
        </w:rPr>
        <w:t>受到刑事或行政处罚，不能胜任；</w:t>
      </w:r>
      <w:r>
        <w:rPr>
          <w:rFonts w:hint="default" w:ascii="Times New Roman" w:hAnsi="Times New Roman" w:eastAsia="仿宋_GB2312" w:cs="Times New Roman"/>
          <w:color w:val="auto"/>
          <w:sz w:val="32"/>
          <w:szCs w:val="32"/>
          <w:highlight w:val="none"/>
          <w:lang w:eastAsia="zh-CN"/>
        </w:rPr>
        <w:t>④</w:t>
      </w:r>
      <w:r>
        <w:rPr>
          <w:rFonts w:hint="default" w:ascii="Times New Roman" w:hAnsi="Times New Roman" w:eastAsia="仿宋_GB2312" w:cs="Times New Roman"/>
          <w:color w:val="auto"/>
          <w:sz w:val="32"/>
          <w:szCs w:val="32"/>
          <w:highlight w:val="none"/>
        </w:rPr>
        <w:t>犯罪被羁押或判刑；</w:t>
      </w:r>
      <w:r>
        <w:rPr>
          <w:rFonts w:hint="default" w:ascii="Times New Roman" w:hAnsi="Times New Roman" w:eastAsia="仿宋_GB2312" w:cs="Times New Roman"/>
          <w:color w:val="auto"/>
          <w:sz w:val="32"/>
          <w:szCs w:val="32"/>
          <w:highlight w:val="none"/>
          <w:lang w:eastAsia="zh-CN"/>
        </w:rPr>
        <w:t>⑤</w:t>
      </w:r>
      <w:r>
        <w:rPr>
          <w:rFonts w:hint="default" w:ascii="Times New Roman" w:hAnsi="Times New Roman" w:eastAsia="仿宋_GB2312" w:cs="Times New Roman"/>
          <w:color w:val="auto"/>
          <w:sz w:val="32"/>
          <w:szCs w:val="32"/>
          <w:highlight w:val="none"/>
        </w:rPr>
        <w:t>被责令停止职业资格</w:t>
      </w:r>
      <w:r>
        <w:rPr>
          <w:rFonts w:hint="default" w:ascii="Times New Roman" w:hAnsi="Times New Roman" w:eastAsia="仿宋_GB2312" w:cs="Times New Roman"/>
          <w:color w:val="auto"/>
          <w:sz w:val="32"/>
          <w:szCs w:val="32"/>
          <w:highlight w:val="none"/>
          <w:lang w:eastAsia="zh-CN"/>
        </w:rPr>
        <w:t>。其他原因</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须缴纳</w:t>
      </w: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万元违约金</w:t>
      </w:r>
      <w:r>
        <w:rPr>
          <w:rFonts w:hint="default" w:ascii="Times New Roman" w:hAnsi="Times New Roman" w:eastAsia="仿宋_GB2312" w:cs="Times New Roman"/>
          <w:color w:val="auto"/>
          <w:sz w:val="32"/>
          <w:szCs w:val="32"/>
          <w:highlight w:val="none"/>
          <w:lang w:eastAsia="zh-CN"/>
        </w:rPr>
        <w:t>。</w:t>
      </w:r>
    </w:p>
    <w:p w14:paraId="2E7BA5E8">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lang w:eastAsia="zh-CN"/>
        </w:rPr>
        <w:t>跟踪审计单位</w:t>
      </w:r>
      <w:r>
        <w:rPr>
          <w:rFonts w:hint="default" w:ascii="Times New Roman" w:hAnsi="Times New Roman" w:eastAsia="仿宋_GB2312" w:cs="Times New Roman"/>
          <w:color w:val="auto"/>
          <w:sz w:val="32"/>
          <w:szCs w:val="32"/>
          <w:highlight w:val="none"/>
          <w:lang w:eastAsia="zh-CN"/>
        </w:rPr>
        <w:t>审计</w:t>
      </w:r>
      <w:r>
        <w:rPr>
          <w:rFonts w:hint="default" w:ascii="Times New Roman" w:hAnsi="Times New Roman" w:eastAsia="仿宋_GB2312" w:cs="Times New Roman"/>
          <w:color w:val="auto"/>
          <w:sz w:val="32"/>
          <w:szCs w:val="32"/>
          <w:highlight w:val="none"/>
        </w:rPr>
        <w:t>组每月</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日前</w:t>
      </w:r>
      <w:r>
        <w:rPr>
          <w:rFonts w:hint="default" w:ascii="Times New Roman" w:hAnsi="Times New Roman" w:eastAsia="仿宋_GB2312" w:cs="Times New Roman"/>
          <w:color w:val="auto"/>
          <w:sz w:val="32"/>
          <w:szCs w:val="32"/>
          <w:highlight w:val="none"/>
          <w:lang w:eastAsia="zh-CN"/>
        </w:rPr>
        <w:t>向</w:t>
      </w:r>
      <w:r>
        <w:rPr>
          <w:rFonts w:hint="default" w:ascii="Times New Roman" w:hAnsi="Times New Roman" w:eastAsia="仿宋_GB2312" w:cs="Times New Roman"/>
          <w:color w:val="auto"/>
          <w:sz w:val="32"/>
          <w:szCs w:val="32"/>
          <w:highlight w:val="none"/>
        </w:rPr>
        <w:t>综合计划科报送审计月报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工程建设科，月报主要</w:t>
      </w:r>
      <w:r>
        <w:rPr>
          <w:rFonts w:hint="default" w:ascii="Times New Roman" w:hAnsi="Times New Roman" w:eastAsia="仿宋_GB2312" w:cs="Times New Roman"/>
          <w:color w:val="auto"/>
          <w:sz w:val="32"/>
          <w:szCs w:val="32"/>
          <w:highlight w:val="none"/>
          <w:lang w:eastAsia="zh-CN"/>
        </w:rPr>
        <w:t>反映</w:t>
      </w:r>
      <w:r>
        <w:rPr>
          <w:rFonts w:hint="default" w:ascii="Times New Roman" w:hAnsi="Times New Roman" w:eastAsia="仿宋_GB2312" w:cs="Times New Roman"/>
          <w:color w:val="auto"/>
          <w:sz w:val="32"/>
          <w:szCs w:val="32"/>
          <w:highlight w:val="none"/>
        </w:rPr>
        <w:t>项目的进度、工程计量、工程变更等涉及工程造价方面的内容。</w:t>
      </w:r>
    </w:p>
    <w:p w14:paraId="58A64474">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结算审核单位</w:t>
      </w:r>
      <w:r>
        <w:rPr>
          <w:rFonts w:hint="default" w:ascii="Times New Roman" w:hAnsi="Times New Roman" w:eastAsia="仿宋_GB2312" w:cs="Times New Roman"/>
          <w:color w:val="auto"/>
          <w:sz w:val="32"/>
          <w:szCs w:val="32"/>
          <w:highlight w:val="none"/>
        </w:rPr>
        <w:t>应在</w:t>
      </w:r>
      <w:r>
        <w:rPr>
          <w:rFonts w:hint="default" w:ascii="Times New Roman" w:hAnsi="Times New Roman" w:eastAsia="仿宋_GB2312" w:cs="Times New Roman"/>
          <w:color w:val="auto"/>
          <w:sz w:val="32"/>
          <w:szCs w:val="32"/>
          <w:highlight w:val="none"/>
          <w:lang w:eastAsia="zh-CN"/>
        </w:rPr>
        <w:t>7</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以下）或</w:t>
      </w:r>
      <w:r>
        <w:rPr>
          <w:rFonts w:hint="default" w:ascii="Times New Roman" w:hAnsi="Times New Roman" w:eastAsia="仿宋_GB2312" w:cs="Times New Roman"/>
          <w:color w:val="auto"/>
          <w:sz w:val="32"/>
          <w:szCs w:val="32"/>
          <w:highlight w:val="none"/>
          <w:lang w:eastAsia="zh-CN"/>
        </w:rPr>
        <w:t>10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以上）内，对施工单位报送的项目结算资料进行完整性检查，一次性书面告知，限期补充齐全。在实施结算审计</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程中，原则上不再接收施工单位提供的变更签证资料。如遇特殊情况，补充资料</w:t>
      </w:r>
      <w:r>
        <w:rPr>
          <w:rFonts w:hint="default" w:ascii="Times New Roman" w:hAnsi="Times New Roman" w:eastAsia="仿宋_GB2312" w:cs="Times New Roman"/>
          <w:color w:val="auto"/>
          <w:sz w:val="32"/>
          <w:szCs w:val="32"/>
          <w:highlight w:val="none"/>
          <w:lang w:eastAsia="zh-CN"/>
        </w:rPr>
        <w:t>需</w:t>
      </w: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w:t>
      </w:r>
    </w:p>
    <w:p w14:paraId="70BB5DB2">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造价企业结算审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的项目，造价在</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万元以下、</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万元以上的单项工程，应</w:t>
      </w:r>
      <w:r>
        <w:rPr>
          <w:rFonts w:hint="default"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在施工单位报送的项目结算资料完整</w:t>
      </w:r>
      <w:r>
        <w:rPr>
          <w:rFonts w:hint="default" w:ascii="Times New Roman" w:hAnsi="Times New Roman" w:eastAsia="仿宋_GB2312" w:cs="Times New Roman"/>
          <w:color w:val="auto"/>
          <w:sz w:val="32"/>
          <w:szCs w:val="32"/>
          <w:highlight w:val="none"/>
          <w:lang w:eastAsia="zh-CN"/>
        </w:rPr>
        <w:t>后的20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45</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60</w:t>
      </w:r>
      <w:r>
        <w:rPr>
          <w:rFonts w:hint="default" w:ascii="Times New Roman" w:hAnsi="Times New Roman" w:eastAsia="仿宋_GB2312" w:cs="Times New Roman"/>
          <w:color w:val="auto"/>
          <w:sz w:val="32"/>
          <w:szCs w:val="32"/>
          <w:highlight w:val="none"/>
        </w:rPr>
        <w:t>日内完成，并出具审核报告。如遇特殊情况，经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项目分管领导同意，可适当延长，延长时间最长不得超过</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p>
    <w:p w14:paraId="24F1BFC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sz w:val="32"/>
          <w:szCs w:val="32"/>
          <w:highlight w:val="none"/>
          <w:lang w:eastAsia="zh-CN"/>
        </w:rPr>
        <w:t>清单编制</w:t>
      </w:r>
      <w:r>
        <w:rPr>
          <w:rFonts w:hint="default" w:ascii="Times New Roman" w:hAnsi="Times New Roman" w:eastAsia="仿宋_GB2312" w:cs="Times New Roman"/>
          <w:color w:val="auto"/>
          <w:sz w:val="32"/>
          <w:szCs w:val="32"/>
          <w:highlight w:val="none"/>
        </w:rPr>
        <w:t>的项目</w:t>
      </w:r>
      <w:r>
        <w:rPr>
          <w:rFonts w:hint="default" w:ascii="Times New Roman" w:hAnsi="Times New Roman" w:eastAsia="仿宋_GB2312" w:cs="Times New Roman"/>
          <w:color w:val="auto"/>
          <w:sz w:val="32"/>
          <w:szCs w:val="32"/>
          <w:highlight w:val="none"/>
          <w:lang w:eastAsia="zh-CN"/>
        </w:rPr>
        <w:t>，估算最高投标限价在</w:t>
      </w:r>
      <w:r>
        <w:rPr>
          <w:rFonts w:hint="default" w:ascii="Times New Roman" w:hAnsi="Times New Roman" w:eastAsia="仿宋_GB2312" w:cs="Times New Roman"/>
          <w:color w:val="auto"/>
          <w:sz w:val="32"/>
          <w:szCs w:val="32"/>
          <w:highlight w:val="none"/>
          <w:lang w:val="en-US" w:eastAsia="zh-CN"/>
        </w:rPr>
        <w:t xml:space="preserve">500万元以下、500万元-1000万元、1000万元-5000万元、5000万元-10000万元、10000万元以上的项目，应分别在7日、15日、20日、25日、30日内完成。特殊项目经综合计划科分管领导同意可以适当缩短或延长编制时间。  </w:t>
      </w:r>
      <w:r>
        <w:rPr>
          <w:rFonts w:hint="default" w:ascii="Times New Roman" w:hAnsi="Times New Roman" w:eastAsia="仿宋_GB2312" w:cs="Times New Roman"/>
          <w:color w:val="auto"/>
          <w:sz w:val="32"/>
          <w:szCs w:val="32"/>
          <w:highlight w:val="none"/>
        </w:rPr>
        <w:t xml:space="preserve">   </w:t>
      </w:r>
    </w:p>
    <w:p w14:paraId="2719BE3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第六章 服务考核</w:t>
      </w:r>
    </w:p>
    <w:p w14:paraId="484249E3">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十九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考核分类</w:t>
      </w:r>
    </w:p>
    <w:p w14:paraId="2AC73276">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考核分为</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跟踪审计服务质量考核</w:t>
      </w:r>
      <w:r>
        <w:rPr>
          <w:rFonts w:hint="default" w:ascii="Times New Roman" w:hAnsi="Times New Roman" w:eastAsia="仿宋_GB2312" w:cs="Times New Roman"/>
          <w:color w:val="auto"/>
          <w:sz w:val="32"/>
          <w:szCs w:val="32"/>
          <w:highlight w:val="none"/>
          <w:lang w:eastAsia="zh-CN"/>
        </w:rPr>
        <w:t>和</w:t>
      </w:r>
      <w:r>
        <w:rPr>
          <w:rStyle w:val="155"/>
          <w:rFonts w:hint="default" w:ascii="Times New Roman" w:hAnsi="Times New Roman" w:eastAsia="仿宋_GB2312" w:cs="Times New Roman"/>
          <w:b w:val="0"/>
          <w:bCs w:val="0"/>
          <w:color w:val="auto"/>
          <w:sz w:val="32"/>
          <w:szCs w:val="32"/>
          <w:highlight w:val="none"/>
        </w:rPr>
        <w:t>结算审</w:t>
      </w:r>
      <w:r>
        <w:rPr>
          <w:rStyle w:val="155"/>
          <w:rFonts w:hint="default" w:ascii="Times New Roman" w:hAnsi="Times New Roman" w:cs="Times New Roman"/>
          <w:b w:val="0"/>
          <w:bCs w:val="0"/>
          <w:color w:val="auto"/>
          <w:sz w:val="32"/>
          <w:szCs w:val="32"/>
          <w:highlight w:val="none"/>
          <w:lang w:eastAsia="zh-CN"/>
        </w:rPr>
        <w:t>（复）</w:t>
      </w:r>
      <w:r>
        <w:rPr>
          <w:rStyle w:val="155"/>
          <w:rFonts w:hint="default" w:ascii="Times New Roman" w:hAnsi="Times New Roman" w:eastAsia="仿宋_GB2312" w:cs="Times New Roman"/>
          <w:b w:val="0"/>
          <w:bCs w:val="0"/>
          <w:color w:val="auto"/>
          <w:sz w:val="32"/>
          <w:szCs w:val="32"/>
          <w:highlight w:val="none"/>
        </w:rPr>
        <w:t>核</w:t>
      </w:r>
      <w:r>
        <w:rPr>
          <w:rStyle w:val="155"/>
          <w:rFonts w:hint="default" w:ascii="Times New Roman" w:hAnsi="Times New Roman" w:cs="Times New Roman"/>
          <w:b w:val="0"/>
          <w:bCs w:val="0"/>
          <w:color w:val="auto"/>
          <w:sz w:val="32"/>
          <w:szCs w:val="32"/>
          <w:highlight w:val="none"/>
          <w:lang w:eastAsia="zh-CN"/>
        </w:rPr>
        <w:t>成果质量</w:t>
      </w:r>
      <w:r>
        <w:rPr>
          <w:rStyle w:val="155"/>
          <w:rFonts w:hint="default" w:ascii="Times New Roman" w:hAnsi="Times New Roman" w:eastAsia="仿宋_GB2312" w:cs="Times New Roman"/>
          <w:b w:val="0"/>
          <w:bCs w:val="0"/>
          <w:color w:val="auto"/>
          <w:sz w:val="32"/>
          <w:szCs w:val="32"/>
          <w:highlight w:val="none"/>
        </w:rPr>
        <w:t>考核</w:t>
      </w:r>
      <w:r>
        <w:rPr>
          <w:rFonts w:hint="default" w:ascii="Times New Roman" w:hAnsi="Times New Roman" w:eastAsia="仿宋_GB2312" w:cs="Times New Roman"/>
          <w:color w:val="auto"/>
          <w:sz w:val="32"/>
          <w:szCs w:val="32"/>
          <w:highlight w:val="none"/>
        </w:rPr>
        <w:t>。</w:t>
      </w:r>
    </w:p>
    <w:p w14:paraId="04D66F80">
      <w:pPr>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标准见《滁州市重点工程建设管理处工程量清单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最高投标限价编制质量考核表》（附件</w:t>
      </w: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分以下的评“差”。年度考核评“优”的造价企业予以通报表扬；年度考核评“差”的造价企业予以通报批评。</w:t>
      </w:r>
    </w:p>
    <w:p w14:paraId="502BBEC0">
      <w:pPr>
        <w:keepNext w:val="0"/>
        <w:keepLines w:val="0"/>
        <w:pageBreakBefore w:val="0"/>
        <w:kinsoku/>
        <w:wordWrap/>
        <w:overflowPunct/>
        <w:topLinePunct w:val="0"/>
        <w:autoSpaceDE/>
        <w:autoSpaceDN/>
        <w:bidi w:val="0"/>
        <w:adjustRightInd/>
        <w:spacing w:line="400" w:lineRule="exact"/>
        <w:ind w:firstLine="643"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跟踪审计服务质量日常考核原则上每季度安排一次。考核以各造价企业单个审计项目为单位，对单个审计项目审计实施过程和完成情况进行综合考核，满分为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分，考核标准见《滁州市重点工程建设管理处跟踪审计服务质量日常考核表》（附件</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）。考核结果设“优”、“良”、“中”、“差”四个等级，考核得分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分及以上的项目评“优”，考核得分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分的项目评“良”，考核得分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val="en-US" w:eastAsia="zh-CN"/>
        </w:rPr>
        <w:t>85</w:t>
      </w:r>
      <w:r>
        <w:rPr>
          <w:rFonts w:hint="default" w:ascii="Times New Roman" w:hAnsi="Times New Roman" w:eastAsia="仿宋_GB2312" w:cs="Times New Roman"/>
          <w:color w:val="auto"/>
          <w:sz w:val="32"/>
          <w:szCs w:val="32"/>
          <w:highlight w:val="none"/>
        </w:rPr>
        <w:t>分的项目评“中”，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分以下的项目评“差”。对评“优” 项目的审计组予以通报表扬</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对评“中”项目的审计组进行约谈；评“差”项目的审计组予以通报批评，进行约谈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处罚</w:t>
      </w: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eastAsia="zh-CN"/>
        </w:rPr>
        <w:t>000</w:t>
      </w:r>
      <w:r>
        <w:rPr>
          <w:rFonts w:hint="default" w:ascii="Times New Roman" w:hAnsi="Times New Roman" w:eastAsia="仿宋_GB2312" w:cs="Times New Roman"/>
          <w:b w:val="0"/>
          <w:bCs w:val="0"/>
          <w:color w:val="auto"/>
          <w:sz w:val="32"/>
          <w:szCs w:val="32"/>
          <w:highlight w:val="none"/>
        </w:rPr>
        <w:t>元</w:t>
      </w:r>
      <w:r>
        <w:rPr>
          <w:rFonts w:hint="default" w:ascii="Times New Roman" w:hAnsi="Times New Roman" w:eastAsia="仿宋_GB2312" w:cs="Times New Roman"/>
          <w:b w:val="0"/>
          <w:bCs w:val="0"/>
          <w:color w:val="auto"/>
          <w:sz w:val="32"/>
          <w:szCs w:val="32"/>
          <w:highlight w:val="none"/>
          <w:lang w:eastAsia="zh-CN"/>
        </w:rPr>
        <w:t>及</w:t>
      </w:r>
      <w:r>
        <w:rPr>
          <w:rFonts w:hint="default" w:ascii="Times New Roman" w:hAnsi="Times New Roman" w:eastAsia="仿宋_GB2312" w:cs="Times New Roman"/>
          <w:b w:val="0"/>
          <w:bCs w:val="0"/>
          <w:color w:val="auto"/>
          <w:sz w:val="32"/>
          <w:szCs w:val="32"/>
          <w:highlight w:val="none"/>
          <w:lang w:val="en-US" w:eastAsia="zh-CN"/>
        </w:rPr>
        <w:t>暂停业务3</w:t>
      </w:r>
      <w:r>
        <w:rPr>
          <w:rFonts w:hint="default" w:ascii="Times New Roman" w:hAnsi="Times New Roman" w:eastAsia="仿宋_GB2312" w:cs="Times New Roman"/>
          <w:b w:val="0"/>
          <w:bCs w:val="0"/>
          <w:color w:val="auto"/>
          <w:sz w:val="32"/>
          <w:szCs w:val="32"/>
          <w:highlight w:val="none"/>
        </w:rPr>
        <w:t>个月，</w:t>
      </w:r>
      <w:r>
        <w:rPr>
          <w:rFonts w:hint="default" w:ascii="Times New Roman" w:hAnsi="Times New Roman" w:eastAsia="仿宋_GB2312" w:cs="Times New Roman"/>
          <w:b w:val="0"/>
          <w:bCs w:val="0"/>
          <w:color w:val="auto"/>
          <w:sz w:val="32"/>
          <w:szCs w:val="32"/>
          <w:highlight w:val="none"/>
          <w:lang w:val="en-US" w:eastAsia="zh-CN"/>
        </w:rPr>
        <w:t>连续两个</w:t>
      </w:r>
      <w:r>
        <w:rPr>
          <w:rFonts w:hint="default" w:ascii="Times New Roman" w:hAnsi="Times New Roman" w:eastAsia="仿宋_GB2312" w:cs="Times New Roman"/>
          <w:b w:val="0"/>
          <w:bCs w:val="0"/>
          <w:color w:val="auto"/>
          <w:sz w:val="32"/>
          <w:szCs w:val="32"/>
          <w:highlight w:val="none"/>
          <w:lang w:eastAsia="zh-CN"/>
        </w:rPr>
        <w:t>季度评</w:t>
      </w:r>
      <w:r>
        <w:rPr>
          <w:rFonts w:hint="default" w:ascii="Times New Roman" w:hAnsi="Times New Roman" w:eastAsia="仿宋_GB2312" w:cs="Times New Roman"/>
          <w:b w:val="0"/>
          <w:bCs w:val="0"/>
          <w:color w:val="auto"/>
          <w:sz w:val="32"/>
          <w:szCs w:val="32"/>
          <w:highlight w:val="none"/>
        </w:rPr>
        <w:t>“差”</w:t>
      </w:r>
      <w:r>
        <w:rPr>
          <w:rFonts w:hint="default"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lang w:val="en-US" w:eastAsia="zh-CN"/>
        </w:rPr>
        <w:t>暂停业务12</w:t>
      </w:r>
      <w:r>
        <w:rPr>
          <w:rFonts w:hint="default" w:ascii="Times New Roman" w:hAnsi="Times New Roman" w:eastAsia="仿宋_GB2312" w:cs="Times New Roman"/>
          <w:b w:val="0"/>
          <w:bCs w:val="0"/>
          <w:color w:val="auto"/>
          <w:sz w:val="32"/>
          <w:szCs w:val="32"/>
          <w:highlight w:val="none"/>
        </w:rPr>
        <w:t>个月。</w:t>
      </w:r>
    </w:p>
    <w:p w14:paraId="4F79B0D2">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rPr>
        <w:t>年度考核以当年所有项目日常考核结果</w:t>
      </w:r>
      <w:r>
        <w:rPr>
          <w:rFonts w:hint="default" w:ascii="Times New Roman" w:hAnsi="Times New Roman" w:eastAsia="仿宋_GB2312" w:cs="Times New Roman"/>
          <w:b w:val="0"/>
          <w:bCs w:val="0"/>
          <w:color w:val="auto"/>
          <w:sz w:val="32"/>
          <w:szCs w:val="32"/>
          <w:highlight w:val="none"/>
          <w:lang w:eastAsia="zh-CN"/>
        </w:rPr>
        <w:t>（本年度至少参评两次及以上）</w:t>
      </w:r>
      <w:r>
        <w:rPr>
          <w:rFonts w:hint="default" w:ascii="Times New Roman" w:hAnsi="Times New Roman" w:eastAsia="仿宋_GB2312" w:cs="Times New Roman"/>
          <w:b w:val="0"/>
          <w:bCs w:val="0"/>
          <w:color w:val="auto"/>
          <w:sz w:val="32"/>
          <w:szCs w:val="32"/>
          <w:highlight w:val="none"/>
        </w:rPr>
        <w:t>平均分作为年度综合评定分值，考核结果分设“优”、“良”、“中”、“差”四个等级。考核得</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分及以上的造价企业评“优”，考核得分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分以下的造价企业评“差”。年度考核评“优”的造价企业予以通报表扬；年度考核评“差”的造价企业予以通报批评且</w:t>
      </w:r>
      <w:r>
        <w:rPr>
          <w:rFonts w:hint="default" w:ascii="Times New Roman" w:hAnsi="Times New Roman" w:eastAsia="仿宋_GB2312" w:cs="Times New Roman"/>
          <w:color w:val="auto"/>
          <w:sz w:val="32"/>
          <w:szCs w:val="32"/>
          <w:highlight w:val="none"/>
          <w:lang w:val="en-US" w:eastAsia="zh-CN"/>
        </w:rPr>
        <w:t>暂停业务</w:t>
      </w:r>
      <w:r>
        <w:rPr>
          <w:rFonts w:hint="default" w:ascii="Times New Roman" w:hAnsi="Times New Roman" w:eastAsia="仿宋_GB2312" w:cs="Times New Roman"/>
          <w:color w:val="auto"/>
          <w:sz w:val="32"/>
          <w:szCs w:val="32"/>
          <w:highlight w:val="none"/>
          <w:lang w:eastAsia="zh-CN"/>
        </w:rPr>
        <w:t>12</w:t>
      </w:r>
      <w:r>
        <w:rPr>
          <w:rFonts w:hint="default" w:ascii="Times New Roman" w:hAnsi="Times New Roman" w:eastAsia="仿宋_GB2312" w:cs="Times New Roman"/>
          <w:color w:val="auto"/>
          <w:sz w:val="32"/>
          <w:szCs w:val="32"/>
          <w:highlight w:val="none"/>
        </w:rPr>
        <w:t>个月。</w:t>
      </w:r>
    </w:p>
    <w:p w14:paraId="00D73B94">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Style w:val="155"/>
          <w:rFonts w:hint="default" w:ascii="Times New Roman" w:hAnsi="Times New Roman" w:eastAsia="仿宋_GB2312" w:cs="Times New Roman"/>
          <w:b w:val="0"/>
          <w:color w:val="auto"/>
          <w:sz w:val="32"/>
          <w:szCs w:val="32"/>
          <w:highlight w:val="none"/>
        </w:rPr>
        <w:t>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w:t>
      </w:r>
      <w:r>
        <w:rPr>
          <w:rFonts w:hint="default" w:ascii="Times New Roman" w:hAnsi="Times New Roman" w:eastAsia="仿宋_GB2312" w:cs="Times New Roman"/>
          <w:color w:val="auto"/>
          <w:sz w:val="32"/>
          <w:szCs w:val="32"/>
          <w:highlight w:val="none"/>
        </w:rPr>
        <w:t>标准见《滁州市重点工程建设管理处</w:t>
      </w:r>
      <w:r>
        <w:rPr>
          <w:rStyle w:val="155"/>
          <w:rFonts w:hint="default" w:ascii="Times New Roman" w:hAnsi="Times New Roman" w:eastAsia="仿宋_GB2312" w:cs="Times New Roman"/>
          <w:b w:val="0"/>
          <w:color w:val="auto"/>
          <w:sz w:val="32"/>
          <w:szCs w:val="32"/>
          <w:highlight w:val="none"/>
        </w:rPr>
        <w:t>项目结算审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考核表</w:t>
      </w: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分以下的评“差”。年度考核评“优”的造价企业予以通报表扬；年度考核评“差”的造价企业予以通报批评</w:t>
      </w:r>
      <w:r>
        <w:rPr>
          <w:rFonts w:hint="default"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进行约谈。</w:t>
      </w:r>
    </w:p>
    <w:p w14:paraId="2F1A38C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第七章 罚则</w:t>
      </w:r>
    </w:p>
    <w:p w14:paraId="68D9C5E2">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w:t>
      </w:r>
      <w:r>
        <w:rPr>
          <w:rFonts w:hint="eastAsia"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项目施工过程中发现清单错漏项，累计5万元（含）-30万元（不含）的，给予企业4000元的违约金处罚；累计30万元（含）-50万元（不含）的，给予企业8000元的违约金处罚；累计50万元（含）-100万元（不含）的，给予企业12000元的违约金处罚；累计100万元（含）以上且误差率3%（含）以内的，给予企业20000元的违约金处罚，暂停业务6个月；累计100万元（含）以上的且误差率在3%（不含）-5%（含）的，暂停业务12个月，给予企业10%咨询服务费的违约金处罚且不低于20000元；累计100万元（含）以上的且误差率超过5%（含）的，暂停业务12个月，给予企业50%咨询服务费的违约金处罚且不低于20000元并对企业及相关责任人进行通报，上述违约金处罚以服务费用总额为上限。</w:t>
      </w:r>
    </w:p>
    <w:p w14:paraId="7C60964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w:t>
      </w:r>
      <w:r>
        <w:rPr>
          <w:rFonts w:hint="eastAsia"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w:t>
      </w:r>
      <w:r>
        <w:rPr>
          <w:rFonts w:hint="default" w:ascii="Times New Roman" w:hAnsi="Times New Roman" w:eastAsia="仿宋_GB2312" w:cs="Times New Roman"/>
          <w:b w:val="0"/>
          <w:bCs w:val="0"/>
          <w:color w:val="auto"/>
          <w:sz w:val="32"/>
          <w:szCs w:val="32"/>
          <w:highlight w:val="none"/>
        </w:rPr>
        <w:t>结算审核服务费</w:t>
      </w:r>
      <w:r>
        <w:rPr>
          <w:rFonts w:hint="default" w:ascii="Times New Roman" w:hAnsi="Times New Roman" w:eastAsia="仿宋_GB2312" w:cs="Times New Roman"/>
          <w:b w:val="0"/>
          <w:bCs w:val="0"/>
          <w:color w:val="auto"/>
          <w:sz w:val="32"/>
          <w:szCs w:val="32"/>
          <w:highlight w:val="none"/>
          <w:lang w:eastAsia="zh-CN"/>
        </w:rPr>
        <w:t>的误差违约金处罚</w:t>
      </w:r>
      <w:r>
        <w:rPr>
          <w:rFonts w:hint="default" w:ascii="Times New Roman" w:hAnsi="Times New Roman" w:eastAsia="仿宋_GB2312" w:cs="Times New Roman"/>
          <w:color w:val="auto"/>
          <w:sz w:val="32"/>
          <w:szCs w:val="32"/>
          <w:highlight w:val="none"/>
        </w:rPr>
        <w:t>根据第三方复审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综合计划科复核</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市财政工程造价审核中心</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审核结果</w:t>
      </w:r>
      <w:r>
        <w:rPr>
          <w:rFonts w:hint="default" w:ascii="Times New Roman" w:hAnsi="Times New Roman" w:eastAsia="仿宋_GB2312" w:cs="Times New Roman"/>
          <w:color w:val="auto"/>
          <w:sz w:val="32"/>
          <w:szCs w:val="32"/>
          <w:highlight w:val="none"/>
          <w:lang w:eastAsia="zh-CN"/>
        </w:rPr>
        <w:t>确定</w:t>
      </w:r>
      <w:r>
        <w:rPr>
          <w:rFonts w:hint="default" w:ascii="Times New Roman" w:hAnsi="Times New Roman" w:eastAsia="仿宋_GB2312" w:cs="Times New Roman"/>
          <w:color w:val="auto"/>
          <w:sz w:val="32"/>
          <w:szCs w:val="32"/>
          <w:highlight w:val="none"/>
        </w:rPr>
        <w:t>：</w:t>
      </w:r>
    </w:p>
    <w:p w14:paraId="32D22618">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25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065CACC6">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50</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4F1D4112">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75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7AC5C1CA">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审核结果误差超过</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以全额服务费</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同时，工程造价 </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6个月</w:t>
      </w:r>
      <w:r>
        <w:rPr>
          <w:rFonts w:hint="default" w:ascii="Times New Roman" w:hAnsi="Times New Roman" w:eastAsia="仿宋_GB2312" w:cs="Times New Roman"/>
          <w:color w:val="auto"/>
          <w:sz w:val="32"/>
          <w:szCs w:val="32"/>
          <w:highlight w:val="none"/>
        </w:rPr>
        <w:t xml:space="preserve">；工程造价 </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万元以上项目，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12个月。</w:t>
      </w:r>
    </w:p>
    <w:p w14:paraId="26878116">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造价企业应在规定时间内提交</w:t>
      </w:r>
      <w:r>
        <w:rPr>
          <w:rFonts w:hint="default" w:ascii="Times New Roman" w:hAnsi="Times New Roman" w:eastAsia="仿宋_GB2312" w:cs="Times New Roman"/>
          <w:color w:val="auto"/>
          <w:sz w:val="32"/>
          <w:szCs w:val="32"/>
          <w:highlight w:val="none"/>
          <w:lang w:eastAsia="zh-CN"/>
        </w:rPr>
        <w:t>咨询成果文件</w:t>
      </w:r>
      <w:r>
        <w:rPr>
          <w:rFonts w:hint="default" w:ascii="Times New Roman" w:hAnsi="Times New Roman" w:eastAsia="仿宋_GB2312" w:cs="Times New Roman"/>
          <w:color w:val="auto"/>
          <w:sz w:val="32"/>
          <w:szCs w:val="32"/>
          <w:highlight w:val="none"/>
        </w:rPr>
        <w:t>，因造价企业原因未能按</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提交，超过</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过15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规定时间一半以上的，终止委托</w:t>
      </w:r>
      <w:r>
        <w:rPr>
          <w:rFonts w:hint="default" w:ascii="Times New Roman" w:hAnsi="Times New Roman" w:eastAsia="仿宋_GB2312" w:cs="Times New Roman"/>
          <w:color w:val="auto"/>
          <w:sz w:val="32"/>
          <w:szCs w:val="32"/>
          <w:highlight w:val="none"/>
          <w:lang w:eastAsia="zh-CN"/>
        </w:rPr>
        <w:t>业务</w:t>
      </w:r>
      <w:r>
        <w:rPr>
          <w:rFonts w:hint="default" w:ascii="Times New Roman" w:hAnsi="Times New Roman" w:eastAsia="仿宋_GB2312" w:cs="Times New Roman"/>
          <w:color w:val="auto"/>
          <w:sz w:val="32"/>
          <w:szCs w:val="32"/>
          <w:highlight w:val="none"/>
        </w:rPr>
        <w:t>。</w:t>
      </w:r>
    </w:p>
    <w:p w14:paraId="0AB29100">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人员）不得接受项目施工单位的结算编制等影响审计独立性的业务，一经发现，</w:t>
      </w:r>
      <w:r>
        <w:rPr>
          <w:rFonts w:hint="default" w:ascii="Times New Roman" w:hAnsi="Times New Roman" w:eastAsia="仿宋_GB2312" w:cs="Times New Roman"/>
          <w:color w:val="auto"/>
          <w:sz w:val="32"/>
          <w:szCs w:val="32"/>
          <w:highlight w:val="none"/>
          <w:lang w:eastAsia="zh-CN"/>
        </w:rPr>
        <w:t>终止</w:t>
      </w:r>
      <w:r>
        <w:rPr>
          <w:rFonts w:hint="default" w:ascii="Times New Roman" w:hAnsi="Times New Roman" w:eastAsia="仿宋_GB2312" w:cs="Times New Roman"/>
          <w:color w:val="auto"/>
          <w:sz w:val="32"/>
          <w:szCs w:val="32"/>
          <w:highlight w:val="none"/>
        </w:rPr>
        <w:t>项目造价咨询委托协议，并在处官网通报，同时抄送市审计局，市住建局，市财政局</w:t>
      </w:r>
      <w:r>
        <w:rPr>
          <w:rFonts w:hint="default" w:ascii="Times New Roman" w:hAnsi="Times New Roman" w:eastAsia="仿宋_GB2312" w:cs="Times New Roman"/>
          <w:color w:val="auto"/>
          <w:sz w:val="32"/>
          <w:szCs w:val="32"/>
          <w:highlight w:val="none"/>
          <w:lang w:eastAsia="zh-CN"/>
        </w:rPr>
        <w:t>，市公管局</w:t>
      </w:r>
      <w:r>
        <w:rPr>
          <w:rFonts w:hint="default" w:ascii="Times New Roman" w:hAnsi="Times New Roman" w:eastAsia="仿宋_GB2312" w:cs="Times New Roman"/>
          <w:color w:val="auto"/>
          <w:sz w:val="32"/>
          <w:szCs w:val="32"/>
          <w:highlight w:val="none"/>
        </w:rPr>
        <w:t>。</w:t>
      </w:r>
    </w:p>
    <w:p w14:paraId="0F7AD3D9">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造价企业有下列情形之一的，可扣减审计服务费用，终止审计委托协议，提请行政主管部门给予警告、通报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有限期或无限期禁止从事我处项目等处罚</w:t>
      </w:r>
      <w:r>
        <w:rPr>
          <w:rFonts w:hint="default" w:ascii="Times New Roman" w:hAnsi="Times New Roman" w:eastAsia="仿宋_GB2312" w:cs="Times New Roman"/>
          <w:color w:val="auto"/>
          <w:sz w:val="32"/>
          <w:szCs w:val="32"/>
          <w:highlight w:val="none"/>
          <w:lang w:eastAsia="zh-CN"/>
        </w:rPr>
        <w:t>，构成犯罪的，依法追究刑事责任</w:t>
      </w:r>
      <w:r>
        <w:rPr>
          <w:rFonts w:hint="default" w:ascii="Times New Roman" w:hAnsi="Times New Roman" w:eastAsia="仿宋_GB2312" w:cs="Times New Roman"/>
          <w:color w:val="auto"/>
          <w:sz w:val="32"/>
          <w:szCs w:val="32"/>
          <w:highlight w:val="none"/>
        </w:rPr>
        <w:t>：</w:t>
      </w:r>
    </w:p>
    <w:p w14:paraId="49EC186F">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工程结算审核报告存在重大失误或质量低劣；</w:t>
      </w:r>
    </w:p>
    <w:p w14:paraId="77067796">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因自身工作错误或过失造成重大损失；</w:t>
      </w:r>
    </w:p>
    <w:p w14:paraId="546189C7">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未经允许私自向施工单位透露审核情况或信息；</w:t>
      </w:r>
    </w:p>
    <w:p w14:paraId="6122DBEE">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向相关单位或个人索要财物等谋取不正当利益；</w:t>
      </w:r>
    </w:p>
    <w:p w14:paraId="64DD9C1D">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单独或与其他各方串通舞弊、弄虚作假；</w:t>
      </w:r>
    </w:p>
    <w:p w14:paraId="0FBFABA7">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其他违反法律法规和</w:t>
      </w:r>
      <w:r>
        <w:rPr>
          <w:rFonts w:hint="default"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的行为。</w:t>
      </w:r>
    </w:p>
    <w:p w14:paraId="67C07C3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二十八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造价企业存在转包、违法分包等行为的，</w:t>
      </w:r>
      <w:r>
        <w:rPr>
          <w:rFonts w:hint="default" w:ascii="Times New Roman" w:hAnsi="Times New Roman" w:eastAsia="仿宋_GB2312" w:cs="Times New Roman"/>
          <w:color w:val="auto"/>
          <w:sz w:val="32"/>
          <w:szCs w:val="32"/>
          <w:highlight w:val="none"/>
        </w:rPr>
        <w:t>无证人员执业、挂靠执业、执业人员不到岗等违反相关</w:t>
      </w:r>
      <w:r>
        <w:rPr>
          <w:rFonts w:hint="default" w:ascii="Times New Roman" w:hAnsi="Times New Roman" w:eastAsia="仿宋_GB2312" w:cs="Times New Roman"/>
          <w:color w:val="auto"/>
          <w:sz w:val="32"/>
          <w:szCs w:val="32"/>
          <w:highlight w:val="none"/>
          <w:lang w:eastAsia="zh-CN"/>
        </w:rPr>
        <w:t>法规的，将按相关法规进行处罚，终止</w:t>
      </w:r>
      <w:r>
        <w:rPr>
          <w:rFonts w:hint="default" w:ascii="Times New Roman" w:hAnsi="Times New Roman" w:eastAsia="仿宋_GB2312" w:cs="Times New Roman"/>
          <w:color w:val="auto"/>
          <w:sz w:val="32"/>
          <w:szCs w:val="32"/>
          <w:highlight w:val="none"/>
        </w:rPr>
        <w:t>委托业务。</w:t>
      </w:r>
    </w:p>
    <w:p w14:paraId="655D6ED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第八章 附则</w:t>
      </w:r>
    </w:p>
    <w:p w14:paraId="0ABC3C35">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第</w:t>
      </w:r>
      <w:r>
        <w:rPr>
          <w:rFonts w:hint="eastAsia" w:eastAsia="仿宋_GB2312" w:cs="Times New Roman"/>
          <w:b/>
          <w:bCs/>
          <w:color w:val="auto"/>
          <w:sz w:val="32"/>
          <w:szCs w:val="32"/>
          <w:highlight w:val="none"/>
          <w:lang w:val="en-US" w:eastAsia="zh-CN"/>
        </w:rPr>
        <w:t>二十九</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对</w:t>
      </w:r>
      <w:r>
        <w:rPr>
          <w:rFonts w:hint="default" w:ascii="Times New Roman" w:hAnsi="Times New Roman" w:eastAsia="仿宋_GB2312" w:cs="Times New Roman"/>
          <w:color w:val="auto"/>
          <w:sz w:val="32"/>
          <w:szCs w:val="32"/>
          <w:highlight w:val="none"/>
          <w:lang w:eastAsia="zh-CN"/>
        </w:rPr>
        <w:t>清单编制企业的处罚，由工程建设科牵头，召集设计、清单编制、施工、监理、跟踪审计、工程监管科、综合计划科，并提出处理意见，经项目分管领导批准后，工程建设科报主任办公会研究，工程监管科落实处罚。</w:t>
      </w:r>
    </w:p>
    <w:p w14:paraId="4DDC8025">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第三十条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考核由综合计划科负责</w:t>
      </w:r>
      <w:r>
        <w:rPr>
          <w:rFonts w:hint="default" w:ascii="Times New Roman" w:hAnsi="Times New Roman" w:eastAsia="仿宋_GB2312" w:cs="Times New Roman"/>
          <w:color w:val="auto"/>
          <w:sz w:val="32"/>
          <w:szCs w:val="32"/>
          <w:highlight w:val="none"/>
          <w:lang w:eastAsia="zh-CN"/>
        </w:rPr>
        <w:t>实施</w:t>
      </w:r>
      <w:r>
        <w:rPr>
          <w:rFonts w:hint="default" w:ascii="Times New Roman" w:hAnsi="Times New Roman" w:eastAsia="仿宋_GB2312" w:cs="Times New Roman"/>
          <w:color w:val="auto"/>
          <w:sz w:val="32"/>
          <w:szCs w:val="32"/>
          <w:highlight w:val="none"/>
        </w:rPr>
        <w:t>，工程建设相关科室配合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考核结果</w:t>
      </w:r>
      <w:r>
        <w:rPr>
          <w:rFonts w:hint="default" w:ascii="Times New Roman" w:hAnsi="Times New Roman" w:eastAsia="仿宋_GB2312" w:cs="Times New Roman"/>
          <w:b w:val="0"/>
          <w:bCs w:val="0"/>
          <w:color w:val="auto"/>
          <w:sz w:val="32"/>
          <w:szCs w:val="32"/>
          <w:highlight w:val="none"/>
          <w:lang w:eastAsia="zh-CN"/>
        </w:rPr>
        <w:t>经</w:t>
      </w:r>
      <w:r>
        <w:rPr>
          <w:rFonts w:hint="default" w:ascii="Times New Roman" w:hAnsi="Times New Roman" w:eastAsia="仿宋_GB2312" w:cs="Times New Roman"/>
          <w:b w:val="0"/>
          <w:bCs w:val="0"/>
          <w:color w:val="auto"/>
          <w:sz w:val="32"/>
          <w:szCs w:val="32"/>
          <w:highlight w:val="none"/>
        </w:rPr>
        <w:t>综合计划科分管领导</w:t>
      </w:r>
      <w:r>
        <w:rPr>
          <w:rFonts w:hint="default" w:ascii="Times New Roman" w:hAnsi="Times New Roman" w:eastAsia="仿宋_GB2312" w:cs="Times New Roman"/>
          <w:b w:val="0"/>
          <w:bCs w:val="0"/>
          <w:color w:val="auto"/>
          <w:sz w:val="32"/>
          <w:szCs w:val="32"/>
          <w:highlight w:val="none"/>
          <w:lang w:eastAsia="zh-CN"/>
        </w:rPr>
        <w:t>审核</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b w:val="0"/>
          <w:bCs w:val="0"/>
          <w:color w:val="auto"/>
          <w:sz w:val="32"/>
          <w:szCs w:val="32"/>
          <w:highlight w:val="none"/>
          <w:lang w:eastAsia="zh-CN"/>
        </w:rPr>
        <w:t>报</w:t>
      </w:r>
      <w:r>
        <w:rPr>
          <w:rFonts w:hint="default" w:ascii="Times New Roman" w:hAnsi="Times New Roman" w:eastAsia="仿宋_GB2312" w:cs="Times New Roman"/>
          <w:b w:val="0"/>
          <w:bCs w:val="0"/>
          <w:color w:val="auto"/>
          <w:sz w:val="32"/>
          <w:szCs w:val="32"/>
          <w:highlight w:val="none"/>
        </w:rPr>
        <w:t>主任办公会</w:t>
      </w:r>
      <w:r>
        <w:rPr>
          <w:rFonts w:hint="default" w:ascii="Times New Roman" w:hAnsi="Times New Roman" w:eastAsia="仿宋_GB2312" w:cs="Times New Roman"/>
          <w:b w:val="0"/>
          <w:bCs w:val="0"/>
          <w:color w:val="auto"/>
          <w:sz w:val="32"/>
          <w:szCs w:val="32"/>
          <w:highlight w:val="none"/>
          <w:lang w:eastAsia="zh-CN"/>
        </w:rPr>
        <w:t>研究，</w:t>
      </w:r>
      <w:r>
        <w:rPr>
          <w:rFonts w:hint="default" w:ascii="Times New Roman" w:hAnsi="Times New Roman" w:eastAsia="仿宋_GB2312" w:cs="Times New Roman"/>
          <w:color w:val="auto"/>
          <w:sz w:val="32"/>
          <w:szCs w:val="32"/>
          <w:highlight w:val="none"/>
          <w:lang w:eastAsia="zh-CN"/>
        </w:rPr>
        <w:t>工程监管科</w:t>
      </w:r>
      <w:r>
        <w:rPr>
          <w:rFonts w:hint="default" w:ascii="Times New Roman" w:hAnsi="Times New Roman" w:eastAsia="仿宋_GB2312" w:cs="Times New Roman"/>
          <w:b w:val="0"/>
          <w:bCs w:val="0"/>
          <w:color w:val="auto"/>
          <w:sz w:val="32"/>
          <w:szCs w:val="32"/>
          <w:highlight w:val="none"/>
          <w:lang w:eastAsia="zh-CN"/>
        </w:rPr>
        <w:t>落实</w:t>
      </w:r>
      <w:r>
        <w:rPr>
          <w:rFonts w:hint="default" w:ascii="Times New Roman" w:hAnsi="Times New Roman" w:eastAsia="仿宋_GB2312" w:cs="Times New Roman"/>
          <w:color w:val="auto"/>
          <w:sz w:val="32"/>
          <w:szCs w:val="32"/>
          <w:highlight w:val="none"/>
          <w:lang w:eastAsia="zh-CN"/>
        </w:rPr>
        <w:t>处罚</w:t>
      </w:r>
      <w:r>
        <w:rPr>
          <w:rFonts w:hint="default" w:ascii="Times New Roman" w:hAnsi="Times New Roman" w:eastAsia="仿宋_GB2312" w:cs="Times New Roman"/>
          <w:b w:val="0"/>
          <w:bCs w:val="0"/>
          <w:color w:val="auto"/>
          <w:sz w:val="32"/>
          <w:szCs w:val="32"/>
          <w:highlight w:val="none"/>
          <w:lang w:eastAsia="zh-CN"/>
        </w:rPr>
        <w:t>。</w:t>
      </w:r>
    </w:p>
    <w:p w14:paraId="1E3C456B">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暂停业务范围包括清单编制、跟踪审计和结算审核等，暂停时间自</w:t>
      </w:r>
      <w:r>
        <w:rPr>
          <w:rFonts w:hint="default" w:ascii="Times New Roman" w:hAnsi="Times New Roman" w:eastAsia="仿宋_GB2312" w:cs="Times New Roman"/>
          <w:b w:val="0"/>
          <w:bCs w:val="0"/>
          <w:color w:val="auto"/>
          <w:sz w:val="32"/>
          <w:szCs w:val="32"/>
          <w:highlight w:val="none"/>
          <w:lang w:val="en-US" w:eastAsia="zh-CN"/>
        </w:rPr>
        <w:t>主任办公会研究通过之日起计算。</w:t>
      </w:r>
    </w:p>
    <w:p w14:paraId="2A947C18">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本办法自</w:t>
      </w:r>
      <w:r>
        <w:rPr>
          <w:rFonts w:hint="default" w:ascii="Times New Roman" w:hAnsi="Times New Roman" w:eastAsia="仿宋_GB2312" w:cs="Times New Roman"/>
          <w:color w:val="auto"/>
          <w:sz w:val="32"/>
          <w:szCs w:val="32"/>
          <w:highlight w:val="none"/>
          <w:lang w:val="en-US" w:eastAsia="zh-CN"/>
        </w:rPr>
        <w:t>2022年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日</w:t>
      </w:r>
      <w:r>
        <w:rPr>
          <w:rFonts w:hint="default" w:ascii="Times New Roman" w:hAnsi="Times New Roman" w:eastAsia="仿宋_GB2312" w:cs="Times New Roman"/>
          <w:color w:val="auto"/>
          <w:sz w:val="32"/>
          <w:szCs w:val="32"/>
          <w:highlight w:val="none"/>
        </w:rPr>
        <w:t>起施行，处属各中心可参照执行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60AF424E">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cs="Times New Roman"/>
          <w:color w:val="auto"/>
          <w:sz w:val="32"/>
          <w:szCs w:val="32"/>
          <w:highlight w:val="none"/>
        </w:rPr>
      </w:pPr>
    </w:p>
    <w:p w14:paraId="2C957A05">
      <w:pPr>
        <w:keepNext w:val="0"/>
        <w:keepLines w:val="0"/>
        <w:pageBreakBefore w:val="0"/>
        <w:widowControl w:val="0"/>
        <w:kinsoku/>
        <w:wordWrap/>
        <w:overflowPunct/>
        <w:topLinePunct w:val="0"/>
        <w:autoSpaceDE/>
        <w:autoSpaceDN/>
        <w:bidi w:val="0"/>
        <w:adjustRightInd/>
        <w:snapToGrid/>
        <w:spacing w:line="400" w:lineRule="exact"/>
        <w:ind w:left="1700" w:leftChars="200" w:hanging="1280" w:hangingChars="4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w:t>
      </w:r>
    </w:p>
    <w:p w14:paraId="32F88BDE">
      <w:pPr>
        <w:keepNext w:val="0"/>
        <w:keepLines w:val="0"/>
        <w:pageBreakBefore w:val="0"/>
        <w:widowControl w:val="0"/>
        <w:kinsoku/>
        <w:wordWrap/>
        <w:overflowPunct/>
        <w:topLinePunct w:val="0"/>
        <w:autoSpaceDE/>
        <w:autoSpaceDN/>
        <w:bidi w:val="0"/>
        <w:adjustRightInd/>
        <w:snapToGrid/>
        <w:spacing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eastAsia="zh-CN"/>
        </w:rPr>
        <w:t>跟踪</w:t>
      </w:r>
      <w:r>
        <w:rPr>
          <w:rStyle w:val="155"/>
          <w:rFonts w:hint="default" w:ascii="Times New Roman" w:hAnsi="Times New Roman" w:eastAsia="仿宋_GB2312" w:cs="Times New Roman"/>
          <w:b w:val="0"/>
          <w:color w:val="auto"/>
          <w:sz w:val="32"/>
          <w:szCs w:val="32"/>
          <w:highlight w:val="none"/>
          <w:lang w:bidi="ar"/>
        </w:rPr>
        <w:t>审计服务质量日常考核表</w:t>
      </w:r>
      <w:r>
        <w:rPr>
          <w:rFonts w:hint="default" w:ascii="Times New Roman" w:hAnsi="Times New Roman" w:eastAsia="仿宋_GB2312" w:cs="Times New Roman"/>
          <w:color w:val="auto"/>
          <w:sz w:val="32"/>
          <w:szCs w:val="32"/>
          <w:highlight w:val="none"/>
        </w:rPr>
        <w:t>》</w:t>
      </w:r>
    </w:p>
    <w:tbl>
      <w:tblPr>
        <w:tblStyle w:val="46"/>
        <w:tblpPr w:leftFromText="180" w:rightFromText="180" w:vertAnchor="text" w:horzAnchor="page" w:tblpXSpec="center" w:tblpY="1462"/>
        <w:tblOverlap w:val="never"/>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61D5DA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54" w:type="dxa"/>
            <w:tcBorders>
              <w:top w:val="single" w:color="auto" w:sz="12" w:space="0"/>
              <w:bottom w:val="single" w:color="auto" w:sz="4" w:space="0"/>
              <w:tl2br w:val="nil"/>
              <w:tr2bl w:val="nil"/>
            </w:tcBorders>
            <w:noWrap w:val="0"/>
            <w:vAlign w:val="top"/>
          </w:tcPr>
          <w:p w14:paraId="7C672631">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color w:val="auto"/>
                <w:kern w:val="0"/>
                <w:sz w:val="32"/>
                <w:szCs w:val="32"/>
                <w:highlight w:val="none"/>
              </w:rPr>
              <w:t>抄送：市审计局，市住建局，市财政局，市公管局</w:t>
            </w:r>
          </w:p>
        </w:tc>
      </w:tr>
      <w:tr w14:paraId="68E654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54" w:type="dxa"/>
            <w:tcBorders>
              <w:top w:val="single" w:color="auto" w:sz="4" w:space="0"/>
              <w:bottom w:val="single" w:color="auto" w:sz="12" w:space="0"/>
              <w:tl2br w:val="nil"/>
              <w:tr2bl w:val="nil"/>
            </w:tcBorders>
            <w:noWrap w:val="0"/>
            <w:vAlign w:val="top"/>
          </w:tcPr>
          <w:p w14:paraId="5838EF69">
            <w:pPr>
              <w:pStyle w:val="2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b w:val="0"/>
                <w:bCs w:val="0"/>
                <w:color w:val="auto"/>
                <w:sz w:val="32"/>
                <w:szCs w:val="32"/>
                <w:highlight w:val="none"/>
                <w:lang w:val="en-US" w:eastAsia="zh-CN"/>
              </w:rPr>
              <w:t>滁州市重点工程建设管理处办公室        2022年9月5日印发</w:t>
            </w:r>
          </w:p>
        </w:tc>
      </w:tr>
    </w:tbl>
    <w:p w14:paraId="61EE92E7">
      <w:pPr>
        <w:pStyle w:val="44"/>
        <w:keepNext w:val="0"/>
        <w:keepLines w:val="0"/>
        <w:pageBreakBefore w:val="0"/>
        <w:widowControl w:val="0"/>
        <w:kinsoku/>
        <w:wordWrap/>
        <w:overflowPunct/>
        <w:topLinePunct w:val="0"/>
        <w:autoSpaceDE/>
        <w:autoSpaceDN/>
        <w:bidi w:val="0"/>
        <w:adjustRightInd/>
        <w:snapToGrid/>
        <w:spacing w:after="0"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《滁州市重点工程建设管理处结算审</w:t>
      </w:r>
      <w:r>
        <w:rPr>
          <w:rFonts w:hint="default" w:ascii="Times New Roman" w:hAnsi="Times New Roman" w:eastAsia="仿宋_GB2312" w:cs="Times New Roman"/>
          <w:color w:val="auto"/>
          <w:sz w:val="32"/>
          <w:szCs w:val="32"/>
          <w:highlight w:val="none"/>
          <w:lang w:eastAsia="zh-CN"/>
        </w:rPr>
        <w:t>（复）</w:t>
      </w:r>
      <w:r>
        <w:rPr>
          <w:rFonts w:hint="default" w:ascii="Times New Roman" w:hAnsi="Times New Roman" w:eastAsia="仿宋_GB2312" w:cs="Times New Roman"/>
          <w:color w:val="auto"/>
          <w:sz w:val="32"/>
          <w:szCs w:val="32"/>
          <w:highlight w:val="none"/>
        </w:rPr>
        <w:t>核</w:t>
      </w:r>
      <w:r>
        <w:rPr>
          <w:rFonts w:hint="default" w:ascii="Times New Roman" w:hAnsi="Times New Roman" w:eastAsia="仿宋_GB2312" w:cs="Times New Roman"/>
          <w:color w:val="auto"/>
          <w:sz w:val="32"/>
          <w:szCs w:val="32"/>
          <w:highlight w:val="none"/>
          <w:lang w:eastAsia="zh-CN"/>
        </w:rPr>
        <w:t>成果质量</w:t>
      </w:r>
      <w:r>
        <w:rPr>
          <w:rFonts w:hint="default" w:ascii="Times New Roman" w:hAnsi="Times New Roman" w:eastAsia="仿宋_GB2312" w:cs="Times New Roman"/>
          <w:color w:val="auto"/>
          <w:sz w:val="32"/>
          <w:szCs w:val="32"/>
          <w:highlight w:val="none"/>
        </w:rPr>
        <w:t>考核表》</w:t>
      </w:r>
    </w:p>
    <w:p w14:paraId="6DD092C6">
      <w:pPr>
        <w:pStyle w:val="2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color w:val="auto"/>
          <w:sz w:val="32"/>
          <w:szCs w:val="32"/>
          <w:highlight w:val="none"/>
          <w:lang w:val="en-US" w:eastAsia="zh-CN"/>
        </w:rPr>
        <w:sectPr>
          <w:footerReference r:id="rId7"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cols w:space="0" w:num="1"/>
          <w:rtlGutter w:val="0"/>
          <w:docGrid w:type="lines" w:linePitch="318" w:charSpace="0"/>
        </w:sectPr>
      </w:pPr>
    </w:p>
    <w:p w14:paraId="777E6047">
      <w:pPr>
        <w:pStyle w:val="44"/>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tbl>
      <w:tblPr>
        <w:tblStyle w:val="45"/>
        <w:tblpPr w:leftFromText="180" w:rightFromText="180" w:vertAnchor="text" w:horzAnchor="page" w:tblpX="795" w:tblpY="744"/>
        <w:tblOverlap w:val="never"/>
        <w:tblW w:w="10412" w:type="dxa"/>
        <w:jc w:val="center"/>
        <w:tblLayout w:type="fixed"/>
        <w:tblCellMar>
          <w:top w:w="0" w:type="dxa"/>
          <w:left w:w="0" w:type="dxa"/>
          <w:bottom w:w="0" w:type="dxa"/>
          <w:right w:w="0" w:type="dxa"/>
        </w:tblCellMar>
      </w:tblPr>
      <w:tblGrid>
        <w:gridCol w:w="640"/>
        <w:gridCol w:w="689"/>
        <w:gridCol w:w="2928"/>
        <w:gridCol w:w="566"/>
        <w:gridCol w:w="702"/>
        <w:gridCol w:w="1030"/>
        <w:gridCol w:w="3857"/>
      </w:tblGrid>
      <w:tr w14:paraId="681CBC87">
        <w:tblPrEx>
          <w:tblCellMar>
            <w:top w:w="0" w:type="dxa"/>
            <w:left w:w="0" w:type="dxa"/>
            <w:bottom w:w="0" w:type="dxa"/>
            <w:right w:w="0" w:type="dxa"/>
          </w:tblCellMar>
        </w:tblPrEx>
        <w:trPr>
          <w:trHeight w:val="435" w:hRule="atLeast"/>
          <w:jc w:val="center"/>
        </w:trPr>
        <w:tc>
          <w:tcPr>
            <w:tcW w:w="10412" w:type="dxa"/>
            <w:gridSpan w:val="7"/>
            <w:tcBorders>
              <w:top w:val="nil"/>
              <w:left w:val="nil"/>
              <w:bottom w:val="single" w:color="000000" w:sz="4" w:space="0"/>
              <w:right w:val="nil"/>
            </w:tcBorders>
            <w:noWrap w:val="0"/>
            <w:tcMar>
              <w:top w:w="15" w:type="dxa"/>
              <w:left w:w="15" w:type="dxa"/>
              <w:right w:w="15" w:type="dxa"/>
            </w:tcMar>
            <w:vAlign w:val="center"/>
          </w:tcPr>
          <w:p w14:paraId="2ACCBD75">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Style w:val="149"/>
                <w:rFonts w:hint="eastAsia" w:ascii="宋体" w:hAnsi="宋体" w:eastAsia="宋体" w:cs="宋体"/>
                <w:b w:val="0"/>
                <w:color w:val="auto"/>
                <w:highlight w:val="none"/>
                <w:lang w:bidi="ar"/>
              </w:rPr>
              <w:t>项目工程量清单</w:t>
            </w:r>
            <w:r>
              <w:rPr>
                <w:rStyle w:val="149"/>
                <w:rFonts w:hint="eastAsia" w:ascii="宋体" w:hAnsi="宋体" w:eastAsia="宋体" w:cs="宋体"/>
                <w:b w:val="0"/>
                <w:color w:val="auto"/>
                <w:highlight w:val="none"/>
                <w:lang w:eastAsia="zh-CN" w:bidi="ar"/>
              </w:rPr>
              <w:t>及</w:t>
            </w:r>
            <w:r>
              <w:rPr>
                <w:rStyle w:val="149"/>
                <w:rFonts w:hint="eastAsia" w:ascii="宋体" w:hAnsi="宋体" w:eastAsia="宋体" w:cs="宋体"/>
                <w:b w:val="0"/>
                <w:color w:val="auto"/>
                <w:highlight w:val="none"/>
                <w:lang w:bidi="ar"/>
              </w:rPr>
              <w:t xml:space="preserve">最高投标限价编制质量考核表 </w:t>
            </w:r>
          </w:p>
        </w:tc>
      </w:tr>
      <w:tr w14:paraId="44391DF3">
        <w:tblPrEx>
          <w:tblCellMar>
            <w:top w:w="0" w:type="dxa"/>
            <w:left w:w="0" w:type="dxa"/>
            <w:bottom w:w="0" w:type="dxa"/>
            <w:right w:w="0" w:type="dxa"/>
          </w:tblCellMar>
        </w:tblPrEx>
        <w:trPr>
          <w:trHeight w:val="503"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15BE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kern w:val="0"/>
                <w:sz w:val="22"/>
                <w:szCs w:val="22"/>
                <w:highlight w:val="none"/>
                <w:lang w:eastAsia="zh-CN" w:bidi="ar"/>
              </w:rPr>
              <w:t>序号</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13EC2">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91050">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47E0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08D9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3C774">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172B0">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66430B05">
        <w:tblPrEx>
          <w:tblCellMar>
            <w:top w:w="0" w:type="dxa"/>
            <w:left w:w="0" w:type="dxa"/>
            <w:bottom w:w="0" w:type="dxa"/>
            <w:right w:w="0" w:type="dxa"/>
          </w:tblCellMar>
        </w:tblPrEx>
        <w:trPr>
          <w:trHeight w:val="90" w:hRule="atLeast"/>
          <w:jc w:val="center"/>
        </w:trPr>
        <w:tc>
          <w:tcPr>
            <w:tcW w:w="6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24D9DC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一</w:t>
            </w:r>
          </w:p>
        </w:tc>
        <w:tc>
          <w:tcPr>
            <w:tcW w:w="68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393DAC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基本考核分</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7CAD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人员能力是否具备胜任本项目需要</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6AFDF">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CC66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4BAC4">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288AA">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需在项目开始编制前向综合计划科报送编制审核组成员任命文件：</w:t>
            </w:r>
            <w:r>
              <w:rPr>
                <w:rFonts w:hint="eastAsia" w:ascii="宋体" w:hAnsi="宋体" w:eastAsia="宋体" w:cs="宋体"/>
                <w:color w:val="auto"/>
                <w:kern w:val="0"/>
                <w:sz w:val="24"/>
                <w:szCs w:val="24"/>
                <w:highlight w:val="none"/>
                <w:lang w:val="en-US" w:eastAsia="zh-CN" w:bidi="ar"/>
              </w:rPr>
              <w:t>5分</w:t>
            </w:r>
          </w:p>
          <w:p w14:paraId="0E5634A6">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编制</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复核人员资格：5分                                      </w:t>
            </w:r>
          </w:p>
          <w:p w14:paraId="28A6FD10">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会审汇报人员资格 ：</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 xml:space="preserve">分                  </w:t>
            </w:r>
          </w:p>
        </w:tc>
      </w:tr>
      <w:tr w14:paraId="6ACC7F94">
        <w:tblPrEx>
          <w:tblCellMar>
            <w:top w:w="0" w:type="dxa"/>
            <w:left w:w="0" w:type="dxa"/>
            <w:bottom w:w="0" w:type="dxa"/>
            <w:right w:w="0" w:type="dxa"/>
          </w:tblCellMar>
        </w:tblPrEx>
        <w:trPr>
          <w:trHeight w:val="541"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1093071F">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79A61B04">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8FDF1">
            <w:pPr>
              <w:widowControl/>
              <w:numPr>
                <w:ilvl w:val="0"/>
                <w:numId w:val="0"/>
              </w:numPr>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现场踏勘</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56976">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4B645">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71B2D">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62A79B">
            <w:pPr>
              <w:widowControl/>
              <w:jc w:val="left"/>
              <w:textAlignment w:val="center"/>
              <w:rPr>
                <w:rFonts w:hint="eastAsia" w:ascii="宋体" w:hAnsi="宋体" w:eastAsia="宋体" w:cs="宋体"/>
                <w:color w:val="auto"/>
                <w:sz w:val="24"/>
                <w:szCs w:val="24"/>
                <w:highlight w:val="none"/>
                <w:lang w:val="en-US" w:eastAsia="zh-CN"/>
              </w:rPr>
            </w:pPr>
          </w:p>
        </w:tc>
      </w:tr>
      <w:tr w14:paraId="71E84BD2">
        <w:tblPrEx>
          <w:tblCellMar>
            <w:top w:w="0" w:type="dxa"/>
            <w:left w:w="0" w:type="dxa"/>
            <w:bottom w:w="0" w:type="dxa"/>
            <w:right w:w="0" w:type="dxa"/>
          </w:tblCellMar>
        </w:tblPrEx>
        <w:trPr>
          <w:trHeight w:val="171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1AE10F43">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30B4BB49">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535C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3.是否按时完成清单编制</w:t>
            </w:r>
            <w:r>
              <w:rPr>
                <w:rFonts w:hint="eastAsia" w:ascii="宋体" w:hAnsi="宋体" w:eastAsia="宋体" w:cs="宋体"/>
                <w:color w:val="auto"/>
                <w:kern w:val="0"/>
                <w:sz w:val="24"/>
                <w:szCs w:val="24"/>
                <w:highlight w:val="none"/>
                <w:lang w:bidi="ar"/>
              </w:rPr>
              <w:t>清单</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ECB75">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18B2B">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75735">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BB2E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原则上</w:t>
            </w:r>
            <w:r>
              <w:rPr>
                <w:rStyle w:val="151"/>
                <w:rFonts w:hint="eastAsia" w:ascii="宋体" w:hAnsi="宋体" w:eastAsia="宋体" w:cs="宋体"/>
                <w:color w:val="auto"/>
                <w:sz w:val="24"/>
                <w:szCs w:val="24"/>
                <w:highlight w:val="none"/>
                <w:lang w:bidi="ar"/>
              </w:rPr>
              <w:t>500</w:t>
            </w:r>
            <w:r>
              <w:rPr>
                <w:rStyle w:val="152"/>
                <w:rFonts w:hint="eastAsia" w:ascii="宋体" w:hAnsi="宋体" w:eastAsia="宋体" w:cs="宋体"/>
                <w:color w:val="auto"/>
                <w:sz w:val="24"/>
                <w:szCs w:val="24"/>
                <w:highlight w:val="none"/>
                <w:lang w:bidi="ar"/>
              </w:rPr>
              <w:t>万元以下项目编制时间为</w:t>
            </w:r>
            <w:r>
              <w:rPr>
                <w:rStyle w:val="151"/>
                <w:rFonts w:hint="eastAsia" w:ascii="宋体" w:hAnsi="宋体" w:eastAsia="宋体" w:cs="宋体"/>
                <w:color w:val="auto"/>
                <w:sz w:val="24"/>
                <w:szCs w:val="24"/>
                <w:highlight w:val="none"/>
                <w:lang w:bidi="ar"/>
              </w:rPr>
              <w:t>7</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500-1000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15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20</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亿元项目</w:t>
            </w:r>
            <w:r>
              <w:rPr>
                <w:rStyle w:val="151"/>
                <w:rFonts w:hint="eastAsia" w:ascii="宋体" w:hAnsi="宋体" w:eastAsia="宋体" w:cs="宋体"/>
                <w:color w:val="auto"/>
                <w:sz w:val="24"/>
                <w:szCs w:val="24"/>
                <w:highlight w:val="none"/>
                <w:lang w:bidi="ar"/>
              </w:rPr>
              <w:t>25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亿元以上项目不低于</w:t>
            </w:r>
            <w:r>
              <w:rPr>
                <w:rStyle w:val="151"/>
                <w:rFonts w:hint="eastAsia" w:ascii="宋体" w:hAnsi="宋体" w:eastAsia="宋体" w:cs="宋体"/>
                <w:color w:val="auto"/>
                <w:sz w:val="24"/>
                <w:szCs w:val="24"/>
                <w:highlight w:val="none"/>
                <w:lang w:bidi="ar"/>
              </w:rPr>
              <w:t>30</w:t>
            </w:r>
            <w:r>
              <w:rPr>
                <w:rStyle w:val="152"/>
                <w:rFonts w:hint="eastAsia" w:ascii="宋体" w:hAnsi="宋体" w:eastAsia="宋体" w:cs="宋体"/>
                <w:color w:val="auto"/>
                <w:sz w:val="24"/>
                <w:szCs w:val="24"/>
                <w:highlight w:val="none"/>
                <w:lang w:bidi="ar"/>
              </w:rPr>
              <w:t>天，特殊项目经处领导同意可以适当缩短或延长编制时间</w:t>
            </w:r>
            <w:r>
              <w:rPr>
                <w:rStyle w:val="152"/>
                <w:rFonts w:hint="eastAsia" w:ascii="宋体" w:hAnsi="宋体" w:eastAsia="宋体" w:cs="宋体"/>
                <w:color w:val="auto"/>
                <w:sz w:val="24"/>
                <w:szCs w:val="24"/>
                <w:highlight w:val="none"/>
                <w:lang w:eastAsia="zh-CN" w:bidi="ar"/>
              </w:rPr>
              <w:t>。每延误</w:t>
            </w:r>
            <w:r>
              <w:rPr>
                <w:rStyle w:val="152"/>
                <w:rFonts w:hint="eastAsia" w:ascii="宋体" w:hAnsi="宋体" w:eastAsia="宋体" w:cs="宋体"/>
                <w:color w:val="auto"/>
                <w:sz w:val="24"/>
                <w:szCs w:val="24"/>
                <w:highlight w:val="none"/>
                <w:lang w:val="en-US" w:eastAsia="zh-CN" w:bidi="ar"/>
              </w:rPr>
              <w:t>1</w:t>
            </w:r>
            <w:r>
              <w:rPr>
                <w:rStyle w:val="152"/>
                <w:rFonts w:hint="eastAsia" w:ascii="宋体" w:hAnsi="宋体" w:eastAsia="宋体" w:cs="宋体"/>
                <w:color w:val="auto"/>
                <w:sz w:val="24"/>
                <w:szCs w:val="24"/>
                <w:highlight w:val="none"/>
                <w:lang w:eastAsia="zh-CN" w:bidi="ar"/>
              </w:rPr>
              <w:t>天扣</w:t>
            </w:r>
            <w:r>
              <w:rPr>
                <w:rStyle w:val="152"/>
                <w:rFonts w:hint="eastAsia" w:ascii="宋体" w:hAnsi="宋体" w:eastAsia="宋体" w:cs="宋体"/>
                <w:color w:val="auto"/>
                <w:sz w:val="24"/>
                <w:szCs w:val="24"/>
                <w:highlight w:val="none"/>
                <w:lang w:val="en-US" w:eastAsia="zh-CN" w:bidi="ar"/>
              </w:rPr>
              <w:t>1分，扣完为止。</w:t>
            </w:r>
          </w:p>
        </w:tc>
      </w:tr>
      <w:tr w14:paraId="51F6AAFA">
        <w:tblPrEx>
          <w:tblCellMar>
            <w:top w:w="0" w:type="dxa"/>
            <w:left w:w="0" w:type="dxa"/>
            <w:bottom w:w="0" w:type="dxa"/>
            <w:right w:w="0" w:type="dxa"/>
          </w:tblCellMar>
        </w:tblPrEx>
        <w:trPr>
          <w:trHeight w:val="48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5C5976F3">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45665FCB">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7F0DF">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会审发现错漏情况</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815B9">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A53B9">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D491F">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0C9C1">
            <w:pPr>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本项基本分</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分，出现</w:t>
            </w:r>
            <w:r>
              <w:rPr>
                <w:rFonts w:hint="eastAsia" w:ascii="宋体" w:hAnsi="宋体" w:eastAsia="宋体" w:cs="宋体"/>
                <w:color w:val="auto"/>
                <w:kern w:val="0"/>
                <w:sz w:val="24"/>
                <w:szCs w:val="24"/>
                <w:highlight w:val="none"/>
                <w:lang w:eastAsia="zh-CN" w:bidi="ar"/>
              </w:rPr>
              <w:t>单项</w:t>
            </w:r>
            <w:r>
              <w:rPr>
                <w:rFonts w:hint="eastAsia" w:ascii="宋体" w:hAnsi="宋体" w:eastAsia="宋体" w:cs="宋体"/>
                <w:color w:val="auto"/>
                <w:kern w:val="0"/>
                <w:sz w:val="24"/>
                <w:szCs w:val="24"/>
                <w:highlight w:val="none"/>
                <w:lang w:bidi="ar"/>
              </w:rPr>
              <w:t>工程量计算误差超过15%每项扣1分，清单描述错误或未描述或描述不清楚或组价错误每项扣2分，取费错误每项扣5分，扣完为止</w:t>
            </w:r>
          </w:p>
        </w:tc>
      </w:tr>
      <w:tr w14:paraId="309F01E5">
        <w:tblPrEx>
          <w:tblCellMar>
            <w:top w:w="0" w:type="dxa"/>
            <w:left w:w="0" w:type="dxa"/>
            <w:bottom w:w="0" w:type="dxa"/>
            <w:right w:w="0" w:type="dxa"/>
          </w:tblCellMar>
        </w:tblPrEx>
        <w:trPr>
          <w:trHeight w:val="93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178380BC">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5E8AF4BE">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516E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成果文件修改定稿时间满足会议要求</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8526C">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A33EC">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4B524">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07A4D">
            <w:pPr>
              <w:jc w:val="left"/>
              <w:rPr>
                <w:rFonts w:hint="eastAsia" w:ascii="宋体" w:hAnsi="宋体" w:eastAsia="宋体" w:cs="宋体"/>
                <w:color w:val="auto"/>
                <w:sz w:val="24"/>
                <w:szCs w:val="24"/>
                <w:highlight w:val="none"/>
              </w:rPr>
            </w:pPr>
          </w:p>
        </w:tc>
      </w:tr>
      <w:tr w14:paraId="6DB27192">
        <w:tblPrEx>
          <w:tblCellMar>
            <w:top w:w="0" w:type="dxa"/>
            <w:left w:w="0" w:type="dxa"/>
            <w:bottom w:w="0" w:type="dxa"/>
            <w:right w:w="0" w:type="dxa"/>
          </w:tblCellMar>
        </w:tblPrEx>
        <w:trPr>
          <w:trHeight w:val="87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4EFD5C08">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7F8537A7">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C02E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eastAsia="zh-CN" w:bidi="ar"/>
              </w:rPr>
              <w:t>备忘录（</w:t>
            </w:r>
            <w:r>
              <w:rPr>
                <w:rFonts w:hint="eastAsia" w:ascii="宋体" w:hAnsi="宋体" w:eastAsia="宋体" w:cs="宋体"/>
                <w:color w:val="auto"/>
                <w:kern w:val="0"/>
                <w:sz w:val="24"/>
                <w:szCs w:val="24"/>
                <w:highlight w:val="none"/>
                <w:lang w:bidi="ar"/>
              </w:rPr>
              <w:t>编制说明</w:t>
            </w:r>
            <w:r>
              <w:rPr>
                <w:rFonts w:hint="eastAsia" w:ascii="宋体" w:hAnsi="宋体" w:eastAsia="宋体" w:cs="宋体"/>
                <w:color w:val="auto"/>
                <w:kern w:val="0"/>
                <w:sz w:val="24"/>
                <w:szCs w:val="24"/>
                <w:highlight w:val="none"/>
                <w:lang w:eastAsia="zh-CN" w:bidi="ar"/>
              </w:rPr>
              <w:t>）</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10E4D">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A71A5">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B976F">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E0EDB">
            <w:pPr>
              <w:jc w:val="left"/>
              <w:rPr>
                <w:rFonts w:hint="eastAsia" w:ascii="宋体" w:hAnsi="宋体" w:eastAsia="宋体" w:cs="宋体"/>
                <w:color w:val="auto"/>
                <w:sz w:val="24"/>
                <w:szCs w:val="24"/>
                <w:highlight w:val="none"/>
              </w:rPr>
            </w:pPr>
          </w:p>
        </w:tc>
      </w:tr>
      <w:tr w14:paraId="5775DAA0">
        <w:tblPrEx>
          <w:tblCellMar>
            <w:top w:w="0" w:type="dxa"/>
            <w:left w:w="0" w:type="dxa"/>
            <w:bottom w:w="0" w:type="dxa"/>
            <w:right w:w="0" w:type="dxa"/>
          </w:tblCellMar>
        </w:tblPrEx>
        <w:trPr>
          <w:trHeight w:val="90" w:hRule="atLeast"/>
          <w:jc w:val="center"/>
        </w:trPr>
        <w:tc>
          <w:tcPr>
            <w:tcW w:w="64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54F66D9B">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1336D4F2">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C67EA44">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7.业主综合评价</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A1261">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55E1B">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4FF4E">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3E003">
            <w:pPr>
              <w:jc w:val="left"/>
              <w:rPr>
                <w:rFonts w:hint="eastAsia" w:ascii="宋体" w:hAnsi="宋体" w:eastAsia="宋体" w:cs="宋体"/>
                <w:color w:val="auto"/>
                <w:sz w:val="24"/>
                <w:szCs w:val="24"/>
                <w:highlight w:val="none"/>
              </w:rPr>
            </w:pPr>
          </w:p>
        </w:tc>
      </w:tr>
      <w:tr w14:paraId="7415EC50">
        <w:tblPrEx>
          <w:tblCellMar>
            <w:top w:w="0" w:type="dxa"/>
            <w:left w:w="0" w:type="dxa"/>
            <w:bottom w:w="0" w:type="dxa"/>
            <w:right w:w="0" w:type="dxa"/>
          </w:tblCellMar>
        </w:tblPrEx>
        <w:trPr>
          <w:trHeight w:val="1400"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F372A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68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7A893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扣分项</w:t>
            </w:r>
          </w:p>
        </w:tc>
        <w:tc>
          <w:tcPr>
            <w:tcW w:w="29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04EDC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存在转包、违法分包嫌疑</w:t>
            </w:r>
          </w:p>
        </w:tc>
        <w:tc>
          <w:tcPr>
            <w:tcW w:w="56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2ED75E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EC1DC">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6A397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8ECC7">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编制人员与投标</w:t>
            </w:r>
            <w:r>
              <w:rPr>
                <w:rFonts w:hint="eastAsia" w:ascii="宋体" w:hAnsi="宋体" w:eastAsia="宋体" w:cs="宋体"/>
                <w:color w:val="auto"/>
                <w:kern w:val="0"/>
                <w:sz w:val="24"/>
                <w:szCs w:val="24"/>
                <w:highlight w:val="none"/>
                <w:lang w:eastAsia="zh-CN" w:bidi="ar"/>
              </w:rPr>
              <w:t>时</w:t>
            </w:r>
            <w:r>
              <w:rPr>
                <w:rFonts w:hint="eastAsia" w:ascii="宋体" w:hAnsi="宋体" w:eastAsia="宋体" w:cs="宋体"/>
                <w:color w:val="auto"/>
                <w:kern w:val="0"/>
                <w:sz w:val="24"/>
                <w:szCs w:val="24"/>
                <w:highlight w:val="none"/>
                <w:lang w:bidi="ar"/>
              </w:rPr>
              <w:t>人员一致；成果文件签章人员与实际编制人员一致；人员变更报送批准，且变更人员符合项目招标时人员配备要求，不符合要求</w:t>
            </w:r>
            <w:r>
              <w:rPr>
                <w:rFonts w:hint="eastAsia" w:ascii="宋体" w:hAnsi="宋体" w:eastAsia="宋体" w:cs="宋体"/>
                <w:color w:val="auto"/>
                <w:kern w:val="0"/>
                <w:sz w:val="24"/>
                <w:szCs w:val="24"/>
                <w:highlight w:val="none"/>
                <w:lang w:eastAsia="zh-CN" w:bidi="ar"/>
              </w:rPr>
              <w:t>的每项</w:t>
            </w:r>
            <w:r>
              <w:rPr>
                <w:rFonts w:hint="eastAsia" w:ascii="宋体" w:hAnsi="宋体" w:eastAsia="宋体" w:cs="宋体"/>
                <w:color w:val="auto"/>
                <w:kern w:val="0"/>
                <w:sz w:val="24"/>
                <w:szCs w:val="24"/>
                <w:highlight w:val="none"/>
                <w:lang w:bidi="ar"/>
              </w:rPr>
              <w:t>扣10分</w:t>
            </w:r>
          </w:p>
        </w:tc>
      </w:tr>
      <w:tr w14:paraId="4C5FDEF2">
        <w:tblPrEx>
          <w:tblCellMar>
            <w:top w:w="0" w:type="dxa"/>
            <w:left w:w="0" w:type="dxa"/>
            <w:bottom w:w="0" w:type="dxa"/>
            <w:right w:w="0" w:type="dxa"/>
          </w:tblCellMar>
        </w:tblPrEx>
        <w:trPr>
          <w:trHeight w:val="1061" w:hRule="atLeast"/>
          <w:jc w:val="center"/>
        </w:trPr>
        <w:tc>
          <w:tcPr>
            <w:tcW w:w="640" w:type="dxa"/>
            <w:vMerge w:val="continue"/>
            <w:tcBorders>
              <w:top w:val="single" w:color="auto" w:sz="4" w:space="0"/>
              <w:left w:val="single" w:color="auto" w:sz="4" w:space="0"/>
              <w:right w:val="single" w:color="000000" w:sz="4" w:space="0"/>
            </w:tcBorders>
            <w:noWrap w:val="0"/>
            <w:tcMar>
              <w:top w:w="15" w:type="dxa"/>
              <w:left w:w="15" w:type="dxa"/>
              <w:right w:w="15" w:type="dxa"/>
            </w:tcMar>
            <w:vAlign w:val="center"/>
          </w:tcPr>
          <w:p w14:paraId="52A9D0E5">
            <w:pPr>
              <w:jc w:val="center"/>
              <w:rPr>
                <w:rFonts w:hint="eastAsia" w:ascii="宋体" w:hAnsi="宋体" w:eastAsia="宋体" w:cs="宋体"/>
                <w:color w:val="auto"/>
                <w:sz w:val="24"/>
                <w:szCs w:val="24"/>
                <w:highlight w:val="none"/>
              </w:rPr>
            </w:pPr>
          </w:p>
        </w:tc>
        <w:tc>
          <w:tcPr>
            <w:tcW w:w="689" w:type="dxa"/>
            <w:vMerge w:val="continue"/>
            <w:tcBorders>
              <w:top w:val="single" w:color="auto" w:sz="4" w:space="0"/>
              <w:left w:val="single" w:color="000000" w:sz="4" w:space="0"/>
              <w:right w:val="single" w:color="000000" w:sz="4" w:space="0"/>
            </w:tcBorders>
            <w:noWrap w:val="0"/>
            <w:tcMar>
              <w:top w:w="15" w:type="dxa"/>
              <w:left w:w="15" w:type="dxa"/>
              <w:right w:w="15" w:type="dxa"/>
            </w:tcMar>
            <w:vAlign w:val="center"/>
          </w:tcPr>
          <w:p w14:paraId="0D2717B6">
            <w:pPr>
              <w:jc w:val="center"/>
              <w:rPr>
                <w:rFonts w:hint="eastAsia" w:ascii="宋体" w:hAnsi="宋体" w:eastAsia="宋体" w:cs="宋体"/>
                <w:color w:val="auto"/>
                <w:sz w:val="24"/>
                <w:szCs w:val="24"/>
                <w:highlight w:val="none"/>
              </w:rPr>
            </w:pPr>
          </w:p>
        </w:tc>
        <w:tc>
          <w:tcPr>
            <w:tcW w:w="292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6519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bidi="ar"/>
              </w:rPr>
              <w:t>施工过程中发现清单错漏单项</w:t>
            </w:r>
            <w:r>
              <w:rPr>
                <w:rFonts w:hint="eastAsia" w:ascii="宋体" w:hAnsi="宋体" w:eastAsia="宋体" w:cs="宋体"/>
                <w:color w:val="auto"/>
                <w:kern w:val="0"/>
                <w:sz w:val="24"/>
                <w:szCs w:val="24"/>
                <w:highlight w:val="none"/>
                <w:lang w:val="en-US" w:eastAsia="zh-CN" w:bidi="ar"/>
              </w:rPr>
              <w:t>5万元（含）-30万元（不含）的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F7EE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78B7D">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A1D42">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8877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每次扣5分</w:t>
            </w:r>
          </w:p>
        </w:tc>
      </w:tr>
      <w:tr w14:paraId="6FDD9F37">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FB92806">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5D2B7EE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5821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30万元（含）-50万元（不含）的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4DF5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04291">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EF5B1">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2EDD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分</w:t>
            </w:r>
          </w:p>
        </w:tc>
      </w:tr>
      <w:tr w14:paraId="4AD2A937">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2F59AC67">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0AF90F2C">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E576E">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50万元（含）-100万元（不含）的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76989">
            <w:pPr>
              <w:widowControl/>
              <w:jc w:val="center"/>
              <w:textAlignment w:val="center"/>
              <w:rPr>
                <w:rFonts w:hint="eastAsia" w:ascii="宋体" w:hAnsi="宋体" w:eastAsia="宋体" w:cs="宋体"/>
                <w:color w:val="auto"/>
                <w:kern w:val="0"/>
                <w:sz w:val="24"/>
                <w:szCs w:val="24"/>
                <w:highlight w:val="none"/>
                <w:lang w:bidi="ar"/>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81CCC">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AAFA1">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31586">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w:t>
            </w:r>
          </w:p>
        </w:tc>
      </w:tr>
      <w:tr w14:paraId="0C72417B">
        <w:tblPrEx>
          <w:tblCellMar>
            <w:top w:w="0" w:type="dxa"/>
            <w:left w:w="0" w:type="dxa"/>
            <w:bottom w:w="0" w:type="dxa"/>
            <w:right w:w="0" w:type="dxa"/>
          </w:tblCellMar>
        </w:tblPrEx>
        <w:trPr>
          <w:trHeight w:val="1169"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6CCD0FA0">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98E7BA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972C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w:t>
            </w:r>
            <w:r>
              <w:rPr>
                <w:rFonts w:hint="eastAsia" w:ascii="宋体" w:hAnsi="宋体" w:eastAsia="宋体" w:cs="宋体"/>
                <w:color w:val="auto"/>
                <w:kern w:val="0"/>
                <w:sz w:val="24"/>
                <w:szCs w:val="24"/>
                <w:highlight w:val="none"/>
                <w:lang w:bidi="ar"/>
              </w:rPr>
              <w:t>万元</w:t>
            </w:r>
            <w:r>
              <w:rPr>
                <w:rFonts w:hint="eastAsia" w:ascii="宋体" w:hAnsi="宋体" w:eastAsia="宋体" w:cs="宋体"/>
                <w:color w:val="auto"/>
                <w:kern w:val="0"/>
                <w:sz w:val="24"/>
                <w:szCs w:val="24"/>
                <w:highlight w:val="none"/>
                <w:lang w:val="en-US" w:eastAsia="zh-CN" w:bidi="ar"/>
              </w:rPr>
              <w:t>且误差率3%（含）以内的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8C3A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22F51">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CBF22">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E930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30</w:t>
            </w:r>
            <w:r>
              <w:rPr>
                <w:rFonts w:hint="eastAsia" w:ascii="宋体" w:hAnsi="宋体" w:eastAsia="宋体" w:cs="宋体"/>
                <w:color w:val="auto"/>
                <w:kern w:val="0"/>
                <w:sz w:val="24"/>
                <w:szCs w:val="24"/>
                <w:highlight w:val="none"/>
                <w:lang w:bidi="ar"/>
              </w:rPr>
              <w:t>分</w:t>
            </w:r>
          </w:p>
        </w:tc>
      </w:tr>
      <w:tr w14:paraId="36842B0D">
        <w:tblPrEx>
          <w:tblCellMar>
            <w:top w:w="0" w:type="dxa"/>
            <w:left w:w="0" w:type="dxa"/>
            <w:bottom w:w="0" w:type="dxa"/>
            <w:right w:w="0" w:type="dxa"/>
          </w:tblCellMar>
        </w:tblPrEx>
        <w:trPr>
          <w:trHeight w:val="1363"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4F90EE2A">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45744564">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3F9B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13.</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100万元（含）以上的且误差率在3%（不含）-5%（含）的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181A8">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1328A">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C726C">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F8F10">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40</w:t>
            </w:r>
            <w:r>
              <w:rPr>
                <w:rFonts w:hint="eastAsia" w:ascii="宋体" w:hAnsi="宋体" w:eastAsia="宋体" w:cs="宋体"/>
                <w:color w:val="auto"/>
                <w:kern w:val="0"/>
                <w:sz w:val="24"/>
                <w:szCs w:val="24"/>
                <w:highlight w:val="none"/>
                <w:lang w:bidi="ar"/>
              </w:rPr>
              <w:t>分</w:t>
            </w:r>
          </w:p>
        </w:tc>
      </w:tr>
      <w:tr w14:paraId="3D153960">
        <w:tblPrEx>
          <w:tblCellMar>
            <w:top w:w="0" w:type="dxa"/>
            <w:left w:w="0" w:type="dxa"/>
            <w:bottom w:w="0" w:type="dxa"/>
            <w:right w:w="0" w:type="dxa"/>
          </w:tblCellMar>
        </w:tblPrEx>
        <w:trPr>
          <w:trHeight w:val="1396" w:hRule="atLeast"/>
          <w:jc w:val="center"/>
        </w:trPr>
        <w:tc>
          <w:tcPr>
            <w:tcW w:w="640"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14:paraId="033ED38E">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A33690B">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C72D7">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100万元（含）以上的且误差率超过5%（含）的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C875C">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291C1">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0BFBA">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32F07">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50</w:t>
            </w:r>
            <w:r>
              <w:rPr>
                <w:rFonts w:hint="eastAsia" w:ascii="宋体" w:hAnsi="宋体" w:eastAsia="宋体" w:cs="宋体"/>
                <w:color w:val="auto"/>
                <w:kern w:val="0"/>
                <w:sz w:val="24"/>
                <w:szCs w:val="24"/>
                <w:highlight w:val="none"/>
                <w:lang w:bidi="ar"/>
              </w:rPr>
              <w:t>分</w:t>
            </w:r>
          </w:p>
        </w:tc>
      </w:tr>
      <w:tr w14:paraId="327DD127">
        <w:tblPrEx>
          <w:tblCellMar>
            <w:top w:w="0" w:type="dxa"/>
            <w:left w:w="0" w:type="dxa"/>
            <w:bottom w:w="0" w:type="dxa"/>
            <w:right w:w="0" w:type="dxa"/>
          </w:tblCellMar>
        </w:tblPrEx>
        <w:trPr>
          <w:trHeight w:val="645" w:hRule="atLeast"/>
          <w:jc w:val="center"/>
        </w:trPr>
        <w:tc>
          <w:tcPr>
            <w:tcW w:w="6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6AFA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6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4193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加分项</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C5D9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bidi="ar"/>
              </w:rPr>
              <w:t>发现设计重大错漏</w:t>
            </w:r>
          </w:p>
        </w:tc>
        <w:tc>
          <w:tcPr>
            <w:tcW w:w="56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635A25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061E842">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29E4C77">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B8B885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163457B8">
        <w:tblPrEx>
          <w:tblCellMar>
            <w:top w:w="0" w:type="dxa"/>
            <w:left w:w="0" w:type="dxa"/>
            <w:bottom w:w="0" w:type="dxa"/>
            <w:right w:w="0" w:type="dxa"/>
          </w:tblCellMar>
        </w:tblPrEx>
        <w:trPr>
          <w:trHeight w:val="718"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144EC">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E0070">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5637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16.</w:t>
            </w:r>
            <w:r>
              <w:rPr>
                <w:rFonts w:hint="eastAsia" w:ascii="宋体" w:hAnsi="宋体" w:eastAsia="宋体" w:cs="宋体"/>
                <w:color w:val="auto"/>
                <w:kern w:val="0"/>
                <w:sz w:val="24"/>
                <w:szCs w:val="24"/>
                <w:highlight w:val="none"/>
                <w:lang w:bidi="ar"/>
              </w:rPr>
              <w:t>提出合理化意见被采纳的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5990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1ABE4">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137C3">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2EC3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4D5B5BB5">
        <w:tblPrEx>
          <w:tblCellMar>
            <w:top w:w="0" w:type="dxa"/>
            <w:left w:w="0" w:type="dxa"/>
            <w:bottom w:w="0" w:type="dxa"/>
            <w:right w:w="0" w:type="dxa"/>
          </w:tblCellMar>
        </w:tblPrEx>
        <w:trPr>
          <w:trHeight w:val="784"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75B55">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E98BB">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6DF7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17.</w:t>
            </w:r>
            <w:r>
              <w:rPr>
                <w:rFonts w:hint="eastAsia" w:ascii="宋体" w:hAnsi="宋体" w:eastAsia="宋体" w:cs="宋体"/>
                <w:color w:val="auto"/>
                <w:kern w:val="0"/>
                <w:sz w:val="24"/>
                <w:szCs w:val="24"/>
                <w:highlight w:val="none"/>
                <w:lang w:bidi="ar"/>
              </w:rPr>
              <w:t>发现并移交经济案件线索且被立案查处</w:t>
            </w:r>
          </w:p>
        </w:tc>
        <w:tc>
          <w:tcPr>
            <w:tcW w:w="56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ACB2A5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71972CA">
            <w:pPr>
              <w:jc w:val="left"/>
              <w:rPr>
                <w:rFonts w:hint="eastAsia" w:ascii="宋体" w:hAnsi="宋体" w:eastAsia="宋体" w:cs="宋体"/>
                <w:color w:val="auto"/>
                <w:sz w:val="24"/>
                <w:szCs w:val="24"/>
                <w:highlight w:val="none"/>
              </w:rPr>
            </w:pPr>
          </w:p>
        </w:tc>
        <w:tc>
          <w:tcPr>
            <w:tcW w:w="103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9B9F5CE">
            <w:pPr>
              <w:jc w:val="left"/>
              <w:rPr>
                <w:rFonts w:hint="eastAsia" w:ascii="宋体" w:hAnsi="宋体" w:eastAsia="宋体" w:cs="宋体"/>
                <w:color w:val="auto"/>
                <w:sz w:val="24"/>
                <w:szCs w:val="24"/>
                <w:highlight w:val="none"/>
              </w:rPr>
            </w:pPr>
          </w:p>
        </w:tc>
        <w:tc>
          <w:tcPr>
            <w:tcW w:w="385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C9D533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每件加20分</w:t>
            </w:r>
          </w:p>
        </w:tc>
      </w:tr>
      <w:tr w14:paraId="05D8AAF1">
        <w:tblPrEx>
          <w:tblCellMar>
            <w:top w:w="0" w:type="dxa"/>
            <w:left w:w="0" w:type="dxa"/>
            <w:bottom w:w="0" w:type="dxa"/>
            <w:right w:w="0" w:type="dxa"/>
          </w:tblCellMar>
        </w:tblPrEx>
        <w:trPr>
          <w:trHeight w:val="470" w:hRule="atLeast"/>
          <w:jc w:val="center"/>
        </w:trPr>
        <w:tc>
          <w:tcPr>
            <w:tcW w:w="482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4DBA3">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3EB91">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73D9D">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F3DAC">
            <w:pPr>
              <w:jc w:val="left"/>
              <w:rPr>
                <w:rFonts w:hint="eastAsia" w:ascii="宋体" w:hAnsi="宋体" w:eastAsia="宋体" w:cs="宋体"/>
                <w:color w:val="auto"/>
                <w:sz w:val="24"/>
                <w:szCs w:val="24"/>
                <w:highlight w:val="none"/>
              </w:rPr>
            </w:pPr>
          </w:p>
        </w:tc>
      </w:tr>
      <w:tr w14:paraId="0083805F">
        <w:tblPrEx>
          <w:tblCellMar>
            <w:top w:w="0" w:type="dxa"/>
            <w:left w:w="0" w:type="dxa"/>
            <w:bottom w:w="0" w:type="dxa"/>
            <w:right w:w="0" w:type="dxa"/>
          </w:tblCellMar>
        </w:tblPrEx>
        <w:trPr>
          <w:trHeight w:val="944" w:hRule="atLeast"/>
          <w:jc w:val="center"/>
        </w:trPr>
        <w:tc>
          <w:tcPr>
            <w:tcW w:w="1041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D01A26">
            <w:pPr>
              <w:widowControl/>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造价咨询人员签字：               考核人员签字 ：              </w:t>
            </w:r>
          </w:p>
          <w:p w14:paraId="39C41945">
            <w:pPr>
              <w:widowControl/>
              <w:textAlignment w:val="center"/>
              <w:rPr>
                <w:rFonts w:hint="eastAsia" w:ascii="宋体" w:hAnsi="宋体" w:eastAsia="宋体" w:cs="宋体"/>
                <w:color w:val="auto"/>
                <w:kern w:val="0"/>
                <w:sz w:val="24"/>
                <w:szCs w:val="24"/>
                <w:highlight w:val="none"/>
                <w:lang w:bidi="ar"/>
              </w:rPr>
            </w:pPr>
          </w:p>
          <w:p w14:paraId="54DE5233">
            <w:pPr>
              <w:widowControl/>
              <w:ind w:firstLine="7560" w:firstLineChars="3150"/>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 xml:space="preserve">日     </w:t>
            </w:r>
          </w:p>
        </w:tc>
      </w:tr>
    </w:tbl>
    <w:p w14:paraId="268F6082">
      <w:pPr>
        <w:pStyle w:val="44"/>
        <w:spacing w:line="240" w:lineRule="auto"/>
        <w:ind w:left="0" w:leftChars="0" w:firstLine="0" w:firstLineChars="0"/>
        <w:rPr>
          <w:rFonts w:hint="eastAsia" w:ascii="宋体" w:hAnsi="宋体" w:eastAsia="宋体" w:cs="宋体"/>
          <w:color w:val="auto"/>
          <w:sz w:val="32"/>
          <w:szCs w:val="32"/>
          <w:highlight w:val="none"/>
        </w:rPr>
      </w:pPr>
    </w:p>
    <w:p w14:paraId="200D5140">
      <w:pPr>
        <w:pStyle w:val="44"/>
        <w:spacing w:line="240" w:lineRule="auto"/>
        <w:ind w:left="0" w:leftChars="0" w:firstLine="0" w:firstLineChars="0"/>
        <w:rPr>
          <w:rFonts w:hint="eastAsia" w:ascii="宋体" w:hAnsi="宋体" w:eastAsia="宋体" w:cs="宋体"/>
          <w:color w:val="auto"/>
          <w:sz w:val="32"/>
          <w:szCs w:val="32"/>
          <w:highlight w:val="none"/>
        </w:rPr>
      </w:pPr>
    </w:p>
    <w:p w14:paraId="2085DF7D">
      <w:pPr>
        <w:rPr>
          <w:rFonts w:hint="eastAsia" w:ascii="宋体" w:hAnsi="宋体" w:eastAsia="宋体" w:cs="宋体"/>
          <w:color w:val="auto"/>
          <w:sz w:val="32"/>
          <w:szCs w:val="32"/>
          <w:highlight w:val="none"/>
        </w:rPr>
      </w:pPr>
    </w:p>
    <w:p w14:paraId="6BAEA6E2">
      <w:pPr>
        <w:pStyle w:val="44"/>
        <w:rPr>
          <w:rFonts w:hint="eastAsia" w:ascii="宋体" w:hAnsi="宋体" w:eastAsia="宋体" w:cs="宋体"/>
          <w:color w:val="auto"/>
          <w:sz w:val="32"/>
          <w:szCs w:val="32"/>
          <w:highlight w:val="none"/>
        </w:rPr>
      </w:pPr>
    </w:p>
    <w:p w14:paraId="3E479275">
      <w:pPr>
        <w:rPr>
          <w:rFonts w:hint="eastAsia" w:ascii="宋体" w:hAnsi="宋体" w:eastAsia="宋体" w:cs="宋体"/>
          <w:color w:val="auto"/>
          <w:sz w:val="32"/>
          <w:szCs w:val="32"/>
          <w:highlight w:val="none"/>
        </w:rPr>
      </w:pPr>
    </w:p>
    <w:p w14:paraId="432ECEFE">
      <w:pPr>
        <w:pStyle w:val="44"/>
        <w:rPr>
          <w:rFonts w:hint="eastAsia" w:ascii="宋体" w:hAnsi="宋体" w:eastAsia="宋体" w:cs="宋体"/>
          <w:color w:val="auto"/>
          <w:sz w:val="32"/>
          <w:szCs w:val="32"/>
          <w:highlight w:val="none"/>
        </w:rPr>
      </w:pPr>
    </w:p>
    <w:p w14:paraId="22A2F69C">
      <w:pPr>
        <w:rPr>
          <w:rFonts w:hint="eastAsia" w:ascii="宋体" w:hAnsi="宋体" w:eastAsia="宋体" w:cs="宋体"/>
          <w:color w:val="auto"/>
          <w:sz w:val="32"/>
          <w:szCs w:val="32"/>
          <w:highlight w:val="none"/>
        </w:rPr>
      </w:pPr>
    </w:p>
    <w:p w14:paraId="6D7E23CF">
      <w:pPr>
        <w:pStyle w:val="44"/>
        <w:rPr>
          <w:rFonts w:hint="eastAsia"/>
          <w:color w:val="auto"/>
          <w:highlight w:val="none"/>
        </w:rPr>
      </w:pPr>
    </w:p>
    <w:p w14:paraId="58005A7E">
      <w:pPr>
        <w:rPr>
          <w:rFonts w:hint="eastAsia" w:ascii="宋体" w:hAnsi="宋体" w:eastAsia="宋体" w:cs="宋体"/>
          <w:color w:val="auto"/>
          <w:sz w:val="32"/>
          <w:szCs w:val="32"/>
          <w:highlight w:val="none"/>
        </w:rPr>
      </w:pPr>
    </w:p>
    <w:p w14:paraId="357C0D42">
      <w:pPr>
        <w:pStyle w:val="44"/>
        <w:spacing w:line="24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rPr>
        <w:t>：</w:t>
      </w:r>
    </w:p>
    <w:tbl>
      <w:tblPr>
        <w:tblStyle w:val="45"/>
        <w:tblW w:w="9998" w:type="dxa"/>
        <w:jc w:val="center"/>
        <w:tblLayout w:type="fixed"/>
        <w:tblCellMar>
          <w:top w:w="0" w:type="dxa"/>
          <w:left w:w="0" w:type="dxa"/>
          <w:bottom w:w="0" w:type="dxa"/>
          <w:right w:w="0" w:type="dxa"/>
        </w:tblCellMar>
      </w:tblPr>
      <w:tblGrid>
        <w:gridCol w:w="556"/>
        <w:gridCol w:w="892"/>
        <w:gridCol w:w="2720"/>
        <w:gridCol w:w="712"/>
        <w:gridCol w:w="596"/>
        <w:gridCol w:w="1002"/>
        <w:gridCol w:w="3520"/>
      </w:tblGrid>
      <w:tr w14:paraId="5802B2AE">
        <w:tblPrEx>
          <w:tblCellMar>
            <w:top w:w="0" w:type="dxa"/>
            <w:left w:w="0" w:type="dxa"/>
            <w:bottom w:w="0" w:type="dxa"/>
            <w:right w:w="0" w:type="dxa"/>
          </w:tblCellMar>
        </w:tblPrEx>
        <w:trPr>
          <w:trHeight w:val="435" w:hRule="atLeast"/>
          <w:jc w:val="center"/>
        </w:trPr>
        <w:tc>
          <w:tcPr>
            <w:tcW w:w="9998" w:type="dxa"/>
            <w:gridSpan w:val="7"/>
            <w:tcBorders>
              <w:top w:val="nil"/>
              <w:left w:val="nil"/>
              <w:bottom w:val="single" w:color="000000" w:sz="4" w:space="0"/>
              <w:right w:val="nil"/>
            </w:tcBorders>
            <w:noWrap w:val="0"/>
            <w:tcMar>
              <w:top w:w="15" w:type="dxa"/>
              <w:left w:w="15" w:type="dxa"/>
              <w:right w:w="15" w:type="dxa"/>
            </w:tcMar>
            <w:vAlign w:val="center"/>
          </w:tcPr>
          <w:p w14:paraId="09C13940">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Fonts w:hint="eastAsia" w:ascii="宋体" w:hAnsi="宋体" w:eastAsia="宋体" w:cs="宋体"/>
                <w:b/>
                <w:color w:val="auto"/>
                <w:kern w:val="0"/>
                <w:szCs w:val="32"/>
                <w:highlight w:val="none"/>
                <w:u w:val="single"/>
                <w:lang w:val="en-US" w:eastAsia="zh-CN" w:bidi="ar"/>
              </w:rPr>
              <w:t xml:space="preserve">   </w:t>
            </w:r>
            <w:r>
              <w:rPr>
                <w:rFonts w:hint="eastAsia" w:ascii="宋体" w:hAnsi="宋体" w:eastAsia="宋体" w:cs="宋体"/>
                <w:b/>
                <w:color w:val="auto"/>
                <w:kern w:val="0"/>
                <w:szCs w:val="32"/>
                <w:highlight w:val="none"/>
                <w:u w:val="single"/>
                <w:lang w:bidi="ar"/>
              </w:rPr>
              <w:t xml:space="preserve">    </w:t>
            </w:r>
            <w:r>
              <w:rPr>
                <w:rStyle w:val="155"/>
                <w:rFonts w:hint="eastAsia" w:ascii="宋体" w:hAnsi="宋体" w:eastAsia="宋体" w:cs="宋体"/>
                <w:b w:val="0"/>
                <w:color w:val="auto"/>
                <w:highlight w:val="none"/>
                <w:lang w:bidi="ar"/>
              </w:rPr>
              <w:t>项目</w:t>
            </w:r>
            <w:r>
              <w:rPr>
                <w:rStyle w:val="155"/>
                <w:rFonts w:hint="eastAsia" w:ascii="宋体" w:hAnsi="宋体" w:eastAsia="宋体" w:cs="宋体"/>
                <w:b w:val="0"/>
                <w:color w:val="auto"/>
                <w:highlight w:val="none"/>
                <w:lang w:eastAsia="zh-CN" w:bidi="ar"/>
              </w:rPr>
              <w:t>跟踪</w:t>
            </w:r>
            <w:r>
              <w:rPr>
                <w:rStyle w:val="155"/>
                <w:rFonts w:hint="eastAsia" w:ascii="宋体" w:hAnsi="宋体" w:eastAsia="宋体" w:cs="宋体"/>
                <w:b w:val="0"/>
                <w:color w:val="auto"/>
                <w:highlight w:val="none"/>
                <w:lang w:bidi="ar"/>
              </w:rPr>
              <w:t xml:space="preserve">审计服务质量日常考核表           </w:t>
            </w:r>
          </w:p>
        </w:tc>
      </w:tr>
      <w:tr w14:paraId="0BF47795">
        <w:tblPrEx>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BD1E1">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kern w:val="0"/>
                <w:sz w:val="22"/>
                <w:szCs w:val="22"/>
                <w:highlight w:val="none"/>
                <w:lang w:eastAsia="zh-CN" w:bidi="ar"/>
              </w:rPr>
              <w:t>序号</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D4715">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53FF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6E65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1915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DF9F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6CA77">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19CD9555">
        <w:tblPrEx>
          <w:tblCellMar>
            <w:top w:w="0" w:type="dxa"/>
            <w:left w:w="0" w:type="dxa"/>
            <w:bottom w:w="0" w:type="dxa"/>
            <w:right w:w="0" w:type="dxa"/>
          </w:tblCellMar>
        </w:tblPrEx>
        <w:trPr>
          <w:trHeight w:val="90"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FD850CD">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bidi="ar"/>
              </w:rPr>
              <w:t>一</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1B583BF">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人员组成</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变更</w:t>
            </w:r>
            <w:r>
              <w:rPr>
                <w:rFonts w:hint="eastAsia" w:ascii="宋体" w:hAnsi="宋体" w:eastAsia="宋体" w:cs="宋体"/>
                <w:color w:val="auto"/>
                <w:kern w:val="0"/>
                <w:sz w:val="24"/>
                <w:szCs w:val="24"/>
                <w:highlight w:val="none"/>
                <w:lang w:eastAsia="zh-CN" w:bidi="ar"/>
              </w:rPr>
              <w:t>及前期准备</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B53A5">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是否具备胜任本项目跟踪审计工作能力</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18BE8">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4</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516C5">
            <w:pPr>
              <w:jc w:val="left"/>
              <w:rPr>
                <w:rFonts w:hint="eastAsia" w:ascii="宋体" w:hAnsi="宋体" w:eastAsia="宋体" w:cs="宋体"/>
                <w:color w:val="auto"/>
                <w:kern w:val="2"/>
                <w:sz w:val="24"/>
                <w:szCs w:val="24"/>
                <w:highlight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F4310">
            <w:pPr>
              <w:jc w:val="left"/>
              <w:rPr>
                <w:rFonts w:hint="eastAsia" w:ascii="宋体" w:hAnsi="宋体" w:eastAsia="宋体" w:cs="宋体"/>
                <w:color w:val="auto"/>
                <w:kern w:val="2"/>
                <w:sz w:val="24"/>
                <w:szCs w:val="24"/>
                <w:highlight w:val="none"/>
                <w:lang w:val="en-US" w:eastAsia="zh-CN" w:bidi="ar-SA"/>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502B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eastAsia="zh-CN" w:bidi="ar"/>
              </w:rPr>
              <w:t>需有与跟审投标文件、委托协议一致的</w:t>
            </w:r>
            <w:r>
              <w:rPr>
                <w:rFonts w:hint="eastAsia" w:ascii="宋体" w:hAnsi="宋体" w:eastAsia="宋体" w:cs="宋体"/>
                <w:color w:val="auto"/>
                <w:kern w:val="0"/>
                <w:sz w:val="21"/>
                <w:szCs w:val="21"/>
                <w:highlight w:val="none"/>
                <w:lang w:bidi="ar"/>
              </w:rPr>
              <w:t>任命文</w:t>
            </w:r>
            <w:r>
              <w:rPr>
                <w:rFonts w:hint="eastAsia" w:ascii="宋体" w:hAnsi="宋体" w:eastAsia="宋体" w:cs="宋体"/>
                <w:color w:val="auto"/>
                <w:kern w:val="0"/>
                <w:sz w:val="21"/>
                <w:szCs w:val="21"/>
                <w:highlight w:val="none"/>
                <w:lang w:eastAsia="zh-CN" w:bidi="ar"/>
              </w:rPr>
              <w:t>并</w:t>
            </w:r>
            <w:r>
              <w:rPr>
                <w:rFonts w:hint="eastAsia" w:ascii="宋体" w:hAnsi="宋体" w:eastAsia="宋体" w:cs="宋体"/>
                <w:color w:val="auto"/>
                <w:kern w:val="0"/>
                <w:sz w:val="21"/>
                <w:szCs w:val="21"/>
                <w:highlight w:val="none"/>
                <w:lang w:bidi="ar"/>
              </w:rPr>
              <w:t>及时报送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人员变更</w:t>
            </w:r>
            <w:r>
              <w:rPr>
                <w:rFonts w:hint="eastAsia" w:ascii="宋体" w:hAnsi="宋体" w:eastAsia="宋体" w:cs="宋体"/>
                <w:color w:val="auto"/>
                <w:kern w:val="0"/>
                <w:sz w:val="21"/>
                <w:szCs w:val="21"/>
                <w:highlight w:val="none"/>
                <w:lang w:eastAsia="zh-CN" w:bidi="ar"/>
              </w:rPr>
              <w:t>的，程序</w:t>
            </w:r>
            <w:r>
              <w:rPr>
                <w:rFonts w:hint="eastAsia" w:ascii="宋体" w:hAnsi="宋体" w:eastAsia="宋体" w:cs="宋体"/>
                <w:color w:val="auto"/>
                <w:kern w:val="0"/>
                <w:sz w:val="21"/>
                <w:szCs w:val="21"/>
                <w:highlight w:val="none"/>
                <w:lang w:bidi="ar"/>
              </w:rPr>
              <w:t>是否</w:t>
            </w:r>
            <w:r>
              <w:rPr>
                <w:rFonts w:hint="eastAsia" w:ascii="宋体" w:hAnsi="宋体" w:eastAsia="宋体" w:cs="宋体"/>
                <w:color w:val="auto"/>
                <w:kern w:val="0"/>
                <w:sz w:val="21"/>
                <w:szCs w:val="21"/>
                <w:highlight w:val="none"/>
                <w:lang w:eastAsia="zh-CN" w:bidi="ar"/>
              </w:rPr>
              <w:t>按管理办法完成</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若不一致或未办理变更手续</w:t>
            </w:r>
            <w:r>
              <w:rPr>
                <w:rFonts w:hint="eastAsia" w:ascii="宋体" w:hAnsi="宋体" w:eastAsia="宋体" w:cs="宋体"/>
                <w:color w:val="auto"/>
                <w:kern w:val="0"/>
                <w:sz w:val="21"/>
                <w:szCs w:val="21"/>
                <w:highlight w:val="none"/>
                <w:lang w:eastAsia="zh-CN" w:bidi="ar"/>
              </w:rPr>
              <w:t>的，本项</w:t>
            </w:r>
            <w:r>
              <w:rPr>
                <w:rFonts w:hint="eastAsia" w:ascii="宋体" w:hAnsi="宋体" w:eastAsia="宋体" w:cs="宋体"/>
                <w:color w:val="auto"/>
                <w:kern w:val="0"/>
                <w:sz w:val="21"/>
                <w:szCs w:val="21"/>
                <w:highlight w:val="none"/>
                <w:lang w:bidi="ar"/>
              </w:rPr>
              <w:t>得0分</w:t>
            </w:r>
          </w:p>
        </w:tc>
      </w:tr>
      <w:tr w14:paraId="3B650F64">
        <w:tblPrEx>
          <w:tblCellMar>
            <w:top w:w="0" w:type="dxa"/>
            <w:left w:w="0" w:type="dxa"/>
            <w:bottom w:w="0" w:type="dxa"/>
            <w:right w:w="0" w:type="dxa"/>
          </w:tblCellMar>
        </w:tblPrEx>
        <w:trPr>
          <w:trHeight w:val="1462"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38E6E324">
            <w:pPr>
              <w:widowControl/>
              <w:jc w:val="center"/>
              <w:textAlignment w:val="center"/>
              <w:rPr>
                <w:rFonts w:hint="eastAsia" w:ascii="宋体" w:hAnsi="宋体" w:eastAsia="宋体" w:cs="宋体"/>
                <w:color w:val="auto"/>
                <w:kern w:val="0"/>
                <w:sz w:val="24"/>
                <w:szCs w:val="24"/>
                <w:highlight w:val="none"/>
                <w:lang w:bidi="ar"/>
              </w:rPr>
            </w:pPr>
          </w:p>
        </w:tc>
        <w:tc>
          <w:tcPr>
            <w:tcW w:w="892" w:type="dxa"/>
            <w:vMerge w:val="continue"/>
            <w:tcBorders>
              <w:left w:val="single" w:color="000000" w:sz="4" w:space="0"/>
              <w:right w:val="single" w:color="000000" w:sz="4" w:space="0"/>
            </w:tcBorders>
            <w:noWrap w:val="0"/>
            <w:tcMar>
              <w:top w:w="15" w:type="dxa"/>
              <w:left w:w="15" w:type="dxa"/>
              <w:right w:w="15" w:type="dxa"/>
            </w:tcMar>
            <w:vAlign w:val="center"/>
          </w:tcPr>
          <w:p w14:paraId="52055DE3">
            <w:pPr>
              <w:widowControl/>
              <w:jc w:val="center"/>
              <w:textAlignment w:val="center"/>
              <w:rPr>
                <w:rFonts w:hint="eastAsia" w:ascii="宋体" w:hAnsi="宋体" w:eastAsia="宋体" w:cs="宋体"/>
                <w:color w:val="auto"/>
                <w:kern w:val="0"/>
                <w:sz w:val="24"/>
                <w:szCs w:val="24"/>
                <w:highlight w:val="none"/>
                <w:lang w:bidi="ar"/>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0AA17">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到岗履职</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6B56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4</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BF95E">
            <w:pPr>
              <w:jc w:val="left"/>
              <w:rPr>
                <w:rFonts w:hint="eastAsia" w:ascii="宋体" w:hAnsi="宋体" w:eastAsia="宋体" w:cs="宋体"/>
                <w:color w:val="auto"/>
                <w:kern w:val="2"/>
                <w:sz w:val="24"/>
                <w:szCs w:val="24"/>
                <w:highlight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48C43">
            <w:pPr>
              <w:jc w:val="left"/>
              <w:rPr>
                <w:rFonts w:hint="eastAsia" w:ascii="宋体" w:hAnsi="宋体" w:eastAsia="宋体" w:cs="宋体"/>
                <w:color w:val="auto"/>
                <w:kern w:val="2"/>
                <w:sz w:val="24"/>
                <w:szCs w:val="24"/>
                <w:highlight w:val="none"/>
                <w:lang w:val="en-US" w:eastAsia="zh-CN" w:bidi="ar-SA"/>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33F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业主、监理反映履职情况，经检查组询问，项目负责人或现场审计人员是否了解工程现场情况，</w:t>
            </w:r>
            <w:r>
              <w:rPr>
                <w:rFonts w:hint="eastAsia" w:ascii="宋体" w:hAnsi="宋体" w:eastAsia="宋体" w:cs="宋体"/>
                <w:color w:val="auto"/>
                <w:kern w:val="0"/>
                <w:sz w:val="21"/>
                <w:szCs w:val="21"/>
                <w:highlight w:val="none"/>
                <w:lang w:eastAsia="zh-CN" w:bidi="ar"/>
              </w:rPr>
              <w:t>有驻场要求的需考核打卡</w:t>
            </w:r>
            <w:r>
              <w:rPr>
                <w:rFonts w:hint="eastAsia" w:ascii="宋体" w:hAnsi="宋体" w:eastAsia="宋体" w:cs="宋体"/>
                <w:color w:val="auto"/>
                <w:kern w:val="0"/>
                <w:sz w:val="21"/>
                <w:szCs w:val="21"/>
                <w:highlight w:val="none"/>
                <w:lang w:bidi="ar"/>
              </w:rPr>
              <w:t>情况。</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）主要会议未参加或单项隐蔽工程未参与计量的，本项得</w:t>
            </w:r>
            <w:r>
              <w:rPr>
                <w:rFonts w:hint="eastAsia" w:ascii="宋体" w:hAnsi="宋体" w:eastAsia="宋体" w:cs="宋体"/>
                <w:color w:val="auto"/>
                <w:kern w:val="0"/>
                <w:sz w:val="21"/>
                <w:szCs w:val="21"/>
                <w:highlight w:val="none"/>
                <w:lang w:val="en-US" w:eastAsia="zh-CN" w:bidi="ar"/>
              </w:rPr>
              <w:t>0分（本项由业主代表参与打分）</w:t>
            </w:r>
          </w:p>
        </w:tc>
      </w:tr>
      <w:tr w14:paraId="09B6D35E">
        <w:tblPrEx>
          <w:tblCellMar>
            <w:top w:w="0" w:type="dxa"/>
            <w:left w:w="0" w:type="dxa"/>
            <w:bottom w:w="0" w:type="dxa"/>
            <w:right w:w="0" w:type="dxa"/>
          </w:tblCellMar>
        </w:tblPrEx>
        <w:trPr>
          <w:trHeight w:val="813"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0BBF173">
            <w:pPr>
              <w:widowControl/>
              <w:jc w:val="center"/>
              <w:textAlignment w:val="center"/>
              <w:rPr>
                <w:rFonts w:hint="eastAsia" w:ascii="宋体" w:hAnsi="宋体" w:eastAsia="宋体" w:cs="宋体"/>
                <w:color w:val="auto"/>
                <w:sz w:val="24"/>
                <w:szCs w:val="24"/>
                <w:highlight w:val="none"/>
                <w:lang w:eastAsia="zh-CN"/>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C7F5D59">
            <w:pPr>
              <w:widowControl/>
              <w:jc w:val="center"/>
              <w:textAlignment w:val="center"/>
              <w:rPr>
                <w:rFonts w:hint="eastAsia" w:ascii="宋体" w:hAnsi="宋体" w:eastAsia="宋体" w:cs="宋体"/>
                <w:color w:val="auto"/>
                <w:sz w:val="24"/>
                <w:szCs w:val="24"/>
                <w:highlight w:val="none"/>
                <w:lang w:val="en-US" w:eastAsia="zh-CN"/>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E5465">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eastAsia="zh-CN" w:bidi="ar"/>
              </w:rPr>
              <w:t>资料是否收集齐全</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F6619">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88343">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2F036">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6D436">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需有招标文件、工程量清单及最高投标限价、中标单位投标文件、建设工程施工合同、图纸等前期资料。未收集齐全的，本项得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分</w:t>
            </w:r>
          </w:p>
        </w:tc>
      </w:tr>
      <w:tr w14:paraId="73AB91F7">
        <w:tblPrEx>
          <w:tblCellMar>
            <w:top w:w="0" w:type="dxa"/>
            <w:left w:w="0" w:type="dxa"/>
            <w:bottom w:w="0" w:type="dxa"/>
            <w:right w:w="0" w:type="dxa"/>
          </w:tblCellMar>
        </w:tblPrEx>
        <w:trPr>
          <w:trHeight w:val="1427" w:hRule="atLeast"/>
          <w:jc w:val="center"/>
        </w:trPr>
        <w:tc>
          <w:tcPr>
            <w:tcW w:w="556"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221362B6">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89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7328F3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审计实施方案</w:t>
            </w:r>
          </w:p>
        </w:tc>
        <w:tc>
          <w:tcPr>
            <w:tcW w:w="272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5DE225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内容规范、全面、针对性强，按照《关于进一步规范政府投资项目跟踪审计实施方案及清单复核报告制度的通知》要求编写</w:t>
            </w:r>
          </w:p>
        </w:tc>
        <w:tc>
          <w:tcPr>
            <w:tcW w:w="71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3880EA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59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DA44B13">
            <w:pPr>
              <w:jc w:val="left"/>
              <w:rPr>
                <w:rFonts w:hint="eastAsia" w:ascii="宋体" w:hAnsi="宋体" w:eastAsia="宋体" w:cs="宋体"/>
                <w:color w:val="auto"/>
                <w:sz w:val="24"/>
                <w:szCs w:val="24"/>
                <w:highlight w:val="none"/>
              </w:rPr>
            </w:pPr>
          </w:p>
        </w:tc>
        <w:tc>
          <w:tcPr>
            <w:tcW w:w="100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4B5398A">
            <w:pPr>
              <w:jc w:val="left"/>
              <w:rPr>
                <w:rFonts w:hint="eastAsia" w:ascii="宋体" w:hAnsi="宋体" w:eastAsia="宋体" w:cs="宋体"/>
                <w:color w:val="auto"/>
                <w:sz w:val="24"/>
                <w:szCs w:val="24"/>
                <w:highlight w:val="none"/>
              </w:rPr>
            </w:pPr>
          </w:p>
        </w:tc>
        <w:tc>
          <w:tcPr>
            <w:tcW w:w="3520"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178C1CD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要素：1.总述2.人员配置3.工作内容4.跟踪审计重点5.审计程序6.审计质量保证措施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）。于</w:t>
            </w:r>
            <w:r>
              <w:rPr>
                <w:rFonts w:hint="eastAsia" w:ascii="宋体" w:hAnsi="宋体" w:eastAsia="宋体" w:cs="宋体"/>
                <w:color w:val="auto"/>
                <w:kern w:val="0"/>
                <w:sz w:val="21"/>
                <w:szCs w:val="21"/>
                <w:highlight w:val="none"/>
                <w:lang w:bidi="ar"/>
              </w:rPr>
              <w:t>开工前报送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1分</w:t>
            </w:r>
            <w:r>
              <w:rPr>
                <w:rFonts w:hint="eastAsia" w:ascii="宋体" w:hAnsi="宋体" w:eastAsia="宋体" w:cs="宋体"/>
                <w:color w:val="auto"/>
                <w:kern w:val="0"/>
                <w:sz w:val="21"/>
                <w:szCs w:val="21"/>
                <w:highlight w:val="none"/>
                <w:lang w:bidi="ar"/>
              </w:rPr>
              <w:t>）</w:t>
            </w:r>
          </w:p>
        </w:tc>
      </w:tr>
      <w:tr w14:paraId="398F975F">
        <w:tblPrEx>
          <w:tblCellMar>
            <w:top w:w="0" w:type="dxa"/>
            <w:left w:w="0" w:type="dxa"/>
            <w:bottom w:w="0" w:type="dxa"/>
            <w:right w:w="0" w:type="dxa"/>
          </w:tblCellMar>
        </w:tblPrEx>
        <w:trPr>
          <w:trHeight w:val="1307"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0758C7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1D113C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清单复核记录</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8EF1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是否完整反映招投标清单价格中错漏，并提出应对措施，是否按照《关于进一步规范政府投资项目跟踪审计实施方案及清单复核报告制度的通知》要求编写</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2027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D7D87">
            <w:pPr>
              <w:jc w:val="center"/>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1EAF9">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42A59">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要素：1.</w:t>
            </w:r>
            <w:r>
              <w:rPr>
                <w:rFonts w:hint="eastAsia" w:ascii="宋体" w:hAnsi="宋体" w:eastAsia="宋体" w:cs="宋体"/>
                <w:color w:val="auto"/>
                <w:kern w:val="0"/>
                <w:sz w:val="21"/>
                <w:szCs w:val="21"/>
                <w:highlight w:val="none"/>
                <w:lang w:eastAsia="zh-CN" w:bidi="ar"/>
              </w:rPr>
              <w:t>重新计算异常</w:t>
            </w:r>
            <w:r>
              <w:rPr>
                <w:rFonts w:hint="eastAsia" w:ascii="宋体" w:hAnsi="宋体" w:eastAsia="宋体" w:cs="宋体"/>
                <w:color w:val="auto"/>
                <w:kern w:val="0"/>
                <w:sz w:val="21"/>
                <w:szCs w:val="21"/>
                <w:highlight w:val="none"/>
                <w:lang w:bidi="ar"/>
              </w:rPr>
              <w:t>工程量2.</w:t>
            </w:r>
            <w:r>
              <w:rPr>
                <w:rFonts w:hint="eastAsia" w:ascii="宋体" w:hAnsi="宋体" w:eastAsia="宋体" w:cs="宋体"/>
                <w:color w:val="auto"/>
                <w:kern w:val="0"/>
                <w:sz w:val="21"/>
                <w:szCs w:val="21"/>
                <w:highlight w:val="none"/>
                <w:lang w:eastAsia="zh-CN" w:bidi="ar"/>
              </w:rPr>
              <w:t>清单描述问题</w:t>
            </w:r>
            <w:r>
              <w:rPr>
                <w:rFonts w:hint="eastAsia" w:ascii="宋体" w:hAnsi="宋体" w:eastAsia="宋体" w:cs="宋体"/>
                <w:color w:val="auto"/>
                <w:kern w:val="0"/>
                <w:sz w:val="21"/>
                <w:szCs w:val="21"/>
                <w:highlight w:val="none"/>
                <w:lang w:bidi="ar"/>
              </w:rPr>
              <w:t>3.清单错漏项4.异常投标单价5.应对措施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）。于开工一个月内</w:t>
            </w:r>
            <w:r>
              <w:rPr>
                <w:rFonts w:hint="eastAsia" w:ascii="宋体" w:hAnsi="宋体" w:eastAsia="宋体" w:cs="宋体"/>
                <w:color w:val="auto"/>
                <w:kern w:val="0"/>
                <w:sz w:val="21"/>
                <w:szCs w:val="21"/>
                <w:highlight w:val="none"/>
                <w:lang w:bidi="ar"/>
              </w:rPr>
              <w:t>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1分</w:t>
            </w:r>
            <w:r>
              <w:rPr>
                <w:rFonts w:hint="eastAsia" w:ascii="宋体" w:hAnsi="宋体" w:eastAsia="宋体" w:cs="宋体"/>
                <w:color w:val="auto"/>
                <w:kern w:val="0"/>
                <w:sz w:val="21"/>
                <w:szCs w:val="21"/>
                <w:highlight w:val="none"/>
                <w:lang w:bidi="ar"/>
              </w:rPr>
              <w:t>）</w:t>
            </w:r>
          </w:p>
        </w:tc>
      </w:tr>
      <w:tr w14:paraId="5E52421B">
        <w:tblPrEx>
          <w:tblCellMar>
            <w:top w:w="0" w:type="dxa"/>
            <w:left w:w="0" w:type="dxa"/>
            <w:bottom w:w="0" w:type="dxa"/>
            <w:right w:w="0" w:type="dxa"/>
          </w:tblCellMar>
        </w:tblPrEx>
        <w:trPr>
          <w:trHeight w:val="219"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33AA33F">
            <w:pPr>
              <w:jc w:val="center"/>
              <w:rPr>
                <w:rFonts w:hint="eastAsia" w:ascii="宋体" w:hAnsi="宋体" w:eastAsia="宋体" w:cs="宋体"/>
                <w:color w:val="auto"/>
                <w:sz w:val="24"/>
                <w:szCs w:val="24"/>
                <w:highlight w:val="none"/>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9E1144A">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A74F8">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2.施工过程及时更新清单复核情况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AF90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FC34D">
            <w:pPr>
              <w:jc w:val="center"/>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AF913">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D3E1C">
            <w:pPr>
              <w:jc w:val="center"/>
              <w:rPr>
                <w:rFonts w:hint="eastAsia" w:ascii="宋体" w:hAnsi="宋体" w:eastAsia="宋体" w:cs="宋体"/>
                <w:color w:val="auto"/>
                <w:sz w:val="21"/>
                <w:szCs w:val="21"/>
                <w:highlight w:val="none"/>
              </w:rPr>
            </w:pPr>
          </w:p>
        </w:tc>
      </w:tr>
      <w:tr w14:paraId="6BB04D1A">
        <w:tblPrEx>
          <w:tblCellMar>
            <w:top w:w="0" w:type="dxa"/>
            <w:left w:w="0" w:type="dxa"/>
            <w:bottom w:w="0" w:type="dxa"/>
            <w:right w:w="0" w:type="dxa"/>
          </w:tblCellMar>
        </w:tblPrEx>
        <w:trPr>
          <w:trHeight w:val="179"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8CC90">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四</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B317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造价例会</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B9C5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明确项目参建各方签字权责任人</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B5D3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383DB">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8303DD">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8EFB0">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需有参建各方公章、项目负责人签字及执业章</w:t>
            </w:r>
          </w:p>
        </w:tc>
      </w:tr>
      <w:tr w14:paraId="3B522793">
        <w:tblPrEx>
          <w:tblCellMar>
            <w:top w:w="0" w:type="dxa"/>
            <w:left w:w="0" w:type="dxa"/>
            <w:bottom w:w="0" w:type="dxa"/>
            <w:right w:w="0" w:type="dxa"/>
          </w:tblCellMar>
        </w:tblPrEx>
        <w:trPr>
          <w:trHeight w:val="14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AB0BA">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63E20">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7573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有无与会各方代表签字的会议纪要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AC7F6">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100FB">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B2D01">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F3340">
            <w:pPr>
              <w:jc w:val="left"/>
              <w:rPr>
                <w:rFonts w:hint="eastAsia" w:ascii="宋体" w:hAnsi="宋体" w:eastAsia="宋体" w:cs="宋体"/>
                <w:color w:val="auto"/>
                <w:sz w:val="21"/>
                <w:szCs w:val="21"/>
                <w:highlight w:val="none"/>
              </w:rPr>
            </w:pPr>
          </w:p>
        </w:tc>
      </w:tr>
      <w:tr w14:paraId="0C04F80F">
        <w:tblPrEx>
          <w:tblCellMar>
            <w:top w:w="0" w:type="dxa"/>
            <w:left w:w="0" w:type="dxa"/>
            <w:bottom w:w="0" w:type="dxa"/>
            <w:right w:w="0"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6D949">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7BD0F">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F48C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是否报送备案</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7F8CB">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1</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F28A2">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0B85C">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C694D">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于</w:t>
            </w:r>
            <w:r>
              <w:rPr>
                <w:rFonts w:hint="eastAsia" w:ascii="宋体" w:hAnsi="宋体" w:eastAsia="宋体" w:cs="宋体"/>
                <w:color w:val="auto"/>
                <w:kern w:val="0"/>
                <w:sz w:val="21"/>
                <w:szCs w:val="21"/>
                <w:highlight w:val="none"/>
                <w:lang w:bidi="ar"/>
              </w:rPr>
              <w:t>会议后3日内报送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p>
        </w:tc>
      </w:tr>
      <w:tr w14:paraId="248695C6">
        <w:tblPrEx>
          <w:tblCellMar>
            <w:top w:w="0" w:type="dxa"/>
            <w:left w:w="0" w:type="dxa"/>
            <w:bottom w:w="0" w:type="dxa"/>
            <w:right w:w="0" w:type="dxa"/>
          </w:tblCellMar>
        </w:tblPrEx>
        <w:trPr>
          <w:trHeight w:val="755"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E05B0">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五</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2963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审计日志</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DF73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是否真实全面反映日常跟踪审计工作情况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97F2F">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7</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5A83D">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DAAAD">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F3A45">
            <w:pPr>
              <w:widowControl/>
              <w:numPr>
                <w:ilvl w:val="0"/>
                <w:numId w:val="0"/>
              </w:numPr>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要素：1.当日工程进展情况2.当日</w:t>
            </w:r>
            <w:r>
              <w:rPr>
                <w:rFonts w:hint="eastAsia" w:ascii="宋体" w:hAnsi="宋体" w:eastAsia="宋体" w:cs="宋体"/>
                <w:color w:val="auto"/>
                <w:kern w:val="0"/>
                <w:sz w:val="21"/>
                <w:szCs w:val="21"/>
                <w:highlight w:val="none"/>
                <w:lang w:val="en-US" w:eastAsia="zh-CN" w:bidi="ar"/>
              </w:rPr>
              <w:t>计量</w:t>
            </w:r>
            <w:r>
              <w:rPr>
                <w:rFonts w:hint="eastAsia" w:ascii="宋体" w:hAnsi="宋体" w:eastAsia="宋体" w:cs="宋体"/>
                <w:color w:val="auto"/>
                <w:kern w:val="0"/>
                <w:sz w:val="21"/>
                <w:szCs w:val="21"/>
                <w:highlight w:val="none"/>
                <w:lang w:eastAsia="zh-CN" w:bidi="ar"/>
              </w:rPr>
              <w:t>计价事项</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.当日参加会议的记录</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eastAsia="zh-CN" w:bidi="ar"/>
              </w:rPr>
              <w:t>进度款审核情况</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.工程变更事项</w:t>
            </w:r>
            <w:r>
              <w:rPr>
                <w:rFonts w:hint="eastAsia" w:ascii="宋体" w:hAnsi="宋体" w:eastAsia="宋体" w:cs="宋体"/>
                <w:color w:val="auto"/>
                <w:kern w:val="0"/>
                <w:sz w:val="21"/>
                <w:szCs w:val="21"/>
                <w:highlight w:val="none"/>
                <w:lang w:val="en-US" w:eastAsia="zh-CN" w:bidi="ar"/>
              </w:rPr>
              <w:t>6.当日影像资料。不真实或间隔超过一周的，本项得0分</w:t>
            </w:r>
          </w:p>
        </w:tc>
      </w:tr>
      <w:tr w14:paraId="03FA94C5">
        <w:tblPrEx>
          <w:tblCellMar>
            <w:top w:w="0" w:type="dxa"/>
            <w:left w:w="0" w:type="dxa"/>
            <w:bottom w:w="0" w:type="dxa"/>
            <w:right w:w="0" w:type="dxa"/>
          </w:tblCellMar>
        </w:tblPrEx>
        <w:trPr>
          <w:trHeight w:val="959"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292E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9FE8C">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审计月报</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43ED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按月编报并报送</w:t>
            </w:r>
            <w:r>
              <w:rPr>
                <w:rFonts w:hint="eastAsia" w:ascii="宋体" w:hAnsi="宋体" w:eastAsia="宋体" w:cs="宋体"/>
                <w:color w:val="auto"/>
                <w:kern w:val="0"/>
                <w:sz w:val="24"/>
                <w:szCs w:val="24"/>
                <w:highlight w:val="none"/>
                <w:lang w:eastAsia="zh-CN" w:bidi="ar"/>
              </w:rPr>
              <w:t>综合计划科和业主代表</w:t>
            </w:r>
            <w:r>
              <w:rPr>
                <w:rFonts w:hint="eastAsia" w:ascii="宋体" w:hAnsi="宋体" w:eastAsia="宋体" w:cs="宋体"/>
                <w:color w:val="auto"/>
                <w:kern w:val="0"/>
                <w:sz w:val="24"/>
                <w:szCs w:val="24"/>
                <w:highlight w:val="none"/>
                <w:lang w:bidi="ar"/>
              </w:rPr>
              <w:t>备案（每月5日前报送）</w:t>
            </w: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是否真实全面反映月度主要跟踪审计工作情况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FA9AC">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8</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4ABD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7F577">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92B27">
            <w:pPr>
              <w:widowControl/>
              <w:numPr>
                <w:ilvl w:val="0"/>
                <w:numId w:val="0"/>
              </w:numP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1.漏报、迟报一次扣1分，2分扣完为止；</w:t>
            </w:r>
          </w:p>
          <w:p w14:paraId="3865E605">
            <w:pPr>
              <w:widowControl/>
              <w:numPr>
                <w:ilvl w:val="0"/>
                <w:numId w:val="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eastAsia="zh-CN" w:bidi="ar"/>
              </w:rPr>
              <w:t>要素：1.主要工程进展情况2.主要</w:t>
            </w:r>
            <w:r>
              <w:rPr>
                <w:rFonts w:hint="eastAsia" w:ascii="宋体" w:hAnsi="宋体" w:eastAsia="宋体" w:cs="宋体"/>
                <w:color w:val="auto"/>
                <w:kern w:val="0"/>
                <w:sz w:val="21"/>
                <w:szCs w:val="21"/>
                <w:highlight w:val="none"/>
                <w:lang w:val="en-US" w:eastAsia="zh-CN" w:bidi="ar"/>
              </w:rPr>
              <w:t>计量</w:t>
            </w:r>
            <w:r>
              <w:rPr>
                <w:rFonts w:hint="eastAsia" w:ascii="宋体" w:hAnsi="宋体" w:eastAsia="宋体" w:cs="宋体"/>
                <w:color w:val="auto"/>
                <w:kern w:val="0"/>
                <w:sz w:val="21"/>
                <w:szCs w:val="21"/>
                <w:highlight w:val="none"/>
                <w:lang w:eastAsia="zh-CN" w:bidi="ar"/>
              </w:rPr>
              <w:t>计价事项</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.参加会议的记录</w:t>
            </w:r>
            <w:r>
              <w:rPr>
                <w:rFonts w:hint="eastAsia" w:ascii="宋体" w:hAnsi="宋体" w:eastAsia="宋体" w:cs="宋体"/>
                <w:color w:val="auto"/>
                <w:kern w:val="0"/>
                <w:sz w:val="21"/>
                <w:szCs w:val="21"/>
                <w:highlight w:val="none"/>
                <w:lang w:val="en-US" w:eastAsia="zh-CN" w:bidi="ar"/>
              </w:rPr>
              <w:t>4.当月</w:t>
            </w:r>
            <w:r>
              <w:rPr>
                <w:rFonts w:hint="eastAsia" w:ascii="宋体" w:hAnsi="宋体" w:eastAsia="宋体" w:cs="宋体"/>
                <w:color w:val="auto"/>
                <w:kern w:val="0"/>
                <w:sz w:val="21"/>
                <w:szCs w:val="21"/>
                <w:highlight w:val="none"/>
                <w:lang w:eastAsia="zh-CN" w:bidi="ar"/>
              </w:rPr>
              <w:t>进度款审核情况</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.当月工程变更事项</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eastAsia="zh-CN" w:bidi="ar"/>
              </w:rPr>
              <w:t>主要</w:t>
            </w:r>
            <w:r>
              <w:rPr>
                <w:rFonts w:hint="eastAsia" w:ascii="宋体" w:hAnsi="宋体" w:eastAsia="宋体" w:cs="宋体"/>
                <w:color w:val="auto"/>
                <w:kern w:val="0"/>
                <w:sz w:val="21"/>
                <w:szCs w:val="21"/>
                <w:highlight w:val="none"/>
                <w:lang w:val="en-US" w:eastAsia="zh-CN" w:bidi="ar"/>
              </w:rPr>
              <w:t>影像资料。不真实的，本项得0分</w:t>
            </w:r>
          </w:p>
        </w:tc>
      </w:tr>
      <w:tr w14:paraId="58AA7222">
        <w:tblPrEx>
          <w:tblCellMar>
            <w:top w:w="0" w:type="dxa"/>
            <w:left w:w="0" w:type="dxa"/>
            <w:bottom w:w="0" w:type="dxa"/>
            <w:right w:w="0" w:type="dxa"/>
          </w:tblCellMar>
        </w:tblPrEx>
        <w:trPr>
          <w:trHeight w:val="114"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751B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七</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39EF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工程进度款审核支付</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D469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是否根据合同约定审核工程进度款支付申请资料</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0674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B961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A215C">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B72E9B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一处不真实的，本项得</w:t>
            </w:r>
            <w:r>
              <w:rPr>
                <w:rFonts w:hint="eastAsia" w:ascii="宋体" w:hAnsi="宋体" w:eastAsia="宋体" w:cs="宋体"/>
                <w:color w:val="auto"/>
                <w:sz w:val="21"/>
                <w:szCs w:val="21"/>
                <w:highlight w:val="none"/>
                <w:lang w:val="en-US" w:eastAsia="zh-CN"/>
              </w:rPr>
              <w:t>0分</w:t>
            </w:r>
          </w:p>
        </w:tc>
      </w:tr>
      <w:tr w14:paraId="376979A3">
        <w:tblPrEx>
          <w:tblCellMar>
            <w:top w:w="0" w:type="dxa"/>
            <w:left w:w="0" w:type="dxa"/>
            <w:bottom w:w="0" w:type="dxa"/>
            <w:right w:w="0"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4F277">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EB965">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8526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工程进度款支付审批意见是否由项目负责人签字盖章</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AF2C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C435A">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FD54A">
            <w:pPr>
              <w:jc w:val="left"/>
              <w:rPr>
                <w:rFonts w:hint="eastAsia" w:ascii="宋体" w:hAnsi="宋体" w:eastAsia="宋体" w:cs="宋体"/>
                <w:color w:val="auto"/>
                <w:sz w:val="24"/>
                <w:szCs w:val="24"/>
                <w:highlight w:val="none"/>
              </w:rPr>
            </w:pPr>
          </w:p>
        </w:tc>
        <w:tc>
          <w:tcPr>
            <w:tcW w:w="3520" w:type="dxa"/>
            <w:vMerge w:val="continue"/>
            <w:tcBorders>
              <w:left w:val="single" w:color="000000" w:sz="4" w:space="0"/>
              <w:right w:val="single" w:color="000000" w:sz="4" w:space="0"/>
            </w:tcBorders>
            <w:noWrap w:val="0"/>
            <w:tcMar>
              <w:top w:w="15" w:type="dxa"/>
              <w:left w:w="15" w:type="dxa"/>
              <w:right w:w="15" w:type="dxa"/>
            </w:tcMar>
            <w:vAlign w:val="center"/>
          </w:tcPr>
          <w:p w14:paraId="7518CDB3">
            <w:pPr>
              <w:jc w:val="left"/>
              <w:rPr>
                <w:rFonts w:hint="eastAsia" w:ascii="宋体" w:hAnsi="宋体" w:eastAsia="宋体" w:cs="宋体"/>
                <w:color w:val="auto"/>
                <w:sz w:val="21"/>
                <w:szCs w:val="21"/>
                <w:highlight w:val="none"/>
              </w:rPr>
            </w:pPr>
          </w:p>
        </w:tc>
      </w:tr>
      <w:tr w14:paraId="09716E78">
        <w:tblPrEx>
          <w:tblCellMar>
            <w:top w:w="0" w:type="dxa"/>
            <w:left w:w="0" w:type="dxa"/>
            <w:bottom w:w="0" w:type="dxa"/>
            <w:right w:w="0" w:type="dxa"/>
          </w:tblCellMar>
        </w:tblPrEx>
        <w:trPr>
          <w:trHeight w:val="9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FE94F">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69C24">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7B36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是否建立相应工程计量支付管理台账</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33AB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A103C">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65297">
            <w:pPr>
              <w:jc w:val="left"/>
              <w:rPr>
                <w:rFonts w:hint="eastAsia" w:ascii="宋体" w:hAnsi="宋体" w:eastAsia="宋体" w:cs="宋体"/>
                <w:color w:val="auto"/>
                <w:sz w:val="24"/>
                <w:szCs w:val="24"/>
                <w:highlight w:val="none"/>
              </w:rPr>
            </w:pPr>
          </w:p>
        </w:tc>
        <w:tc>
          <w:tcPr>
            <w:tcW w:w="35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DAC17FC">
            <w:pPr>
              <w:jc w:val="left"/>
              <w:rPr>
                <w:rFonts w:hint="eastAsia" w:ascii="宋体" w:hAnsi="宋体" w:eastAsia="宋体" w:cs="宋体"/>
                <w:color w:val="auto"/>
                <w:sz w:val="21"/>
                <w:szCs w:val="21"/>
                <w:highlight w:val="none"/>
              </w:rPr>
            </w:pPr>
          </w:p>
        </w:tc>
      </w:tr>
      <w:tr w14:paraId="5AA5D9ED">
        <w:tblPrEx>
          <w:tblCellMar>
            <w:top w:w="0" w:type="dxa"/>
            <w:left w:w="0" w:type="dxa"/>
            <w:bottom w:w="0" w:type="dxa"/>
            <w:right w:w="0" w:type="dxa"/>
          </w:tblCellMar>
        </w:tblPrEx>
        <w:trPr>
          <w:trHeight w:val="446"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A102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八</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BE98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工程计量及合法性</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E52F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是否及时、真实、准确计量</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5D11A">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7C9CE">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DFA73">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96E7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抽查复核，一处不真实、不准确</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w:t>
            </w:r>
            <w:r>
              <w:rPr>
                <w:rFonts w:hint="eastAsia" w:ascii="宋体" w:hAnsi="宋体" w:eastAsia="宋体" w:cs="宋体"/>
                <w:color w:val="auto"/>
                <w:kern w:val="0"/>
                <w:sz w:val="21"/>
                <w:szCs w:val="21"/>
                <w:highlight w:val="none"/>
                <w:lang w:bidi="ar"/>
              </w:rPr>
              <w:t>不及时计量扣</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分，若影响计量结果</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w:t>
            </w:r>
          </w:p>
        </w:tc>
      </w:tr>
      <w:tr w14:paraId="40367A70">
        <w:tblPrEx>
          <w:tblCellMar>
            <w:top w:w="0" w:type="dxa"/>
            <w:left w:w="0" w:type="dxa"/>
            <w:bottom w:w="0" w:type="dxa"/>
            <w:right w:w="0" w:type="dxa"/>
          </w:tblCellMar>
        </w:tblPrEx>
        <w:trPr>
          <w:trHeight w:val="523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F1AD3">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19793">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A948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计量记录、简图及影像资料是否齐全，计量方法是否规范</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D777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5BD8F8">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194F4">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EF6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eastAsia="zh-CN" w:bidi="ar"/>
              </w:rPr>
              <w:t>计量资料中中期计量单、计量底稿、影像资料应一一对应；</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隐蔽工程计量时应留下带有位置、桩号、计量标记等可识别的影像资料，必要的简图和计算底稿</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.工程场地平整、绿化土方、建筑垃圾等涉及土石方工程量的计量，应附详细测量记录</w:t>
            </w:r>
            <w:r>
              <w:rPr>
                <w:rFonts w:hint="eastAsia" w:ascii="宋体" w:hAnsi="宋体" w:eastAsia="宋体" w:cs="宋体"/>
                <w:color w:val="auto"/>
                <w:kern w:val="0"/>
                <w:sz w:val="21"/>
                <w:szCs w:val="21"/>
                <w:highlight w:val="none"/>
                <w:lang w:eastAsia="zh-CN" w:bidi="ar"/>
              </w:rPr>
              <w:t>。道路桥梁类与原始地形地貌发生重大变化的土方及建筑垃圾；道路桥梁类不规则不易计量或总量超过</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000方</w:t>
            </w:r>
            <w:r>
              <w:rPr>
                <w:rFonts w:hint="eastAsia" w:ascii="宋体" w:hAnsi="宋体" w:eastAsia="宋体" w:cs="宋体"/>
                <w:color w:val="auto"/>
                <w:kern w:val="0"/>
                <w:sz w:val="21"/>
                <w:szCs w:val="21"/>
                <w:highlight w:val="none"/>
                <w:lang w:eastAsia="zh-CN" w:bidi="ar"/>
              </w:rPr>
              <w:t>的沟塘清淤；景观、水环境类地形复杂或地形地貌发生重大变化数量超过</w:t>
            </w:r>
            <w:r>
              <w:rPr>
                <w:rFonts w:hint="eastAsia" w:ascii="宋体" w:hAnsi="宋体" w:eastAsia="宋体" w:cs="宋体"/>
                <w:color w:val="auto"/>
                <w:kern w:val="0"/>
                <w:sz w:val="21"/>
                <w:szCs w:val="21"/>
                <w:highlight w:val="none"/>
                <w:lang w:val="en-US" w:eastAsia="zh-CN" w:bidi="ar"/>
              </w:rPr>
              <w:t>1000方的挖填土方；房建类基槽开挖前的原地貌测绘，</w:t>
            </w:r>
            <w:r>
              <w:rPr>
                <w:rFonts w:hint="eastAsia" w:ascii="宋体" w:hAnsi="宋体" w:eastAsia="宋体" w:cs="宋体"/>
                <w:color w:val="auto"/>
                <w:kern w:val="0"/>
                <w:sz w:val="21"/>
                <w:szCs w:val="21"/>
                <w:highlight w:val="none"/>
                <w:lang w:bidi="ar"/>
              </w:rPr>
              <w:t>应</w:t>
            </w:r>
            <w:r>
              <w:rPr>
                <w:rFonts w:hint="eastAsia" w:ascii="宋体" w:hAnsi="宋体" w:eastAsia="宋体" w:cs="宋体"/>
                <w:color w:val="auto"/>
                <w:kern w:val="0"/>
                <w:sz w:val="21"/>
                <w:szCs w:val="21"/>
                <w:highlight w:val="none"/>
                <w:lang w:eastAsia="zh-CN" w:bidi="ar"/>
              </w:rPr>
              <w:t>书面</w:t>
            </w:r>
            <w:r>
              <w:rPr>
                <w:rFonts w:hint="eastAsia" w:ascii="宋体" w:hAnsi="宋体" w:eastAsia="宋体" w:cs="宋体"/>
                <w:color w:val="auto"/>
                <w:kern w:val="0"/>
                <w:sz w:val="21"/>
                <w:szCs w:val="21"/>
                <w:highlight w:val="none"/>
                <w:lang w:bidi="ar"/>
              </w:rPr>
              <w:t>提请业主请测绘部门测绘</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.土方地形变化较大的，应保留施工前后对应的影像资料。不好0分、一般</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分、较好8分、很好10分</w:t>
            </w:r>
          </w:p>
        </w:tc>
      </w:tr>
      <w:tr w14:paraId="5846FCF3">
        <w:tblPrEx>
          <w:tblCellMar>
            <w:top w:w="0" w:type="dxa"/>
            <w:left w:w="0" w:type="dxa"/>
            <w:bottom w:w="0" w:type="dxa"/>
            <w:right w:w="0" w:type="dxa"/>
          </w:tblCellMar>
        </w:tblPrEx>
        <w:trPr>
          <w:trHeight w:val="579"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B82C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九</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B5E4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工程变更程序（包括暂定量项目）</w:t>
            </w:r>
          </w:p>
        </w:tc>
        <w:tc>
          <w:tcPr>
            <w:tcW w:w="2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ACA5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工程变更手续是否及时、规范办理，证明资料是否齐全，否则有无书面催告</w:t>
            </w:r>
          </w:p>
        </w:tc>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38E6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w:t>
            </w:r>
          </w:p>
        </w:tc>
        <w:tc>
          <w:tcPr>
            <w:tcW w:w="5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55ABE">
            <w:pPr>
              <w:jc w:val="left"/>
              <w:rPr>
                <w:rFonts w:hint="eastAsia" w:ascii="宋体" w:hAnsi="宋体" w:eastAsia="宋体" w:cs="宋体"/>
                <w:color w:val="auto"/>
                <w:sz w:val="24"/>
                <w:szCs w:val="24"/>
                <w:highlight w:val="none"/>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DDB97">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5FB1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不好0分、一般</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分、较好5分、很好7分</w:t>
            </w:r>
            <w:r>
              <w:rPr>
                <w:rFonts w:hint="eastAsia" w:ascii="宋体" w:hAnsi="宋体" w:eastAsia="宋体" w:cs="宋体"/>
                <w:color w:val="auto"/>
                <w:kern w:val="0"/>
                <w:sz w:val="21"/>
                <w:szCs w:val="21"/>
                <w:highlight w:val="none"/>
                <w:lang w:val="en-US" w:eastAsia="zh-CN" w:bidi="ar"/>
              </w:rPr>
              <w:t>（本项业主代表参与打分）</w:t>
            </w:r>
          </w:p>
        </w:tc>
      </w:tr>
      <w:tr w14:paraId="31903DD4">
        <w:tblPrEx>
          <w:tblCellMar>
            <w:top w:w="0" w:type="dxa"/>
            <w:left w:w="0" w:type="dxa"/>
            <w:bottom w:w="0" w:type="dxa"/>
            <w:right w:w="0" w:type="dxa"/>
          </w:tblCellMar>
        </w:tblPrEx>
        <w:trPr>
          <w:trHeight w:val="31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DD2874">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83608">
            <w:pPr>
              <w:jc w:val="center"/>
              <w:rPr>
                <w:rFonts w:hint="eastAsia" w:ascii="宋体" w:hAnsi="宋体" w:eastAsia="宋体" w:cs="宋体"/>
                <w:color w:val="auto"/>
                <w:sz w:val="24"/>
                <w:szCs w:val="24"/>
                <w:highlight w:val="none"/>
              </w:rPr>
            </w:pPr>
          </w:p>
        </w:tc>
        <w:tc>
          <w:tcPr>
            <w:tcW w:w="2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159B0">
            <w:pPr>
              <w:jc w:val="left"/>
              <w:rPr>
                <w:rFonts w:hint="eastAsia" w:ascii="宋体" w:hAnsi="宋体" w:eastAsia="宋体" w:cs="宋体"/>
                <w:color w:val="auto"/>
                <w:sz w:val="24"/>
                <w:szCs w:val="24"/>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C9215">
            <w:pPr>
              <w:jc w:val="center"/>
              <w:rPr>
                <w:rFonts w:hint="eastAsia" w:ascii="宋体" w:hAnsi="宋体" w:eastAsia="宋体" w:cs="宋体"/>
                <w:color w:val="auto"/>
                <w:sz w:val="24"/>
                <w:szCs w:val="24"/>
                <w:highlight w:val="none"/>
              </w:rPr>
            </w:pPr>
          </w:p>
        </w:tc>
        <w:tc>
          <w:tcPr>
            <w:tcW w:w="5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49DDB">
            <w:pPr>
              <w:jc w:val="left"/>
              <w:rPr>
                <w:rFonts w:hint="eastAsia" w:ascii="宋体" w:hAnsi="宋体" w:eastAsia="宋体" w:cs="宋体"/>
                <w:color w:val="auto"/>
                <w:sz w:val="24"/>
                <w:szCs w:val="24"/>
                <w:highlight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9B6A3">
            <w:pPr>
              <w:jc w:val="left"/>
              <w:rPr>
                <w:rFonts w:hint="eastAsia" w:ascii="宋体" w:hAnsi="宋体" w:eastAsia="宋体" w:cs="宋体"/>
                <w:color w:val="auto"/>
                <w:sz w:val="24"/>
                <w:szCs w:val="24"/>
                <w:highlight w:val="none"/>
              </w:rPr>
            </w:pPr>
          </w:p>
        </w:tc>
        <w:tc>
          <w:tcPr>
            <w:tcW w:w="3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47692">
            <w:pPr>
              <w:jc w:val="left"/>
              <w:rPr>
                <w:rFonts w:hint="eastAsia" w:ascii="宋体" w:hAnsi="宋体" w:eastAsia="宋体" w:cs="宋体"/>
                <w:color w:val="auto"/>
                <w:sz w:val="21"/>
                <w:szCs w:val="21"/>
                <w:highlight w:val="none"/>
              </w:rPr>
            </w:pPr>
          </w:p>
        </w:tc>
      </w:tr>
      <w:tr w14:paraId="3DA5624E">
        <w:tblPrEx>
          <w:tblCellMar>
            <w:top w:w="0" w:type="dxa"/>
            <w:left w:w="0" w:type="dxa"/>
            <w:bottom w:w="0" w:type="dxa"/>
            <w:right w:w="0" w:type="dxa"/>
          </w:tblCellMar>
        </w:tblPrEx>
        <w:trPr>
          <w:trHeight w:val="57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300FF">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E605A1">
            <w:pPr>
              <w:jc w:val="center"/>
              <w:rPr>
                <w:rFonts w:hint="eastAsia" w:ascii="宋体" w:hAnsi="宋体" w:eastAsia="宋体" w:cs="宋体"/>
                <w:color w:val="auto"/>
                <w:sz w:val="24"/>
                <w:szCs w:val="24"/>
                <w:highlight w:val="none"/>
              </w:rPr>
            </w:pPr>
          </w:p>
        </w:tc>
        <w:tc>
          <w:tcPr>
            <w:tcW w:w="2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8DCA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估算造价超过</w:t>
            </w: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万元的重大事项是否上报</w:t>
            </w:r>
          </w:p>
        </w:tc>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2250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5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05E49">
            <w:pPr>
              <w:jc w:val="left"/>
              <w:rPr>
                <w:rFonts w:hint="eastAsia" w:ascii="宋体" w:hAnsi="宋体" w:eastAsia="宋体" w:cs="宋体"/>
                <w:color w:val="auto"/>
                <w:sz w:val="24"/>
                <w:szCs w:val="24"/>
                <w:highlight w:val="none"/>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346CB">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4E1DE">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单个变更事项一项不符合要求</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0分（本项业主代表参与打分）</w:t>
            </w:r>
          </w:p>
        </w:tc>
      </w:tr>
      <w:tr w14:paraId="512808E8">
        <w:tblPrEx>
          <w:tblCellMar>
            <w:top w:w="0" w:type="dxa"/>
            <w:left w:w="0" w:type="dxa"/>
            <w:bottom w:w="0" w:type="dxa"/>
            <w:right w:w="0" w:type="dxa"/>
          </w:tblCellMar>
        </w:tblPrEx>
        <w:trPr>
          <w:trHeight w:val="31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1145B">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18D5F">
            <w:pPr>
              <w:jc w:val="center"/>
              <w:rPr>
                <w:rFonts w:hint="eastAsia" w:ascii="宋体" w:hAnsi="宋体" w:eastAsia="宋体" w:cs="宋体"/>
                <w:color w:val="auto"/>
                <w:sz w:val="24"/>
                <w:szCs w:val="24"/>
                <w:highlight w:val="none"/>
              </w:rPr>
            </w:pPr>
          </w:p>
        </w:tc>
        <w:tc>
          <w:tcPr>
            <w:tcW w:w="2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6DA39">
            <w:pPr>
              <w:jc w:val="left"/>
              <w:rPr>
                <w:rFonts w:hint="eastAsia" w:ascii="宋体" w:hAnsi="宋体" w:eastAsia="宋体" w:cs="宋体"/>
                <w:color w:val="auto"/>
                <w:sz w:val="24"/>
                <w:szCs w:val="24"/>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96FDA">
            <w:pPr>
              <w:jc w:val="center"/>
              <w:rPr>
                <w:rFonts w:hint="eastAsia" w:ascii="宋体" w:hAnsi="宋体" w:eastAsia="宋体" w:cs="宋体"/>
                <w:color w:val="auto"/>
                <w:sz w:val="24"/>
                <w:szCs w:val="24"/>
                <w:highlight w:val="none"/>
              </w:rPr>
            </w:pPr>
          </w:p>
        </w:tc>
        <w:tc>
          <w:tcPr>
            <w:tcW w:w="5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2E28A">
            <w:pPr>
              <w:jc w:val="left"/>
              <w:rPr>
                <w:rFonts w:hint="eastAsia" w:ascii="宋体" w:hAnsi="宋体" w:eastAsia="宋体" w:cs="宋体"/>
                <w:color w:val="auto"/>
                <w:sz w:val="24"/>
                <w:szCs w:val="24"/>
                <w:highlight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B0054">
            <w:pPr>
              <w:jc w:val="left"/>
              <w:rPr>
                <w:rFonts w:hint="eastAsia" w:ascii="宋体" w:hAnsi="宋体" w:eastAsia="宋体" w:cs="宋体"/>
                <w:color w:val="auto"/>
                <w:sz w:val="24"/>
                <w:szCs w:val="24"/>
                <w:highlight w:val="none"/>
              </w:rPr>
            </w:pPr>
          </w:p>
        </w:tc>
        <w:tc>
          <w:tcPr>
            <w:tcW w:w="3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F92D9">
            <w:pPr>
              <w:jc w:val="left"/>
              <w:rPr>
                <w:rFonts w:hint="eastAsia" w:ascii="宋体" w:hAnsi="宋体" w:eastAsia="宋体" w:cs="宋体"/>
                <w:color w:val="auto"/>
                <w:sz w:val="21"/>
                <w:szCs w:val="21"/>
                <w:highlight w:val="none"/>
              </w:rPr>
            </w:pPr>
          </w:p>
        </w:tc>
      </w:tr>
      <w:tr w14:paraId="640382F9">
        <w:tblPrEx>
          <w:tblCellMar>
            <w:top w:w="0" w:type="dxa"/>
            <w:left w:w="0" w:type="dxa"/>
            <w:bottom w:w="0" w:type="dxa"/>
            <w:right w:w="0" w:type="dxa"/>
          </w:tblCellMar>
        </w:tblPrEx>
        <w:trPr>
          <w:trHeight w:val="1068"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58EB962">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十</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C0FA3D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内部控制程序</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0C2917">
            <w:pPr>
              <w:widowControl/>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对工程项目暂定价设备和材料价格参与市场考察、独立调查或审查并提出意见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4D4D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9DBA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DFFC5">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3D10348">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跟</w:t>
            </w:r>
            <w:r>
              <w:rPr>
                <w:rFonts w:hint="eastAsia" w:ascii="宋体" w:hAnsi="宋体" w:eastAsia="宋体" w:cs="宋体"/>
                <w:color w:val="auto"/>
                <w:kern w:val="0"/>
                <w:sz w:val="21"/>
                <w:szCs w:val="21"/>
                <w:highlight w:val="none"/>
                <w:lang w:eastAsia="zh-CN" w:bidi="ar"/>
              </w:rPr>
              <w:t>审</w:t>
            </w:r>
            <w:r>
              <w:rPr>
                <w:rFonts w:hint="eastAsia" w:ascii="宋体" w:hAnsi="宋体" w:eastAsia="宋体" w:cs="宋体"/>
                <w:color w:val="auto"/>
                <w:kern w:val="0"/>
                <w:sz w:val="21"/>
                <w:szCs w:val="21"/>
                <w:highlight w:val="none"/>
                <w:lang w:bidi="ar"/>
              </w:rPr>
              <w:t>人员对工地所需暂定价材料、设备价格要定期询价，随时</w:t>
            </w:r>
            <w:r>
              <w:rPr>
                <w:rFonts w:hint="eastAsia" w:ascii="宋体" w:hAnsi="宋体" w:eastAsia="宋体" w:cs="宋体"/>
                <w:color w:val="auto"/>
                <w:kern w:val="0"/>
                <w:sz w:val="21"/>
                <w:szCs w:val="21"/>
                <w:highlight w:val="none"/>
                <w:lang w:eastAsia="zh-CN" w:bidi="ar"/>
              </w:rPr>
              <w:t>掌握</w:t>
            </w:r>
            <w:r>
              <w:rPr>
                <w:rFonts w:hint="eastAsia" w:ascii="宋体" w:hAnsi="宋体" w:eastAsia="宋体" w:cs="宋体"/>
                <w:color w:val="auto"/>
                <w:kern w:val="0"/>
                <w:sz w:val="21"/>
                <w:szCs w:val="21"/>
                <w:highlight w:val="none"/>
                <w:lang w:bidi="ar"/>
              </w:rPr>
              <w:t>价格的变化情况，为业主提供准确的价格信息，做好询价记录备查</w:t>
            </w:r>
          </w:p>
        </w:tc>
      </w:tr>
      <w:tr w14:paraId="554C437B">
        <w:tblPrEx>
          <w:tblCellMar>
            <w:top w:w="0" w:type="dxa"/>
            <w:left w:w="0" w:type="dxa"/>
            <w:bottom w:w="0" w:type="dxa"/>
            <w:right w:w="0" w:type="dxa"/>
          </w:tblCellMar>
        </w:tblPrEx>
        <w:trPr>
          <w:trHeight w:val="1275"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CC89897">
            <w:pPr>
              <w:jc w:val="center"/>
              <w:rPr>
                <w:rFonts w:hint="eastAsia" w:ascii="宋体" w:hAnsi="宋体" w:eastAsia="宋体" w:cs="宋体"/>
                <w:color w:val="auto"/>
                <w:sz w:val="24"/>
                <w:szCs w:val="24"/>
                <w:highlight w:val="none"/>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E40B81F">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84B5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协助业主审核因设计变更、现场签证等发生的费用，相应调整造价控制目标，并及时向业主提供造价控制动态分析报告</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43674">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02773">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9B19B">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8B09C">
            <w:pPr>
              <w:widowControl/>
              <w:jc w:val="left"/>
              <w:textAlignment w:val="center"/>
              <w:rPr>
                <w:rFonts w:hint="eastAsia" w:ascii="宋体" w:hAnsi="宋体" w:eastAsia="宋体" w:cs="宋体"/>
                <w:color w:val="auto"/>
                <w:sz w:val="21"/>
                <w:szCs w:val="21"/>
                <w:highlight w:val="none"/>
              </w:rPr>
            </w:pPr>
          </w:p>
        </w:tc>
      </w:tr>
      <w:tr w14:paraId="4D29D9A0">
        <w:tblPrEx>
          <w:tblCellMar>
            <w:top w:w="0" w:type="dxa"/>
            <w:left w:w="0" w:type="dxa"/>
            <w:bottom w:w="0" w:type="dxa"/>
            <w:right w:w="0" w:type="dxa"/>
          </w:tblCellMar>
        </w:tblPrEx>
        <w:trPr>
          <w:trHeight w:val="3000" w:hRule="atLeast"/>
          <w:jc w:val="center"/>
        </w:trPr>
        <w:tc>
          <w:tcPr>
            <w:tcW w:w="556" w:type="dxa"/>
            <w:tcBorders>
              <w:top w:val="nil"/>
              <w:left w:val="single" w:color="000000" w:sz="4" w:space="0"/>
              <w:bottom w:val="nil"/>
              <w:right w:val="single" w:color="000000" w:sz="4" w:space="0"/>
            </w:tcBorders>
            <w:noWrap w:val="0"/>
            <w:tcMar>
              <w:top w:w="15" w:type="dxa"/>
              <w:left w:w="15" w:type="dxa"/>
              <w:right w:w="15" w:type="dxa"/>
            </w:tcMar>
            <w:vAlign w:val="center"/>
          </w:tcPr>
          <w:p w14:paraId="4416004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十一</w:t>
            </w:r>
          </w:p>
        </w:tc>
        <w:tc>
          <w:tcPr>
            <w:tcW w:w="892" w:type="dxa"/>
            <w:tcBorders>
              <w:top w:val="nil"/>
              <w:left w:val="single" w:color="000000" w:sz="4" w:space="0"/>
              <w:right w:val="single" w:color="000000" w:sz="4" w:space="0"/>
            </w:tcBorders>
            <w:noWrap w:val="0"/>
            <w:tcMar>
              <w:top w:w="15" w:type="dxa"/>
              <w:left w:w="15" w:type="dxa"/>
              <w:right w:w="15" w:type="dxa"/>
            </w:tcMar>
            <w:vAlign w:val="center"/>
          </w:tcPr>
          <w:p w14:paraId="6080295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廉洁自律</w:t>
            </w:r>
          </w:p>
        </w:tc>
        <w:tc>
          <w:tcPr>
            <w:tcW w:w="2720" w:type="dxa"/>
            <w:tcBorders>
              <w:top w:val="nil"/>
              <w:left w:val="single" w:color="000000" w:sz="4" w:space="0"/>
              <w:right w:val="single" w:color="000000" w:sz="4" w:space="0"/>
            </w:tcBorders>
            <w:noWrap w:val="0"/>
            <w:tcMar>
              <w:top w:w="15" w:type="dxa"/>
              <w:left w:w="15" w:type="dxa"/>
              <w:right w:w="15" w:type="dxa"/>
            </w:tcMar>
            <w:vAlign w:val="center"/>
          </w:tcPr>
          <w:p w14:paraId="7C94B81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审计单位是否保持廉洁自律要求</w:t>
            </w:r>
          </w:p>
        </w:tc>
        <w:tc>
          <w:tcPr>
            <w:tcW w:w="712" w:type="dxa"/>
            <w:tcBorders>
              <w:top w:val="nil"/>
              <w:left w:val="single" w:color="000000" w:sz="4" w:space="0"/>
              <w:right w:val="single" w:color="000000" w:sz="4" w:space="0"/>
            </w:tcBorders>
            <w:noWrap w:val="0"/>
            <w:tcMar>
              <w:top w:w="15" w:type="dxa"/>
              <w:left w:w="15" w:type="dxa"/>
              <w:right w:w="15" w:type="dxa"/>
            </w:tcMar>
            <w:vAlign w:val="center"/>
          </w:tcPr>
          <w:p w14:paraId="10B5996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nil"/>
              <w:left w:val="single" w:color="000000" w:sz="4" w:space="0"/>
              <w:right w:val="single" w:color="000000" w:sz="4" w:space="0"/>
            </w:tcBorders>
            <w:noWrap w:val="0"/>
            <w:tcMar>
              <w:top w:w="15" w:type="dxa"/>
              <w:left w:w="15" w:type="dxa"/>
              <w:right w:w="15" w:type="dxa"/>
            </w:tcMar>
            <w:vAlign w:val="center"/>
          </w:tcPr>
          <w:p w14:paraId="6E2B99B6">
            <w:pPr>
              <w:jc w:val="left"/>
              <w:rPr>
                <w:rFonts w:hint="eastAsia" w:ascii="宋体" w:hAnsi="宋体" w:eastAsia="宋体" w:cs="宋体"/>
                <w:color w:val="auto"/>
                <w:sz w:val="24"/>
                <w:szCs w:val="24"/>
                <w:highlight w:val="none"/>
              </w:rPr>
            </w:pPr>
          </w:p>
        </w:tc>
        <w:tc>
          <w:tcPr>
            <w:tcW w:w="1002" w:type="dxa"/>
            <w:tcBorders>
              <w:top w:val="nil"/>
              <w:left w:val="single" w:color="000000" w:sz="4" w:space="0"/>
              <w:right w:val="single" w:color="000000" w:sz="4" w:space="0"/>
            </w:tcBorders>
            <w:noWrap w:val="0"/>
            <w:tcMar>
              <w:top w:w="15" w:type="dxa"/>
              <w:left w:w="15" w:type="dxa"/>
              <w:right w:w="15" w:type="dxa"/>
            </w:tcMar>
            <w:vAlign w:val="center"/>
          </w:tcPr>
          <w:p w14:paraId="11C1DFFA">
            <w:pPr>
              <w:jc w:val="center"/>
              <w:rPr>
                <w:rFonts w:hint="eastAsia" w:ascii="宋体" w:hAnsi="宋体" w:eastAsia="宋体" w:cs="宋体"/>
                <w:color w:val="auto"/>
                <w:sz w:val="24"/>
                <w:szCs w:val="24"/>
                <w:highlight w:val="none"/>
              </w:rPr>
            </w:pPr>
          </w:p>
        </w:tc>
        <w:tc>
          <w:tcPr>
            <w:tcW w:w="3520" w:type="dxa"/>
            <w:tcBorders>
              <w:top w:val="nil"/>
              <w:left w:val="single" w:color="000000" w:sz="4" w:space="0"/>
              <w:right w:val="single" w:color="000000" w:sz="4" w:space="0"/>
            </w:tcBorders>
            <w:noWrap w:val="0"/>
            <w:tcMar>
              <w:top w:w="15" w:type="dxa"/>
              <w:left w:w="15" w:type="dxa"/>
              <w:right w:w="15" w:type="dxa"/>
            </w:tcMar>
            <w:vAlign w:val="center"/>
          </w:tcPr>
          <w:p w14:paraId="50C9A65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有无由被审计单位支付或补贴住宿费、餐费；有无使用被审计单位的交通工具等办理与审计工作无关的事项；有无参加被审计单位安排的旅游、娱乐等活动；有无接受被审计单位的任何礼品；有无在被审计的单位报销任何费用；有无利用审计职权为自己和他人谋利；有无向被审计单位提出任何与审计工作无关的要求。违反审计纪律规定中任何一项的,一经查实，本项分值全部扣除</w:t>
            </w:r>
          </w:p>
        </w:tc>
      </w:tr>
      <w:tr w14:paraId="1C6E2307">
        <w:tblPrEx>
          <w:tblCellMar>
            <w:top w:w="0" w:type="dxa"/>
            <w:left w:w="0" w:type="dxa"/>
            <w:bottom w:w="0" w:type="dxa"/>
            <w:right w:w="0" w:type="dxa"/>
          </w:tblCellMar>
        </w:tblPrEx>
        <w:trPr>
          <w:trHeight w:val="90"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72A4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十二</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556F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附加分事项</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3C51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1.因勘察、设计失误或不合理，可能造成损失浪费等问题，及时提出整改和加强管理的合理化建议</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DF53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06EB4">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B5A9367">
            <w:pPr>
              <w:jc w:val="center"/>
              <w:rPr>
                <w:rFonts w:hint="eastAsia" w:ascii="宋体" w:hAnsi="宋体" w:eastAsia="宋体" w:cs="宋体"/>
                <w:color w:val="auto"/>
                <w:sz w:val="24"/>
                <w:szCs w:val="24"/>
                <w:highlight w:val="none"/>
              </w:rPr>
            </w:pPr>
          </w:p>
        </w:tc>
        <w:tc>
          <w:tcPr>
            <w:tcW w:w="35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B5D95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每一项加分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分，5分为上限</w:t>
            </w:r>
            <w:r>
              <w:rPr>
                <w:rFonts w:hint="eastAsia" w:ascii="宋体" w:hAnsi="宋体" w:eastAsia="宋体" w:cs="宋体"/>
                <w:color w:val="auto"/>
                <w:kern w:val="0"/>
                <w:sz w:val="21"/>
                <w:szCs w:val="21"/>
                <w:highlight w:val="none"/>
                <w:lang w:val="en-US" w:eastAsia="zh-CN" w:bidi="ar"/>
              </w:rPr>
              <w:t>.     确定附加分资料的认定需满足三点要求：（1）满足时效性（设计、地勘等问题的发现需在实施前，未按图施工等问题的发现需为监理未发现但跟审主动发现）；（2）提交建议或发出整改通知函等必需书面；（3）经委托人认可，工程科确认基本事实后由分管领导召集相关科室研究。</w:t>
            </w:r>
          </w:p>
        </w:tc>
      </w:tr>
      <w:tr w14:paraId="7C2D9AD8">
        <w:tblPrEx>
          <w:tblCellMar>
            <w:top w:w="0" w:type="dxa"/>
            <w:left w:w="0" w:type="dxa"/>
            <w:bottom w:w="0" w:type="dxa"/>
            <w:right w:w="0" w:type="dxa"/>
          </w:tblCellMar>
        </w:tblPrEx>
        <w:trPr>
          <w:trHeight w:val="57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B816A">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B23D6">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AC15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现场发现实际施工与设计图纸不一致或与招投标清单特征描述不一致、工程质量不合格等问题并及时取证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7440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7AC1A">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70F07BB">
            <w:pPr>
              <w:jc w:val="center"/>
              <w:rPr>
                <w:rFonts w:hint="eastAsia" w:ascii="宋体" w:hAnsi="宋体" w:eastAsia="宋体" w:cs="宋体"/>
                <w:color w:val="auto"/>
                <w:sz w:val="24"/>
                <w:szCs w:val="24"/>
                <w:highlight w:val="none"/>
              </w:rPr>
            </w:pPr>
          </w:p>
        </w:tc>
        <w:tc>
          <w:tcPr>
            <w:tcW w:w="35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4280D1">
            <w:pPr>
              <w:widowControl/>
              <w:jc w:val="left"/>
              <w:textAlignment w:val="center"/>
              <w:rPr>
                <w:rFonts w:hint="eastAsia" w:ascii="宋体" w:hAnsi="宋体" w:eastAsia="宋体" w:cs="宋体"/>
                <w:color w:val="auto"/>
                <w:sz w:val="21"/>
                <w:szCs w:val="21"/>
                <w:highlight w:val="none"/>
              </w:rPr>
            </w:pPr>
          </w:p>
        </w:tc>
      </w:tr>
      <w:tr w14:paraId="01A763FB">
        <w:tblPrEx>
          <w:tblCellMar>
            <w:top w:w="0" w:type="dxa"/>
            <w:left w:w="0" w:type="dxa"/>
            <w:bottom w:w="0" w:type="dxa"/>
            <w:right w:w="0" w:type="dxa"/>
          </w:tblCellMar>
        </w:tblPrEx>
        <w:trPr>
          <w:trHeight w:val="431"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0E471">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C080A">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02F3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暂定项目招标或其他采购方式价格明显异常，及时上报</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AA73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568E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D8E826B">
            <w:pPr>
              <w:jc w:val="center"/>
              <w:rPr>
                <w:rFonts w:hint="eastAsia" w:ascii="宋体" w:hAnsi="宋体" w:eastAsia="宋体" w:cs="宋体"/>
                <w:color w:val="auto"/>
                <w:sz w:val="24"/>
                <w:szCs w:val="24"/>
                <w:highlight w:val="none"/>
              </w:rPr>
            </w:pPr>
          </w:p>
        </w:tc>
        <w:tc>
          <w:tcPr>
            <w:tcW w:w="35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94F488">
            <w:pPr>
              <w:widowControl/>
              <w:jc w:val="left"/>
              <w:textAlignment w:val="center"/>
              <w:rPr>
                <w:rFonts w:hint="eastAsia" w:ascii="宋体" w:hAnsi="宋体" w:eastAsia="宋体" w:cs="宋体"/>
                <w:color w:val="auto"/>
                <w:sz w:val="21"/>
                <w:szCs w:val="21"/>
                <w:highlight w:val="none"/>
              </w:rPr>
            </w:pPr>
          </w:p>
        </w:tc>
      </w:tr>
      <w:tr w14:paraId="45D41641">
        <w:tblPrEx>
          <w:tblCellMar>
            <w:top w:w="0" w:type="dxa"/>
            <w:left w:w="0" w:type="dxa"/>
            <w:bottom w:w="0" w:type="dxa"/>
            <w:right w:w="0" w:type="dxa"/>
          </w:tblCellMar>
        </w:tblPrEx>
        <w:trPr>
          <w:trHeight w:val="228"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84F4A">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8EF9E">
            <w:pPr>
              <w:jc w:val="center"/>
              <w:rPr>
                <w:rFonts w:hint="eastAsia" w:ascii="宋体" w:hAnsi="宋体" w:eastAsia="宋体" w:cs="宋体"/>
                <w:color w:val="auto"/>
                <w:sz w:val="24"/>
                <w:szCs w:val="24"/>
                <w:highlight w:val="none"/>
              </w:rPr>
            </w:pPr>
          </w:p>
        </w:tc>
        <w:tc>
          <w:tcPr>
            <w:tcW w:w="272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535799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发现并移交经济案件线索且被立案查处</w:t>
            </w:r>
          </w:p>
        </w:tc>
        <w:tc>
          <w:tcPr>
            <w:tcW w:w="71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802A08D">
            <w:pPr>
              <w:jc w:val="center"/>
              <w:rPr>
                <w:rFonts w:hint="eastAsia" w:ascii="宋体" w:hAnsi="宋体" w:eastAsia="宋体" w:cs="宋体"/>
                <w:color w:val="auto"/>
                <w:sz w:val="24"/>
                <w:szCs w:val="24"/>
                <w:highlight w:val="none"/>
              </w:rPr>
            </w:pPr>
          </w:p>
        </w:tc>
        <w:tc>
          <w:tcPr>
            <w:tcW w:w="59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95479D5">
            <w:pPr>
              <w:jc w:val="left"/>
              <w:rPr>
                <w:rFonts w:hint="eastAsia" w:ascii="宋体" w:hAnsi="宋体" w:eastAsia="宋体" w:cs="宋体"/>
                <w:color w:val="auto"/>
                <w:sz w:val="24"/>
                <w:szCs w:val="24"/>
                <w:highlight w:val="none"/>
              </w:rPr>
            </w:pPr>
          </w:p>
        </w:tc>
        <w:tc>
          <w:tcPr>
            <w:tcW w:w="1002" w:type="dxa"/>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14:paraId="2111ED40">
            <w:pPr>
              <w:jc w:val="left"/>
              <w:rPr>
                <w:rFonts w:hint="eastAsia" w:ascii="宋体" w:hAnsi="宋体" w:eastAsia="宋体" w:cs="宋体"/>
                <w:color w:val="auto"/>
                <w:sz w:val="24"/>
                <w:szCs w:val="24"/>
                <w:highlight w:val="none"/>
              </w:rPr>
            </w:pPr>
          </w:p>
        </w:tc>
        <w:tc>
          <w:tcPr>
            <w:tcW w:w="35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1304A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每件加5分</w:t>
            </w:r>
          </w:p>
        </w:tc>
      </w:tr>
      <w:tr w14:paraId="06788983">
        <w:tblPrEx>
          <w:tblCellMar>
            <w:top w:w="0" w:type="dxa"/>
            <w:left w:w="0" w:type="dxa"/>
            <w:bottom w:w="0" w:type="dxa"/>
            <w:right w:w="0" w:type="dxa"/>
          </w:tblCellMar>
        </w:tblPrEx>
        <w:trPr>
          <w:trHeight w:val="445" w:hRule="atLeast"/>
          <w:jc w:val="center"/>
        </w:trPr>
        <w:tc>
          <w:tcPr>
            <w:tcW w:w="48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2EC5C">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5B62B2">
            <w:pPr>
              <w:jc w:val="left"/>
              <w:rPr>
                <w:rFonts w:hint="eastAsia" w:ascii="宋体" w:hAnsi="宋体" w:eastAsia="宋体" w:cs="宋体"/>
                <w:b/>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60612">
            <w:pPr>
              <w:jc w:val="left"/>
              <w:rPr>
                <w:rFonts w:hint="eastAsia" w:ascii="宋体" w:hAnsi="宋体" w:eastAsia="宋体" w:cs="宋体"/>
                <w:b/>
                <w:color w:val="auto"/>
                <w:sz w:val="24"/>
                <w:szCs w:val="24"/>
                <w:highlight w:val="none"/>
              </w:rPr>
            </w:pPr>
          </w:p>
        </w:tc>
        <w:tc>
          <w:tcPr>
            <w:tcW w:w="35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521FD">
            <w:pPr>
              <w:jc w:val="left"/>
              <w:rPr>
                <w:rFonts w:hint="eastAsia" w:ascii="宋体" w:hAnsi="宋体" w:eastAsia="宋体" w:cs="宋体"/>
                <w:color w:val="auto"/>
                <w:sz w:val="24"/>
                <w:szCs w:val="24"/>
                <w:highlight w:val="none"/>
              </w:rPr>
            </w:pPr>
          </w:p>
        </w:tc>
      </w:tr>
      <w:tr w14:paraId="69155607">
        <w:tblPrEx>
          <w:tblCellMar>
            <w:top w:w="0" w:type="dxa"/>
            <w:left w:w="0" w:type="dxa"/>
            <w:bottom w:w="0" w:type="dxa"/>
            <w:right w:w="0" w:type="dxa"/>
          </w:tblCellMar>
        </w:tblPrEx>
        <w:trPr>
          <w:trHeight w:val="1005" w:hRule="atLeast"/>
          <w:jc w:val="center"/>
        </w:trPr>
        <w:tc>
          <w:tcPr>
            <w:tcW w:w="999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E092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跟审</w:t>
            </w:r>
            <w:r>
              <w:rPr>
                <w:rFonts w:hint="eastAsia" w:ascii="宋体" w:hAnsi="宋体" w:eastAsia="宋体" w:cs="宋体"/>
                <w:color w:val="auto"/>
                <w:kern w:val="0"/>
                <w:sz w:val="24"/>
                <w:szCs w:val="24"/>
                <w:highlight w:val="none"/>
                <w:lang w:eastAsia="zh-CN" w:bidi="ar"/>
              </w:rPr>
              <w:t>企业</w:t>
            </w:r>
            <w:r>
              <w:rPr>
                <w:rFonts w:hint="eastAsia" w:ascii="宋体" w:hAnsi="宋体" w:eastAsia="宋体" w:cs="宋体"/>
                <w:color w:val="auto"/>
                <w:kern w:val="0"/>
                <w:sz w:val="24"/>
                <w:szCs w:val="24"/>
                <w:highlight w:val="none"/>
                <w:lang w:bidi="ar"/>
              </w:rPr>
              <w:t xml:space="preserve">签字：                   </w:t>
            </w:r>
            <w:r>
              <w:rPr>
                <w:rFonts w:hint="eastAsia" w:ascii="宋体" w:hAnsi="宋体" w:eastAsia="宋体" w:cs="宋体"/>
                <w:color w:val="auto"/>
                <w:kern w:val="0"/>
                <w:sz w:val="24"/>
                <w:szCs w:val="24"/>
                <w:highlight w:val="none"/>
                <w:lang w:eastAsia="zh-CN" w:bidi="ar"/>
              </w:rPr>
              <w:t>考核组</w:t>
            </w:r>
            <w:r>
              <w:rPr>
                <w:rFonts w:hint="eastAsia" w:ascii="宋体" w:hAnsi="宋体" w:eastAsia="宋体" w:cs="宋体"/>
                <w:color w:val="auto"/>
                <w:kern w:val="0"/>
                <w:sz w:val="24"/>
                <w:szCs w:val="24"/>
                <w:highlight w:val="none"/>
                <w:lang w:bidi="ar"/>
              </w:rPr>
              <w:t xml:space="preserve">签字 ：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3"/>
                <w:rFonts w:hint="eastAsia" w:ascii="宋体" w:hAnsi="宋体" w:eastAsia="宋体" w:cs="宋体"/>
                <w:color w:val="auto"/>
                <w:sz w:val="24"/>
                <w:szCs w:val="24"/>
                <w:highlight w:val="none"/>
                <w:lang w:val="en-US" w:eastAsia="zh-CN" w:bidi="ar"/>
              </w:rPr>
              <w:t xml:space="preserve">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3"/>
                <w:rFonts w:hint="eastAsia" w:ascii="宋体" w:hAnsi="宋体" w:eastAsia="宋体" w:cs="宋体"/>
                <w:color w:val="auto"/>
                <w:sz w:val="24"/>
                <w:szCs w:val="24"/>
                <w:highlight w:val="none"/>
                <w:lang w:val="en-US" w:eastAsia="zh-CN" w:bidi="ar"/>
              </w:rPr>
              <w:t xml:space="preserve">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 xml:space="preserve">日     </w:t>
            </w:r>
          </w:p>
        </w:tc>
      </w:tr>
    </w:tbl>
    <w:p w14:paraId="7CE4C063">
      <w:pPr>
        <w:pStyle w:val="44"/>
        <w:ind w:left="0" w:leftChars="0" w:firstLine="0" w:firstLineChars="0"/>
        <w:rPr>
          <w:rFonts w:hint="eastAsia" w:ascii="宋体" w:hAnsi="宋体" w:eastAsia="宋体" w:cs="宋体"/>
          <w:color w:val="auto"/>
          <w:sz w:val="32"/>
          <w:szCs w:val="32"/>
          <w:highlight w:val="none"/>
        </w:rPr>
      </w:pPr>
    </w:p>
    <w:p w14:paraId="5502A1D9">
      <w:pPr>
        <w:pStyle w:val="44"/>
        <w:ind w:left="0" w:leftChars="0" w:firstLine="0" w:firstLineChars="0"/>
        <w:rPr>
          <w:rFonts w:hint="eastAsia" w:ascii="宋体" w:hAnsi="宋体" w:eastAsia="宋体" w:cs="宋体"/>
          <w:color w:val="auto"/>
          <w:sz w:val="32"/>
          <w:szCs w:val="32"/>
          <w:highlight w:val="none"/>
        </w:rPr>
      </w:pPr>
    </w:p>
    <w:p w14:paraId="02443E0A">
      <w:pPr>
        <w:pStyle w:val="44"/>
        <w:ind w:left="0" w:leftChars="0" w:firstLine="0" w:firstLineChars="0"/>
        <w:rPr>
          <w:rFonts w:hint="eastAsia" w:ascii="宋体" w:hAnsi="宋体" w:eastAsia="宋体" w:cs="宋体"/>
          <w:color w:val="auto"/>
          <w:sz w:val="32"/>
          <w:szCs w:val="32"/>
          <w:highlight w:val="none"/>
        </w:rPr>
      </w:pPr>
    </w:p>
    <w:p w14:paraId="2033E274">
      <w:pPr>
        <w:pStyle w:val="44"/>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w:t>
      </w:r>
    </w:p>
    <w:tbl>
      <w:tblPr>
        <w:tblStyle w:val="45"/>
        <w:tblW w:w="9998" w:type="dxa"/>
        <w:jc w:val="center"/>
        <w:tblLayout w:type="fixed"/>
        <w:tblCellMar>
          <w:top w:w="0" w:type="dxa"/>
          <w:left w:w="0" w:type="dxa"/>
          <w:bottom w:w="0" w:type="dxa"/>
          <w:right w:w="0" w:type="dxa"/>
        </w:tblCellMar>
      </w:tblPr>
      <w:tblGrid>
        <w:gridCol w:w="556"/>
        <w:gridCol w:w="1084"/>
        <w:gridCol w:w="2670"/>
        <w:gridCol w:w="570"/>
        <w:gridCol w:w="596"/>
        <w:gridCol w:w="927"/>
        <w:gridCol w:w="3595"/>
      </w:tblGrid>
      <w:tr w14:paraId="1F8C3683">
        <w:tblPrEx>
          <w:tblCellMar>
            <w:top w:w="0" w:type="dxa"/>
            <w:left w:w="0" w:type="dxa"/>
            <w:bottom w:w="0" w:type="dxa"/>
            <w:right w:w="0" w:type="dxa"/>
          </w:tblCellMar>
        </w:tblPrEx>
        <w:trPr>
          <w:trHeight w:val="435" w:hRule="atLeast"/>
          <w:jc w:val="center"/>
        </w:trPr>
        <w:tc>
          <w:tcPr>
            <w:tcW w:w="9998" w:type="dxa"/>
            <w:gridSpan w:val="7"/>
            <w:tcBorders>
              <w:top w:val="nil"/>
              <w:left w:val="nil"/>
              <w:bottom w:val="single" w:color="000000" w:sz="4" w:space="0"/>
              <w:right w:val="nil"/>
            </w:tcBorders>
            <w:noWrap w:val="0"/>
            <w:tcMar>
              <w:top w:w="15" w:type="dxa"/>
              <w:left w:w="15" w:type="dxa"/>
              <w:right w:w="15" w:type="dxa"/>
            </w:tcMar>
            <w:vAlign w:val="center"/>
          </w:tcPr>
          <w:p w14:paraId="41284645">
            <w:pPr>
              <w:widowControl/>
              <w:jc w:val="center"/>
              <w:textAlignment w:val="center"/>
              <w:rPr>
                <w:rFonts w:hint="eastAsia" w:ascii="宋体" w:hAnsi="宋体" w:eastAsia="宋体" w:cs="宋体"/>
                <w:b/>
                <w:color w:val="auto"/>
                <w:szCs w:val="32"/>
                <w:highlight w:val="none"/>
              </w:rPr>
            </w:pPr>
            <w:r>
              <w:rPr>
                <w:rStyle w:val="155"/>
                <w:rFonts w:hint="eastAsia" w:ascii="宋体" w:hAnsi="宋体" w:eastAsia="宋体" w:cs="宋体"/>
                <w:b w:val="0"/>
                <w:color w:val="auto"/>
                <w:highlight w:val="none"/>
                <w:u w:val="single"/>
              </w:rPr>
              <w:t xml:space="preserve">   </w:t>
            </w:r>
            <w:r>
              <w:rPr>
                <w:rStyle w:val="155"/>
                <w:rFonts w:hint="eastAsia" w:ascii="宋体" w:hAnsi="宋体" w:eastAsia="宋体" w:cs="宋体"/>
                <w:b w:val="0"/>
                <w:color w:val="auto"/>
                <w:highlight w:val="none"/>
                <w:u w:val="single"/>
                <w:lang w:val="en-US" w:eastAsia="zh-CN"/>
              </w:rPr>
              <w:t xml:space="preserve">                        </w:t>
            </w:r>
            <w:r>
              <w:rPr>
                <w:rStyle w:val="155"/>
                <w:rFonts w:hint="eastAsia" w:ascii="宋体" w:hAnsi="宋体" w:eastAsia="宋体" w:cs="宋体"/>
                <w:b w:val="0"/>
                <w:color w:val="auto"/>
                <w:highlight w:val="none"/>
              </w:rPr>
              <w:t>项目结算审</w:t>
            </w:r>
            <w:r>
              <w:rPr>
                <w:rStyle w:val="155"/>
                <w:rFonts w:hint="eastAsia" w:ascii="宋体" w:hAnsi="宋体" w:eastAsia="宋体" w:cs="宋体"/>
                <w:b w:val="0"/>
                <w:color w:val="auto"/>
                <w:highlight w:val="none"/>
                <w:lang w:eastAsia="zh-CN"/>
              </w:rPr>
              <w:t>（复）</w:t>
            </w:r>
            <w:r>
              <w:rPr>
                <w:rStyle w:val="155"/>
                <w:rFonts w:hint="eastAsia" w:ascii="宋体" w:hAnsi="宋体" w:eastAsia="宋体" w:cs="宋体"/>
                <w:b w:val="0"/>
                <w:color w:val="auto"/>
                <w:highlight w:val="none"/>
              </w:rPr>
              <w:t>核</w:t>
            </w:r>
            <w:r>
              <w:rPr>
                <w:rStyle w:val="155"/>
                <w:rFonts w:hint="eastAsia" w:ascii="宋体" w:hAnsi="宋体" w:eastAsia="宋体" w:cs="宋体"/>
                <w:b w:val="0"/>
                <w:color w:val="auto"/>
                <w:highlight w:val="none"/>
                <w:lang w:eastAsia="zh-CN"/>
              </w:rPr>
              <w:t>成果质量</w:t>
            </w:r>
            <w:r>
              <w:rPr>
                <w:rStyle w:val="155"/>
                <w:rFonts w:hint="eastAsia" w:ascii="宋体" w:hAnsi="宋体" w:eastAsia="宋体" w:cs="宋体"/>
                <w:b w:val="0"/>
                <w:color w:val="auto"/>
                <w:highlight w:val="none"/>
              </w:rPr>
              <w:t>考核表</w:t>
            </w:r>
          </w:p>
        </w:tc>
      </w:tr>
      <w:tr w14:paraId="1420C580">
        <w:tblPrEx>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939B8">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kern w:val="0"/>
                <w:sz w:val="22"/>
                <w:szCs w:val="22"/>
                <w:highlight w:val="none"/>
                <w:lang w:eastAsia="zh-CN"/>
              </w:rPr>
              <w:t>序号</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76E21">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指标</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9F844">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内容</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93B2C">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总分</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EE19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得分</w:t>
            </w: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D18F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打分说明</w:t>
            </w: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AEDAA">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备注</w:t>
            </w:r>
          </w:p>
        </w:tc>
      </w:tr>
      <w:tr w14:paraId="5B36570B">
        <w:tblPrEx>
          <w:tblCellMar>
            <w:top w:w="0" w:type="dxa"/>
            <w:left w:w="0" w:type="dxa"/>
            <w:bottom w:w="0" w:type="dxa"/>
            <w:right w:w="0" w:type="dxa"/>
          </w:tblCellMar>
        </w:tblPrEx>
        <w:trPr>
          <w:trHeight w:val="1200"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B399EA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w:t>
            </w:r>
          </w:p>
        </w:tc>
        <w:tc>
          <w:tcPr>
            <w:tcW w:w="10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17D51B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审核人员履职情况</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82638">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bidi="ar"/>
              </w:rPr>
              <w:t>人员能力是否具备胜任本项目需要</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C7A1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32A5E">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05D68">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6A7F3">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审核负责人、现场记录人员与任命文</w:t>
            </w:r>
            <w:r>
              <w:rPr>
                <w:rFonts w:hint="eastAsia" w:ascii="宋体" w:hAnsi="宋体" w:eastAsia="宋体" w:cs="宋体"/>
                <w:color w:val="auto"/>
                <w:kern w:val="0"/>
                <w:sz w:val="21"/>
                <w:szCs w:val="21"/>
                <w:highlight w:val="none"/>
                <w:lang w:eastAsia="zh-CN"/>
              </w:rPr>
              <w:t>（投标文件）</w:t>
            </w:r>
            <w:r>
              <w:rPr>
                <w:rFonts w:hint="eastAsia" w:ascii="宋体" w:hAnsi="宋体" w:eastAsia="宋体" w:cs="宋体"/>
                <w:color w:val="auto"/>
                <w:kern w:val="0"/>
                <w:sz w:val="21"/>
                <w:szCs w:val="21"/>
                <w:highlight w:val="none"/>
              </w:rPr>
              <w:t>是否一致，</w:t>
            </w:r>
            <w:r>
              <w:rPr>
                <w:rFonts w:hint="eastAsia" w:ascii="宋体" w:hAnsi="宋体" w:eastAsia="宋体" w:cs="宋体"/>
                <w:color w:val="auto"/>
                <w:kern w:val="0"/>
                <w:sz w:val="21"/>
                <w:szCs w:val="21"/>
                <w:highlight w:val="none"/>
                <w:lang w:eastAsia="zh-CN"/>
              </w:rPr>
              <w:t>若出现</w:t>
            </w:r>
            <w:r>
              <w:rPr>
                <w:rFonts w:hint="eastAsia" w:ascii="宋体" w:hAnsi="宋体" w:eastAsia="宋体" w:cs="宋体"/>
                <w:color w:val="auto"/>
                <w:sz w:val="21"/>
                <w:szCs w:val="21"/>
                <w:highlight w:val="none"/>
              </w:rPr>
              <w:t>不一致</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kern w:val="0"/>
                <w:sz w:val="21"/>
                <w:szCs w:val="21"/>
                <w:highlight w:val="none"/>
              </w:rPr>
              <w:t>冒名顶替情况</w:t>
            </w:r>
            <w:r>
              <w:rPr>
                <w:rFonts w:hint="eastAsia" w:ascii="宋体" w:hAnsi="宋体" w:eastAsia="宋体" w:cs="宋体"/>
                <w:color w:val="auto"/>
                <w:sz w:val="21"/>
                <w:szCs w:val="21"/>
                <w:highlight w:val="none"/>
              </w:rPr>
              <w:t>的，本项得0分。</w:t>
            </w:r>
          </w:p>
        </w:tc>
      </w:tr>
      <w:tr w14:paraId="72AD1C87">
        <w:tblPrEx>
          <w:tblCellMar>
            <w:top w:w="0" w:type="dxa"/>
            <w:left w:w="0" w:type="dxa"/>
            <w:bottom w:w="0" w:type="dxa"/>
            <w:right w:w="0" w:type="dxa"/>
          </w:tblCellMar>
        </w:tblPrEx>
        <w:trPr>
          <w:trHeight w:val="4451" w:hRule="atLeast"/>
          <w:jc w:val="center"/>
        </w:trPr>
        <w:tc>
          <w:tcPr>
            <w:tcW w:w="55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06C2BC32">
            <w:pPr>
              <w:widowControl/>
              <w:jc w:val="center"/>
              <w:textAlignment w:val="center"/>
              <w:rPr>
                <w:rFonts w:hint="eastAsia" w:ascii="宋体" w:hAnsi="宋体" w:eastAsia="宋体" w:cs="宋体"/>
                <w:color w:val="auto"/>
                <w:kern w:val="0"/>
                <w:sz w:val="24"/>
                <w:szCs w:val="24"/>
                <w:highlight w:val="none"/>
              </w:rPr>
            </w:pPr>
          </w:p>
        </w:tc>
        <w:tc>
          <w:tcPr>
            <w:tcW w:w="1084"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1D15AF73">
            <w:pPr>
              <w:widowControl/>
              <w:jc w:val="center"/>
              <w:textAlignment w:val="center"/>
              <w:rPr>
                <w:rFonts w:hint="eastAsia" w:ascii="宋体" w:hAnsi="宋体" w:eastAsia="宋体" w:cs="宋体"/>
                <w:color w:val="auto"/>
                <w:kern w:val="0"/>
                <w:sz w:val="24"/>
                <w:szCs w:val="24"/>
                <w:highlight w:val="none"/>
              </w:rPr>
            </w:pPr>
          </w:p>
        </w:tc>
        <w:tc>
          <w:tcPr>
            <w:tcW w:w="26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15E4D65">
            <w:pPr>
              <w:widowControl/>
              <w:spacing w:line="40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2.是否按时限完成结算</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5B125">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19F4A">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C610E">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17F61">
            <w:pPr>
              <w:widowControl/>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结算审核单位</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万以下）或</w:t>
            </w: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万以上）内，对施工单位报送的项目结算资料进行完整性检查，一次性书面告知，限期补充齐全。造价在</w:t>
            </w:r>
            <w:r>
              <w:rPr>
                <w:rFonts w:hint="eastAsia" w:ascii="宋体" w:hAnsi="宋体" w:eastAsia="宋体" w:cs="宋体"/>
                <w:color w:val="auto"/>
                <w:sz w:val="21"/>
                <w:szCs w:val="21"/>
                <w:highlight w:val="none"/>
                <w:lang w:eastAsia="zh-CN"/>
              </w:rPr>
              <w:t>500</w:t>
            </w:r>
            <w:r>
              <w:rPr>
                <w:rFonts w:hint="eastAsia" w:ascii="宋体" w:hAnsi="宋体" w:eastAsia="宋体" w:cs="宋体"/>
                <w:color w:val="auto"/>
                <w:sz w:val="21"/>
                <w:szCs w:val="21"/>
                <w:highlight w:val="none"/>
              </w:rPr>
              <w:t>万元以下、</w:t>
            </w:r>
            <w:r>
              <w:rPr>
                <w:rFonts w:hint="eastAsia" w:ascii="宋体" w:hAnsi="宋体" w:eastAsia="宋体" w:cs="宋体"/>
                <w:color w:val="auto"/>
                <w:sz w:val="21"/>
                <w:szCs w:val="21"/>
                <w:highlight w:val="none"/>
                <w:lang w:eastAsia="zh-CN"/>
              </w:rPr>
              <w:t>500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2000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2000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万元以上的单项工程，应</w:t>
            </w:r>
            <w:r>
              <w:rPr>
                <w:rFonts w:hint="eastAsia" w:ascii="宋体" w:hAnsi="宋体" w:eastAsia="宋体" w:cs="宋体"/>
                <w:color w:val="auto"/>
                <w:sz w:val="21"/>
                <w:szCs w:val="21"/>
                <w:highlight w:val="none"/>
                <w:lang w:eastAsia="zh-CN"/>
              </w:rPr>
              <w:t>分别</w:t>
            </w:r>
            <w:r>
              <w:rPr>
                <w:rFonts w:hint="eastAsia" w:ascii="宋体" w:hAnsi="宋体" w:eastAsia="宋体" w:cs="宋体"/>
                <w:color w:val="auto"/>
                <w:sz w:val="21"/>
                <w:szCs w:val="21"/>
                <w:highlight w:val="none"/>
              </w:rPr>
              <w:t>在施工单位报送的项目结算资料完整</w:t>
            </w:r>
            <w:r>
              <w:rPr>
                <w:rFonts w:hint="eastAsia" w:ascii="宋体" w:hAnsi="宋体" w:eastAsia="宋体" w:cs="宋体"/>
                <w:color w:val="auto"/>
                <w:sz w:val="21"/>
                <w:szCs w:val="21"/>
                <w:highlight w:val="none"/>
                <w:lang w:eastAsia="zh-CN"/>
              </w:rPr>
              <w:t>后的20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30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45</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60</w:t>
            </w:r>
            <w:r>
              <w:rPr>
                <w:rFonts w:hint="eastAsia" w:ascii="宋体" w:hAnsi="宋体" w:eastAsia="宋体" w:cs="宋体"/>
                <w:color w:val="auto"/>
                <w:sz w:val="21"/>
                <w:szCs w:val="21"/>
                <w:highlight w:val="none"/>
              </w:rPr>
              <w:t>日内完成，并出具审核报告。</w:t>
            </w:r>
            <w:r>
              <w:rPr>
                <w:rStyle w:val="152"/>
                <w:rFonts w:hint="eastAsia" w:ascii="宋体" w:hAnsi="宋体" w:eastAsia="宋体" w:cs="宋体"/>
                <w:color w:val="auto"/>
                <w:sz w:val="21"/>
                <w:szCs w:val="21"/>
                <w:highlight w:val="none"/>
                <w:lang w:eastAsia="zh-CN" w:bidi="ar"/>
              </w:rPr>
              <w:t>每延误</w:t>
            </w:r>
            <w:r>
              <w:rPr>
                <w:rStyle w:val="152"/>
                <w:rFonts w:hint="eastAsia" w:ascii="宋体" w:hAnsi="宋体" w:eastAsia="宋体" w:cs="宋体"/>
                <w:color w:val="auto"/>
                <w:sz w:val="21"/>
                <w:szCs w:val="21"/>
                <w:highlight w:val="none"/>
                <w:lang w:val="en-US" w:eastAsia="zh-CN" w:bidi="ar"/>
              </w:rPr>
              <w:t>5</w:t>
            </w:r>
            <w:r>
              <w:rPr>
                <w:rStyle w:val="152"/>
                <w:rFonts w:hint="eastAsia" w:ascii="宋体" w:hAnsi="宋体" w:eastAsia="宋体" w:cs="宋体"/>
                <w:color w:val="auto"/>
                <w:sz w:val="21"/>
                <w:szCs w:val="21"/>
                <w:highlight w:val="none"/>
                <w:lang w:eastAsia="zh-CN" w:bidi="ar"/>
              </w:rPr>
              <w:t>天扣</w:t>
            </w:r>
            <w:r>
              <w:rPr>
                <w:rStyle w:val="152"/>
                <w:rFonts w:hint="eastAsia" w:ascii="宋体" w:hAnsi="宋体" w:eastAsia="宋体" w:cs="宋体"/>
                <w:color w:val="auto"/>
                <w:sz w:val="21"/>
                <w:szCs w:val="21"/>
                <w:highlight w:val="none"/>
                <w:lang w:val="en-US" w:eastAsia="zh-CN" w:bidi="ar"/>
              </w:rPr>
              <w:t>1分，扣完为止。（本项业主代表参与打分）</w:t>
            </w:r>
          </w:p>
        </w:tc>
      </w:tr>
      <w:tr w14:paraId="165D19A2">
        <w:tblPrEx>
          <w:tblCellMar>
            <w:top w:w="0" w:type="dxa"/>
            <w:left w:w="0" w:type="dxa"/>
            <w:bottom w:w="0" w:type="dxa"/>
            <w:right w:w="0" w:type="dxa"/>
          </w:tblCellMar>
        </w:tblPrEx>
        <w:trPr>
          <w:trHeight w:val="90" w:hRule="atLeast"/>
          <w:jc w:val="center"/>
        </w:trPr>
        <w:tc>
          <w:tcPr>
            <w:tcW w:w="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38005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二</w:t>
            </w:r>
          </w:p>
        </w:tc>
        <w:tc>
          <w:tcPr>
            <w:tcW w:w="108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97AEA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结算</w:t>
            </w:r>
            <w:r>
              <w:rPr>
                <w:rFonts w:hint="eastAsia" w:ascii="宋体" w:hAnsi="宋体" w:eastAsia="宋体" w:cs="宋体"/>
                <w:color w:val="auto"/>
                <w:kern w:val="0"/>
                <w:sz w:val="24"/>
                <w:szCs w:val="24"/>
                <w:highlight w:val="none"/>
              </w:rPr>
              <w:t>资料完整性</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0FE267">
            <w:pPr>
              <w:widowControl/>
              <w:spacing w:line="40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资料是否齐全</w:t>
            </w:r>
          </w:p>
        </w:tc>
        <w:tc>
          <w:tcPr>
            <w:tcW w:w="57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104C7B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A17CE">
            <w:pPr>
              <w:jc w:val="center"/>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4A0F7">
            <w:pPr>
              <w:jc w:val="center"/>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3F3FA">
            <w:pPr>
              <w:widowControl/>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招标文件</w:t>
            </w:r>
            <w:r>
              <w:rPr>
                <w:rFonts w:hint="eastAsia" w:ascii="宋体" w:hAnsi="宋体" w:eastAsia="宋体" w:cs="宋体"/>
                <w:color w:val="auto"/>
                <w:sz w:val="21"/>
                <w:szCs w:val="21"/>
                <w:highlight w:val="none"/>
                <w:lang w:eastAsia="zh-CN"/>
              </w:rPr>
              <w:t>、工程量清单及</w:t>
            </w:r>
            <w:r>
              <w:rPr>
                <w:rFonts w:hint="eastAsia" w:ascii="宋体" w:hAnsi="宋体" w:eastAsia="宋体" w:cs="宋体"/>
                <w:color w:val="auto"/>
                <w:sz w:val="21"/>
                <w:szCs w:val="21"/>
                <w:highlight w:val="none"/>
              </w:rPr>
              <w:t>最高投标限价、投标文件、施工合同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工程计量单、第三方测量报告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现场计录单、影像资料、变更申请表、会议纪要、工期延期审批报告、竣工图纸、竣工验收报告、竣工结算报告书、项目移交资料等资料是否齐全。每少一</w:t>
            </w:r>
            <w:r>
              <w:rPr>
                <w:rFonts w:hint="eastAsia" w:ascii="宋体" w:hAnsi="宋体" w:eastAsia="宋体" w:cs="宋体"/>
                <w:color w:val="auto"/>
                <w:sz w:val="21"/>
                <w:szCs w:val="21"/>
                <w:highlight w:val="none"/>
                <w:lang w:eastAsia="zh-CN"/>
              </w:rPr>
              <w:t>项</w:t>
            </w:r>
            <w:r>
              <w:rPr>
                <w:rFonts w:hint="eastAsia" w:ascii="宋体" w:hAnsi="宋体" w:eastAsia="宋体" w:cs="宋体"/>
                <w:color w:val="auto"/>
                <w:sz w:val="21"/>
                <w:szCs w:val="21"/>
                <w:highlight w:val="none"/>
              </w:rPr>
              <w:t>资料扣1分，扣完为止</w:t>
            </w:r>
            <w:r>
              <w:rPr>
                <w:rFonts w:hint="eastAsia" w:ascii="宋体" w:hAnsi="宋体" w:eastAsia="宋体" w:cs="宋体"/>
                <w:color w:val="auto"/>
                <w:sz w:val="21"/>
                <w:szCs w:val="21"/>
                <w:highlight w:val="none"/>
                <w:lang w:eastAsia="zh-CN"/>
              </w:rPr>
              <w:t>，资料不齐全的酌情扣分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（本项第三方复审单位未尽检查提醒义务的予以扣分）</w:t>
            </w:r>
          </w:p>
        </w:tc>
      </w:tr>
      <w:tr w14:paraId="4B1AB370">
        <w:tblPrEx>
          <w:tblCellMar>
            <w:top w:w="0" w:type="dxa"/>
            <w:left w:w="0" w:type="dxa"/>
            <w:bottom w:w="0" w:type="dxa"/>
            <w:right w:w="0" w:type="dxa"/>
          </w:tblCellMar>
        </w:tblPrEx>
        <w:trPr>
          <w:trHeight w:val="3175" w:hRule="atLeast"/>
          <w:jc w:val="center"/>
        </w:trPr>
        <w:tc>
          <w:tcPr>
            <w:tcW w:w="556" w:type="dxa"/>
            <w:vMerge w:val="continue"/>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9DC7C44">
            <w:pPr>
              <w:jc w:val="center"/>
              <w:rPr>
                <w:rFonts w:hint="eastAsia" w:ascii="宋体" w:hAnsi="宋体" w:eastAsia="宋体" w:cs="宋体"/>
                <w:color w:val="auto"/>
                <w:sz w:val="24"/>
                <w:szCs w:val="24"/>
                <w:highlight w:val="none"/>
              </w:rPr>
            </w:pPr>
          </w:p>
        </w:tc>
        <w:tc>
          <w:tcPr>
            <w:tcW w:w="1084"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57692">
            <w:pPr>
              <w:jc w:val="center"/>
              <w:rPr>
                <w:rFonts w:hint="eastAsia" w:ascii="宋体" w:hAnsi="宋体" w:eastAsia="宋体" w:cs="宋体"/>
                <w:color w:val="auto"/>
                <w:sz w:val="24"/>
                <w:szCs w:val="24"/>
                <w:highlight w:val="none"/>
              </w:rPr>
            </w:pPr>
          </w:p>
        </w:tc>
        <w:tc>
          <w:tcPr>
            <w:tcW w:w="26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36762">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结算</w:t>
            </w:r>
            <w:r>
              <w:rPr>
                <w:rFonts w:hint="eastAsia" w:ascii="宋体" w:hAnsi="宋体" w:eastAsia="宋体" w:cs="宋体"/>
                <w:color w:val="auto"/>
                <w:sz w:val="24"/>
                <w:szCs w:val="24"/>
                <w:highlight w:val="none"/>
              </w:rPr>
              <w:t xml:space="preserve">资料是否装订整齐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56E3D">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236CF">
            <w:pPr>
              <w:jc w:val="center"/>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D4C6D">
            <w:pPr>
              <w:jc w:val="center"/>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51E9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计量资料有目录、编码，</w:t>
            </w:r>
            <w:r>
              <w:rPr>
                <w:rFonts w:hint="eastAsia" w:ascii="宋体" w:hAnsi="宋体" w:eastAsia="宋体" w:cs="宋体"/>
                <w:color w:val="auto"/>
                <w:sz w:val="21"/>
                <w:szCs w:val="21"/>
                <w:highlight w:val="none"/>
              </w:rPr>
              <w:t>工程计量单、现场记录单、影像</w:t>
            </w:r>
            <w:r>
              <w:rPr>
                <w:rFonts w:hint="eastAsia" w:ascii="宋体" w:hAnsi="宋体" w:eastAsia="宋体" w:cs="宋体"/>
                <w:color w:val="auto"/>
                <w:sz w:val="21"/>
                <w:szCs w:val="21"/>
                <w:highlight w:val="none"/>
                <w:lang w:eastAsia="zh-CN"/>
              </w:rPr>
              <w:t>资料需一一对应，变更资料中</w:t>
            </w:r>
            <w:r>
              <w:rPr>
                <w:rFonts w:hint="eastAsia" w:ascii="宋体" w:hAnsi="宋体" w:eastAsia="宋体" w:cs="宋体"/>
                <w:color w:val="auto"/>
                <w:sz w:val="21"/>
                <w:szCs w:val="21"/>
                <w:highlight w:val="none"/>
              </w:rPr>
              <w:t>变更申请表、会议纪要、联系单、计量单、现场记录、影像资料</w:t>
            </w:r>
            <w:r>
              <w:rPr>
                <w:rFonts w:hint="eastAsia" w:ascii="宋体" w:hAnsi="宋体" w:eastAsia="宋体" w:cs="宋体"/>
                <w:color w:val="auto"/>
                <w:sz w:val="21"/>
                <w:szCs w:val="21"/>
                <w:highlight w:val="none"/>
                <w:lang w:eastAsia="zh-CN"/>
              </w:rPr>
              <w:t>需一一对应，</w:t>
            </w:r>
            <w:r>
              <w:rPr>
                <w:rFonts w:hint="eastAsia" w:ascii="宋体" w:hAnsi="宋体" w:eastAsia="宋体" w:cs="宋体"/>
                <w:color w:val="auto"/>
                <w:sz w:val="21"/>
                <w:szCs w:val="21"/>
                <w:highlight w:val="none"/>
              </w:rPr>
              <w:t>根据资料装订情况，差</w:t>
            </w:r>
            <w:r>
              <w:rPr>
                <w:rFonts w:hint="eastAsia" w:ascii="宋体" w:hAnsi="宋体" w:eastAsia="宋体" w:cs="宋体"/>
                <w:color w:val="auto"/>
                <w:kern w:val="0"/>
                <w:sz w:val="21"/>
                <w:szCs w:val="21"/>
                <w:highlight w:val="none"/>
              </w:rPr>
              <w:t>0分、一般</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分、较好</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分，很好</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r>
              <w:rPr>
                <w:rFonts w:hint="eastAsia" w:ascii="宋体" w:hAnsi="宋体" w:eastAsia="宋体" w:cs="宋体"/>
                <w:color w:val="auto"/>
                <w:sz w:val="21"/>
                <w:szCs w:val="21"/>
                <w:highlight w:val="none"/>
                <w:lang w:eastAsia="zh-CN"/>
              </w:rPr>
              <w:t>（本项第三方复审单位未尽检查提醒义务的予以扣分）</w:t>
            </w:r>
          </w:p>
        </w:tc>
      </w:tr>
      <w:tr w14:paraId="0AFE7976">
        <w:tblPrEx>
          <w:tblCellMar>
            <w:top w:w="0" w:type="dxa"/>
            <w:left w:w="0" w:type="dxa"/>
            <w:bottom w:w="0" w:type="dxa"/>
            <w:right w:w="0" w:type="dxa"/>
          </w:tblCellMar>
        </w:tblPrEx>
        <w:trPr>
          <w:trHeight w:val="1202"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26ADCC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三</w:t>
            </w:r>
          </w:p>
        </w:tc>
        <w:tc>
          <w:tcPr>
            <w:tcW w:w="10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A31911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工程计量</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878F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1.签字盖章是否齐全</w:t>
            </w:r>
            <w:r>
              <w:rPr>
                <w:rFonts w:hint="eastAsia" w:ascii="宋体" w:hAnsi="宋体" w:eastAsia="宋体" w:cs="宋体"/>
                <w:color w:val="auto"/>
                <w:sz w:val="24"/>
                <w:szCs w:val="24"/>
                <w:highlight w:val="none"/>
              </w:rPr>
              <w:t xml:space="preserve">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DD7A7">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6B6FB">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01EB3">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CAEC6">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缺少签字盖章的，每</w:t>
            </w:r>
            <w:r>
              <w:rPr>
                <w:rFonts w:hint="eastAsia" w:ascii="宋体" w:hAnsi="宋体" w:eastAsia="宋体" w:cs="宋体"/>
                <w:color w:val="auto"/>
                <w:sz w:val="21"/>
                <w:szCs w:val="21"/>
                <w:highlight w:val="none"/>
                <w:lang w:eastAsia="zh-CN"/>
              </w:rPr>
              <w:t>处</w:t>
            </w:r>
            <w:r>
              <w:rPr>
                <w:rFonts w:hint="eastAsia" w:ascii="宋体" w:hAnsi="宋体" w:eastAsia="宋体" w:cs="宋体"/>
                <w:color w:val="auto"/>
                <w:sz w:val="21"/>
                <w:szCs w:val="21"/>
                <w:highlight w:val="none"/>
              </w:rPr>
              <w:t>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729718A5">
        <w:tblPrEx>
          <w:tblCellMar>
            <w:top w:w="0" w:type="dxa"/>
            <w:left w:w="0" w:type="dxa"/>
            <w:bottom w:w="0" w:type="dxa"/>
            <w:right w:w="0" w:type="dxa"/>
          </w:tblCellMar>
        </w:tblPrEx>
        <w:trPr>
          <w:trHeight w:val="1616"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673D0F69">
            <w:pPr>
              <w:jc w:val="center"/>
              <w:rPr>
                <w:rFonts w:hint="eastAsia" w:ascii="宋体" w:hAnsi="宋体" w:eastAsia="宋体" w:cs="宋体"/>
                <w:color w:val="auto"/>
                <w:sz w:val="24"/>
                <w:szCs w:val="24"/>
                <w:highlight w:val="none"/>
              </w:rPr>
            </w:pPr>
          </w:p>
        </w:tc>
        <w:tc>
          <w:tcPr>
            <w:tcW w:w="1084" w:type="dxa"/>
            <w:vMerge w:val="continue"/>
            <w:tcBorders>
              <w:left w:val="single" w:color="000000" w:sz="4" w:space="0"/>
              <w:right w:val="single" w:color="000000" w:sz="4" w:space="0"/>
            </w:tcBorders>
            <w:noWrap w:val="0"/>
            <w:tcMar>
              <w:top w:w="15" w:type="dxa"/>
              <w:left w:w="15" w:type="dxa"/>
              <w:right w:w="15" w:type="dxa"/>
            </w:tcMar>
            <w:vAlign w:val="center"/>
          </w:tcPr>
          <w:p w14:paraId="66EFA812">
            <w:pPr>
              <w:jc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25BD7">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 xml:space="preserve"> 合同内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合同外工程量是否计量</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9F94E">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79B35">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1D598">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92654">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结算审核报告中的分项工程，若存在无计量情况，每个扣1分，扣完为止。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5A8296A3">
        <w:tblPrEx>
          <w:tblCellMar>
            <w:top w:w="0" w:type="dxa"/>
            <w:left w:w="0" w:type="dxa"/>
            <w:bottom w:w="0" w:type="dxa"/>
            <w:right w:w="0" w:type="dxa"/>
          </w:tblCellMar>
        </w:tblPrEx>
        <w:trPr>
          <w:trHeight w:val="1356"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7E4E957F">
            <w:pPr>
              <w:jc w:val="center"/>
              <w:rPr>
                <w:rFonts w:hint="eastAsia" w:ascii="宋体" w:hAnsi="宋体" w:eastAsia="宋体" w:cs="宋体"/>
                <w:color w:val="auto"/>
                <w:sz w:val="24"/>
                <w:szCs w:val="24"/>
                <w:highlight w:val="none"/>
              </w:rPr>
            </w:pPr>
          </w:p>
        </w:tc>
        <w:tc>
          <w:tcPr>
            <w:tcW w:w="1084" w:type="dxa"/>
            <w:vMerge w:val="continue"/>
            <w:tcBorders>
              <w:left w:val="single" w:color="000000" w:sz="4" w:space="0"/>
              <w:right w:val="single" w:color="000000" w:sz="4" w:space="0"/>
            </w:tcBorders>
            <w:noWrap w:val="0"/>
            <w:tcMar>
              <w:top w:w="15" w:type="dxa"/>
              <w:left w:w="15" w:type="dxa"/>
              <w:right w:w="15" w:type="dxa"/>
            </w:tcMar>
            <w:vAlign w:val="center"/>
          </w:tcPr>
          <w:p w14:paraId="6D7DD900">
            <w:pPr>
              <w:jc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E432A">
            <w:pPr>
              <w:widowControl/>
              <w:spacing w:line="40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、计量</w:t>
            </w:r>
            <w:r>
              <w:rPr>
                <w:rFonts w:hint="eastAsia" w:ascii="宋体" w:hAnsi="宋体" w:eastAsia="宋体" w:cs="宋体"/>
                <w:color w:val="auto"/>
                <w:kern w:val="0"/>
                <w:sz w:val="24"/>
                <w:szCs w:val="24"/>
                <w:highlight w:val="none"/>
                <w:lang w:eastAsia="zh-CN"/>
              </w:rPr>
              <w:t>单格式、内容</w:t>
            </w:r>
            <w:r>
              <w:rPr>
                <w:rFonts w:hint="eastAsia" w:ascii="宋体" w:hAnsi="宋体" w:eastAsia="宋体" w:cs="宋体"/>
                <w:color w:val="auto"/>
                <w:kern w:val="0"/>
                <w:sz w:val="24"/>
                <w:szCs w:val="24"/>
                <w:highlight w:val="none"/>
              </w:rPr>
              <w:t>是否规范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51CB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AC9F2">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F4C01">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728578">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计量单需按我处格式执行，</w:t>
            </w:r>
            <w:r>
              <w:rPr>
                <w:rFonts w:hint="eastAsia" w:ascii="宋体" w:hAnsi="宋体" w:eastAsia="宋体" w:cs="宋体"/>
                <w:color w:val="auto"/>
                <w:kern w:val="0"/>
                <w:sz w:val="21"/>
                <w:szCs w:val="21"/>
                <w:highlight w:val="none"/>
              </w:rPr>
              <w:t>如存在应请第三方测量的项目，而由现场四方计量情况的</w:t>
            </w:r>
            <w:r>
              <w:rPr>
                <w:rFonts w:hint="eastAsia" w:ascii="宋体" w:hAnsi="宋体" w:eastAsia="宋体" w:cs="宋体"/>
                <w:color w:val="auto"/>
                <w:sz w:val="21"/>
                <w:szCs w:val="21"/>
                <w:highlight w:val="none"/>
              </w:rPr>
              <w:t>，每起扣1分，扣完为止。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5CAF6541">
        <w:tblPrEx>
          <w:tblCellMar>
            <w:top w:w="0" w:type="dxa"/>
            <w:left w:w="0" w:type="dxa"/>
            <w:bottom w:w="0" w:type="dxa"/>
            <w:right w:w="0" w:type="dxa"/>
          </w:tblCellMar>
        </w:tblPrEx>
        <w:trPr>
          <w:trHeight w:val="1664"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155D564">
            <w:pPr>
              <w:widowControl/>
              <w:jc w:val="center"/>
              <w:textAlignment w:val="center"/>
              <w:rPr>
                <w:rFonts w:hint="eastAsia" w:ascii="宋体" w:hAnsi="宋体" w:eastAsia="宋体" w:cs="宋体"/>
                <w:color w:val="auto"/>
                <w:sz w:val="24"/>
                <w:szCs w:val="24"/>
                <w:highlight w:val="none"/>
              </w:rPr>
            </w:pPr>
          </w:p>
        </w:tc>
        <w:tc>
          <w:tcPr>
            <w:tcW w:w="108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085478F">
            <w:pPr>
              <w:widowControl/>
              <w:jc w:val="center"/>
              <w:textAlignment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80ED4">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根据我处工程变更</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管理办法，工程变更审批手续是否及时、齐全、规范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5E7B0">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E5921">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94D10">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079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因审核人员原因，造成工程变更审批手续不及时、齐全、规范的，</w:t>
            </w:r>
            <w:r>
              <w:rPr>
                <w:rFonts w:hint="eastAsia" w:ascii="宋体" w:hAnsi="宋体" w:eastAsia="宋体" w:cs="宋体"/>
                <w:color w:val="auto"/>
                <w:sz w:val="21"/>
                <w:szCs w:val="21"/>
                <w:highlight w:val="none"/>
                <w:lang w:eastAsia="zh-CN"/>
              </w:rPr>
              <w:t>每项</w:t>
            </w:r>
            <w:r>
              <w:rPr>
                <w:rFonts w:hint="eastAsia" w:ascii="宋体" w:hAnsi="宋体" w:eastAsia="宋体" w:cs="宋体"/>
                <w:color w:val="auto"/>
                <w:sz w:val="21"/>
                <w:szCs w:val="21"/>
                <w:highlight w:val="none"/>
              </w:rPr>
              <w:t>扣1分，扣完为止。</w:t>
            </w:r>
            <w:r>
              <w:rPr>
                <w:rFonts w:hint="eastAsia" w:ascii="宋体" w:hAnsi="宋体" w:eastAsia="宋体" w:cs="宋体"/>
                <w:color w:val="auto"/>
                <w:sz w:val="21"/>
                <w:szCs w:val="21"/>
                <w:highlight w:val="none"/>
                <w:lang w:eastAsia="zh-CN"/>
              </w:rPr>
              <w:t>（本项业主代表参与打分，第三方复审单位未尽检查提醒义务的予以扣分）</w:t>
            </w:r>
          </w:p>
        </w:tc>
      </w:tr>
      <w:tr w14:paraId="4104DBCF">
        <w:tblPrEx>
          <w:tblCellMar>
            <w:top w:w="0" w:type="dxa"/>
            <w:left w:w="0" w:type="dxa"/>
            <w:bottom w:w="0" w:type="dxa"/>
            <w:right w:w="0" w:type="dxa"/>
          </w:tblCellMar>
        </w:tblPrEx>
        <w:trPr>
          <w:trHeight w:val="2705"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F6FA9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6B999">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廉洁自律</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0908C">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审计单位是否保持廉洁自律要求</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6520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7414E">
            <w:pPr>
              <w:jc w:val="left"/>
              <w:rPr>
                <w:rFonts w:hint="eastAsia" w:ascii="宋体" w:hAnsi="宋体" w:eastAsia="宋体" w:cs="宋体"/>
                <w:color w:val="auto"/>
                <w:kern w:val="2"/>
                <w:sz w:val="24"/>
                <w:szCs w:val="24"/>
                <w:highlight w:val="none"/>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4F096">
            <w:pPr>
              <w:jc w:val="center"/>
              <w:rPr>
                <w:rFonts w:hint="eastAsia" w:ascii="宋体" w:hAnsi="宋体" w:eastAsia="宋体" w:cs="宋体"/>
                <w:color w:val="auto"/>
                <w:kern w:val="2"/>
                <w:sz w:val="24"/>
                <w:szCs w:val="24"/>
                <w:highlight w:val="none"/>
                <w:lang w:val="en-US" w:eastAsia="zh-CN" w:bidi="ar-SA"/>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2D152">
            <w:pPr>
              <w:widowControl/>
              <w:spacing w:line="3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有无由被审计单位支付或补贴住宿费、餐费；有无使用被审计单位的交通工具等办理与审计工作无关的事项；有无参加被审计单位安排的旅游、娱乐等活动；有无接受被审计单位的任何礼品；有无在被审计的单位报销任何费用；有无利用审计职权为自己和他人谋利；有无向被审计单位提出任何与审计工作无关的要求。违反审计纪律规定中任何一项的,一经查实，本项分值全部扣除.（本项党办参与打分）</w:t>
            </w:r>
          </w:p>
        </w:tc>
      </w:tr>
      <w:tr w14:paraId="29F63595">
        <w:tblPrEx>
          <w:tblCellMar>
            <w:top w:w="0" w:type="dxa"/>
            <w:left w:w="0" w:type="dxa"/>
            <w:bottom w:w="0" w:type="dxa"/>
            <w:right w:w="0" w:type="dxa"/>
          </w:tblCellMar>
        </w:tblPrEx>
        <w:trPr>
          <w:trHeight w:val="2593"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468B5">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五</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3E5E0">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竣工结算审核的误差</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DDBE0">
            <w:pPr>
              <w:widowControl/>
              <w:spacing w:line="40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根据我处竣工结算审核流程，经第三方、计划科、审价中心复审后，对竣工结算审核报告的误差率进行打分</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5AB0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BE18E">
            <w:pPr>
              <w:jc w:val="left"/>
              <w:rPr>
                <w:rFonts w:hint="eastAsia" w:ascii="宋体" w:hAnsi="宋体" w:eastAsia="宋体" w:cs="宋体"/>
                <w:color w:val="auto"/>
                <w:kern w:val="2"/>
                <w:sz w:val="24"/>
                <w:szCs w:val="24"/>
                <w:highlight w:val="none"/>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12372">
            <w:pPr>
              <w:jc w:val="left"/>
              <w:rPr>
                <w:rFonts w:hint="eastAsia" w:ascii="宋体" w:hAnsi="宋体" w:eastAsia="宋体" w:cs="宋体"/>
                <w:color w:val="auto"/>
                <w:kern w:val="2"/>
                <w:sz w:val="24"/>
                <w:szCs w:val="24"/>
                <w:highlight w:val="none"/>
                <w:lang w:val="en-US" w:eastAsia="zh-CN" w:bidi="ar-SA"/>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98763">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误差率1%</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-2%的，扣5分；</w:t>
            </w:r>
          </w:p>
          <w:p w14:paraId="51CB24BE">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-2.5%的，扣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p w14:paraId="6912F1F3">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-3%的，扣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5分；</w:t>
            </w:r>
          </w:p>
          <w:p w14:paraId="7610F5BD">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-3.5%的，扣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0分；</w:t>
            </w:r>
          </w:p>
          <w:p w14:paraId="4AF0AD54">
            <w:pPr>
              <w:widowControl/>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-4%的，扣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p w14:paraId="4899B39A">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以上的，扣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p>
        </w:tc>
      </w:tr>
      <w:tr w14:paraId="60813322">
        <w:tblPrEx>
          <w:tblCellMar>
            <w:top w:w="0" w:type="dxa"/>
            <w:left w:w="0" w:type="dxa"/>
            <w:bottom w:w="0" w:type="dxa"/>
            <w:right w:w="0" w:type="dxa"/>
          </w:tblCellMar>
        </w:tblPrEx>
        <w:trPr>
          <w:trHeight w:val="558" w:hRule="atLeast"/>
          <w:jc w:val="center"/>
        </w:trPr>
        <w:tc>
          <w:tcPr>
            <w:tcW w:w="48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F972B">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合计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91370">
            <w:pPr>
              <w:jc w:val="left"/>
              <w:rPr>
                <w:rFonts w:hint="eastAsia" w:ascii="宋体" w:hAnsi="宋体" w:eastAsia="宋体" w:cs="宋体"/>
                <w:b/>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DD66A">
            <w:pPr>
              <w:jc w:val="left"/>
              <w:rPr>
                <w:rFonts w:hint="eastAsia" w:ascii="宋体" w:hAnsi="宋体" w:eastAsia="宋体" w:cs="宋体"/>
                <w:b/>
                <w:color w:val="auto"/>
                <w:sz w:val="24"/>
                <w:szCs w:val="24"/>
                <w:highlight w:val="none"/>
              </w:rPr>
            </w:pPr>
          </w:p>
        </w:tc>
        <w:tc>
          <w:tcPr>
            <w:tcW w:w="359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98F53">
            <w:pPr>
              <w:jc w:val="left"/>
              <w:rPr>
                <w:rFonts w:hint="eastAsia" w:ascii="宋体" w:hAnsi="宋体" w:eastAsia="宋体" w:cs="宋体"/>
                <w:color w:val="auto"/>
                <w:sz w:val="21"/>
                <w:szCs w:val="21"/>
                <w:highlight w:val="none"/>
              </w:rPr>
            </w:pPr>
          </w:p>
        </w:tc>
      </w:tr>
      <w:tr w14:paraId="43DB1712">
        <w:tblPrEx>
          <w:tblCellMar>
            <w:top w:w="0" w:type="dxa"/>
            <w:left w:w="0" w:type="dxa"/>
            <w:bottom w:w="0" w:type="dxa"/>
            <w:right w:w="0" w:type="dxa"/>
          </w:tblCellMar>
        </w:tblPrEx>
        <w:trPr>
          <w:trHeight w:val="1429" w:hRule="atLeast"/>
          <w:jc w:val="center"/>
        </w:trPr>
        <w:tc>
          <w:tcPr>
            <w:tcW w:w="999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9193B">
            <w:pPr>
              <w:widowControl/>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xml:space="preserve">企业签字：                   考核组签字 ：                  </w:t>
            </w:r>
            <w:r>
              <w:rPr>
                <w:rFonts w:hint="eastAsia" w:ascii="宋体" w:hAnsi="宋体" w:eastAsia="宋体" w:cs="宋体"/>
                <w:color w:val="auto"/>
                <w:kern w:val="0"/>
                <w:sz w:val="24"/>
                <w:szCs w:val="24"/>
                <w:highlight w:val="none"/>
                <w:lang w:val="en-US" w:eastAsia="zh-CN"/>
              </w:rPr>
              <w:t xml:space="preserve">       </w:t>
            </w:r>
          </w:p>
          <w:p w14:paraId="5E40DE5E">
            <w:pPr>
              <w:widowControl/>
              <w:ind w:firstLine="8160" w:firstLineChars="34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  </w:t>
            </w:r>
            <w:r>
              <w:rPr>
                <w:rStyle w:val="156"/>
                <w:rFonts w:hint="eastAsia" w:ascii="宋体" w:hAnsi="宋体" w:eastAsia="宋体" w:cs="宋体"/>
                <w:color w:val="auto"/>
                <w:sz w:val="24"/>
                <w:szCs w:val="24"/>
                <w:highlight w:val="none"/>
              </w:rPr>
              <w:t>年</w:t>
            </w:r>
            <w:r>
              <w:rPr>
                <w:rStyle w:val="156"/>
                <w:rFonts w:hint="eastAsia" w:ascii="宋体" w:hAnsi="宋体" w:eastAsia="宋体" w:cs="宋体"/>
                <w:color w:val="auto"/>
                <w:sz w:val="24"/>
                <w:szCs w:val="24"/>
                <w:highlight w:val="none"/>
                <w:lang w:val="en-US" w:eastAsia="zh-CN"/>
              </w:rPr>
              <w:t xml:space="preserve">  </w:t>
            </w:r>
            <w:r>
              <w:rPr>
                <w:rStyle w:val="156"/>
                <w:rFonts w:hint="eastAsia" w:ascii="宋体" w:hAnsi="宋体" w:eastAsia="宋体" w:cs="宋体"/>
                <w:color w:val="auto"/>
                <w:sz w:val="24"/>
                <w:szCs w:val="24"/>
                <w:highlight w:val="none"/>
              </w:rPr>
              <w:t>月</w:t>
            </w:r>
            <w:r>
              <w:rPr>
                <w:rStyle w:val="156"/>
                <w:rFonts w:hint="eastAsia" w:ascii="宋体" w:hAnsi="宋体" w:eastAsia="宋体" w:cs="宋体"/>
                <w:color w:val="auto"/>
                <w:sz w:val="24"/>
                <w:szCs w:val="24"/>
                <w:highlight w:val="none"/>
                <w:lang w:val="en-US" w:eastAsia="zh-CN"/>
              </w:rPr>
              <w:t xml:space="preserve">  </w:t>
            </w:r>
            <w:r>
              <w:rPr>
                <w:rStyle w:val="156"/>
                <w:rFonts w:hint="eastAsia" w:ascii="宋体" w:hAnsi="宋体" w:eastAsia="宋体" w:cs="宋体"/>
                <w:color w:val="auto"/>
                <w:sz w:val="24"/>
                <w:szCs w:val="24"/>
                <w:highlight w:val="none"/>
              </w:rPr>
              <w:t>日</w:t>
            </w:r>
          </w:p>
        </w:tc>
      </w:tr>
    </w:tbl>
    <w:p w14:paraId="7089A4A2">
      <w:pPr>
        <w:pStyle w:val="27"/>
        <w:ind w:left="0" w:leftChars="0" w:firstLine="0" w:firstLineChars="0"/>
        <w:rPr>
          <w:rFonts w:hint="eastAsia" w:ascii="宋体" w:hAnsi="宋体" w:eastAsia="宋体" w:cs="宋体"/>
          <w:color w:val="auto"/>
          <w:sz w:val="32"/>
          <w:szCs w:val="32"/>
          <w:highlight w:val="none"/>
          <w:lang w:val="en-US" w:eastAsia="zh-CN"/>
        </w:rPr>
      </w:pPr>
    </w:p>
    <w:p w14:paraId="5E059EEE">
      <w:pPr>
        <w:spacing w:before="156" w:beforeLines="50" w:after="156" w:afterLines="50" w:line="312" w:lineRule="auto"/>
        <w:jc w:val="center"/>
        <w:rPr>
          <w:rFonts w:hint="eastAsia" w:ascii="宋体" w:hAnsi="宋体" w:eastAsia="宋体" w:cs="宋体"/>
          <w:b/>
          <w:color w:val="auto"/>
          <w:sz w:val="32"/>
          <w:szCs w:val="32"/>
          <w:highlight w:val="none"/>
        </w:rPr>
      </w:pPr>
    </w:p>
    <w:p w14:paraId="58E16F62">
      <w:pPr>
        <w:rPr>
          <w:rFonts w:hint="eastAsia" w:ascii="宋体" w:hAnsi="宋体" w:eastAsia="宋体" w:cs="宋体"/>
          <w:color w:val="auto"/>
          <w:highlight w:val="none"/>
        </w:rPr>
      </w:pPr>
    </w:p>
    <w:p w14:paraId="473F545B">
      <w:pPr>
        <w:pStyle w:val="2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24"/>
          <w:szCs w:val="24"/>
          <w:highlight w:val="none"/>
          <w:lang w:val="en-US" w:eastAsia="zh-CN"/>
        </w:rPr>
        <w:sectPr>
          <w:footerReference r:id="rId8"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cols w:space="0" w:num="1"/>
          <w:rtlGutter w:val="0"/>
          <w:docGrid w:type="lines" w:linePitch="318" w:charSpace="0"/>
        </w:sectPr>
      </w:pPr>
    </w:p>
    <w:p w14:paraId="6ADE1352">
      <w:pPr>
        <w:keepNext w:val="0"/>
        <w:keepLines w:val="0"/>
        <w:pageBreakBefore/>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工程建设约谈管理规定</w:t>
      </w:r>
    </w:p>
    <w:p w14:paraId="44D0E64A">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b/>
          <w:color w:val="auto"/>
          <w:sz w:val="21"/>
          <w:szCs w:val="21"/>
          <w:highlight w:val="none"/>
        </w:rPr>
      </w:pPr>
    </w:p>
    <w:p w14:paraId="59898B43">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第一条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为进一步规范工程建设管理约谈行为，加强</w:t>
      </w:r>
      <w:r>
        <w:rPr>
          <w:rFonts w:hint="eastAsia" w:ascii="宋体" w:hAnsi="宋体" w:eastAsia="宋体" w:cs="宋体"/>
          <w:color w:val="auto"/>
          <w:sz w:val="21"/>
          <w:szCs w:val="21"/>
          <w:highlight w:val="none"/>
          <w:lang w:eastAsia="zh-CN"/>
        </w:rPr>
        <w:t>各参建</w:t>
      </w:r>
      <w:r>
        <w:rPr>
          <w:rFonts w:hint="eastAsia" w:ascii="宋体" w:hAnsi="宋体" w:eastAsia="宋体" w:cs="宋体"/>
          <w:color w:val="auto"/>
          <w:sz w:val="21"/>
          <w:szCs w:val="21"/>
          <w:highlight w:val="none"/>
        </w:rPr>
        <w:t>单位履约意识，保障项目建设，制定本规定。</w:t>
      </w:r>
    </w:p>
    <w:p w14:paraId="0D9D399D">
      <w:pPr>
        <w:keepNext w:val="0"/>
        <w:keepLines w:val="0"/>
        <w:pageBreakBefore w:val="0"/>
        <w:kinsoku/>
        <w:wordWrap/>
        <w:overflowPunct/>
        <w:topLinePunct w:val="0"/>
        <w:autoSpaceDE/>
        <w:autoSpaceDN/>
        <w:bidi w:val="0"/>
        <w:adjustRightInd/>
        <w:snapToGrid/>
        <w:spacing w:line="288" w:lineRule="auto"/>
        <w:ind w:firstLine="413" w:firstLineChars="196"/>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约谈分为中标人约谈和履约约谈。</w:t>
      </w:r>
    </w:p>
    <w:p w14:paraId="1A0E5A05">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第三条 </w:t>
      </w:r>
      <w:r>
        <w:rPr>
          <w:rFonts w:hint="eastAsia" w:ascii="宋体" w:hAnsi="宋体" w:eastAsia="宋体" w:cs="宋体"/>
          <w:color w:val="auto"/>
          <w:sz w:val="21"/>
          <w:szCs w:val="21"/>
          <w:highlight w:val="none"/>
        </w:rPr>
        <w:t>中标人约谈是指中标通知书发出后，项目开工前，处相关科室对中标人进行的约谈。履约约谈是指项目管理过程中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处相关科室对中标人进行的约谈。中标人包括勘察、设计、施工、监理</w:t>
      </w:r>
      <w:r>
        <w:rPr>
          <w:rFonts w:hint="eastAsia" w:ascii="宋体" w:hAnsi="宋体" w:eastAsia="宋体" w:cs="宋体"/>
          <w:color w:val="auto"/>
          <w:sz w:val="21"/>
          <w:szCs w:val="21"/>
          <w:highlight w:val="none"/>
          <w:lang w:eastAsia="zh-CN"/>
        </w:rPr>
        <w:t>、跟踪审计</w:t>
      </w:r>
      <w:r>
        <w:rPr>
          <w:rFonts w:hint="eastAsia" w:ascii="宋体" w:hAnsi="宋体" w:eastAsia="宋体" w:cs="宋体"/>
          <w:color w:val="auto"/>
          <w:sz w:val="21"/>
          <w:szCs w:val="21"/>
          <w:highlight w:val="none"/>
        </w:rPr>
        <w:t>及重要设备（材料）供货商等相关单位</w:t>
      </w:r>
      <w:r>
        <w:rPr>
          <w:rFonts w:hint="eastAsia" w:ascii="宋体" w:hAnsi="宋体" w:eastAsia="宋体" w:cs="宋体"/>
          <w:color w:val="auto"/>
          <w:sz w:val="21"/>
          <w:szCs w:val="21"/>
          <w:highlight w:val="none"/>
          <w:lang w:eastAsia="zh-CN"/>
        </w:rPr>
        <w:t>（以下简称“被约谈单位”）</w:t>
      </w:r>
      <w:r>
        <w:rPr>
          <w:rFonts w:hint="eastAsia" w:ascii="宋体" w:hAnsi="宋体" w:eastAsia="宋体" w:cs="宋体"/>
          <w:color w:val="auto"/>
          <w:sz w:val="21"/>
          <w:szCs w:val="21"/>
          <w:highlight w:val="none"/>
        </w:rPr>
        <w:t xml:space="preserve">。 </w:t>
      </w:r>
    </w:p>
    <w:p w14:paraId="74624E99">
      <w:pPr>
        <w:pStyle w:val="15"/>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第四条</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t>中标人约谈由综合计划科牵头，</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分管领导、工程</w:t>
      </w:r>
      <w:r>
        <w:rPr>
          <w:rFonts w:hint="eastAsia" w:ascii="宋体" w:hAnsi="宋体" w:eastAsia="宋体" w:cs="宋体"/>
          <w:color w:val="auto"/>
          <w:sz w:val="21"/>
          <w:szCs w:val="21"/>
          <w:highlight w:val="none"/>
          <w:lang w:eastAsia="zh-CN"/>
        </w:rPr>
        <w:t>建设</w:t>
      </w:r>
      <w:r>
        <w:rPr>
          <w:rFonts w:hint="eastAsia" w:ascii="宋体" w:hAnsi="宋体" w:eastAsia="宋体" w:cs="宋体"/>
          <w:color w:val="auto"/>
          <w:sz w:val="21"/>
          <w:szCs w:val="21"/>
          <w:highlight w:val="none"/>
        </w:rPr>
        <w:t>科、监管科、协调科、财务科、党办等相关科室参加，</w:t>
      </w:r>
      <w:r>
        <w:rPr>
          <w:rFonts w:hint="eastAsia" w:ascii="宋体" w:hAnsi="宋体" w:eastAsia="宋体" w:cs="宋体"/>
          <w:color w:val="auto"/>
          <w:sz w:val="21"/>
          <w:szCs w:val="21"/>
          <w:highlight w:val="none"/>
          <w:lang w:eastAsia="zh-CN"/>
        </w:rPr>
        <w:t>特殊</w:t>
      </w:r>
      <w:r>
        <w:rPr>
          <w:rFonts w:hint="eastAsia" w:ascii="宋体" w:hAnsi="宋体" w:eastAsia="宋体" w:cs="宋体"/>
          <w:color w:val="auto"/>
          <w:sz w:val="21"/>
          <w:szCs w:val="21"/>
          <w:highlight w:val="none"/>
        </w:rPr>
        <w:t>项目邀请纪检组参加</w:t>
      </w:r>
      <w:r>
        <w:rPr>
          <w:rStyle w:val="58"/>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履约约谈由处职能科室牵头，在项目管理过程中</w:t>
      </w:r>
      <w:r>
        <w:rPr>
          <w:rFonts w:hint="eastAsia" w:ascii="宋体" w:hAnsi="宋体" w:eastAsia="宋体" w:cs="宋体"/>
          <w:bCs/>
          <w:color w:val="auto"/>
          <w:sz w:val="21"/>
          <w:szCs w:val="21"/>
          <w:highlight w:val="none"/>
        </w:rPr>
        <w:t>对承包人（</w:t>
      </w:r>
      <w:r>
        <w:rPr>
          <w:rFonts w:hint="eastAsia" w:ascii="宋体" w:hAnsi="宋体" w:eastAsia="宋体" w:cs="宋体"/>
          <w:bCs/>
          <w:color w:val="auto"/>
          <w:sz w:val="21"/>
          <w:szCs w:val="21"/>
          <w:highlight w:val="none"/>
          <w:lang w:eastAsia="zh-CN"/>
        </w:rPr>
        <w:t>受</w:t>
      </w:r>
      <w:r>
        <w:rPr>
          <w:rFonts w:hint="eastAsia" w:ascii="宋体" w:hAnsi="宋体" w:eastAsia="宋体" w:cs="宋体"/>
          <w:bCs/>
          <w:color w:val="auto"/>
          <w:sz w:val="21"/>
          <w:szCs w:val="21"/>
          <w:highlight w:val="none"/>
        </w:rPr>
        <w:t>托人）进行的</w:t>
      </w:r>
      <w:r>
        <w:rPr>
          <w:rFonts w:hint="eastAsia" w:ascii="宋体" w:hAnsi="宋体" w:eastAsia="宋体" w:cs="宋体"/>
          <w:color w:val="auto"/>
          <w:sz w:val="21"/>
          <w:szCs w:val="21"/>
          <w:highlight w:val="none"/>
        </w:rPr>
        <w:t>提醒、警告等形式</w:t>
      </w:r>
      <w:r>
        <w:rPr>
          <w:rFonts w:hint="eastAsia" w:ascii="宋体" w:hAnsi="宋体" w:eastAsia="宋体" w:cs="宋体"/>
          <w:color w:val="auto"/>
          <w:sz w:val="21"/>
          <w:szCs w:val="21"/>
          <w:highlight w:val="none"/>
          <w:lang w:eastAsia="zh-CN"/>
        </w:rPr>
        <w:t>的约谈</w:t>
      </w:r>
      <w:r>
        <w:rPr>
          <w:rFonts w:hint="eastAsia" w:ascii="宋体" w:hAnsi="宋体" w:eastAsia="宋体" w:cs="宋体"/>
          <w:color w:val="auto"/>
          <w:sz w:val="21"/>
          <w:szCs w:val="21"/>
          <w:highlight w:val="none"/>
        </w:rPr>
        <w:t>。</w:t>
      </w:r>
    </w:p>
    <w:p w14:paraId="7C182D8E">
      <w:pPr>
        <w:pStyle w:val="15"/>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第五条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被</w:t>
      </w:r>
      <w:r>
        <w:rPr>
          <w:rFonts w:hint="eastAsia" w:ascii="宋体" w:hAnsi="宋体" w:eastAsia="宋体" w:cs="宋体"/>
          <w:color w:val="auto"/>
          <w:sz w:val="21"/>
          <w:szCs w:val="21"/>
          <w:highlight w:val="none"/>
          <w:lang w:eastAsia="zh-CN"/>
        </w:rPr>
        <w:t>约谈单位需</w:t>
      </w: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项目技术负责人等携带有效</w:t>
      </w:r>
      <w:r>
        <w:rPr>
          <w:rFonts w:hint="eastAsia" w:ascii="宋体" w:hAnsi="宋体" w:eastAsia="宋体" w:cs="宋体"/>
          <w:color w:val="auto"/>
          <w:sz w:val="21"/>
          <w:szCs w:val="21"/>
          <w:highlight w:val="none"/>
          <w:lang w:eastAsia="zh-CN"/>
        </w:rPr>
        <w:t>身份</w:t>
      </w:r>
      <w:r>
        <w:rPr>
          <w:rFonts w:hint="eastAsia" w:ascii="宋体" w:hAnsi="宋体" w:eastAsia="宋体" w:cs="宋体"/>
          <w:color w:val="auto"/>
          <w:sz w:val="21"/>
          <w:szCs w:val="21"/>
          <w:highlight w:val="none"/>
        </w:rPr>
        <w:t>证件参加约谈，</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还</w:t>
      </w:r>
      <w:r>
        <w:rPr>
          <w:rFonts w:hint="eastAsia" w:ascii="宋体" w:hAnsi="宋体" w:eastAsia="宋体" w:cs="宋体"/>
          <w:color w:val="auto"/>
          <w:sz w:val="21"/>
          <w:szCs w:val="21"/>
          <w:highlight w:val="none"/>
        </w:rPr>
        <w:t>需携带公司授权委托书</w:t>
      </w:r>
      <w:r>
        <w:rPr>
          <w:rFonts w:hint="eastAsia" w:ascii="宋体" w:hAnsi="宋体" w:eastAsia="宋体" w:cs="宋体"/>
          <w:color w:val="auto"/>
          <w:sz w:val="21"/>
          <w:szCs w:val="21"/>
          <w:highlight w:val="none"/>
          <w:lang w:eastAsia="zh-CN"/>
        </w:rPr>
        <w:t>和职务证明</w:t>
      </w:r>
      <w:r>
        <w:rPr>
          <w:rFonts w:hint="eastAsia" w:ascii="宋体" w:hAnsi="宋体" w:eastAsia="宋体" w:cs="宋体"/>
          <w:color w:val="auto"/>
          <w:sz w:val="21"/>
          <w:szCs w:val="21"/>
          <w:highlight w:val="none"/>
        </w:rPr>
        <w:t>文件。</w:t>
      </w:r>
    </w:p>
    <w:p w14:paraId="5793FB8B">
      <w:pPr>
        <w:pStyle w:val="15"/>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六</w:t>
      </w:r>
      <w:r>
        <w:rPr>
          <w:rFonts w:hint="eastAsia" w:ascii="宋体" w:hAnsi="宋体" w:eastAsia="宋体" w:cs="宋体"/>
          <w:b/>
          <w:color w:val="auto"/>
          <w:sz w:val="21"/>
          <w:szCs w:val="21"/>
          <w:highlight w:val="none"/>
        </w:rPr>
        <w:t xml:space="preserve">条 </w:t>
      </w:r>
      <w:r>
        <w:rPr>
          <w:rFonts w:hint="eastAsia" w:ascii="宋体" w:hAnsi="宋体" w:eastAsia="宋体" w:cs="宋体"/>
          <w:color w:val="auto"/>
          <w:sz w:val="21"/>
          <w:szCs w:val="21"/>
          <w:highlight w:val="none"/>
        </w:rPr>
        <w:t>履约约谈</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情形</w:t>
      </w:r>
      <w:r>
        <w:rPr>
          <w:rFonts w:hint="eastAsia" w:ascii="宋体" w:hAnsi="宋体" w:eastAsia="宋体" w:cs="宋体"/>
          <w:color w:val="auto"/>
          <w:sz w:val="21"/>
          <w:szCs w:val="21"/>
          <w:highlight w:val="none"/>
          <w:lang w:eastAsia="zh-CN"/>
        </w:rPr>
        <w:t>：</w:t>
      </w:r>
    </w:p>
    <w:p w14:paraId="1F037885">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（一）人员</w:t>
      </w:r>
      <w:r>
        <w:rPr>
          <w:rFonts w:hint="eastAsia" w:ascii="宋体" w:hAnsi="宋体" w:eastAsia="宋体" w:cs="宋体"/>
          <w:color w:val="auto"/>
          <w:sz w:val="21"/>
          <w:szCs w:val="21"/>
          <w:highlight w:val="none"/>
        </w:rPr>
        <w:t>到岗、履责</w:t>
      </w:r>
      <w:r>
        <w:rPr>
          <w:rFonts w:hint="eastAsia" w:ascii="宋体" w:hAnsi="宋体" w:eastAsia="宋体" w:cs="宋体"/>
          <w:bCs/>
          <w:color w:val="auto"/>
          <w:sz w:val="21"/>
          <w:szCs w:val="21"/>
          <w:highlight w:val="none"/>
        </w:rPr>
        <w:t>不符合要求的；</w:t>
      </w:r>
    </w:p>
    <w:p w14:paraId="44BE9017">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（二）不配合办理项目建设手续的；</w:t>
      </w:r>
    </w:p>
    <w:p w14:paraId="4D409953">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（三）出现质量安全隐患整改</w:t>
      </w:r>
      <w:r>
        <w:rPr>
          <w:rFonts w:hint="eastAsia" w:ascii="宋体" w:hAnsi="宋体" w:eastAsia="宋体" w:cs="宋体"/>
          <w:color w:val="auto"/>
          <w:sz w:val="21"/>
          <w:szCs w:val="21"/>
          <w:highlight w:val="none"/>
        </w:rPr>
        <w:t>不及时、不到位的</w:t>
      </w:r>
      <w:r>
        <w:rPr>
          <w:rFonts w:hint="eastAsia" w:ascii="宋体" w:hAnsi="宋体" w:eastAsia="宋体" w:cs="宋体"/>
          <w:bCs/>
          <w:color w:val="auto"/>
          <w:sz w:val="21"/>
          <w:szCs w:val="21"/>
          <w:highlight w:val="none"/>
        </w:rPr>
        <w:t>；</w:t>
      </w:r>
    </w:p>
    <w:p w14:paraId="3D9C6642">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（四）施工现场不服从调度或工程进度</w:t>
      </w:r>
      <w:r>
        <w:rPr>
          <w:rFonts w:hint="eastAsia" w:ascii="宋体" w:hAnsi="宋体" w:eastAsia="宋体" w:cs="宋体"/>
          <w:color w:val="auto"/>
          <w:sz w:val="21"/>
          <w:szCs w:val="21"/>
          <w:highlight w:val="none"/>
        </w:rPr>
        <w:t>滞后</w:t>
      </w:r>
      <w:r>
        <w:rPr>
          <w:rFonts w:hint="eastAsia" w:ascii="宋体" w:hAnsi="宋体" w:eastAsia="宋体" w:cs="宋体"/>
          <w:bCs/>
          <w:color w:val="auto"/>
          <w:sz w:val="21"/>
          <w:szCs w:val="21"/>
          <w:highlight w:val="none"/>
        </w:rPr>
        <w:t>，严重影响工期的；</w:t>
      </w:r>
    </w:p>
    <w:p w14:paraId="590476DE">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（五）出现质量安全事故的；</w:t>
      </w:r>
    </w:p>
    <w:p w14:paraId="6EF07AFE">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（六）拖欠农民工工资或因工资、材料款</w:t>
      </w:r>
      <w:r>
        <w:rPr>
          <w:rFonts w:hint="eastAsia" w:ascii="宋体" w:hAnsi="宋体" w:eastAsia="宋体" w:cs="宋体"/>
          <w:color w:val="auto"/>
          <w:sz w:val="21"/>
          <w:szCs w:val="21"/>
          <w:highlight w:val="none"/>
        </w:rPr>
        <w:t>原因</w:t>
      </w:r>
      <w:r>
        <w:rPr>
          <w:rFonts w:hint="eastAsia" w:ascii="宋体" w:hAnsi="宋体" w:eastAsia="宋体" w:cs="宋体"/>
          <w:bCs/>
          <w:color w:val="auto"/>
          <w:sz w:val="21"/>
          <w:szCs w:val="21"/>
          <w:highlight w:val="none"/>
        </w:rPr>
        <w:t>等造成一定影响的</w:t>
      </w:r>
      <w:r>
        <w:rPr>
          <w:rFonts w:hint="eastAsia" w:ascii="宋体" w:hAnsi="宋体" w:eastAsia="宋体" w:cs="宋体"/>
          <w:bCs/>
          <w:color w:val="auto"/>
          <w:sz w:val="21"/>
          <w:szCs w:val="21"/>
          <w:highlight w:val="none"/>
          <w:lang w:eastAsia="zh-CN"/>
        </w:rPr>
        <w:t>或</w:t>
      </w:r>
      <w:r>
        <w:rPr>
          <w:rFonts w:hint="eastAsia" w:ascii="宋体" w:hAnsi="宋体" w:eastAsia="宋体" w:cs="宋体"/>
          <w:bCs/>
          <w:color w:val="auto"/>
          <w:sz w:val="21"/>
          <w:szCs w:val="21"/>
          <w:highlight w:val="none"/>
        </w:rPr>
        <w:t>出现群访事件处理不及时的；</w:t>
      </w:r>
    </w:p>
    <w:p w14:paraId="2CF3B601">
      <w:pPr>
        <w:pStyle w:val="44"/>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（七）工程竣工半年(含)以上经多次催促未完成竣工结算的；</w:t>
      </w:r>
    </w:p>
    <w:p w14:paraId="406981B5">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（八）未按合同期限按时移交的；</w:t>
      </w:r>
    </w:p>
    <w:p w14:paraId="43D6C604">
      <w:pPr>
        <w:pStyle w:val="44"/>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（九）不按规定提供工程资料造成不能归档的或归档不及时的；</w:t>
      </w:r>
    </w:p>
    <w:p w14:paraId="121C47E0">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（十）其他情形。</w:t>
      </w:r>
    </w:p>
    <w:p w14:paraId="6154561E">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七</w:t>
      </w:r>
      <w:r>
        <w:rPr>
          <w:rFonts w:hint="eastAsia" w:ascii="宋体" w:hAnsi="宋体" w:eastAsia="宋体" w:cs="宋体"/>
          <w:b/>
          <w:color w:val="auto"/>
          <w:sz w:val="21"/>
          <w:szCs w:val="21"/>
          <w:highlight w:val="none"/>
        </w:rPr>
        <w:t xml:space="preserve">条 </w:t>
      </w:r>
      <w:r>
        <w:rPr>
          <w:rFonts w:hint="eastAsia" w:ascii="宋体" w:hAnsi="宋体" w:eastAsia="宋体" w:cs="宋体"/>
          <w:bCs/>
          <w:color w:val="auto"/>
          <w:sz w:val="21"/>
          <w:szCs w:val="21"/>
          <w:highlight w:val="none"/>
        </w:rPr>
        <w:t>罚则</w:t>
      </w:r>
    </w:p>
    <w:p w14:paraId="66EB0EB3">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bCs/>
          <w:color w:val="auto"/>
          <w:sz w:val="21"/>
          <w:szCs w:val="21"/>
          <w:highlight w:val="none"/>
        </w:rPr>
        <w:t>未经批准</w:t>
      </w:r>
      <w:r>
        <w:rPr>
          <w:rFonts w:hint="eastAsia" w:ascii="宋体" w:hAnsi="宋体" w:eastAsia="宋体" w:cs="宋体"/>
          <w:bCs/>
          <w:color w:val="auto"/>
          <w:sz w:val="21"/>
          <w:szCs w:val="21"/>
          <w:highlight w:val="none"/>
          <w:lang w:eastAsia="zh-CN"/>
        </w:rPr>
        <w:t>不</w:t>
      </w:r>
      <w:r>
        <w:rPr>
          <w:rFonts w:hint="eastAsia" w:ascii="宋体" w:hAnsi="宋体" w:eastAsia="宋体" w:cs="宋体"/>
          <w:bCs/>
          <w:color w:val="auto"/>
          <w:sz w:val="21"/>
          <w:szCs w:val="21"/>
          <w:highlight w:val="none"/>
        </w:rPr>
        <w:t>按规定参加中标约谈的，取消中标资格，</w:t>
      </w:r>
      <w:r>
        <w:rPr>
          <w:rFonts w:hint="eastAsia" w:ascii="宋体" w:hAnsi="宋体" w:eastAsia="宋体" w:cs="宋体"/>
          <w:color w:val="auto"/>
          <w:sz w:val="21"/>
          <w:szCs w:val="21"/>
          <w:highlight w:val="none"/>
        </w:rPr>
        <w:t>投标保证金</w:t>
      </w:r>
      <w:r>
        <w:rPr>
          <w:rFonts w:hint="eastAsia" w:ascii="宋体" w:hAnsi="宋体" w:eastAsia="宋体" w:cs="宋体"/>
          <w:color w:val="auto"/>
          <w:sz w:val="21"/>
          <w:szCs w:val="21"/>
          <w:highlight w:val="none"/>
          <w:lang w:eastAsia="zh-CN"/>
        </w:rPr>
        <w:t>不予退还</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情节严重的，提请建设、招标等行政主管部门依法查处。</w:t>
      </w:r>
    </w:p>
    <w:p w14:paraId="26510ADC">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（二）未经批准</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按规定参加履约约谈</w:t>
      </w:r>
      <w:r>
        <w:rPr>
          <w:rFonts w:hint="eastAsia" w:ascii="宋体" w:hAnsi="宋体" w:eastAsia="宋体" w:cs="宋体"/>
          <w:bCs/>
          <w:color w:val="auto"/>
          <w:sz w:val="21"/>
          <w:szCs w:val="21"/>
          <w:highlight w:val="none"/>
        </w:rPr>
        <w:t>的或</w:t>
      </w:r>
      <w:r>
        <w:rPr>
          <w:rFonts w:hint="eastAsia" w:ascii="宋体" w:hAnsi="宋体" w:eastAsia="宋体" w:cs="宋体"/>
          <w:color w:val="auto"/>
          <w:sz w:val="21"/>
          <w:szCs w:val="21"/>
          <w:highlight w:val="none"/>
        </w:rPr>
        <w:t>约谈后未按要求整改的</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限期内整改</w:t>
      </w:r>
      <w:r>
        <w:rPr>
          <w:rFonts w:hint="eastAsia" w:ascii="宋体" w:hAnsi="宋体" w:eastAsia="宋体" w:cs="宋体"/>
          <w:color w:val="auto"/>
          <w:sz w:val="21"/>
          <w:szCs w:val="21"/>
          <w:highlight w:val="none"/>
          <w:lang w:eastAsia="zh-CN"/>
        </w:rPr>
        <w:t>不到位</w:t>
      </w:r>
      <w:r>
        <w:rPr>
          <w:rFonts w:hint="eastAsia" w:ascii="宋体" w:hAnsi="宋体" w:eastAsia="宋体" w:cs="宋体"/>
          <w:color w:val="auto"/>
          <w:sz w:val="21"/>
          <w:szCs w:val="21"/>
          <w:highlight w:val="none"/>
        </w:rPr>
        <w:t>的，情节严重的，提请建设、招标等行政主管部门依法查处。</w:t>
      </w:r>
    </w:p>
    <w:p w14:paraId="4CB71B43">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八</w:t>
      </w:r>
      <w:r>
        <w:rPr>
          <w:rFonts w:hint="eastAsia" w:ascii="宋体" w:hAnsi="宋体" w:eastAsia="宋体" w:cs="宋体"/>
          <w:b/>
          <w:bCs w:val="0"/>
          <w:color w:val="auto"/>
          <w:sz w:val="21"/>
          <w:szCs w:val="21"/>
          <w:highlight w:val="none"/>
        </w:rPr>
        <w:t>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本规定自发布之日起施行</w:t>
      </w:r>
      <w:r>
        <w:rPr>
          <w:rFonts w:hint="eastAsia" w:ascii="宋体" w:hAnsi="宋体" w:eastAsia="宋体" w:cs="宋体"/>
          <w:color w:val="auto"/>
          <w:sz w:val="21"/>
          <w:szCs w:val="21"/>
          <w:highlight w:val="none"/>
          <w:lang w:eastAsia="zh-CN"/>
        </w:rPr>
        <w:t>，处属各中心参照执行</w:t>
      </w:r>
      <w:r>
        <w:rPr>
          <w:rFonts w:hint="eastAsia" w:ascii="宋体" w:hAnsi="宋体" w:eastAsia="宋体" w:cs="宋体"/>
          <w:color w:val="auto"/>
          <w:sz w:val="21"/>
          <w:szCs w:val="21"/>
          <w:highlight w:val="none"/>
        </w:rPr>
        <w:t>。</w:t>
      </w:r>
    </w:p>
    <w:p w14:paraId="6294B307">
      <w:pPr>
        <w:pStyle w:val="27"/>
        <w:keepNext w:val="0"/>
        <w:keepLines w:val="0"/>
        <w:pageBreakBefore w:val="0"/>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附件：到岗履责承诺书</w:t>
      </w:r>
    </w:p>
    <w:p w14:paraId="7669EDFD">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到岗履责承诺书</w:t>
      </w:r>
    </w:p>
    <w:p w14:paraId="435CB845">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74BEB8A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本人被任命为</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工程</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岗位职务，本人保证能到岗到位，履行岗位管理职责，并做如下郑重承诺：</w:t>
      </w:r>
    </w:p>
    <w:p w14:paraId="1C60C9B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一、按本项目招标文件及滁州市相关文件等要求，若不能按要求到岗，同意接受处罚；</w:t>
      </w:r>
    </w:p>
    <w:p w14:paraId="37E76E3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二、本人按招、投标文件的承诺等，履行相关法律、法规、规范和合同约定的义务；否则，按有关法律、法规和重点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有关文件进行处罚。</w:t>
      </w:r>
    </w:p>
    <w:p w14:paraId="2FC1E33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三、本人同意把岗位证书交重点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保管，直至工程竣工验收。若在工程施工管理过程中存在违法违规行为，愿意把自己岗位证书交相关管理部门注销。</w:t>
      </w:r>
    </w:p>
    <w:p w14:paraId="44E2875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四、施工单位建造师、项目技术负责人、“五大员”等承诺常驻现场；监理单位总监、总监代表、专业监理、监理员、见证取样员等承诺常驻现场。</w:t>
      </w:r>
    </w:p>
    <w:p w14:paraId="2EC9EA4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五、项目部、监理部组成人员承诺一周内到岗，否则同意取消中标资格。</w:t>
      </w:r>
    </w:p>
    <w:p w14:paraId="1F8D9D9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六、项目部人员考勤由总监理工程师负责，业主代表每周进行随机考勤抽查，如考勤抽查记录与监理考勤记录不符，情况核实后，将对监理单位进行严厉处罚。</w:t>
      </w:r>
    </w:p>
    <w:p w14:paraId="51A99F4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38A4245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承诺人：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承诺人所在单位：</w:t>
      </w:r>
    </w:p>
    <w:p w14:paraId="7EAACB4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年   月   日</w:t>
      </w:r>
    </w:p>
    <w:p w14:paraId="55110887">
      <w:pPr>
        <w:pStyle w:val="17"/>
        <w:jc w:val="left"/>
        <w:rPr>
          <w:rFonts w:hint="eastAsia" w:ascii="宋体" w:hAnsi="宋体" w:eastAsia="宋体" w:cs="宋体"/>
          <w:color w:val="auto"/>
          <w:kern w:val="0"/>
          <w:sz w:val="24"/>
          <w:szCs w:val="24"/>
          <w:highlight w:val="none"/>
        </w:rPr>
      </w:pPr>
    </w:p>
    <w:sectPr>
      <w:footerReference r:id="rId9"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方正小标宋简体">
    <w:altName w:val="黑体"/>
    <w:panose1 w:val="03000509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29"/>
      <w:rPr>
        <w:rStyle w:val="49"/>
      </w:rPr>
    </w:pPr>
  </w:p>
  <w:p w14:paraId="24D89652">
    <w:pPr>
      <w:pStyle w:val="29"/>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29"/>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29"/>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29"/>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D085">
    <w:pPr>
      <w:pStyle w:val="29"/>
      <w:ind w:right="360" w:firstLine="360"/>
      <w:jc w:val="right"/>
      <w:rPr>
        <w:rFonts w:hint="default" w:eastAsia="Times New Roman"/>
        <w:sz w:val="18"/>
        <w:szCs w:val="24"/>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22376">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C22376">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6950247D">
    <w:pPr>
      <w:pStyle w:val="29"/>
      <w:rPr>
        <w:rFonts w:hint="default" w:eastAsia="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61A02">
    <w:pPr>
      <w:pStyle w:val="29"/>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ADB62">
                          <w:pPr>
                            <w:pStyle w:val="2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7ADB62">
                    <w:pPr>
                      <w:pStyle w:val="2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F37F9">
    <w:pPr>
      <w:pStyle w:val="2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90042">
                          <w:pPr>
                            <w:pStyle w:val="2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8B90042">
                    <w:pPr>
                      <w:pStyle w:val="2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396">
    <w:pPr>
      <w:pStyle w:val="29"/>
      <w:rPr>
        <w:rStyle w:val="49"/>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FB10A">
                          <w:pPr>
                            <w:pStyle w:val="2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E2FB10A">
                    <w:pPr>
                      <w:pStyle w:val="29"/>
                    </w:pPr>
                    <w:r>
                      <w:fldChar w:fldCharType="begin"/>
                    </w:r>
                    <w:r>
                      <w:instrText xml:space="preserve"> PAGE  \* MERGEFORMAT </w:instrText>
                    </w:r>
                    <w:r>
                      <w:fldChar w:fldCharType="separate"/>
                    </w:r>
                    <w:r>
                      <w:t>26</w:t>
                    </w:r>
                    <w:r>
                      <w:fldChar w:fldCharType="end"/>
                    </w:r>
                  </w:p>
                </w:txbxContent>
              </v:textbox>
            </v:shape>
          </w:pict>
        </mc:Fallback>
      </mc:AlternateContent>
    </w:r>
  </w:p>
  <w:p w14:paraId="157870D5">
    <w:pPr>
      <w:pStyle w:val="29"/>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D5C932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D5C932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BC5AA"/>
    <w:multiLevelType w:val="singleLevel"/>
    <w:tmpl w:val="872BC5AA"/>
    <w:lvl w:ilvl="0" w:tentative="0">
      <w:start w:val="2"/>
      <w:numFmt w:val="decimal"/>
      <w:lvlText w:val="%1."/>
      <w:lvlJc w:val="left"/>
      <w:pPr>
        <w:tabs>
          <w:tab w:val="left" w:pos="312"/>
        </w:tabs>
      </w:pPr>
    </w:lvl>
  </w:abstractNum>
  <w:abstractNum w:abstractNumId="1">
    <w:nsid w:val="E7258976"/>
    <w:multiLevelType w:val="singleLevel"/>
    <w:tmpl w:val="E7258976"/>
    <w:lvl w:ilvl="0" w:tentative="0">
      <w:start w:val="1"/>
      <w:numFmt w:val="chineseCounting"/>
      <w:suff w:val="space"/>
      <w:lvlText w:val="（%1）"/>
      <w:lvlJc w:val="left"/>
      <w:pPr>
        <w:ind w:left="-10"/>
      </w:pPr>
      <w:rPr>
        <w:rFonts w:hint="eastAsia" w:ascii="仿宋_GB2312" w:hAnsi="仿宋_GB2312" w:eastAsia="仿宋_GB2312" w:cs="仿宋_GB2312"/>
        <w:sz w:val="32"/>
        <w:szCs w:val="32"/>
      </w:rPr>
    </w:lvl>
  </w:abstractNum>
  <w:abstractNum w:abstractNumId="2">
    <w:nsid w:val="1EF8CB6E"/>
    <w:multiLevelType w:val="singleLevel"/>
    <w:tmpl w:val="1EF8CB6E"/>
    <w:lvl w:ilvl="0" w:tentative="0">
      <w:start w:val="1"/>
      <w:numFmt w:val="upperLetter"/>
      <w:suff w:val="nothing"/>
      <w:lvlText w:val="%1、"/>
      <w:lvlJc w:val="left"/>
    </w:lvl>
  </w:abstractNum>
  <w:abstractNum w:abstractNumId="3">
    <w:nsid w:val="434FCDAE"/>
    <w:multiLevelType w:val="singleLevel"/>
    <w:tmpl w:val="434FCDAE"/>
    <w:lvl w:ilvl="0" w:tentative="0">
      <w:start w:val="1"/>
      <w:numFmt w:val="chineseCounting"/>
      <w:suff w:val="space"/>
      <w:lvlText w:val="（%1）"/>
      <w:lvlJc w:val="left"/>
      <w:rPr>
        <w:rFonts w:hint="eastAsia"/>
      </w:rPr>
    </w:lvl>
  </w:abstractNum>
  <w:abstractNum w:abstractNumId="4">
    <w:nsid w:val="4AEE3BEB"/>
    <w:multiLevelType w:val="singleLevel"/>
    <w:tmpl w:val="4AEE3BEB"/>
    <w:lvl w:ilvl="0" w:tentative="0">
      <w:start w:val="2"/>
      <w:numFmt w:val="chineseCounting"/>
      <w:suff w:val="space"/>
      <w:lvlText w:val="（%1）"/>
      <w:lvlJc w:val="left"/>
      <w:rPr>
        <w:rFonts w:hint="eastAsi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23C4E17"/>
    <w:rsid w:val="02860CE1"/>
    <w:rsid w:val="028D0613"/>
    <w:rsid w:val="02A06DF6"/>
    <w:rsid w:val="02AD40CA"/>
    <w:rsid w:val="03311B51"/>
    <w:rsid w:val="035607B0"/>
    <w:rsid w:val="035A0B08"/>
    <w:rsid w:val="03BE185C"/>
    <w:rsid w:val="03DD3435"/>
    <w:rsid w:val="04880F3B"/>
    <w:rsid w:val="04BB1052"/>
    <w:rsid w:val="058F191A"/>
    <w:rsid w:val="064047AA"/>
    <w:rsid w:val="07023E8A"/>
    <w:rsid w:val="073060B3"/>
    <w:rsid w:val="073F34F8"/>
    <w:rsid w:val="07855569"/>
    <w:rsid w:val="07DD03A2"/>
    <w:rsid w:val="08891FDF"/>
    <w:rsid w:val="088A61B1"/>
    <w:rsid w:val="08EE1782"/>
    <w:rsid w:val="090B57DF"/>
    <w:rsid w:val="094625ED"/>
    <w:rsid w:val="098C0FAE"/>
    <w:rsid w:val="0A1370D9"/>
    <w:rsid w:val="0A426CE3"/>
    <w:rsid w:val="0A783487"/>
    <w:rsid w:val="0A920A74"/>
    <w:rsid w:val="0B1A05CF"/>
    <w:rsid w:val="0B3B4932"/>
    <w:rsid w:val="0B644A83"/>
    <w:rsid w:val="0B8A5AE2"/>
    <w:rsid w:val="0C30371E"/>
    <w:rsid w:val="0C47209B"/>
    <w:rsid w:val="0CDE4AF1"/>
    <w:rsid w:val="0CEC2F96"/>
    <w:rsid w:val="0D2F7233"/>
    <w:rsid w:val="0DB0649C"/>
    <w:rsid w:val="0E2234E7"/>
    <w:rsid w:val="0E832759"/>
    <w:rsid w:val="0ECF7747"/>
    <w:rsid w:val="0F9D46EF"/>
    <w:rsid w:val="10525806"/>
    <w:rsid w:val="108918F0"/>
    <w:rsid w:val="11D57582"/>
    <w:rsid w:val="124026B6"/>
    <w:rsid w:val="12C329EB"/>
    <w:rsid w:val="13114D0E"/>
    <w:rsid w:val="137A735A"/>
    <w:rsid w:val="13B24508"/>
    <w:rsid w:val="13E54BBD"/>
    <w:rsid w:val="146D5339"/>
    <w:rsid w:val="152F63E2"/>
    <w:rsid w:val="158272E5"/>
    <w:rsid w:val="15D60886"/>
    <w:rsid w:val="168140E7"/>
    <w:rsid w:val="16A220B2"/>
    <w:rsid w:val="16AB249D"/>
    <w:rsid w:val="16E538DC"/>
    <w:rsid w:val="17153410"/>
    <w:rsid w:val="17873285"/>
    <w:rsid w:val="17A86B91"/>
    <w:rsid w:val="183A085F"/>
    <w:rsid w:val="19475149"/>
    <w:rsid w:val="1A1E40F3"/>
    <w:rsid w:val="1AF847D0"/>
    <w:rsid w:val="1C136BB6"/>
    <w:rsid w:val="1C4B5EA8"/>
    <w:rsid w:val="1DF9428F"/>
    <w:rsid w:val="1E1554ED"/>
    <w:rsid w:val="1E66223E"/>
    <w:rsid w:val="1FA4448B"/>
    <w:rsid w:val="2022793B"/>
    <w:rsid w:val="207B6E01"/>
    <w:rsid w:val="211B1C44"/>
    <w:rsid w:val="211C7CC9"/>
    <w:rsid w:val="21F200C1"/>
    <w:rsid w:val="224A075F"/>
    <w:rsid w:val="22E66E8E"/>
    <w:rsid w:val="23816BA4"/>
    <w:rsid w:val="23B802A0"/>
    <w:rsid w:val="25184226"/>
    <w:rsid w:val="253F5086"/>
    <w:rsid w:val="25E4098B"/>
    <w:rsid w:val="26252182"/>
    <w:rsid w:val="265122FF"/>
    <w:rsid w:val="265E174C"/>
    <w:rsid w:val="2686038F"/>
    <w:rsid w:val="26EF5515"/>
    <w:rsid w:val="274F505D"/>
    <w:rsid w:val="28277AED"/>
    <w:rsid w:val="28C72B2B"/>
    <w:rsid w:val="29E75E0C"/>
    <w:rsid w:val="29F23E8A"/>
    <w:rsid w:val="2A241E9E"/>
    <w:rsid w:val="2A566AD6"/>
    <w:rsid w:val="2B367DA6"/>
    <w:rsid w:val="2B52413C"/>
    <w:rsid w:val="2C7D3C0D"/>
    <w:rsid w:val="2C874AAF"/>
    <w:rsid w:val="2C8E66A6"/>
    <w:rsid w:val="2CAF5168"/>
    <w:rsid w:val="2CBB47F9"/>
    <w:rsid w:val="2D4A1910"/>
    <w:rsid w:val="2DFF7667"/>
    <w:rsid w:val="2E267150"/>
    <w:rsid w:val="2E8A7EB3"/>
    <w:rsid w:val="2EFD1D1D"/>
    <w:rsid w:val="2F0B779C"/>
    <w:rsid w:val="2F3A186E"/>
    <w:rsid w:val="2FE563D7"/>
    <w:rsid w:val="310B4442"/>
    <w:rsid w:val="31FB42D0"/>
    <w:rsid w:val="32852601"/>
    <w:rsid w:val="32B47BD5"/>
    <w:rsid w:val="32D3700E"/>
    <w:rsid w:val="32F07192"/>
    <w:rsid w:val="32FC6372"/>
    <w:rsid w:val="332433C5"/>
    <w:rsid w:val="3376156C"/>
    <w:rsid w:val="33A21A2C"/>
    <w:rsid w:val="33DB598F"/>
    <w:rsid w:val="348E387D"/>
    <w:rsid w:val="34D36666"/>
    <w:rsid w:val="35A46FAE"/>
    <w:rsid w:val="36A57F38"/>
    <w:rsid w:val="36E40AF7"/>
    <w:rsid w:val="36FC0C61"/>
    <w:rsid w:val="37026723"/>
    <w:rsid w:val="37526B7E"/>
    <w:rsid w:val="38172D0E"/>
    <w:rsid w:val="385F78F9"/>
    <w:rsid w:val="398960D8"/>
    <w:rsid w:val="39E8421F"/>
    <w:rsid w:val="3A066436"/>
    <w:rsid w:val="3A2516BB"/>
    <w:rsid w:val="3B3C635C"/>
    <w:rsid w:val="3CCB04A6"/>
    <w:rsid w:val="3CD37326"/>
    <w:rsid w:val="3CF56ED5"/>
    <w:rsid w:val="3DA16242"/>
    <w:rsid w:val="3DCB2BE5"/>
    <w:rsid w:val="3E7850FA"/>
    <w:rsid w:val="3EED354E"/>
    <w:rsid w:val="3EFE6959"/>
    <w:rsid w:val="3F1410DB"/>
    <w:rsid w:val="3F173AB4"/>
    <w:rsid w:val="3F370F3A"/>
    <w:rsid w:val="3F7A539C"/>
    <w:rsid w:val="3FB5783A"/>
    <w:rsid w:val="3FD170C1"/>
    <w:rsid w:val="408338D7"/>
    <w:rsid w:val="41510996"/>
    <w:rsid w:val="42147451"/>
    <w:rsid w:val="43727992"/>
    <w:rsid w:val="437D0025"/>
    <w:rsid w:val="43881670"/>
    <w:rsid w:val="43E82525"/>
    <w:rsid w:val="44592EA6"/>
    <w:rsid w:val="44A8055A"/>
    <w:rsid w:val="44F7334E"/>
    <w:rsid w:val="45AF30FD"/>
    <w:rsid w:val="46420BB9"/>
    <w:rsid w:val="465B3014"/>
    <w:rsid w:val="47022DDB"/>
    <w:rsid w:val="47121FD0"/>
    <w:rsid w:val="471313AC"/>
    <w:rsid w:val="472F5293"/>
    <w:rsid w:val="473A07C7"/>
    <w:rsid w:val="47AE55ED"/>
    <w:rsid w:val="47CE2573"/>
    <w:rsid w:val="47DB0FE0"/>
    <w:rsid w:val="47DE55F6"/>
    <w:rsid w:val="47EB386F"/>
    <w:rsid w:val="485A4022"/>
    <w:rsid w:val="48691363"/>
    <w:rsid w:val="48986B3F"/>
    <w:rsid w:val="494476DB"/>
    <w:rsid w:val="49B66251"/>
    <w:rsid w:val="4A125037"/>
    <w:rsid w:val="4A49578E"/>
    <w:rsid w:val="4AB455FC"/>
    <w:rsid w:val="4B4C6831"/>
    <w:rsid w:val="4B516969"/>
    <w:rsid w:val="4BB93099"/>
    <w:rsid w:val="4CA21C4A"/>
    <w:rsid w:val="4E87606B"/>
    <w:rsid w:val="4EBD5F65"/>
    <w:rsid w:val="4ED1777D"/>
    <w:rsid w:val="4F281B57"/>
    <w:rsid w:val="4F443F90"/>
    <w:rsid w:val="4F627A2B"/>
    <w:rsid w:val="4F8A1859"/>
    <w:rsid w:val="4FCD4721"/>
    <w:rsid w:val="502D24E4"/>
    <w:rsid w:val="504773D5"/>
    <w:rsid w:val="50EC70D4"/>
    <w:rsid w:val="511E5BAD"/>
    <w:rsid w:val="51267930"/>
    <w:rsid w:val="513918A9"/>
    <w:rsid w:val="517F3DD4"/>
    <w:rsid w:val="51BC2AE8"/>
    <w:rsid w:val="52244348"/>
    <w:rsid w:val="52B72CCB"/>
    <w:rsid w:val="52CE5689"/>
    <w:rsid w:val="550A5C7C"/>
    <w:rsid w:val="555D7576"/>
    <w:rsid w:val="558A3D0F"/>
    <w:rsid w:val="559A68B9"/>
    <w:rsid w:val="569E5C28"/>
    <w:rsid w:val="56B17EF3"/>
    <w:rsid w:val="56F21ED5"/>
    <w:rsid w:val="57313D11"/>
    <w:rsid w:val="578D69F6"/>
    <w:rsid w:val="57F2790D"/>
    <w:rsid w:val="58311B26"/>
    <w:rsid w:val="59254E33"/>
    <w:rsid w:val="597E4543"/>
    <w:rsid w:val="599A4762"/>
    <w:rsid w:val="59B94A33"/>
    <w:rsid w:val="59C42C57"/>
    <w:rsid w:val="5AFB2C32"/>
    <w:rsid w:val="5B2F036B"/>
    <w:rsid w:val="5B5877E2"/>
    <w:rsid w:val="5BA9771F"/>
    <w:rsid w:val="5BAC7A1D"/>
    <w:rsid w:val="5BAE0EF6"/>
    <w:rsid w:val="5BE3458F"/>
    <w:rsid w:val="5DBE2BDC"/>
    <w:rsid w:val="5DD0286D"/>
    <w:rsid w:val="5EEA0F2A"/>
    <w:rsid w:val="5F9D1CA2"/>
    <w:rsid w:val="5FD300DB"/>
    <w:rsid w:val="5FE25B93"/>
    <w:rsid w:val="603F3AE9"/>
    <w:rsid w:val="608C59E7"/>
    <w:rsid w:val="61051B53"/>
    <w:rsid w:val="61095D5D"/>
    <w:rsid w:val="61284751"/>
    <w:rsid w:val="629F458E"/>
    <w:rsid w:val="633D0FCB"/>
    <w:rsid w:val="63637DFA"/>
    <w:rsid w:val="63A72C64"/>
    <w:rsid w:val="63C40272"/>
    <w:rsid w:val="63FC15A5"/>
    <w:rsid w:val="64F222D0"/>
    <w:rsid w:val="655541D3"/>
    <w:rsid w:val="65594766"/>
    <w:rsid w:val="65AE22F3"/>
    <w:rsid w:val="65C12033"/>
    <w:rsid w:val="66465782"/>
    <w:rsid w:val="66AF6E4C"/>
    <w:rsid w:val="670A4733"/>
    <w:rsid w:val="67DE5EA5"/>
    <w:rsid w:val="68E615DD"/>
    <w:rsid w:val="6907286A"/>
    <w:rsid w:val="6908397B"/>
    <w:rsid w:val="6980658C"/>
    <w:rsid w:val="6A16299D"/>
    <w:rsid w:val="6A8E035E"/>
    <w:rsid w:val="6B354DBB"/>
    <w:rsid w:val="6CC00CAD"/>
    <w:rsid w:val="6D0B604A"/>
    <w:rsid w:val="6DAC05BE"/>
    <w:rsid w:val="6E2337BB"/>
    <w:rsid w:val="6E802F39"/>
    <w:rsid w:val="6F5F3A74"/>
    <w:rsid w:val="6F8373FF"/>
    <w:rsid w:val="6FC06D93"/>
    <w:rsid w:val="6FDE7145"/>
    <w:rsid w:val="701268B7"/>
    <w:rsid w:val="7025059A"/>
    <w:rsid w:val="708446DD"/>
    <w:rsid w:val="713E6246"/>
    <w:rsid w:val="725809D6"/>
    <w:rsid w:val="72EE22E1"/>
    <w:rsid w:val="73840989"/>
    <w:rsid w:val="73875405"/>
    <w:rsid w:val="73B74532"/>
    <w:rsid w:val="74425F26"/>
    <w:rsid w:val="7487178B"/>
    <w:rsid w:val="74CC7CBB"/>
    <w:rsid w:val="75847F67"/>
    <w:rsid w:val="766E59B4"/>
    <w:rsid w:val="7682140E"/>
    <w:rsid w:val="76D62696"/>
    <w:rsid w:val="77337D0A"/>
    <w:rsid w:val="774E2667"/>
    <w:rsid w:val="77910BE3"/>
    <w:rsid w:val="78032522"/>
    <w:rsid w:val="78270463"/>
    <w:rsid w:val="78EA3B59"/>
    <w:rsid w:val="79347977"/>
    <w:rsid w:val="7AD53A89"/>
    <w:rsid w:val="7B2726C7"/>
    <w:rsid w:val="7B360113"/>
    <w:rsid w:val="7BC97448"/>
    <w:rsid w:val="7C016BE2"/>
    <w:rsid w:val="7C3E2E16"/>
    <w:rsid w:val="7C8660BD"/>
    <w:rsid w:val="7C934347"/>
    <w:rsid w:val="7CA05978"/>
    <w:rsid w:val="7D374A1C"/>
    <w:rsid w:val="7D7B252F"/>
    <w:rsid w:val="7DDC625D"/>
    <w:rsid w:val="7F09259F"/>
    <w:rsid w:val="7F2050E8"/>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3">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66"/>
    <w:qFormat/>
    <w:uiPriority w:val="99"/>
    <w:pPr>
      <w:keepNext/>
      <w:keepLines/>
      <w:spacing w:before="260" w:after="260" w:line="416" w:lineRule="auto"/>
      <w:outlineLvl w:val="2"/>
    </w:pPr>
    <w:rPr>
      <w:b/>
      <w:bCs/>
      <w:sz w:val="32"/>
      <w:szCs w:val="32"/>
    </w:rPr>
  </w:style>
  <w:style w:type="paragraph" w:styleId="5">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6">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7">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8">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9">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0">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2520" w:leftChars="1200"/>
    </w:pPr>
    <w:rPr>
      <w:rFonts w:ascii="Calibri" w:hAnsi="Calibri" w:cs="Calibri"/>
    </w:rPr>
  </w:style>
  <w:style w:type="paragraph" w:styleId="12">
    <w:name w:val="Normal Indent"/>
    <w:basedOn w:val="1"/>
    <w:qFormat/>
    <w:uiPriority w:val="99"/>
    <w:pPr>
      <w:adjustRightInd w:val="0"/>
      <w:spacing w:line="360" w:lineRule="atLeast"/>
      <w:ind w:firstLine="482"/>
      <w:textAlignment w:val="baseline"/>
    </w:pPr>
    <w:rPr>
      <w:kern w:val="0"/>
      <w:sz w:val="24"/>
      <w:szCs w:val="24"/>
    </w:rPr>
  </w:style>
  <w:style w:type="paragraph" w:styleId="13">
    <w:name w:val="caption"/>
    <w:basedOn w:val="1"/>
    <w:next w:val="1"/>
    <w:qFormat/>
    <w:uiPriority w:val="99"/>
    <w:rPr>
      <w:rFonts w:ascii="Cambria" w:hAnsi="Cambria" w:eastAsia="黑体" w:cs="Cambria"/>
      <w:sz w:val="20"/>
      <w:szCs w:val="20"/>
    </w:rPr>
  </w:style>
  <w:style w:type="paragraph" w:styleId="14">
    <w:name w:val="Document Map"/>
    <w:basedOn w:val="1"/>
    <w:link w:val="73"/>
    <w:semiHidden/>
    <w:qFormat/>
    <w:uiPriority w:val="99"/>
    <w:pPr>
      <w:shd w:val="clear" w:color="auto" w:fill="000080"/>
    </w:pPr>
    <w:rPr>
      <w:kern w:val="0"/>
      <w:sz w:val="20"/>
      <w:szCs w:val="20"/>
      <w:shd w:val="clear" w:color="auto" w:fill="000080"/>
    </w:rPr>
  </w:style>
  <w:style w:type="paragraph" w:styleId="15">
    <w:name w:val="annotation text"/>
    <w:basedOn w:val="1"/>
    <w:link w:val="74"/>
    <w:semiHidden/>
    <w:qFormat/>
    <w:uiPriority w:val="99"/>
    <w:pPr>
      <w:jc w:val="left"/>
    </w:pPr>
  </w:style>
  <w:style w:type="paragraph" w:styleId="16">
    <w:name w:val="Body Text 3"/>
    <w:basedOn w:val="1"/>
    <w:link w:val="75"/>
    <w:qFormat/>
    <w:uiPriority w:val="99"/>
    <w:rPr>
      <w:rFonts w:ascii="宋体" w:cs="宋体"/>
      <w:sz w:val="24"/>
      <w:szCs w:val="24"/>
    </w:rPr>
  </w:style>
  <w:style w:type="paragraph" w:styleId="17">
    <w:name w:val="Body Text"/>
    <w:basedOn w:val="1"/>
    <w:link w:val="76"/>
    <w:qFormat/>
    <w:uiPriority w:val="99"/>
    <w:pPr>
      <w:jc w:val="center"/>
    </w:pPr>
    <w:rPr>
      <w:b/>
      <w:bCs/>
      <w:sz w:val="44"/>
      <w:szCs w:val="44"/>
    </w:rPr>
  </w:style>
  <w:style w:type="paragraph" w:styleId="18">
    <w:name w:val="Body Text Indent"/>
    <w:basedOn w:val="1"/>
    <w:next w:val="19"/>
    <w:link w:val="77"/>
    <w:qFormat/>
    <w:uiPriority w:val="99"/>
    <w:pPr>
      <w:spacing w:line="500" w:lineRule="exact"/>
      <w:ind w:firstLine="538"/>
    </w:pPr>
    <w:rPr>
      <w:sz w:val="28"/>
      <w:szCs w:val="28"/>
    </w:rPr>
  </w:style>
  <w:style w:type="paragraph" w:styleId="19">
    <w:name w:val="envelope return"/>
    <w:basedOn w:val="1"/>
    <w:qFormat/>
    <w:uiPriority w:val="99"/>
    <w:pPr>
      <w:snapToGrid w:val="0"/>
    </w:pPr>
    <w:rPr>
      <w:rFonts w:ascii="Arial" w:hAnsi="Arial"/>
    </w:rPr>
  </w:style>
  <w:style w:type="paragraph" w:styleId="20">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1">
    <w:name w:val="index 4"/>
    <w:basedOn w:val="1"/>
    <w:next w:val="1"/>
    <w:semiHidden/>
    <w:qFormat/>
    <w:uiPriority w:val="99"/>
    <w:pPr>
      <w:ind w:left="600" w:leftChars="600"/>
    </w:pPr>
  </w:style>
  <w:style w:type="paragraph" w:styleId="22">
    <w:name w:val="toc 5"/>
    <w:basedOn w:val="1"/>
    <w:next w:val="1"/>
    <w:semiHidden/>
    <w:qFormat/>
    <w:uiPriority w:val="99"/>
    <w:pPr>
      <w:tabs>
        <w:tab w:val="right" w:leader="dot" w:pos="8296"/>
      </w:tabs>
      <w:ind w:left="1050" w:leftChars="500"/>
    </w:pPr>
    <w:rPr>
      <w:rFonts w:ascii="Calibri" w:hAnsi="Calibri" w:cs="Calibri"/>
    </w:rPr>
  </w:style>
  <w:style w:type="paragraph" w:styleId="23">
    <w:name w:val="toc 3"/>
    <w:basedOn w:val="1"/>
    <w:next w:val="1"/>
    <w:semiHidden/>
    <w:qFormat/>
    <w:uiPriority w:val="99"/>
    <w:pPr>
      <w:ind w:left="840" w:leftChars="400"/>
    </w:pPr>
    <w:rPr>
      <w:rFonts w:ascii="Calibri" w:hAnsi="Calibri" w:cs="Calibri"/>
    </w:rPr>
  </w:style>
  <w:style w:type="paragraph" w:styleId="24">
    <w:name w:val="Plain Text"/>
    <w:basedOn w:val="1"/>
    <w:next w:val="1"/>
    <w:link w:val="78"/>
    <w:qFormat/>
    <w:uiPriority w:val="99"/>
    <w:rPr>
      <w:rFonts w:ascii="宋体" w:hAnsi="Courier New" w:cs="宋体"/>
    </w:rPr>
  </w:style>
  <w:style w:type="paragraph" w:styleId="25">
    <w:name w:val="toc 8"/>
    <w:basedOn w:val="1"/>
    <w:next w:val="1"/>
    <w:semiHidden/>
    <w:qFormat/>
    <w:uiPriority w:val="99"/>
    <w:pPr>
      <w:ind w:left="2940" w:leftChars="1400"/>
    </w:pPr>
    <w:rPr>
      <w:rFonts w:ascii="Calibri" w:hAnsi="Calibri" w:cs="Calibri"/>
    </w:rPr>
  </w:style>
  <w:style w:type="paragraph" w:styleId="26">
    <w:name w:val="Date"/>
    <w:basedOn w:val="1"/>
    <w:next w:val="1"/>
    <w:link w:val="79"/>
    <w:qFormat/>
    <w:uiPriority w:val="99"/>
    <w:rPr>
      <w:rFonts w:ascii="仿宋_GB2312" w:eastAsia="仿宋_GB2312" w:cs="仿宋_GB2312"/>
      <w:sz w:val="30"/>
      <w:szCs w:val="30"/>
    </w:rPr>
  </w:style>
  <w:style w:type="paragraph" w:styleId="27">
    <w:name w:val="Body Text Indent 2"/>
    <w:basedOn w:val="1"/>
    <w:next w:val="1"/>
    <w:link w:val="80"/>
    <w:qFormat/>
    <w:uiPriority w:val="99"/>
    <w:pPr>
      <w:spacing w:line="360" w:lineRule="exact"/>
      <w:ind w:firstLine="600" w:firstLineChars="250"/>
      <w:jc w:val="left"/>
    </w:pPr>
    <w:rPr>
      <w:sz w:val="24"/>
      <w:szCs w:val="24"/>
    </w:rPr>
  </w:style>
  <w:style w:type="paragraph" w:styleId="28">
    <w:name w:val="Balloon Text"/>
    <w:basedOn w:val="1"/>
    <w:link w:val="81"/>
    <w:semiHidden/>
    <w:qFormat/>
    <w:uiPriority w:val="99"/>
    <w:rPr>
      <w:sz w:val="18"/>
      <w:szCs w:val="18"/>
    </w:rPr>
  </w:style>
  <w:style w:type="paragraph" w:styleId="29">
    <w:name w:val="footer"/>
    <w:basedOn w:val="1"/>
    <w:link w:val="82"/>
    <w:qFormat/>
    <w:uiPriority w:val="99"/>
    <w:pPr>
      <w:tabs>
        <w:tab w:val="center" w:pos="4153"/>
        <w:tab w:val="right" w:pos="8306"/>
      </w:tabs>
      <w:snapToGrid w:val="0"/>
      <w:jc w:val="left"/>
    </w:pPr>
    <w:rPr>
      <w:sz w:val="18"/>
      <w:szCs w:val="18"/>
    </w:rPr>
  </w:style>
  <w:style w:type="paragraph" w:styleId="30">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2">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3">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4">
    <w:name w:val="footnote text"/>
    <w:basedOn w:val="1"/>
    <w:link w:val="85"/>
    <w:semiHidden/>
    <w:qFormat/>
    <w:uiPriority w:val="99"/>
    <w:rPr>
      <w:sz w:val="20"/>
      <w:szCs w:val="20"/>
    </w:rPr>
  </w:style>
  <w:style w:type="paragraph" w:styleId="35">
    <w:name w:val="toc 6"/>
    <w:basedOn w:val="1"/>
    <w:next w:val="1"/>
    <w:semiHidden/>
    <w:qFormat/>
    <w:uiPriority w:val="99"/>
    <w:pPr>
      <w:ind w:left="2100" w:leftChars="1000"/>
    </w:pPr>
    <w:rPr>
      <w:rFonts w:ascii="Calibri" w:hAnsi="Calibri" w:cs="Calibri"/>
    </w:rPr>
  </w:style>
  <w:style w:type="paragraph" w:styleId="36">
    <w:name w:val="Body Text Indent 3"/>
    <w:basedOn w:val="1"/>
    <w:link w:val="86"/>
    <w:qFormat/>
    <w:uiPriority w:val="99"/>
    <w:pPr>
      <w:spacing w:after="120"/>
      <w:ind w:left="420" w:leftChars="200"/>
    </w:pPr>
    <w:rPr>
      <w:sz w:val="16"/>
      <w:szCs w:val="16"/>
    </w:rPr>
  </w:style>
  <w:style w:type="paragraph" w:styleId="37">
    <w:name w:val="table of figures"/>
    <w:basedOn w:val="1"/>
    <w:next w:val="1"/>
    <w:semiHidden/>
    <w:qFormat/>
    <w:uiPriority w:val="99"/>
    <w:pPr>
      <w:ind w:left="200" w:leftChars="200" w:hanging="200" w:hangingChars="200"/>
    </w:pPr>
  </w:style>
  <w:style w:type="paragraph" w:styleId="38">
    <w:name w:val="toc 2"/>
    <w:basedOn w:val="1"/>
    <w:next w:val="1"/>
    <w:semiHidden/>
    <w:qFormat/>
    <w:uiPriority w:val="99"/>
    <w:pPr>
      <w:ind w:left="420" w:leftChars="200"/>
    </w:pPr>
    <w:rPr>
      <w:rFonts w:ascii="宋体" w:cs="宋体"/>
      <w:b/>
      <w:bCs/>
      <w:sz w:val="28"/>
      <w:szCs w:val="28"/>
    </w:rPr>
  </w:style>
  <w:style w:type="paragraph" w:styleId="39">
    <w:name w:val="toc 9"/>
    <w:basedOn w:val="1"/>
    <w:next w:val="1"/>
    <w:semiHidden/>
    <w:qFormat/>
    <w:uiPriority w:val="99"/>
    <w:pPr>
      <w:ind w:left="3360" w:leftChars="1600"/>
    </w:pPr>
    <w:rPr>
      <w:rFonts w:ascii="Calibri" w:hAnsi="Calibri" w:cs="Calibri"/>
    </w:rPr>
  </w:style>
  <w:style w:type="paragraph" w:styleId="40">
    <w:name w:val="Body Text 2"/>
    <w:basedOn w:val="1"/>
    <w:link w:val="87"/>
    <w:qFormat/>
    <w:uiPriority w:val="99"/>
    <w:pPr>
      <w:spacing w:line="440" w:lineRule="exact"/>
    </w:pPr>
    <w:rPr>
      <w:sz w:val="28"/>
      <w:szCs w:val="28"/>
    </w:rPr>
  </w:style>
  <w:style w:type="paragraph" w:styleId="41">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2">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3">
    <w:name w:val="annotation subject"/>
    <w:basedOn w:val="15"/>
    <w:next w:val="15"/>
    <w:link w:val="89"/>
    <w:semiHidden/>
    <w:qFormat/>
    <w:uiPriority w:val="99"/>
    <w:rPr>
      <w:rFonts w:ascii="宋体" w:cs="宋体"/>
      <w:b/>
      <w:bCs/>
      <w:kern w:val="0"/>
      <w:sz w:val="28"/>
      <w:szCs w:val="28"/>
    </w:rPr>
  </w:style>
  <w:style w:type="paragraph" w:styleId="44">
    <w:name w:val="Body Text First Indent 2"/>
    <w:basedOn w:val="18"/>
    <w:next w:val="1"/>
    <w:link w:val="90"/>
    <w:qFormat/>
    <w:uiPriority w:val="99"/>
    <w:pPr>
      <w:ind w:firstLine="420" w:firstLineChars="200"/>
    </w:p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2"/>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3"/>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4"/>
    <w:qFormat/>
    <w:locked/>
    <w:uiPriority w:val="99"/>
    <w:rPr>
      <w:rFonts w:eastAsia="宋体" w:cs="Times New Roman"/>
      <w:b/>
      <w:bCs/>
      <w:kern w:val="2"/>
      <w:sz w:val="32"/>
      <w:szCs w:val="32"/>
      <w:lang w:val="en-US" w:eastAsia="zh-CN"/>
    </w:rPr>
  </w:style>
  <w:style w:type="character" w:customStyle="1" w:styleId="67">
    <w:name w:val="Heading 4 Char"/>
    <w:basedOn w:val="47"/>
    <w:link w:val="5"/>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6"/>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7"/>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8"/>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9"/>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0"/>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4"/>
    <w:qFormat/>
    <w:locked/>
    <w:uiPriority w:val="99"/>
    <w:rPr>
      <w:rFonts w:cs="Times New Roman"/>
      <w:sz w:val="24"/>
      <w:szCs w:val="24"/>
      <w:shd w:val="clear" w:color="auto" w:fill="000080"/>
    </w:rPr>
  </w:style>
  <w:style w:type="character" w:customStyle="1" w:styleId="74">
    <w:name w:val="Comment Text Char"/>
    <w:basedOn w:val="47"/>
    <w:link w:val="15"/>
    <w:qFormat/>
    <w:locked/>
    <w:uiPriority w:val="99"/>
    <w:rPr>
      <w:rFonts w:cs="Times New Roman"/>
      <w:kern w:val="2"/>
      <w:sz w:val="22"/>
      <w:szCs w:val="22"/>
    </w:rPr>
  </w:style>
  <w:style w:type="character" w:customStyle="1" w:styleId="75">
    <w:name w:val="Body Text 3 Char"/>
    <w:basedOn w:val="47"/>
    <w:link w:val="16"/>
    <w:semiHidden/>
    <w:qFormat/>
    <w:locked/>
    <w:uiPriority w:val="99"/>
    <w:rPr>
      <w:rFonts w:cs="Times New Roman"/>
      <w:sz w:val="16"/>
      <w:szCs w:val="16"/>
    </w:rPr>
  </w:style>
  <w:style w:type="character" w:customStyle="1" w:styleId="76">
    <w:name w:val="Body Text Char"/>
    <w:basedOn w:val="47"/>
    <w:link w:val="17"/>
    <w:qFormat/>
    <w:locked/>
    <w:uiPriority w:val="99"/>
    <w:rPr>
      <w:rFonts w:eastAsia="宋体" w:cs="Times New Roman"/>
      <w:b/>
      <w:bCs/>
      <w:kern w:val="2"/>
      <w:sz w:val="44"/>
      <w:szCs w:val="44"/>
      <w:lang w:val="en-US" w:eastAsia="zh-CN"/>
    </w:rPr>
  </w:style>
  <w:style w:type="character" w:customStyle="1" w:styleId="77">
    <w:name w:val="Body Text Indent Char"/>
    <w:basedOn w:val="47"/>
    <w:link w:val="18"/>
    <w:semiHidden/>
    <w:qFormat/>
    <w:locked/>
    <w:uiPriority w:val="99"/>
    <w:rPr>
      <w:rFonts w:cs="Times New Roman"/>
      <w:sz w:val="21"/>
      <w:szCs w:val="21"/>
    </w:rPr>
  </w:style>
  <w:style w:type="character" w:customStyle="1" w:styleId="78">
    <w:name w:val="Plain Text Char"/>
    <w:basedOn w:val="47"/>
    <w:link w:val="24"/>
    <w:semiHidden/>
    <w:qFormat/>
    <w:locked/>
    <w:uiPriority w:val="99"/>
    <w:rPr>
      <w:rFonts w:ascii="宋体" w:hAnsi="Courier New" w:cs="Courier New"/>
      <w:sz w:val="21"/>
      <w:szCs w:val="21"/>
    </w:rPr>
  </w:style>
  <w:style w:type="character" w:customStyle="1" w:styleId="79">
    <w:name w:val="Date Char"/>
    <w:basedOn w:val="47"/>
    <w:link w:val="26"/>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7"/>
    <w:semiHidden/>
    <w:qFormat/>
    <w:locked/>
    <w:uiPriority w:val="99"/>
    <w:rPr>
      <w:rFonts w:cs="Times New Roman"/>
      <w:sz w:val="21"/>
      <w:szCs w:val="21"/>
    </w:rPr>
  </w:style>
  <w:style w:type="character" w:customStyle="1" w:styleId="81">
    <w:name w:val="Balloon Text Char"/>
    <w:basedOn w:val="47"/>
    <w:link w:val="28"/>
    <w:semiHidden/>
    <w:qFormat/>
    <w:locked/>
    <w:uiPriority w:val="99"/>
    <w:rPr>
      <w:rFonts w:cs="Times New Roman"/>
      <w:sz w:val="2"/>
    </w:rPr>
  </w:style>
  <w:style w:type="character" w:customStyle="1" w:styleId="82">
    <w:name w:val="Footer Char"/>
    <w:basedOn w:val="47"/>
    <w:link w:val="29"/>
    <w:qFormat/>
    <w:locked/>
    <w:uiPriority w:val="99"/>
    <w:rPr>
      <w:rFonts w:eastAsia="宋体" w:cs="Times New Roman"/>
      <w:kern w:val="2"/>
      <w:sz w:val="18"/>
      <w:szCs w:val="18"/>
      <w:lang w:val="en-US" w:eastAsia="zh-CN"/>
    </w:rPr>
  </w:style>
  <w:style w:type="character" w:customStyle="1" w:styleId="83">
    <w:name w:val="Header Char"/>
    <w:basedOn w:val="47"/>
    <w:link w:val="30"/>
    <w:qFormat/>
    <w:locked/>
    <w:uiPriority w:val="99"/>
    <w:rPr>
      <w:rFonts w:eastAsia="宋体" w:cs="Times New Roman"/>
      <w:kern w:val="2"/>
      <w:sz w:val="18"/>
      <w:szCs w:val="18"/>
      <w:lang w:val="en-US" w:eastAsia="zh-CN"/>
    </w:rPr>
  </w:style>
  <w:style w:type="character" w:customStyle="1" w:styleId="84">
    <w:name w:val="Subtitle Char"/>
    <w:basedOn w:val="47"/>
    <w:link w:val="33"/>
    <w:qFormat/>
    <w:locked/>
    <w:uiPriority w:val="99"/>
    <w:rPr>
      <w:rFonts w:ascii="Cambria" w:hAnsi="Cambria" w:cs="Cambria"/>
      <w:b/>
      <w:bCs/>
      <w:kern w:val="28"/>
      <w:sz w:val="32"/>
      <w:szCs w:val="32"/>
    </w:rPr>
  </w:style>
  <w:style w:type="character" w:customStyle="1" w:styleId="85">
    <w:name w:val="Footnote Text Char"/>
    <w:basedOn w:val="47"/>
    <w:link w:val="34"/>
    <w:semiHidden/>
    <w:qFormat/>
    <w:locked/>
    <w:uiPriority w:val="99"/>
    <w:rPr>
      <w:rFonts w:cs="Times New Roman"/>
      <w:sz w:val="18"/>
      <w:szCs w:val="18"/>
    </w:rPr>
  </w:style>
  <w:style w:type="character" w:customStyle="1" w:styleId="86">
    <w:name w:val="Body Text Indent 3 Char"/>
    <w:basedOn w:val="47"/>
    <w:link w:val="36"/>
    <w:semiHidden/>
    <w:qFormat/>
    <w:locked/>
    <w:uiPriority w:val="99"/>
    <w:rPr>
      <w:rFonts w:cs="Times New Roman"/>
      <w:sz w:val="16"/>
      <w:szCs w:val="16"/>
    </w:rPr>
  </w:style>
  <w:style w:type="character" w:customStyle="1" w:styleId="87">
    <w:name w:val="Body Text 2 Char"/>
    <w:basedOn w:val="47"/>
    <w:link w:val="40"/>
    <w:semiHidden/>
    <w:qFormat/>
    <w:locked/>
    <w:uiPriority w:val="99"/>
    <w:rPr>
      <w:rFonts w:cs="Times New Roman"/>
      <w:sz w:val="21"/>
      <w:szCs w:val="21"/>
    </w:rPr>
  </w:style>
  <w:style w:type="character" w:customStyle="1" w:styleId="88">
    <w:name w:val="Title Char"/>
    <w:basedOn w:val="47"/>
    <w:link w:val="42"/>
    <w:qFormat/>
    <w:locked/>
    <w:uiPriority w:val="99"/>
    <w:rPr>
      <w:rFonts w:ascii="Cambria" w:hAnsi="Cambria" w:cs="Cambria"/>
      <w:b/>
      <w:bCs/>
      <w:kern w:val="2"/>
      <w:sz w:val="32"/>
      <w:szCs w:val="32"/>
    </w:rPr>
  </w:style>
  <w:style w:type="character" w:customStyle="1" w:styleId="89">
    <w:name w:val="Comment Subject Char"/>
    <w:basedOn w:val="74"/>
    <w:link w:val="43"/>
    <w:qFormat/>
    <w:locked/>
    <w:uiPriority w:val="99"/>
    <w:rPr>
      <w:rFonts w:ascii="宋体" w:cs="宋体"/>
      <w:b/>
      <w:bCs/>
      <w:sz w:val="28"/>
      <w:szCs w:val="28"/>
    </w:rPr>
  </w:style>
  <w:style w:type="character" w:customStyle="1" w:styleId="90">
    <w:name w:val="Body Text First Indent 2 Char"/>
    <w:basedOn w:val="77"/>
    <w:link w:val="44"/>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3"/>
    <w:next w:val="21"/>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4"/>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4"/>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4"/>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4"/>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4"/>
    <w:qFormat/>
    <w:uiPriority w:val="99"/>
    <w:pPr>
      <w:spacing w:line="413" w:lineRule="auto"/>
    </w:pPr>
  </w:style>
  <w:style w:type="paragraph" w:customStyle="1" w:styleId="134">
    <w:name w:val="TOC 标题1"/>
    <w:basedOn w:val="2"/>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2"/>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3"/>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4"/>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4"/>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status"/>
    <w:basedOn w:val="47"/>
    <w:qFormat/>
    <w:uiPriority w:val="0"/>
    <w:rPr>
      <w:color w:val="0776DD"/>
    </w:rPr>
  </w:style>
  <w:style w:type="character" w:customStyle="1" w:styleId="159">
    <w:name w:val="time"/>
    <w:basedOn w:val="4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54</Pages>
  <Words>11291</Words>
  <Characters>12767</Characters>
  <Lines>0</Lines>
  <Paragraphs>0</Paragraphs>
  <TotalTime>11</TotalTime>
  <ScaleCrop>false</ScaleCrop>
  <LinksUpToDate>false</LinksUpToDate>
  <CharactersWithSpaces>12923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Pim Pom丶</cp:lastModifiedBy>
  <cp:lastPrinted>2025-09-25T14:11:00Z</cp:lastPrinted>
  <dcterms:modified xsi:type="dcterms:W3CDTF">2026-04-17T07:40:05Z</dcterms:modified>
  <dc:title>创业园小区9#楼工程施工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9CFEE953F2184222AB867545202810F6_13</vt:lpwstr>
  </property>
  <property fmtid="{D5CDD505-2E9C-101B-9397-08002B2CF9AE}" pid="4" name="KSOTemplateDocerSaveRecord">
    <vt:lpwstr>eyJoZGlkIjoiOTk1OGJkZDZlMmJiZjgxZThhZWQ4YzE0YWIxYTUyMmQiLCJ1c2VySWQiOiI0MDkyMjI1MTkifQ==</vt:lpwstr>
  </property>
</Properties>
</file>