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4E43E">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3F0A1815">
      <w:pPr>
        <w:keepNext w:val="0"/>
        <w:keepLines w:val="0"/>
        <w:widowControl/>
        <w:suppressLineNumbers w:val="0"/>
        <w:spacing w:before="0" w:beforeAutospacing="0" w:after="0" w:afterAutospacing="0" w:line="357" w:lineRule="atLeast"/>
        <w:ind w:left="0" w:right="0"/>
        <w:jc w:val="both"/>
        <w:rPr>
          <w:color w:val="auto"/>
          <w:sz w:val="40"/>
          <w:szCs w:val="22"/>
          <w:highlight w:val="none"/>
          <w:lang w:val="en-US"/>
        </w:rPr>
      </w:pPr>
    </w:p>
    <w:p w14:paraId="42BD00A1">
      <w:pPr>
        <w:pStyle w:val="23"/>
        <w:spacing w:line="600" w:lineRule="auto"/>
        <w:ind w:left="0" w:leftChars="0" w:firstLine="0" w:firstLineChars="0"/>
        <w:jc w:val="center"/>
        <w:rPr>
          <w:rFonts w:hint="eastAsia"/>
          <w:color w:val="auto"/>
          <w:sz w:val="20"/>
          <w:szCs w:val="20"/>
          <w:highlight w:val="none"/>
          <w:lang w:val="en-US" w:eastAsia="zh-CN"/>
        </w:rPr>
      </w:pPr>
      <w:r>
        <w:rPr>
          <w:rFonts w:hint="eastAsia" w:cs="宋体"/>
          <w:b/>
          <w:bCs w:val="0"/>
          <w:color w:val="auto"/>
          <w:kern w:val="0"/>
          <w:sz w:val="44"/>
          <w:szCs w:val="24"/>
          <w:highlight w:val="none"/>
          <w:u w:color="000000"/>
          <w:lang w:val="en-US" w:eastAsia="zh-CN" w:bidi="ar"/>
        </w:rPr>
        <w:t>滁州市公共交通有限公司25处不动产安全性鉴定和抗震鉴定服务项目</w:t>
      </w:r>
    </w:p>
    <w:p w14:paraId="25D52CC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p>
    <w:p w14:paraId="1CBD4DDA">
      <w:pPr>
        <w:pStyle w:val="12"/>
        <w:rPr>
          <w:rFonts w:hint="eastAsia"/>
          <w:color w:val="auto"/>
          <w:highlight w:val="none"/>
          <w:lang w:val="en-US" w:eastAsia="zh-CN"/>
        </w:rPr>
      </w:pPr>
    </w:p>
    <w:p w14:paraId="1D9D338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17D5DBA7">
      <w:pPr>
        <w:keepNext w:val="0"/>
        <w:keepLines w:val="0"/>
        <w:widowControl/>
        <w:suppressLineNumbers w:val="0"/>
        <w:spacing w:before="0" w:beforeAutospacing="0" w:after="0" w:afterAutospacing="0" w:line="357" w:lineRule="atLeast"/>
        <w:ind w:right="0"/>
        <w:jc w:val="center"/>
        <w:rPr>
          <w:rFonts w:hint="eastAsia" w:ascii="宋体" w:hAnsi="宋体" w:eastAsia="宋体" w:cs="宋体"/>
          <w:color w:val="auto"/>
          <w:highlight w:val="none"/>
          <w:lang w:val="en-US"/>
        </w:rPr>
      </w:pPr>
      <w:r>
        <w:rPr>
          <w:rFonts w:hint="eastAsia" w:ascii="宋体" w:hAnsi="宋体"/>
          <w:color w:val="auto"/>
          <w:sz w:val="40"/>
          <w:szCs w:val="36"/>
          <w:highlight w:val="none"/>
        </w:rPr>
        <w:t>（电子招标投标）</w:t>
      </w:r>
    </w:p>
    <w:p w14:paraId="27AB9565">
      <w:pPr>
        <w:pStyle w:val="20"/>
        <w:widowControl/>
        <w:jc w:val="center"/>
        <w:rPr>
          <w:rFonts w:hint="eastAsia" w:ascii="宋体" w:hAnsi="宋体" w:eastAsia="宋体" w:cs="宋体"/>
          <w:color w:val="auto"/>
          <w:kern w:val="2"/>
          <w:sz w:val="28"/>
          <w:szCs w:val="28"/>
          <w:highlight w:val="none"/>
          <w:u w:val="none" w:color="auto"/>
          <w:lang w:val="en-US" w:eastAsia="zh-CN" w:bidi="ar-SA"/>
        </w:rPr>
      </w:pPr>
      <w:r>
        <w:rPr>
          <w:rFonts w:hint="eastAsia" w:ascii="宋体" w:hAnsi="宋体" w:eastAsia="宋体" w:cs="宋体"/>
          <w:color w:val="auto"/>
          <w:kern w:val="2"/>
          <w:sz w:val="28"/>
          <w:szCs w:val="28"/>
          <w:highlight w:val="none"/>
          <w:u w:val="none" w:color="auto"/>
          <w:lang w:val="en-US" w:eastAsia="zh-CN" w:bidi="ar-SA"/>
        </w:rPr>
        <w:t>项目编号：HXJY1110001056966001</w:t>
      </w:r>
    </w:p>
    <w:p w14:paraId="00EB6B08">
      <w:pPr>
        <w:pStyle w:val="20"/>
        <w:widowControl/>
        <w:rPr>
          <w:color w:val="auto"/>
          <w:highlight w:val="none"/>
          <w:lang w:val="en-US"/>
        </w:rPr>
      </w:pPr>
      <w:r>
        <w:rPr>
          <w:color w:val="auto"/>
          <w:highlight w:val="none"/>
          <w:lang w:val="en-US"/>
        </w:rPr>
        <w:t xml:space="preserve"> </w:t>
      </w:r>
    </w:p>
    <w:p w14:paraId="0B455222">
      <w:pPr>
        <w:pStyle w:val="20"/>
        <w:widowControl/>
        <w:rPr>
          <w:color w:val="auto"/>
          <w:highlight w:val="none"/>
          <w:lang w:val="en-US"/>
        </w:rPr>
      </w:pPr>
      <w:r>
        <w:rPr>
          <w:color w:val="auto"/>
          <w:highlight w:val="none"/>
          <w:lang w:val="en-US"/>
        </w:rPr>
        <w:t xml:space="preserve"> </w:t>
      </w:r>
    </w:p>
    <w:p w14:paraId="4B477245">
      <w:pPr>
        <w:pStyle w:val="20"/>
        <w:widowControl/>
        <w:rPr>
          <w:rFonts w:eastAsia="宋体"/>
          <w:color w:val="auto"/>
          <w:highlight w:val="none"/>
          <w:lang w:val="en-US"/>
        </w:rPr>
      </w:pPr>
      <w:r>
        <w:rPr>
          <w:color w:val="auto"/>
          <w:highlight w:val="none"/>
          <w:lang w:val="en-US"/>
        </w:rPr>
        <w:t xml:space="preserve"> </w:t>
      </w:r>
    </w:p>
    <w:p w14:paraId="7608CA6C">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滁州市公共交通有限公司       </w:t>
      </w:r>
      <w:r>
        <w:rPr>
          <w:rFonts w:hint="eastAsia" w:ascii="宋体" w:hAnsi="宋体"/>
          <w:b/>
          <w:color w:val="auto"/>
          <w:sz w:val="32"/>
          <w:highlight w:val="none"/>
          <w:u w:val="thick"/>
        </w:rPr>
        <w:t xml:space="preserve"> </w:t>
      </w:r>
    </w:p>
    <w:p w14:paraId="0A6611B0">
      <w:pPr>
        <w:adjustRightInd w:val="0"/>
        <w:snapToGrid w:val="0"/>
        <w:ind w:firstLine="302" w:firstLineChars="94"/>
        <w:rPr>
          <w:rFonts w:hint="eastAsia" w:ascii="宋体" w:hAnsi="宋体"/>
          <w:b/>
          <w:color w:val="auto"/>
          <w:sz w:val="32"/>
          <w:highlight w:val="none"/>
          <w:u w:val="thick"/>
        </w:rPr>
      </w:pPr>
    </w:p>
    <w:p w14:paraId="3C40EE62">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322607BD">
      <w:pPr>
        <w:adjustRightInd w:val="0"/>
        <w:snapToGrid w:val="0"/>
        <w:rPr>
          <w:rFonts w:hint="eastAsia" w:ascii="宋体" w:hAnsi="宋体"/>
          <w:color w:val="auto"/>
          <w:spacing w:val="20"/>
          <w:sz w:val="32"/>
          <w:highlight w:val="none"/>
          <w:u w:val="single"/>
        </w:rPr>
      </w:pPr>
    </w:p>
    <w:p w14:paraId="5C99CD48">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eastAsia="zh-CN"/>
        </w:rPr>
        <w:t>2026年6月</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1765903D">
      <w:pPr>
        <w:pStyle w:val="23"/>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1A34D8A2">
      <w:pPr>
        <w:keepNext w:val="0"/>
        <w:keepLines w:val="0"/>
        <w:widowControl/>
        <w:suppressLineNumbers w:val="0"/>
        <w:spacing w:before="0" w:beforeAutospacing="0" w:after="0" w:afterAutospacing="0" w:line="357" w:lineRule="atLeast"/>
        <w:ind w:left="0" w:right="-216" w:rightChars="-103"/>
        <w:jc w:val="center"/>
        <w:rPr>
          <w:rFonts w:hint="eastAsia"/>
          <w:color w:val="auto"/>
          <w:highlight w:val="none"/>
          <w:lang w:val="en-US" w:eastAsia="zh-CN"/>
        </w:rPr>
      </w:pPr>
      <w:r>
        <w:rPr>
          <w:rFonts w:hint="eastAsia" w:ascii="宋体" w:hAnsi="宋体" w:eastAsia="宋体" w:cs="宋体"/>
          <w:b/>
          <w:bCs w:val="0"/>
          <w:color w:val="auto"/>
          <w:kern w:val="0"/>
          <w:sz w:val="36"/>
          <w:szCs w:val="36"/>
          <w:highlight w:val="none"/>
          <w:u w:color="000000"/>
          <w:lang w:val="en-US" w:eastAsia="zh-CN" w:bidi="ar"/>
        </w:rPr>
        <w:t xml:space="preserve"> </w:t>
      </w:r>
    </w:p>
    <w:p w14:paraId="574E23B5">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48327EDB">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w:t>
      </w:r>
      <w:bookmarkStart w:id="0" w:name="OLE_LINK4"/>
      <w:r>
        <w:rPr>
          <w:rFonts w:hint="eastAsia" w:ascii="宋体" w:hAnsi="宋体" w:eastAsia="宋体" w:cs="宋体"/>
          <w:color w:val="auto"/>
          <w:kern w:val="0"/>
          <w:sz w:val="24"/>
          <w:szCs w:val="24"/>
          <w:highlight w:val="none"/>
          <w:u w:color="000000"/>
          <w:lang w:val="en-US" w:eastAsia="zh-CN" w:bidi="ar"/>
        </w:rPr>
        <w:t xml:space="preserve"> …………………………………………………………………</w:t>
      </w:r>
      <w:bookmarkEnd w:id="0"/>
      <w:r>
        <w:rPr>
          <w:rFonts w:hint="eastAsia" w:ascii="宋体" w:hAnsi="宋体" w:eastAsia="宋体" w:cs="宋体"/>
          <w:color w:val="auto"/>
          <w:kern w:val="0"/>
          <w:sz w:val="24"/>
          <w:szCs w:val="24"/>
          <w:highlight w:val="none"/>
          <w:u w:color="000000"/>
          <w:lang w:val="en-US" w:eastAsia="zh-CN" w:bidi="ar"/>
        </w:rPr>
        <w:t>1</w:t>
      </w:r>
    </w:p>
    <w:p w14:paraId="71BD215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 ………………………………………………………………4</w:t>
      </w:r>
    </w:p>
    <w:p w14:paraId="788458D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第三章  资格审查办法  …………………………………………………………16</w:t>
      </w:r>
    </w:p>
    <w:p w14:paraId="25A2132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第四章  评标办法…………………………………………………………………17</w:t>
      </w:r>
    </w:p>
    <w:p w14:paraId="6A9739A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第五章  采购需求…………………………………………………………………24</w:t>
      </w:r>
    </w:p>
    <w:p w14:paraId="23E64D9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第六章  合同条款及格式…………………………………………………………27</w:t>
      </w:r>
    </w:p>
    <w:p w14:paraId="0C1C3ED6">
      <w:pPr>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第七章  投标文件格式……………………………………………………………31</w:t>
      </w:r>
    </w:p>
    <w:p w14:paraId="591849BD">
      <w:pPr>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第八章  招标人、招标代理机构对本招标文件的确认…………………………43</w:t>
      </w:r>
    </w:p>
    <w:p w14:paraId="7AD0F608">
      <w:pPr>
        <w:rPr>
          <w:rFonts w:hint="eastAsia" w:ascii="宋体" w:hAnsi="宋体" w:eastAsia="宋体" w:cs="宋体"/>
          <w:color w:val="auto"/>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5E100F2E">
      <w:pPr>
        <w:pStyle w:val="20"/>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color w:val="auto"/>
          <w:highlight w:val="none"/>
          <w:lang w:val="en-US"/>
        </w:rPr>
      </w:pPr>
      <w:bookmarkStart w:id="1" w:name="_Toc29214"/>
      <w:bookmarkEnd w:id="1"/>
      <w:bookmarkStart w:id="2" w:name="_Toc23741_WPSOffice_Level1"/>
      <w:bookmarkEnd w:id="2"/>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color w:val="auto"/>
          <w:highlight w:val="none"/>
          <w:lang w:eastAsia="zh-CN"/>
        </w:rPr>
        <w:t>招标公告</w:t>
      </w:r>
    </w:p>
    <w:p w14:paraId="3F32DC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5" w:name="_Toc58430305"/>
      <w:bookmarkEnd w:id="5"/>
      <w:bookmarkStart w:id="6" w:name="_Toc28359002"/>
      <w:bookmarkEnd w:id="6"/>
      <w:bookmarkStart w:id="7" w:name="_Toc35393621"/>
      <w:bookmarkEnd w:id="7"/>
      <w:bookmarkStart w:id="8" w:name="_Toc28359079"/>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7C38996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val="single" w:color="auto"/>
          <w:lang w:val="en-US" w:eastAsia="zh-CN" w:bidi="ar"/>
        </w:rPr>
        <w:t>滁州市公共交通有限公司25处不动产安全性鉴定和抗震鉴定服务项目</w:t>
      </w:r>
      <w:r>
        <w:rPr>
          <w:rFonts w:hint="eastAsia" w:ascii="宋体" w:hAnsi="宋体" w:eastAsia="宋体" w:cs="宋体"/>
          <w:color w:val="auto"/>
          <w:kern w:val="0"/>
          <w:sz w:val="24"/>
          <w:szCs w:val="24"/>
          <w:highlight w:val="none"/>
          <w:u w:color="000000"/>
          <w:lang w:val="en-US" w:eastAsia="zh-CN" w:bidi="ar"/>
        </w:rPr>
        <w:t>的潜在投标人应在滁州市城投工程咨询管理有限公司网站（https://www.czctgczx.com/）获取招标文件，并于2026年6月8日9时00分（北京时间）前递交投标文件。</w:t>
      </w:r>
    </w:p>
    <w:p w14:paraId="5307F92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5C55392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项目编号：HXJY1110001056966001</w:t>
      </w:r>
    </w:p>
    <w:p w14:paraId="793EEF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项目名称：滁州市公共交通有限公司25处不动产安全性鉴定和抗震鉴定服务项目</w:t>
      </w:r>
    </w:p>
    <w:p w14:paraId="69613B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9" w:leftChars="228" w:right="0" w:firstLine="0" w:firstLineChars="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预算金额：288250.00元</w:t>
      </w:r>
    </w:p>
    <w:p w14:paraId="5B7951A1">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最高限价：综合单价最高限价为5.19元/平方米，总价最高限价为288250.00元；投标报价单价和总价均不得超过最高限价，否则按无效投标处理。</w:t>
      </w:r>
    </w:p>
    <w:p w14:paraId="4DE14F3E">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采购需求：滁州市公共交通有限公司25处不动产安全性鉴定和抗震鉴定服务，并出具检测鉴定报告。具体详见《采购需求》。</w:t>
      </w:r>
    </w:p>
    <w:p w14:paraId="21367B0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自合同签订之日起45个工作日内完成检测与鉴定并提供成果文件。项目服务过程中具体某项服务开始及完成时间节点以招标人要求为准，中标人须无条件执行。(因中标人原因造成的工期延误，每延迟一天，按500元/天处以违约金。）</w:t>
      </w:r>
    </w:p>
    <w:p w14:paraId="4951E9D0">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本项目不接受联合体投标。</w:t>
      </w:r>
    </w:p>
    <w:p w14:paraId="6825A87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二、</w:t>
      </w:r>
      <w:r>
        <w:rPr>
          <w:rFonts w:hint="eastAsia" w:ascii="宋体" w:hAnsi="宋体" w:eastAsia="宋体" w:cs="宋体"/>
          <w:b/>
          <w:bCs w:val="0"/>
          <w:color w:val="auto"/>
          <w:kern w:val="0"/>
          <w:sz w:val="24"/>
          <w:szCs w:val="24"/>
          <w:highlight w:val="none"/>
          <w:u w:color="000000"/>
          <w:lang w:val="en-US" w:eastAsia="zh-CN" w:bidi="ar"/>
        </w:rPr>
        <w:t>申请人的资格要求</w:t>
      </w:r>
    </w:p>
    <w:p w14:paraId="4DA64BE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2.1具有独立法人资格且具有相应专业技术和服务能力的企业。</w:t>
      </w:r>
    </w:p>
    <w:p w14:paraId="6CA4687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2.2具有建设行政主管部门颁发的建设工程质量检测机构综合资质证书或专项资质证书（专项资质须同时包括：建筑材料及构配件、主体结构及装饰装修、地基基础）且具有质量技术监督部门颁发的计量认证资质证书（CMA）且证书在有效期内。</w:t>
      </w:r>
    </w:p>
    <w:p w14:paraId="1FA8A1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4CB8E4D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2026年6月1日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2026年6月8日</w:t>
      </w:r>
    </w:p>
    <w:p w14:paraId="214936C8">
      <w:pPr>
        <w:keepNext w:val="0"/>
        <w:keepLines w:val="0"/>
        <w:pageBreakBefore w:val="0"/>
        <w:widowControl w:val="0"/>
        <w:kinsoku/>
        <w:wordWrap w:val="0"/>
        <w:overflowPunct/>
        <w:topLinePunct w:val="0"/>
        <w:autoSpaceDE/>
        <w:autoSpaceDN/>
        <w:bidi w:val="0"/>
        <w:adjustRightInd/>
        <w:snapToGrid/>
        <w:spacing w:line="480" w:lineRule="exact"/>
        <w:ind w:firstLine="539"/>
        <w:textAlignment w:val="auto"/>
        <w:rPr>
          <w:rFonts w:hint="eastAsia" w:ascii="宋体" w:hAnsi="宋体" w:cs="宋体"/>
          <w:color w:val="auto"/>
          <w:sz w:val="24"/>
          <w:szCs w:val="24"/>
          <w:highlight w:val="none"/>
          <w:lang w:eastAsia="zh-CN"/>
        </w:rPr>
      </w:pPr>
      <w:r>
        <w:rPr>
          <w:rFonts w:hint="eastAsia" w:ascii="宋体" w:hAnsi="宋体" w:eastAsia="宋体" w:cs="宋体"/>
          <w:color w:val="auto"/>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滁州市城投工程咨询管理有限公司网站（https://www.czctgczx.com/）</w:t>
      </w:r>
    </w:p>
    <w:p w14:paraId="60D8311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方式：网上下载</w:t>
      </w:r>
    </w:p>
    <w:p w14:paraId="4043A1D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售价：0元</w:t>
      </w:r>
    </w:p>
    <w:p w14:paraId="4BB0AF2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bookmarkStart w:id="10" w:name="_Toc35393793"/>
      <w:bookmarkEnd w:id="10"/>
      <w:bookmarkStart w:id="11" w:name="_Toc28359082"/>
      <w:bookmarkEnd w:id="11"/>
      <w:bookmarkStart w:id="12" w:name="_Toc28359005"/>
      <w:bookmarkEnd w:id="12"/>
      <w:bookmarkStart w:id="13" w:name="_Toc58430308"/>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0AC181B3">
      <w:pPr>
        <w:keepNext w:val="0"/>
        <w:keepLines w:val="0"/>
        <w:widowControl w:val="0"/>
        <w:suppressLineNumbers w:val="0"/>
        <w:spacing w:before="0" w:beforeAutospacing="0" w:after="0" w:afterAutospacing="0" w:line="440" w:lineRule="exact"/>
        <w:ind w:left="0" w:right="0" w:firstLine="482" w:firstLineChars="20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1、提交投标文件截止时间为2026年6月8日9点00分；</w:t>
      </w:r>
    </w:p>
    <w:p w14:paraId="45A43D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2、网上开标，投标人登录滁州市城投工程咨询有限公司不见面开标系统参与网上开标（网址：http://js.etrading.cn/EpointBidOpening/bidopeninghallaction/hall/login）。</w:t>
      </w:r>
    </w:p>
    <w:p w14:paraId="43749A35">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3、投标人应在投标截止时间之前，登陆新点电子交易平台【滁州专区】上传投标文件。</w:t>
      </w:r>
    </w:p>
    <w:p w14:paraId="3B28D945">
      <w:pPr>
        <w:keepNext w:val="0"/>
        <w:keepLines w:val="0"/>
        <w:widowControl w:val="0"/>
        <w:suppressLineNumbers w:val="0"/>
        <w:spacing w:before="0" w:beforeAutospacing="0" w:after="0" w:afterAutospacing="0" w:line="440" w:lineRule="exact"/>
        <w:ind w:left="0" w:right="0" w:firstLine="480" w:firstLineChars="200"/>
        <w:jc w:val="left"/>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2"/>
          <w:sz w:val="24"/>
          <w:szCs w:val="24"/>
          <w:highlight w:val="none"/>
          <w:lang w:val="en-US" w:eastAsia="zh-CN" w:bidi="ar"/>
        </w:rPr>
        <w:t>4、投标人逾期上传投标文件的，电子系统不予受理。</w:t>
      </w:r>
      <w:r>
        <w:rPr>
          <w:rFonts w:hint="eastAsia" w:ascii="宋体" w:hAnsi="宋体" w:eastAsia="宋体" w:cs="宋体"/>
          <w:b/>
          <w:bCs/>
          <w:color w:val="auto"/>
          <w:kern w:val="0"/>
          <w:sz w:val="21"/>
          <w:szCs w:val="21"/>
          <w:highlight w:val="none"/>
          <w:lang w:val="en-US" w:eastAsia="zh-CN" w:bidi="ar"/>
        </w:rPr>
        <w:t xml:space="preserve"> </w:t>
      </w:r>
    </w:p>
    <w:p w14:paraId="64B10A6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1BFA4D4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bCs/>
          <w:color w:val="auto"/>
          <w:kern w:val="0"/>
          <w:sz w:val="24"/>
          <w:szCs w:val="24"/>
          <w:highlight w:val="none"/>
          <w:u w:color="000000"/>
          <w:lang w:val="en-US" w:eastAsia="zh-CN" w:bidi="ar"/>
        </w:rPr>
        <w:t>1.本项目不要求投标人提交投标保证金。</w:t>
      </w:r>
    </w:p>
    <w:p w14:paraId="6E078074">
      <w:pPr>
        <w:pStyle w:val="3"/>
        <w:widowControl/>
        <w:numPr>
          <w:ilvl w:val="0"/>
          <w:numId w:val="0"/>
        </w:numPr>
        <w:spacing w:before="93" w:beforeLines="30" w:beforeAutospacing="0" w:after="93" w:afterLines="30" w:afterAutospacing="0" w:line="440" w:lineRule="exact"/>
        <w:ind w:left="431" w:leftChars="0"/>
        <w:jc w:val="left"/>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六、其他补充事宜</w:t>
      </w:r>
    </w:p>
    <w:p w14:paraId="308E570F">
      <w:pPr>
        <w:keepNext w:val="0"/>
        <w:keepLines w:val="0"/>
        <w:widowControl w:val="0"/>
        <w:suppressLineNumbers w:val="0"/>
        <w:wordWrap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7DE88604">
      <w:pPr>
        <w:keepNext w:val="0"/>
        <w:keepLines w:val="0"/>
        <w:widowControl w:val="0"/>
        <w:suppressLineNumbers w:val="0"/>
        <w:wordWrap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3AC978F7">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w:t>
      </w:r>
    </w:p>
    <w:p w14:paraId="475F6ED9">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45F3FE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5.本项目采用不见面开标，投标人登录滁州市城投工程咨询有限公司不见面开标系统参与网上开标（网址：http://js.etrading.cn/EpointBidOpening/bidopeninghallaction/hall/login）。</w:t>
      </w:r>
    </w:p>
    <w:p w14:paraId="4C569DF8">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6.投标人应在投标截止时间之前，登录新点电子交易平台【滁州专区】上传投标文件。投标人逾期上传投标文件的，电子系统不予受理。</w:t>
      </w:r>
    </w:p>
    <w:p w14:paraId="095C5D3B">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A1BB1F6">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b/>
          <w:bCs w:val="0"/>
          <w:color w:val="auto"/>
          <w:spacing w:val="2"/>
          <w:kern w:val="0"/>
          <w:sz w:val="24"/>
          <w:szCs w:val="24"/>
          <w:highlight w:val="none"/>
          <w:u w:color="000000"/>
          <w:lang w:val="en-US" w:eastAsia="zh-CN" w:bidi="ar"/>
        </w:rPr>
      </w:pPr>
      <w:r>
        <w:rPr>
          <w:rFonts w:hint="eastAsia" w:ascii="宋体" w:hAnsi="宋体" w:eastAsia="宋体" w:cs="宋体"/>
          <w:color w:val="auto"/>
          <w:kern w:val="2"/>
          <w:sz w:val="24"/>
          <w:szCs w:val="24"/>
          <w:highlight w:val="none"/>
          <w:lang w:val="en-US" w:eastAsia="zh-CN" w:bidi="ar"/>
        </w:rPr>
        <w:t>8.投标人的联系人电话(手机)、电子邮箱等通讯方式在开标过程中必须保持畅通，否则因上述原因造成的后果，责任自负。</w:t>
      </w:r>
    </w:p>
    <w:p w14:paraId="2CBBB8B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七、</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2754206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1.招标人信息</w:t>
      </w:r>
    </w:p>
    <w:p w14:paraId="393E06B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bookmarkStart w:id="14" w:name="_Toc28359087"/>
      <w:r>
        <w:rPr>
          <w:rFonts w:hint="eastAsia" w:ascii="宋体" w:hAnsi="宋体" w:eastAsia="宋体" w:cs="宋体"/>
          <w:bCs/>
          <w:color w:val="auto"/>
          <w:kern w:val="0"/>
          <w:sz w:val="24"/>
          <w:szCs w:val="24"/>
          <w:highlight w:val="none"/>
          <w:u w:color="000000"/>
          <w:lang w:val="en-US" w:eastAsia="zh-CN" w:bidi="ar"/>
        </w:rPr>
        <w:t>名称：滁州市公共交通有限公司</w:t>
      </w:r>
    </w:p>
    <w:p w14:paraId="37123D4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地址：滁州市花园东路766号</w:t>
      </w:r>
    </w:p>
    <w:p w14:paraId="5437B77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联系方式：18365290581</w:t>
      </w:r>
      <w:bookmarkStart w:id="15" w:name="_Toc28359086"/>
      <w:bookmarkStart w:id="16" w:name="_Toc28359009"/>
      <w:r>
        <w:rPr>
          <w:rFonts w:hint="eastAsia" w:ascii="宋体" w:hAnsi="宋体" w:eastAsia="宋体" w:cs="宋体"/>
          <w:bCs/>
          <w:color w:val="auto"/>
          <w:kern w:val="0"/>
          <w:sz w:val="24"/>
          <w:szCs w:val="24"/>
          <w:highlight w:val="none"/>
          <w:u w:color="000000"/>
          <w:lang w:val="en-US" w:eastAsia="zh-CN" w:bidi="ar"/>
        </w:rPr>
        <w:t>、</w:t>
      </w:r>
      <w:r>
        <w:rPr>
          <w:rFonts w:hint="eastAsia" w:ascii="宋体" w:hAnsi="宋体" w:eastAsia="宋体" w:cs="宋体"/>
          <w:color w:val="auto"/>
          <w:sz w:val="24"/>
          <w:szCs w:val="24"/>
          <w:highlight w:val="none"/>
          <w:lang w:val="en-US" w:eastAsia="zh-CN"/>
        </w:rPr>
        <w:t>13485502866</w:t>
      </w:r>
    </w:p>
    <w:bookmarkEnd w:id="15"/>
    <w:bookmarkEnd w:id="16"/>
    <w:p w14:paraId="22A07FB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4"/>
      <w:r>
        <w:rPr>
          <w:rFonts w:hint="eastAsia" w:ascii="宋体" w:hAnsi="宋体" w:eastAsia="宋体" w:cs="宋体"/>
          <w:bCs/>
          <w:color w:val="auto"/>
          <w:kern w:val="0"/>
          <w:sz w:val="24"/>
          <w:szCs w:val="24"/>
          <w:highlight w:val="none"/>
          <w:u w:color="000000"/>
          <w:lang w:val="en-US" w:eastAsia="zh-CN" w:bidi="ar"/>
        </w:rPr>
        <w:t>代理机构信息</w:t>
      </w:r>
    </w:p>
    <w:p w14:paraId="05951BA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名称：滁州市城投工程咨询管理有限公司</w:t>
      </w:r>
    </w:p>
    <w:p w14:paraId="49D9E06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地址：滁州市龙蟠大道109号房产大厦6楼605室</w:t>
      </w:r>
    </w:p>
    <w:p w14:paraId="2A9435C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联系方式：0550-3519512、18255055896</w:t>
      </w:r>
    </w:p>
    <w:p w14:paraId="0EF35B0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3.项目联系方式</w:t>
      </w:r>
    </w:p>
    <w:p w14:paraId="6F36215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项目联系人：安孝武、张静、周晓培       </w:t>
      </w:r>
    </w:p>
    <w:p w14:paraId="7A37FDB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电      话：18365290581、</w:t>
      </w:r>
      <w:r>
        <w:rPr>
          <w:rFonts w:hint="eastAsia" w:ascii="宋体" w:hAnsi="宋体" w:eastAsia="宋体" w:cs="宋体"/>
          <w:color w:val="auto"/>
          <w:sz w:val="24"/>
          <w:szCs w:val="24"/>
          <w:highlight w:val="none"/>
          <w:lang w:val="en-US" w:eastAsia="zh-CN"/>
        </w:rPr>
        <w:t>13485502866、</w:t>
      </w:r>
      <w:r>
        <w:rPr>
          <w:rFonts w:hint="eastAsia" w:ascii="宋体" w:hAnsi="宋体" w:eastAsia="宋体" w:cs="宋体"/>
          <w:bCs/>
          <w:color w:val="auto"/>
          <w:kern w:val="0"/>
          <w:sz w:val="24"/>
          <w:szCs w:val="24"/>
          <w:highlight w:val="none"/>
          <w:u w:color="000000"/>
          <w:lang w:val="en-US" w:eastAsia="zh-CN" w:bidi="ar"/>
        </w:rPr>
        <w:t>0550-3519512、18255055896</w:t>
      </w:r>
    </w:p>
    <w:p w14:paraId="6272816D">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17" w:name="_Toc9559"/>
      <w:bookmarkEnd w:id="17"/>
      <w:bookmarkStart w:id="18" w:name="_Toc28003_WPSOffice_Level2"/>
    </w:p>
    <w:p w14:paraId="24A376AF">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18"/>
    </w:p>
    <w:tbl>
      <w:tblPr>
        <w:tblStyle w:val="24"/>
        <w:tblW w:w="9712" w:type="dxa"/>
        <w:tblInd w:w="-614"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991"/>
        <w:gridCol w:w="2365"/>
        <w:gridCol w:w="6356"/>
      </w:tblGrid>
      <w:tr w14:paraId="58CD0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991" w:type="dxa"/>
            <w:tcBorders>
              <w:top w:val="single" w:color="auto" w:sz="12" w:space="0"/>
              <w:left w:val="single" w:color="auto" w:sz="12" w:space="0"/>
              <w:bottom w:val="single" w:color="auto" w:sz="8" w:space="0"/>
              <w:right w:val="single" w:color="auto" w:sz="8" w:space="0"/>
            </w:tcBorders>
            <w:shd w:val="clear" w:color="auto" w:fill="auto"/>
            <w:vAlign w:val="center"/>
          </w:tcPr>
          <w:p w14:paraId="7BDE2A80">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365" w:type="dxa"/>
            <w:tcBorders>
              <w:top w:val="single" w:color="auto" w:sz="12" w:space="0"/>
              <w:left w:val="single" w:color="auto" w:sz="8" w:space="0"/>
              <w:bottom w:val="single" w:color="auto" w:sz="8" w:space="0"/>
              <w:right w:val="single" w:color="auto" w:sz="8" w:space="0"/>
            </w:tcBorders>
            <w:shd w:val="clear" w:color="auto" w:fill="auto"/>
            <w:vAlign w:val="center"/>
          </w:tcPr>
          <w:p w14:paraId="61A7DCFD">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auto"/>
                <w:highlight w:val="none"/>
                <w:lang w:val="en-US"/>
              </w:rPr>
            </w:pPr>
            <w:r>
              <w:rPr>
                <w:rFonts w:hint="eastAsia"/>
                <w:b/>
                <w:color w:val="auto"/>
                <w:szCs w:val="21"/>
                <w:highlight w:val="none"/>
                <w:lang w:val="en-US" w:eastAsia="zh-CN"/>
              </w:rPr>
              <w:t>条款名称</w:t>
            </w:r>
          </w:p>
        </w:tc>
        <w:tc>
          <w:tcPr>
            <w:tcW w:w="6356" w:type="dxa"/>
            <w:tcBorders>
              <w:top w:val="single" w:color="auto" w:sz="12" w:space="0"/>
              <w:left w:val="single" w:color="auto" w:sz="8" w:space="0"/>
              <w:bottom w:val="single" w:color="auto" w:sz="8" w:space="0"/>
              <w:right w:val="single" w:color="auto" w:sz="12" w:space="0"/>
            </w:tcBorders>
            <w:shd w:val="clear" w:color="auto" w:fill="auto"/>
            <w:vAlign w:val="center"/>
          </w:tcPr>
          <w:p w14:paraId="2B00E84E">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654FBA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C23DDCC">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24850E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项目名称</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3947EF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auto"/>
                <w:highlight w:val="none"/>
                <w:lang w:val="en-US" w:eastAsia="zh-CN"/>
              </w:rPr>
            </w:pPr>
            <w:r>
              <w:rPr>
                <w:rFonts w:hint="eastAsia" w:cs="Times New Roman"/>
                <w:bCs/>
                <w:color w:val="auto"/>
                <w:highlight w:val="none"/>
                <w:lang w:eastAsia="zh-CN"/>
              </w:rPr>
              <w:t>滁州市公共交通有限公司25处不动产安全性鉴定和抗震鉴定服务项目</w:t>
            </w:r>
          </w:p>
        </w:tc>
      </w:tr>
      <w:tr w14:paraId="3EB2F0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616587D0">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503627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宋体" w:hAnsi="宋体" w:eastAsia="宋体" w:cs="Times New Roman"/>
                <w:color w:val="auto"/>
                <w:highlight w:val="none"/>
                <w:lang w:val="en-US"/>
              </w:rPr>
            </w:pPr>
            <w:r>
              <w:rPr>
                <w:rFonts w:hint="eastAsia" w:cs="Times New Roman"/>
                <w:color w:val="auto"/>
                <w:highlight w:val="none"/>
                <w:lang w:val="en-US" w:eastAsia="zh-CN"/>
              </w:rPr>
              <w:t>服务</w:t>
            </w:r>
            <w:r>
              <w:rPr>
                <w:rFonts w:hint="eastAsia" w:ascii="宋体" w:hAnsi="宋体" w:eastAsia="宋体" w:cs="Times New Roman"/>
                <w:color w:val="auto"/>
                <w:highlight w:val="none"/>
                <w:lang w:val="en-US" w:eastAsia="zh-CN"/>
              </w:rPr>
              <w:t>期</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C226BB3">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auto"/>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132946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5B05B48">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02FCBCB">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地点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43C0933">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auto"/>
                <w:highlight w:val="none"/>
                <w:lang w:val="en-US"/>
              </w:rPr>
            </w:pPr>
            <w:r>
              <w:rPr>
                <w:rFonts w:hint="eastAsia" w:ascii="宋体" w:hAnsi="宋体" w:eastAsia="宋体" w:cs="宋体"/>
                <w:color w:val="auto"/>
                <w:highlight w:val="none"/>
                <w:lang w:val="en-US" w:eastAsia="zh-CN"/>
              </w:rPr>
              <w:t>招标人指定地点</w:t>
            </w:r>
          </w:p>
        </w:tc>
      </w:tr>
      <w:tr w14:paraId="788164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327291A">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118343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招标人联系人及电话</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289B584">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color w:val="auto"/>
                <w:highlight w:val="none"/>
                <w:lang w:val="en-US"/>
              </w:rPr>
            </w:pPr>
            <w:r>
              <w:rPr>
                <w:rFonts w:hint="eastAsia" w:cs="宋体"/>
                <w:color w:val="auto"/>
                <w:highlight w:val="none"/>
                <w:lang w:val="en-US" w:eastAsia="zh-CN"/>
              </w:rPr>
              <w:t>安孝武、张静</w:t>
            </w:r>
            <w:r>
              <w:rPr>
                <w:rFonts w:hint="eastAsia" w:ascii="宋体" w:hAnsi="宋体" w:eastAsia="宋体" w:cs="宋体"/>
                <w:color w:val="auto"/>
                <w:highlight w:val="none"/>
                <w:lang w:val="en-US" w:eastAsia="zh-CN"/>
              </w:rPr>
              <w:t xml:space="preserve">  </w:t>
            </w:r>
            <w:r>
              <w:rPr>
                <w:rFonts w:hint="eastAsia" w:cs="宋体"/>
                <w:color w:val="auto"/>
                <w:highlight w:val="none"/>
                <w:lang w:val="en-US" w:eastAsia="zh-CN"/>
              </w:rPr>
              <w:t xml:space="preserve"> </w:t>
            </w:r>
            <w:r>
              <w:rPr>
                <w:rFonts w:hint="eastAsia" w:cs="宋体"/>
                <w:color w:val="auto"/>
                <w:sz w:val="21"/>
                <w:szCs w:val="21"/>
                <w:highlight w:val="none"/>
                <w:lang w:eastAsia="zh-CN"/>
              </w:rPr>
              <w:t>18365290581、13485502866</w:t>
            </w:r>
            <w:r>
              <w:rPr>
                <w:rFonts w:hint="eastAsia" w:cs="宋体"/>
                <w:color w:val="auto"/>
                <w:sz w:val="21"/>
                <w:szCs w:val="21"/>
                <w:highlight w:val="none"/>
                <w:lang w:val="en-US" w:eastAsia="zh-CN"/>
              </w:rPr>
              <w:t xml:space="preserve"> </w:t>
            </w:r>
          </w:p>
        </w:tc>
      </w:tr>
      <w:tr w14:paraId="6730A8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E6E32E3">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EAA4C7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采购代理机构联系人及电话</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F4E9DEF">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周晓培</w:t>
            </w:r>
            <w:r>
              <w:rPr>
                <w:rFonts w:ascii="宋体" w:hAnsi="宋体" w:eastAsia="宋体" w:cs="宋体"/>
                <w:color w:val="auto"/>
                <w:highlight w:val="none"/>
                <w:lang w:val="en-US"/>
              </w:rPr>
              <w:t xml:space="preserve"> </w:t>
            </w:r>
            <w:r>
              <w:rPr>
                <w:rFonts w:hint="eastAsia" w:ascii="宋体" w:hAnsi="宋体" w:eastAsia="宋体" w:cs="宋体"/>
                <w:color w:val="auto"/>
                <w:highlight w:val="none"/>
                <w:lang w:val="en-US" w:eastAsia="zh-CN"/>
              </w:rPr>
              <w:t xml:space="preserve"> </w:t>
            </w:r>
            <w:r>
              <w:rPr>
                <w:rFonts w:hint="eastAsia" w:cs="宋体"/>
                <w:color w:val="auto"/>
                <w:highlight w:val="none"/>
                <w:lang w:val="en-US" w:eastAsia="zh-CN"/>
              </w:rPr>
              <w:t xml:space="preserve">       0550-3519512、18255055896</w:t>
            </w:r>
          </w:p>
        </w:tc>
      </w:tr>
      <w:tr w14:paraId="1B9B9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BB2053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C01C1E8">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资金来源</w:t>
            </w:r>
            <w:r>
              <w:rPr>
                <w:rFonts w:cs="Times New Roman"/>
                <w:color w:val="auto"/>
                <w:highlight w:val="none"/>
                <w:lang w:val="en-US"/>
              </w:rPr>
              <w:t xml:space="preserve">                                                                                                                                                                 </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A1A432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自筹资金</w:t>
            </w:r>
          </w:p>
        </w:tc>
      </w:tr>
      <w:tr w14:paraId="0CC7F1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7C06DF2E">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670724DD">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项目预算</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92F1DD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cs="Times New Roman"/>
                <w:color w:val="auto"/>
                <w:highlight w:val="none"/>
                <w:lang w:val="en-US" w:eastAsia="zh-CN"/>
              </w:rPr>
            </w:pPr>
            <w:r>
              <w:rPr>
                <w:rFonts w:hint="default" w:cs="Times New Roman"/>
                <w:color w:val="auto"/>
                <w:highlight w:val="none"/>
                <w:lang w:val="en-US" w:eastAsia="zh-CN"/>
              </w:rPr>
              <w:t>288250.00元</w:t>
            </w:r>
          </w:p>
        </w:tc>
      </w:tr>
      <w:tr w14:paraId="4A083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A524F8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6B9CC58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47E9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综合单价最高限价为5.19元/平方米，总价最高限价为288250.00元；投标报价单价和总价均不得超过最高限价，否则按无效投标处理。</w:t>
            </w:r>
          </w:p>
          <w:p w14:paraId="4C988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
                <w:bCs w:val="0"/>
                <w:color w:val="auto"/>
                <w:szCs w:val="21"/>
                <w:highlight w:val="none"/>
                <w:lang w:val="en-US" w:eastAsia="zh-CN"/>
              </w:rPr>
              <w:t>注：服务费按项目最终实际鉴定面积据实结算，以实际发生量为准。</w:t>
            </w:r>
          </w:p>
        </w:tc>
      </w:tr>
      <w:tr w14:paraId="5F69A5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86B9BD3">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CBE687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采购内容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7388CB8">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w:t>
            </w:r>
            <w:r>
              <w:rPr>
                <w:rFonts w:hint="eastAsia" w:cs="宋体"/>
                <w:bCs/>
                <w:color w:val="auto"/>
                <w:szCs w:val="21"/>
                <w:highlight w:val="none"/>
                <w:lang w:val="en-US" w:eastAsia="zh-CN"/>
              </w:rPr>
              <w:t>采购需求</w:t>
            </w:r>
            <w:r>
              <w:rPr>
                <w:rFonts w:hint="eastAsia" w:hAnsi="宋体" w:cs="宋体"/>
                <w:bCs/>
                <w:color w:val="auto"/>
                <w:szCs w:val="21"/>
                <w:highlight w:val="none"/>
              </w:rPr>
              <w:t>》</w:t>
            </w:r>
          </w:p>
        </w:tc>
      </w:tr>
      <w:tr w14:paraId="6733B6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DB889D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BF8328D">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标包划分</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06B757D">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eastAsia="宋体" w:cs="宋体"/>
                <w:color w:val="auto"/>
                <w:highlight w:val="none"/>
                <w:lang w:val="en-US" w:eastAsia="zh-CN"/>
              </w:rPr>
            </w:pPr>
            <w:r>
              <w:rPr>
                <w:rFonts w:cs="Times New Roman"/>
                <w:color w:val="auto"/>
                <w:highlight w:val="none"/>
              </w:rPr>
              <w:t>本项目划分为</w:t>
            </w:r>
            <w:r>
              <w:rPr>
                <w:rFonts w:cs="Times New Roman"/>
                <w:color w:val="auto"/>
                <w:highlight w:val="none"/>
                <w:u w:val="single"/>
                <w:lang w:val="en-US"/>
              </w:rPr>
              <w:t xml:space="preserve"> 1 </w:t>
            </w:r>
            <w:r>
              <w:rPr>
                <w:rFonts w:cs="Times New Roman"/>
                <w:color w:val="auto"/>
                <w:highlight w:val="none"/>
              </w:rPr>
              <w:t>个标</w:t>
            </w:r>
            <w:r>
              <w:rPr>
                <w:rFonts w:hint="eastAsia" w:cs="Times New Roman"/>
                <w:color w:val="auto"/>
                <w:highlight w:val="none"/>
                <w:lang w:val="en-US" w:eastAsia="zh-CN"/>
              </w:rPr>
              <w:t>段</w:t>
            </w:r>
          </w:p>
        </w:tc>
      </w:tr>
      <w:tr w14:paraId="6C1808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2F930E7">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5B3B724">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招标方式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3BE0AB2">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宋体"/>
                <w:color w:val="auto"/>
                <w:highlight w:val="none"/>
              </w:rPr>
              <w:t>公开</w:t>
            </w:r>
            <w:r>
              <w:rPr>
                <w:rFonts w:cs="Times New Roman"/>
                <w:color w:val="auto"/>
                <w:highlight w:val="none"/>
              </w:rPr>
              <w:t>招标</w:t>
            </w:r>
          </w:p>
        </w:tc>
      </w:tr>
      <w:tr w14:paraId="36F09C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22DA51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CD85D0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投标人资格条件及其他要求</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D29B4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default" w:ascii="ˎ̥" w:hAnsi="ˎ̥" w:eastAsia="ˎ̥" w:cs="ˎ̥"/>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131004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7699E22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00AEA50">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踏勘现场</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78FE830">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14:paraId="5CB005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5C2BE07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55F57F5">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投标预备会</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0C1E82F">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不召开</w:t>
            </w:r>
          </w:p>
        </w:tc>
      </w:tr>
      <w:tr w14:paraId="645F5F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0E665F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02FBA9B">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single"/>
              </w:rPr>
              <w:t>疑问</w:t>
            </w:r>
            <w:r>
              <w:rPr>
                <w:rFonts w:cs="Times New Roman"/>
                <w:color w:val="auto"/>
                <w:highlight w:val="none"/>
              </w:rPr>
              <w:t>的截止时间及方式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E00445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b w:val="0"/>
                <w:bCs w:val="0"/>
                <w:color w:val="auto"/>
                <w:highlight w:val="none"/>
                <w:lang w:val="en-US"/>
              </w:rPr>
            </w:pPr>
            <w:r>
              <w:rPr>
                <w:rFonts w:hint="eastAsia" w:ascii="宋体" w:hAnsi="宋体" w:eastAsia="宋体" w:cs="宋体"/>
                <w:color w:val="auto"/>
                <w:spacing w:val="-4"/>
                <w:kern w:val="0"/>
                <w:sz w:val="21"/>
                <w:szCs w:val="21"/>
                <w:highlight w:val="none"/>
              </w:rPr>
              <w:t>如投标人对招标文件有疑问，请于</w:t>
            </w:r>
            <w:r>
              <w:rPr>
                <w:rFonts w:hint="eastAsia" w:cs="宋体"/>
                <w:color w:val="auto"/>
                <w:spacing w:val="-4"/>
                <w:kern w:val="0"/>
                <w:sz w:val="21"/>
                <w:szCs w:val="21"/>
                <w:highlight w:val="none"/>
                <w:lang w:eastAsia="zh-CN"/>
              </w:rPr>
              <w:t>2026年6月</w:t>
            </w:r>
            <w:r>
              <w:rPr>
                <w:rFonts w:hint="eastAsia" w:cs="宋体"/>
                <w:color w:val="auto"/>
                <w:spacing w:val="-4"/>
                <w:kern w:val="0"/>
                <w:sz w:val="21"/>
                <w:szCs w:val="21"/>
                <w:highlight w:val="none"/>
                <w:lang w:val="en-US" w:eastAsia="zh-CN"/>
              </w:rPr>
              <w:t>3</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fldChar w:fldCharType="end"/>
            </w:r>
          </w:p>
        </w:tc>
      </w:tr>
      <w:tr w14:paraId="13443B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6A4E9C9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3294958">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招标人澄清的时间及方式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5C710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2026年6月</w:t>
            </w:r>
            <w:r>
              <w:rPr>
                <w:rFonts w:hint="eastAsia" w:ascii="宋体" w:hAnsi="宋体" w:cs="宋体"/>
                <w:color w:val="auto"/>
                <w:spacing w:val="-4"/>
                <w:kern w:val="0"/>
                <w:sz w:val="21"/>
                <w:szCs w:val="21"/>
                <w:highlight w:val="none"/>
                <w:lang w:val="en-US" w:eastAsia="zh-CN"/>
              </w:rPr>
              <w:t>4</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01517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2EF2C5F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4CF665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联合体投标</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F91C380">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04E046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50E9D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18</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9D702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07A016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代理服务费金额：招标代理费3000元，不含专家评审费（专家评审费用以实际支付为准）。</w:t>
            </w:r>
          </w:p>
          <w:p w14:paraId="687E8D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代理服务费及专家评审费支付主体：中标单位，中标单位在获取中标通知书时一次性支付给代理机构。</w:t>
            </w:r>
          </w:p>
        </w:tc>
      </w:tr>
      <w:tr w14:paraId="17BB3E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08E1B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19</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3BE5F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27" w:rightChars="-13"/>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F625A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14:paraId="4B1422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102414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20</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5299681">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投标有效期</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33B2B4D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投标有效期为</w:t>
            </w:r>
            <w:r>
              <w:rPr>
                <w:rFonts w:hint="eastAsia" w:cs="Times New Roman"/>
                <w:color w:val="auto"/>
                <w:highlight w:val="none"/>
                <w:u w:val="single"/>
                <w:lang w:val="en-US" w:eastAsia="zh-CN"/>
              </w:rPr>
              <w:t>90</w:t>
            </w:r>
            <w:r>
              <w:rPr>
                <w:rFonts w:cs="Times New Roman"/>
                <w:color w:val="auto"/>
                <w:highlight w:val="none"/>
                <w:u w:val="single"/>
                <w:lang w:val="en-US"/>
              </w:rPr>
              <w:t xml:space="preserve"> </w:t>
            </w:r>
            <w:r>
              <w:rPr>
                <w:rFonts w:cs="Times New Roman"/>
                <w:color w:val="auto"/>
                <w:highlight w:val="none"/>
              </w:rPr>
              <w:t>日历天（从投标截止之日算起）。在此期限内，凡符合本招标文件要求的投标文件均保持有效。</w:t>
            </w:r>
          </w:p>
        </w:tc>
      </w:tr>
      <w:tr w14:paraId="3018A8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203422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AE71D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top"/>
          </w:tcPr>
          <w:p w14:paraId="220A68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14:paraId="674253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CE3E3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57068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份数</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20A21F8">
            <w:pPr>
              <w:keepNext w:val="0"/>
              <w:keepLines w:val="0"/>
              <w:pageBreakBefore w:val="0"/>
              <w:kinsoku/>
              <w:wordWrap/>
              <w:overflowPunct/>
              <w:autoSpaceDE/>
              <w:autoSpaceDN/>
              <w:bidi w:val="0"/>
              <w:adjustRightInd/>
              <w:spacing w:line="44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加密电子投标文件投标人应在投标截止时间前通过新点电子交易平台后在【滁州专区】</w:t>
            </w:r>
          </w:p>
          <w:p w14:paraId="1A70AB23">
            <w:pPr>
              <w:keepNext w:val="0"/>
              <w:keepLines w:val="0"/>
              <w:pageBreakBefore w:val="0"/>
              <w:kinsoku/>
              <w:wordWrap/>
              <w:overflowPunct/>
              <w:autoSpaceDE/>
              <w:autoSpaceDN/>
              <w:bidi w:val="0"/>
              <w:adjustRightInd/>
              <w:spacing w:line="44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（https://www.etrading.cn/BREpointSSO/login/oauth2login?regioncode=DQ_ChuZhou）交易系统递交电子投标文件。</w:t>
            </w:r>
          </w:p>
          <w:p w14:paraId="7D9A60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（投标人中标后须递交与网上电子投标文件完全一致的纸质版投标文件，并按要求加盖单位章；份数：正本 1 份，副本</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 xml:space="preserve"> 份；中标人领取中标通知书时，一并递交给招标代理机构）。</w:t>
            </w:r>
          </w:p>
        </w:tc>
      </w:tr>
      <w:tr w14:paraId="61E55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A7BE5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23</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99688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color w:val="auto"/>
                <w:sz w:val="21"/>
                <w:szCs w:val="21"/>
                <w:highlight w:val="none"/>
              </w:rPr>
              <w:t>投标文件提交截止时间</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9F28A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19" w:firstLineChars="9"/>
              <w:textAlignment w:val="auto"/>
              <w:rPr>
                <w:rFonts w:hint="eastAsia" w:ascii="宋体" w:hAnsi="宋体" w:cs="宋体"/>
                <w:b/>
                <w:bCs/>
                <w:color w:val="auto"/>
                <w:spacing w:val="-4"/>
                <w:kern w:val="0"/>
                <w:szCs w:val="21"/>
                <w:highlight w:val="none"/>
              </w:rPr>
            </w:pPr>
            <w:r>
              <w:rPr>
                <w:rFonts w:hint="eastAsia" w:ascii="宋体" w:hAnsi="宋体" w:cs="宋体"/>
                <w:b/>
                <w:bCs/>
                <w:color w:val="auto"/>
                <w:szCs w:val="21"/>
                <w:highlight w:val="none"/>
              </w:rPr>
              <w:t>在</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2026年6月</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时</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0分</w:t>
            </w:r>
            <w:r>
              <w:rPr>
                <w:rFonts w:hint="eastAsia" w:ascii="宋体" w:hAnsi="宋体" w:cs="宋体"/>
                <w:b/>
                <w:bCs/>
                <w:color w:val="auto"/>
                <w:spacing w:val="-4"/>
                <w:kern w:val="0"/>
                <w:szCs w:val="21"/>
                <w:highlight w:val="none"/>
              </w:rPr>
              <w:t>（北京时间）</w:t>
            </w:r>
          </w:p>
          <w:p w14:paraId="1CE93259">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firstLine="18" w:firstLineChars="9"/>
              <w:textAlignment w:val="auto"/>
              <w:rPr>
                <w:rFonts w:hint="eastAsia" w:ascii="宋体" w:hAnsi="宋体" w:cs="宋体"/>
                <w:color w:val="auto"/>
                <w:szCs w:val="21"/>
                <w:highlight w:val="none"/>
              </w:rPr>
            </w:pPr>
            <w:r>
              <w:rPr>
                <w:rFonts w:hint="eastAsia" w:ascii="宋体" w:hAnsi="宋体" w:cs="宋体"/>
                <w:color w:val="auto"/>
                <w:szCs w:val="21"/>
                <w:highlight w:val="none"/>
              </w:rPr>
              <w:t>本项目采用不见面开标，投标人登录滁州市城投工程咨询有限公司不见面开标系统参与网上开标（网址：http://js.etrading.cn/EpointBidOpening/bidopeninghallaction/hall/login）。</w:t>
            </w:r>
          </w:p>
          <w:p w14:paraId="42929A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18" w:firstLineChars="9"/>
              <w:textAlignment w:val="auto"/>
              <w:rPr>
                <w:rFonts w:hint="eastAsia" w:ascii="宋体" w:hAnsi="宋体" w:cs="宋体"/>
                <w:bCs/>
                <w:color w:val="auto"/>
                <w:spacing w:val="-4"/>
                <w:kern w:val="0"/>
                <w:szCs w:val="21"/>
                <w:highlight w:val="none"/>
                <w:lang w:val="en-US"/>
              </w:rPr>
            </w:pPr>
            <w:r>
              <w:rPr>
                <w:rFonts w:hint="eastAsia" w:ascii="宋体" w:hAnsi="宋体" w:cs="宋体"/>
                <w:color w:val="auto"/>
                <w:szCs w:val="21"/>
                <w:highlight w:val="none"/>
              </w:rPr>
              <w:t>投标人应在投标截止时间之前，登陆新点电子交易平台【滁州专区】上传投标文件。</w:t>
            </w:r>
          </w:p>
        </w:tc>
      </w:tr>
      <w:tr w14:paraId="593272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DD55F9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24</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8B3F3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348DF9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否</w:t>
            </w:r>
          </w:p>
        </w:tc>
      </w:tr>
      <w:tr w14:paraId="5439C2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3BC4B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25</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1D11E9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开标时间及地点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193FFF3">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p w14:paraId="216411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auto"/>
                <w:highlight w:val="none"/>
                <w:lang w:val="en-US"/>
              </w:rPr>
            </w:pPr>
            <w:r>
              <w:rPr>
                <w:rFonts w:hint="eastAsia" w:ascii="宋体" w:hAnsi="宋体" w:cs="宋体"/>
                <w:color w:val="auto"/>
                <w:szCs w:val="21"/>
                <w:highlight w:val="none"/>
              </w:rPr>
              <w:t>开标地点：网上开标</w:t>
            </w:r>
          </w:p>
        </w:tc>
      </w:tr>
      <w:tr w14:paraId="395CB3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559FC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26</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DB9AE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开标程序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6CEDEF1">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（1）解密时间：解密程序开始后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0分钟内（以电子交易系统解密倒计时为准）</w:t>
            </w:r>
            <w:r>
              <w:rPr>
                <w:rFonts w:hint="eastAsia" w:ascii="宋体" w:hAnsi="宋体" w:cs="宋体"/>
                <w:color w:val="auto"/>
                <w:szCs w:val="21"/>
                <w:highlight w:val="none"/>
                <w:lang w:eastAsia="zh-CN"/>
              </w:rPr>
              <w:t>；</w:t>
            </w:r>
          </w:p>
          <w:p w14:paraId="1AD045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auto"/>
                <w:spacing w:val="-4"/>
                <w:highlight w:val="none"/>
                <w:lang w:val="en-US"/>
              </w:rPr>
            </w:pPr>
            <w:r>
              <w:rPr>
                <w:rFonts w:hint="eastAsia" w:ascii="宋体" w:hAnsi="宋体" w:cs="宋体"/>
                <w:color w:val="auto"/>
                <w:szCs w:val="21"/>
                <w:highlight w:val="none"/>
              </w:rPr>
              <w:t>（2）开标顺序：公布在投标截止时间前通过电子交易系统完成投标文件递交的投标人名称；投标人在投标截止时间后，在规定的解密时间内完成投标文件的解密工作；招标人或招标代理机构导入并读取所有成功解密的投标文件；公布投标人名称、标段名称、投标报价及其他内容；开标结束；由评标委员会进行评审。</w:t>
            </w:r>
          </w:p>
        </w:tc>
      </w:tr>
      <w:tr w14:paraId="4103B7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58ADD1A3">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27</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EC00314">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评标委员会的组建</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24144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03DBC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15C889A">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28</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1D852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b w:val="0"/>
                <w:bCs w:val="0"/>
                <w:color w:val="auto"/>
                <w:sz w:val="21"/>
                <w:szCs w:val="21"/>
                <w:highlight w:val="none"/>
              </w:rPr>
              <w:t>评标委员会确定中标候选人的人数</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36A249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名，并标明排序。</w:t>
            </w:r>
          </w:p>
        </w:tc>
      </w:tr>
      <w:tr w14:paraId="630C08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B76255C">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29</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2020B6A">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cs="宋体"/>
                <w:color w:val="auto"/>
                <w:szCs w:val="21"/>
                <w:highlight w:val="none"/>
              </w:rPr>
            </w:pPr>
            <w:r>
              <w:rPr>
                <w:rFonts w:cs="Times New Roman"/>
                <w:color w:val="auto"/>
                <w:highlight w:val="none"/>
              </w:rPr>
              <w:t>中标结果公告媒介</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top"/>
          </w:tcPr>
          <w:p w14:paraId="39ECB8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02C7FBC8">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AD260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2F2A50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30</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019EF7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7425C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5EC0CA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6E3B2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69A60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履约担保</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8274811">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Times New Roman" w:hAnsi="Times New Roman" w:eastAsia="宋体" w:cs="Times New Roman"/>
                <w:color w:val="auto"/>
                <w:highlight w:val="none"/>
              </w:rPr>
              <w:t>是否收取履约担保：</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收取，</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不收取 </w:t>
            </w:r>
          </w:p>
        </w:tc>
      </w:tr>
      <w:tr w14:paraId="2ACD5A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76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A5EA1C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付款方式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AB328E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eastAsia="zh-CN"/>
              </w:rPr>
            </w:pPr>
            <w:r>
              <w:rPr>
                <w:rFonts w:hint="eastAsia" w:ascii="Times New Roman" w:hAnsi="Times New Roman" w:eastAsia="宋体" w:cs="Times New Roman"/>
                <w:b/>
                <w:bCs/>
                <w:color w:val="auto"/>
                <w:highlight w:val="none"/>
                <w:lang w:val="en-US" w:eastAsia="zh-CN"/>
              </w:rPr>
              <w:t>出具经住房城乡建设主管部门确认后的鉴定检测报告并经招标人确认后一次性支付合同价款。</w:t>
            </w:r>
          </w:p>
        </w:tc>
      </w:tr>
      <w:tr w14:paraId="20A5E2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1178F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top"/>
          </w:tcPr>
          <w:p w14:paraId="1784FC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招标文件获取方式：网上下载；</w:t>
            </w:r>
          </w:p>
          <w:p w14:paraId="5903F0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获取时间：招标文件发布至投标截止时间。</w:t>
            </w:r>
          </w:p>
        </w:tc>
      </w:tr>
      <w:tr w14:paraId="757A9D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E4BC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93F4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7C95E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32805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7B40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894C4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766E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6BB9A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3FB2E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389625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备注</w:t>
            </w:r>
          </w:p>
        </w:tc>
        <w:tc>
          <w:tcPr>
            <w:tcW w:w="6356" w:type="dxa"/>
            <w:tcBorders>
              <w:top w:val="single" w:color="auto" w:sz="8" w:space="0"/>
              <w:left w:val="single" w:color="auto" w:sz="8" w:space="0"/>
              <w:bottom w:val="single" w:color="auto" w:sz="12" w:space="0"/>
              <w:right w:val="single" w:color="auto" w:sz="12" w:space="0"/>
            </w:tcBorders>
            <w:shd w:val="clear" w:color="auto" w:fill="auto"/>
            <w:vAlign w:val="center"/>
          </w:tcPr>
          <w:p w14:paraId="4A179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1、评标委员会只依靠投标人递交的投标文件及其按照招标文件要求提供的所有证明材料进行评审，而不依靠任何外来的证明材料。</w:t>
            </w:r>
          </w:p>
          <w:p w14:paraId="20BBF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2、招标人对本项目执行过程中的所有争议拥有最终的裁决权，投标人应无条件地服从招标人的裁决，不得以任何理由提出增加本项目合同费用和延误本项目工期。</w:t>
            </w:r>
          </w:p>
          <w:p w14:paraId="2953C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eastAsia="宋体"/>
                <w:color w:val="auto"/>
                <w:highlight w:val="none"/>
                <w:lang w:val="en-US" w:eastAsia="zh-CN"/>
              </w:rPr>
            </w:pPr>
            <w:r>
              <w:rPr>
                <w:rFonts w:hint="eastAsia" w:ascii="宋体" w:hAnsi="Times New Roman" w:eastAsia="宋体" w:cs="Times New Roman"/>
                <w:color w:val="auto"/>
                <w:sz w:val="21"/>
                <w:szCs w:val="21"/>
                <w:highlight w:val="none"/>
                <w:lang w:val="en-US" w:eastAsia="zh-CN"/>
              </w:rPr>
              <w:t>3、本项目严禁非法转包，一经发现，招标人依法处理。</w:t>
            </w:r>
          </w:p>
        </w:tc>
      </w:tr>
    </w:tbl>
    <w:p w14:paraId="3E2DC04B">
      <w:pPr>
        <w:rPr>
          <w:rFonts w:hint="eastAsia" w:ascii="宋体" w:hAnsi="宋体" w:eastAsia="宋体" w:cs="宋体"/>
          <w:b/>
          <w:bCs w:val="0"/>
          <w:color w:val="auto"/>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auto"/>
          <w:kern w:val="0"/>
          <w:sz w:val="28"/>
          <w:szCs w:val="28"/>
          <w:highlight w:val="none"/>
          <w:u w:color="000000"/>
          <w:lang w:val="en-US" w:eastAsia="zh-CN" w:bidi="ar"/>
        </w:rPr>
        <w:br w:type="page"/>
      </w:r>
    </w:p>
    <w:p w14:paraId="67BB6339">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7AFA148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1"/>
    </w:p>
    <w:p w14:paraId="04CFBA2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4D70B22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1E14F0C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397A2F2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14:paraId="7FF8FAA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14:paraId="2A6CB83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662C6CDF">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7EF5FB0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03640B0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2E67049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00D9556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2A08E044">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3522B28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5B4916C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2775668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44855DD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41E282E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0FA10DD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5A4A5FAC">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  </w:t>
      </w:r>
    </w:p>
    <w:p w14:paraId="47CD38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3CC8CA3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color w:val="auto"/>
          <w:szCs w:val="21"/>
          <w:highlight w:val="none"/>
          <w:u w:val="single"/>
          <w:lang w:eastAsia="zh-CN"/>
        </w:rPr>
        <w:t>综合评估法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2C30015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14E87A01">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5201BE8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5700ECE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23E22FD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22" w:name="_Toc152042315"/>
      <w:bookmarkEnd w:id="22"/>
      <w:bookmarkStart w:id="23" w:name="_Toc247527563"/>
      <w:bookmarkEnd w:id="23"/>
      <w:bookmarkStart w:id="24" w:name="_Toc144974507"/>
      <w:bookmarkEnd w:id="24"/>
      <w:bookmarkStart w:id="25" w:name="_Toc247513962"/>
      <w:bookmarkEnd w:id="25"/>
      <w:bookmarkStart w:id="26" w:name="_Toc152045539"/>
      <w:bookmarkEnd w:id="26"/>
      <w:bookmarkStart w:id="27" w:name="_Toc296602429"/>
      <w:bookmarkEnd w:id="27"/>
      <w:bookmarkStart w:id="28"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28"/>
    </w:p>
    <w:p w14:paraId="02A46282">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440A4DF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5AA49C88">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086FA9E2">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D578548">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47F2648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6E6FBB06">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170B585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789546E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2E1E1C0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287F1DC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7DB1181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3029D9B2">
      <w:pPr>
        <w:spacing w:line="360" w:lineRule="auto"/>
        <w:ind w:firstLine="420" w:firstLineChars="200"/>
        <w:rPr>
          <w:rFonts w:hint="eastAsia" w:ascii="宋体"/>
          <w:color w:val="auto"/>
          <w:szCs w:val="21"/>
          <w:highlight w:val="none"/>
        </w:rPr>
      </w:pPr>
      <w:bookmarkStart w:id="29" w:name="_Toc24655"/>
      <w:bookmarkEnd w:id="29"/>
      <w:bookmarkStart w:id="30" w:name="_Toc10668_WPSOffice_Level3"/>
      <w:bookmarkEnd w:id="30"/>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5C0437FB">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16B5616E">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7F83C935">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2DCB17A8">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69ACEDCA">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769563F8">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42A57DBE">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5B3B3EF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37CCB4CD">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7D6109B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66F9FAA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3373A22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7AF6136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525FA2E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58B281E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438D4F9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3C24F65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资格审查办法</w:t>
      </w:r>
    </w:p>
    <w:p w14:paraId="3F4DF51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第四章  评标办法</w:t>
      </w:r>
    </w:p>
    <w:p w14:paraId="6191A1B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第五章  </w:t>
      </w:r>
      <w:r>
        <w:rPr>
          <w:rFonts w:hint="eastAsia" w:ascii="宋体" w:eastAsia="宋体" w:cs="宋体"/>
          <w:color w:val="auto"/>
          <w:szCs w:val="21"/>
          <w:highlight w:val="none"/>
          <w:lang w:eastAsia="zh-CN"/>
        </w:rPr>
        <w:t>采购需求</w:t>
      </w:r>
    </w:p>
    <w:p w14:paraId="4262752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合同条款及格式</w:t>
      </w:r>
    </w:p>
    <w:p w14:paraId="6C85C9F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第七章  投标文件格式文本</w:t>
      </w:r>
    </w:p>
    <w:p w14:paraId="37E2BEA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第八章  招标人、招标代理机构对本文件的确认</w:t>
      </w:r>
    </w:p>
    <w:p w14:paraId="392F65D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2AD25E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630691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6730E2B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17.招标文件的异议、澄清</w:t>
      </w:r>
    </w:p>
    <w:p w14:paraId="309EF8CC">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auto"/>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4839F61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544C5F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18.招标文件的发出</w:t>
      </w:r>
    </w:p>
    <w:p w14:paraId="5234BFF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auto"/>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auto"/>
          <w:kern w:val="0"/>
          <w:sz w:val="21"/>
          <w:szCs w:val="21"/>
          <w:highlight w:val="none"/>
          <w:u w:color="000000"/>
          <w:lang w:val="en-US" w:eastAsia="zh-CN" w:bidi="ar"/>
        </w:rPr>
        <w:t>发出。</w:t>
      </w:r>
    </w:p>
    <w:p w14:paraId="7ECB96A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1" w:name="_Toc1549_WPSOffice_Level3"/>
      <w:bookmarkEnd w:id="31"/>
      <w:bookmarkStart w:id="32" w:name="_Toc9710"/>
      <w:r>
        <w:rPr>
          <w:rFonts w:hint="eastAsia" w:ascii="宋体" w:hAnsi="宋体" w:eastAsia="宋体" w:cs="宋体"/>
          <w:b/>
          <w:bCs w:val="0"/>
          <w:color w:val="auto"/>
          <w:kern w:val="0"/>
          <w:sz w:val="21"/>
          <w:szCs w:val="21"/>
          <w:highlight w:val="none"/>
          <w:u w:color="000000"/>
          <w:lang w:val="en-US" w:eastAsia="zh-CN" w:bidi="ar"/>
        </w:rPr>
        <w:t>19.样品</w:t>
      </w:r>
      <w:bookmarkEnd w:id="32"/>
    </w:p>
    <w:p w14:paraId="71D71AE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6036840E">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75CF473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3A00127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56C707B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18FB16A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3B986E54">
      <w:pPr>
        <w:spacing w:line="440" w:lineRule="exact"/>
        <w:ind w:firstLine="420" w:firstLineChars="200"/>
        <w:jc w:val="left"/>
        <w:rPr>
          <w:rFonts w:hint="eastAsia" w:ascii="宋体" w:hAnsi="宋体" w:cs="宋体"/>
          <w:bCs/>
          <w:color w:val="auto"/>
          <w:szCs w:val="21"/>
          <w:highlight w:val="none"/>
        </w:rPr>
      </w:pPr>
      <w:r>
        <w:rPr>
          <w:rFonts w:hint="eastAsia" w:ascii="宋体" w:hAnsi="宋体"/>
          <w:color w:val="auto"/>
          <w:szCs w:val="21"/>
          <w:highlight w:val="none"/>
          <w:lang w:eastAsia="zh-CN"/>
        </w:rPr>
        <w:t>投标文件</w:t>
      </w:r>
      <w:r>
        <w:rPr>
          <w:rFonts w:hint="eastAsia" w:ascii="宋体" w:hAnsi="宋体"/>
          <w:color w:val="auto"/>
          <w:szCs w:val="21"/>
          <w:highlight w:val="none"/>
          <w:lang w:val="en-US" w:eastAsia="zh-CN"/>
        </w:rPr>
        <w:t>组成及</w:t>
      </w:r>
      <w:r>
        <w:rPr>
          <w:rFonts w:hint="eastAsia" w:ascii="宋体" w:hAnsi="宋体" w:cs="宋体"/>
          <w:b/>
          <w:color w:val="auto"/>
          <w:szCs w:val="21"/>
          <w:highlight w:val="none"/>
        </w:rPr>
        <w:t>具体内容详见第六章</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格式内容</w:t>
      </w:r>
      <w:r>
        <w:rPr>
          <w:rFonts w:hint="eastAsia" w:ascii="宋体" w:hAnsi="宋体" w:cs="宋体"/>
          <w:bCs/>
          <w:color w:val="auto"/>
          <w:szCs w:val="21"/>
          <w:highlight w:val="none"/>
        </w:rPr>
        <w:t>。</w:t>
      </w:r>
    </w:p>
    <w:p w14:paraId="2047313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23FAC6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宋体" w:eastAsia="宋体" w:cs="宋体"/>
          <w:bCs/>
          <w:color w:val="auto"/>
          <w:kern w:val="0"/>
          <w:sz w:val="21"/>
          <w:szCs w:val="21"/>
          <w:highlight w:val="none"/>
          <w:u w:color="000000"/>
          <w:lang w:val="en-US" w:eastAsia="zh-CN" w:bidi="ar"/>
        </w:rPr>
        <w:t>22.1投标报价文件中的单价和总价全部采用人民币表示。</w:t>
      </w:r>
      <w:r>
        <w:rPr>
          <w:rFonts w:hint="eastAsia" w:ascii="宋体"/>
          <w:color w:val="auto"/>
          <w:szCs w:val="21"/>
          <w:highlight w:val="none"/>
        </w:rPr>
        <w:t>投标人的报价应含有服务、利润、税金、政策性文件规定及合同包含的所有风险、责任、义务等，即为完成招标文件要求的服务（货物）内容所包含的一切应有费用，</w:t>
      </w:r>
      <w:r>
        <w:rPr>
          <w:rFonts w:hint="eastAsia" w:ascii="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6B6E08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宋体" w:eastAsia="宋体" w:cs="宋体"/>
          <w:bCs/>
          <w:color w:val="auto"/>
          <w:kern w:val="0"/>
          <w:sz w:val="21"/>
          <w:szCs w:val="21"/>
          <w:highlight w:val="none"/>
          <w:u w:color="000000"/>
          <w:lang w:val="en-US" w:eastAsia="zh-CN" w:bidi="ar"/>
        </w:rPr>
        <w:t>22.2</w:t>
      </w:r>
      <w:r>
        <w:rPr>
          <w:rFonts w:hint="eastAsia" w:ascii="宋体" w:eastAsia="宋体"/>
          <w:color w:val="auto"/>
          <w:szCs w:val="21"/>
          <w:highlight w:val="none"/>
          <w:lang w:val="en-US" w:eastAsia="zh-CN"/>
        </w:rPr>
        <w:t>中标人</w:t>
      </w:r>
      <w:r>
        <w:rPr>
          <w:rFonts w:hint="eastAsia" w:ascii="宋体"/>
          <w:color w:val="auto"/>
          <w:szCs w:val="21"/>
          <w:highlight w:val="none"/>
        </w:rPr>
        <w:t>必须和拟派的所有岗位人员按照相关规定签订劳动合同并为其缴纳社保，并依法纳税，否则产生的相关纠纷由投标人自行承担。人员工资最低标准等相关政策性调整以及国家对中标单位征收的各种税费等所有一切费用，中标</w:t>
      </w:r>
      <w:r>
        <w:rPr>
          <w:rFonts w:hint="eastAsia" w:ascii="宋体"/>
          <w:color w:val="auto"/>
          <w:szCs w:val="21"/>
          <w:highlight w:val="none"/>
          <w:lang w:val="en-US" w:eastAsia="zh-CN"/>
        </w:rPr>
        <w:t>价</w:t>
      </w:r>
      <w:r>
        <w:rPr>
          <w:rFonts w:hint="eastAsia" w:ascii="宋体"/>
          <w:color w:val="auto"/>
          <w:szCs w:val="21"/>
          <w:highlight w:val="none"/>
        </w:rPr>
        <w:t>今后将不作任何调整。</w:t>
      </w:r>
    </w:p>
    <w:p w14:paraId="215664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宋体" w:eastAsia="宋体" w:cs="宋体"/>
          <w:bCs/>
          <w:color w:val="auto"/>
          <w:kern w:val="0"/>
          <w:sz w:val="21"/>
          <w:szCs w:val="21"/>
          <w:highlight w:val="none"/>
          <w:u w:color="000000"/>
          <w:lang w:val="en-US" w:eastAsia="zh-CN" w:bidi="ar"/>
        </w:rPr>
        <w:t>22.3</w:t>
      </w:r>
      <w:r>
        <w:rPr>
          <w:rFonts w:hint="eastAsia" w:ascii="宋体"/>
          <w:color w:val="auto"/>
          <w:szCs w:val="21"/>
          <w:highlight w:val="none"/>
        </w:rPr>
        <w:t>投标人只允许有一个方案、一个报价。</w:t>
      </w:r>
    </w:p>
    <w:p w14:paraId="64AF9D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b/>
          <w:bCs/>
          <w:color w:val="auto"/>
          <w:highlight w:val="none"/>
        </w:rPr>
      </w:pPr>
      <w:r>
        <w:rPr>
          <w:rFonts w:hint="eastAsia" w:ascii="宋体" w:hAnsi="宋体" w:eastAsia="宋体" w:cs="宋体"/>
          <w:bCs/>
          <w:color w:val="auto"/>
          <w:kern w:val="0"/>
          <w:sz w:val="21"/>
          <w:szCs w:val="21"/>
          <w:highlight w:val="none"/>
          <w:u w:color="000000"/>
          <w:lang w:val="en-US" w:eastAsia="zh-CN" w:bidi="ar"/>
        </w:rPr>
        <w:t>22.4</w:t>
      </w:r>
      <w:r>
        <w:rPr>
          <w:rFonts w:hint="eastAsia" w:ascii="宋体"/>
          <w:b/>
          <w:bCs/>
          <w:color w:val="auto"/>
          <w:szCs w:val="21"/>
          <w:highlight w:val="none"/>
        </w:rPr>
        <w:t>投标人投标</w:t>
      </w:r>
      <w:r>
        <w:rPr>
          <w:rFonts w:hint="eastAsia" w:ascii="宋体" w:hAnsi="宋体" w:cs="宋体"/>
          <w:b/>
          <w:bCs/>
          <w:color w:val="auto"/>
          <w:szCs w:val="21"/>
          <w:highlight w:val="none"/>
        </w:rPr>
        <w:t>报价包含完成本次采购服务的一切费用，应综合考虑服务过程中发生的所有费用。报价保留两位小数，小数点后第三位小数按四舍五入原则调整。各投标人的报价要求精确到小数点后第二位，第三位四舍五入。</w:t>
      </w:r>
      <w:r>
        <w:rPr>
          <w:rFonts w:hint="eastAsia" w:ascii="宋体" w:hAnsi="宋体" w:cs="宋体"/>
          <w:b/>
          <w:bCs/>
          <w:color w:val="auto"/>
          <w:szCs w:val="21"/>
          <w:highlight w:val="none"/>
          <w:lang w:val="en-US" w:eastAsia="zh-CN"/>
        </w:rPr>
        <w:t>投标报价</w:t>
      </w:r>
      <w:r>
        <w:rPr>
          <w:rFonts w:hint="eastAsia" w:ascii="宋体" w:hAnsi="宋体" w:cs="宋体"/>
          <w:b/>
          <w:bCs/>
          <w:color w:val="auto"/>
          <w:szCs w:val="21"/>
          <w:highlight w:val="none"/>
        </w:rPr>
        <w:t>不得高于最高限价，否则按无效</w:t>
      </w:r>
      <w:r>
        <w:rPr>
          <w:rFonts w:hint="eastAsia" w:ascii="宋体" w:hAnsi="宋体" w:cs="宋体"/>
          <w:b/>
          <w:bCs/>
          <w:color w:val="auto"/>
          <w:szCs w:val="21"/>
          <w:highlight w:val="none"/>
          <w:lang w:val="en-US" w:eastAsia="zh-CN"/>
        </w:rPr>
        <w:t>投标</w:t>
      </w:r>
      <w:r>
        <w:rPr>
          <w:rFonts w:hint="eastAsia" w:ascii="宋体" w:hAnsi="宋体" w:cs="宋体"/>
          <w:b/>
          <w:bCs/>
          <w:color w:val="auto"/>
          <w:szCs w:val="21"/>
          <w:highlight w:val="none"/>
        </w:rPr>
        <w:t>处理。中标</w:t>
      </w:r>
      <w:r>
        <w:rPr>
          <w:rFonts w:hint="eastAsia" w:ascii="宋体" w:hAnsi="宋体" w:cs="宋体"/>
          <w:b/>
          <w:bCs/>
          <w:color w:val="auto"/>
          <w:szCs w:val="21"/>
          <w:highlight w:val="none"/>
          <w:lang w:val="en-US" w:eastAsia="zh-CN"/>
        </w:rPr>
        <w:t>价</w:t>
      </w:r>
      <w:r>
        <w:rPr>
          <w:rFonts w:hint="eastAsia" w:ascii="宋体" w:hAnsi="宋体" w:cs="宋体"/>
          <w:b/>
          <w:bCs/>
          <w:color w:val="auto"/>
          <w:szCs w:val="21"/>
          <w:highlight w:val="none"/>
        </w:rPr>
        <w:t>后期不作任何调整，</w:t>
      </w:r>
      <w:r>
        <w:rPr>
          <w:rFonts w:hint="eastAsia" w:ascii="宋体" w:hAnsi="宋体" w:cs="宋体"/>
          <w:b/>
          <w:bCs/>
          <w:color w:val="auto"/>
          <w:szCs w:val="21"/>
          <w:highlight w:val="none"/>
          <w:lang w:val="en-US" w:eastAsia="zh-CN"/>
        </w:rPr>
        <w:t>招标人</w:t>
      </w:r>
      <w:r>
        <w:rPr>
          <w:rFonts w:hint="eastAsia" w:ascii="宋体" w:hAnsi="宋体" w:cs="宋体"/>
          <w:b/>
          <w:bCs/>
          <w:color w:val="auto"/>
          <w:szCs w:val="21"/>
          <w:highlight w:val="none"/>
        </w:rPr>
        <w:t>不再另行支付任何费用。</w:t>
      </w:r>
    </w:p>
    <w:p w14:paraId="520312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22.5</w:t>
      </w:r>
      <w:r>
        <w:rPr>
          <w:rFonts w:hint="eastAsia" w:ascii="宋体"/>
          <w:color w:val="auto"/>
          <w:szCs w:val="21"/>
          <w:highlight w:val="none"/>
        </w:rPr>
        <w:t>投标报价是完成项目全部内容（包括后期的相关服务）交付验收的价格，其</w:t>
      </w:r>
      <w:r>
        <w:rPr>
          <w:rFonts w:hint="eastAsia" w:ascii="宋体"/>
          <w:color w:val="auto"/>
          <w:szCs w:val="21"/>
          <w:highlight w:val="none"/>
          <w:lang w:val="en-US" w:eastAsia="zh-CN"/>
        </w:rPr>
        <w:t>总价</w:t>
      </w:r>
      <w:r>
        <w:rPr>
          <w:rFonts w:hint="eastAsia" w:ascii="宋体"/>
          <w:color w:val="auto"/>
          <w:szCs w:val="21"/>
          <w:highlight w:val="none"/>
        </w:rPr>
        <w:t>即为履行合同的</w:t>
      </w:r>
      <w:r>
        <w:rPr>
          <w:rFonts w:hint="eastAsia" w:ascii="宋体"/>
          <w:color w:val="auto"/>
          <w:szCs w:val="21"/>
          <w:highlight w:val="none"/>
          <w:lang w:eastAsia="zh-CN"/>
        </w:rPr>
        <w:t>固定单价</w:t>
      </w:r>
      <w:r>
        <w:rPr>
          <w:rFonts w:hint="eastAsia" w:ascii="宋体"/>
          <w:color w:val="auto"/>
          <w:szCs w:val="21"/>
          <w:highlight w:val="none"/>
        </w:rPr>
        <w:t>。</w:t>
      </w:r>
    </w:p>
    <w:p w14:paraId="3FAB4EF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22.6投标人的投标报价不得超过各最高限价，否则将作为无效投标处理。</w:t>
      </w:r>
    </w:p>
    <w:p w14:paraId="763C083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22.7投标报价中不得包含招标文件要求以外的内容，否则，在评标时不予核减，但在授予合同时，招标人有权将这部分价格从其中标价格中扣除。</w:t>
      </w:r>
    </w:p>
    <w:p w14:paraId="66F35EB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19209D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3372795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1023805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7C42DBC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37FB918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697A455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7A5DAA0C">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3" w:name="_Toc6570_WPSOffice_Level3"/>
      <w:bookmarkEnd w:id="33"/>
      <w:bookmarkStart w:id="34"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4"/>
    </w:p>
    <w:p w14:paraId="51B5D9C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5" w:name="_Toc30407_WPSOffice_Level3"/>
      <w:bookmarkEnd w:id="35"/>
      <w:bookmarkStart w:id="36" w:name="_Toc490"/>
      <w:bookmarkEnd w:id="36"/>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6EEA98C3">
      <w:pPr>
        <w:spacing w:line="440" w:lineRule="exact"/>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.1 </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w:t>
      </w:r>
      <w:r>
        <w:rPr>
          <w:rFonts w:hint="eastAsia" w:ascii="宋体" w:hAnsi="宋体" w:cs="宋体"/>
          <w:b/>
          <w:bCs/>
          <w:color w:val="auto"/>
          <w:szCs w:val="21"/>
          <w:highlight w:val="none"/>
        </w:rPr>
        <w:t xml:space="preserve">（投标人中标后须递交与网上电子投标文件完全一致的纸质版投标文件，并按要求加盖单位章；份数：正本 1 份，副本 </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 xml:space="preserve"> 份；中标人领取中标通知书时，一并递交给招标代理机构）。</w:t>
      </w:r>
      <w:r>
        <w:rPr>
          <w:rFonts w:hint="eastAsia" w:ascii="宋体" w:hAnsi="Calibri"/>
          <w:color w:val="auto"/>
          <w:szCs w:val="21"/>
          <w:highlight w:val="none"/>
          <w:lang w:val="en-US" w:eastAsia="zh-CN"/>
        </w:rPr>
        <w:t xml:space="preserve"> </w:t>
      </w:r>
    </w:p>
    <w:p w14:paraId="731A237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5267BC9F">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25．投标文件的</w:t>
      </w:r>
      <w:r>
        <w:rPr>
          <w:rFonts w:hint="eastAsia" w:asciiTheme="majorEastAsia" w:hAnsiTheme="majorEastAsia" w:eastAsiaTheme="majorEastAsia" w:cstheme="majorEastAsia"/>
          <w:b/>
          <w:bCs/>
          <w:color w:val="auto"/>
          <w:szCs w:val="21"/>
          <w:highlight w:val="none"/>
        </w:rPr>
        <w:t>密封</w:t>
      </w:r>
      <w:r>
        <w:rPr>
          <w:rFonts w:hint="eastAsia" w:asciiTheme="majorEastAsia" w:hAnsiTheme="majorEastAsia" w:eastAsiaTheme="majorEastAsia" w:cstheme="majorEastAsia"/>
          <w:b/>
          <w:bCs/>
          <w:color w:val="auto"/>
          <w:szCs w:val="21"/>
          <w:highlight w:val="none"/>
          <w:lang w:val="en-US" w:eastAsia="zh-CN"/>
        </w:rPr>
        <w:t>和</w:t>
      </w:r>
      <w:r>
        <w:rPr>
          <w:rFonts w:hint="eastAsia" w:ascii="宋体" w:hAnsi="宋体" w:eastAsia="宋体" w:cs="宋体"/>
          <w:b/>
          <w:bCs w:val="0"/>
          <w:color w:val="auto"/>
          <w:kern w:val="0"/>
          <w:sz w:val="21"/>
          <w:szCs w:val="21"/>
          <w:highlight w:val="none"/>
          <w:u w:color="000000"/>
          <w:lang w:val="en-US" w:eastAsia="zh-CN" w:bidi="ar"/>
        </w:rPr>
        <w:t>提交</w:t>
      </w:r>
    </w:p>
    <w:p w14:paraId="5540BDC6">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新点电子交易平台递交电子投标文件的，电子交易系统应当拒收，投标无效。</w:t>
      </w:r>
    </w:p>
    <w:p w14:paraId="0B4BC150">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26．</w:t>
      </w:r>
      <w:r>
        <w:rPr>
          <w:rFonts w:hint="eastAsia" w:ascii="宋体" w:hAnsi="宋体"/>
          <w:bCs/>
          <w:color w:val="auto"/>
          <w:szCs w:val="21"/>
          <w:highlight w:val="none"/>
          <w:lang w:eastAsia="zh-CN"/>
        </w:rPr>
        <w:t>投标文件</w:t>
      </w:r>
      <w:r>
        <w:rPr>
          <w:rFonts w:hint="eastAsia" w:ascii="宋体" w:hAnsi="宋体"/>
          <w:bCs/>
          <w:color w:val="auto"/>
          <w:szCs w:val="21"/>
          <w:highlight w:val="none"/>
        </w:rPr>
        <w:t>的修改与撤回</w:t>
      </w:r>
    </w:p>
    <w:p w14:paraId="2739D0E9">
      <w:pPr>
        <w:autoSpaceDE w:val="0"/>
        <w:autoSpaceDN w:val="0"/>
        <w:adjustRightInd w:val="0"/>
        <w:spacing w:line="40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 xml:space="preserve">26.1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32CD6465">
      <w:pPr>
        <w:spacing w:line="440" w:lineRule="exact"/>
        <w:ind w:firstLine="422" w:firstLineChars="200"/>
        <w:jc w:val="left"/>
        <w:rPr>
          <w:rFonts w:hint="eastAsia" w:ascii="宋体" w:hAnsi="宋体" w:eastAsia="宋体" w:cs="宋体"/>
          <w:b/>
          <w:bCs/>
          <w:color w:val="auto"/>
          <w:highlight w:val="none"/>
          <w:lang w:val="en-US" w:eastAsia="zh-CN"/>
        </w:rPr>
      </w:pPr>
    </w:p>
    <w:p w14:paraId="21C77FD0">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4221973A">
      <w:pPr>
        <w:spacing w:line="440" w:lineRule="exact"/>
        <w:ind w:firstLine="420" w:firstLineChars="200"/>
        <w:jc w:val="left"/>
        <w:rPr>
          <w:rFonts w:hint="eastAsia" w:ascii="宋体" w:hAnsi="宋体" w:eastAsia="宋体" w:cs="宋体"/>
          <w:bCs/>
          <w:color w:val="auto"/>
          <w:szCs w:val="21"/>
          <w:highlight w:val="none"/>
          <w:lang w:eastAsia="zh-CN"/>
        </w:rPr>
      </w:pPr>
      <w:bookmarkStart w:id="37" w:name="_Toc28864"/>
      <w:bookmarkEnd w:id="37"/>
      <w:r>
        <w:rPr>
          <w:rFonts w:hint="eastAsia" w:ascii="宋体" w:hAnsi="宋体" w:cs="宋体"/>
          <w:bCs/>
          <w:color w:val="auto"/>
          <w:szCs w:val="21"/>
          <w:highlight w:val="none"/>
        </w:rPr>
        <w:t xml:space="preserve">27. </w:t>
      </w:r>
      <w:r>
        <w:rPr>
          <w:rFonts w:hint="eastAsia" w:ascii="宋体" w:hAnsi="宋体" w:cs="宋体"/>
          <w:bCs/>
          <w:color w:val="auto"/>
          <w:szCs w:val="21"/>
          <w:highlight w:val="none"/>
          <w:lang w:val="en-US" w:eastAsia="zh-CN"/>
        </w:rPr>
        <w:t>开标</w:t>
      </w:r>
    </w:p>
    <w:p w14:paraId="3AF5292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27.1  开</w:t>
      </w:r>
      <w:r>
        <w:rPr>
          <w:rFonts w:hint="eastAsia" w:ascii="宋体" w:hAnsi="宋体" w:cs="宋体"/>
          <w:bCs/>
          <w:color w:val="auto"/>
          <w:szCs w:val="21"/>
          <w:highlight w:val="none"/>
          <w:lang w:val="en-US" w:eastAsia="zh-CN"/>
        </w:rPr>
        <w:t>标</w:t>
      </w:r>
      <w:r>
        <w:rPr>
          <w:rFonts w:hint="eastAsia" w:ascii="宋体" w:hAnsi="宋体" w:cs="宋体"/>
          <w:bCs/>
          <w:color w:val="auto"/>
          <w:szCs w:val="21"/>
          <w:highlight w:val="none"/>
        </w:rPr>
        <w:t>的时间和地点</w:t>
      </w:r>
    </w:p>
    <w:p w14:paraId="20E554A7">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27.1.1</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按</w:t>
      </w:r>
      <w:r>
        <w:rPr>
          <w:rFonts w:hint="eastAsia" w:ascii="宋体" w:hAnsi="宋体" w:cs="宋体"/>
          <w:bCs/>
          <w:color w:val="auto"/>
          <w:szCs w:val="21"/>
          <w:highlight w:val="none"/>
          <w:lang w:val="en-US" w:eastAsia="zh-CN"/>
        </w:rPr>
        <w:t>招标</w:t>
      </w:r>
      <w:r>
        <w:rPr>
          <w:rFonts w:hint="eastAsia" w:ascii="宋体"/>
          <w:color w:val="auto"/>
          <w:szCs w:val="21"/>
          <w:highlight w:val="none"/>
        </w:rPr>
        <w:t>公告中的时间和地点公开</w:t>
      </w:r>
      <w:r>
        <w:rPr>
          <w:rFonts w:hint="eastAsia" w:ascii="宋体"/>
          <w:color w:val="auto"/>
          <w:szCs w:val="21"/>
          <w:highlight w:val="none"/>
          <w:lang w:val="en-US" w:eastAsia="zh-CN"/>
        </w:rPr>
        <w:t>开标</w:t>
      </w:r>
      <w:r>
        <w:rPr>
          <w:rFonts w:hint="eastAsia" w:ascii="宋体" w:hAnsi="宋体" w:cs="宋体"/>
          <w:bCs/>
          <w:color w:val="auto"/>
          <w:szCs w:val="21"/>
          <w:highlight w:val="none"/>
        </w:rPr>
        <w:t>。</w:t>
      </w:r>
    </w:p>
    <w:p w14:paraId="1EBD2CA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27.2  参与</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的部门</w:t>
      </w:r>
    </w:p>
    <w:p w14:paraId="63469D35">
      <w:pPr>
        <w:spacing w:line="440" w:lineRule="exact"/>
        <w:ind w:right="-155" w:rightChars="-74" w:firstLine="420" w:firstLineChars="200"/>
        <w:jc w:val="left"/>
        <w:rPr>
          <w:rFonts w:hint="eastAsia" w:ascii="宋体" w:hAnsi="宋体" w:cs="宋体"/>
          <w:bCs/>
          <w:color w:val="auto"/>
          <w:spacing w:val="-8"/>
          <w:szCs w:val="21"/>
          <w:highlight w:val="none"/>
        </w:rPr>
      </w:pPr>
      <w:bookmarkStart w:id="38" w:name="_Toc6200"/>
      <w:bookmarkStart w:id="39" w:name="_Toc11244"/>
      <w:r>
        <w:rPr>
          <w:rFonts w:hint="eastAsia" w:ascii="宋体" w:hAnsi="宋体" w:cs="宋体"/>
          <w:bCs/>
          <w:color w:val="auto"/>
          <w:szCs w:val="21"/>
          <w:highlight w:val="none"/>
        </w:rPr>
        <w:t>27.2.1</w:t>
      </w:r>
      <w:r>
        <w:rPr>
          <w:rFonts w:hint="eastAsia" w:ascii="宋体" w:hAnsi="宋体" w:cs="宋体"/>
          <w:bCs/>
          <w:color w:val="auto"/>
          <w:szCs w:val="21"/>
          <w:highlight w:val="none"/>
          <w:lang w:val="en-US" w:eastAsia="zh-CN"/>
        </w:rPr>
        <w:t>招标</w:t>
      </w:r>
      <w:r>
        <w:rPr>
          <w:rFonts w:hint="eastAsia" w:ascii="宋体" w:hAnsi="宋体" w:cs="宋体"/>
          <w:bCs/>
          <w:color w:val="auto"/>
          <w:szCs w:val="21"/>
          <w:highlight w:val="none"/>
        </w:rPr>
        <w:t>人可以邀请相关部门参加。</w:t>
      </w:r>
      <w:bookmarkEnd w:id="38"/>
      <w:bookmarkEnd w:id="39"/>
    </w:p>
    <w:p w14:paraId="712CCC0A">
      <w:pPr>
        <w:adjustRightInd w:val="0"/>
        <w:snapToGrid w:val="0"/>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27.3开启程序</w:t>
      </w:r>
    </w:p>
    <w:p w14:paraId="7FE2C041">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会议由</w:t>
      </w:r>
      <w:r>
        <w:rPr>
          <w:rFonts w:hint="eastAsia" w:ascii="宋体"/>
          <w:color w:val="auto"/>
          <w:szCs w:val="21"/>
          <w:highlight w:val="none"/>
        </w:rPr>
        <w:t>采购代理机构主持</w:t>
      </w:r>
      <w:r>
        <w:rPr>
          <w:rFonts w:hint="eastAsia" w:ascii="宋体" w:hAnsi="宋体" w:cs="宋体"/>
          <w:bCs/>
          <w:color w:val="auto"/>
          <w:szCs w:val="21"/>
          <w:highlight w:val="none"/>
        </w:rPr>
        <w:t>。</w:t>
      </w:r>
    </w:p>
    <w:p w14:paraId="718233D6">
      <w:pPr>
        <w:spacing w:line="440" w:lineRule="exact"/>
        <w:ind w:right="-155" w:rightChars="-74" w:firstLine="420" w:firstLineChars="200"/>
        <w:jc w:val="left"/>
        <w:rPr>
          <w:rFonts w:hint="eastAsia" w:ascii="宋体" w:hAnsi="宋体" w:cs="宋体"/>
          <w:bCs/>
          <w:color w:val="auto"/>
          <w:szCs w:val="21"/>
          <w:highlight w:val="none"/>
        </w:rPr>
      </w:pPr>
      <w:bookmarkStart w:id="40" w:name="OLE_LINK20"/>
      <w:r>
        <w:rPr>
          <w:rFonts w:hint="eastAsia" w:ascii="宋体" w:hAnsi="宋体" w:cs="宋体"/>
          <w:bCs/>
          <w:color w:val="auto"/>
          <w:szCs w:val="21"/>
          <w:highlight w:val="none"/>
        </w:rPr>
        <w:t>（1）宣布会议纪律；</w:t>
      </w:r>
    </w:p>
    <w:p w14:paraId="714C2F2E">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（2）宣布</w:t>
      </w:r>
      <w:r>
        <w:rPr>
          <w:rFonts w:hint="eastAsia" w:ascii="宋体" w:hAnsi="宋体" w:cs="宋体"/>
          <w:bCs/>
          <w:color w:val="auto"/>
          <w:szCs w:val="21"/>
          <w:highlight w:val="none"/>
          <w:lang w:val="en-US" w:eastAsia="zh-CN"/>
        </w:rPr>
        <w:t>招标</w:t>
      </w:r>
      <w:r>
        <w:rPr>
          <w:rFonts w:hint="eastAsia" w:ascii="宋体" w:hAnsi="宋体" w:cs="宋体"/>
          <w:bCs/>
          <w:color w:val="auto"/>
          <w:szCs w:val="21"/>
          <w:highlight w:val="none"/>
        </w:rPr>
        <w:t>人、代理机构主持人、见证人等有关人员姓名；</w:t>
      </w:r>
    </w:p>
    <w:p w14:paraId="09A4776F">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（3）公布提交首次</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截止时间前，递交</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名称情况等；</w:t>
      </w:r>
    </w:p>
    <w:p w14:paraId="20425C50">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在提交首次</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截止时间后，规定时间内完成</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lang w:val="en-US" w:eastAsia="zh-CN"/>
        </w:rPr>
        <w:t>拆解</w:t>
      </w:r>
      <w:r>
        <w:rPr>
          <w:rFonts w:hint="eastAsia" w:ascii="宋体" w:hAnsi="宋体" w:cs="宋体"/>
          <w:bCs/>
          <w:color w:val="auto"/>
          <w:szCs w:val="21"/>
          <w:highlight w:val="none"/>
        </w:rPr>
        <w:t>工作；</w:t>
      </w:r>
    </w:p>
    <w:p w14:paraId="2DCE3077">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color w:val="auto"/>
          <w:szCs w:val="21"/>
          <w:highlight w:val="none"/>
        </w:rPr>
        <w:t>公布</w:t>
      </w:r>
      <w:r>
        <w:rPr>
          <w:rFonts w:hint="eastAsia" w:ascii="宋体"/>
          <w:color w:val="auto"/>
          <w:szCs w:val="21"/>
          <w:highlight w:val="none"/>
          <w:lang w:eastAsia="zh-CN"/>
        </w:rPr>
        <w:t>投标人</w:t>
      </w:r>
      <w:r>
        <w:rPr>
          <w:rFonts w:hint="eastAsia" w:ascii="宋体"/>
          <w:color w:val="auto"/>
          <w:szCs w:val="21"/>
          <w:highlight w:val="none"/>
        </w:rPr>
        <w:t>报价、质量目标、供货期及其他内容，并记录在案</w:t>
      </w:r>
      <w:r>
        <w:rPr>
          <w:rFonts w:hint="eastAsia" w:ascii="宋体" w:hAnsi="宋体" w:cs="宋体"/>
          <w:bCs/>
          <w:color w:val="auto"/>
          <w:szCs w:val="21"/>
          <w:highlight w:val="none"/>
        </w:rPr>
        <w:t>；</w:t>
      </w:r>
    </w:p>
    <w:p w14:paraId="66E5C590">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结束。</w:t>
      </w:r>
    </w:p>
    <w:bookmarkEnd w:id="40"/>
    <w:p w14:paraId="263BB7CA">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27.4</w:t>
      </w:r>
      <w:r>
        <w:rPr>
          <w:rFonts w:hint="eastAsia" w:ascii="宋体" w:hAnsi="宋体" w:cs="宋体"/>
          <w:bCs/>
          <w:color w:val="auto"/>
          <w:szCs w:val="21"/>
          <w:highlight w:val="none"/>
          <w:lang w:val="en-US" w:eastAsia="zh-CN"/>
        </w:rPr>
        <w:t>开标</w:t>
      </w:r>
      <w:r>
        <w:rPr>
          <w:rFonts w:hint="eastAsia" w:ascii="宋体"/>
          <w:color w:val="auto"/>
          <w:szCs w:val="21"/>
          <w:highlight w:val="none"/>
        </w:rPr>
        <w:t>疑义</w:t>
      </w:r>
    </w:p>
    <w:p w14:paraId="1FA67E98">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投标人</w:t>
      </w:r>
      <w:r>
        <w:rPr>
          <w:rFonts w:hint="eastAsia" w:ascii="宋体" w:hAnsi="Calibri"/>
          <w:color w:val="auto"/>
          <w:szCs w:val="21"/>
          <w:highlight w:val="none"/>
        </w:rPr>
        <w:t>代表</w:t>
      </w:r>
      <w:r>
        <w:rPr>
          <w:rFonts w:hint="eastAsia" w:ascii="宋体" w:hAnsi="宋体" w:cs="宋体"/>
          <w:bCs/>
          <w:color w:val="auto"/>
          <w:szCs w:val="21"/>
          <w:highlight w:val="none"/>
        </w:rPr>
        <w:t>对</w:t>
      </w:r>
      <w:r>
        <w:rPr>
          <w:rFonts w:hint="eastAsia" w:ascii="宋体" w:hAnsi="宋体" w:cs="宋体"/>
          <w:bCs/>
          <w:color w:val="auto"/>
          <w:szCs w:val="21"/>
          <w:highlight w:val="none"/>
          <w:lang w:val="en-US" w:eastAsia="zh-CN"/>
        </w:rPr>
        <w:t>开标</w:t>
      </w:r>
      <w:r>
        <w:rPr>
          <w:rFonts w:hint="eastAsia" w:ascii="宋体" w:hAnsi="Calibri"/>
          <w:color w:val="auto"/>
          <w:szCs w:val="21"/>
          <w:highlight w:val="none"/>
        </w:rPr>
        <w:t>过程和</w:t>
      </w:r>
      <w:r>
        <w:rPr>
          <w:rFonts w:hint="eastAsia" w:ascii="宋体" w:hAnsi="Calibri"/>
          <w:color w:val="auto"/>
          <w:szCs w:val="21"/>
          <w:highlight w:val="none"/>
          <w:lang w:val="en-US" w:eastAsia="zh-CN"/>
        </w:rPr>
        <w:t>开标</w:t>
      </w:r>
      <w:r>
        <w:rPr>
          <w:rFonts w:hint="eastAsia" w:ascii="宋体" w:hAnsi="Calibri"/>
          <w:color w:val="auto"/>
          <w:szCs w:val="21"/>
          <w:highlight w:val="none"/>
        </w:rPr>
        <w:t>记录</w:t>
      </w:r>
      <w:r>
        <w:rPr>
          <w:rFonts w:hint="eastAsia" w:ascii="宋体" w:hAnsi="宋体" w:cs="宋体"/>
          <w:bCs/>
          <w:color w:val="auto"/>
          <w:szCs w:val="21"/>
          <w:highlight w:val="none"/>
        </w:rPr>
        <w:t>有</w:t>
      </w:r>
      <w:r>
        <w:rPr>
          <w:rFonts w:hint="eastAsia" w:ascii="宋体"/>
          <w:color w:val="auto"/>
          <w:szCs w:val="21"/>
          <w:highlight w:val="none"/>
        </w:rPr>
        <w:t>疑义</w:t>
      </w:r>
      <w:r>
        <w:rPr>
          <w:rFonts w:hint="eastAsia" w:ascii="宋体" w:hAnsi="宋体" w:cs="宋体"/>
          <w:bCs/>
          <w:color w:val="auto"/>
          <w:szCs w:val="21"/>
          <w:highlight w:val="none"/>
        </w:rPr>
        <w:t>的，</w:t>
      </w:r>
      <w:r>
        <w:rPr>
          <w:rFonts w:hint="eastAsia" w:ascii="宋体" w:hAnsi="Calibri"/>
          <w:color w:val="auto"/>
          <w:szCs w:val="21"/>
          <w:highlight w:val="none"/>
        </w:rPr>
        <w:t>以及认为</w:t>
      </w:r>
      <w:r>
        <w:rPr>
          <w:rFonts w:hint="eastAsia" w:ascii="宋体" w:hAnsi="Calibri"/>
          <w:color w:val="auto"/>
          <w:szCs w:val="21"/>
          <w:highlight w:val="none"/>
          <w:lang w:eastAsia="zh-CN"/>
        </w:rPr>
        <w:t>招标人</w:t>
      </w:r>
      <w:r>
        <w:rPr>
          <w:rFonts w:hint="eastAsia" w:ascii="宋体" w:hAnsi="Calibri"/>
          <w:color w:val="auto"/>
          <w:szCs w:val="21"/>
          <w:highlight w:val="none"/>
        </w:rPr>
        <w:t>、采购代理机构相关工作人员有需要回避的情形的，应当场提出询问或者回避申请</w:t>
      </w:r>
      <w:r>
        <w:rPr>
          <w:rFonts w:hint="eastAsia" w:ascii="宋体"/>
          <w:color w:val="auto"/>
          <w:szCs w:val="21"/>
          <w:highlight w:val="none"/>
        </w:rPr>
        <w:t>。</w:t>
      </w:r>
    </w:p>
    <w:p w14:paraId="13C77722">
      <w:pPr>
        <w:spacing w:line="440" w:lineRule="exact"/>
        <w:ind w:firstLine="420" w:firstLineChars="20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28.</w:t>
      </w:r>
      <w:r>
        <w:rPr>
          <w:rFonts w:hint="eastAsia" w:ascii="宋体" w:hAnsi="宋体" w:cs="宋体"/>
          <w:bCs/>
          <w:color w:val="auto"/>
          <w:szCs w:val="21"/>
          <w:highlight w:val="none"/>
          <w:lang w:val="en-US" w:eastAsia="zh-CN"/>
        </w:rPr>
        <w:t>评审小组</w:t>
      </w:r>
    </w:p>
    <w:p w14:paraId="32E9980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28.1 </w:t>
      </w:r>
      <w:r>
        <w:rPr>
          <w:rFonts w:hint="eastAsia" w:ascii="宋体" w:hAnsi="宋体" w:cs="宋体"/>
          <w:bCs/>
          <w:color w:val="auto"/>
          <w:szCs w:val="21"/>
          <w:highlight w:val="none"/>
          <w:lang w:val="en-US" w:eastAsia="zh-CN"/>
        </w:rPr>
        <w:t>评审小组</w:t>
      </w:r>
      <w:r>
        <w:rPr>
          <w:rFonts w:hint="eastAsia" w:ascii="宋体" w:hAnsi="宋体" w:cs="宋体"/>
          <w:bCs/>
          <w:color w:val="auto"/>
          <w:szCs w:val="21"/>
          <w:highlight w:val="none"/>
        </w:rPr>
        <w:t>的组成</w:t>
      </w:r>
    </w:p>
    <w:p w14:paraId="6D1DAD49">
      <w:pPr>
        <w:spacing w:line="440" w:lineRule="exact"/>
        <w:ind w:firstLine="420" w:firstLineChars="200"/>
        <w:jc w:val="left"/>
        <w:rPr>
          <w:rFonts w:hint="eastAsia" w:ascii="宋体" w:hAnsi="宋体" w:cs="宋体"/>
          <w:bCs/>
          <w:color w:val="auto"/>
          <w:szCs w:val="21"/>
          <w:highlight w:val="none"/>
        </w:rPr>
      </w:pPr>
      <w:bookmarkStart w:id="41" w:name="_Toc31626"/>
      <w:bookmarkStart w:id="42" w:name="_Toc3934"/>
      <w:r>
        <w:rPr>
          <w:rFonts w:hint="eastAsia" w:ascii="宋体" w:hAnsi="宋体" w:cs="宋体"/>
          <w:bCs/>
          <w:color w:val="auto"/>
          <w:szCs w:val="21"/>
          <w:highlight w:val="none"/>
        </w:rPr>
        <w:t>28.1.1由</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组建。</w:t>
      </w:r>
      <w:bookmarkEnd w:id="41"/>
      <w:bookmarkEnd w:id="42"/>
    </w:p>
    <w:p w14:paraId="1367984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29.评审</w:t>
      </w:r>
    </w:p>
    <w:p w14:paraId="1AE45020">
      <w:pPr>
        <w:spacing w:line="440" w:lineRule="exact"/>
        <w:ind w:firstLine="420" w:firstLineChars="200"/>
        <w:jc w:val="left"/>
        <w:rPr>
          <w:rFonts w:hint="eastAsia" w:ascii="宋体" w:hAnsi="宋体" w:cs="宋体"/>
          <w:bCs/>
          <w:color w:val="auto"/>
          <w:szCs w:val="21"/>
          <w:highlight w:val="none"/>
        </w:rPr>
      </w:pPr>
      <w:bookmarkStart w:id="43" w:name="_Toc26394"/>
      <w:bookmarkStart w:id="44" w:name="_Toc20572"/>
      <w:r>
        <w:rPr>
          <w:rFonts w:hint="eastAsia" w:ascii="宋体" w:hAnsi="宋体" w:cs="宋体"/>
          <w:bCs/>
          <w:color w:val="auto"/>
          <w:szCs w:val="21"/>
          <w:highlight w:val="none"/>
        </w:rPr>
        <w:t>29.1评审准备工作</w:t>
      </w:r>
      <w:bookmarkEnd w:id="43"/>
      <w:bookmarkEnd w:id="44"/>
    </w:p>
    <w:p w14:paraId="0B98F69F">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29.1.1</w:t>
      </w:r>
      <w:r>
        <w:rPr>
          <w:rFonts w:hint="eastAsia" w:ascii="宋体" w:hAnsi="宋体" w:cs="宋体"/>
          <w:bCs/>
          <w:color w:val="auto"/>
          <w:szCs w:val="21"/>
          <w:highlight w:val="none"/>
          <w:u w:val="none" w:color="auto"/>
        </w:rPr>
        <w:t>阅读由</w:t>
      </w:r>
      <w:r>
        <w:rPr>
          <w:rFonts w:hint="eastAsia" w:ascii="宋体" w:hAnsi="宋体" w:cs="宋体"/>
          <w:bCs/>
          <w:color w:val="auto"/>
          <w:szCs w:val="21"/>
          <w:highlight w:val="none"/>
          <w:u w:val="none" w:color="auto"/>
          <w:lang w:eastAsia="zh-CN"/>
        </w:rPr>
        <w:t>招标人</w:t>
      </w:r>
      <w:r>
        <w:rPr>
          <w:rFonts w:hint="eastAsia" w:ascii="宋体" w:hAnsi="宋体" w:cs="宋体"/>
          <w:bCs/>
          <w:color w:val="auto"/>
          <w:szCs w:val="21"/>
          <w:highlight w:val="none"/>
          <w:u w:val="none" w:color="auto"/>
        </w:rPr>
        <w:t>或代理单位编写的采购项目情况的说明材料；</w:t>
      </w:r>
    </w:p>
    <w:p w14:paraId="1FDC0430">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29.1.2阅读、研究</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和相关评审资料，获取评审所需要的重要信息和数据；</w:t>
      </w:r>
    </w:p>
    <w:p w14:paraId="75489E6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29.1.3熟悉</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规定的评审方法及在评审过程中需要考虑的相关因素；</w:t>
      </w:r>
    </w:p>
    <w:p w14:paraId="27D216B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29.1.4核对评审工作用表。</w:t>
      </w:r>
    </w:p>
    <w:p w14:paraId="609846A0">
      <w:pPr>
        <w:spacing w:line="440" w:lineRule="exact"/>
        <w:ind w:firstLine="420" w:firstLineChars="200"/>
        <w:jc w:val="left"/>
        <w:rPr>
          <w:rFonts w:hint="eastAsia" w:ascii="宋体" w:hAnsi="宋体" w:cs="宋体"/>
          <w:bCs/>
          <w:color w:val="auto"/>
          <w:szCs w:val="21"/>
          <w:highlight w:val="none"/>
        </w:rPr>
      </w:pPr>
      <w:bookmarkStart w:id="45" w:name="_Toc1551"/>
      <w:bookmarkStart w:id="46" w:name="_Toc28735"/>
      <w:r>
        <w:rPr>
          <w:rFonts w:hint="eastAsia" w:ascii="宋体" w:hAnsi="宋体" w:cs="宋体"/>
          <w:bCs/>
          <w:color w:val="auto"/>
          <w:szCs w:val="21"/>
          <w:highlight w:val="none"/>
        </w:rPr>
        <w:t>29.2 评审办法</w:t>
      </w:r>
      <w:bookmarkEnd w:id="45"/>
      <w:bookmarkEnd w:id="46"/>
    </w:p>
    <w:p w14:paraId="66A9A613">
      <w:pPr>
        <w:spacing w:line="440" w:lineRule="exact"/>
        <w:ind w:firstLine="420" w:firstLineChars="200"/>
        <w:jc w:val="left"/>
        <w:rPr>
          <w:rFonts w:hint="eastAsia" w:ascii="宋体" w:hAnsi="宋体" w:cs="宋体"/>
          <w:bCs/>
          <w:color w:val="auto"/>
          <w:szCs w:val="21"/>
          <w:highlight w:val="none"/>
          <w:u w:val="none" w:color="auto"/>
        </w:rPr>
      </w:pPr>
      <w:r>
        <w:rPr>
          <w:rFonts w:hint="eastAsia" w:ascii="宋体" w:hAnsi="宋体" w:cs="宋体"/>
          <w:bCs/>
          <w:color w:val="auto"/>
          <w:szCs w:val="21"/>
          <w:highlight w:val="none"/>
          <w:u w:val="none" w:color="auto"/>
        </w:rPr>
        <w:t>29.2.1</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u w:val="none" w:color="auto"/>
        </w:rPr>
        <w:t>按照第三章“评审办法”规定的方法、评审因素、标准和程序对</w:t>
      </w:r>
      <w:r>
        <w:rPr>
          <w:rFonts w:hint="eastAsia" w:ascii="宋体" w:hAnsi="宋体" w:cs="宋体"/>
          <w:bCs/>
          <w:color w:val="auto"/>
          <w:szCs w:val="21"/>
          <w:highlight w:val="none"/>
          <w:u w:val="none" w:color="auto"/>
          <w:lang w:eastAsia="zh-CN"/>
        </w:rPr>
        <w:t>投标文件</w:t>
      </w:r>
      <w:r>
        <w:rPr>
          <w:rFonts w:hint="eastAsia" w:ascii="宋体" w:hAnsi="宋体" w:cs="宋体"/>
          <w:bCs/>
          <w:color w:val="auto"/>
          <w:szCs w:val="21"/>
          <w:highlight w:val="none"/>
          <w:u w:val="none" w:color="auto"/>
        </w:rPr>
        <w:t>进行评审。第三章“评审办法”没有规定的方法、评审因素和标准，不作为评审依据。</w:t>
      </w:r>
    </w:p>
    <w:p w14:paraId="4E00832D">
      <w:pPr>
        <w:spacing w:line="440" w:lineRule="exact"/>
        <w:ind w:firstLine="420" w:firstLineChars="200"/>
        <w:jc w:val="left"/>
        <w:rPr>
          <w:rFonts w:hint="eastAsia" w:ascii="宋体" w:hAnsi="宋体" w:cs="宋体"/>
          <w:bCs/>
          <w:color w:val="auto"/>
          <w:szCs w:val="21"/>
          <w:highlight w:val="none"/>
        </w:rPr>
      </w:pPr>
      <w:bookmarkStart w:id="47" w:name="_Toc7441"/>
      <w:bookmarkStart w:id="48" w:name="_Toc28813"/>
      <w:r>
        <w:rPr>
          <w:rFonts w:hint="eastAsia" w:ascii="宋体" w:hAnsi="宋体" w:cs="宋体"/>
          <w:bCs/>
          <w:color w:val="auto"/>
          <w:szCs w:val="21"/>
          <w:highlight w:val="none"/>
        </w:rPr>
        <w:t>29.3评审原则：</w:t>
      </w:r>
      <w:bookmarkEnd w:id="47"/>
      <w:bookmarkEnd w:id="48"/>
    </w:p>
    <w:p w14:paraId="68D0232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遵循公平、公正、科学和择优的原则。</w:t>
      </w:r>
    </w:p>
    <w:p w14:paraId="34CB17B8">
      <w:pPr>
        <w:spacing w:line="440" w:lineRule="exact"/>
        <w:ind w:firstLine="420" w:firstLineChars="200"/>
        <w:jc w:val="left"/>
        <w:rPr>
          <w:rFonts w:hint="eastAsia" w:ascii="宋体" w:hAnsi="宋体" w:cs="宋体"/>
          <w:bCs/>
          <w:color w:val="auto"/>
          <w:szCs w:val="21"/>
          <w:highlight w:val="none"/>
        </w:rPr>
      </w:pPr>
      <w:bookmarkStart w:id="49" w:name="_Toc16958"/>
      <w:bookmarkStart w:id="50" w:name="_Toc12227"/>
      <w:r>
        <w:rPr>
          <w:rFonts w:hint="eastAsia" w:ascii="宋体" w:hAnsi="宋体" w:cs="宋体"/>
          <w:bCs/>
          <w:color w:val="auto"/>
          <w:szCs w:val="21"/>
          <w:highlight w:val="none"/>
        </w:rPr>
        <w:t>29.4</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的澄清</w:t>
      </w:r>
      <w:bookmarkEnd w:id="49"/>
      <w:bookmarkEnd w:id="50"/>
    </w:p>
    <w:p w14:paraId="2D9DB0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29.4.1</w:t>
      </w:r>
      <w:r>
        <w:rPr>
          <w:rFonts w:hint="eastAsia" w:ascii="宋体" w:hAnsi="宋体" w:eastAsia="宋体" w:cs="宋体"/>
          <w:color w:val="auto"/>
          <w:szCs w:val="21"/>
          <w:highlight w:val="none"/>
          <w:lang w:val="en-US" w:eastAsia="zh-CN"/>
        </w:rPr>
        <w:t xml:space="preserve">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3AE48E20">
      <w:pPr>
        <w:spacing w:line="440" w:lineRule="exact"/>
        <w:ind w:firstLine="420" w:firstLineChars="200"/>
        <w:jc w:val="left"/>
        <w:rPr>
          <w:rFonts w:hint="eastAsia" w:ascii="宋体" w:hAnsi="宋体" w:cs="宋体"/>
          <w:bCs/>
          <w:color w:val="auto"/>
          <w:szCs w:val="21"/>
          <w:highlight w:val="none"/>
        </w:rPr>
      </w:pPr>
      <w:bookmarkStart w:id="51" w:name="_Toc22740"/>
      <w:bookmarkStart w:id="52" w:name="_Toc19713"/>
      <w:r>
        <w:rPr>
          <w:rFonts w:hint="eastAsia" w:ascii="宋体" w:hAnsi="宋体" w:cs="宋体"/>
          <w:bCs/>
          <w:color w:val="auto"/>
          <w:szCs w:val="21"/>
          <w:highlight w:val="none"/>
        </w:rPr>
        <w:t>29.4.2</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递交截止时间后，</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w:t>
      </w:r>
      <w:r>
        <w:rPr>
          <w:rFonts w:hint="eastAsia" w:ascii="宋体" w:hAnsi="宋体" w:cs="宋体"/>
          <w:bCs/>
          <w:color w:val="auto"/>
          <w:szCs w:val="21"/>
          <w:highlight w:val="none"/>
          <w:lang w:eastAsia="zh-CN"/>
        </w:rPr>
        <w:t>投标报价</w:t>
      </w:r>
      <w:r>
        <w:rPr>
          <w:rFonts w:hint="eastAsia" w:ascii="宋体" w:hAnsi="宋体" w:cs="宋体"/>
          <w:bCs/>
          <w:color w:val="auto"/>
          <w:szCs w:val="21"/>
          <w:highlight w:val="none"/>
        </w:rPr>
        <w:t>或其它实质性内容修正的函件和增加的任何优惠条件，一律不得作为评审、成交的依据。</w:t>
      </w:r>
    </w:p>
    <w:p w14:paraId="340520C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29.4.3</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不接受</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主动提出的澄清。</w:t>
      </w:r>
    </w:p>
    <w:p w14:paraId="10003C1A">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29.5报价合理性的判断</w:t>
      </w:r>
    </w:p>
    <w:p w14:paraId="5F4AC4D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认为</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的报价明显低于其他通过符合性审查</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的报价，有可能影响产品质量或者不能诚信履约的，应当要求其在</w:t>
      </w:r>
      <w:r>
        <w:rPr>
          <w:rFonts w:hint="eastAsia" w:ascii="宋体" w:hAnsi="宋体" w:cs="宋体"/>
          <w:bCs/>
          <w:color w:val="auto"/>
          <w:szCs w:val="21"/>
          <w:highlight w:val="none"/>
          <w:lang w:val="en-US" w:eastAsia="zh-CN"/>
        </w:rPr>
        <w:t>开标现场</w:t>
      </w:r>
      <w:r>
        <w:rPr>
          <w:rFonts w:hint="eastAsia" w:ascii="宋体" w:hAnsi="宋体" w:cs="宋体"/>
          <w:bCs/>
          <w:color w:val="auto"/>
          <w:szCs w:val="21"/>
          <w:highlight w:val="none"/>
        </w:rPr>
        <w:t>合理的时间内提供说明，必要时提交相关证明材料；</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不能证明其报价合理性的，</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应当将其作为无效响应处理。</w:t>
      </w:r>
    </w:p>
    <w:p w14:paraId="069B97C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29.6评审意见分歧的处理办法</w:t>
      </w:r>
    </w:p>
    <w:p w14:paraId="7A68A87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应当对</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提供的报告、证明材料及详细说明认真研究。对存在意见分歧的，可采用投票方式表决决定（按多数评委意见为准）；</w:t>
      </w:r>
    </w:p>
    <w:p w14:paraId="70852197">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（2）采购和</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当事人对评审结果提出质疑或者投诉，</w:t>
      </w:r>
      <w:r>
        <w:rPr>
          <w:rFonts w:hint="eastAsia" w:ascii="宋体" w:hAnsi="宋体" w:cs="宋体"/>
          <w:bCs/>
          <w:color w:val="auto"/>
          <w:szCs w:val="21"/>
          <w:highlight w:val="none"/>
          <w:lang w:val="en-US" w:eastAsia="zh-CN"/>
        </w:rPr>
        <w:t>招标人</w:t>
      </w:r>
      <w:r>
        <w:rPr>
          <w:rFonts w:hint="eastAsia" w:ascii="宋体" w:hAnsi="宋体" w:cs="宋体"/>
          <w:bCs/>
          <w:color w:val="auto"/>
          <w:szCs w:val="21"/>
          <w:highlight w:val="none"/>
        </w:rPr>
        <w:t>认为需要重新进行评审的，</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成员应当按照</w:t>
      </w:r>
      <w:r>
        <w:rPr>
          <w:rFonts w:hint="eastAsia" w:ascii="宋体" w:hAnsi="宋体" w:cs="宋体"/>
          <w:bCs/>
          <w:color w:val="auto"/>
          <w:szCs w:val="21"/>
          <w:highlight w:val="none"/>
          <w:lang w:val="en-US" w:eastAsia="zh-CN"/>
        </w:rPr>
        <w:t>招标人</w:t>
      </w:r>
      <w:r>
        <w:rPr>
          <w:rFonts w:hint="eastAsia" w:ascii="宋体" w:hAnsi="宋体" w:cs="宋体"/>
          <w:bCs/>
          <w:color w:val="auto"/>
          <w:szCs w:val="21"/>
          <w:highlight w:val="none"/>
        </w:rPr>
        <w:t>要求重新评审。</w:t>
      </w:r>
    </w:p>
    <w:p w14:paraId="7889EBD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29.7评审报告的签署</w:t>
      </w:r>
    </w:p>
    <w:bookmarkEnd w:id="51"/>
    <w:bookmarkEnd w:id="52"/>
    <w:p w14:paraId="3839901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29.7.1</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应当编制书面评审报告,所有成员应签字确认。对评审结论持有异议的</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成员可以书面方式阐述其不同意见和理由。</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成员拒绝在评审报告上签字且不陈述其不同意见和理由的，视为同意评审结论。</w:t>
      </w:r>
    </w:p>
    <w:p w14:paraId="338905CA">
      <w:pPr>
        <w:spacing w:line="440" w:lineRule="exact"/>
        <w:ind w:firstLine="420" w:firstLineChars="200"/>
        <w:jc w:val="left"/>
        <w:rPr>
          <w:rFonts w:hint="eastAsia" w:ascii="宋体" w:hAnsi="宋体" w:cs="宋体"/>
          <w:bCs/>
          <w:color w:val="auto"/>
          <w:szCs w:val="21"/>
          <w:highlight w:val="none"/>
        </w:rPr>
      </w:pPr>
      <w:bookmarkStart w:id="53" w:name="_Toc28755"/>
      <w:bookmarkStart w:id="54" w:name="_Toc20226"/>
      <w:r>
        <w:rPr>
          <w:rFonts w:hint="eastAsia" w:ascii="宋体" w:hAnsi="宋体" w:cs="宋体"/>
          <w:bCs/>
          <w:color w:val="auto"/>
          <w:szCs w:val="21"/>
          <w:highlight w:val="none"/>
        </w:rPr>
        <w:t>29.8评审过程的保密</w:t>
      </w:r>
    </w:p>
    <w:p w14:paraId="2032F47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成员和与评审活动有关的工作人员不得透露对</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的评审和比较、</w:t>
      </w:r>
      <w:r>
        <w:rPr>
          <w:rFonts w:hint="eastAsia" w:ascii="宋体" w:hAnsi="宋体" w:cs="宋体"/>
          <w:bCs/>
          <w:color w:val="auto"/>
          <w:szCs w:val="21"/>
          <w:highlight w:val="none"/>
          <w:lang w:eastAsia="zh-CN"/>
        </w:rPr>
        <w:t>中标候选人</w:t>
      </w:r>
      <w:r>
        <w:rPr>
          <w:rFonts w:hint="eastAsia" w:ascii="宋体" w:hAnsi="宋体" w:cs="宋体"/>
          <w:bCs/>
          <w:color w:val="auto"/>
          <w:szCs w:val="21"/>
          <w:highlight w:val="none"/>
        </w:rPr>
        <w:t>的推荐情况以及与评审有关的其他情况。</w:t>
      </w:r>
    </w:p>
    <w:bookmarkEnd w:id="53"/>
    <w:bookmarkEnd w:id="54"/>
    <w:p w14:paraId="5E72C961">
      <w:pPr>
        <w:spacing w:line="440" w:lineRule="exact"/>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 xml:space="preserve">30. </w:t>
      </w:r>
      <w:r>
        <w:rPr>
          <w:rFonts w:hint="eastAsia" w:ascii="宋体" w:hAnsi="宋体" w:cs="宋体"/>
          <w:bCs/>
          <w:color w:val="auto"/>
          <w:szCs w:val="21"/>
          <w:highlight w:val="none"/>
          <w:lang w:val="en-US" w:eastAsia="zh-CN"/>
        </w:rPr>
        <w:t>定标</w:t>
      </w:r>
    </w:p>
    <w:p w14:paraId="52E97F7F">
      <w:pPr>
        <w:spacing w:line="440" w:lineRule="exact"/>
        <w:ind w:firstLine="420" w:firstLineChars="200"/>
        <w:jc w:val="left"/>
        <w:rPr>
          <w:rFonts w:hint="eastAsia" w:ascii="宋体" w:hAnsi="宋体" w:cs="宋体"/>
          <w:bCs/>
          <w:color w:val="auto"/>
          <w:szCs w:val="21"/>
          <w:highlight w:val="none"/>
        </w:rPr>
      </w:pPr>
      <w:bookmarkStart w:id="55" w:name="_Toc5877"/>
      <w:bookmarkStart w:id="56" w:name="_Toc16765"/>
      <w:r>
        <w:rPr>
          <w:rFonts w:hint="eastAsia" w:ascii="宋体" w:hAnsi="宋体" w:cs="宋体"/>
          <w:bCs/>
          <w:color w:val="auto"/>
          <w:szCs w:val="21"/>
          <w:highlight w:val="none"/>
        </w:rPr>
        <w:t xml:space="preserve">30.1 </w:t>
      </w:r>
      <w:r>
        <w:rPr>
          <w:rFonts w:hint="eastAsia" w:ascii="宋体" w:hAnsi="宋体" w:cs="宋体"/>
          <w:bCs/>
          <w:color w:val="auto"/>
          <w:szCs w:val="21"/>
          <w:highlight w:val="none"/>
          <w:lang w:val="en-US" w:eastAsia="zh-CN"/>
        </w:rPr>
        <w:t>中标</w:t>
      </w:r>
      <w:r>
        <w:rPr>
          <w:rFonts w:hint="eastAsia" w:ascii="宋体" w:hAnsi="宋体" w:cs="宋体"/>
          <w:bCs/>
          <w:color w:val="auto"/>
          <w:szCs w:val="21"/>
          <w:highlight w:val="none"/>
        </w:rPr>
        <w:t>人的确定</w:t>
      </w:r>
      <w:bookmarkEnd w:id="55"/>
      <w:bookmarkEnd w:id="56"/>
    </w:p>
    <w:p w14:paraId="6C172BFA">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30.1.1除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须知前附表规定</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直接确定</w:t>
      </w:r>
      <w:r>
        <w:rPr>
          <w:rFonts w:hint="eastAsia" w:ascii="宋体" w:hAnsi="宋体" w:cs="宋体"/>
          <w:bCs/>
          <w:color w:val="auto"/>
          <w:szCs w:val="21"/>
          <w:highlight w:val="none"/>
          <w:lang w:val="en-US" w:eastAsia="zh-CN"/>
        </w:rPr>
        <w:t>中标</w:t>
      </w:r>
      <w:r>
        <w:rPr>
          <w:rFonts w:hint="eastAsia" w:ascii="宋体" w:hAnsi="宋体" w:cs="宋体"/>
          <w:bCs/>
          <w:color w:val="auto"/>
          <w:szCs w:val="21"/>
          <w:highlight w:val="none"/>
        </w:rPr>
        <w:t>人外，</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依据</w:t>
      </w:r>
      <w:r>
        <w:rPr>
          <w:rFonts w:hint="eastAsia" w:ascii="宋体" w:hAnsi="宋体" w:cs="宋体"/>
          <w:bCs/>
          <w:color w:val="auto"/>
          <w:szCs w:val="21"/>
          <w:highlight w:val="none"/>
          <w:lang w:val="en-US" w:eastAsia="zh-CN"/>
        </w:rPr>
        <w:t>评审小组</w:t>
      </w:r>
      <w:r>
        <w:rPr>
          <w:rFonts w:hint="eastAsia" w:ascii="宋体" w:hAnsi="宋体" w:cs="宋体"/>
          <w:bCs/>
          <w:color w:val="auto"/>
          <w:szCs w:val="21"/>
          <w:highlight w:val="none"/>
        </w:rPr>
        <w:t>推荐的</w:t>
      </w:r>
      <w:r>
        <w:rPr>
          <w:rFonts w:hint="eastAsia" w:ascii="宋体" w:hAnsi="宋体" w:cs="宋体"/>
          <w:bCs/>
          <w:color w:val="auto"/>
          <w:szCs w:val="21"/>
          <w:highlight w:val="none"/>
          <w:lang w:eastAsia="zh-CN"/>
        </w:rPr>
        <w:t>中标候选人</w:t>
      </w:r>
      <w:r>
        <w:rPr>
          <w:rFonts w:hint="eastAsia" w:ascii="宋体" w:hAnsi="宋体" w:cs="宋体"/>
          <w:bCs/>
          <w:color w:val="auto"/>
          <w:szCs w:val="21"/>
          <w:highlight w:val="none"/>
        </w:rPr>
        <w:t>确定</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推荐</w:t>
      </w:r>
      <w:r>
        <w:rPr>
          <w:rFonts w:hint="eastAsia" w:ascii="宋体" w:hAnsi="宋体" w:cs="宋体"/>
          <w:bCs/>
          <w:color w:val="auto"/>
          <w:szCs w:val="21"/>
          <w:highlight w:val="none"/>
          <w:lang w:eastAsia="zh-CN"/>
        </w:rPr>
        <w:t>中标候选人</w:t>
      </w:r>
      <w:r>
        <w:rPr>
          <w:rFonts w:hint="eastAsia" w:ascii="宋体" w:hAnsi="宋体" w:cs="宋体"/>
          <w:bCs/>
          <w:color w:val="auto"/>
          <w:szCs w:val="21"/>
          <w:highlight w:val="none"/>
        </w:rPr>
        <w:t>的人数见</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须知前附表。</w:t>
      </w:r>
    </w:p>
    <w:p w14:paraId="4C812CF9">
      <w:pPr>
        <w:spacing w:line="440" w:lineRule="exact"/>
        <w:ind w:firstLine="420" w:firstLineChars="200"/>
        <w:jc w:val="left"/>
        <w:rPr>
          <w:rFonts w:hint="eastAsia" w:ascii="宋体" w:hAnsi="宋体" w:eastAsia="宋体" w:cs="宋体"/>
          <w:bCs/>
          <w:color w:val="auto"/>
          <w:szCs w:val="21"/>
          <w:highlight w:val="none"/>
          <w:lang w:eastAsia="zh-CN"/>
        </w:rPr>
      </w:pPr>
      <w:bookmarkStart w:id="57" w:name="_Toc11141"/>
      <w:bookmarkStart w:id="58" w:name="_Toc6029"/>
      <w:r>
        <w:rPr>
          <w:rFonts w:hint="eastAsia" w:ascii="宋体" w:hAnsi="宋体" w:cs="宋体"/>
          <w:bCs/>
          <w:color w:val="auto"/>
          <w:szCs w:val="21"/>
          <w:highlight w:val="none"/>
        </w:rPr>
        <w:t xml:space="preserve">30.2 </w:t>
      </w:r>
      <w:bookmarkEnd w:id="57"/>
      <w:bookmarkEnd w:id="58"/>
      <w:r>
        <w:rPr>
          <w:rFonts w:hint="eastAsia" w:ascii="宋体" w:hAnsi="宋体" w:cs="宋体"/>
          <w:bCs/>
          <w:color w:val="auto"/>
          <w:szCs w:val="21"/>
          <w:highlight w:val="none"/>
          <w:lang w:eastAsia="zh-CN"/>
        </w:rPr>
        <w:t>中标通知书</w:t>
      </w:r>
    </w:p>
    <w:p w14:paraId="70676B0F">
      <w:pPr>
        <w:pStyle w:val="10"/>
        <w:widowControl w:val="0"/>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30.2.1</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或代理机构应在</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确定之日起2个工作日内发出</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w:t>
      </w:r>
    </w:p>
    <w:p w14:paraId="26F9146B">
      <w:pPr>
        <w:widowControl w:val="0"/>
        <w:snapToGrid w:val="0"/>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30.2.2</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须加盖</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、代理公司公章后，方可发出。</w:t>
      </w:r>
    </w:p>
    <w:p w14:paraId="7B142F05">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31. </w:t>
      </w:r>
      <w:bookmarkStart w:id="59" w:name="_Toc449028872"/>
      <w:r>
        <w:rPr>
          <w:rFonts w:hint="eastAsia" w:ascii="宋体" w:hAnsi="宋体" w:cs="宋体"/>
          <w:bCs/>
          <w:color w:val="auto"/>
          <w:szCs w:val="21"/>
          <w:highlight w:val="none"/>
        </w:rPr>
        <w:t>开</w:t>
      </w:r>
      <w:r>
        <w:rPr>
          <w:rFonts w:hint="eastAsia" w:ascii="宋体" w:hAnsi="宋体" w:cs="宋体"/>
          <w:bCs/>
          <w:color w:val="auto"/>
          <w:szCs w:val="21"/>
          <w:highlight w:val="none"/>
          <w:lang w:val="en-US" w:eastAsia="zh-CN"/>
        </w:rPr>
        <w:t>标</w:t>
      </w:r>
      <w:r>
        <w:rPr>
          <w:rFonts w:hint="eastAsia" w:ascii="宋体" w:hAnsi="宋体" w:cs="宋体"/>
          <w:bCs/>
          <w:color w:val="auto"/>
          <w:szCs w:val="21"/>
          <w:highlight w:val="none"/>
        </w:rPr>
        <w:t>、评审异常情况处理</w:t>
      </w:r>
    </w:p>
    <w:p w14:paraId="573F6A50">
      <w:pPr>
        <w:adjustRightInd w:val="0"/>
        <w:snapToGrid w:val="0"/>
        <w:spacing w:line="460" w:lineRule="exact"/>
        <w:ind w:firstLine="420" w:firstLineChars="200"/>
        <w:rPr>
          <w:rFonts w:hint="eastAsia" w:ascii="宋体" w:eastAsia="宋体"/>
          <w:color w:val="auto"/>
          <w:kern w:val="10"/>
          <w:szCs w:val="21"/>
          <w:highlight w:val="none"/>
          <w:lang w:val="en-US" w:eastAsia="zh-CN"/>
        </w:rPr>
      </w:pPr>
      <w:r>
        <w:rPr>
          <w:rFonts w:hint="eastAsia" w:ascii="宋体"/>
          <w:color w:val="auto"/>
          <w:kern w:val="10"/>
          <w:szCs w:val="21"/>
          <w:highlight w:val="none"/>
        </w:rPr>
        <w:t>31.1重新</w:t>
      </w:r>
      <w:r>
        <w:rPr>
          <w:rFonts w:hint="eastAsia" w:ascii="宋体"/>
          <w:color w:val="auto"/>
          <w:kern w:val="10"/>
          <w:szCs w:val="21"/>
          <w:highlight w:val="none"/>
          <w:lang w:val="en-US" w:eastAsia="zh-CN"/>
        </w:rPr>
        <w:t>开标</w:t>
      </w:r>
    </w:p>
    <w:p w14:paraId="739A888B">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将重新</w:t>
      </w:r>
      <w:r>
        <w:rPr>
          <w:rFonts w:hint="eastAsia" w:ascii="宋体" w:hAnsi="宋体" w:cs="宋体"/>
          <w:color w:val="auto"/>
          <w:kern w:val="10"/>
          <w:szCs w:val="21"/>
          <w:highlight w:val="none"/>
          <w:lang w:val="en-US" w:eastAsia="zh-CN"/>
        </w:rPr>
        <w:t>招标</w:t>
      </w:r>
      <w:r>
        <w:rPr>
          <w:rFonts w:hint="eastAsia" w:ascii="宋体" w:hAnsi="宋体" w:cs="宋体"/>
          <w:color w:val="auto"/>
          <w:kern w:val="10"/>
          <w:szCs w:val="21"/>
          <w:highlight w:val="none"/>
        </w:rPr>
        <w:t>：</w:t>
      </w:r>
    </w:p>
    <w:p w14:paraId="1620AF85">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(1)</w:t>
      </w:r>
      <w:r>
        <w:rPr>
          <w:rFonts w:hint="eastAsia" w:ascii="宋体"/>
          <w:color w:val="auto"/>
          <w:kern w:val="10"/>
          <w:szCs w:val="21"/>
          <w:highlight w:val="none"/>
          <w:lang w:eastAsia="zh-CN"/>
        </w:rPr>
        <w:t>投标文件</w:t>
      </w:r>
      <w:r>
        <w:rPr>
          <w:rFonts w:hint="eastAsia" w:ascii="宋体"/>
          <w:color w:val="auto"/>
          <w:kern w:val="10"/>
          <w:szCs w:val="21"/>
          <w:highlight w:val="none"/>
        </w:rPr>
        <w:t>递交截止时间止，</w:t>
      </w:r>
      <w:r>
        <w:rPr>
          <w:rFonts w:hint="eastAsia" w:ascii="宋体"/>
          <w:color w:val="auto"/>
          <w:kern w:val="10"/>
          <w:szCs w:val="21"/>
          <w:highlight w:val="none"/>
          <w:lang w:eastAsia="zh-CN"/>
        </w:rPr>
        <w:t>投标人</w:t>
      </w:r>
      <w:r>
        <w:rPr>
          <w:rFonts w:hint="eastAsia" w:ascii="宋体"/>
          <w:color w:val="auto"/>
          <w:kern w:val="10"/>
          <w:szCs w:val="21"/>
          <w:highlight w:val="none"/>
        </w:rPr>
        <w:t xml:space="preserve">少于三个的； </w:t>
      </w:r>
    </w:p>
    <w:p w14:paraId="0A837E25">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w:t>
      </w:r>
      <w:r>
        <w:rPr>
          <w:rFonts w:ascii="Helvetica" w:hAnsi="Helvetica" w:eastAsia="Helvetica" w:cs="Helvetica"/>
          <w:color w:val="auto"/>
          <w:szCs w:val="21"/>
          <w:highlight w:val="none"/>
          <w:shd w:val="clear" w:color="auto" w:fill="FFFFFF"/>
        </w:rPr>
        <w:t>符合专业条件的</w:t>
      </w:r>
      <w:r>
        <w:rPr>
          <w:rFonts w:hint="eastAsia" w:ascii="Helvetica" w:hAnsi="Helvetica" w:eastAsia="宋体" w:cs="Helvetica"/>
          <w:color w:val="auto"/>
          <w:szCs w:val="21"/>
          <w:highlight w:val="none"/>
          <w:shd w:val="clear" w:color="auto" w:fill="FFFFFF"/>
          <w:lang w:eastAsia="zh-CN"/>
        </w:rPr>
        <w:t>投标人</w:t>
      </w:r>
      <w:r>
        <w:rPr>
          <w:rFonts w:ascii="Helvetica" w:hAnsi="Helvetica" w:eastAsia="Helvetica" w:cs="Helvetica"/>
          <w:color w:val="auto"/>
          <w:szCs w:val="21"/>
          <w:highlight w:val="none"/>
          <w:shd w:val="clear" w:color="auto" w:fill="FFFFFF"/>
        </w:rPr>
        <w:t>或者对</w:t>
      </w:r>
      <w:r>
        <w:rPr>
          <w:rFonts w:hint="eastAsia" w:ascii="Helvetica" w:hAnsi="Helvetica" w:eastAsia="宋体" w:cs="Helvetica"/>
          <w:color w:val="auto"/>
          <w:szCs w:val="21"/>
          <w:highlight w:val="none"/>
          <w:shd w:val="clear" w:color="auto" w:fill="FFFFFF"/>
          <w:lang w:eastAsia="zh-CN"/>
        </w:rPr>
        <w:t>招标文件</w:t>
      </w:r>
      <w:r>
        <w:rPr>
          <w:rFonts w:ascii="Helvetica" w:hAnsi="Helvetica" w:eastAsia="Helvetica" w:cs="Helvetica"/>
          <w:color w:val="auto"/>
          <w:szCs w:val="21"/>
          <w:highlight w:val="none"/>
          <w:shd w:val="clear" w:color="auto" w:fill="FFFFFF"/>
        </w:rPr>
        <w:t>作实质响应的</w:t>
      </w:r>
      <w:r>
        <w:rPr>
          <w:rFonts w:hint="eastAsia" w:ascii="Helvetica" w:hAnsi="Helvetica" w:eastAsia="宋体" w:cs="Helvetica"/>
          <w:color w:val="auto"/>
          <w:szCs w:val="21"/>
          <w:highlight w:val="none"/>
          <w:shd w:val="clear" w:color="auto" w:fill="FFFFFF"/>
          <w:lang w:eastAsia="zh-CN"/>
        </w:rPr>
        <w:t>投标人</w:t>
      </w:r>
      <w:r>
        <w:rPr>
          <w:rFonts w:ascii="Helvetica" w:hAnsi="Helvetica" w:eastAsia="Helvetica" w:cs="Helvetica"/>
          <w:color w:val="auto"/>
          <w:szCs w:val="21"/>
          <w:highlight w:val="none"/>
          <w:shd w:val="clear" w:color="auto" w:fill="FFFFFF"/>
        </w:rPr>
        <w:t>不足三家的</w:t>
      </w:r>
      <w:r>
        <w:rPr>
          <w:rFonts w:hint="eastAsia" w:ascii="宋体"/>
          <w:color w:val="auto"/>
          <w:kern w:val="10"/>
          <w:szCs w:val="21"/>
          <w:highlight w:val="none"/>
        </w:rPr>
        <w:t>；</w:t>
      </w:r>
    </w:p>
    <w:p w14:paraId="3A0BD71B">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(3)出现影响采购公正的违法、违规行为的；</w:t>
      </w:r>
    </w:p>
    <w:p w14:paraId="33F8C6AD">
      <w:pPr>
        <w:adjustRightInd w:val="0"/>
        <w:snapToGrid w:val="0"/>
        <w:spacing w:line="460" w:lineRule="exact"/>
        <w:ind w:firstLine="420" w:firstLineChars="200"/>
        <w:rPr>
          <w:rFonts w:hint="eastAsia"/>
          <w:color w:val="auto"/>
          <w:highlight w:val="none"/>
        </w:rPr>
      </w:pPr>
      <w:r>
        <w:rPr>
          <w:rFonts w:hint="eastAsia" w:ascii="宋体"/>
          <w:color w:val="auto"/>
          <w:kern w:val="10"/>
          <w:szCs w:val="21"/>
          <w:highlight w:val="none"/>
        </w:rPr>
        <w:t>(4)</w:t>
      </w:r>
      <w:r>
        <w:rPr>
          <w:rFonts w:hint="eastAsia" w:ascii="宋体"/>
          <w:color w:val="auto"/>
          <w:kern w:val="10"/>
          <w:szCs w:val="21"/>
          <w:highlight w:val="none"/>
          <w:lang w:eastAsia="zh-CN"/>
        </w:rPr>
        <w:t>投标人</w:t>
      </w:r>
      <w:r>
        <w:rPr>
          <w:rFonts w:hint="eastAsia" w:ascii="宋体"/>
          <w:color w:val="auto"/>
          <w:kern w:val="10"/>
          <w:szCs w:val="21"/>
          <w:highlight w:val="none"/>
        </w:rPr>
        <w:t>的报价均脱离实际且无充分证据的；</w:t>
      </w:r>
    </w:p>
    <w:p w14:paraId="654C6FB3">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(5)因重大变故，采购任务取消的</w:t>
      </w:r>
      <w:r>
        <w:rPr>
          <w:rFonts w:hint="eastAsia" w:hAnsi="宋体"/>
          <w:bCs/>
          <w:color w:val="auto"/>
          <w:szCs w:val="21"/>
          <w:highlight w:val="none"/>
        </w:rPr>
        <w:t>。</w:t>
      </w:r>
    </w:p>
    <w:bookmarkEnd w:id="59"/>
    <w:p w14:paraId="03617619">
      <w:pPr>
        <w:spacing w:before="156" w:beforeLines="50" w:after="156" w:afterLines="50" w:line="440" w:lineRule="exact"/>
        <w:jc w:val="center"/>
        <w:outlineLvl w:val="1"/>
        <w:rPr>
          <w:rFonts w:hint="eastAsia" w:ascii="宋体" w:hAnsi="宋体" w:cs="宋体"/>
          <w:b/>
          <w:color w:val="auto"/>
          <w:sz w:val="24"/>
          <w:szCs w:val="24"/>
          <w:highlight w:val="none"/>
        </w:rPr>
      </w:pPr>
      <w:bookmarkStart w:id="60" w:name="_Toc8926"/>
      <w:bookmarkStart w:id="61" w:name="_Toc16690"/>
      <w:bookmarkStart w:id="62" w:name="_Toc26122"/>
      <w:bookmarkStart w:id="63" w:name="_Toc15011"/>
      <w:bookmarkStart w:id="64" w:name="_Toc19419"/>
      <w:r>
        <w:rPr>
          <w:rFonts w:hint="eastAsia" w:ascii="宋体" w:hAnsi="宋体" w:cs="宋体"/>
          <w:b/>
          <w:color w:val="auto"/>
          <w:sz w:val="24"/>
          <w:szCs w:val="24"/>
          <w:highlight w:val="none"/>
        </w:rPr>
        <w:t>（六）合同的授予</w:t>
      </w:r>
      <w:bookmarkEnd w:id="60"/>
      <w:bookmarkEnd w:id="61"/>
      <w:bookmarkEnd w:id="62"/>
      <w:bookmarkEnd w:id="63"/>
      <w:bookmarkEnd w:id="64"/>
    </w:p>
    <w:p w14:paraId="7FADC7B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32.合同授予标准</w:t>
      </w:r>
    </w:p>
    <w:p w14:paraId="3147917E">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32.1本采购项目的合同将授予按本</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须知第30条规定所确定的</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w:t>
      </w:r>
    </w:p>
    <w:p w14:paraId="6CAB175E">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33.合同协议书的签订</w:t>
      </w:r>
    </w:p>
    <w:p w14:paraId="6F2C564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33.1</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与成交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将于</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发出之日起7个工作日内，按照</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和成交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订立书面采购合同。</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和成交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不得再行订立背离合同实质性内容的其他协议。</w:t>
      </w:r>
    </w:p>
    <w:p w14:paraId="3BCB5E8E">
      <w:pPr>
        <w:spacing w:line="440" w:lineRule="exact"/>
        <w:ind w:firstLine="525" w:firstLineChars="250"/>
        <w:jc w:val="left"/>
        <w:rPr>
          <w:rFonts w:hint="eastAsia" w:ascii="宋体"/>
          <w:color w:val="auto"/>
          <w:szCs w:val="21"/>
          <w:highlight w:val="none"/>
        </w:rPr>
      </w:pPr>
      <w:r>
        <w:rPr>
          <w:rFonts w:hint="eastAsia" w:ascii="宋体" w:hAnsi="宋体" w:cs="宋体"/>
          <w:bCs/>
          <w:color w:val="auto"/>
          <w:szCs w:val="21"/>
          <w:highlight w:val="none"/>
        </w:rPr>
        <w:t>33.2</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如不按</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须知第</w:t>
      </w:r>
      <w:r>
        <w:rPr>
          <w:rFonts w:hint="eastAsia" w:ascii="宋体" w:hAnsi="宋体" w:cs="宋体"/>
          <w:bCs/>
          <w:color w:val="auto"/>
          <w:szCs w:val="21"/>
          <w:highlight w:val="none"/>
          <w:lang w:val="en-US" w:eastAsia="zh-CN"/>
        </w:rPr>
        <w:t>33</w:t>
      </w:r>
      <w:r>
        <w:rPr>
          <w:rFonts w:hint="eastAsia" w:ascii="宋体" w:hAnsi="宋体" w:cs="宋体"/>
          <w:bCs/>
          <w:color w:val="auto"/>
          <w:szCs w:val="21"/>
          <w:highlight w:val="none"/>
        </w:rPr>
        <w:t>条的规定与成交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订立合同，或者</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要求成交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订立背离合同实质性内容的协议，</w:t>
      </w:r>
      <w:r>
        <w:rPr>
          <w:rFonts w:ascii="Helvetica" w:hAnsi="Helvetica" w:eastAsia="Helvetica" w:cs="Helvetica"/>
          <w:color w:val="auto"/>
          <w:szCs w:val="21"/>
          <w:highlight w:val="none"/>
          <w:shd w:val="clear" w:color="auto" w:fill="FFFFFF"/>
        </w:rPr>
        <w:t>给他人造成损失的，依法承担民事责任</w:t>
      </w:r>
      <w:r>
        <w:rPr>
          <w:rFonts w:hint="eastAsia" w:ascii="宋体"/>
          <w:color w:val="auto"/>
          <w:szCs w:val="21"/>
          <w:highlight w:val="none"/>
        </w:rPr>
        <w:t>，同时依法承担相应法律责任。</w:t>
      </w:r>
    </w:p>
    <w:p w14:paraId="1F59ECB1">
      <w:pPr>
        <w:spacing w:line="440" w:lineRule="exact"/>
        <w:ind w:firstLine="525" w:firstLineChars="250"/>
        <w:jc w:val="left"/>
        <w:rPr>
          <w:rFonts w:hint="eastAsia" w:ascii="宋体"/>
          <w:color w:val="auto"/>
          <w:szCs w:val="21"/>
          <w:highlight w:val="none"/>
        </w:rPr>
      </w:pPr>
      <w:r>
        <w:rPr>
          <w:rFonts w:hint="eastAsia" w:ascii="宋体" w:hAnsi="宋体" w:cs="宋体"/>
          <w:bCs/>
          <w:color w:val="auto"/>
          <w:szCs w:val="21"/>
          <w:highlight w:val="none"/>
        </w:rPr>
        <w:t>33.3成交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如不按</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须知第</w:t>
      </w:r>
      <w:r>
        <w:rPr>
          <w:rFonts w:hint="eastAsia" w:ascii="宋体" w:hAnsi="宋体" w:cs="宋体"/>
          <w:bCs/>
          <w:color w:val="auto"/>
          <w:szCs w:val="21"/>
          <w:highlight w:val="none"/>
          <w:lang w:val="en-US" w:eastAsia="zh-CN"/>
        </w:rPr>
        <w:t>33</w:t>
      </w:r>
      <w:r>
        <w:rPr>
          <w:rFonts w:hint="eastAsia" w:ascii="宋体" w:hAnsi="宋体" w:cs="宋体"/>
          <w:bCs/>
          <w:color w:val="auto"/>
          <w:szCs w:val="21"/>
          <w:highlight w:val="none"/>
        </w:rPr>
        <w:t>条的规定与</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订立合同，</w:t>
      </w:r>
      <w:r>
        <w:rPr>
          <w:rFonts w:hint="eastAsia" w:ascii="宋体"/>
          <w:color w:val="auto"/>
          <w:szCs w:val="21"/>
          <w:highlight w:val="none"/>
        </w:rPr>
        <w:t>则</w:t>
      </w:r>
      <w:r>
        <w:rPr>
          <w:rFonts w:hint="eastAsia" w:ascii="宋体"/>
          <w:color w:val="auto"/>
          <w:szCs w:val="21"/>
          <w:highlight w:val="none"/>
          <w:lang w:eastAsia="zh-CN"/>
        </w:rPr>
        <w:t>招标人</w:t>
      </w:r>
      <w:r>
        <w:rPr>
          <w:rFonts w:hint="eastAsia" w:ascii="宋体"/>
          <w:color w:val="auto"/>
          <w:szCs w:val="21"/>
          <w:highlight w:val="none"/>
        </w:rPr>
        <w:t>将废除授标，</w:t>
      </w:r>
      <w:r>
        <w:rPr>
          <w:rFonts w:ascii="Helvetica" w:hAnsi="Helvetica" w:eastAsia="Helvetica" w:cs="Helvetica"/>
          <w:color w:val="auto"/>
          <w:szCs w:val="21"/>
          <w:highlight w:val="none"/>
          <w:shd w:val="clear" w:color="auto" w:fill="FFFFFF"/>
        </w:rPr>
        <w:t>给</w:t>
      </w:r>
      <w:r>
        <w:rPr>
          <w:rFonts w:hint="eastAsia" w:ascii="Helvetica" w:hAnsi="Helvetica" w:eastAsia="宋体" w:cs="Helvetica"/>
          <w:color w:val="auto"/>
          <w:szCs w:val="21"/>
          <w:highlight w:val="none"/>
          <w:shd w:val="clear" w:color="auto" w:fill="FFFFFF"/>
          <w:lang w:eastAsia="zh-CN"/>
        </w:rPr>
        <w:t>招标人</w:t>
      </w:r>
      <w:r>
        <w:rPr>
          <w:rFonts w:ascii="Helvetica" w:hAnsi="Helvetica" w:eastAsia="Helvetica" w:cs="Helvetica"/>
          <w:color w:val="auto"/>
          <w:szCs w:val="21"/>
          <w:highlight w:val="none"/>
          <w:shd w:val="clear" w:color="auto" w:fill="FFFFFF"/>
        </w:rPr>
        <w:t>造成损失的，依法承担民事责任</w:t>
      </w:r>
      <w:r>
        <w:rPr>
          <w:rFonts w:hint="eastAsia" w:ascii="宋体"/>
          <w:color w:val="auto"/>
          <w:szCs w:val="21"/>
          <w:highlight w:val="none"/>
        </w:rPr>
        <w:t>，同时依法承担相应法律责任。</w:t>
      </w:r>
    </w:p>
    <w:p w14:paraId="5C5BA63A">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33.4成交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应当按照合同约定履行义务，完成成交项目，不得将成交项目转让（转包）给他人。</w:t>
      </w:r>
    </w:p>
    <w:p w14:paraId="26A4B174">
      <w:pPr>
        <w:spacing w:line="440" w:lineRule="exact"/>
        <w:ind w:firstLine="420" w:firstLineChars="200"/>
        <w:rPr>
          <w:rFonts w:hint="eastAsia" w:ascii="宋体" w:hAnsi="宋体"/>
          <w:b/>
          <w:color w:val="auto"/>
          <w:szCs w:val="21"/>
          <w:highlight w:val="none"/>
        </w:rPr>
      </w:pPr>
      <w:bookmarkStart w:id="65" w:name="_Toc217446068"/>
      <w:r>
        <w:rPr>
          <w:rFonts w:hint="eastAsia" w:ascii="宋体" w:hAnsi="宋体" w:cs="宋体"/>
          <w:bCs/>
          <w:color w:val="auto"/>
          <w:szCs w:val="21"/>
          <w:highlight w:val="none"/>
        </w:rPr>
        <w:t>34.</w:t>
      </w:r>
      <w:bookmarkEnd w:id="65"/>
      <w:r>
        <w:rPr>
          <w:rFonts w:hint="eastAsia" w:ascii="宋体" w:hAnsi="宋体"/>
          <w:b/>
          <w:color w:val="auto"/>
          <w:szCs w:val="21"/>
          <w:highlight w:val="none"/>
        </w:rPr>
        <w:t>履约保证金</w:t>
      </w:r>
    </w:p>
    <w:p w14:paraId="10CD41CC">
      <w:pPr>
        <w:spacing w:line="440" w:lineRule="exact"/>
        <w:ind w:firstLine="420" w:firstLineChars="200"/>
        <w:rPr>
          <w:rFonts w:hint="eastAsia" w:ascii="宋体"/>
          <w:color w:val="auto"/>
          <w:szCs w:val="21"/>
          <w:highlight w:val="none"/>
        </w:rPr>
      </w:pPr>
      <w:r>
        <w:rPr>
          <w:rFonts w:hint="eastAsia" w:ascii="宋体"/>
          <w:color w:val="auto"/>
          <w:szCs w:val="21"/>
          <w:highlight w:val="none"/>
        </w:rPr>
        <w:t>34.1在签订合同前，</w:t>
      </w:r>
      <w:r>
        <w:rPr>
          <w:rFonts w:hint="eastAsia" w:ascii="宋体"/>
          <w:color w:val="auto"/>
          <w:szCs w:val="21"/>
          <w:highlight w:val="none"/>
          <w:lang w:eastAsia="zh-CN"/>
        </w:rPr>
        <w:t>中标人</w:t>
      </w:r>
      <w:r>
        <w:rPr>
          <w:rFonts w:hint="eastAsia" w:ascii="宋体"/>
          <w:color w:val="auto"/>
          <w:szCs w:val="21"/>
          <w:highlight w:val="none"/>
        </w:rPr>
        <w:t>应按</w:t>
      </w:r>
      <w:r>
        <w:rPr>
          <w:rFonts w:hint="eastAsia" w:ascii="宋体"/>
          <w:color w:val="auto"/>
          <w:szCs w:val="21"/>
          <w:highlight w:val="none"/>
          <w:lang w:eastAsia="zh-CN"/>
        </w:rPr>
        <w:t>投标人</w:t>
      </w:r>
      <w:r>
        <w:rPr>
          <w:rFonts w:hint="eastAsia" w:ascii="宋体"/>
          <w:color w:val="auto"/>
          <w:szCs w:val="21"/>
          <w:highlight w:val="none"/>
        </w:rPr>
        <w:t>须知前附表规定的担保形式、金额和</w:t>
      </w:r>
      <w:r>
        <w:rPr>
          <w:rFonts w:hint="eastAsia" w:ascii="宋体"/>
          <w:color w:val="auto"/>
          <w:szCs w:val="21"/>
          <w:highlight w:val="none"/>
          <w:lang w:eastAsia="zh-CN"/>
        </w:rPr>
        <w:t>招标文件</w:t>
      </w:r>
      <w:r>
        <w:rPr>
          <w:rFonts w:hint="eastAsia" w:ascii="宋体"/>
          <w:color w:val="auto"/>
          <w:szCs w:val="21"/>
          <w:highlight w:val="none"/>
        </w:rPr>
        <w:t>第五章“合同条款及格式”规定的或者事先经过</w:t>
      </w:r>
      <w:r>
        <w:rPr>
          <w:rFonts w:hint="eastAsia" w:ascii="宋体"/>
          <w:color w:val="auto"/>
          <w:szCs w:val="21"/>
          <w:highlight w:val="none"/>
          <w:lang w:eastAsia="zh-CN"/>
        </w:rPr>
        <w:t>招标人</w:t>
      </w:r>
      <w:r>
        <w:rPr>
          <w:rFonts w:hint="eastAsia" w:ascii="宋体"/>
          <w:color w:val="auto"/>
          <w:szCs w:val="21"/>
          <w:highlight w:val="none"/>
        </w:rPr>
        <w:t>书面认可的履约担保格式向</w:t>
      </w:r>
      <w:r>
        <w:rPr>
          <w:rFonts w:hint="eastAsia" w:ascii="宋体"/>
          <w:color w:val="auto"/>
          <w:szCs w:val="21"/>
          <w:highlight w:val="none"/>
          <w:lang w:eastAsia="zh-CN"/>
        </w:rPr>
        <w:t>招标人</w:t>
      </w:r>
      <w:r>
        <w:rPr>
          <w:rFonts w:hint="eastAsia" w:ascii="宋体"/>
          <w:color w:val="auto"/>
          <w:szCs w:val="21"/>
          <w:highlight w:val="none"/>
        </w:rPr>
        <w:t>提交履约担保。</w:t>
      </w:r>
    </w:p>
    <w:p w14:paraId="1CD2053A">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34.2 </w:t>
      </w:r>
      <w:r>
        <w:rPr>
          <w:rFonts w:hint="eastAsia" w:ascii="宋体"/>
          <w:color w:val="auto"/>
          <w:szCs w:val="21"/>
          <w:highlight w:val="none"/>
          <w:lang w:eastAsia="zh-CN"/>
        </w:rPr>
        <w:t>中标人</w:t>
      </w:r>
      <w:r>
        <w:rPr>
          <w:rFonts w:hint="eastAsia" w:ascii="宋体"/>
          <w:color w:val="auto"/>
          <w:szCs w:val="21"/>
          <w:highlight w:val="none"/>
        </w:rPr>
        <w:t>不能按本章第34.1款要求提交履约担保的，视为放弃成交，</w:t>
      </w:r>
      <w:r>
        <w:rPr>
          <w:rFonts w:ascii="Helvetica" w:hAnsi="Helvetica" w:eastAsia="Helvetica" w:cs="Helvetica"/>
          <w:color w:val="auto"/>
          <w:szCs w:val="21"/>
          <w:highlight w:val="none"/>
          <w:shd w:val="clear" w:color="auto" w:fill="FFFFFF"/>
        </w:rPr>
        <w:t>给</w:t>
      </w:r>
      <w:r>
        <w:rPr>
          <w:rFonts w:hint="eastAsia" w:ascii="Helvetica" w:hAnsi="Helvetica" w:eastAsia="宋体" w:cs="Helvetica"/>
          <w:color w:val="auto"/>
          <w:szCs w:val="21"/>
          <w:highlight w:val="none"/>
          <w:shd w:val="clear" w:color="auto" w:fill="FFFFFF"/>
          <w:lang w:eastAsia="zh-CN"/>
        </w:rPr>
        <w:t>招标人</w:t>
      </w:r>
      <w:r>
        <w:rPr>
          <w:rFonts w:ascii="Helvetica" w:hAnsi="Helvetica" w:eastAsia="Helvetica" w:cs="Helvetica"/>
          <w:color w:val="auto"/>
          <w:szCs w:val="21"/>
          <w:highlight w:val="none"/>
          <w:shd w:val="clear" w:color="auto" w:fill="FFFFFF"/>
        </w:rPr>
        <w:t>造成损失的，依法承担民事责任</w:t>
      </w:r>
      <w:r>
        <w:rPr>
          <w:rFonts w:hint="eastAsia" w:ascii="宋体"/>
          <w:color w:val="auto"/>
          <w:szCs w:val="21"/>
          <w:highlight w:val="none"/>
        </w:rPr>
        <w:t>。</w:t>
      </w:r>
    </w:p>
    <w:p w14:paraId="04309195">
      <w:pPr>
        <w:spacing w:line="440" w:lineRule="exact"/>
        <w:jc w:val="left"/>
        <w:rPr>
          <w:rFonts w:hint="eastAsia" w:ascii="宋体" w:hAnsi="宋体" w:cs="宋体"/>
          <w:bCs/>
          <w:color w:val="auto"/>
          <w:szCs w:val="21"/>
          <w:highlight w:val="none"/>
        </w:rPr>
      </w:pPr>
    </w:p>
    <w:p w14:paraId="467EAAF6">
      <w:pPr>
        <w:spacing w:before="156" w:beforeLines="50" w:after="156" w:afterLines="50" w:line="440" w:lineRule="exact"/>
        <w:jc w:val="center"/>
        <w:outlineLvl w:val="1"/>
        <w:rPr>
          <w:rFonts w:hint="eastAsia" w:ascii="宋体" w:hAnsi="宋体" w:cs="宋体"/>
          <w:b/>
          <w:color w:val="auto"/>
          <w:sz w:val="24"/>
          <w:szCs w:val="24"/>
          <w:highlight w:val="none"/>
        </w:rPr>
      </w:pPr>
      <w:bookmarkStart w:id="66" w:name="_Toc30139"/>
      <w:bookmarkStart w:id="67" w:name="_Toc11441"/>
      <w:bookmarkStart w:id="68" w:name="_Toc2737"/>
      <w:bookmarkStart w:id="69" w:name="_Toc6993"/>
      <w:bookmarkStart w:id="70" w:name="_Toc3715"/>
      <w:r>
        <w:rPr>
          <w:rFonts w:hint="eastAsia" w:ascii="宋体" w:hAnsi="宋体" w:cs="宋体"/>
          <w:b/>
          <w:color w:val="auto"/>
          <w:sz w:val="24"/>
          <w:szCs w:val="24"/>
          <w:highlight w:val="none"/>
        </w:rPr>
        <w:t>（七）纪律和监督</w:t>
      </w:r>
      <w:bookmarkEnd w:id="66"/>
      <w:bookmarkEnd w:id="67"/>
      <w:bookmarkEnd w:id="68"/>
      <w:bookmarkEnd w:id="69"/>
      <w:bookmarkEnd w:id="70"/>
    </w:p>
    <w:p w14:paraId="71C6E2E1">
      <w:pPr>
        <w:spacing w:line="440" w:lineRule="exact"/>
        <w:ind w:firstLine="420" w:firstLineChars="200"/>
        <w:jc w:val="left"/>
        <w:rPr>
          <w:rFonts w:hint="eastAsia" w:ascii="宋体" w:hAnsi="宋体" w:cs="宋体"/>
          <w:bCs/>
          <w:color w:val="auto"/>
          <w:szCs w:val="21"/>
          <w:highlight w:val="none"/>
        </w:rPr>
      </w:pPr>
      <w:bookmarkStart w:id="71" w:name="_Toc25263"/>
      <w:bookmarkStart w:id="72" w:name="_Toc27252"/>
      <w:r>
        <w:rPr>
          <w:rFonts w:hint="eastAsia" w:ascii="宋体" w:hAnsi="宋体" w:cs="宋体"/>
          <w:bCs/>
          <w:color w:val="auto"/>
          <w:szCs w:val="21"/>
          <w:highlight w:val="none"/>
        </w:rPr>
        <w:t>35. 对</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的纪律要求</w:t>
      </w:r>
      <w:bookmarkEnd w:id="71"/>
      <w:bookmarkEnd w:id="72"/>
      <w:r>
        <w:rPr>
          <w:rFonts w:hint="eastAsia" w:ascii="宋体" w:hAnsi="宋体" w:cs="宋体"/>
          <w:bCs/>
          <w:color w:val="auto"/>
          <w:szCs w:val="21"/>
          <w:highlight w:val="none"/>
        </w:rPr>
        <w:t xml:space="preserve"> </w:t>
      </w:r>
    </w:p>
    <w:p w14:paraId="4B40C580">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35.1</w:t>
      </w:r>
      <w:r>
        <w:rPr>
          <w:rFonts w:hint="eastAsia" w:ascii="宋体" w:hAnsi="宋体" w:cs="宋体"/>
          <w:bCs/>
          <w:color w:val="auto"/>
          <w:kern w:val="10"/>
          <w:szCs w:val="21"/>
          <w:highlight w:val="none"/>
          <w:lang w:eastAsia="zh-CN"/>
        </w:rPr>
        <w:t>招标人</w:t>
      </w:r>
      <w:r>
        <w:rPr>
          <w:rFonts w:hint="eastAsia" w:ascii="宋体" w:hAnsi="宋体" w:cs="宋体"/>
          <w:bCs/>
          <w:color w:val="auto"/>
          <w:kern w:val="10"/>
          <w:szCs w:val="21"/>
          <w:highlight w:val="none"/>
        </w:rPr>
        <w:t>不得泄漏</w:t>
      </w:r>
      <w:r>
        <w:rPr>
          <w:rFonts w:hint="eastAsia" w:ascii="宋体" w:hAnsi="宋体" w:cs="宋体"/>
          <w:bCs/>
          <w:color w:val="auto"/>
          <w:kern w:val="10"/>
          <w:szCs w:val="21"/>
          <w:highlight w:val="none"/>
          <w:lang w:val="en-US" w:eastAsia="zh-CN"/>
        </w:rPr>
        <w:t>开标</w:t>
      </w:r>
      <w:r>
        <w:rPr>
          <w:rFonts w:hint="eastAsia" w:ascii="宋体" w:hAnsi="宋体" w:cs="宋体"/>
          <w:bCs/>
          <w:color w:val="auto"/>
          <w:kern w:val="10"/>
          <w:szCs w:val="21"/>
          <w:highlight w:val="none"/>
        </w:rPr>
        <w:t>活动中应当保密的情况和资料，不得与</w:t>
      </w:r>
      <w:r>
        <w:rPr>
          <w:rFonts w:hint="eastAsia" w:ascii="宋体" w:hAnsi="宋体" w:cs="宋体"/>
          <w:bCs/>
          <w:color w:val="auto"/>
          <w:kern w:val="10"/>
          <w:szCs w:val="21"/>
          <w:highlight w:val="none"/>
          <w:lang w:eastAsia="zh-CN"/>
        </w:rPr>
        <w:t>投标人</w:t>
      </w:r>
      <w:r>
        <w:rPr>
          <w:rFonts w:hint="eastAsia" w:ascii="宋体" w:hAnsi="宋体" w:cs="宋体"/>
          <w:bCs/>
          <w:color w:val="auto"/>
          <w:kern w:val="10"/>
          <w:szCs w:val="21"/>
          <w:highlight w:val="none"/>
        </w:rPr>
        <w:t xml:space="preserve">串通损害国家利益，社会公共利益或者他人合法权益。 </w:t>
      </w:r>
    </w:p>
    <w:p w14:paraId="37A0E71E">
      <w:pPr>
        <w:spacing w:line="440" w:lineRule="exact"/>
        <w:ind w:firstLine="420" w:firstLineChars="200"/>
        <w:jc w:val="left"/>
        <w:rPr>
          <w:rFonts w:hint="eastAsia" w:ascii="宋体" w:hAnsi="宋体" w:cs="宋体"/>
          <w:bCs/>
          <w:color w:val="auto"/>
          <w:szCs w:val="21"/>
          <w:highlight w:val="none"/>
        </w:rPr>
      </w:pPr>
      <w:bookmarkStart w:id="73" w:name="_Toc26459"/>
      <w:bookmarkStart w:id="74" w:name="_Toc14174"/>
      <w:r>
        <w:rPr>
          <w:rFonts w:hint="eastAsia" w:ascii="宋体" w:hAnsi="宋体" w:cs="宋体"/>
          <w:bCs/>
          <w:color w:val="auto"/>
          <w:szCs w:val="21"/>
          <w:highlight w:val="none"/>
        </w:rPr>
        <w:t>36. 对</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的纪律要求</w:t>
      </w:r>
      <w:bookmarkEnd w:id="73"/>
      <w:bookmarkEnd w:id="74"/>
      <w:r>
        <w:rPr>
          <w:rFonts w:hint="eastAsia" w:ascii="宋体" w:hAnsi="宋体" w:cs="宋体"/>
          <w:bCs/>
          <w:color w:val="auto"/>
          <w:szCs w:val="21"/>
          <w:highlight w:val="none"/>
        </w:rPr>
        <w:t xml:space="preserve"> </w:t>
      </w:r>
    </w:p>
    <w:p w14:paraId="040AB122">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36.1</w:t>
      </w:r>
      <w:r>
        <w:rPr>
          <w:rFonts w:hint="eastAsia" w:ascii="宋体" w:hAnsi="宋体" w:cs="宋体"/>
          <w:bCs/>
          <w:color w:val="auto"/>
          <w:kern w:val="10"/>
          <w:szCs w:val="21"/>
          <w:highlight w:val="none"/>
          <w:lang w:eastAsia="zh-CN"/>
        </w:rPr>
        <w:t>投标人</w:t>
      </w:r>
      <w:r>
        <w:rPr>
          <w:rFonts w:hint="eastAsia" w:ascii="宋体" w:hAnsi="宋体" w:cs="宋体"/>
          <w:bCs/>
          <w:color w:val="auto"/>
          <w:kern w:val="10"/>
          <w:szCs w:val="21"/>
          <w:highlight w:val="none"/>
        </w:rPr>
        <w:t>不得相互串通或者与</w:t>
      </w:r>
      <w:r>
        <w:rPr>
          <w:rFonts w:hint="eastAsia" w:ascii="宋体" w:hAnsi="宋体" w:cs="宋体"/>
          <w:bCs/>
          <w:color w:val="auto"/>
          <w:kern w:val="10"/>
          <w:szCs w:val="21"/>
          <w:highlight w:val="none"/>
          <w:lang w:eastAsia="zh-CN"/>
        </w:rPr>
        <w:t>招标人</w:t>
      </w:r>
      <w:r>
        <w:rPr>
          <w:rFonts w:hint="eastAsia" w:ascii="宋体" w:hAnsi="宋体" w:cs="宋体"/>
          <w:bCs/>
          <w:color w:val="auto"/>
          <w:kern w:val="10"/>
          <w:szCs w:val="21"/>
          <w:highlight w:val="none"/>
        </w:rPr>
        <w:t>串通，不得向</w:t>
      </w:r>
      <w:r>
        <w:rPr>
          <w:rFonts w:hint="eastAsia" w:ascii="宋体" w:hAnsi="宋体" w:cs="宋体"/>
          <w:bCs/>
          <w:color w:val="auto"/>
          <w:kern w:val="10"/>
          <w:szCs w:val="21"/>
          <w:highlight w:val="none"/>
          <w:lang w:eastAsia="zh-CN"/>
        </w:rPr>
        <w:t>招标人</w:t>
      </w:r>
      <w:r>
        <w:rPr>
          <w:rFonts w:hint="eastAsia" w:ascii="宋体" w:hAnsi="宋体" w:cs="宋体"/>
          <w:bCs/>
          <w:color w:val="auto"/>
          <w:kern w:val="10"/>
          <w:szCs w:val="21"/>
          <w:highlight w:val="none"/>
        </w:rPr>
        <w:t>或者</w:t>
      </w:r>
      <w:r>
        <w:rPr>
          <w:rFonts w:hint="eastAsia" w:ascii="宋体" w:hAnsi="宋体" w:cs="宋体"/>
          <w:bCs/>
          <w:color w:val="auto"/>
          <w:kern w:val="10"/>
          <w:szCs w:val="21"/>
          <w:highlight w:val="none"/>
          <w:lang w:eastAsia="zh-CN"/>
        </w:rPr>
        <w:t>评审小组</w:t>
      </w:r>
      <w:r>
        <w:rPr>
          <w:rFonts w:hint="eastAsia" w:ascii="宋体" w:hAnsi="宋体" w:cs="宋体"/>
          <w:bCs/>
          <w:color w:val="auto"/>
          <w:kern w:val="10"/>
          <w:szCs w:val="21"/>
          <w:highlight w:val="none"/>
        </w:rPr>
        <w:t>成员行贿谋取成交，不得以他人名义或者以其他方式弄虚作假骗取成交；</w:t>
      </w:r>
      <w:r>
        <w:rPr>
          <w:rFonts w:hint="eastAsia" w:ascii="宋体" w:hAnsi="宋体" w:cs="宋体"/>
          <w:bCs/>
          <w:color w:val="auto"/>
          <w:kern w:val="10"/>
          <w:szCs w:val="21"/>
          <w:highlight w:val="none"/>
          <w:lang w:eastAsia="zh-CN"/>
        </w:rPr>
        <w:t>投标人</w:t>
      </w:r>
      <w:r>
        <w:rPr>
          <w:rFonts w:hint="eastAsia" w:ascii="宋体" w:hAnsi="宋体" w:cs="宋体"/>
          <w:bCs/>
          <w:color w:val="auto"/>
          <w:kern w:val="10"/>
          <w:szCs w:val="21"/>
          <w:highlight w:val="none"/>
        </w:rPr>
        <w:t>不得以任何方式干扰、影响评审工作。</w:t>
      </w:r>
    </w:p>
    <w:p w14:paraId="48923410">
      <w:pPr>
        <w:spacing w:line="440" w:lineRule="exact"/>
        <w:ind w:firstLine="420" w:firstLineChars="200"/>
        <w:jc w:val="left"/>
        <w:rPr>
          <w:rFonts w:hint="eastAsia" w:ascii="宋体" w:hAnsi="宋体" w:cs="宋体"/>
          <w:bCs/>
          <w:color w:val="auto"/>
          <w:szCs w:val="21"/>
          <w:highlight w:val="none"/>
        </w:rPr>
      </w:pPr>
      <w:bookmarkStart w:id="75" w:name="_Toc26945"/>
      <w:bookmarkStart w:id="76" w:name="_Toc5318"/>
      <w:r>
        <w:rPr>
          <w:rFonts w:hint="eastAsia" w:ascii="宋体" w:hAnsi="宋体" w:cs="宋体"/>
          <w:bCs/>
          <w:color w:val="auto"/>
          <w:szCs w:val="21"/>
          <w:highlight w:val="none"/>
        </w:rPr>
        <w:t>37. 对</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成员的纪律要求</w:t>
      </w:r>
      <w:bookmarkEnd w:id="75"/>
      <w:bookmarkEnd w:id="76"/>
      <w:r>
        <w:rPr>
          <w:rFonts w:hint="eastAsia" w:ascii="宋体" w:hAnsi="宋体" w:cs="宋体"/>
          <w:bCs/>
          <w:color w:val="auto"/>
          <w:szCs w:val="21"/>
          <w:highlight w:val="none"/>
        </w:rPr>
        <w:t xml:space="preserve"> </w:t>
      </w:r>
    </w:p>
    <w:p w14:paraId="321C6944">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37.1</w:t>
      </w:r>
      <w:r>
        <w:rPr>
          <w:rFonts w:hint="eastAsia" w:ascii="宋体" w:hAnsi="宋体" w:cs="宋体"/>
          <w:bCs/>
          <w:color w:val="auto"/>
          <w:szCs w:val="21"/>
          <w:highlight w:val="none"/>
          <w:lang w:eastAsia="zh-CN"/>
        </w:rPr>
        <w:t>评审小组</w:t>
      </w:r>
      <w:r>
        <w:rPr>
          <w:rFonts w:hint="eastAsia" w:ascii="宋体" w:hAnsi="宋体" w:cs="宋体"/>
          <w:bCs/>
          <w:color w:val="auto"/>
          <w:kern w:val="10"/>
          <w:szCs w:val="21"/>
          <w:highlight w:val="none"/>
        </w:rPr>
        <w:t>成员不得收受他人的财物或者其他好处，不得向他人透漏对</w:t>
      </w:r>
      <w:r>
        <w:rPr>
          <w:rFonts w:hint="eastAsia" w:ascii="宋体" w:hAnsi="宋体" w:cs="宋体"/>
          <w:bCs/>
          <w:color w:val="auto"/>
          <w:kern w:val="10"/>
          <w:szCs w:val="21"/>
          <w:highlight w:val="none"/>
          <w:lang w:eastAsia="zh-CN"/>
        </w:rPr>
        <w:t>投标文件</w:t>
      </w:r>
      <w:r>
        <w:rPr>
          <w:rFonts w:hint="eastAsia" w:ascii="宋体" w:hAnsi="宋体" w:cs="宋体"/>
          <w:bCs/>
          <w:color w:val="auto"/>
          <w:kern w:val="10"/>
          <w:szCs w:val="21"/>
          <w:highlight w:val="none"/>
        </w:rPr>
        <w:t>的评审和比较、</w:t>
      </w:r>
      <w:r>
        <w:rPr>
          <w:rFonts w:hint="eastAsia" w:ascii="宋体" w:hAnsi="宋体" w:cs="宋体"/>
          <w:bCs/>
          <w:color w:val="auto"/>
          <w:kern w:val="10"/>
          <w:szCs w:val="21"/>
          <w:highlight w:val="none"/>
          <w:lang w:eastAsia="zh-CN"/>
        </w:rPr>
        <w:t>中标候选人</w:t>
      </w:r>
      <w:r>
        <w:rPr>
          <w:rFonts w:hint="eastAsia" w:ascii="宋体" w:hAnsi="宋体" w:cs="宋体"/>
          <w:bCs/>
          <w:color w:val="auto"/>
          <w:kern w:val="10"/>
          <w:szCs w:val="21"/>
          <w:highlight w:val="none"/>
        </w:rPr>
        <w:t>的推荐情况以及评审有关的其他情况。</w:t>
      </w:r>
    </w:p>
    <w:p w14:paraId="43862959">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37.2在评审活动中，</w:t>
      </w:r>
      <w:r>
        <w:rPr>
          <w:rFonts w:hint="eastAsia" w:ascii="宋体" w:hAnsi="宋体" w:cs="宋体"/>
          <w:bCs/>
          <w:color w:val="auto"/>
          <w:szCs w:val="21"/>
          <w:highlight w:val="none"/>
          <w:lang w:eastAsia="zh-CN"/>
        </w:rPr>
        <w:t>评审小组</w:t>
      </w:r>
      <w:r>
        <w:rPr>
          <w:rFonts w:hint="eastAsia" w:ascii="宋体" w:hAnsi="宋体" w:cs="宋体"/>
          <w:bCs/>
          <w:color w:val="auto"/>
          <w:kern w:val="10"/>
          <w:szCs w:val="21"/>
          <w:highlight w:val="none"/>
        </w:rPr>
        <w:t xml:space="preserve">成员不得擅离职守，影响评审程序正常进行，不得使用第三章“评审办法”没有规定的评审因素和标准进行评审。 </w:t>
      </w:r>
    </w:p>
    <w:p w14:paraId="781E3586">
      <w:pPr>
        <w:spacing w:line="440" w:lineRule="exact"/>
        <w:ind w:firstLine="420" w:firstLineChars="200"/>
        <w:jc w:val="left"/>
        <w:rPr>
          <w:rFonts w:hint="eastAsia" w:ascii="宋体" w:hAnsi="宋体" w:cs="宋体"/>
          <w:bCs/>
          <w:color w:val="auto"/>
          <w:szCs w:val="21"/>
          <w:highlight w:val="none"/>
        </w:rPr>
      </w:pPr>
      <w:bookmarkStart w:id="77" w:name="_Toc27618"/>
      <w:bookmarkStart w:id="78" w:name="_Toc21038"/>
      <w:r>
        <w:rPr>
          <w:rFonts w:hint="eastAsia" w:ascii="宋体" w:hAnsi="宋体" w:cs="宋体"/>
          <w:bCs/>
          <w:color w:val="auto"/>
          <w:szCs w:val="21"/>
          <w:highlight w:val="none"/>
        </w:rPr>
        <w:t>38. 对与评审活动有关的工作人员的纪律要求</w:t>
      </w:r>
      <w:bookmarkEnd w:id="77"/>
      <w:bookmarkEnd w:id="78"/>
      <w:r>
        <w:rPr>
          <w:rFonts w:hint="eastAsia" w:ascii="宋体" w:hAnsi="宋体" w:cs="宋体"/>
          <w:bCs/>
          <w:color w:val="auto"/>
          <w:szCs w:val="21"/>
          <w:highlight w:val="none"/>
        </w:rPr>
        <w:t xml:space="preserve"> </w:t>
      </w:r>
    </w:p>
    <w:p w14:paraId="29292C18">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38.1与评审活动有关的工作人员不得收受他人的财物或者其他好处，不得向他人透漏对</w:t>
      </w:r>
      <w:r>
        <w:rPr>
          <w:rFonts w:hint="eastAsia" w:ascii="宋体" w:hAnsi="宋体" w:cs="宋体"/>
          <w:bCs/>
          <w:color w:val="auto"/>
          <w:kern w:val="10"/>
          <w:szCs w:val="21"/>
          <w:highlight w:val="none"/>
          <w:lang w:eastAsia="zh-CN"/>
        </w:rPr>
        <w:t>投标文件</w:t>
      </w:r>
      <w:r>
        <w:rPr>
          <w:rFonts w:hint="eastAsia" w:ascii="宋体" w:hAnsi="宋体" w:cs="宋体"/>
          <w:bCs/>
          <w:color w:val="auto"/>
          <w:kern w:val="10"/>
          <w:szCs w:val="21"/>
          <w:highlight w:val="none"/>
        </w:rPr>
        <w:t>的评审和比较、</w:t>
      </w:r>
      <w:r>
        <w:rPr>
          <w:rFonts w:hint="eastAsia" w:ascii="宋体" w:hAnsi="宋体" w:cs="宋体"/>
          <w:bCs/>
          <w:color w:val="auto"/>
          <w:kern w:val="10"/>
          <w:szCs w:val="21"/>
          <w:highlight w:val="none"/>
          <w:lang w:eastAsia="zh-CN"/>
        </w:rPr>
        <w:t>中标候选人</w:t>
      </w:r>
      <w:r>
        <w:rPr>
          <w:rFonts w:hint="eastAsia" w:ascii="宋体" w:hAnsi="宋体" w:cs="宋体"/>
          <w:bCs/>
          <w:color w:val="auto"/>
          <w:kern w:val="10"/>
          <w:szCs w:val="21"/>
          <w:highlight w:val="none"/>
        </w:rPr>
        <w:t>的推荐情况以及评审有关的其他情况。在评审活动中，与评审活动有关的工作人员不得擅离职守，影响评审程序正常进行。</w:t>
      </w:r>
    </w:p>
    <w:p w14:paraId="6BA0B660">
      <w:pPr>
        <w:spacing w:before="156" w:beforeLines="50" w:after="156" w:afterLines="50" w:line="440" w:lineRule="exact"/>
        <w:jc w:val="center"/>
        <w:outlineLvl w:val="1"/>
        <w:rPr>
          <w:rFonts w:hint="eastAsia" w:ascii="宋体" w:hAnsi="宋体" w:cs="宋体"/>
          <w:b/>
          <w:color w:val="auto"/>
          <w:sz w:val="24"/>
          <w:szCs w:val="24"/>
          <w:highlight w:val="none"/>
        </w:rPr>
      </w:pPr>
      <w:bookmarkStart w:id="79" w:name="_Toc11284"/>
      <w:bookmarkStart w:id="80" w:name="_Toc449028875"/>
      <w:bookmarkStart w:id="81" w:name="_Toc23928"/>
      <w:bookmarkStart w:id="82" w:name="_Toc5958"/>
      <w:bookmarkStart w:id="83" w:name="_Toc21384"/>
      <w:bookmarkStart w:id="84" w:name="_Toc571"/>
      <w:r>
        <w:rPr>
          <w:rFonts w:hint="eastAsia" w:ascii="宋体" w:hAnsi="宋体" w:cs="宋体"/>
          <w:b/>
          <w:color w:val="auto"/>
          <w:sz w:val="24"/>
          <w:szCs w:val="24"/>
          <w:highlight w:val="none"/>
        </w:rPr>
        <w:t>（八）质疑与投诉</w:t>
      </w:r>
      <w:bookmarkEnd w:id="79"/>
      <w:bookmarkEnd w:id="80"/>
      <w:bookmarkEnd w:id="81"/>
      <w:bookmarkEnd w:id="82"/>
      <w:bookmarkEnd w:id="83"/>
      <w:bookmarkEnd w:id="84"/>
    </w:p>
    <w:p w14:paraId="0E6A3DE8">
      <w:pPr>
        <w:spacing w:line="440" w:lineRule="exact"/>
        <w:ind w:firstLine="420" w:firstLineChars="200"/>
        <w:jc w:val="left"/>
        <w:rPr>
          <w:rFonts w:hint="eastAsia" w:ascii="宋体" w:hAnsi="宋体" w:cs="宋体"/>
          <w:bCs/>
          <w:color w:val="auto"/>
          <w:szCs w:val="21"/>
          <w:highlight w:val="none"/>
        </w:rPr>
      </w:pPr>
      <w:bookmarkStart w:id="85" w:name="_Toc19843"/>
      <w:bookmarkStart w:id="86" w:name="_Toc25816"/>
      <w:r>
        <w:rPr>
          <w:rFonts w:hint="eastAsia" w:ascii="宋体" w:hAnsi="宋体" w:cs="宋体"/>
          <w:bCs/>
          <w:color w:val="auto"/>
          <w:szCs w:val="21"/>
          <w:highlight w:val="none"/>
        </w:rPr>
        <w:t>39.询问、质疑</w:t>
      </w:r>
      <w:bookmarkEnd w:id="85"/>
      <w:bookmarkEnd w:id="86"/>
    </w:p>
    <w:p w14:paraId="0429CEB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39.1</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w:t>
      </w:r>
      <w:r>
        <w:rPr>
          <w:rFonts w:hint="eastAsia" w:ascii="宋体" w:hAnsi="宋体" w:cs="宋体"/>
          <w:bCs/>
          <w:color w:val="auto"/>
          <w:szCs w:val="21"/>
          <w:highlight w:val="none"/>
          <w:lang w:val="en-US" w:eastAsia="zh-CN"/>
        </w:rPr>
        <w:t>招标</w:t>
      </w:r>
      <w:r>
        <w:rPr>
          <w:rFonts w:hint="eastAsia" w:ascii="宋体" w:hAnsi="宋体" w:cs="宋体"/>
          <w:bCs/>
          <w:color w:val="auto"/>
          <w:szCs w:val="21"/>
          <w:highlight w:val="none"/>
        </w:rPr>
        <w:t>活动事项有疑问的，可以向</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提出询问，</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将在三个工作日内作出答复，但答复的内容不涉及商业秘密。</w:t>
      </w:r>
    </w:p>
    <w:p w14:paraId="258124A4">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39.</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成交</w:t>
      </w:r>
      <w:r>
        <w:rPr>
          <w:rFonts w:hint="eastAsia" w:ascii="宋体" w:hAnsi="宋体" w:cs="宋体"/>
          <w:bCs/>
          <w:color w:val="auto"/>
          <w:szCs w:val="21"/>
          <w:highlight w:val="none"/>
          <w:lang w:val="en-US" w:eastAsia="zh-CN"/>
        </w:rPr>
        <w:t>结果宣布</w:t>
      </w:r>
      <w:r>
        <w:rPr>
          <w:rFonts w:hint="eastAsia" w:ascii="宋体" w:hAnsi="宋体" w:cs="宋体"/>
          <w:bCs/>
          <w:color w:val="auto"/>
          <w:szCs w:val="21"/>
          <w:highlight w:val="none"/>
        </w:rPr>
        <w:t>后，参与</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对成交</w:t>
      </w:r>
      <w:r>
        <w:rPr>
          <w:rFonts w:hint="eastAsia" w:ascii="宋体" w:hAnsi="宋体" w:cs="宋体"/>
          <w:bCs/>
          <w:color w:val="auto"/>
          <w:szCs w:val="21"/>
          <w:highlight w:val="none"/>
          <w:lang w:val="en-US" w:eastAsia="zh-CN"/>
        </w:rPr>
        <w:t>结果</w:t>
      </w:r>
      <w:r>
        <w:rPr>
          <w:rFonts w:hint="eastAsia" w:ascii="宋体" w:hAnsi="宋体" w:cs="宋体"/>
          <w:bCs/>
          <w:color w:val="auto"/>
          <w:szCs w:val="21"/>
          <w:highlight w:val="none"/>
        </w:rPr>
        <w:t>有异议的，</w:t>
      </w:r>
      <w:r>
        <w:rPr>
          <w:rFonts w:hint="eastAsia" w:ascii="宋体" w:hAnsi="宋体" w:cs="宋体"/>
          <w:bCs/>
          <w:color w:val="auto"/>
          <w:szCs w:val="21"/>
          <w:highlight w:val="none"/>
          <w:lang w:val="en-US" w:eastAsia="zh-CN"/>
        </w:rPr>
        <w:t>在开标现场提出。</w:t>
      </w:r>
    </w:p>
    <w:p w14:paraId="65C960D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hAnsi="宋体" w:cs="宋体"/>
          <w:bCs/>
          <w:color w:val="auto"/>
          <w:szCs w:val="21"/>
          <w:highlight w:val="none"/>
        </w:rPr>
        <w:t>39.</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参与</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对成交</w:t>
      </w:r>
      <w:r>
        <w:rPr>
          <w:rFonts w:hint="eastAsia" w:ascii="宋体" w:hAnsi="宋体" w:cs="宋体"/>
          <w:bCs/>
          <w:color w:val="auto"/>
          <w:szCs w:val="21"/>
          <w:highlight w:val="none"/>
          <w:lang w:val="en-US" w:eastAsia="zh-CN"/>
        </w:rPr>
        <w:t>结果</w:t>
      </w:r>
      <w:r>
        <w:rPr>
          <w:rFonts w:hint="eastAsia" w:ascii="宋体" w:hAnsi="宋体" w:cs="宋体"/>
          <w:bCs/>
          <w:color w:val="auto"/>
          <w:szCs w:val="21"/>
          <w:highlight w:val="none"/>
        </w:rPr>
        <w:t>提出的质疑，负有举证的责任。</w:t>
      </w:r>
      <w:r>
        <w:rPr>
          <w:rFonts w:hint="eastAsia" w:ascii="宋体"/>
          <w:color w:val="auto"/>
          <w:kern w:val="10"/>
          <w:szCs w:val="21"/>
          <w:highlight w:val="none"/>
          <w:lang w:eastAsia="zh-CN"/>
        </w:rPr>
        <w:t>投标人</w:t>
      </w:r>
      <w:r>
        <w:rPr>
          <w:rFonts w:hint="eastAsia" w:ascii="宋体"/>
          <w:color w:val="auto"/>
          <w:kern w:val="10"/>
          <w:szCs w:val="21"/>
          <w:highlight w:val="none"/>
        </w:rPr>
        <w:t>提出质疑应当提交质疑函和必要的证明材料。质疑函应当包括下列内容：</w:t>
      </w:r>
    </w:p>
    <w:p w14:paraId="23F7026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（一）</w:t>
      </w:r>
      <w:r>
        <w:rPr>
          <w:rFonts w:hint="eastAsia" w:ascii="宋体"/>
          <w:color w:val="auto"/>
          <w:kern w:val="10"/>
          <w:szCs w:val="21"/>
          <w:highlight w:val="none"/>
          <w:lang w:eastAsia="zh-CN"/>
        </w:rPr>
        <w:t>投标人</w:t>
      </w:r>
      <w:r>
        <w:rPr>
          <w:rFonts w:hint="eastAsia" w:ascii="宋体"/>
          <w:color w:val="auto"/>
          <w:kern w:val="10"/>
          <w:szCs w:val="21"/>
          <w:highlight w:val="none"/>
        </w:rPr>
        <w:t>的姓名或者名称、地址、邮编、联系人及联系电话；</w:t>
      </w:r>
    </w:p>
    <w:p w14:paraId="51FD13F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（二）质疑项目的名称、编号；</w:t>
      </w:r>
    </w:p>
    <w:p w14:paraId="2A2BDCD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（三）具体、明确的质疑事项和与质疑事项相关的请求；</w:t>
      </w:r>
    </w:p>
    <w:p w14:paraId="3F92B1B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（四）事实依据；</w:t>
      </w:r>
    </w:p>
    <w:p w14:paraId="08F75C1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（五）必要的法律依据；</w:t>
      </w:r>
    </w:p>
    <w:p w14:paraId="57D0E74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ascii="宋体"/>
          <w:color w:val="auto"/>
          <w:kern w:val="10"/>
          <w:szCs w:val="21"/>
          <w:highlight w:val="none"/>
        </w:rPr>
      </w:pPr>
      <w:r>
        <w:rPr>
          <w:rFonts w:hint="eastAsia" w:ascii="宋体"/>
          <w:color w:val="auto"/>
          <w:kern w:val="10"/>
          <w:szCs w:val="21"/>
          <w:highlight w:val="none"/>
        </w:rPr>
        <w:t>　　（六）提出质疑的日期。</w:t>
      </w:r>
    </w:p>
    <w:p w14:paraId="0A88709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color w:val="auto"/>
          <w:highlight w:val="none"/>
        </w:rPr>
      </w:pPr>
      <w:r>
        <w:rPr>
          <w:rFonts w:hint="eastAsia" w:ascii="宋体"/>
          <w:color w:val="auto"/>
          <w:kern w:val="10"/>
          <w:szCs w:val="21"/>
          <w:highlight w:val="none"/>
          <w:lang w:eastAsia="zh-CN"/>
        </w:rPr>
        <w:t>投标人</w:t>
      </w:r>
      <w:r>
        <w:rPr>
          <w:rFonts w:hint="eastAsia" w:ascii="宋体"/>
          <w:color w:val="auto"/>
          <w:kern w:val="10"/>
          <w:szCs w:val="21"/>
          <w:highlight w:val="none"/>
        </w:rPr>
        <w:t>为自然人的，应当由本人签字；投标人为法人或者其他组织的，应当由法定代表人、主要负责人，或者其授权代表签字或者盖章，并加盖公章。</w:t>
      </w:r>
    </w:p>
    <w:p w14:paraId="64C0C3C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39.</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或代理机构在收到</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的质疑函后，将审查质疑函的格式、内容以及所附的证明文件是否符合要求。如不符合，说明原因退回</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；如符合要求，则接受该质疑函。</w:t>
      </w:r>
    </w:p>
    <w:p w14:paraId="57F715E5">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49CD4193">
      <w:pPr>
        <w:spacing w:before="156" w:beforeLines="50" w:after="156" w:afterLines="50"/>
        <w:jc w:val="center"/>
        <w:outlineLvl w:val="0"/>
        <w:rPr>
          <w:rFonts w:hint="eastAsia" w:ascii="宋体"/>
          <w:b/>
          <w:color w:val="auto"/>
          <w:sz w:val="32"/>
          <w:szCs w:val="32"/>
          <w:highlight w:val="none"/>
        </w:rPr>
      </w:pPr>
    </w:p>
    <w:p w14:paraId="18952492">
      <w:pPr>
        <w:spacing w:before="156" w:beforeLines="50" w:after="156" w:afterLines="50"/>
        <w:jc w:val="both"/>
        <w:outlineLvl w:val="0"/>
        <w:rPr>
          <w:rFonts w:hint="eastAsia" w:ascii="宋体"/>
          <w:b/>
          <w:color w:val="auto"/>
          <w:sz w:val="32"/>
          <w:szCs w:val="32"/>
          <w:highlight w:val="none"/>
        </w:rPr>
      </w:pPr>
    </w:p>
    <w:p w14:paraId="0911416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218C1A81">
      <w:pPr>
        <w:spacing w:before="156" w:beforeLines="50" w:after="156" w:afterLines="50" w:line="440" w:lineRule="exact"/>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eastAsia="zh-CN"/>
        </w:rPr>
        <w:t>（</w:t>
      </w:r>
      <w:r>
        <w:rPr>
          <w:rFonts w:hint="eastAsia" w:ascii="宋体" w:hAnsi="Times New Roman" w:eastAsia="宋体" w:cs="Times New Roman"/>
          <w:b/>
          <w:color w:val="auto"/>
          <w:sz w:val="28"/>
          <w:szCs w:val="28"/>
          <w:highlight w:val="none"/>
          <w:lang w:val="en-US" w:eastAsia="zh-CN"/>
        </w:rPr>
        <w:t>一）</w:t>
      </w:r>
      <w:r>
        <w:rPr>
          <w:rFonts w:hint="eastAsia" w:ascii="宋体" w:hAnsi="Times New Roman" w:eastAsia="宋体" w:cs="Times New Roman"/>
          <w:b/>
          <w:color w:val="auto"/>
          <w:sz w:val="28"/>
          <w:szCs w:val="28"/>
          <w:highlight w:val="none"/>
        </w:rPr>
        <w:t>资格审查办法前附表</w:t>
      </w:r>
    </w:p>
    <w:p w14:paraId="6389D9DE">
      <w:pPr>
        <w:adjustRightInd w:val="0"/>
        <w:snapToGrid w:val="0"/>
        <w:spacing w:line="560" w:lineRule="exact"/>
        <w:jc w:val="left"/>
        <w:rPr>
          <w:rFonts w:hint="eastAsia"/>
          <w:color w:val="auto"/>
          <w:szCs w:val="21"/>
          <w:highlight w:val="none"/>
        </w:rPr>
      </w:pPr>
      <w:r>
        <w:rPr>
          <w:rFonts w:hint="eastAsia"/>
          <w:color w:val="auto"/>
          <w:highlight w:val="none"/>
          <w:lang w:val="en-US" w:eastAsia="zh-CN"/>
        </w:rPr>
        <w:t>1.</w:t>
      </w:r>
      <w:r>
        <w:rPr>
          <w:rFonts w:hint="eastAsia"/>
          <w:color w:val="auto"/>
          <w:highlight w:val="none"/>
        </w:rPr>
        <w:t>资信证明文件评审</w:t>
      </w:r>
      <w:r>
        <w:rPr>
          <w:rFonts w:hint="eastAsia" w:ascii="宋体"/>
          <w:b/>
          <w:color w:val="auto"/>
          <w:szCs w:val="21"/>
          <w:highlight w:val="none"/>
        </w:rPr>
        <w:t>:</w:t>
      </w: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674B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D8E0D0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4243" w:type="dxa"/>
            <w:gridSpan w:val="2"/>
            <w:noWrap w:val="0"/>
            <w:vAlign w:val="center"/>
          </w:tcPr>
          <w:p w14:paraId="70FA159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3929" w:type="dxa"/>
            <w:noWrap w:val="0"/>
            <w:vAlign w:val="center"/>
          </w:tcPr>
          <w:p w14:paraId="140C935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7CB0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5A9D54EA">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464DD01B">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3008" w:type="dxa"/>
            <w:noWrap w:val="0"/>
            <w:vAlign w:val="center"/>
          </w:tcPr>
          <w:p w14:paraId="40EAB205">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3929" w:type="dxa"/>
            <w:noWrap w:val="0"/>
            <w:vAlign w:val="center"/>
          </w:tcPr>
          <w:p w14:paraId="08EA66FB">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检验标书。</w:t>
            </w:r>
          </w:p>
        </w:tc>
      </w:tr>
      <w:tr w14:paraId="1BE9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105D8D6B">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1D950185">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008" w:type="dxa"/>
            <w:noWrap w:val="0"/>
            <w:vAlign w:val="center"/>
          </w:tcPr>
          <w:p w14:paraId="55234CFF">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）具有独立承担民事责任的能力</w:t>
            </w:r>
          </w:p>
        </w:tc>
        <w:tc>
          <w:tcPr>
            <w:tcW w:w="3929" w:type="dxa"/>
            <w:noWrap w:val="0"/>
            <w:vAlign w:val="center"/>
          </w:tcPr>
          <w:p w14:paraId="3E520E5F">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评审核验标书中的下列证书、证明材料：</w:t>
            </w:r>
          </w:p>
          <w:p w14:paraId="534AF7D0">
            <w:pPr>
              <w:keepNext w:val="0"/>
              <w:keepLines w:val="0"/>
              <w:suppressLineNumbers w:val="0"/>
              <w:spacing w:before="0" w:beforeAutospacing="0" w:after="0" w:afterAutospacing="0" w:line="320" w:lineRule="exact"/>
              <w:ind w:left="0" w:right="0"/>
              <w:rPr>
                <w:rFonts w:hint="eastAsia" w:ascii="宋体"/>
                <w:color w:val="auto"/>
                <w:szCs w:val="21"/>
                <w:highlight w:val="none"/>
              </w:rPr>
            </w:pPr>
            <w:r>
              <w:rPr>
                <w:rFonts w:hint="eastAsia" w:ascii="宋体"/>
                <w:color w:val="auto"/>
                <w:szCs w:val="21"/>
                <w:highlight w:val="none"/>
              </w:rPr>
              <w:t>投标人有效的营业执照、税务登记证、组织机构码证（或“三证合一证书”）</w:t>
            </w:r>
          </w:p>
        </w:tc>
      </w:tr>
      <w:tr w14:paraId="0695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07567567">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35D91BC">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141A93C5">
            <w:pPr>
              <w:keepNext w:val="0"/>
              <w:keepLines w:val="0"/>
              <w:suppressLineNumbers w:val="0"/>
              <w:spacing w:before="0" w:beforeAutospacing="0" w:after="0" w:afterAutospacing="0" w:line="320" w:lineRule="exact"/>
              <w:ind w:left="0" w:right="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）建设行政主管部门颁发的建设工程质量检测机构综合资质证书或专项资质证书（专项资质须同时包括：</w:t>
            </w:r>
            <w:r>
              <w:rPr>
                <w:rFonts w:hint="eastAsia" w:ascii="Times New Roman" w:hAnsi="Times New Roman" w:eastAsia="宋体" w:cs="Times New Roman"/>
                <w:color w:val="auto"/>
                <w:szCs w:val="21"/>
                <w:highlight w:val="none"/>
                <w:lang w:val="en-US" w:eastAsia="zh-CN"/>
              </w:rPr>
              <w:t>建筑材料及构配件、</w:t>
            </w:r>
            <w:r>
              <w:rPr>
                <w:rFonts w:hint="eastAsia" w:ascii="宋体" w:hAnsi="宋体" w:eastAsia="宋体" w:cs="Times New Roman"/>
                <w:color w:val="auto"/>
                <w:szCs w:val="21"/>
                <w:highlight w:val="none"/>
              </w:rPr>
              <w:t>主体结构及装饰装修、地基基础）且具有质量技术监督部门颁发的计量认证资质证书（CMA）且证书在有效期内。</w:t>
            </w:r>
          </w:p>
        </w:tc>
        <w:tc>
          <w:tcPr>
            <w:tcW w:w="3929" w:type="dxa"/>
            <w:noWrap w:val="0"/>
            <w:vAlign w:val="center"/>
          </w:tcPr>
          <w:p w14:paraId="59F4A429">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评审核验标书中的下列证书、证明材料：</w:t>
            </w:r>
          </w:p>
          <w:p w14:paraId="173D0190">
            <w:pPr>
              <w:keepNext w:val="0"/>
              <w:keepLines w:val="0"/>
              <w:suppressLineNumbers w:val="0"/>
              <w:spacing w:before="0" w:beforeAutospacing="0" w:after="0" w:afterAutospacing="0" w:line="320" w:lineRule="exact"/>
              <w:ind w:left="0" w:leftChars="0" w:right="0" w:rightChars="0"/>
              <w:rPr>
                <w:rFonts w:hint="eastAsia" w:ascii="宋体" w:hAnsiTheme="minorHAnsi" w:eastAsiaTheme="minorEastAsia" w:cstheme="minorBidi"/>
                <w:color w:val="auto"/>
                <w:kern w:val="2"/>
                <w:sz w:val="21"/>
                <w:szCs w:val="21"/>
                <w:highlight w:val="none"/>
                <w:lang w:val="en-US" w:eastAsia="zh-CN" w:bidi="ar-SA"/>
              </w:rPr>
            </w:pPr>
            <w:r>
              <w:rPr>
                <w:rFonts w:hint="eastAsia" w:ascii="宋体" w:hAnsiTheme="minorHAnsi" w:eastAsiaTheme="minorEastAsia" w:cstheme="minorBidi"/>
                <w:color w:val="auto"/>
                <w:kern w:val="2"/>
                <w:sz w:val="21"/>
                <w:szCs w:val="21"/>
                <w:highlight w:val="none"/>
                <w:lang w:val="en-US" w:eastAsia="zh-CN" w:bidi="ar-SA"/>
              </w:rPr>
              <w:t>建设行政主管部门颁发的建设工程质量检测机构综合资质证书或专项资质证书（专项资质须同时包括：</w:t>
            </w:r>
            <w:r>
              <w:rPr>
                <w:rFonts w:hint="eastAsia" w:ascii="Times New Roman" w:hAnsi="Times New Roman" w:eastAsia="宋体" w:cs="Times New Roman"/>
                <w:color w:val="auto"/>
                <w:szCs w:val="21"/>
                <w:highlight w:val="none"/>
                <w:lang w:val="en-US" w:eastAsia="zh-CN"/>
              </w:rPr>
              <w:t>建筑材料及构配件、</w:t>
            </w:r>
            <w:r>
              <w:rPr>
                <w:rFonts w:hint="eastAsia" w:ascii="宋体" w:hAnsiTheme="minorHAnsi" w:eastAsiaTheme="minorEastAsia" w:cstheme="minorBidi"/>
                <w:color w:val="auto"/>
                <w:kern w:val="2"/>
                <w:sz w:val="21"/>
                <w:szCs w:val="21"/>
                <w:highlight w:val="none"/>
                <w:lang w:val="en-US" w:eastAsia="zh-CN" w:bidi="ar-SA"/>
              </w:rPr>
              <w:t>主体结构及装饰装修、地基基础）且具有质量技术监督部门颁发的计量认证资质证书（CMA）且证书在有效期内。</w:t>
            </w:r>
          </w:p>
        </w:tc>
      </w:tr>
      <w:tr w14:paraId="1D67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3AE93AA6">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12966F9C">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58482667">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诚信投标承诺书</w:t>
            </w:r>
          </w:p>
        </w:tc>
        <w:tc>
          <w:tcPr>
            <w:tcW w:w="3929" w:type="dxa"/>
            <w:noWrap w:val="0"/>
            <w:vAlign w:val="center"/>
          </w:tcPr>
          <w:p w14:paraId="66776D04">
            <w:pPr>
              <w:keepNext w:val="0"/>
              <w:keepLines w:val="0"/>
              <w:suppressLineNumbers w:val="0"/>
              <w:spacing w:before="0" w:beforeAutospacing="0" w:after="0" w:afterAutospacing="0" w:line="360" w:lineRule="exact"/>
              <w:ind w:left="0" w:right="0"/>
              <w:jc w:val="both"/>
              <w:rPr>
                <w:rFonts w:hint="eastAsia"/>
                <w:color w:val="auto"/>
                <w:highlight w:val="none"/>
                <w:lang w:val="en-US" w:eastAsia="zh-CN"/>
              </w:rPr>
            </w:pPr>
            <w:r>
              <w:rPr>
                <w:rFonts w:hint="eastAsia"/>
                <w:color w:val="auto"/>
                <w:highlight w:val="none"/>
              </w:rPr>
              <w:t>格式见附件，检验标书</w:t>
            </w:r>
          </w:p>
        </w:tc>
      </w:tr>
      <w:tr w14:paraId="6F85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746C083C">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01676A7">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43AE89F7">
            <w:pPr>
              <w:keepNext w:val="0"/>
              <w:keepLines w:val="0"/>
              <w:suppressLineNumbers w:val="0"/>
              <w:spacing w:before="0" w:beforeAutospacing="0" w:after="0" w:afterAutospacing="0" w:line="320" w:lineRule="exact"/>
              <w:ind w:left="0" w:right="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服务承诺书</w:t>
            </w:r>
          </w:p>
        </w:tc>
        <w:tc>
          <w:tcPr>
            <w:tcW w:w="3929" w:type="dxa"/>
            <w:noWrap w:val="0"/>
            <w:vAlign w:val="center"/>
          </w:tcPr>
          <w:p w14:paraId="2775D300">
            <w:pPr>
              <w:keepNext w:val="0"/>
              <w:keepLines w:val="0"/>
              <w:suppressLineNumbers w:val="0"/>
              <w:spacing w:before="0" w:beforeAutospacing="0" w:after="0" w:afterAutospacing="0" w:line="360" w:lineRule="exact"/>
              <w:ind w:left="0" w:right="0"/>
              <w:rPr>
                <w:rFonts w:hint="eastAsia" w:ascii="宋体"/>
                <w:color w:val="auto"/>
                <w:szCs w:val="21"/>
                <w:highlight w:val="none"/>
              </w:rPr>
            </w:pPr>
            <w:r>
              <w:rPr>
                <w:rFonts w:hint="eastAsia"/>
                <w:color w:val="auto"/>
                <w:highlight w:val="none"/>
              </w:rPr>
              <w:t>格式见附件，检验标书</w:t>
            </w:r>
          </w:p>
        </w:tc>
      </w:tr>
    </w:tbl>
    <w:p w14:paraId="59D5909C">
      <w:pPr>
        <w:adjustRightInd w:val="0"/>
        <w:snapToGrid w:val="0"/>
        <w:spacing w:line="560" w:lineRule="exact"/>
        <w:jc w:val="left"/>
        <w:rPr>
          <w:rFonts w:hint="eastAsia" w:ascii="Times New Roman" w:hAnsi="Times New Roman" w:eastAsia="宋体" w:cs="Times New Roman"/>
          <w:color w:val="auto"/>
          <w:highlight w:val="none"/>
        </w:rPr>
      </w:pPr>
      <w:bookmarkStart w:id="87" w:name="_Toc60061492"/>
      <w:bookmarkStart w:id="88" w:name="_Toc15058909"/>
      <w:bookmarkStart w:id="89" w:name="_Toc506107320"/>
      <w:bookmarkStart w:id="90" w:name="_Toc95223395"/>
      <w:r>
        <w:rPr>
          <w:rFonts w:hint="eastAsia" w:ascii="Times New Roman" w:hAnsi="Times New Roman" w:eastAsia="宋体" w:cs="Times New Roman"/>
          <w:color w:val="auto"/>
          <w:highlight w:val="none"/>
        </w:rPr>
        <w:t>2.审查办法</w:t>
      </w:r>
      <w:bookmarkEnd w:id="87"/>
      <w:bookmarkEnd w:id="88"/>
      <w:bookmarkEnd w:id="89"/>
      <w:bookmarkEnd w:id="90"/>
    </w:p>
    <w:p w14:paraId="321B26C0">
      <w:pPr>
        <w:adjustRightInd w:val="0"/>
        <w:snapToGrid w:val="0"/>
        <w:spacing w:line="560" w:lineRule="exact"/>
        <w:jc w:val="left"/>
        <w:rPr>
          <w:rFonts w:hint="eastAsia" w:ascii="Times New Roman" w:hAnsi="Times New Roman" w:eastAsia="宋体" w:cs="Times New Roman"/>
          <w:color w:val="auto"/>
          <w:highlight w:val="none"/>
        </w:rPr>
      </w:pPr>
      <w:bookmarkStart w:id="91" w:name="_Toc324404868"/>
      <w:bookmarkStart w:id="92" w:name="_Toc15058910"/>
      <w:bookmarkStart w:id="93" w:name="_Toc506107321"/>
      <w:bookmarkStart w:id="94" w:name="_Toc60061493"/>
      <w:r>
        <w:rPr>
          <w:rFonts w:hint="eastAsia" w:ascii="Times New Roman" w:hAnsi="Times New Roman" w:eastAsia="宋体" w:cs="Times New Roman"/>
          <w:color w:val="auto"/>
          <w:highlight w:val="none"/>
        </w:rPr>
        <w:t>由资格审查委员会（评标委员会）按资格审查办法前附表中资格审查必要合格条件评审表要求对投标人审查资料进行核验。</w:t>
      </w:r>
    </w:p>
    <w:p w14:paraId="0266790B">
      <w:pPr>
        <w:adjustRightInd w:val="0"/>
        <w:snapToGrid w:val="0"/>
        <w:spacing w:line="560" w:lineRule="exact"/>
        <w:jc w:val="left"/>
        <w:rPr>
          <w:rFonts w:hint="eastAsia" w:ascii="Times New Roman" w:hAnsi="Times New Roman" w:eastAsia="宋体" w:cs="Times New Roman"/>
          <w:color w:val="auto"/>
          <w:highlight w:val="none"/>
        </w:rPr>
      </w:pPr>
      <w:bookmarkStart w:id="95" w:name="_Toc95223396"/>
      <w:r>
        <w:rPr>
          <w:rFonts w:hint="eastAsia" w:ascii="Times New Roman" w:hAnsi="Times New Roman" w:eastAsia="宋体" w:cs="Times New Roman"/>
          <w:color w:val="auto"/>
          <w:highlight w:val="none"/>
        </w:rPr>
        <w:t>3.资格审查委员会和审查标准</w:t>
      </w:r>
      <w:bookmarkEnd w:id="91"/>
      <w:bookmarkEnd w:id="92"/>
      <w:bookmarkEnd w:id="93"/>
      <w:bookmarkEnd w:id="94"/>
      <w:bookmarkEnd w:id="95"/>
    </w:p>
    <w:p w14:paraId="61D97452">
      <w:pPr>
        <w:adjustRightInd w:val="0"/>
        <w:snapToGrid w:val="0"/>
        <w:spacing w:line="56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3.1资格审查由招标人依法组建的资格审查委员会（或评标委员会）负责。审查标准见资格审查办法前附表。</w:t>
      </w:r>
    </w:p>
    <w:p w14:paraId="4169F58D">
      <w:pPr>
        <w:adjustRightInd w:val="0"/>
        <w:snapToGrid w:val="0"/>
        <w:spacing w:line="56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3.2由资格审查委员会（评标委员会）按资格审查办法前附表要求对投标人的审查资料进行核验。投标申请人有下列情形之一的，其资格审查为不合格： </w:t>
      </w:r>
    </w:p>
    <w:p w14:paraId="372E437E">
      <w:pPr>
        <w:adjustRightInd w:val="0"/>
        <w:snapToGrid w:val="0"/>
        <w:spacing w:line="560" w:lineRule="exact"/>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（1）标书经审查不合格</w:t>
      </w:r>
      <w:r>
        <w:rPr>
          <w:rFonts w:hint="eastAsia" w:ascii="Times New Roman" w:hAnsi="Times New Roman" w:eastAsia="宋体" w:cs="Times New Roman"/>
          <w:color w:val="auto"/>
          <w:highlight w:val="none"/>
          <w:lang w:val="en-US" w:eastAsia="zh-CN"/>
        </w:rPr>
        <w:t>。</w:t>
      </w:r>
    </w:p>
    <w:p w14:paraId="53344F6A">
      <w:pPr>
        <w:adjustRightInd w:val="0"/>
        <w:snapToGrid w:val="0"/>
        <w:spacing w:line="560" w:lineRule="exact"/>
        <w:jc w:val="left"/>
        <w:rPr>
          <w:rFonts w:hint="eastAsia" w:ascii="Times New Roman" w:hAnsi="Times New Roman" w:eastAsia="宋体" w:cs="Times New Roman"/>
          <w:color w:val="auto"/>
          <w:highlight w:val="none"/>
        </w:rPr>
      </w:pPr>
      <w:bookmarkStart w:id="96" w:name="_Toc324404869"/>
      <w:bookmarkStart w:id="97" w:name="_Toc95223397"/>
      <w:bookmarkStart w:id="98" w:name="_Toc60061494"/>
      <w:bookmarkStart w:id="99" w:name="_Toc15058911"/>
      <w:bookmarkStart w:id="100" w:name="_Toc506107322"/>
      <w:r>
        <w:rPr>
          <w:rFonts w:hint="eastAsia" w:ascii="Times New Roman" w:hAnsi="Times New Roman" w:eastAsia="宋体" w:cs="Times New Roman"/>
          <w:color w:val="auto"/>
          <w:highlight w:val="none"/>
        </w:rPr>
        <w:t>4.审查结果</w:t>
      </w:r>
      <w:bookmarkEnd w:id="96"/>
      <w:bookmarkEnd w:id="97"/>
      <w:bookmarkEnd w:id="98"/>
      <w:bookmarkEnd w:id="99"/>
      <w:bookmarkEnd w:id="100"/>
    </w:p>
    <w:p w14:paraId="6007EC74">
      <w:pPr>
        <w:adjustRightInd w:val="0"/>
        <w:snapToGrid w:val="0"/>
        <w:spacing w:line="56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只有通过资格审查的投标人才能进入下一步的评标程序。</w:t>
      </w:r>
    </w:p>
    <w:p w14:paraId="376529F2">
      <w:pPr>
        <w:adjustRightInd w:val="0"/>
        <w:snapToGrid w:val="0"/>
        <w:spacing w:line="560" w:lineRule="exact"/>
        <w:jc w:val="center"/>
        <w:rPr>
          <w:rFonts w:hint="eastAsia" w:ascii="宋体" w:hAnsi="宋体" w:eastAsia="宋体" w:cs="宋体"/>
          <w:b/>
          <w:bCs/>
          <w:color w:val="auto"/>
          <w:kern w:val="0"/>
          <w:sz w:val="28"/>
          <w:szCs w:val="28"/>
          <w:highlight w:val="none"/>
          <w:u w:color="000000"/>
          <w:lang w:val="en-US" w:eastAsia="zh-CN" w:bidi="ar"/>
        </w:rPr>
      </w:pPr>
    </w:p>
    <w:p w14:paraId="741433A6">
      <w:pPr>
        <w:adjustRightInd w:val="0"/>
        <w:snapToGrid w:val="0"/>
        <w:spacing w:line="560" w:lineRule="exact"/>
        <w:jc w:val="center"/>
        <w:rPr>
          <w:rFonts w:hint="default" w:ascii="宋体" w:hAnsi="宋体" w:eastAsia="宋体" w:cs="宋体"/>
          <w:b/>
          <w:bCs/>
          <w:color w:val="auto"/>
          <w:sz w:val="28"/>
          <w:szCs w:val="28"/>
          <w:highlight w:val="none"/>
          <w:lang w:val="en-US"/>
        </w:rPr>
      </w:pPr>
      <w:r>
        <w:rPr>
          <w:rFonts w:hint="eastAsia" w:ascii="宋体" w:hAnsi="宋体" w:eastAsia="宋体" w:cs="宋体"/>
          <w:b/>
          <w:bCs/>
          <w:color w:val="auto"/>
          <w:kern w:val="0"/>
          <w:sz w:val="28"/>
          <w:szCs w:val="28"/>
          <w:highlight w:val="none"/>
          <w:u w:color="000000"/>
          <w:lang w:val="en-US" w:eastAsia="zh-CN" w:bidi="ar"/>
        </w:rPr>
        <w:t xml:space="preserve">第四章  </w:t>
      </w:r>
      <w:r>
        <w:rPr>
          <w:rFonts w:hint="eastAsia" w:ascii="宋体" w:hAnsi="宋体" w:eastAsia="宋体" w:cs="宋体"/>
          <w:b/>
          <w:bCs w:val="0"/>
          <w:color w:val="auto"/>
          <w:kern w:val="44"/>
          <w:sz w:val="28"/>
          <w:szCs w:val="28"/>
          <w:highlight w:val="none"/>
          <w:u w:color="000000"/>
          <w:lang w:val="en-US" w:eastAsia="zh-CN" w:bidi="ar"/>
        </w:rPr>
        <w:t>评标办法</w:t>
      </w:r>
    </w:p>
    <w:p w14:paraId="2779DC24">
      <w:pPr>
        <w:spacing w:beforeLines="50" w:afterLines="50" w:line="440" w:lineRule="exact"/>
        <w:jc w:val="center"/>
        <w:rPr>
          <w:rFonts w:ascii="宋体" w:hAnsi="宋体" w:cs="宋体"/>
          <w:b/>
          <w:bCs/>
          <w:color w:val="auto"/>
          <w:sz w:val="28"/>
          <w:szCs w:val="28"/>
          <w:highlight w:val="none"/>
        </w:rPr>
      </w:pPr>
      <w:bookmarkStart w:id="101" w:name="_Toc23254"/>
      <w:bookmarkEnd w:id="101"/>
      <w:bookmarkStart w:id="102" w:name="_Toc35424946"/>
      <w:bookmarkStart w:id="103" w:name="_Toc35425112"/>
      <w:bookmarkStart w:id="104" w:name="_Hlk61815781"/>
      <w:bookmarkStart w:id="105" w:name="_Toc363135205"/>
      <w:r>
        <w:rPr>
          <w:rFonts w:hint="eastAsia" w:ascii="宋体" w:hAnsi="宋体" w:cs="宋体"/>
          <w:b/>
          <w:bCs/>
          <w:color w:val="auto"/>
          <w:sz w:val="28"/>
          <w:szCs w:val="28"/>
          <w:highlight w:val="none"/>
        </w:rPr>
        <w:t>评标办法前附表</w:t>
      </w:r>
      <w:bookmarkEnd w:id="102"/>
      <w:bookmarkEnd w:id="103"/>
    </w:p>
    <w:p w14:paraId="15652439">
      <w:pPr>
        <w:numPr>
          <w:ilvl w:val="0"/>
          <w:numId w:val="1"/>
        </w:numPr>
        <w:spacing w:beforeLines="50" w:afterLines="50"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资信标评分细则（满分</w:t>
      </w:r>
      <w:r>
        <w:rPr>
          <w:rFonts w:hint="eastAsia" w:ascii="宋体" w:hAnsi="宋体" w:cs="宋体"/>
          <w:b/>
          <w:bCs/>
          <w:color w:val="auto"/>
          <w:sz w:val="24"/>
          <w:highlight w:val="none"/>
          <w:lang w:val="en-US" w:eastAsia="zh-CN"/>
        </w:rPr>
        <w:t>35</w:t>
      </w:r>
      <w:r>
        <w:rPr>
          <w:rFonts w:hint="eastAsia" w:ascii="宋体" w:hAnsi="宋体" w:cs="宋体"/>
          <w:b/>
          <w:bCs/>
          <w:color w:val="auto"/>
          <w:sz w:val="24"/>
          <w:highlight w:val="none"/>
        </w:rPr>
        <w:t>分）</w:t>
      </w:r>
    </w:p>
    <w:tbl>
      <w:tblPr>
        <w:tblStyle w:val="25"/>
        <w:tblW w:w="9445"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7227"/>
      </w:tblGrid>
      <w:tr w14:paraId="3A38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18" w:type="dxa"/>
            <w:vAlign w:val="center"/>
          </w:tcPr>
          <w:p w14:paraId="521FE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center"/>
              <w:textAlignment w:val="auto"/>
              <w:rPr>
                <w:rFonts w:hint="eastAsia"/>
                <w:color w:val="auto"/>
                <w:highlight w:val="none"/>
                <w:vertAlign w:val="baseline"/>
                <w:lang w:val="en-US" w:eastAsia="zh-CN"/>
              </w:rPr>
            </w:pPr>
            <w:r>
              <w:rPr>
                <w:rFonts w:hint="eastAsia" w:ascii="宋体" w:hAnsi="宋体" w:eastAsia="宋体" w:cs="宋体"/>
                <w:b/>
                <w:bCs/>
                <w:color w:val="auto"/>
                <w:sz w:val="21"/>
                <w:szCs w:val="21"/>
                <w:highlight w:val="none"/>
              </w:rPr>
              <w:t>评审因素</w:t>
            </w:r>
          </w:p>
        </w:tc>
        <w:tc>
          <w:tcPr>
            <w:tcW w:w="7227" w:type="dxa"/>
            <w:vAlign w:val="center"/>
          </w:tcPr>
          <w:p w14:paraId="7CFCF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center"/>
              <w:textAlignment w:val="auto"/>
              <w:rPr>
                <w:rFonts w:hint="eastAsia"/>
                <w:color w:val="auto"/>
                <w:highlight w:val="none"/>
                <w:vertAlign w:val="baseline"/>
                <w:lang w:val="en-US" w:eastAsia="zh-CN"/>
              </w:rPr>
            </w:pPr>
            <w:r>
              <w:rPr>
                <w:rFonts w:hint="eastAsia" w:ascii="宋体" w:hAnsi="宋体" w:eastAsia="宋体" w:cs="宋体"/>
                <w:b/>
                <w:bCs/>
                <w:color w:val="auto"/>
                <w:sz w:val="21"/>
                <w:szCs w:val="21"/>
                <w:highlight w:val="none"/>
              </w:rPr>
              <w:t>评审标准</w:t>
            </w:r>
          </w:p>
        </w:tc>
      </w:tr>
      <w:tr w14:paraId="49AE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18" w:type="dxa"/>
            <w:vAlign w:val="center"/>
          </w:tcPr>
          <w:p w14:paraId="1ABC1029">
            <w:pPr>
              <w:keepNext w:val="0"/>
              <w:keepLines w:val="0"/>
              <w:suppressLineNumbers w:val="0"/>
              <w:spacing w:before="0" w:beforeAutospacing="0" w:after="0" w:afterAutospacing="0" w:line="500" w:lineRule="exact"/>
              <w:ind w:left="0" w:leftChars="0" w:right="0" w:rightChars="0" w:firstLine="28"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企业业绩</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20分</w:t>
            </w:r>
            <w:r>
              <w:rPr>
                <w:rFonts w:hint="eastAsia" w:ascii="宋体" w:hAnsi="宋体" w:eastAsia="宋体" w:cs="宋体"/>
                <w:bCs/>
                <w:color w:val="auto"/>
                <w:szCs w:val="21"/>
                <w:highlight w:val="none"/>
                <w:lang w:eastAsia="zh-CN"/>
              </w:rPr>
              <w:t>）</w:t>
            </w:r>
          </w:p>
        </w:tc>
        <w:tc>
          <w:tcPr>
            <w:tcW w:w="7227" w:type="dxa"/>
            <w:vAlign w:val="center"/>
          </w:tcPr>
          <w:p w14:paraId="21297235">
            <w:pPr>
              <w:keepNext w:val="0"/>
              <w:keepLines w:val="0"/>
              <w:pageBreakBefore w:val="0"/>
              <w:widowControl w:val="0"/>
              <w:suppressLineNumbers w:val="0"/>
              <w:kinsoku/>
              <w:wordWrap/>
              <w:overflowPunct/>
              <w:topLinePunct w:val="0"/>
              <w:bidi w:val="0"/>
              <w:adjustRightInd w:val="0"/>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自20</w:t>
            </w:r>
            <w:r>
              <w:rPr>
                <w:rFonts w:hint="eastAsia" w:ascii="宋体" w:hAnsi="宋体" w:eastAsia="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lang w:val="zh-CN" w:eastAsia="zh-CN"/>
              </w:rPr>
              <w:t>年</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eastAsia="zh-CN"/>
              </w:rPr>
              <w:t>月1日以来(以合同签订日期为准)，</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b w:val="0"/>
                <w:bCs w:val="0"/>
                <w:color w:val="auto"/>
                <w:sz w:val="21"/>
                <w:szCs w:val="21"/>
                <w:highlight w:val="none"/>
                <w:lang w:val="zh-CN" w:eastAsia="zh-CN"/>
              </w:rPr>
              <w:t>结构安全鉴定检测业绩（业绩内容中须包含主体结构、地基基础检测的其中一项），每</w:t>
            </w:r>
            <w:r>
              <w:rPr>
                <w:rFonts w:hint="eastAsia" w:ascii="宋体" w:hAnsi="宋体" w:eastAsia="宋体" w:cs="宋体"/>
                <w:b w:val="0"/>
                <w:bCs w:val="0"/>
                <w:color w:val="auto"/>
                <w:sz w:val="21"/>
                <w:szCs w:val="21"/>
                <w:highlight w:val="none"/>
                <w:lang w:val="en-US" w:eastAsia="zh-CN"/>
              </w:rPr>
              <w:t>有1个</w:t>
            </w:r>
            <w:r>
              <w:rPr>
                <w:rFonts w:hint="eastAsia" w:ascii="宋体" w:hAnsi="宋体" w:eastAsia="宋体" w:cs="宋体"/>
                <w:b w:val="0"/>
                <w:bCs w:val="0"/>
                <w:color w:val="auto"/>
                <w:sz w:val="21"/>
                <w:szCs w:val="21"/>
                <w:highlight w:val="none"/>
                <w:lang w:val="zh-CN" w:eastAsia="zh-CN"/>
              </w:rPr>
              <w:t>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zh-CN" w:eastAsia="zh-CN"/>
              </w:rPr>
              <w:t>分，最高得</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zh-CN" w:eastAsia="zh-CN"/>
              </w:rPr>
              <w:t>分(续签合同不予认可)。</w:t>
            </w:r>
          </w:p>
          <w:p w14:paraId="681A0DE4">
            <w:pPr>
              <w:keepNext w:val="0"/>
              <w:keepLines w:val="0"/>
              <w:pageBreakBefore w:val="0"/>
              <w:widowControl w:val="0"/>
              <w:suppressLineNumbers w:val="0"/>
              <w:kinsoku/>
              <w:wordWrap/>
              <w:overflowPunct/>
              <w:topLinePunct w:val="0"/>
              <w:bidi w:val="0"/>
              <w:adjustRightInd w:val="0"/>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zh-CN" w:eastAsia="zh-CN"/>
              </w:rPr>
              <w:t>注：</w:t>
            </w:r>
            <w:r>
              <w:rPr>
                <w:rFonts w:hint="eastAsia" w:ascii="宋体" w:hAnsi="宋体" w:eastAsia="宋体" w:cs="宋体"/>
                <w:b/>
                <w:bCs/>
                <w:color w:val="auto"/>
                <w:sz w:val="21"/>
                <w:szCs w:val="21"/>
                <w:highlight w:val="none"/>
                <w:lang w:val="en-US" w:eastAsia="zh-CN"/>
              </w:rPr>
              <w:t>投标文件中提供业绩合同扫描件，若合同中无法体现签订时间、服务内容等关键评审因素的，须同时提供业主(合同甲方)证明材料扫描件。</w:t>
            </w:r>
          </w:p>
        </w:tc>
      </w:tr>
      <w:tr w14:paraId="1A27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18" w:type="dxa"/>
            <w:vAlign w:val="center"/>
          </w:tcPr>
          <w:p w14:paraId="174F102C">
            <w:pPr>
              <w:keepNext w:val="0"/>
              <w:keepLines w:val="0"/>
              <w:suppressLineNumbers w:val="0"/>
              <w:spacing w:before="0" w:beforeAutospacing="0" w:after="0" w:afterAutospacing="0" w:line="500" w:lineRule="exact"/>
              <w:ind w:left="0" w:right="0" w:firstLine="28" w:firstLineChars="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企业实力</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9分</w:t>
            </w:r>
            <w:r>
              <w:rPr>
                <w:rFonts w:hint="eastAsia" w:ascii="宋体" w:hAnsi="宋体" w:eastAsia="宋体" w:cs="宋体"/>
                <w:bCs/>
                <w:color w:val="auto"/>
                <w:szCs w:val="21"/>
                <w:highlight w:val="none"/>
                <w:lang w:eastAsia="zh-CN"/>
              </w:rPr>
              <w:t>）</w:t>
            </w:r>
          </w:p>
        </w:tc>
        <w:tc>
          <w:tcPr>
            <w:tcW w:w="7227" w:type="dxa"/>
            <w:vAlign w:val="center"/>
          </w:tcPr>
          <w:p w14:paraId="261DD0A3">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exact"/>
              <w:ind w:left="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（1）投标人具备在有效期内的质量管理体系认证证书、环境管理体系认证证书、职业健康安全管理体系认证证书，每提供一个得2分，其他的不得分，本项最高得6分。</w:t>
            </w:r>
          </w:p>
          <w:p w14:paraId="45323458">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exact"/>
              <w:ind w:left="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（2）投标人具有CNAS实验室认可资质的得3分，其他的不得分，本项最高得3分。</w:t>
            </w:r>
          </w:p>
          <w:p w14:paraId="2BB56D7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注：投标文件中提供相应证书或证明材料的</w:t>
            </w:r>
            <w:r>
              <w:rPr>
                <w:rFonts w:hint="default" w:ascii="宋体" w:hAnsi="宋体" w:eastAsia="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lang w:val="en-US" w:eastAsia="zh-CN"/>
              </w:rPr>
              <w:t>；</w:t>
            </w:r>
          </w:p>
        </w:tc>
      </w:tr>
      <w:tr w14:paraId="0012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trPr>
        <w:tc>
          <w:tcPr>
            <w:tcW w:w="2218" w:type="dxa"/>
            <w:vAlign w:val="center"/>
          </w:tcPr>
          <w:p w14:paraId="4BA2838A">
            <w:pPr>
              <w:keepNext w:val="0"/>
              <w:keepLines w:val="0"/>
              <w:suppressLineNumbers w:val="0"/>
              <w:spacing w:before="0" w:beforeAutospacing="0" w:after="0" w:afterAutospacing="0" w:line="500" w:lineRule="exact"/>
              <w:ind w:left="0" w:right="0" w:firstLine="28" w:firstLineChars="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人员配备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6分</w:t>
            </w:r>
            <w:r>
              <w:rPr>
                <w:rFonts w:hint="eastAsia" w:ascii="宋体" w:hAnsi="宋体" w:eastAsia="宋体" w:cs="宋体"/>
                <w:bCs/>
                <w:color w:val="auto"/>
                <w:szCs w:val="21"/>
                <w:highlight w:val="none"/>
                <w:lang w:eastAsia="zh-CN"/>
              </w:rPr>
              <w:t>）</w:t>
            </w:r>
          </w:p>
        </w:tc>
        <w:tc>
          <w:tcPr>
            <w:tcW w:w="7227" w:type="dxa"/>
            <w:vAlign w:val="center"/>
          </w:tcPr>
          <w:p w14:paraId="07BF8AD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拟为本项目配备的项目负责人（仅限1人）：</w:t>
            </w:r>
          </w:p>
          <w:p w14:paraId="33A3DB3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（1）具备一级注册结构工程师证书的得3分，其他的不得分，本项最高得3分。</w:t>
            </w:r>
          </w:p>
          <w:p w14:paraId="03672F7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（2）具有工程类高级工程师或以上职称的得3分，其他的不得分，本项最高得3分。</w:t>
            </w:r>
          </w:p>
          <w:p w14:paraId="15F3B3A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注：同时提供下列材料扫描件</w:t>
            </w:r>
          </w:p>
          <w:p w14:paraId="08277FB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①投标文件中提供证书扫描件。</w:t>
            </w:r>
          </w:p>
          <w:p w14:paraId="2665690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w:t>
            </w:r>
            <w:r>
              <w:rPr>
                <w:rFonts w:hint="eastAsia" w:ascii="宋体" w:hAnsi="宋体" w:cs="宋体"/>
                <w:b/>
                <w:bCs/>
                <w:color w:val="auto"/>
                <w:sz w:val="21"/>
                <w:szCs w:val="21"/>
                <w:highlight w:val="none"/>
              </w:rPr>
              <w:t>须持有社保部门出具的本单位为其缴纳的投标前近三个月连续的养老保险证明（证明文件两个月内有效）</w:t>
            </w:r>
            <w:r>
              <w:rPr>
                <w:rFonts w:hint="eastAsia" w:ascii="宋体" w:hAnsi="宋体" w:eastAsia="宋体" w:cs="宋体"/>
                <w:b/>
                <w:bCs/>
                <w:color w:val="auto"/>
                <w:sz w:val="21"/>
                <w:szCs w:val="21"/>
                <w:highlight w:val="none"/>
              </w:rPr>
              <w:t>；投标人是事业单位或事业单位附属单位的，须由其主管部门出具证明。</w:t>
            </w:r>
          </w:p>
        </w:tc>
      </w:tr>
    </w:tbl>
    <w:p w14:paraId="4B29CD3F">
      <w:pPr>
        <w:numPr>
          <w:ilvl w:val="0"/>
          <w:numId w:val="1"/>
        </w:numPr>
        <w:spacing w:beforeLines="50" w:afterLines="50" w:line="440" w:lineRule="exact"/>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技术标评分细则（</w:t>
      </w:r>
      <w:r>
        <w:rPr>
          <w:rFonts w:hint="eastAsia" w:ascii="宋体" w:hAnsi="宋体" w:cs="宋体"/>
          <w:b/>
          <w:bCs/>
          <w:color w:val="auto"/>
          <w:sz w:val="24"/>
          <w:highlight w:val="none"/>
        </w:rPr>
        <w:t>满分</w:t>
      </w:r>
      <w:r>
        <w:rPr>
          <w:rFonts w:hint="eastAsia" w:ascii="宋体" w:hAnsi="宋体" w:cs="宋体"/>
          <w:b/>
          <w:bCs/>
          <w:color w:val="auto"/>
          <w:sz w:val="24"/>
          <w:highlight w:val="none"/>
          <w:lang w:val="en-US" w:eastAsia="zh-CN"/>
        </w:rPr>
        <w:t>35分）</w:t>
      </w:r>
    </w:p>
    <w:tbl>
      <w:tblPr>
        <w:tblStyle w:val="24"/>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14:paraId="363F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5BA1C46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14:paraId="2AD596B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14:paraId="08AAE95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6F1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2C8A19E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155703C4">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14:paraId="697E12A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14:paraId="6B81435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六</w:t>
            </w:r>
            <w:r>
              <w:rPr>
                <w:rFonts w:hint="eastAsia"/>
                <w:color w:val="auto"/>
                <w:highlight w:val="none"/>
              </w:rPr>
              <w:t>章“投标文件格式”的要求，</w:t>
            </w:r>
          </w:p>
          <w:p w14:paraId="335693F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否则经评委会一致认定后,按照无效投标处理。</w:t>
            </w:r>
          </w:p>
        </w:tc>
      </w:tr>
      <w:tr w14:paraId="2FF9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70B2C0C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143432F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14:paraId="6C0776C2">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14:paraId="50164C91">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7702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08F1085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39816D6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14:paraId="74F340C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14:paraId="675C596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5A3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13117E6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776CF432">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14:paraId="77248FB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14:paraId="3B06949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1AF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4" w:type="dxa"/>
            <w:vMerge w:val="restart"/>
            <w:noWrap w:val="0"/>
            <w:vAlign w:val="center"/>
          </w:tcPr>
          <w:p w14:paraId="65930D98">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14:paraId="4CA31698">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技术标评分标准（</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p>
          <w:p w14:paraId="0930797B">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lang w:eastAsia="zh-CN"/>
              </w:rPr>
            </w:pPr>
          </w:p>
        </w:tc>
        <w:tc>
          <w:tcPr>
            <w:tcW w:w="2610" w:type="dxa"/>
            <w:noWrap w:val="0"/>
            <w:vAlign w:val="center"/>
          </w:tcPr>
          <w:p w14:paraId="0CA2618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鉴定检测实施组织计划（10分）</w:t>
            </w:r>
          </w:p>
        </w:tc>
        <w:tc>
          <w:tcPr>
            <w:tcW w:w="5614" w:type="dxa"/>
            <w:shd w:val="clear" w:color="auto" w:fill="auto"/>
            <w:noWrap w:val="0"/>
            <w:vAlign w:val="center"/>
          </w:tcPr>
          <w:p w14:paraId="5B70EB7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根据供应商提供的</w:t>
            </w:r>
            <w:r>
              <w:rPr>
                <w:rFonts w:hint="eastAsia" w:ascii="宋体" w:hAnsi="宋体" w:eastAsia="宋体" w:cs="宋体"/>
                <w:color w:val="auto"/>
                <w:sz w:val="21"/>
                <w:szCs w:val="21"/>
                <w:highlight w:val="none"/>
                <w:lang w:val="en-US" w:eastAsia="zh-CN"/>
              </w:rPr>
              <w:t>鉴定检测</w:t>
            </w:r>
            <w:r>
              <w:rPr>
                <w:rFonts w:hint="eastAsia" w:ascii="宋体" w:hAnsi="宋体" w:eastAsia="宋体" w:cs="宋体"/>
                <w:color w:val="auto"/>
                <w:sz w:val="21"/>
                <w:szCs w:val="21"/>
                <w:highlight w:val="none"/>
                <w:lang w:eastAsia="zh-CN"/>
              </w:rPr>
              <w:t>组织</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(包括但不限于</w:t>
            </w:r>
            <w:r>
              <w:rPr>
                <w:rFonts w:hint="eastAsia" w:ascii="宋体" w:hAnsi="宋体" w:eastAsia="宋体" w:cs="宋体"/>
                <w:color w:val="auto"/>
                <w:sz w:val="21"/>
                <w:szCs w:val="21"/>
                <w:highlight w:val="none"/>
                <w:lang w:val="en-US" w:eastAsia="zh-CN"/>
              </w:rPr>
              <w:t>检测人员组织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鉴定检测</w:t>
            </w:r>
            <w:r>
              <w:rPr>
                <w:rFonts w:hint="eastAsia" w:ascii="宋体" w:hAnsi="宋体" w:eastAsia="宋体" w:cs="宋体"/>
                <w:color w:val="auto"/>
                <w:sz w:val="21"/>
                <w:szCs w:val="21"/>
                <w:highlight w:val="none"/>
                <w:lang w:eastAsia="zh-CN"/>
              </w:rPr>
              <w:t>计划</w:t>
            </w:r>
            <w:r>
              <w:rPr>
                <w:rFonts w:hint="eastAsia" w:ascii="宋体" w:hAnsi="宋体" w:eastAsia="宋体" w:cs="宋体"/>
                <w:color w:val="auto"/>
                <w:sz w:val="21"/>
                <w:szCs w:val="21"/>
                <w:highlight w:val="none"/>
                <w:lang w:val="en-US" w:eastAsia="zh-CN"/>
              </w:rPr>
              <w:t>安排</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检测设备仪器投入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检测报告时限、不合格信息处理</w:t>
            </w:r>
            <w:r>
              <w:rPr>
                <w:rFonts w:hint="eastAsia" w:ascii="宋体" w:hAnsi="宋体" w:eastAsia="宋体" w:cs="宋体"/>
                <w:color w:val="auto"/>
                <w:sz w:val="21"/>
                <w:szCs w:val="21"/>
                <w:highlight w:val="none"/>
                <w:lang w:eastAsia="zh-CN"/>
              </w:rPr>
              <w:t>进行综合评分：</w:t>
            </w:r>
          </w:p>
          <w:p w14:paraId="04C1480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（1）详尽，定位准确，针对性强的，得10分；</w:t>
            </w:r>
          </w:p>
          <w:p w14:paraId="2A884FD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（2）较详尽，定位较准确，针对性较强的，得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173ADE21">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（3）进一步完善的，得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50D4D16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z w:val="21"/>
                <w:szCs w:val="21"/>
                <w:highlight w:val="none"/>
                <w:lang w:val="en-US" w:eastAsia="zh-CN"/>
              </w:rPr>
              <w:t>内容简单，描述一般的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分；</w:t>
            </w:r>
          </w:p>
          <w:p w14:paraId="3E63E5D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）内容与本项目不符或未提供的不得分。</w:t>
            </w:r>
          </w:p>
        </w:tc>
      </w:tr>
      <w:tr w14:paraId="0A45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4" w:type="dxa"/>
            <w:vMerge w:val="continue"/>
            <w:noWrap w:val="0"/>
            <w:vAlign w:val="center"/>
          </w:tcPr>
          <w:p w14:paraId="38AB0E89">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5B861C55">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lang w:eastAsia="zh-CN"/>
              </w:rPr>
            </w:pPr>
          </w:p>
        </w:tc>
        <w:tc>
          <w:tcPr>
            <w:tcW w:w="2610" w:type="dxa"/>
            <w:shd w:val="clear" w:color="auto" w:fill="auto"/>
            <w:noWrap w:val="0"/>
            <w:vAlign w:val="center"/>
          </w:tcPr>
          <w:p w14:paraId="377D87D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鉴定</w:t>
            </w:r>
            <w:r>
              <w:rPr>
                <w:rFonts w:hint="eastAsia" w:ascii="宋体" w:hAnsi="宋体" w:eastAsia="宋体" w:cs="宋体"/>
                <w:color w:val="auto"/>
                <w:sz w:val="21"/>
                <w:szCs w:val="21"/>
                <w:highlight w:val="none"/>
                <w:lang w:eastAsia="zh-CN"/>
              </w:rPr>
              <w:t>检测和试验质量保障方案</w:t>
            </w:r>
            <w:r>
              <w:rPr>
                <w:rFonts w:hint="eastAsia" w:ascii="宋体" w:hAnsi="宋体" w:eastAsia="宋体" w:cs="宋体"/>
                <w:color w:val="auto"/>
                <w:sz w:val="21"/>
                <w:szCs w:val="21"/>
                <w:highlight w:val="none"/>
                <w:lang w:val="en-US" w:eastAsia="zh-CN"/>
              </w:rPr>
              <w:t>（15分）</w:t>
            </w:r>
          </w:p>
        </w:tc>
        <w:tc>
          <w:tcPr>
            <w:tcW w:w="5614" w:type="dxa"/>
            <w:shd w:val="clear" w:color="auto" w:fill="auto"/>
            <w:noWrap w:val="0"/>
            <w:vAlign w:val="center"/>
          </w:tcPr>
          <w:p w14:paraId="61E44AB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根据供应商提供的</w:t>
            </w:r>
            <w:r>
              <w:rPr>
                <w:rFonts w:hint="eastAsia" w:ascii="宋体" w:hAnsi="宋体" w:eastAsia="宋体" w:cs="宋体"/>
                <w:color w:val="auto"/>
                <w:sz w:val="21"/>
                <w:szCs w:val="21"/>
                <w:highlight w:val="none"/>
                <w:lang w:val="en-US" w:eastAsia="zh-CN"/>
              </w:rPr>
              <w:t>鉴定</w:t>
            </w:r>
            <w:r>
              <w:rPr>
                <w:rFonts w:hint="eastAsia" w:ascii="宋体" w:hAnsi="宋体" w:eastAsia="宋体" w:cs="宋体"/>
                <w:color w:val="auto"/>
                <w:sz w:val="21"/>
                <w:szCs w:val="21"/>
                <w:highlight w:val="none"/>
                <w:lang w:eastAsia="zh-CN"/>
              </w:rPr>
              <w:t>检测和试验质量保障方案(包括但不限于质量管理、保障措施)进行综合评分：</w:t>
            </w:r>
          </w:p>
          <w:p w14:paraId="1DD3964B">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（1）方案全面详尽，定位准确，针对性强的，得1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5FD8E484">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（2）方案较全面较详尽，定位较准确，针对性较强的，得</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分；</w:t>
            </w:r>
          </w:p>
          <w:p w14:paraId="221A8E7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（3）方案有待进一步完善的，得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分；</w:t>
            </w:r>
          </w:p>
          <w:p w14:paraId="6DDC2658">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z w:val="21"/>
                <w:szCs w:val="21"/>
                <w:highlight w:val="none"/>
                <w:lang w:val="en-US" w:eastAsia="zh-CN"/>
              </w:rPr>
              <w:t>内容简单，描述一般的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2915208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）内容与本项目不符或未提供的不得分。</w:t>
            </w:r>
          </w:p>
        </w:tc>
      </w:tr>
      <w:tr w14:paraId="5DEE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4" w:type="dxa"/>
            <w:vMerge w:val="continue"/>
            <w:noWrap w:val="0"/>
            <w:vAlign w:val="center"/>
          </w:tcPr>
          <w:p w14:paraId="1531A05B">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558CC90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lang w:eastAsia="zh-CN"/>
              </w:rPr>
            </w:pPr>
          </w:p>
        </w:tc>
        <w:tc>
          <w:tcPr>
            <w:tcW w:w="2610" w:type="dxa"/>
            <w:noWrap w:val="0"/>
            <w:vAlign w:val="center"/>
          </w:tcPr>
          <w:p w14:paraId="6E19B40A">
            <w:pPr>
              <w:pStyle w:val="21"/>
              <w:keepNext w:val="0"/>
              <w:keepLines w:val="0"/>
              <w:widowControl/>
              <w:suppressLineNumbers w:val="0"/>
              <w:spacing w:line="360" w:lineRule="auto"/>
              <w:ind w:left="0" w:firstLine="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重难点分析及合理化建议（10分）</w:t>
            </w:r>
          </w:p>
        </w:tc>
        <w:tc>
          <w:tcPr>
            <w:tcW w:w="5614" w:type="dxa"/>
            <w:shd w:val="clear" w:color="auto" w:fill="auto"/>
            <w:noWrap w:val="0"/>
            <w:vAlign w:val="center"/>
          </w:tcPr>
          <w:p w14:paraId="5624C0AD">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根据供应商提供的</w:t>
            </w:r>
            <w:r>
              <w:rPr>
                <w:rFonts w:hint="eastAsia" w:ascii="宋体" w:hAnsi="宋体" w:eastAsia="宋体" w:cs="宋体"/>
                <w:color w:val="auto"/>
                <w:sz w:val="21"/>
                <w:szCs w:val="21"/>
                <w:highlight w:val="none"/>
                <w:lang w:val="en-US" w:eastAsia="zh-CN"/>
              </w:rPr>
              <w:t>鉴定</w:t>
            </w:r>
            <w:r>
              <w:rPr>
                <w:rFonts w:hint="eastAsia" w:ascii="宋体" w:hAnsi="宋体" w:eastAsia="宋体" w:cs="宋体"/>
                <w:color w:val="auto"/>
                <w:kern w:val="2"/>
                <w:sz w:val="21"/>
                <w:szCs w:val="21"/>
                <w:highlight w:val="none"/>
                <w:lang w:val="en-US" w:eastAsia="zh-CN" w:bidi="ar-SA"/>
              </w:rPr>
              <w:t>重难点分析及合理化建议</w:t>
            </w:r>
            <w:r>
              <w:rPr>
                <w:rFonts w:hint="eastAsia" w:ascii="宋体" w:hAnsi="宋体" w:eastAsia="宋体" w:cs="宋体"/>
                <w:color w:val="auto"/>
                <w:sz w:val="21"/>
                <w:szCs w:val="21"/>
                <w:highlight w:val="none"/>
                <w:lang w:eastAsia="zh-CN"/>
              </w:rPr>
              <w:t>(包括但不限于服务工作重点与难点分析及措施、合理化建议</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)进行综合评分：</w:t>
            </w:r>
          </w:p>
          <w:p w14:paraId="0A3D33B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（1）方案全面详尽，定位准确，针对性强的，得10分；</w:t>
            </w:r>
          </w:p>
          <w:p w14:paraId="1A492A2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（2）方案较全面较详尽，定位较准确，针对性较强的，得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7085F435">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（3）方案有待进一步完善的，得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12643BF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z w:val="21"/>
                <w:szCs w:val="21"/>
                <w:highlight w:val="none"/>
                <w:lang w:val="en-US" w:eastAsia="zh-CN"/>
              </w:rPr>
              <w:t>内容简单，描述一般的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分；</w:t>
            </w:r>
          </w:p>
          <w:p w14:paraId="3B731B7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）内容与本项目不符或未提供的不得分。</w:t>
            </w:r>
          </w:p>
        </w:tc>
      </w:tr>
    </w:tbl>
    <w:p w14:paraId="1900A920">
      <w:pPr>
        <w:pStyle w:val="61"/>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备注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该项由专家评委评审打分，取所有评委评分的平均值为最终得分，保留两位小数点，第三位四舍五入</w:t>
      </w:r>
      <w:r>
        <w:rPr>
          <w:rFonts w:hint="eastAsia" w:ascii="宋体" w:hAnsi="宋体" w:cs="宋体"/>
          <w:b/>
          <w:bCs/>
          <w:color w:val="auto"/>
          <w:szCs w:val="21"/>
          <w:highlight w:val="none"/>
          <w:lang w:eastAsia="zh-CN"/>
        </w:rPr>
        <w:t>。</w:t>
      </w:r>
    </w:p>
    <w:p w14:paraId="6926B4ED">
      <w:pPr>
        <w:numPr>
          <w:ilvl w:val="0"/>
          <w:numId w:val="1"/>
        </w:numPr>
        <w:spacing w:beforeLines="50" w:afterLines="50" w:line="440" w:lineRule="exact"/>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商务标评审（满分30分）</w:t>
      </w:r>
    </w:p>
    <w:tbl>
      <w:tblPr>
        <w:tblStyle w:val="24"/>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4727"/>
      </w:tblGrid>
      <w:tr w14:paraId="17D9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23F2FBC1">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条款号</w:t>
            </w:r>
          </w:p>
        </w:tc>
        <w:tc>
          <w:tcPr>
            <w:tcW w:w="2158" w:type="dxa"/>
            <w:noWrap/>
            <w:vAlign w:val="center"/>
          </w:tcPr>
          <w:p w14:paraId="475A289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评审因素</w:t>
            </w:r>
          </w:p>
        </w:tc>
        <w:tc>
          <w:tcPr>
            <w:tcW w:w="4727" w:type="dxa"/>
            <w:noWrap/>
            <w:vAlign w:val="center"/>
          </w:tcPr>
          <w:p w14:paraId="18B3E671">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2C3C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275A9426">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4.2.1</w:t>
            </w:r>
          </w:p>
        </w:tc>
        <w:tc>
          <w:tcPr>
            <w:tcW w:w="1860" w:type="dxa"/>
            <w:gridSpan w:val="2"/>
            <w:vMerge w:val="restart"/>
            <w:noWrap/>
            <w:vAlign w:val="center"/>
          </w:tcPr>
          <w:p w14:paraId="0CD0E585">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形式评审标准</w:t>
            </w:r>
          </w:p>
        </w:tc>
        <w:tc>
          <w:tcPr>
            <w:tcW w:w="2158" w:type="dxa"/>
            <w:noWrap/>
            <w:vAlign w:val="center"/>
          </w:tcPr>
          <w:p w14:paraId="3261AD6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投标函签字盖章</w:t>
            </w:r>
          </w:p>
        </w:tc>
        <w:tc>
          <w:tcPr>
            <w:tcW w:w="4727" w:type="dxa"/>
            <w:noWrap/>
          </w:tcPr>
          <w:p w14:paraId="4F8A08B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有投标人及其法定代表人签章</w:t>
            </w:r>
          </w:p>
        </w:tc>
      </w:tr>
      <w:tr w14:paraId="2936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0AA7C48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2B18D43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0B9E742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投标文件格式</w:t>
            </w:r>
          </w:p>
        </w:tc>
        <w:tc>
          <w:tcPr>
            <w:tcW w:w="4727" w:type="dxa"/>
            <w:noWrap/>
          </w:tcPr>
          <w:p w14:paraId="6DB43AA4">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符合第五章“投标文件格式”的要求</w:t>
            </w:r>
          </w:p>
        </w:tc>
      </w:tr>
      <w:tr w14:paraId="2DD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739BE4D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18AD909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7F7DF62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报价唯一</w:t>
            </w:r>
          </w:p>
        </w:tc>
        <w:tc>
          <w:tcPr>
            <w:tcW w:w="4727" w:type="dxa"/>
            <w:noWrap/>
          </w:tcPr>
          <w:p w14:paraId="5DF5D646">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只能有一个报价</w:t>
            </w:r>
          </w:p>
        </w:tc>
      </w:tr>
      <w:tr w14:paraId="3D95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21303F4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4.2.2</w:t>
            </w:r>
          </w:p>
        </w:tc>
        <w:tc>
          <w:tcPr>
            <w:tcW w:w="1860" w:type="dxa"/>
            <w:gridSpan w:val="2"/>
            <w:vMerge w:val="restart"/>
            <w:noWrap/>
            <w:vAlign w:val="center"/>
          </w:tcPr>
          <w:p w14:paraId="2809044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响应性评审标准</w:t>
            </w:r>
          </w:p>
        </w:tc>
        <w:tc>
          <w:tcPr>
            <w:tcW w:w="2158" w:type="dxa"/>
            <w:noWrap/>
            <w:vAlign w:val="center"/>
          </w:tcPr>
          <w:p w14:paraId="2602203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服务期限</w:t>
            </w:r>
          </w:p>
        </w:tc>
        <w:tc>
          <w:tcPr>
            <w:tcW w:w="4727" w:type="dxa"/>
            <w:noWrap/>
            <w:vAlign w:val="center"/>
          </w:tcPr>
          <w:p w14:paraId="69CAD43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7E88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2F6D6BB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5B8D911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1B417D8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4727" w:type="dxa"/>
            <w:noWrap/>
            <w:vAlign w:val="center"/>
          </w:tcPr>
          <w:p w14:paraId="44C9055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15F1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60E8448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079ECE0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656C4E9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工程质量</w:t>
            </w:r>
          </w:p>
        </w:tc>
        <w:tc>
          <w:tcPr>
            <w:tcW w:w="4727" w:type="dxa"/>
            <w:noWrap/>
            <w:vAlign w:val="center"/>
          </w:tcPr>
          <w:p w14:paraId="7D8CDA3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77EC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2105639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306677D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126B7DC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投标文件内容</w:t>
            </w:r>
          </w:p>
        </w:tc>
        <w:tc>
          <w:tcPr>
            <w:tcW w:w="4727" w:type="dxa"/>
            <w:noWrap/>
            <w:vAlign w:val="center"/>
          </w:tcPr>
          <w:p w14:paraId="772FA88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081F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5123A32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1A57C53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6BC472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投标报价</w:t>
            </w:r>
          </w:p>
        </w:tc>
        <w:tc>
          <w:tcPr>
            <w:tcW w:w="4727" w:type="dxa"/>
            <w:noWrap/>
            <w:vAlign w:val="center"/>
          </w:tcPr>
          <w:p w14:paraId="71F7787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不高于最高限价</w:t>
            </w:r>
          </w:p>
        </w:tc>
      </w:tr>
      <w:tr w14:paraId="7BB9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14:paraId="4D72D22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default" w:ascii="宋体" w:hAnsi="宋体" w:cs="宋体"/>
                <w:bCs/>
                <w:color w:val="auto"/>
                <w:szCs w:val="21"/>
                <w:highlight w:val="none"/>
                <w:lang w:val="en-US"/>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（30分）</w:t>
            </w:r>
          </w:p>
        </w:tc>
        <w:tc>
          <w:tcPr>
            <w:tcW w:w="7830" w:type="dxa"/>
            <w:gridSpan w:val="3"/>
            <w:noWrap/>
            <w:vAlign w:val="center"/>
          </w:tcPr>
          <w:p w14:paraId="6F61B03E">
            <w:pPr>
              <w:keepNext w:val="0"/>
              <w:keepLines w:val="0"/>
              <w:pageBreakBefore w:val="0"/>
              <w:widowControl w:val="0"/>
              <w:suppressLineNumbers w:val="0"/>
              <w:tabs>
                <w:tab w:val="left" w:pos="1080"/>
              </w:tabs>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color w:val="auto"/>
                <w:highlight w:val="none"/>
              </w:rPr>
            </w:pPr>
            <w:r>
              <w:rPr>
                <w:rFonts w:hint="eastAsia" w:ascii="宋体" w:hAnsi="宋体" w:eastAsia="宋体" w:cs="宋体"/>
                <w:color w:val="auto"/>
                <w:szCs w:val="21"/>
                <w:highlight w:val="none"/>
                <w:lang w:val="en-US" w:eastAsia="zh-CN"/>
              </w:rPr>
              <w:t>满足招标文件要求且投标价格最低的投标报价为评标基准价，其价格分为30分。其他投标人的价格分按照下列公式计算：投标报价得分=(评标基准价/投标报价)×30×100%,保留两位有效小数。</w:t>
            </w:r>
          </w:p>
        </w:tc>
      </w:tr>
      <w:bookmarkEnd w:id="104"/>
      <w:bookmarkEnd w:id="105"/>
    </w:tbl>
    <w:p w14:paraId="79ECE7ED">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06" w:name="_Toc35425113"/>
      <w:bookmarkStart w:id="107" w:name="_Toc6491"/>
      <w:bookmarkStart w:id="108" w:name="_Toc152042366"/>
      <w:bookmarkStart w:id="109" w:name="_Toc152045589"/>
      <w:bookmarkStart w:id="110" w:name="_Toc35424947"/>
      <w:bookmarkStart w:id="111" w:name="_Toc247085747"/>
      <w:bookmarkStart w:id="112" w:name="_Toc15058913"/>
      <w:bookmarkStart w:id="113" w:name="_Toc324404872"/>
      <w:bookmarkStart w:id="114" w:name="_Toc179632607"/>
      <w:bookmarkStart w:id="115" w:name="_Toc246996975"/>
      <w:bookmarkStart w:id="116" w:name="_Toc246996232"/>
      <w:bookmarkStart w:id="117" w:name="_Toc78803381"/>
      <w:bookmarkStart w:id="118" w:name="_Toc506107324"/>
      <w:bookmarkStart w:id="119" w:name="_Toc144974556"/>
      <w:r>
        <w:rPr>
          <w:rFonts w:hint="eastAsia" w:ascii="宋体" w:hAnsi="宋体" w:cs="宋体"/>
          <w:b/>
          <w:bCs/>
          <w:color w:val="auto"/>
          <w:szCs w:val="21"/>
          <w:highlight w:val="none"/>
        </w:rPr>
        <w:t>1.评标方法</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3AD8591">
      <w:pPr>
        <w:snapToGrid w:val="0"/>
        <w:spacing w:line="440" w:lineRule="exact"/>
        <w:ind w:right="252" w:rightChars="120" w:firstLine="420" w:firstLineChars="200"/>
        <w:jc w:val="left"/>
        <w:rPr>
          <w:rFonts w:ascii="宋体" w:hAnsi="宋体" w:cs="宋体"/>
          <w:color w:val="auto"/>
          <w:szCs w:val="21"/>
          <w:highlight w:val="none"/>
        </w:rPr>
      </w:pPr>
      <w:bookmarkStart w:id="120" w:name="_Toc324404873"/>
      <w:bookmarkStart w:id="121" w:name="_Toc179632608"/>
      <w:bookmarkStart w:id="122" w:name="_Toc246996233"/>
      <w:bookmarkStart w:id="123" w:name="_Toc247085748"/>
      <w:bookmarkStart w:id="124" w:name="_Toc296602478"/>
      <w:bookmarkStart w:id="125" w:name="_Toc152042367"/>
      <w:bookmarkStart w:id="126" w:name="_Toc152045590"/>
      <w:bookmarkStart w:id="127" w:name="_Toc144974557"/>
      <w:bookmarkStart w:id="128" w:name="_Toc246996976"/>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资信分+技术分+商务分）由高到低顺序推荐中标候选人应当不超过3名，并标明排序（本项目推荐</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名中标候选人），但投标报价低于其成本的除外。总评分相等时，以投标报价低的优先；若投标报价也相等，由招标人抽签确定。</w:t>
      </w:r>
    </w:p>
    <w:p w14:paraId="7A8EC4D9">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29" w:name="_Toc35424948"/>
      <w:bookmarkStart w:id="130" w:name="_Toc78803382"/>
      <w:bookmarkStart w:id="131" w:name="_Toc35425114"/>
      <w:bookmarkStart w:id="132" w:name="_Toc11945"/>
      <w:bookmarkStart w:id="133" w:name="_Toc506107325"/>
      <w:bookmarkStart w:id="134" w:name="_Toc15058914"/>
      <w:r>
        <w:rPr>
          <w:rFonts w:hint="eastAsia" w:ascii="宋体" w:hAnsi="宋体" w:cs="宋体"/>
          <w:b/>
          <w:bCs/>
          <w:color w:val="auto"/>
          <w:szCs w:val="21"/>
          <w:highlight w:val="none"/>
        </w:rPr>
        <w:t>2.评标委员会的职责</w:t>
      </w:r>
      <w:bookmarkEnd w:id="120"/>
      <w:bookmarkEnd w:id="129"/>
      <w:bookmarkEnd w:id="130"/>
      <w:bookmarkEnd w:id="131"/>
      <w:bookmarkEnd w:id="132"/>
      <w:bookmarkEnd w:id="133"/>
      <w:bookmarkEnd w:id="134"/>
    </w:p>
    <w:p w14:paraId="06EF59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40CCEB2">
      <w:pPr>
        <w:spacing w:line="440" w:lineRule="exact"/>
        <w:ind w:firstLine="420" w:firstLineChars="200"/>
        <w:jc w:val="left"/>
        <w:rPr>
          <w:rFonts w:ascii="宋体" w:hAnsi="宋体" w:cs="宋体"/>
          <w:color w:val="auto"/>
          <w:szCs w:val="21"/>
          <w:highlight w:val="none"/>
        </w:rPr>
      </w:pPr>
      <w:bookmarkStart w:id="135" w:name="_Toc78803383"/>
      <w:r>
        <w:rPr>
          <w:rFonts w:hint="eastAsia" w:ascii="宋体" w:hAnsi="宋体" w:cs="宋体"/>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bookmarkEnd w:id="135"/>
    </w:p>
    <w:p w14:paraId="4F574590">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36" w:name="_Toc35424949"/>
      <w:bookmarkStart w:id="137" w:name="_Toc15058915"/>
      <w:bookmarkStart w:id="138" w:name="_Toc35425115"/>
      <w:bookmarkStart w:id="139" w:name="_Toc506107326"/>
      <w:bookmarkStart w:id="140" w:name="_Toc78803384"/>
      <w:bookmarkStart w:id="141" w:name="_Toc324404874"/>
      <w:bookmarkStart w:id="142" w:name="_Toc17377"/>
      <w:r>
        <w:rPr>
          <w:rFonts w:hint="eastAsia" w:ascii="宋体" w:hAnsi="宋体" w:cs="宋体"/>
          <w:b/>
          <w:bCs/>
          <w:color w:val="auto"/>
          <w:szCs w:val="21"/>
          <w:highlight w:val="none"/>
        </w:rPr>
        <w:t>3.评标程序</w:t>
      </w:r>
      <w:bookmarkEnd w:id="136"/>
      <w:bookmarkEnd w:id="137"/>
      <w:bookmarkEnd w:id="138"/>
      <w:bookmarkEnd w:id="139"/>
      <w:bookmarkEnd w:id="140"/>
      <w:bookmarkEnd w:id="141"/>
      <w:bookmarkEnd w:id="142"/>
    </w:p>
    <w:p w14:paraId="7239094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评标先做准备工作，先进行资信评审，然后进行技术标评审，最后进行商务标评审。</w:t>
      </w:r>
    </w:p>
    <w:p w14:paraId="64317354">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43" w:name="_Toc15058916"/>
      <w:bookmarkStart w:id="144" w:name="_Toc78803385"/>
      <w:bookmarkStart w:id="145" w:name="_Toc35425116"/>
      <w:bookmarkStart w:id="146" w:name="_Toc27389"/>
      <w:bookmarkStart w:id="147" w:name="_Toc35424950"/>
      <w:r>
        <w:rPr>
          <w:rFonts w:hint="eastAsia" w:ascii="宋体" w:hAnsi="宋体" w:cs="宋体"/>
          <w:b w:val="0"/>
          <w:bCs w:val="0"/>
          <w:color w:val="auto"/>
          <w:szCs w:val="21"/>
          <w:highlight w:val="none"/>
        </w:rPr>
        <w:t>3.1评标准备工作</w:t>
      </w:r>
      <w:bookmarkEnd w:id="143"/>
      <w:bookmarkEnd w:id="144"/>
      <w:bookmarkEnd w:id="145"/>
      <w:bookmarkEnd w:id="146"/>
      <w:bookmarkEnd w:id="147"/>
    </w:p>
    <w:p w14:paraId="35228E7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345D984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0A5CAA4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3BFD55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34285C6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（4）核对评标工作用表。</w:t>
      </w:r>
    </w:p>
    <w:p w14:paraId="4814C296">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48" w:name="_Toc24650"/>
      <w:bookmarkStart w:id="149" w:name="_Toc78803386"/>
      <w:bookmarkStart w:id="150" w:name="_Toc35424951"/>
      <w:bookmarkStart w:id="151" w:name="_Toc1299"/>
      <w:bookmarkStart w:id="152" w:name="_Toc35425117"/>
      <w:bookmarkStart w:id="153" w:name="_Toc15058917"/>
      <w:bookmarkStart w:id="154" w:name="_Toc35425120"/>
      <w:bookmarkStart w:id="155" w:name="_Toc12200"/>
      <w:bookmarkStart w:id="156" w:name="_Toc506107327"/>
      <w:bookmarkStart w:id="157" w:name="_Toc15058919"/>
      <w:bookmarkStart w:id="158" w:name="_Toc324404875"/>
      <w:bookmarkStart w:id="159" w:name="_Toc35424954"/>
      <w:r>
        <w:rPr>
          <w:rFonts w:hint="eastAsia" w:ascii="宋体" w:hAnsi="宋体" w:cs="宋体"/>
          <w:b w:val="0"/>
          <w:bCs w:val="0"/>
          <w:color w:val="auto"/>
          <w:szCs w:val="21"/>
          <w:highlight w:val="none"/>
        </w:rPr>
        <w:t>3.2技术标评审</w:t>
      </w:r>
      <w:bookmarkEnd w:id="148"/>
      <w:bookmarkEnd w:id="149"/>
      <w:bookmarkEnd w:id="150"/>
      <w:bookmarkEnd w:id="151"/>
      <w:bookmarkEnd w:id="152"/>
      <w:bookmarkEnd w:id="153"/>
    </w:p>
    <w:p w14:paraId="511FB81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详见技术标评审表。</w:t>
      </w:r>
    </w:p>
    <w:p w14:paraId="445AA00A">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60" w:name="_Toc15058918"/>
      <w:bookmarkStart w:id="161" w:name="_Toc78803387"/>
      <w:bookmarkStart w:id="162" w:name="_Toc11990"/>
      <w:bookmarkStart w:id="163" w:name="_Toc35424952"/>
      <w:bookmarkStart w:id="164" w:name="_Toc17468"/>
      <w:bookmarkStart w:id="165" w:name="_Toc35425118"/>
      <w:r>
        <w:rPr>
          <w:rFonts w:hint="eastAsia" w:ascii="宋体" w:hAnsi="宋体" w:cs="宋体"/>
          <w:b w:val="0"/>
          <w:bCs w:val="0"/>
          <w:color w:val="auto"/>
          <w:szCs w:val="21"/>
          <w:highlight w:val="none"/>
        </w:rPr>
        <w:t>3.3商务标评审</w:t>
      </w:r>
      <w:bookmarkEnd w:id="160"/>
      <w:bookmarkEnd w:id="161"/>
      <w:bookmarkEnd w:id="162"/>
      <w:bookmarkEnd w:id="163"/>
      <w:bookmarkEnd w:id="164"/>
      <w:bookmarkEnd w:id="165"/>
    </w:p>
    <w:p w14:paraId="322DB6D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详见商务标评审表。</w:t>
      </w:r>
    </w:p>
    <w:p w14:paraId="6D9BC6F0">
      <w:pPr>
        <w:spacing w:line="440" w:lineRule="exact"/>
        <w:ind w:firstLine="422" w:firstLineChars="200"/>
        <w:rPr>
          <w:rFonts w:ascii="宋体" w:hAnsi="宋体" w:cs="宋体"/>
          <w:color w:val="auto"/>
          <w:szCs w:val="21"/>
          <w:highlight w:val="none"/>
        </w:rPr>
      </w:pPr>
      <w:bookmarkStart w:id="166" w:name="_Toc18087"/>
      <w:bookmarkStart w:id="167" w:name="_Toc78803388"/>
      <w:bookmarkStart w:id="168" w:name="_Toc35424953"/>
      <w:bookmarkStart w:id="169" w:name="_Toc26895"/>
      <w:bookmarkStart w:id="170" w:name="_Toc35425119"/>
      <w:r>
        <w:rPr>
          <w:rStyle w:val="64"/>
          <w:rFonts w:hint="eastAsia" w:ascii="宋体" w:hAnsi="宋体" w:eastAsia="宋体" w:cs="宋体"/>
          <w:color w:val="auto"/>
          <w:highlight w:val="none"/>
        </w:rPr>
        <w:t>3.4推荐中标候选人</w:t>
      </w:r>
      <w:bookmarkEnd w:id="166"/>
      <w:bookmarkEnd w:id="167"/>
      <w:bookmarkEnd w:id="168"/>
      <w:bookmarkEnd w:id="169"/>
      <w:bookmarkEnd w:id="170"/>
      <w:r>
        <w:rPr>
          <w:rFonts w:hint="eastAsia" w:ascii="宋体" w:hAnsi="宋体" w:cs="宋体"/>
          <w:b/>
          <w:bCs/>
          <w:color w:val="auto"/>
          <w:highlight w:val="none"/>
        </w:rPr>
        <w:t>：</w:t>
      </w:r>
      <w:r>
        <w:rPr>
          <w:rFonts w:hint="eastAsia" w:ascii="宋体" w:hAnsi="宋体" w:cs="宋体"/>
          <w:color w:val="auto"/>
          <w:highlight w:val="none"/>
        </w:rPr>
        <w:t>资信评审、技术标评审、商务标评审后，推荐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12619FDE">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71" w:name="_Toc78803389"/>
      <w:r>
        <w:rPr>
          <w:rFonts w:hint="eastAsia" w:ascii="宋体" w:hAnsi="宋体" w:cs="宋体"/>
          <w:b/>
          <w:bCs/>
          <w:color w:val="auto"/>
          <w:szCs w:val="21"/>
          <w:highlight w:val="none"/>
        </w:rPr>
        <w:t>4.评审内容</w:t>
      </w:r>
      <w:bookmarkEnd w:id="154"/>
      <w:bookmarkEnd w:id="155"/>
      <w:bookmarkEnd w:id="156"/>
      <w:bookmarkEnd w:id="157"/>
      <w:bookmarkEnd w:id="158"/>
      <w:bookmarkEnd w:id="159"/>
      <w:bookmarkEnd w:id="171"/>
    </w:p>
    <w:p w14:paraId="05836F56">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72" w:name="_Toc78803390"/>
      <w:bookmarkStart w:id="173" w:name="_Toc9630"/>
      <w:r>
        <w:rPr>
          <w:rFonts w:hint="eastAsia" w:ascii="宋体" w:hAnsi="宋体" w:cs="宋体"/>
          <w:b w:val="0"/>
          <w:bCs w:val="0"/>
          <w:color w:val="auto"/>
          <w:szCs w:val="21"/>
          <w:highlight w:val="none"/>
        </w:rPr>
        <w:t>4.1</w:t>
      </w:r>
      <w:bookmarkEnd w:id="172"/>
      <w:bookmarkEnd w:id="173"/>
      <w:bookmarkStart w:id="174" w:name="_Toc78803391"/>
      <w:bookmarkStart w:id="175" w:name="_Toc15058921"/>
      <w:bookmarkStart w:id="176" w:name="_Toc35424956"/>
      <w:bookmarkStart w:id="177" w:name="_Toc3531"/>
      <w:bookmarkStart w:id="178" w:name="_Toc35425122"/>
      <w:bookmarkStart w:id="179" w:name="_Toc324404876"/>
      <w:r>
        <w:rPr>
          <w:rFonts w:hint="eastAsia" w:ascii="宋体" w:hAnsi="宋体" w:cs="宋体"/>
          <w:b w:val="0"/>
          <w:bCs w:val="0"/>
          <w:color w:val="auto"/>
          <w:szCs w:val="21"/>
          <w:highlight w:val="none"/>
        </w:rPr>
        <w:t>商务标评审</w:t>
      </w:r>
      <w:bookmarkEnd w:id="174"/>
      <w:bookmarkEnd w:id="175"/>
      <w:bookmarkEnd w:id="176"/>
      <w:bookmarkEnd w:id="177"/>
      <w:bookmarkEnd w:id="178"/>
    </w:p>
    <w:p w14:paraId="318609B9">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14:paraId="603F49BB">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4.1.1形式性评审标准：见商务标评审表。</w:t>
      </w:r>
    </w:p>
    <w:p w14:paraId="34248016">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4.1.2响应性评审标准：见商务标评审表。</w:t>
      </w:r>
    </w:p>
    <w:p w14:paraId="07A7F051">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2C97D49D">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4.1.3投标报价评审</w:t>
      </w:r>
    </w:p>
    <w:p w14:paraId="15359DA4">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F696D84">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4.1.4评标委员会审查投标文件，投标报价有错误的，评标委员会按以下原则对投标报价进行修正。</w:t>
      </w:r>
    </w:p>
    <w:p w14:paraId="1383AEDA">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（1）投标文件中的大写金额与小写金额不一致的，以大写金额为准。</w:t>
      </w:r>
    </w:p>
    <w:p w14:paraId="68AEF1E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（2）总价金额与依据单价计算出的结果不一致的，以单价金额为准修正总价，但单价金额小数点有明显错误的除外。</w:t>
      </w:r>
    </w:p>
    <w:p w14:paraId="4A83531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4D5BF7DA">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80" w:name="_Toc35424957"/>
      <w:bookmarkStart w:id="181" w:name="_Toc15058922"/>
      <w:bookmarkStart w:id="182" w:name="_Toc78803392"/>
      <w:bookmarkStart w:id="183" w:name="_Toc35425123"/>
      <w:bookmarkStart w:id="184" w:name="_Toc13125"/>
      <w:bookmarkStart w:id="185" w:name="_Toc506107328"/>
      <w:r>
        <w:rPr>
          <w:rFonts w:hint="eastAsia" w:ascii="宋体" w:hAnsi="宋体" w:cs="宋体"/>
          <w:b/>
          <w:bCs/>
          <w:color w:val="auto"/>
          <w:szCs w:val="21"/>
          <w:highlight w:val="none"/>
        </w:rPr>
        <w:t>5.无效投标条款</w:t>
      </w:r>
      <w:bookmarkEnd w:id="179"/>
      <w:bookmarkEnd w:id="180"/>
      <w:bookmarkEnd w:id="181"/>
      <w:bookmarkEnd w:id="182"/>
      <w:bookmarkEnd w:id="183"/>
      <w:bookmarkEnd w:id="184"/>
      <w:bookmarkEnd w:id="185"/>
    </w:p>
    <w:p w14:paraId="2C9FE4E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0AB6D7C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（1）未在投标截止时间前递交有效投标文件的，投标将被拒绝。</w:t>
      </w:r>
    </w:p>
    <w:p w14:paraId="3BAA8ED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5.2由资格审查委员会（评标委员会）按资格审查办法前附表要求对投标人审查资料的第二章《资格审查办法》进行核验。投标申请人有下列情形之一的，其资格审查为不合格：</w:t>
      </w:r>
    </w:p>
    <w:p w14:paraId="5A68AE8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w:t>
      </w:r>
      <w:r>
        <w:rPr>
          <w:rFonts w:hint="eastAsia" w:ascii="宋体" w:hAnsi="宋体" w:cs="宋体"/>
          <w:color w:val="auto"/>
          <w:szCs w:val="21"/>
          <w:highlight w:val="none"/>
          <w:lang w:val="en-US" w:eastAsia="zh-CN"/>
        </w:rPr>
        <w:t>递交</w:t>
      </w:r>
      <w:r>
        <w:rPr>
          <w:rFonts w:hint="eastAsia" w:ascii="宋体" w:hAnsi="宋体" w:cs="宋体"/>
          <w:color w:val="auto"/>
          <w:szCs w:val="21"/>
          <w:highlight w:val="none"/>
        </w:rPr>
        <w:t>标书或标书经审查不合格；</w:t>
      </w:r>
    </w:p>
    <w:p w14:paraId="002CB63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083BBAA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5.3投标人有下列情形的，经评审后其投标作无效投标处理无效投标：</w:t>
      </w:r>
    </w:p>
    <w:p w14:paraId="4866D2C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5.3.1商标评审</w:t>
      </w:r>
    </w:p>
    <w:p w14:paraId="5E67441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239212A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61E8C0E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5.4其他无效投标情况：</w:t>
      </w:r>
    </w:p>
    <w:p w14:paraId="58BB8F9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0C10BC0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（2）按第三章《评标方法》4.2.4条款修正错误的原则及方法调整或修正投标文件的投标报价，调整或修正的价格经投标人书面确认后具有约束力。投标人不接修正价格的，其投标将被拒绝。</w:t>
      </w:r>
    </w:p>
    <w:p w14:paraId="350C9AC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）投标人有串通投标、弄虚作假、行贿等违法行为。</w:t>
      </w:r>
    </w:p>
    <w:p w14:paraId="6A287BD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185A5A0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）未按规定的格式填写导致实质性内容不全以及实质上不响应，或者关键字迹模糊、无法辨认；经公共资源交易监督部门核准的。</w:t>
      </w:r>
    </w:p>
    <w:p w14:paraId="2ADFA16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）同一投标人提交两个以上不同的投标文件或者投标报价，但招标文件规定提交备选投标的除外。</w:t>
      </w:r>
    </w:p>
    <w:p w14:paraId="532BD11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）投标文件中存在招标人不能接受的其他实质性条件。</w:t>
      </w:r>
    </w:p>
    <w:p w14:paraId="597B26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）投标文件中填报的拟任项目负责人与资格审查通过的项目负责人前后不一致的。</w:t>
      </w:r>
    </w:p>
    <w:p w14:paraId="2BA0F34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6F8BEED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）投标人单方面出现其他投标人材料。</w:t>
      </w:r>
    </w:p>
    <w:p w14:paraId="02F651D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）法律、法规规定的其他情形。</w:t>
      </w:r>
    </w:p>
    <w:p w14:paraId="6DB9DC6E">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86" w:name="_Toc35424958"/>
      <w:bookmarkStart w:id="187" w:name="_Toc35425124"/>
      <w:bookmarkStart w:id="188" w:name="_Toc27846"/>
      <w:bookmarkStart w:id="189" w:name="_Toc506107329"/>
      <w:bookmarkStart w:id="190" w:name="_Toc324404877"/>
      <w:bookmarkStart w:id="191" w:name="_Toc15058923"/>
      <w:bookmarkStart w:id="192" w:name="_Toc78803393"/>
      <w:r>
        <w:rPr>
          <w:rFonts w:hint="eastAsia" w:ascii="宋体" w:hAnsi="宋体" w:cs="宋体"/>
          <w:b/>
          <w:bCs/>
          <w:color w:val="auto"/>
          <w:szCs w:val="21"/>
          <w:highlight w:val="none"/>
        </w:rPr>
        <w:t>6.投标文件的澄清和补正</w:t>
      </w:r>
      <w:bookmarkEnd w:id="186"/>
      <w:bookmarkEnd w:id="187"/>
      <w:bookmarkEnd w:id="188"/>
      <w:bookmarkEnd w:id="189"/>
      <w:bookmarkEnd w:id="190"/>
      <w:bookmarkEnd w:id="191"/>
      <w:bookmarkEnd w:id="192"/>
    </w:p>
    <w:p w14:paraId="035AC68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322D865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62F1906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0D6BAB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351D4115">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93" w:name="_Toc13990"/>
      <w:bookmarkStart w:id="194" w:name="_Toc15058924"/>
      <w:bookmarkStart w:id="195" w:name="_Toc506107330"/>
      <w:bookmarkStart w:id="196" w:name="_Toc35424959"/>
      <w:bookmarkStart w:id="197" w:name="_Toc35425125"/>
      <w:bookmarkStart w:id="198" w:name="_Toc324404878"/>
      <w:bookmarkStart w:id="199" w:name="_Toc78803394"/>
      <w:r>
        <w:rPr>
          <w:rFonts w:hint="eastAsia" w:ascii="宋体" w:hAnsi="宋体" w:cs="宋体"/>
          <w:b/>
          <w:bCs/>
          <w:color w:val="auto"/>
          <w:szCs w:val="21"/>
          <w:highlight w:val="none"/>
        </w:rPr>
        <w:t>7.评分标准</w:t>
      </w:r>
      <w:bookmarkEnd w:id="193"/>
      <w:bookmarkEnd w:id="194"/>
      <w:bookmarkEnd w:id="195"/>
      <w:bookmarkEnd w:id="196"/>
      <w:bookmarkEnd w:id="197"/>
      <w:bookmarkEnd w:id="198"/>
      <w:bookmarkEnd w:id="199"/>
    </w:p>
    <w:p w14:paraId="2526323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2E78049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48435329">
      <w:pPr>
        <w:spacing w:line="440" w:lineRule="exact"/>
        <w:ind w:firstLine="420" w:firstLineChars="200"/>
        <w:jc w:val="left"/>
        <w:rPr>
          <w:rFonts w:hAnsi="宋体" w:cs="宋体"/>
          <w:color w:val="auto"/>
          <w:highlight w:val="none"/>
        </w:rPr>
      </w:pPr>
      <w:r>
        <w:rPr>
          <w:rFonts w:hint="eastAsia" w:ascii="宋体" w:hAnsi="宋体" w:cs="宋体"/>
          <w:color w:val="auto"/>
          <w:szCs w:val="21"/>
          <w:highlight w:val="none"/>
        </w:rPr>
        <w:t>资信评分标准：见资信评分细则</w:t>
      </w:r>
      <w:r>
        <w:rPr>
          <w:rFonts w:hint="eastAsia" w:hAnsi="宋体" w:cs="宋体"/>
          <w:color w:val="auto"/>
          <w:szCs w:val="21"/>
          <w:highlight w:val="none"/>
        </w:rPr>
        <w:t>。</w:t>
      </w:r>
    </w:p>
    <w:p w14:paraId="528D4EB0">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200" w:name="_Toc15058925"/>
      <w:bookmarkStart w:id="201" w:name="_Toc22863"/>
      <w:bookmarkStart w:id="202" w:name="_Toc324404879"/>
      <w:bookmarkStart w:id="203" w:name="_Toc506107331"/>
      <w:bookmarkStart w:id="204" w:name="_Toc78803395"/>
      <w:bookmarkStart w:id="205" w:name="_Toc35424960"/>
      <w:bookmarkStart w:id="206" w:name="_Toc35425126"/>
      <w:r>
        <w:rPr>
          <w:rFonts w:hint="eastAsia" w:ascii="宋体" w:hAnsi="宋体" w:cs="宋体"/>
          <w:b/>
          <w:bCs/>
          <w:color w:val="auto"/>
          <w:szCs w:val="21"/>
          <w:highlight w:val="none"/>
        </w:rPr>
        <w:t>8.评审结果</w:t>
      </w:r>
      <w:bookmarkEnd w:id="200"/>
      <w:bookmarkEnd w:id="201"/>
      <w:bookmarkEnd w:id="202"/>
      <w:bookmarkEnd w:id="203"/>
      <w:bookmarkEnd w:id="204"/>
      <w:bookmarkEnd w:id="205"/>
      <w:bookmarkEnd w:id="206"/>
    </w:p>
    <w:p w14:paraId="194F53A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32A2C7D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5930099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（1）基本情况和数据表。</w:t>
      </w:r>
    </w:p>
    <w:p w14:paraId="4AFEC8C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3C00937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（3）开标记录。</w:t>
      </w:r>
    </w:p>
    <w:p w14:paraId="0352610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（4）符合要求的投标人一览表。</w:t>
      </w:r>
    </w:p>
    <w:p w14:paraId="1A629F8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（5）废标情况说明。</w:t>
      </w:r>
    </w:p>
    <w:p w14:paraId="0589616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7794792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（7）经评审的价格一览表。</w:t>
      </w:r>
    </w:p>
    <w:p w14:paraId="2D32EAC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（8）经评审的投标人排序。</w:t>
      </w:r>
    </w:p>
    <w:p w14:paraId="5C7BF99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00DD03D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5B01C07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8.3评标委员会推荐的中标候选人应当限定在</w:t>
      </w:r>
      <w:r>
        <w:rPr>
          <w:rFonts w:hint="eastAsia" w:ascii="宋体" w:hAnsi="宋体" w:cs="宋体"/>
          <w:color w:val="auto"/>
          <w:szCs w:val="21"/>
          <w:highlight w:val="none"/>
          <w:u w:val="single"/>
          <w:lang w:val="en-US" w:eastAsia="zh-CN"/>
        </w:rPr>
        <w:t xml:space="preserve">2 </w:t>
      </w:r>
      <w:r>
        <w:rPr>
          <w:rFonts w:hint="eastAsia" w:ascii="宋体" w:hAnsi="宋体" w:cs="宋体"/>
          <w:color w:val="auto"/>
          <w:szCs w:val="21"/>
          <w:highlight w:val="none"/>
        </w:rPr>
        <w:t>名。</w:t>
      </w:r>
    </w:p>
    <w:p w14:paraId="33C424E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8.4依法必须进行招标的项目，招标人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招标人可以按照评标委员会提出的中标候选人名单排序依次确定其他中标候选人为中标人，也可以依法重新组织招标。</w:t>
      </w:r>
    </w:p>
    <w:p w14:paraId="37BEBBE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AE667BB">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207" w:name="_Toc506107332"/>
      <w:bookmarkStart w:id="208" w:name="_Toc35424961"/>
      <w:bookmarkStart w:id="209" w:name="_Toc35425127"/>
      <w:bookmarkStart w:id="210" w:name="_Toc15058926"/>
      <w:bookmarkStart w:id="211" w:name="_Toc1576"/>
      <w:bookmarkStart w:id="212" w:name="_Toc324404880"/>
      <w:bookmarkStart w:id="213" w:name="_Toc78803396"/>
      <w:r>
        <w:rPr>
          <w:rFonts w:hint="eastAsia" w:ascii="宋体" w:hAnsi="宋体" w:cs="宋体"/>
          <w:b/>
          <w:bCs/>
          <w:color w:val="auto"/>
          <w:szCs w:val="21"/>
          <w:highlight w:val="none"/>
        </w:rPr>
        <w:t>9.其他</w:t>
      </w:r>
      <w:bookmarkEnd w:id="207"/>
      <w:bookmarkEnd w:id="208"/>
      <w:bookmarkEnd w:id="209"/>
      <w:bookmarkEnd w:id="210"/>
      <w:bookmarkEnd w:id="211"/>
      <w:bookmarkEnd w:id="212"/>
      <w:bookmarkEnd w:id="213"/>
    </w:p>
    <w:p w14:paraId="07C9108A">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121"/>
      <w:bookmarkEnd w:id="122"/>
      <w:bookmarkEnd w:id="123"/>
      <w:bookmarkEnd w:id="124"/>
      <w:bookmarkEnd w:id="125"/>
      <w:bookmarkEnd w:id="126"/>
      <w:bookmarkEnd w:id="127"/>
      <w:bookmarkEnd w:id="128"/>
      <w:bookmarkStart w:id="214" w:name="_Toc152042387"/>
      <w:bookmarkStart w:id="215" w:name="_Toc247085767"/>
      <w:bookmarkStart w:id="216" w:name="_Toc144974577"/>
      <w:bookmarkStart w:id="217" w:name="_Toc246996252"/>
      <w:bookmarkStart w:id="218" w:name="_Toc179632627"/>
      <w:bookmarkStart w:id="219" w:name="_Toc246996995"/>
      <w:bookmarkStart w:id="220" w:name="_Toc324404881"/>
      <w:bookmarkStart w:id="221" w:name="_Toc152045609"/>
      <w:bookmarkStart w:id="222" w:name="_Toc417623601"/>
    </w:p>
    <w:bookmarkEnd w:id="214"/>
    <w:bookmarkEnd w:id="215"/>
    <w:bookmarkEnd w:id="216"/>
    <w:bookmarkEnd w:id="217"/>
    <w:bookmarkEnd w:id="218"/>
    <w:bookmarkEnd w:id="219"/>
    <w:bookmarkEnd w:id="220"/>
    <w:bookmarkEnd w:id="221"/>
    <w:bookmarkEnd w:id="222"/>
    <w:p w14:paraId="3D4974AB">
      <w:pPr>
        <w:keepNext w:val="0"/>
        <w:keepLines w:val="0"/>
        <w:pageBreakBefore w:val="0"/>
        <w:kinsoku/>
        <w:wordWrap/>
        <w:overflowPunct/>
        <w:topLinePunct w:val="0"/>
        <w:autoSpaceDE/>
        <w:autoSpaceDN/>
        <w:bidi w:val="0"/>
        <w:adjustRightInd/>
        <w:snapToGrid w:val="0"/>
        <w:spacing w:line="440" w:lineRule="exact"/>
        <w:ind w:right="252" w:rightChars="120" w:firstLine="562" w:firstLineChars="200"/>
        <w:jc w:val="center"/>
        <w:rPr>
          <w:rFonts w:hint="eastAsia" w:eastAsiaTheme="minorEastAsia"/>
          <w:color w:val="auto"/>
          <w:highlight w:val="none"/>
          <w:lang w:eastAsia="zh-CN"/>
        </w:rPr>
      </w:pPr>
      <w:r>
        <w:rPr>
          <w:rFonts w:hint="eastAsia" w:ascii="宋体" w:hAnsi="宋体" w:eastAsia="宋体" w:cs="Times New Roman"/>
          <w:b/>
          <w:bCs/>
          <w:color w:val="auto"/>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p>
    <w:p w14:paraId="2A2BDC93">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一、项目概况</w:t>
      </w:r>
    </w:p>
    <w:p w14:paraId="11CB6F51">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rPr>
        <w:t>滁州市公共交通有限公司25处不动产，</w:t>
      </w:r>
      <w:r>
        <w:rPr>
          <w:rFonts w:hint="eastAsia" w:ascii="宋体" w:hAnsi="宋体" w:eastAsia="宋体" w:cs="宋体"/>
          <w:color w:val="auto"/>
          <w:sz w:val="21"/>
          <w:szCs w:val="21"/>
          <w:highlight w:val="none"/>
          <w:lang w:val="en-US" w:eastAsia="zh-CN"/>
        </w:rPr>
        <w:t>需进行房屋结构安全性鉴定、抗震鉴定，并出具鉴定检测报告。明细如下：</w:t>
      </w:r>
    </w:p>
    <w:tbl>
      <w:tblPr>
        <w:tblStyle w:val="24"/>
        <w:tblW w:w="9280" w:type="dxa"/>
        <w:tblInd w:w="-4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767"/>
        <w:gridCol w:w="3076"/>
        <w:gridCol w:w="1260"/>
        <w:gridCol w:w="1308"/>
        <w:gridCol w:w="1157"/>
      </w:tblGrid>
      <w:tr w14:paraId="4288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12" w:type="dxa"/>
            <w:vMerge w:val="restart"/>
            <w:tcBorders>
              <w:top w:val="single" w:color="000000" w:sz="4" w:space="0"/>
              <w:left w:val="single" w:color="000000" w:sz="4" w:space="0"/>
              <w:bottom w:val="single" w:color="000000" w:sz="4" w:space="0"/>
              <w:right w:val="single" w:color="000000" w:sz="4" w:space="0"/>
            </w:tcBorders>
            <w:noWrap/>
            <w:vAlign w:val="center"/>
          </w:tcPr>
          <w:p w14:paraId="53E78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7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10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资产名称</w:t>
            </w:r>
          </w:p>
        </w:tc>
        <w:tc>
          <w:tcPr>
            <w:tcW w:w="30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EE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资产坐落位置</w:t>
            </w:r>
          </w:p>
        </w:tc>
        <w:tc>
          <w:tcPr>
            <w:tcW w:w="2568" w:type="dxa"/>
            <w:gridSpan w:val="2"/>
            <w:tcBorders>
              <w:top w:val="single" w:color="000000" w:sz="4" w:space="0"/>
              <w:left w:val="single" w:color="000000" w:sz="4" w:space="0"/>
              <w:bottom w:val="single" w:color="000000" w:sz="4" w:space="0"/>
              <w:right w:val="single" w:color="000000" w:sz="4" w:space="0"/>
            </w:tcBorders>
            <w:noWrap w:val="0"/>
            <w:vAlign w:val="center"/>
          </w:tcPr>
          <w:p w14:paraId="324BB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资产面积</w:t>
            </w:r>
          </w:p>
        </w:tc>
        <w:tc>
          <w:tcPr>
            <w:tcW w:w="11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82E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房屋结构</w:t>
            </w:r>
          </w:p>
        </w:tc>
      </w:tr>
      <w:tr w14:paraId="1652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ign w:val="center"/>
          </w:tcPr>
          <w:p w14:paraId="630AEB6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2"/>
                <w:szCs w:val="22"/>
                <w:highlight w:val="none"/>
                <w:u w:val="none"/>
              </w:rPr>
            </w:pPr>
          </w:p>
        </w:tc>
        <w:tc>
          <w:tcPr>
            <w:tcW w:w="1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5484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2"/>
                <w:szCs w:val="22"/>
                <w:highlight w:val="none"/>
                <w:u w:val="none"/>
              </w:rPr>
            </w:pPr>
          </w:p>
        </w:tc>
        <w:tc>
          <w:tcPr>
            <w:tcW w:w="3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FCAA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2"/>
                <w:szCs w:val="22"/>
                <w:highlight w:val="none"/>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C27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土地面积</w:t>
            </w:r>
          </w:p>
        </w:tc>
        <w:tc>
          <w:tcPr>
            <w:tcW w:w="1308" w:type="dxa"/>
            <w:tcBorders>
              <w:top w:val="single" w:color="000000" w:sz="4" w:space="0"/>
              <w:left w:val="single" w:color="000000" w:sz="4" w:space="0"/>
              <w:bottom w:val="single" w:color="000000" w:sz="4" w:space="0"/>
              <w:right w:val="nil"/>
            </w:tcBorders>
            <w:noWrap w:val="0"/>
            <w:vAlign w:val="center"/>
          </w:tcPr>
          <w:p w14:paraId="64777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房屋面积</w:t>
            </w:r>
          </w:p>
        </w:tc>
        <w:tc>
          <w:tcPr>
            <w:tcW w:w="11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E9106">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2"/>
                <w:szCs w:val="22"/>
                <w:highlight w:val="none"/>
                <w:u w:val="none"/>
              </w:rPr>
            </w:pPr>
          </w:p>
        </w:tc>
      </w:tr>
      <w:tr w14:paraId="0BAE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C586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7B0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紫薇路办公楼宿舍楼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59CAA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紫薇北路1123号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D5FE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00372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19A738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砖混</w:t>
            </w:r>
          </w:p>
        </w:tc>
      </w:tr>
      <w:tr w14:paraId="758D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401B3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A6D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紫薇路门面房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95FB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紫薇北路1123号（紫薇路门面房）</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5C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13234</w:t>
            </w:r>
          </w:p>
        </w:tc>
        <w:tc>
          <w:tcPr>
            <w:tcW w:w="1308" w:type="dxa"/>
            <w:tcBorders>
              <w:top w:val="single" w:color="000000" w:sz="4" w:space="0"/>
              <w:left w:val="single" w:color="000000" w:sz="4" w:space="0"/>
              <w:bottom w:val="single" w:color="000000" w:sz="4" w:space="0"/>
              <w:right w:val="nil"/>
            </w:tcBorders>
            <w:noWrap w:val="0"/>
            <w:vAlign w:val="center"/>
          </w:tcPr>
          <w:p w14:paraId="2272B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1017</w:t>
            </w:r>
          </w:p>
        </w:tc>
        <w:tc>
          <w:tcPr>
            <w:tcW w:w="11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D4A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砖混</w:t>
            </w:r>
          </w:p>
        </w:tc>
      </w:tr>
      <w:tr w14:paraId="0599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0D6EF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750B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院内仓储用房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9487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紫薇北路1123号（院内仓储用房）</w:t>
            </w: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01F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0FBEC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w:t>
            </w:r>
          </w:p>
        </w:tc>
        <w:tc>
          <w:tcPr>
            <w:tcW w:w="11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261B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rPr>
            </w:pPr>
          </w:p>
        </w:tc>
      </w:tr>
      <w:tr w14:paraId="01BB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7F17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8AF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D1-D2水石对面836-6号</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155C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水石对面836-6号（D1-D2水石对面836-6号）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6934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4F298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00EA2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2F20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2E53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61B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公交第二停保场附属楼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D907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花园东路766号</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71D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22713</w:t>
            </w:r>
          </w:p>
        </w:tc>
        <w:tc>
          <w:tcPr>
            <w:tcW w:w="1308" w:type="dxa"/>
            <w:tcBorders>
              <w:top w:val="single" w:color="000000" w:sz="4" w:space="0"/>
              <w:left w:val="single" w:color="000000" w:sz="4" w:space="0"/>
              <w:bottom w:val="single" w:color="000000" w:sz="4" w:space="0"/>
              <w:right w:val="nil"/>
            </w:tcBorders>
            <w:noWrap w:val="0"/>
            <w:vAlign w:val="center"/>
          </w:tcPr>
          <w:p w14:paraId="63A06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6164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2F4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04B2F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BC1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公交第二停保场仓库楼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20FF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花园东路766号</w:t>
            </w: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DD1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4FDDF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3C9B5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7CE9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F4F0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96F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城南公交停保场调度楼及加油站</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D68A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丰乐大道东侧、醉翁路北侧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F46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16652</w:t>
            </w:r>
          </w:p>
        </w:tc>
        <w:tc>
          <w:tcPr>
            <w:tcW w:w="1308" w:type="dxa"/>
            <w:tcBorders>
              <w:top w:val="single" w:color="000000" w:sz="4" w:space="0"/>
              <w:left w:val="single" w:color="000000" w:sz="4" w:space="0"/>
              <w:bottom w:val="single" w:color="000000" w:sz="4" w:space="0"/>
              <w:right w:val="nil"/>
            </w:tcBorders>
            <w:noWrap w:val="0"/>
            <w:vAlign w:val="center"/>
          </w:tcPr>
          <w:p w14:paraId="1EC6A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3672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931F2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钢筋混凝土结构+钢结构</w:t>
            </w:r>
          </w:p>
        </w:tc>
      </w:tr>
      <w:tr w14:paraId="2400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462D7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117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高铁公交枢纽中心调度楼及客服中心</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8AB0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中都大道与洪武路交叉口南侧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F23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46954</w:t>
            </w:r>
          </w:p>
        </w:tc>
        <w:tc>
          <w:tcPr>
            <w:tcW w:w="1308" w:type="dxa"/>
            <w:tcBorders>
              <w:top w:val="single" w:color="000000" w:sz="4" w:space="0"/>
              <w:left w:val="single" w:color="000000" w:sz="4" w:space="0"/>
              <w:bottom w:val="single" w:color="000000" w:sz="4" w:space="0"/>
              <w:right w:val="nil"/>
            </w:tcBorders>
            <w:noWrap w:val="0"/>
            <w:vAlign w:val="center"/>
          </w:tcPr>
          <w:p w14:paraId="610A1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23686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12F63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钢筋混凝土结构+玻璃幕墙</w:t>
            </w:r>
          </w:p>
        </w:tc>
      </w:tr>
      <w:tr w14:paraId="2937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9DD4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4B6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清流公园换乘中心管理用房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8249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南谯路与稻香路交叉口东北侧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089E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3647</w:t>
            </w:r>
          </w:p>
        </w:tc>
        <w:tc>
          <w:tcPr>
            <w:tcW w:w="1308" w:type="dxa"/>
            <w:tcBorders>
              <w:top w:val="single" w:color="000000" w:sz="4" w:space="0"/>
              <w:left w:val="single" w:color="000000" w:sz="4" w:space="0"/>
              <w:bottom w:val="single" w:color="000000" w:sz="4" w:space="0"/>
              <w:right w:val="nil"/>
            </w:tcBorders>
            <w:noWrap w:val="0"/>
            <w:vAlign w:val="center"/>
          </w:tcPr>
          <w:p w14:paraId="4E169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F63D1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4093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25D48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B45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大王公交首末站管理用房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C105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扬子路与常州路交叉口西南侧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ED3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2518</w:t>
            </w:r>
          </w:p>
        </w:tc>
        <w:tc>
          <w:tcPr>
            <w:tcW w:w="1308" w:type="dxa"/>
            <w:tcBorders>
              <w:top w:val="single" w:color="000000" w:sz="4" w:space="0"/>
              <w:left w:val="single" w:color="000000" w:sz="4" w:space="0"/>
              <w:bottom w:val="single" w:color="000000" w:sz="4" w:space="0"/>
              <w:right w:val="nil"/>
            </w:tcBorders>
            <w:noWrap w:val="0"/>
            <w:vAlign w:val="center"/>
          </w:tcPr>
          <w:p w14:paraId="2CB6B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547.24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A8203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7B42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FD93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3AD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城东公交换乘中心调度楼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C9CC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新安江路与黄山路交叉口东北侧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170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6493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A3B0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1620</w:t>
            </w:r>
          </w:p>
        </w:tc>
        <w:tc>
          <w:tcPr>
            <w:tcW w:w="1157" w:type="dxa"/>
            <w:tcBorders>
              <w:top w:val="nil"/>
              <w:left w:val="single" w:color="000000" w:sz="4" w:space="0"/>
              <w:bottom w:val="single" w:color="000000" w:sz="4" w:space="0"/>
              <w:right w:val="single" w:color="000000" w:sz="4" w:space="0"/>
            </w:tcBorders>
            <w:noWrap w:val="0"/>
            <w:vAlign w:val="center"/>
          </w:tcPr>
          <w:p w14:paraId="4C87FC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4A79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2BA1B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A223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滁宁公交换乘中心</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90E0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滁宁快速通道与东环路交叉路口西南侧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C77F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17687</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0B11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w:t>
            </w:r>
          </w:p>
        </w:tc>
        <w:tc>
          <w:tcPr>
            <w:tcW w:w="1157" w:type="dxa"/>
            <w:tcBorders>
              <w:top w:val="nil"/>
              <w:left w:val="single" w:color="000000" w:sz="4" w:space="0"/>
              <w:bottom w:val="single" w:color="000000" w:sz="4" w:space="0"/>
              <w:right w:val="single" w:color="000000" w:sz="4" w:space="0"/>
            </w:tcBorders>
            <w:noWrap w:val="0"/>
            <w:vAlign w:val="center"/>
          </w:tcPr>
          <w:p w14:paraId="4E8357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69A8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1458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2B9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苏滁公交停保一场管理用房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2246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清流路与湖州路交叉路口西北侧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CAD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25572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5AF3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392</w:t>
            </w:r>
          </w:p>
        </w:tc>
        <w:tc>
          <w:tcPr>
            <w:tcW w:w="1157" w:type="dxa"/>
            <w:tcBorders>
              <w:top w:val="nil"/>
              <w:left w:val="single" w:color="000000" w:sz="4" w:space="0"/>
              <w:bottom w:val="single" w:color="000000" w:sz="4" w:space="0"/>
              <w:right w:val="single" w:color="000000" w:sz="4" w:space="0"/>
            </w:tcBorders>
            <w:noWrap w:val="0"/>
            <w:vAlign w:val="center"/>
          </w:tcPr>
          <w:p w14:paraId="2B2CAA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168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B146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456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城西公交换乘中心办公楼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55B7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西涧路与滨河路交叉路口西南侧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94F2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8991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06EB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157" w:type="dxa"/>
            <w:tcBorders>
              <w:top w:val="nil"/>
              <w:left w:val="single" w:color="000000" w:sz="4" w:space="0"/>
              <w:bottom w:val="single" w:color="000000" w:sz="4" w:space="0"/>
              <w:right w:val="single" w:color="000000" w:sz="4" w:space="0"/>
            </w:tcBorders>
            <w:noWrap w:val="0"/>
            <w:vAlign w:val="center"/>
          </w:tcPr>
          <w:p w14:paraId="033D93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198F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2BFF7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D53B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城北客运站公交换乘中心管理用房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22BEC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世纪大道与金山路交叉路口东南侧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D2C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5328</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8314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57" w:type="dxa"/>
            <w:tcBorders>
              <w:top w:val="nil"/>
              <w:left w:val="single" w:color="000000" w:sz="4" w:space="0"/>
              <w:bottom w:val="single" w:color="000000" w:sz="4" w:space="0"/>
              <w:right w:val="single" w:color="000000" w:sz="4" w:space="0"/>
            </w:tcBorders>
            <w:noWrap w:val="0"/>
            <w:vAlign w:val="center"/>
          </w:tcPr>
          <w:p w14:paraId="176BB2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6FE4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5A56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F7C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城南公交换乘中心管理用房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D17D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阳明路与东坡路交叉路口西南侧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35B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5343</w:t>
            </w:r>
          </w:p>
        </w:tc>
        <w:tc>
          <w:tcPr>
            <w:tcW w:w="1308" w:type="dxa"/>
            <w:tcBorders>
              <w:top w:val="single" w:color="000000" w:sz="4" w:space="0"/>
              <w:left w:val="single" w:color="000000" w:sz="4" w:space="0"/>
              <w:bottom w:val="single" w:color="auto" w:sz="4" w:space="0"/>
              <w:right w:val="single" w:color="000000" w:sz="4" w:space="0"/>
            </w:tcBorders>
            <w:noWrap w:val="0"/>
            <w:vAlign w:val="center"/>
          </w:tcPr>
          <w:p w14:paraId="267D7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w:t>
            </w:r>
          </w:p>
        </w:tc>
        <w:tc>
          <w:tcPr>
            <w:tcW w:w="1157" w:type="dxa"/>
            <w:tcBorders>
              <w:top w:val="nil"/>
              <w:left w:val="single" w:color="000000" w:sz="4" w:space="0"/>
              <w:bottom w:val="single" w:color="auto" w:sz="4" w:space="0"/>
              <w:right w:val="single" w:color="000000" w:sz="4" w:space="0"/>
            </w:tcBorders>
            <w:noWrap w:val="0"/>
            <w:vAlign w:val="center"/>
          </w:tcPr>
          <w:p w14:paraId="7ABF85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062F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D88F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D1E2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城东公交停保场管理用房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E9E7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城东工业园新安江路与苏州路交叉口西南侧</w:t>
            </w:r>
          </w:p>
        </w:tc>
        <w:tc>
          <w:tcPr>
            <w:tcW w:w="1260" w:type="dxa"/>
            <w:tcBorders>
              <w:top w:val="single" w:color="000000" w:sz="4" w:space="0"/>
              <w:left w:val="single" w:color="000000" w:sz="4" w:space="0"/>
              <w:bottom w:val="single" w:color="000000" w:sz="4" w:space="0"/>
              <w:right w:val="single" w:color="auto" w:sz="4" w:space="0"/>
            </w:tcBorders>
            <w:noWrap w:val="0"/>
            <w:vAlign w:val="center"/>
          </w:tcPr>
          <w:p w14:paraId="21307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20005</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4CB90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5532.5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0E2E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7F84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5B41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9BE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北湖公交换乘中心调度楼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5403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南谯路与将军山路交叉口东南侧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F6D7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8319</w:t>
            </w:r>
          </w:p>
        </w:tc>
        <w:tc>
          <w:tcPr>
            <w:tcW w:w="1308" w:type="dxa"/>
            <w:tcBorders>
              <w:top w:val="single" w:color="auto" w:sz="4" w:space="0"/>
              <w:left w:val="single" w:color="000000" w:sz="4" w:space="0"/>
              <w:bottom w:val="single" w:color="000000" w:sz="4" w:space="0"/>
              <w:right w:val="single" w:color="000000" w:sz="4" w:space="0"/>
            </w:tcBorders>
            <w:noWrap w:val="0"/>
            <w:vAlign w:val="center"/>
          </w:tcPr>
          <w:p w14:paraId="1D9D5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1319</w:t>
            </w:r>
          </w:p>
        </w:tc>
        <w:tc>
          <w:tcPr>
            <w:tcW w:w="1157" w:type="dxa"/>
            <w:tcBorders>
              <w:top w:val="single" w:color="auto" w:sz="4" w:space="0"/>
              <w:left w:val="single" w:color="000000" w:sz="4" w:space="0"/>
              <w:bottom w:val="single" w:color="000000" w:sz="4" w:space="0"/>
              <w:right w:val="single" w:color="000000" w:sz="4" w:space="0"/>
            </w:tcBorders>
            <w:noWrap w:val="0"/>
            <w:vAlign w:val="center"/>
          </w:tcPr>
          <w:p w14:paraId="1F268B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D7F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F81C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921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创业路公交首末站管理用房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55FFF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清流路与创业路交叉路口东北侧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777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3330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4B27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482</w:t>
            </w:r>
          </w:p>
        </w:tc>
        <w:tc>
          <w:tcPr>
            <w:tcW w:w="1157" w:type="dxa"/>
            <w:tcBorders>
              <w:top w:val="nil"/>
              <w:left w:val="single" w:color="000000" w:sz="4" w:space="0"/>
              <w:bottom w:val="single" w:color="000000" w:sz="4" w:space="0"/>
              <w:right w:val="single" w:color="000000" w:sz="4" w:space="0"/>
            </w:tcBorders>
            <w:noWrap w:val="0"/>
            <w:vAlign w:val="center"/>
          </w:tcPr>
          <w:p w14:paraId="74E647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6A4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0CF0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833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城北公交首末站管理用房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1277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世纪大道与滁定路交叉口东南侧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157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6184E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1157" w:type="dxa"/>
            <w:tcBorders>
              <w:top w:val="nil"/>
              <w:left w:val="single" w:color="000000" w:sz="4" w:space="0"/>
              <w:bottom w:val="single" w:color="000000" w:sz="4" w:space="0"/>
              <w:right w:val="single" w:color="000000" w:sz="4" w:space="0"/>
            </w:tcBorders>
            <w:noWrap w:val="0"/>
            <w:vAlign w:val="center"/>
          </w:tcPr>
          <w:p w14:paraId="552A60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02B9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12E3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685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城北工业园公交首末站管理用房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02CCE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上海路与淮北路交叉路口东北侧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181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4329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F482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1157" w:type="dxa"/>
            <w:tcBorders>
              <w:top w:val="nil"/>
              <w:left w:val="single" w:color="000000" w:sz="4" w:space="0"/>
              <w:bottom w:val="single" w:color="000000" w:sz="4" w:space="0"/>
              <w:right w:val="single" w:color="000000" w:sz="4" w:space="0"/>
            </w:tcBorders>
            <w:noWrap w:val="0"/>
            <w:vAlign w:val="center"/>
          </w:tcPr>
          <w:p w14:paraId="7F3214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56E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0B9B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5B8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紫薇路公交停保场</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08131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紫薇路与龙山路交叉口东北侧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2796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35128</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E3AE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6992</w:t>
            </w:r>
          </w:p>
        </w:tc>
        <w:tc>
          <w:tcPr>
            <w:tcW w:w="1157" w:type="dxa"/>
            <w:tcBorders>
              <w:top w:val="nil"/>
              <w:left w:val="single" w:color="000000" w:sz="4" w:space="0"/>
              <w:bottom w:val="single" w:color="000000" w:sz="4" w:space="0"/>
              <w:right w:val="single" w:color="000000" w:sz="4" w:space="0"/>
            </w:tcBorders>
            <w:noWrap w:val="0"/>
            <w:vAlign w:val="center"/>
          </w:tcPr>
          <w:p w14:paraId="18B1B1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4E30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10D92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35D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科教园公交换乘中心调度办公楼2楼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5CA6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醉翁路与二贤路交叉路口</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EC4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5333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22EB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1236</w:t>
            </w:r>
          </w:p>
        </w:tc>
        <w:tc>
          <w:tcPr>
            <w:tcW w:w="1157" w:type="dxa"/>
            <w:tcBorders>
              <w:top w:val="nil"/>
              <w:left w:val="single" w:color="000000" w:sz="4" w:space="0"/>
              <w:bottom w:val="single" w:color="000000" w:sz="4" w:space="0"/>
              <w:right w:val="single" w:color="000000" w:sz="4" w:space="0"/>
            </w:tcBorders>
            <w:noWrap w:val="0"/>
            <w:vAlign w:val="center"/>
          </w:tcPr>
          <w:p w14:paraId="1F90D5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5D92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6B19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DD2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铜陵路公交首末站</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B386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铜陵路与杭州路交叉东北侧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46D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3745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9B14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1157" w:type="dxa"/>
            <w:tcBorders>
              <w:top w:val="nil"/>
              <w:left w:val="single" w:color="000000" w:sz="4" w:space="0"/>
              <w:bottom w:val="single" w:color="000000" w:sz="4" w:space="0"/>
              <w:right w:val="single" w:color="000000" w:sz="4" w:space="0"/>
            </w:tcBorders>
            <w:noWrap w:val="0"/>
            <w:vAlign w:val="center"/>
          </w:tcPr>
          <w:p w14:paraId="03285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0970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32A9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883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敬梓路公交首末站管理用房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DCFC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永乐路西侧、敬梓路南侧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D75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8941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557</w:t>
            </w:r>
          </w:p>
        </w:tc>
        <w:tc>
          <w:tcPr>
            <w:tcW w:w="1157" w:type="dxa"/>
            <w:tcBorders>
              <w:top w:val="nil"/>
              <w:left w:val="single" w:color="000000" w:sz="4" w:space="0"/>
              <w:bottom w:val="single" w:color="000000" w:sz="4" w:space="0"/>
              <w:right w:val="single" w:color="000000" w:sz="4" w:space="0"/>
            </w:tcBorders>
            <w:noWrap w:val="0"/>
            <w:vAlign w:val="center"/>
          </w:tcPr>
          <w:p w14:paraId="05B340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bl>
    <w:p w14:paraId="732C8B16">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p>
    <w:p w14:paraId="28EB6A33">
      <w:pPr>
        <w:snapToGrid w:val="0"/>
        <w:spacing w:line="440" w:lineRule="exact"/>
        <w:ind w:right="252" w:rightChars="120" w:firstLine="422" w:firstLineChars="200"/>
        <w:jc w:val="left"/>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注：</w:t>
      </w:r>
      <w:r>
        <w:rPr>
          <w:rFonts w:hint="eastAsia" w:ascii="宋体" w:hAnsi="宋体" w:eastAsia="宋体" w:cs="宋体"/>
          <w:b/>
          <w:bCs w:val="0"/>
          <w:color w:val="auto"/>
          <w:szCs w:val="21"/>
          <w:highlight w:val="none"/>
          <w:lang w:val="en-US" w:eastAsia="zh-CN"/>
        </w:rPr>
        <w:t>上述需需鉴定位置及面积为现阶段暂估量，最终按实际鉴定面积据实结算，以实际发生量为准。</w:t>
      </w:r>
    </w:p>
    <w:p w14:paraId="68FF9C18">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二、鉴定目的</w:t>
      </w:r>
    </w:p>
    <w:p w14:paraId="5E707C26">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通过对该工程项目针对性的检测鉴定，针对该工程项目当前实际情况，进行安全性、抗震性和正常使用功能检测核实，进而对该工程项目作出客观、事实、科学的稳定性评价和安全性鉴定评估。</w:t>
      </w:r>
    </w:p>
    <w:p w14:paraId="5E50308D">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 服务需求</w:t>
      </w:r>
    </w:p>
    <w:p w14:paraId="429476F9">
      <w:pPr>
        <w:keepNext w:val="0"/>
        <w:keepLines w:val="0"/>
        <w:pageBreakBefore w:val="0"/>
        <w:widowControl w:val="0"/>
        <w:kinsoku/>
        <w:wordWrap/>
        <w:overflowPunct/>
        <w:topLinePunct w:val="0"/>
        <w:bidi w:val="0"/>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第一项：房屋结构安全性鉴定</w:t>
      </w:r>
    </w:p>
    <w:p w14:paraId="05A4BB11">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检测内容</w:t>
      </w:r>
    </w:p>
    <w:p w14:paraId="02F84430">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建筑基本信息调查：建成年代、结构形式、层数、高度、平面、面积、使用功能、改造史。</w:t>
      </w:r>
    </w:p>
    <w:p w14:paraId="67A95BFD">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图纸与资料核查：原设计图、竣工图、地勘报告、变更、验收资料等。</w:t>
      </w:r>
    </w:p>
    <w:p w14:paraId="401AA91B">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结构体系与构件布置核查：承重墙、柱、梁、板、基础、连接节点。</w:t>
      </w:r>
    </w:p>
    <w:p w14:paraId="0BA48858">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构件尺寸实测：截面尺寸、板厚、墙体厚度、层高。</w:t>
      </w:r>
    </w:p>
    <w:p w14:paraId="34E65C6D">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材料强度检测：</w:t>
      </w:r>
    </w:p>
    <w:p w14:paraId="3C674B0E">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混凝土强度（回弹 / 钻芯）</w:t>
      </w:r>
    </w:p>
    <w:p w14:paraId="67A840D1">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砌筑砂浆强度、砖 / 砌块强度</w:t>
      </w:r>
    </w:p>
    <w:p w14:paraId="79DA36E2">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钢筋配置（直径、间距、保护层、锚固）</w:t>
      </w:r>
    </w:p>
    <w:p w14:paraId="16198B80">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结构损伤检测：裂缝、变形、倾斜、挠度、剥落、露筋、锈蚀、酥碱、空鼓。</w:t>
      </w:r>
    </w:p>
    <w:p w14:paraId="0F118F73">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地基基础与沉降核查：基础形式、埋深、沉降观测、不均匀沉降判断。</w:t>
      </w:r>
    </w:p>
    <w:p w14:paraId="0FA0ECF4">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荷载核查：楼面 / 屋面实际使用荷载、堆载、设备荷载。</w:t>
      </w:r>
    </w:p>
    <w:p w14:paraId="4D0387BA">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结构安全性验算与评定：承载力、变形、稳定性、安全等级评定。</w:t>
      </w:r>
    </w:p>
    <w:p w14:paraId="40612497">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成果要求</w:t>
      </w:r>
    </w:p>
    <w:p w14:paraId="78D17C84">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出具《房屋结构安全性检测鉴定报告》，明确安全等级、是否满足正常使用要求、处理建议。</w:t>
      </w:r>
    </w:p>
    <w:p w14:paraId="20AAE0AC">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第二项：抗震鉴定鉴定</w:t>
      </w:r>
    </w:p>
    <w:p w14:paraId="4203EA49">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检测与鉴定内容</w:t>
      </w:r>
    </w:p>
    <w:p w14:paraId="328AA098">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抗震设防信息核查：设防烈度、设防类别、抗震等级、场地类别。</w:t>
      </w:r>
    </w:p>
    <w:p w14:paraId="213538B8">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结构体系抗震合理性评定。</w:t>
      </w:r>
    </w:p>
    <w:p w14:paraId="56C97386">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抗震构造措施全面核查：</w:t>
      </w:r>
    </w:p>
    <w:p w14:paraId="3DE4FF83">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构造柱、圈梁、拉结筋、芯柱、过梁</w:t>
      </w:r>
    </w:p>
    <w:p w14:paraId="33BB9318">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楼梯间、悬挑构件、女儿墙、附属构件抗震连接</w:t>
      </w:r>
    </w:p>
    <w:p w14:paraId="789FEB23">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框架节点、梁柱约束、填充墙拉结、非结构构件抗震措施</w:t>
      </w:r>
    </w:p>
    <w:p w14:paraId="4997E041">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材料强度与构件现状检测（同质量安全检测数据共用）。</w:t>
      </w:r>
    </w:p>
    <w:p w14:paraId="1BAD84A8">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结构抗震承载力验算、层间位移验算、抗震构造验算。</w:t>
      </w:r>
    </w:p>
    <w:p w14:paraId="114C16B8">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依据《建筑抗震鉴定标准》给出抗震鉴定结论：合格 / 基本合格 / 不合格 / 需加固。</w:t>
      </w:r>
    </w:p>
    <w:p w14:paraId="1722AC8B">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提出抗震加固建议、措施、范围及风险提示。</w:t>
      </w:r>
    </w:p>
    <w:p w14:paraId="1806516B">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执行标准</w:t>
      </w:r>
    </w:p>
    <w:p w14:paraId="55E4910E">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50023《建筑抗震鉴定标准》</w:t>
      </w:r>
    </w:p>
    <w:p w14:paraId="01A5089D">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50011《建筑抗震设计规范》</w:t>
      </w:r>
    </w:p>
    <w:p w14:paraId="6AD49E26">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50344《建筑结构检测技术标准》</w:t>
      </w:r>
    </w:p>
    <w:p w14:paraId="72EAFC7C">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成果要求</w:t>
      </w:r>
    </w:p>
    <w:p w14:paraId="68B074C0">
      <w:pPr>
        <w:keepNext w:val="0"/>
        <w:keepLines w:val="0"/>
        <w:pageBreakBefore w:val="0"/>
        <w:widowControl/>
        <w:kinsoku/>
        <w:wordWrap/>
        <w:overflowPunct/>
        <w:topLinePunct w:val="0"/>
        <w:autoSpaceDE/>
        <w:autoSpaceDN/>
        <w:bidi w:val="0"/>
        <w:adjustRightInd/>
        <w:spacing w:line="480" w:lineRule="auto"/>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出具《房屋抗震鉴定鉴定报告》。</w:t>
      </w:r>
    </w:p>
    <w:p w14:paraId="10721A84">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四、 服务要求</w:t>
      </w:r>
    </w:p>
    <w:p w14:paraId="6747B7F2">
      <w:pPr>
        <w:snapToGrid w:val="0"/>
        <w:spacing w:line="440" w:lineRule="exact"/>
        <w:ind w:right="252" w:rightChars="120" w:firstLine="420" w:firstLineChars="200"/>
        <w:jc w:val="left"/>
        <w:rPr>
          <w:rFonts w:hint="eastAsia"/>
          <w:color w:val="auto"/>
          <w:highlight w:val="none"/>
        </w:rPr>
      </w:pPr>
      <w:r>
        <w:rPr>
          <w:rFonts w:hint="eastAsia" w:ascii="宋体" w:hAnsi="宋体" w:cs="宋体"/>
          <w:b w:val="0"/>
          <w:bCs w:val="0"/>
          <w:color w:val="auto"/>
          <w:szCs w:val="21"/>
          <w:highlight w:val="none"/>
          <w:lang w:val="en-US" w:eastAsia="zh-CN"/>
        </w:rPr>
        <w:t>1、按项目进度和</w:t>
      </w:r>
      <w:r>
        <w:rPr>
          <w:rFonts w:hint="eastAsia"/>
          <w:b w:val="0"/>
          <w:bCs w:val="0"/>
          <w:color w:val="auto"/>
          <w:highlight w:val="none"/>
        </w:rPr>
        <w:t>服务要求</w:t>
      </w:r>
      <w:r>
        <w:rPr>
          <w:rFonts w:hint="eastAsia"/>
          <w:color w:val="auto"/>
          <w:highlight w:val="none"/>
        </w:rPr>
        <w:t>进行检测；检测报告必须及时、真实、可靠；对不合格的检测结果及时上报以便及时整改。</w:t>
      </w:r>
    </w:p>
    <w:p w14:paraId="206D97DA">
      <w:pPr>
        <w:ind w:firstLine="420" w:firstLineChars="200"/>
        <w:rPr>
          <w:rFonts w:hint="eastAsia"/>
          <w:color w:val="auto"/>
          <w:highlight w:val="none"/>
        </w:rPr>
      </w:pPr>
      <w:r>
        <w:rPr>
          <w:rFonts w:hint="eastAsia"/>
          <w:color w:val="auto"/>
          <w:highlight w:val="none"/>
        </w:rPr>
        <w:t xml:space="preserve">2、规范标准：本项目按照国家颁布的现行工程施工、材料验收规范进行验收。 </w:t>
      </w:r>
    </w:p>
    <w:p w14:paraId="2213D700">
      <w:pPr>
        <w:ind w:firstLine="420" w:firstLineChars="200"/>
        <w:rPr>
          <w:rFonts w:hint="eastAsia"/>
          <w:color w:val="auto"/>
          <w:highlight w:val="none"/>
        </w:rPr>
      </w:pPr>
      <w:r>
        <w:rPr>
          <w:rFonts w:hint="eastAsia"/>
          <w:color w:val="auto"/>
          <w:highlight w:val="none"/>
        </w:rPr>
        <w:t>3、报告文书应层次分明、客观准确、依据充分、编写规范，并不会产生理解歧义；鉴定结论及处理意见应按分析判断的结果逐项书写清楚。</w:t>
      </w:r>
    </w:p>
    <w:p w14:paraId="2CFC7699">
      <w:pPr>
        <w:ind w:firstLine="420" w:firstLineChars="200"/>
        <w:rPr>
          <w:rFonts w:hint="eastAsia"/>
          <w:color w:val="auto"/>
          <w:highlight w:val="none"/>
        </w:rPr>
      </w:pPr>
      <w:r>
        <w:rPr>
          <w:rFonts w:hint="eastAsia"/>
          <w:color w:val="auto"/>
          <w:highlight w:val="none"/>
        </w:rPr>
        <w:t>4、中标人不得在中标后将项目转包给其他企业法人或自然人，否则招标人有权中止合同。</w:t>
      </w:r>
    </w:p>
    <w:p w14:paraId="421163A7">
      <w:pPr>
        <w:ind w:firstLine="420" w:firstLineChars="200"/>
        <w:rPr>
          <w:rFonts w:hint="eastAsia"/>
          <w:color w:val="auto"/>
          <w:highlight w:val="none"/>
        </w:rPr>
      </w:pPr>
      <w:r>
        <w:rPr>
          <w:rFonts w:hint="eastAsia"/>
          <w:color w:val="auto"/>
          <w:highlight w:val="none"/>
        </w:rPr>
        <w:t xml:space="preserve">5、中标人必须保证所提供服务的安全、质量，如因质量问题造成的安全事故，均由中标人自行承担。 </w:t>
      </w:r>
    </w:p>
    <w:p w14:paraId="27478702">
      <w:pPr>
        <w:ind w:firstLine="420" w:firstLineChars="200"/>
        <w:rPr>
          <w:rFonts w:hint="eastAsia"/>
          <w:color w:val="auto"/>
          <w:highlight w:val="none"/>
        </w:rPr>
      </w:pPr>
      <w:r>
        <w:rPr>
          <w:rFonts w:hint="eastAsia"/>
          <w:color w:val="auto"/>
          <w:highlight w:val="none"/>
        </w:rPr>
        <w:t>6、《建设工程质量检测管理办法》第十五条：检测机构与所检测建设工程相关的建设、施工、监理单位，以及建筑材料、建筑构配件和设备供应单位不得有隶属关系或者其他利害关系。</w:t>
      </w:r>
    </w:p>
    <w:p w14:paraId="4B690C07">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bookmarkStart w:id="223" w:name="_Toc12910"/>
      <w:bookmarkStart w:id="224" w:name="_Toc18052"/>
      <w:r>
        <w:rPr>
          <w:rFonts w:hint="eastAsia" w:ascii="宋体" w:hAnsi="宋体" w:cs="宋体"/>
          <w:b/>
          <w:bCs/>
          <w:color w:val="auto"/>
          <w:szCs w:val="21"/>
          <w:highlight w:val="none"/>
          <w:lang w:val="en-US" w:eastAsia="zh-CN"/>
        </w:rPr>
        <w:t>四、报价要求</w:t>
      </w:r>
      <w:bookmarkEnd w:id="223"/>
      <w:bookmarkEnd w:id="224"/>
    </w:p>
    <w:p w14:paraId="2BD98C46">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bookmarkStart w:id="225" w:name="_Toc3530"/>
      <w:bookmarkStart w:id="226" w:name="_Toc23590"/>
      <w:r>
        <w:rPr>
          <w:rFonts w:hint="eastAsia" w:ascii="宋体" w:hAnsi="宋体" w:cs="宋体"/>
          <w:b w:val="0"/>
          <w:bCs w:val="0"/>
          <w:color w:val="auto"/>
          <w:szCs w:val="21"/>
          <w:highlight w:val="none"/>
          <w:lang w:val="en-US" w:eastAsia="zh-CN"/>
        </w:rPr>
        <w:t>投标报价应含有服务、利润、税金、政策性文件规定及合同包含的所有风险、责任、义务等，即为完成招标文件要求的服务内容所包含的一切应有费用，其组成包括但不限于工作、交通、通讯、设备（仪器）、劳力、利润、税收、管理等。中标价格今后将不作任何调整，招标人后期不再追加费用，投标人自行考虑报价风险。</w:t>
      </w:r>
      <w:bookmarkEnd w:id="225"/>
      <w:bookmarkEnd w:id="226"/>
    </w:p>
    <w:p w14:paraId="413A52B5">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五、其他要求 </w:t>
      </w:r>
    </w:p>
    <w:p w14:paraId="4BC26375">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1、中标人应对招标人提供的业务资料、技术资料应严格保密、不得扩散，否则应承担相应责任且招标人有权追究中标人违约责任。 </w:t>
      </w:r>
    </w:p>
    <w:p w14:paraId="75293D3E">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2、中标人如迟延履行合同、不完全履行合同的，招标人有权追究中标人责任，并就中标人违约给招标人造成的损失向中标人索赔。</w:t>
      </w:r>
    </w:p>
    <w:p w14:paraId="2017CA2B">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3、所有成果文件知识产权、检测数据归招标人所有。 </w:t>
      </w:r>
    </w:p>
    <w:p w14:paraId="773F2479">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4、对于中标人无法按时按承诺完成的工作，招标人有权请第三方解决，所需所有费用由中标人支付。</w:t>
      </w:r>
    </w:p>
    <w:p w14:paraId="54857F75">
      <w:pPr>
        <w:ind w:firstLine="420" w:firstLineChars="200"/>
        <w:rPr>
          <w:rFonts w:hint="eastAsia" w:eastAsiaTheme="minorEastAsia"/>
          <w:color w:val="auto"/>
          <w:highlight w:val="none"/>
          <w:lang w:val="en-US" w:eastAsia="zh-CN"/>
        </w:rPr>
      </w:pPr>
    </w:p>
    <w:p w14:paraId="4583B729">
      <w:pPr>
        <w:ind w:firstLine="420" w:firstLineChars="200"/>
        <w:rPr>
          <w:rFonts w:hint="eastAsia"/>
          <w:color w:val="auto"/>
          <w:highlight w:val="none"/>
        </w:rPr>
      </w:pPr>
    </w:p>
    <w:p w14:paraId="5B3AFC32">
      <w:pPr>
        <w:ind w:firstLine="420" w:firstLineChars="200"/>
        <w:rPr>
          <w:rFonts w:hint="eastAsia"/>
          <w:color w:val="auto"/>
          <w:highlight w:val="none"/>
        </w:rPr>
      </w:pPr>
    </w:p>
    <w:p w14:paraId="5534000B">
      <w:pPr>
        <w:ind w:firstLine="420" w:firstLineChars="200"/>
        <w:rPr>
          <w:rFonts w:hint="eastAsia"/>
          <w:color w:val="auto"/>
          <w:highlight w:val="none"/>
        </w:rPr>
      </w:pPr>
    </w:p>
    <w:p w14:paraId="3D5BC2AA">
      <w:pPr>
        <w:ind w:firstLine="420" w:firstLineChars="200"/>
        <w:rPr>
          <w:rFonts w:hint="eastAsia"/>
          <w:color w:val="auto"/>
          <w:highlight w:val="none"/>
        </w:rPr>
      </w:pPr>
    </w:p>
    <w:p w14:paraId="3E5B0E62">
      <w:pPr>
        <w:ind w:firstLine="420" w:firstLineChars="200"/>
        <w:rPr>
          <w:rFonts w:hint="eastAsia"/>
          <w:color w:val="auto"/>
          <w:highlight w:val="none"/>
        </w:rPr>
      </w:pPr>
    </w:p>
    <w:p w14:paraId="0A176139">
      <w:pPr>
        <w:ind w:firstLine="420" w:firstLineChars="200"/>
        <w:rPr>
          <w:rFonts w:hint="eastAsia"/>
          <w:color w:val="auto"/>
          <w:highlight w:val="none"/>
        </w:rPr>
      </w:pPr>
    </w:p>
    <w:p w14:paraId="4AF3578A">
      <w:pPr>
        <w:ind w:firstLine="420" w:firstLineChars="200"/>
        <w:rPr>
          <w:rFonts w:hint="eastAsia"/>
          <w:color w:val="auto"/>
          <w:highlight w:val="none"/>
        </w:rPr>
      </w:pPr>
    </w:p>
    <w:p w14:paraId="59F371C3">
      <w:pPr>
        <w:ind w:firstLine="420" w:firstLineChars="200"/>
        <w:rPr>
          <w:rFonts w:hint="eastAsia"/>
          <w:color w:val="auto"/>
          <w:highlight w:val="none"/>
        </w:rPr>
      </w:pPr>
    </w:p>
    <w:p w14:paraId="2D9DC5C9">
      <w:pPr>
        <w:ind w:firstLine="420" w:firstLineChars="200"/>
        <w:rPr>
          <w:rFonts w:hint="eastAsia"/>
          <w:color w:val="auto"/>
          <w:highlight w:val="none"/>
        </w:rPr>
      </w:pPr>
    </w:p>
    <w:p w14:paraId="78ECA98B">
      <w:pPr>
        <w:ind w:firstLine="420" w:firstLineChars="200"/>
        <w:rPr>
          <w:rFonts w:hint="eastAsia"/>
          <w:color w:val="auto"/>
          <w:highlight w:val="none"/>
        </w:rPr>
      </w:pPr>
    </w:p>
    <w:p w14:paraId="47AC7FF8">
      <w:pPr>
        <w:ind w:firstLine="420" w:firstLineChars="200"/>
        <w:rPr>
          <w:rFonts w:hint="eastAsia"/>
          <w:color w:val="auto"/>
          <w:highlight w:val="none"/>
        </w:rPr>
      </w:pPr>
    </w:p>
    <w:p w14:paraId="41BC4C09">
      <w:pPr>
        <w:ind w:firstLine="420" w:firstLineChars="200"/>
        <w:rPr>
          <w:rFonts w:hint="eastAsia"/>
          <w:color w:val="auto"/>
          <w:highlight w:val="none"/>
        </w:rPr>
      </w:pPr>
    </w:p>
    <w:p w14:paraId="089CB46A">
      <w:pPr>
        <w:ind w:firstLine="420" w:firstLineChars="200"/>
        <w:rPr>
          <w:rFonts w:hint="eastAsia"/>
          <w:color w:val="auto"/>
          <w:highlight w:val="none"/>
        </w:rPr>
      </w:pPr>
    </w:p>
    <w:p w14:paraId="3BDD1E24">
      <w:pPr>
        <w:ind w:firstLine="420" w:firstLineChars="200"/>
        <w:rPr>
          <w:rFonts w:hint="eastAsia"/>
          <w:color w:val="auto"/>
          <w:highlight w:val="none"/>
        </w:rPr>
      </w:pPr>
    </w:p>
    <w:p w14:paraId="736127D0">
      <w:pPr>
        <w:ind w:firstLine="420" w:firstLineChars="200"/>
        <w:rPr>
          <w:rFonts w:hint="eastAsia"/>
          <w:color w:val="auto"/>
          <w:highlight w:val="none"/>
        </w:rPr>
      </w:pPr>
    </w:p>
    <w:p w14:paraId="6A4B478E">
      <w:pPr>
        <w:ind w:firstLine="420" w:firstLineChars="200"/>
        <w:rPr>
          <w:rFonts w:hint="eastAsia"/>
          <w:color w:val="auto"/>
          <w:highlight w:val="none"/>
        </w:rPr>
      </w:pPr>
    </w:p>
    <w:p w14:paraId="3BD3A6D0">
      <w:pPr>
        <w:ind w:firstLine="420" w:firstLineChars="200"/>
        <w:rPr>
          <w:rFonts w:hint="eastAsia"/>
          <w:color w:val="auto"/>
          <w:highlight w:val="none"/>
        </w:rPr>
      </w:pPr>
    </w:p>
    <w:p w14:paraId="615CE844">
      <w:pPr>
        <w:ind w:firstLine="420" w:firstLineChars="200"/>
        <w:rPr>
          <w:rFonts w:hint="eastAsia"/>
          <w:color w:val="auto"/>
          <w:highlight w:val="none"/>
        </w:rPr>
      </w:pPr>
    </w:p>
    <w:p w14:paraId="0DBBD764">
      <w:pPr>
        <w:ind w:firstLine="420" w:firstLineChars="200"/>
        <w:rPr>
          <w:rFonts w:hint="eastAsia"/>
          <w:color w:val="auto"/>
          <w:highlight w:val="none"/>
        </w:rPr>
      </w:pPr>
    </w:p>
    <w:p w14:paraId="727D41E0">
      <w:pPr>
        <w:ind w:firstLine="420" w:firstLineChars="200"/>
        <w:rPr>
          <w:rFonts w:hint="eastAsia"/>
          <w:color w:val="auto"/>
          <w:highlight w:val="none"/>
        </w:rPr>
      </w:pPr>
    </w:p>
    <w:p w14:paraId="052000D6">
      <w:pPr>
        <w:ind w:firstLine="420" w:firstLineChars="200"/>
        <w:rPr>
          <w:rFonts w:hint="eastAsia"/>
          <w:color w:val="auto"/>
          <w:highlight w:val="none"/>
        </w:rPr>
      </w:pPr>
    </w:p>
    <w:p w14:paraId="0C35EA80">
      <w:pPr>
        <w:ind w:firstLine="420" w:firstLineChars="200"/>
        <w:rPr>
          <w:rFonts w:hint="eastAsia"/>
          <w:color w:val="auto"/>
          <w:highlight w:val="none"/>
        </w:rPr>
      </w:pPr>
    </w:p>
    <w:p w14:paraId="4A3F820C">
      <w:pPr>
        <w:ind w:firstLine="420" w:firstLineChars="200"/>
        <w:rPr>
          <w:rFonts w:hint="eastAsia"/>
          <w:color w:val="auto"/>
          <w:highlight w:val="none"/>
        </w:rPr>
      </w:pPr>
    </w:p>
    <w:p w14:paraId="3BCB7216">
      <w:pPr>
        <w:ind w:firstLine="420" w:firstLineChars="200"/>
        <w:rPr>
          <w:rFonts w:hint="eastAsia"/>
          <w:color w:val="auto"/>
          <w:highlight w:val="none"/>
        </w:rPr>
      </w:pPr>
    </w:p>
    <w:p w14:paraId="74FD1855">
      <w:pPr>
        <w:ind w:firstLine="420" w:firstLineChars="200"/>
        <w:rPr>
          <w:rFonts w:hint="eastAsia"/>
          <w:color w:val="auto"/>
          <w:highlight w:val="none"/>
        </w:rPr>
      </w:pPr>
    </w:p>
    <w:p w14:paraId="29B159FC">
      <w:pPr>
        <w:ind w:firstLine="420" w:firstLineChars="200"/>
        <w:rPr>
          <w:rFonts w:hint="eastAsia"/>
          <w:color w:val="auto"/>
          <w:highlight w:val="none"/>
        </w:rPr>
      </w:pPr>
    </w:p>
    <w:p w14:paraId="15BE2713">
      <w:pPr>
        <w:ind w:firstLine="420" w:firstLineChars="200"/>
        <w:rPr>
          <w:rFonts w:hint="eastAsia"/>
          <w:color w:val="auto"/>
          <w:highlight w:val="none"/>
        </w:rPr>
      </w:pPr>
    </w:p>
    <w:p w14:paraId="655A0CCE">
      <w:pPr>
        <w:ind w:firstLine="420" w:firstLineChars="200"/>
        <w:rPr>
          <w:rFonts w:hint="eastAsia"/>
          <w:color w:val="auto"/>
          <w:highlight w:val="none"/>
        </w:rPr>
      </w:pPr>
    </w:p>
    <w:p w14:paraId="3FF2BECA">
      <w:pPr>
        <w:ind w:firstLine="420" w:firstLineChars="200"/>
        <w:rPr>
          <w:rFonts w:hint="eastAsia"/>
          <w:color w:val="auto"/>
          <w:highlight w:val="none"/>
          <w:lang w:val="en-US" w:eastAsia="zh-CN"/>
        </w:rPr>
      </w:pPr>
    </w:p>
    <w:p w14:paraId="44599A61">
      <w:pPr>
        <w:keepNext w:val="0"/>
        <w:keepLines w:val="0"/>
        <w:pageBreakBefore w:val="0"/>
        <w:numPr>
          <w:ilvl w:val="0"/>
          <w:numId w:val="2"/>
        </w:numPr>
        <w:kinsoku/>
        <w:wordWrap/>
        <w:overflowPunct/>
        <w:topLinePunct w:val="0"/>
        <w:autoSpaceDE/>
        <w:autoSpaceDN/>
        <w:bidi w:val="0"/>
        <w:adjustRightInd/>
        <w:snapToGrid w:val="0"/>
        <w:spacing w:line="41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合同条款及格式（合同格式仅供参考）</w:t>
      </w:r>
    </w:p>
    <w:p w14:paraId="21FD3F7C">
      <w:pPr>
        <w:spacing w:line="400" w:lineRule="exact"/>
        <w:ind w:firstLine="420" w:firstLineChars="200"/>
        <w:rPr>
          <w:rFonts w:hint="eastAsia"/>
          <w:color w:val="auto"/>
          <w:szCs w:val="21"/>
          <w:highlight w:val="none"/>
          <w:lang w:val="en-US" w:eastAsia="zh-CN"/>
        </w:rPr>
      </w:pPr>
    </w:p>
    <w:p w14:paraId="3B8051CA">
      <w:pPr>
        <w:spacing w:before="120" w:line="480" w:lineRule="auto"/>
        <w:ind w:firstLine="420" w:firstLineChars="200"/>
        <w:rPr>
          <w:rFonts w:hint="eastAsia" w:ascii="宋体" w:hAnsi="宋体"/>
          <w:color w:val="auto"/>
          <w:szCs w:val="21"/>
          <w:highlight w:val="none"/>
        </w:rPr>
      </w:pPr>
    </w:p>
    <w:p w14:paraId="47226682">
      <w:pPr>
        <w:spacing w:before="120" w:line="480" w:lineRule="auto"/>
        <w:ind w:firstLine="420" w:firstLineChars="200"/>
        <w:rPr>
          <w:rFonts w:hint="eastAsia" w:ascii="宋体" w:hAnsi="宋体"/>
          <w:color w:val="auto"/>
          <w:szCs w:val="21"/>
          <w:highlight w:val="none"/>
        </w:rPr>
      </w:pPr>
    </w:p>
    <w:p w14:paraId="66B74E6D">
      <w:pPr>
        <w:spacing w:before="120" w:line="480" w:lineRule="auto"/>
        <w:ind w:firstLine="420" w:firstLineChars="200"/>
        <w:rPr>
          <w:rFonts w:hint="eastAsia" w:ascii="宋体" w:hAnsi="宋体"/>
          <w:color w:val="auto"/>
          <w:szCs w:val="21"/>
          <w:highlight w:val="none"/>
        </w:rPr>
      </w:pPr>
    </w:p>
    <w:p w14:paraId="5DA25D75">
      <w:pPr>
        <w:spacing w:before="120" w:line="480" w:lineRule="auto"/>
        <w:ind w:firstLine="420" w:firstLineChars="200"/>
        <w:rPr>
          <w:rFonts w:hint="eastAsia" w:ascii="宋体" w:hAnsi="宋体"/>
          <w:color w:val="auto"/>
          <w:szCs w:val="21"/>
          <w:highlight w:val="none"/>
        </w:rPr>
      </w:pPr>
    </w:p>
    <w:p w14:paraId="61EE5D9C">
      <w:pPr>
        <w:spacing w:before="120" w:line="480" w:lineRule="auto"/>
        <w:ind w:firstLine="420" w:firstLineChars="200"/>
        <w:rPr>
          <w:rFonts w:hint="eastAsia" w:ascii="宋体" w:hAnsi="宋体"/>
          <w:color w:val="auto"/>
          <w:szCs w:val="21"/>
          <w:highlight w:val="none"/>
        </w:rPr>
      </w:pPr>
    </w:p>
    <w:p w14:paraId="360C19F7">
      <w:pPr>
        <w:spacing w:before="120" w:line="480" w:lineRule="auto"/>
        <w:ind w:firstLine="420" w:firstLineChars="200"/>
        <w:rPr>
          <w:rFonts w:hint="eastAsia" w:ascii="宋体" w:hAnsi="宋体"/>
          <w:color w:val="auto"/>
          <w:szCs w:val="21"/>
          <w:highlight w:val="none"/>
        </w:rPr>
      </w:pPr>
    </w:p>
    <w:p w14:paraId="79E97C4D">
      <w:pPr>
        <w:spacing w:before="120" w:line="480" w:lineRule="auto"/>
        <w:ind w:firstLine="420" w:firstLineChars="200"/>
        <w:rPr>
          <w:rFonts w:hint="eastAsia" w:ascii="宋体" w:hAnsi="宋体"/>
          <w:color w:val="auto"/>
          <w:szCs w:val="21"/>
          <w:highlight w:val="none"/>
        </w:rPr>
      </w:pPr>
    </w:p>
    <w:p w14:paraId="21420D57">
      <w:pPr>
        <w:spacing w:before="120" w:line="480" w:lineRule="auto"/>
        <w:ind w:firstLine="420" w:firstLineChars="200"/>
        <w:rPr>
          <w:rFonts w:hint="eastAsia" w:ascii="宋体" w:hAnsi="宋体"/>
          <w:color w:val="auto"/>
          <w:szCs w:val="21"/>
          <w:highlight w:val="none"/>
        </w:rPr>
      </w:pPr>
    </w:p>
    <w:p w14:paraId="39867138">
      <w:pPr>
        <w:spacing w:before="120" w:line="480" w:lineRule="auto"/>
        <w:ind w:firstLine="420" w:firstLineChars="200"/>
        <w:rPr>
          <w:rFonts w:hint="eastAsia" w:ascii="宋体" w:hAnsi="宋体"/>
          <w:color w:val="auto"/>
          <w:szCs w:val="21"/>
          <w:highlight w:val="none"/>
        </w:rPr>
      </w:pPr>
    </w:p>
    <w:p w14:paraId="1757B0A1">
      <w:pPr>
        <w:spacing w:before="120" w:line="480" w:lineRule="auto"/>
        <w:ind w:firstLine="420" w:firstLineChars="200"/>
        <w:rPr>
          <w:rFonts w:hint="eastAsia" w:ascii="宋体" w:hAnsi="宋体"/>
          <w:color w:val="auto"/>
          <w:szCs w:val="21"/>
          <w:highlight w:val="none"/>
        </w:rPr>
      </w:pPr>
    </w:p>
    <w:p w14:paraId="713A3440">
      <w:pPr>
        <w:spacing w:before="120"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项目名称：    </w:t>
      </w:r>
    </w:p>
    <w:p w14:paraId="70DC510B">
      <w:pPr>
        <w:spacing w:before="120"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甲方（</w:t>
      </w:r>
      <w:r>
        <w:rPr>
          <w:rFonts w:hint="eastAsia" w:ascii="宋体" w:hAnsi="宋体"/>
          <w:color w:val="auto"/>
          <w:szCs w:val="21"/>
          <w:highlight w:val="none"/>
          <w:lang w:eastAsia="zh-CN"/>
        </w:rPr>
        <w:t>招标人</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F7B2DE2">
      <w:pPr>
        <w:spacing w:before="120"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乙方（中标人）：</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70F41096">
      <w:pPr>
        <w:spacing w:before="120"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签订地：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17F7010">
      <w:pPr>
        <w:spacing w:before="120" w:line="480" w:lineRule="auto"/>
        <w:ind w:firstLine="420" w:firstLineChars="200"/>
        <w:rPr>
          <w:rFonts w:ascii="宋体" w:hAnsi="宋体"/>
          <w:color w:val="auto"/>
          <w:szCs w:val="21"/>
          <w:highlight w:val="none"/>
        </w:rPr>
      </w:pPr>
      <w:r>
        <w:rPr>
          <w:rFonts w:hint="eastAsia" w:ascii="宋体" w:hAnsi="宋体"/>
          <w:color w:val="auto"/>
          <w:szCs w:val="21"/>
          <w:highlight w:val="none"/>
        </w:rPr>
        <w:t>签订日期：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7D01DD5">
      <w:pPr>
        <w:pStyle w:val="12"/>
        <w:rPr>
          <w:rFonts w:hint="eastAsia"/>
          <w:color w:val="auto"/>
          <w:highlight w:val="none"/>
          <w:lang w:val="en-US" w:eastAsia="zh-CN"/>
        </w:rPr>
      </w:pPr>
    </w:p>
    <w:p w14:paraId="298239E3">
      <w:pPr>
        <w:rPr>
          <w:b/>
          <w:bCs/>
          <w:color w:val="auto"/>
          <w:kern w:val="24"/>
          <w:sz w:val="28"/>
          <w:szCs w:val="28"/>
          <w:highlight w:val="none"/>
        </w:rPr>
      </w:pPr>
      <w:bookmarkStart w:id="227" w:name="_Toc532292056"/>
      <w:bookmarkStart w:id="228" w:name="_Toc20159"/>
      <w:r>
        <w:rPr>
          <w:b/>
          <w:bCs/>
          <w:color w:val="auto"/>
          <w:kern w:val="24"/>
          <w:sz w:val="28"/>
          <w:szCs w:val="28"/>
          <w:highlight w:val="none"/>
        </w:rPr>
        <w:br w:type="page"/>
      </w:r>
    </w:p>
    <w:p w14:paraId="422D1EEF">
      <w:pPr>
        <w:keepNext w:val="0"/>
        <w:keepLines w:val="0"/>
        <w:pageBreakBefore w:val="0"/>
        <w:kinsoku/>
        <w:wordWrap/>
        <w:overflowPunct/>
        <w:topLinePunct w:val="0"/>
        <w:autoSpaceDN/>
        <w:bidi w:val="0"/>
        <w:adjustRightInd/>
        <w:snapToGrid/>
        <w:spacing w:line="420" w:lineRule="exact"/>
        <w:ind w:right="-432" w:rightChars="-206"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采购单位（全称）: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（以下简称甲方）</w:t>
      </w:r>
    </w:p>
    <w:p w14:paraId="699A9DDD">
      <w:pPr>
        <w:keepNext w:val="0"/>
        <w:keepLines w:val="0"/>
        <w:pageBreakBefore w:val="0"/>
        <w:kinsoku/>
        <w:wordWrap/>
        <w:overflowPunct/>
        <w:topLinePunct w:val="0"/>
        <w:autoSpaceDN/>
        <w:bidi w:val="0"/>
        <w:adjustRightInd/>
        <w:snapToGrid/>
        <w:spacing w:line="420" w:lineRule="exact"/>
        <w:ind w:right="-432" w:rightChars="-206"/>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服务单位（全称）: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（以下简称乙方）</w:t>
      </w:r>
    </w:p>
    <w:p w14:paraId="751D0D92">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依照《中华人民共和国民法典》及其他有关法律、法规，遵循</w:t>
      </w:r>
      <w:r>
        <w:rPr>
          <w:rFonts w:hint="eastAsia" w:ascii="宋体" w:hAnsi="宋体" w:eastAsia="宋体" w:cs="宋体"/>
          <w:color w:val="auto"/>
          <w:szCs w:val="21"/>
          <w:highlight w:val="none"/>
        </w:rPr>
        <w:t>平等、自愿、公平和诚实信用的原则，双方就本此采购服务事项协商一致，订立本合同。</w:t>
      </w:r>
    </w:p>
    <w:p w14:paraId="62828E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20" w:lineRule="exact"/>
        <w:ind w:right="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1、项目名称：</w:t>
      </w:r>
    </w:p>
    <w:p w14:paraId="1F4B2B45">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2、服务内容：</w:t>
      </w:r>
    </w:p>
    <w:p w14:paraId="7DE50623">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3、服务期：</w:t>
      </w:r>
    </w:p>
    <w:p w14:paraId="7D0375A5">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4、服务质量：</w:t>
      </w:r>
    </w:p>
    <w:p w14:paraId="5780549A">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hAnsi="宋体" w:cs="宋体"/>
          <w:color w:val="auto"/>
          <w:kern w:val="0"/>
          <w:highlight w:val="none"/>
        </w:rPr>
        <w:t>必须符合国家强制性规范、条文、标准和本</w:t>
      </w:r>
      <w:r>
        <w:rPr>
          <w:rFonts w:hint="eastAsia" w:cs="宋体"/>
          <w:color w:val="auto"/>
          <w:kern w:val="0"/>
          <w:highlight w:val="none"/>
          <w:lang w:val="en-US" w:eastAsia="zh-CN"/>
        </w:rPr>
        <w:t>招标</w:t>
      </w:r>
      <w:r>
        <w:rPr>
          <w:rFonts w:hint="eastAsia" w:hAnsi="宋体" w:cs="宋体"/>
          <w:color w:val="auto"/>
          <w:kern w:val="0"/>
          <w:highlight w:val="none"/>
        </w:rPr>
        <w:t>文件要求</w:t>
      </w:r>
      <w:r>
        <w:rPr>
          <w:rFonts w:hint="eastAsia" w:ascii="宋体" w:hAnsi="宋体" w:cs="宋体"/>
          <w:color w:val="auto"/>
          <w:szCs w:val="21"/>
          <w:highlight w:val="none"/>
        </w:rPr>
        <w:t>。</w:t>
      </w:r>
    </w:p>
    <w:p w14:paraId="4A5065FE">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4.2.乙方服务质量达不到</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的质量标准，乙方应承担违约责任。</w:t>
      </w:r>
    </w:p>
    <w:p w14:paraId="6121F17F">
      <w:pPr>
        <w:keepNext w:val="0"/>
        <w:keepLines w:val="0"/>
        <w:pageBreakBefore w:val="0"/>
        <w:kinsoku/>
        <w:wordWrap/>
        <w:overflowPunct/>
        <w:topLinePunct w:val="0"/>
        <w:autoSpaceDN/>
        <w:bidi w:val="0"/>
        <w:adjustRightInd/>
        <w:snapToGrid/>
        <w:spacing w:line="420" w:lineRule="exact"/>
        <w:ind w:right="-432" w:rightChars="-206"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5、合同价款及支付</w:t>
      </w:r>
    </w:p>
    <w:p w14:paraId="28CE1332">
      <w:pPr>
        <w:pStyle w:val="16"/>
        <w:keepNext w:val="0"/>
        <w:keepLines w:val="0"/>
        <w:pageBreakBefore w:val="0"/>
        <w:kinsoku/>
        <w:wordWrap/>
        <w:overflowPunct/>
        <w:topLinePunct w:val="0"/>
        <w:autoSpaceDN/>
        <w:bidi w:val="0"/>
        <w:adjustRightInd/>
        <w:snapToGrid/>
        <w:spacing w:line="420" w:lineRule="exact"/>
        <w:ind w:firstLine="422" w:firstLineChars="200"/>
        <w:jc w:val="left"/>
        <w:textAlignment w:val="auto"/>
        <w:rPr>
          <w:rFonts w:hint="default" w:ascii="宋体" w:hAnsi="宋体" w:cs="宋体"/>
          <w:b/>
          <w:bCs/>
          <w:color w:val="auto"/>
          <w:szCs w:val="21"/>
          <w:highlight w:val="none"/>
          <w:lang w:val="en-US"/>
        </w:rPr>
      </w:pPr>
      <w:r>
        <w:rPr>
          <w:rFonts w:hint="eastAsia" w:ascii="宋体" w:hAnsi="宋体" w:cs="宋体"/>
          <w:b/>
          <w:bCs/>
          <w:color w:val="auto"/>
          <w:szCs w:val="21"/>
          <w:highlight w:val="none"/>
        </w:rPr>
        <w:t>5.1本</w:t>
      </w:r>
      <w:r>
        <w:rPr>
          <w:rFonts w:hint="eastAsia" w:cs="宋体"/>
          <w:b/>
          <w:bCs/>
          <w:color w:val="auto"/>
          <w:szCs w:val="21"/>
          <w:highlight w:val="none"/>
          <w:lang w:val="en-US" w:eastAsia="zh-CN"/>
        </w:rPr>
        <w:t>项目</w:t>
      </w:r>
      <w:r>
        <w:rPr>
          <w:rFonts w:hint="eastAsia" w:ascii="宋体" w:hAnsi="宋体" w:cs="宋体"/>
          <w:b/>
          <w:bCs/>
          <w:color w:val="auto"/>
          <w:szCs w:val="21"/>
          <w:highlight w:val="none"/>
        </w:rPr>
        <w:t>合同价为：大写</w:t>
      </w:r>
      <w:r>
        <w:rPr>
          <w:rFonts w:hint="eastAsia" w:ascii="宋体" w:hAnsi="宋体" w:cs="宋体"/>
          <w:b/>
          <w:bCs/>
          <w:color w:val="auto"/>
          <w:szCs w:val="21"/>
          <w:highlight w:val="none"/>
          <w:u w:val="single"/>
        </w:rPr>
        <w:t xml:space="preserve">：                小写：       元 </w:t>
      </w:r>
      <w:r>
        <w:rPr>
          <w:rFonts w:hint="eastAsia" w:cs="宋体"/>
          <w:b/>
          <w:bCs/>
          <w:color w:val="auto"/>
          <w:szCs w:val="21"/>
          <w:highlight w:val="none"/>
          <w:u w:val="single"/>
          <w:lang w:val="en-US" w:eastAsia="zh-CN"/>
        </w:rPr>
        <w:t>。（其中单价    元/平方米）</w:t>
      </w:r>
    </w:p>
    <w:p w14:paraId="0FF1834B">
      <w:pPr>
        <w:pStyle w:val="16"/>
        <w:keepNext w:val="0"/>
        <w:keepLines w:val="0"/>
        <w:pageBreakBefore w:val="0"/>
        <w:kinsoku/>
        <w:wordWrap/>
        <w:overflowPunct/>
        <w:topLinePunct w:val="0"/>
        <w:autoSpaceDN/>
        <w:bidi w:val="0"/>
        <w:adjustRightInd/>
        <w:snapToGrid/>
        <w:spacing w:line="42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5.2本项目合同计价方式为</w:t>
      </w:r>
      <w:r>
        <w:rPr>
          <w:rFonts w:hint="eastAsia" w:cs="宋体"/>
          <w:b/>
          <w:bCs/>
          <w:color w:val="auto"/>
          <w:szCs w:val="21"/>
          <w:highlight w:val="none"/>
          <w:lang w:eastAsia="zh-CN"/>
        </w:rPr>
        <w:t>固定单价</w:t>
      </w:r>
      <w:r>
        <w:rPr>
          <w:rFonts w:hint="eastAsia" w:ascii="宋体" w:hAnsi="宋体" w:cs="宋体"/>
          <w:b/>
          <w:bCs/>
          <w:color w:val="auto"/>
          <w:szCs w:val="21"/>
          <w:highlight w:val="none"/>
        </w:rPr>
        <w:t xml:space="preserve">。                </w:t>
      </w:r>
    </w:p>
    <w:p w14:paraId="76D3B6E5">
      <w:pPr>
        <w:pStyle w:val="16"/>
        <w:keepNext w:val="0"/>
        <w:keepLines w:val="0"/>
        <w:pageBreakBefore w:val="0"/>
        <w:kinsoku/>
        <w:wordWrap/>
        <w:overflowPunct/>
        <w:topLinePunct w:val="0"/>
        <w:autoSpaceDN/>
        <w:bidi w:val="0"/>
        <w:adjustRightInd/>
        <w:snapToGrid/>
        <w:spacing w:line="420" w:lineRule="exact"/>
        <w:ind w:firstLine="422"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rPr>
        <w:t>5.3付款方式：</w:t>
      </w:r>
      <w:r>
        <w:rPr>
          <w:rFonts w:hint="eastAsia" w:cs="宋体"/>
          <w:b/>
          <w:bCs/>
          <w:color w:val="auto"/>
          <w:szCs w:val="21"/>
          <w:highlight w:val="none"/>
          <w:u w:val="single"/>
          <w:lang w:val="en-US" w:eastAsia="zh-CN"/>
        </w:rPr>
        <w:t xml:space="preserve"> 出具经住房城乡建设主管部门确认后的鉴定检测报告并经招标人确认后一次性支付合同价款。</w:t>
      </w:r>
    </w:p>
    <w:p w14:paraId="7F7653A0">
      <w:pPr>
        <w:keepNext w:val="0"/>
        <w:keepLines w:val="0"/>
        <w:pageBreakBefore w:val="0"/>
        <w:kinsoku/>
        <w:wordWrap/>
        <w:overflowPunct/>
        <w:topLinePunct w:val="0"/>
        <w:autoSpaceDN/>
        <w:bidi w:val="0"/>
        <w:adjustRightInd/>
        <w:snapToGrid/>
        <w:spacing w:line="420" w:lineRule="exact"/>
        <w:ind w:right="-432" w:rightChars="-206"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6、双方一般权利和义务</w:t>
      </w:r>
    </w:p>
    <w:p w14:paraId="516B3F3F">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  甲方权利和义务</w:t>
      </w:r>
    </w:p>
    <w:p w14:paraId="788CF3E4">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6.1.1 甲方向乙方提供相关技术资料</w:t>
      </w:r>
      <w:r>
        <w:rPr>
          <w:rFonts w:hint="eastAsia" w:ascii="宋体" w:hAnsi="宋体" w:cs="宋体"/>
          <w:color w:val="auto"/>
          <w:szCs w:val="21"/>
          <w:highlight w:val="none"/>
          <w:lang w:eastAsia="zh-CN"/>
        </w:rPr>
        <w:t>；</w:t>
      </w:r>
    </w:p>
    <w:p w14:paraId="27D75209">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6.1.2甲方向乙方提供工作条件: </w:t>
      </w:r>
    </w:p>
    <w:p w14:paraId="248F2BD0">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w:t>
      </w:r>
      <w:r>
        <w:rPr>
          <w:rFonts w:ascii="宋体" w:hAnsi="宋体" w:cs="宋体"/>
          <w:color w:val="auto"/>
          <w:szCs w:val="21"/>
          <w:highlight w:val="none"/>
        </w:rPr>
        <w:t>3</w:t>
      </w:r>
      <w:r>
        <w:rPr>
          <w:rFonts w:hint="eastAsia" w:ascii="宋体" w:hAnsi="宋体" w:cs="宋体"/>
          <w:color w:val="auto"/>
          <w:szCs w:val="21"/>
          <w:highlight w:val="none"/>
        </w:rPr>
        <w:t>甲方协助乙方与项目相关部门进行联系，办理项目所需佐证文件 。</w:t>
      </w:r>
    </w:p>
    <w:p w14:paraId="0615BC04">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w:t>
      </w:r>
      <w:r>
        <w:rPr>
          <w:rFonts w:ascii="宋体" w:hAnsi="宋体" w:cs="宋体"/>
          <w:color w:val="auto"/>
          <w:szCs w:val="21"/>
          <w:highlight w:val="none"/>
        </w:rPr>
        <w:t>4</w:t>
      </w:r>
      <w:r>
        <w:rPr>
          <w:rFonts w:hint="eastAsia" w:ascii="宋体" w:hAnsi="宋体" w:cs="宋体"/>
          <w:color w:val="auto"/>
          <w:szCs w:val="21"/>
          <w:highlight w:val="none"/>
        </w:rPr>
        <w:t>甲方负责调解项目技术咨询过程中可能存在的民事纠纷问题，如因民事纠纷导致工期延误，乙方不承担由此引发的一系列责任。</w:t>
      </w:r>
    </w:p>
    <w:p w14:paraId="55102AD5">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w:t>
      </w:r>
      <w:r>
        <w:rPr>
          <w:rFonts w:ascii="宋体" w:hAnsi="宋体" w:cs="宋体"/>
          <w:color w:val="auto"/>
          <w:szCs w:val="21"/>
          <w:highlight w:val="none"/>
        </w:rPr>
        <w:t>5</w:t>
      </w:r>
      <w:r>
        <w:rPr>
          <w:rFonts w:hint="eastAsia" w:ascii="宋体" w:hAnsi="宋体" w:cs="宋体"/>
          <w:color w:val="auto"/>
          <w:szCs w:val="21"/>
          <w:highlight w:val="none"/>
        </w:rPr>
        <w:t xml:space="preserve"> 甲方有义务按时支付咨询款。</w:t>
      </w:r>
    </w:p>
    <w:p w14:paraId="2DDA069A">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   乙方权利和义务</w:t>
      </w:r>
    </w:p>
    <w:p w14:paraId="743680B7">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6.2.1 乙方应保证方案编制必须满足相关规范、标准、以及相关报告编制要求，并确保编制质量和完成行政主管部门备案；负责技术咨询过程中组织专家评审、会务等技术咨询相关事项；</w:t>
      </w:r>
    </w:p>
    <w:p w14:paraId="773DA306">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6.2.2 承担因方案编制不合格而返工费用，因乙方的责任而造成工期延误，承担违约责任；</w:t>
      </w:r>
    </w:p>
    <w:p w14:paraId="3E3194CA">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6.2.3 乙方对未尽事宜应提前两天向甲方提出；</w:t>
      </w:r>
    </w:p>
    <w:p w14:paraId="5E7612A5">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6.2.4 乙方选派项目负责人</w:t>
      </w:r>
      <w:r>
        <w:rPr>
          <w:rFonts w:hint="eastAsia" w:ascii="宋体" w:hAnsi="宋体" w:cs="宋体"/>
          <w:color w:val="auto"/>
          <w:szCs w:val="21"/>
          <w:highlight w:val="none"/>
          <w:u w:val="single"/>
        </w:rPr>
        <w:t xml:space="preserve">      （电话：        ）</w:t>
      </w:r>
      <w:r>
        <w:rPr>
          <w:rFonts w:hint="eastAsia" w:ascii="宋体" w:hAnsi="宋体" w:cs="宋体"/>
          <w:color w:val="auto"/>
          <w:szCs w:val="21"/>
          <w:highlight w:val="none"/>
        </w:rPr>
        <w:t>负责协调相关事宜；</w:t>
      </w:r>
    </w:p>
    <w:p w14:paraId="25669CCA">
      <w:pPr>
        <w:keepNext w:val="0"/>
        <w:keepLines w:val="0"/>
        <w:pageBreakBefore w:val="0"/>
        <w:kinsoku/>
        <w:wordWrap/>
        <w:overflowPunct/>
        <w:topLinePunct w:val="0"/>
        <w:autoSpaceDN/>
        <w:bidi w:val="0"/>
        <w:adjustRightInd/>
        <w:snapToGrid/>
        <w:spacing w:line="420" w:lineRule="exact"/>
        <w:ind w:right="-432" w:rightChars="-206"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7、安全责任</w:t>
      </w:r>
    </w:p>
    <w:p w14:paraId="5DC4B88E">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  甲方不得要求乙方违反安全管理的规定，因甲方原因等导致安全事故由甲方承担相应的责任及发生的费用。</w:t>
      </w:r>
    </w:p>
    <w:p w14:paraId="4AEBD9ED">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  乙方应遵守有关管理制度，采取必要的安全措施，消除事故隐患，由于乙方安全措施不力造成事故责任和因此发生的费用由乙方承担。</w:t>
      </w:r>
    </w:p>
    <w:p w14:paraId="468D2400">
      <w:pPr>
        <w:keepNext w:val="0"/>
        <w:keepLines w:val="0"/>
        <w:pageBreakBefore w:val="0"/>
        <w:kinsoku/>
        <w:wordWrap/>
        <w:overflowPunct/>
        <w:topLinePunct w:val="0"/>
        <w:autoSpaceDN/>
        <w:bidi w:val="0"/>
        <w:adjustRightInd/>
        <w:snapToGrid/>
        <w:spacing w:line="420" w:lineRule="exact"/>
        <w:ind w:right="-432" w:rightChars="-206"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8、违约责任</w:t>
      </w:r>
    </w:p>
    <w:p w14:paraId="3FDB5A3D">
      <w:pPr>
        <w:pStyle w:val="16"/>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   甲方违约：当发生下列情况时：</w:t>
      </w:r>
    </w:p>
    <w:p w14:paraId="6DAE5849">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8.1.1  甲方不履行合同义务或不按合同约定履行义务的其他情况；</w:t>
      </w:r>
    </w:p>
    <w:p w14:paraId="0C4E672B">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   乙方违约：当发生下列情况时</w:t>
      </w:r>
    </w:p>
    <w:p w14:paraId="2BAC2670">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8.2.1  由于乙方原因质量达不到协议书约定的质量标准，乙方无条件返工并承担损失和违约责任；</w:t>
      </w:r>
    </w:p>
    <w:p w14:paraId="4E430B3E">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8.2.2  由于乙方不履行合同义务或不按合同约定履行义务的其他情况；</w:t>
      </w:r>
    </w:p>
    <w:p w14:paraId="437B1355">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8.2.3  乙方承担违约责任，赔偿其因其违约给甲方造成的直接经济损失。</w:t>
      </w:r>
    </w:p>
    <w:p w14:paraId="4F2200D8">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    一方违约后， 另一方要求违约方继续履行合同时，违约方承担上述违约责任后，仍继续履行合同。</w:t>
      </w:r>
    </w:p>
    <w:p w14:paraId="1E0DFB9B">
      <w:pPr>
        <w:keepNext w:val="0"/>
        <w:keepLines w:val="0"/>
        <w:pageBreakBefore w:val="0"/>
        <w:widowControl w:val="0"/>
        <w:kinsoku/>
        <w:wordWrap/>
        <w:overflowPunct/>
        <w:topLinePunct w:val="0"/>
        <w:autoSpaceDE/>
        <w:autoSpaceDN/>
        <w:bidi w:val="0"/>
        <w:adjustRightInd/>
        <w:snapToGrid/>
        <w:spacing w:line="420" w:lineRule="exact"/>
        <w:ind w:right="-432" w:rightChars="-206"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9、合同生效及其它</w:t>
      </w:r>
    </w:p>
    <w:p w14:paraId="4AAD1D96">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  本合同发生的相关技术资料等纸质材料是本合同的组成部分，与本合同具有同等法律效力。</w:t>
      </w:r>
    </w:p>
    <w:p w14:paraId="2751D20D">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9.2   未尽事宜，双方在合同执行时协商解决。</w:t>
      </w:r>
    </w:p>
    <w:p w14:paraId="78417E75">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   甲乙双方在履行和同事发生争议时，可以协商解决，协商不成，双方同时申请仲裁；</w:t>
      </w:r>
    </w:p>
    <w:p w14:paraId="4999B68A">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9.4   本合同规定的责任和义务、付款结清后，本合同及告终止。</w:t>
      </w:r>
    </w:p>
    <w:p w14:paraId="1761840D">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9.5   甲乙双方法定代表人或其委托代理人在合同书上签名并盖单位公章后合同生效。</w:t>
      </w:r>
    </w:p>
    <w:p w14:paraId="52ED3EE9">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.6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份，甲乙双方各执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0F64D176">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甲 方：  (公章)                       乙 方：  (公章)                                 </w:t>
      </w:r>
    </w:p>
    <w:p w14:paraId="06D7672D">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D9C0130">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（签字）                             （签字）</w:t>
      </w:r>
    </w:p>
    <w:p w14:paraId="223A01F5">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组织机构代码：             </w:t>
      </w:r>
    </w:p>
    <w:p w14:paraId="46E572EE">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hAnsi="宋体" w:cs="宋体"/>
          <w:color w:val="auto"/>
          <w:szCs w:val="21"/>
          <w:highlight w:val="none"/>
          <w:lang w:val="en-US" w:eastAsia="zh-CN"/>
        </w:rPr>
        <w:t xml:space="preserve">                   </w:t>
      </w:r>
      <w:r>
        <w:rPr>
          <w:rFonts w:hint="eastAsia" w:ascii="宋体" w:hAnsi="宋体" w:cs="宋体"/>
          <w:color w:val="auto"/>
          <w:szCs w:val="21"/>
          <w:highlight w:val="none"/>
        </w:rPr>
        <w:t xml:space="preserve">           地  址：                  </w:t>
      </w:r>
    </w:p>
    <w:p w14:paraId="5DCC16F6">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邮政编码：                  </w:t>
      </w:r>
    </w:p>
    <w:p w14:paraId="205F9BC9">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电  话：                     </w:t>
      </w:r>
    </w:p>
    <w:p w14:paraId="1467E893">
      <w:pPr>
        <w:pStyle w:val="16"/>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开户银行：                   </w:t>
      </w:r>
    </w:p>
    <w:p w14:paraId="0648800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                账   号：</w:t>
      </w:r>
    </w:p>
    <w:p w14:paraId="076B356F">
      <w:pPr>
        <w:pStyle w:val="12"/>
        <w:rPr>
          <w:color w:val="auto"/>
          <w:highlight w:val="none"/>
        </w:rPr>
      </w:pPr>
    </w:p>
    <w:bookmarkEnd w:id="227"/>
    <w:bookmarkEnd w:id="228"/>
    <w:p w14:paraId="5272BEB5">
      <w:pPr>
        <w:rPr>
          <w:rFonts w:hint="eastAsia" w:ascii="宋体" w:hAnsi="宋体" w:eastAsia="宋体" w:cs="宋体"/>
          <w:color w:val="auto"/>
          <w:kern w:val="2"/>
          <w:sz w:val="28"/>
          <w:szCs w:val="28"/>
          <w:highlight w:val="none"/>
          <w:u w:color="auto"/>
          <w:lang w:val="en-US" w:eastAsia="zh-CN" w:bidi="ar"/>
        </w:rPr>
      </w:pPr>
    </w:p>
    <w:p w14:paraId="678948D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7A7AD1E9">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218C96A7">
      <w:pPr>
        <w:rPr>
          <w:rFonts w:hint="eastAsia" w:eastAsia="黑体"/>
          <w:color w:val="auto"/>
          <w:sz w:val="20"/>
          <w:highlight w:val="none"/>
        </w:rPr>
      </w:pPr>
    </w:p>
    <w:p w14:paraId="3B1E9BCD">
      <w:pPr>
        <w:jc w:val="center"/>
        <w:rPr>
          <w:rFonts w:hint="eastAsia" w:ascii="宋体"/>
          <w:b/>
          <w:color w:val="auto"/>
          <w:sz w:val="44"/>
          <w:szCs w:val="44"/>
          <w:highlight w:val="none"/>
        </w:rPr>
      </w:pPr>
      <w:bookmarkStart w:id="229" w:name="_Toc449028949"/>
      <w:bookmarkStart w:id="230" w:name="_Toc350698753"/>
      <w:r>
        <w:rPr>
          <w:rFonts w:hint="eastAsia" w:ascii="宋体"/>
          <w:b/>
          <w:color w:val="auto"/>
          <w:sz w:val="44"/>
          <w:szCs w:val="44"/>
          <w:highlight w:val="none"/>
        </w:rPr>
        <w:t>资信证明文件</w:t>
      </w:r>
      <w:bookmarkEnd w:id="229"/>
      <w:bookmarkEnd w:id="230"/>
    </w:p>
    <w:p w14:paraId="61B6BB6C">
      <w:pPr>
        <w:jc w:val="center"/>
        <w:rPr>
          <w:rFonts w:hint="eastAsia" w:ascii="宋体"/>
          <w:color w:val="auto"/>
          <w:sz w:val="32"/>
          <w:szCs w:val="32"/>
          <w:highlight w:val="none"/>
        </w:rPr>
      </w:pPr>
      <w:r>
        <w:rPr>
          <w:rFonts w:hint="eastAsia" w:ascii="宋体"/>
          <w:color w:val="auto"/>
          <w:sz w:val="32"/>
          <w:szCs w:val="32"/>
          <w:highlight w:val="none"/>
        </w:rPr>
        <w:t>（投标文件一）</w:t>
      </w:r>
    </w:p>
    <w:p w14:paraId="3D12637B">
      <w:pPr>
        <w:jc w:val="center"/>
        <w:rPr>
          <w:rFonts w:hint="eastAsia" w:eastAsia="黑体"/>
          <w:color w:val="auto"/>
          <w:sz w:val="44"/>
          <w:szCs w:val="44"/>
          <w:highlight w:val="none"/>
        </w:rPr>
      </w:pPr>
    </w:p>
    <w:p w14:paraId="23ED3B1E">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82D3A1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577F7D2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5B99ABE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D26F9C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1D4899F">
      <w:pPr>
        <w:pStyle w:val="23"/>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7251A5F5">
      <w:pPr>
        <w:pStyle w:val="20"/>
        <w:widowControl/>
        <w:rPr>
          <w:color w:val="auto"/>
          <w:highlight w:val="none"/>
          <w:lang w:val="en-US"/>
        </w:rPr>
      </w:pPr>
      <w:r>
        <w:rPr>
          <w:color w:val="auto"/>
          <w:highlight w:val="none"/>
          <w:lang w:val="en-US"/>
        </w:rPr>
        <w:t xml:space="preserve"> </w:t>
      </w:r>
    </w:p>
    <w:p w14:paraId="00B272D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714221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53A99F7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16EDA41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1C9EBA0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376B136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67570315">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231" w:name="_Toc14710_WPSOffice_Level1"/>
      <w:bookmarkEnd w:id="231"/>
      <w:r>
        <w:rPr>
          <w:rFonts w:hint="eastAsia" w:ascii="宋体" w:hAnsi="宋体" w:eastAsia="宋体" w:cs="宋体"/>
          <w:b/>
          <w:bCs w:val="0"/>
          <w:color w:val="auto"/>
          <w:kern w:val="0"/>
          <w:sz w:val="44"/>
          <w:szCs w:val="44"/>
          <w:highlight w:val="none"/>
          <w:u w:color="000000"/>
          <w:lang w:val="en-US" w:eastAsia="zh-CN" w:bidi="ar"/>
        </w:rPr>
        <w:t>目   录</w:t>
      </w:r>
    </w:p>
    <w:p w14:paraId="64AAFEB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2663862D">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3D86737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（1）法人代表人身份证明及其有效身份证（或法人代表授权委托书及其有效身份证）（格式见附件）；</w:t>
      </w:r>
    </w:p>
    <w:p w14:paraId="54E3F1B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rPr>
        <w:t>（2）投标人有效的营业执照、税务登记证、组织机构代码证（或三合一证书）</w:t>
      </w:r>
      <w:r>
        <w:rPr>
          <w:rFonts w:hint="eastAsia" w:ascii="宋体"/>
          <w:color w:val="auto"/>
          <w:szCs w:val="21"/>
          <w:highlight w:val="none"/>
          <w:lang w:eastAsia="zh-CN"/>
        </w:rPr>
        <w:t>；</w:t>
      </w:r>
    </w:p>
    <w:p w14:paraId="33EDB3A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default"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投标人具有建设行政主管部门颁发的建设工程质量检测机构综合资质证书或专项资质证书（专项资质须同时包括：建筑材料及构配件、主体结构及装饰装修、地基基础）且具有质量技术监督部门颁发的计量认证资质证书（CMA）且证书在有效期内；</w:t>
      </w:r>
    </w:p>
    <w:p w14:paraId="3BB46B8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4）</w:t>
      </w:r>
      <w:r>
        <w:rPr>
          <w:rFonts w:hint="eastAsia" w:ascii="宋体"/>
          <w:color w:val="auto"/>
          <w:szCs w:val="21"/>
          <w:highlight w:val="none"/>
        </w:rPr>
        <w:t>诚信投标承诺书（格式见附件）</w:t>
      </w:r>
      <w:r>
        <w:rPr>
          <w:rFonts w:hint="eastAsia" w:ascii="宋体"/>
          <w:color w:val="auto"/>
          <w:szCs w:val="21"/>
          <w:highlight w:val="none"/>
          <w:lang w:eastAsia="zh-CN"/>
        </w:rPr>
        <w:t>；</w:t>
      </w:r>
    </w:p>
    <w:p w14:paraId="66DB74E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w:t>
      </w:r>
      <w:r>
        <w:rPr>
          <w:rFonts w:hint="eastAsia" w:ascii="宋体"/>
          <w:color w:val="auto"/>
          <w:szCs w:val="21"/>
          <w:highlight w:val="none"/>
          <w:lang w:val="en-US" w:eastAsia="zh-CN"/>
        </w:rPr>
        <w:t>服务承诺书（格式见附件）；</w:t>
      </w:r>
    </w:p>
    <w:p w14:paraId="2753E97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lang w:val="en-US" w:eastAsia="zh-CN"/>
        </w:rPr>
        <w:t>6</w:t>
      </w:r>
      <w:r>
        <w:rPr>
          <w:rFonts w:hint="eastAsia" w:ascii="宋体"/>
          <w:color w:val="auto"/>
          <w:szCs w:val="21"/>
          <w:highlight w:val="none"/>
          <w:lang w:eastAsia="zh-CN"/>
        </w:rPr>
        <w:t>）招标文件中要求的资信评审和资信评分的支持资料</w:t>
      </w:r>
      <w:r>
        <w:rPr>
          <w:rFonts w:hint="eastAsia" w:ascii="宋体"/>
          <w:color w:val="auto"/>
          <w:szCs w:val="21"/>
          <w:highlight w:val="none"/>
        </w:rPr>
        <w:t>；</w:t>
      </w:r>
    </w:p>
    <w:p w14:paraId="12F269E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eastAsiaTheme="minorEastAsia"/>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7</w:t>
      </w:r>
      <w:r>
        <w:rPr>
          <w:rFonts w:hint="eastAsia" w:ascii="宋体"/>
          <w:color w:val="auto"/>
          <w:szCs w:val="21"/>
          <w:highlight w:val="none"/>
          <w:lang w:eastAsia="zh-CN"/>
        </w:rPr>
        <w:t>）</w:t>
      </w:r>
      <w:r>
        <w:rPr>
          <w:rFonts w:hint="eastAsia" w:ascii="宋体"/>
          <w:color w:val="auto"/>
          <w:szCs w:val="21"/>
          <w:highlight w:val="none"/>
        </w:rPr>
        <w:t>投标人认为需要提供的其他资信证明材料</w:t>
      </w:r>
      <w:r>
        <w:rPr>
          <w:rFonts w:hint="eastAsia" w:ascii="宋体"/>
          <w:color w:val="auto"/>
          <w:szCs w:val="21"/>
          <w:highlight w:val="none"/>
          <w:lang w:eastAsia="zh-CN"/>
        </w:rPr>
        <w:t>。</w:t>
      </w:r>
    </w:p>
    <w:p w14:paraId="562E751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r>
        <w:rPr>
          <w:rFonts w:hint="eastAsia" w:ascii="宋体"/>
          <w:color w:val="auto"/>
          <w:szCs w:val="21"/>
          <w:highlight w:val="none"/>
          <w:lang w:val="en-US" w:eastAsia="zh-CN"/>
        </w:rPr>
        <w:t xml:space="preserve"> </w:t>
      </w:r>
    </w:p>
    <w:p w14:paraId="267FD0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4B3ADB76">
      <w:pPr>
        <w:pStyle w:val="49"/>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3FC323A7">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4074AEB">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0F12691">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2C9614FA">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8207AA3">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52F27EFC">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hAnsi="Times New Roman" w:eastAsia="宋体" w:cs="Times New Roman"/>
          <w:color w:val="auto"/>
          <w:sz w:val="24"/>
          <w:highlight w:val="none"/>
        </w:rPr>
        <w:t>姓</w:t>
      </w:r>
      <w:r>
        <w:rPr>
          <w:rFonts w:hint="eastAsia" w:ascii="宋体" w:hAnsi="Times New Roman" w:eastAsia="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名：</w:t>
      </w:r>
      <w:r>
        <w:rPr>
          <w:rFonts w:hint="eastAsia" w:ascii="宋体"/>
          <w:color w:val="auto"/>
          <w:sz w:val="24"/>
          <w:highlight w:val="none"/>
          <w:u w:val="single"/>
        </w:rPr>
        <w:t xml:space="preserve">          </w:t>
      </w:r>
      <w:r>
        <w:rPr>
          <w:rFonts w:hint="eastAsia" w:ascii="宋体" w:hAnsi="Times New Roman" w:eastAsia="宋体" w:cs="Times New Roman"/>
          <w:color w:val="auto"/>
          <w:sz w:val="24"/>
          <w:highlight w:val="none"/>
        </w:rPr>
        <w:t>身份证号码：</w:t>
      </w:r>
      <w:r>
        <w:rPr>
          <w:rFonts w:hint="eastAsia" w:ascii="宋体" w:hAnsi="Times New Roman" w:eastAsia="宋体" w:cs="Times New Roman"/>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lang w:eastAsia="zh-CN"/>
        </w:rPr>
        <w:t>，</w:t>
      </w: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7820EF5E">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特此证明。</w:t>
      </w:r>
    </w:p>
    <w:p w14:paraId="753EF5E3">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w:t>
      </w:r>
      <w:r>
        <w:rPr>
          <w:rFonts w:hint="eastAsia" w:ascii="宋体"/>
          <w:color w:val="auto"/>
          <w:sz w:val="24"/>
          <w:highlight w:val="none"/>
        </w:rPr>
        <w:t>章）</w:t>
      </w:r>
    </w:p>
    <w:p w14:paraId="5224A412">
      <w:pPr>
        <w:keepNext w:val="0"/>
        <w:keepLines w:val="0"/>
        <w:pageBreakBefore w:val="0"/>
        <w:kinsoku/>
        <w:wordWrap w:val="0"/>
        <w:overflowPunct/>
        <w:topLinePunct w:val="0"/>
        <w:autoSpaceDE/>
        <w:autoSpaceDN/>
        <w:bidi w:val="0"/>
        <w:adjustRightInd/>
        <w:snapToGrid/>
        <w:spacing w:line="400" w:lineRule="exact"/>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F19B373">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0FF1A1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0209D4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r>
        <w:rPr>
          <w:rFonts w:hint="eastAsia" w:ascii="宋体"/>
          <w:color w:val="auto"/>
          <w:sz w:val="24"/>
          <w:highlight w:val="none"/>
        </w:rPr>
        <w:t xml:space="preserve">                                </w:t>
      </w:r>
    </w:p>
    <w:p w14:paraId="4C21677B">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14:paraId="09EDC1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5CE4757B">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3A1E120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p>
    <w:p w14:paraId="516417C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14:paraId="749974CF">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投标人（盖单位章）：</w:t>
      </w:r>
    </w:p>
    <w:p w14:paraId="396E49B0">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法定代表人（身份证号码）：           （签字或盖章）</w:t>
      </w:r>
    </w:p>
    <w:p w14:paraId="795F64B4">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委托代理人（身份证号码）：           （签字或盖章）</w:t>
      </w:r>
    </w:p>
    <w:p w14:paraId="437CC3D6">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14:paraId="69F9D4A4">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74ACC0FA">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6197EA9C">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216B531E">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4450BF3E">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6E05790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bookmarkStart w:id="232" w:name="_Toc451384148"/>
      <w:bookmarkStart w:id="233" w:name="_Toc425084385"/>
      <w:r>
        <w:rPr>
          <w:rFonts w:hint="eastAsia" w:ascii="宋体" w:hAnsi="宋体"/>
          <w:color w:val="auto"/>
          <w:szCs w:val="21"/>
          <w:highlight w:val="none"/>
        </w:rPr>
        <w:t>一、将遵循公</w:t>
      </w:r>
      <w:bookmarkStart w:id="234" w:name="_Toc506107356"/>
      <w:bookmarkStart w:id="235" w:name="_Toc503196197"/>
      <w:bookmarkStart w:id="236" w:name="_Toc26598"/>
      <w:r>
        <w:rPr>
          <w:rFonts w:hint="eastAsia" w:ascii="宋体" w:hAnsi="宋体"/>
          <w:color w:val="auto"/>
          <w:szCs w:val="21"/>
          <w:highlight w:val="none"/>
        </w:rPr>
        <w:t>开、公正和诚实信用</w:t>
      </w:r>
      <w:bookmarkEnd w:id="234"/>
      <w:bookmarkEnd w:id="235"/>
      <w:r>
        <w:rPr>
          <w:rFonts w:hint="eastAsia" w:ascii="宋体" w:hAnsi="宋体"/>
          <w:color w:val="auto"/>
          <w:szCs w:val="21"/>
          <w:highlight w:val="none"/>
        </w:rPr>
        <w:t>的</w:t>
      </w:r>
      <w:bookmarkEnd w:id="236"/>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9BF802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1706B5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FB0F47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0435A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5C4B09E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没有下列情形： 1、被人民法院列入失信被执行人的；2、我公司及其法定代表人、拟任项目经理（建造师）前三年</w:t>
      </w:r>
      <w:r>
        <w:rPr>
          <w:rFonts w:hint="eastAsia" w:ascii="宋体" w:hAnsi="宋体"/>
          <w:color w:val="auto"/>
          <w:szCs w:val="21"/>
          <w:highlight w:val="none"/>
          <w:lang w:val="en-US" w:eastAsia="zh-CN"/>
        </w:rPr>
        <w:t>有</w:t>
      </w:r>
      <w:r>
        <w:rPr>
          <w:rFonts w:hint="eastAsia" w:ascii="宋体" w:hAnsi="宋体"/>
          <w:color w:val="auto"/>
          <w:szCs w:val="21"/>
          <w:highlight w:val="none"/>
        </w:rPr>
        <w:t>行贿犯罪</w:t>
      </w:r>
      <w:r>
        <w:rPr>
          <w:rFonts w:hint="eastAsia" w:ascii="宋体" w:hAnsi="宋体"/>
          <w:color w:val="auto"/>
          <w:szCs w:val="21"/>
          <w:highlight w:val="none"/>
          <w:lang w:val="en-US" w:eastAsia="zh-CN"/>
        </w:rPr>
        <w:t>行为</w:t>
      </w:r>
      <w:r>
        <w:rPr>
          <w:rFonts w:hint="eastAsia" w:ascii="宋体" w:hAnsi="宋体"/>
          <w:color w:val="auto"/>
          <w:szCs w:val="21"/>
          <w:highlight w:val="none"/>
        </w:rPr>
        <w:t>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w:t>
      </w:r>
      <w:r>
        <w:rPr>
          <w:rFonts w:hint="eastAsia"/>
          <w:color w:val="auto"/>
          <w:szCs w:val="21"/>
          <w:highlight w:val="none"/>
        </w:rPr>
        <w:t>。</w:t>
      </w:r>
    </w:p>
    <w:p w14:paraId="0FD783B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5F51D97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A61D90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72FCFCF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C53DA6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auto"/>
          <w:szCs w:val="21"/>
          <w:highlight w:val="none"/>
          <w:lang w:eastAsia="zh-CN"/>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auto"/>
          <w:szCs w:val="21"/>
          <w:highlight w:val="none"/>
          <w:lang w:eastAsia="zh-CN"/>
        </w:rPr>
        <w:t>。</w:t>
      </w:r>
    </w:p>
    <w:p w14:paraId="45EC8B9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以上内容我已仔细阅读，本公司若有违反承诺内容的行为，自愿接受取消投标或者中标资格、记入不良行为记录、投标保证金不予退还等有关处理，愿意承担法律责任，给招标人造成损失的，承担赔偿责任。</w:t>
      </w:r>
    </w:p>
    <w:p w14:paraId="2F56DCB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w:t>
      </w:r>
    </w:p>
    <w:p w14:paraId="302EA49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14:paraId="42D576D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投标单位（签章或盖章）：          法定代表人（签字或签章）：</w:t>
      </w:r>
    </w:p>
    <w:p w14:paraId="2B5E0AD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p>
    <w:p w14:paraId="27512B19">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C181E69">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br w:type="page"/>
      </w:r>
    </w:p>
    <w:p w14:paraId="78BE871D">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14:paraId="05395A6C">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color w:val="auto"/>
          <w:sz w:val="28"/>
          <w:szCs w:val="28"/>
          <w:highlight w:val="none"/>
          <w:lang w:eastAsia="zh-CN"/>
        </w:rPr>
      </w:pPr>
    </w:p>
    <w:p w14:paraId="6AA56770">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color w:val="auto"/>
          <w:sz w:val="28"/>
          <w:szCs w:val="28"/>
          <w:highlight w:val="none"/>
        </w:rPr>
      </w:pPr>
      <w:r>
        <w:rPr>
          <w:rFonts w:hint="eastAsia"/>
          <w:b/>
          <w:bCs/>
          <w:color w:val="auto"/>
          <w:sz w:val="28"/>
          <w:szCs w:val="28"/>
          <w:highlight w:val="none"/>
        </w:rPr>
        <w:t>服务承诺书</w:t>
      </w:r>
    </w:p>
    <w:p w14:paraId="7FBF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162B7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本承诺声明：（投标人名称</w:t>
      </w:r>
      <w:r>
        <w:rPr>
          <w:rFonts w:hint="eastAsia" w:ascii="宋体" w:hAnsi="宋体"/>
          <w:color w:val="auto"/>
          <w:sz w:val="24"/>
          <w:highlight w:val="none"/>
          <w:lang w:eastAsia="zh-CN"/>
        </w:rPr>
        <w:t>）</w:t>
      </w:r>
      <w:r>
        <w:rPr>
          <w:rFonts w:hint="eastAsia" w:ascii="宋体" w:hAnsi="宋体"/>
          <w:color w:val="auto"/>
          <w:sz w:val="24"/>
          <w:highlight w:val="none"/>
        </w:rPr>
        <w:t>对本招标文件所有要求完全响应</w:t>
      </w:r>
      <w:r>
        <w:rPr>
          <w:rFonts w:hint="eastAsia" w:ascii="宋体" w:hAnsi="宋体"/>
          <w:color w:val="auto"/>
          <w:sz w:val="24"/>
          <w:highlight w:val="none"/>
          <w:lang w:eastAsia="zh-CN"/>
        </w:rPr>
        <w:t>，</w:t>
      </w:r>
      <w:r>
        <w:rPr>
          <w:rFonts w:hint="eastAsia" w:ascii="宋体" w:hAnsi="宋体"/>
          <w:color w:val="auto"/>
          <w:sz w:val="24"/>
          <w:highlight w:val="none"/>
        </w:rPr>
        <w:t>若有幸中标将严格按照以上承诺进行服务。</w:t>
      </w:r>
      <w:r>
        <w:rPr>
          <w:rFonts w:hint="eastAsia" w:ascii="宋体" w:hAnsi="宋体"/>
          <w:color w:val="auto"/>
          <w:sz w:val="24"/>
          <w:highlight w:val="none"/>
          <w:lang w:val="en-US" w:eastAsia="zh-CN"/>
        </w:rPr>
        <w:t>若发现有偏离且不能按招标人要求调整的，招标人有权终止合同重新招标，我方承担因此产生的所有经济及工期责任。</w:t>
      </w:r>
    </w:p>
    <w:p w14:paraId="213C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14:paraId="7AF5ED5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w:t>
      </w:r>
    </w:p>
    <w:p w14:paraId="776421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（签字或盖章）       </w:t>
      </w:r>
    </w:p>
    <w:p w14:paraId="72302E3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u w:val="single"/>
        </w:rPr>
      </w:pPr>
      <w:r>
        <w:rPr>
          <w:rFonts w:hint="eastAsia" w:ascii="宋体" w:hAnsi="宋体"/>
          <w:color w:val="auto"/>
          <w:sz w:val="24"/>
          <w:highlight w:val="none"/>
        </w:rPr>
        <w:t xml:space="preserve">                                     </w:t>
      </w:r>
    </w:p>
    <w:p w14:paraId="0D153C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（盖章）    </w:t>
      </w:r>
    </w:p>
    <w:p w14:paraId="4D6664C7">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rPr>
      </w:pPr>
    </w:p>
    <w:p w14:paraId="1F011F6E">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79D158BA">
      <w:pPr>
        <w:spacing w:line="400" w:lineRule="exact"/>
        <w:ind w:firstLine="482" w:firstLineChars="200"/>
        <w:rPr>
          <w:rFonts w:ascii="宋体" w:hAnsi="宋体"/>
          <w:b/>
          <w:color w:val="auto"/>
          <w:sz w:val="24"/>
          <w:highlight w:val="none"/>
        </w:rPr>
      </w:pPr>
    </w:p>
    <w:bookmarkEnd w:id="232"/>
    <w:bookmarkEnd w:id="233"/>
    <w:p w14:paraId="62390CD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6106A2C0">
      <w:pPr>
        <w:jc w:val="center"/>
        <w:rPr>
          <w:rFonts w:hint="eastAsia" w:ascii="宋体"/>
          <w:b/>
          <w:color w:val="auto"/>
          <w:sz w:val="44"/>
          <w:szCs w:val="44"/>
          <w:highlight w:val="none"/>
        </w:rPr>
      </w:pPr>
    </w:p>
    <w:p w14:paraId="57F03349">
      <w:pPr>
        <w:jc w:val="center"/>
        <w:rPr>
          <w:rFonts w:hint="eastAsia" w:ascii="宋体"/>
          <w:b/>
          <w:color w:val="auto"/>
          <w:sz w:val="44"/>
          <w:szCs w:val="44"/>
          <w:highlight w:val="none"/>
        </w:rPr>
      </w:pPr>
    </w:p>
    <w:p w14:paraId="756AE46E">
      <w:pPr>
        <w:jc w:val="center"/>
        <w:rPr>
          <w:rFonts w:hint="eastAsia" w:ascii="宋体"/>
          <w:b/>
          <w:color w:val="auto"/>
          <w:sz w:val="44"/>
          <w:szCs w:val="44"/>
          <w:highlight w:val="none"/>
        </w:rPr>
      </w:pPr>
    </w:p>
    <w:p w14:paraId="587825C4">
      <w:pPr>
        <w:jc w:val="center"/>
        <w:rPr>
          <w:rFonts w:hint="eastAsia" w:ascii="宋体"/>
          <w:b/>
          <w:color w:val="auto"/>
          <w:sz w:val="44"/>
          <w:szCs w:val="44"/>
          <w:highlight w:val="none"/>
        </w:rPr>
      </w:pPr>
    </w:p>
    <w:p w14:paraId="2B9E5D96">
      <w:pPr>
        <w:jc w:val="cente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技术标</w:t>
      </w:r>
    </w:p>
    <w:p w14:paraId="666288B1">
      <w:pPr>
        <w:jc w:val="center"/>
        <w:rPr>
          <w:rFonts w:hint="eastAsia" w:ascii="宋体"/>
          <w:color w:val="auto"/>
          <w:sz w:val="32"/>
          <w:szCs w:val="32"/>
          <w:highlight w:val="none"/>
        </w:rPr>
      </w:pPr>
      <w:r>
        <w:rPr>
          <w:rFonts w:hint="eastAsia" w:ascii="宋体"/>
          <w:color w:val="auto"/>
          <w:sz w:val="32"/>
          <w:szCs w:val="32"/>
          <w:highlight w:val="none"/>
        </w:rPr>
        <w:t>（投标文件</w:t>
      </w:r>
      <w:r>
        <w:rPr>
          <w:rFonts w:hint="eastAsia" w:ascii="宋体"/>
          <w:color w:val="auto"/>
          <w:sz w:val="32"/>
          <w:szCs w:val="32"/>
          <w:highlight w:val="none"/>
          <w:lang w:val="en-US" w:eastAsia="zh-CN"/>
        </w:rPr>
        <w:t>二</w:t>
      </w:r>
      <w:r>
        <w:rPr>
          <w:rFonts w:hint="eastAsia" w:ascii="宋体"/>
          <w:color w:val="auto"/>
          <w:sz w:val="32"/>
          <w:szCs w:val="32"/>
          <w:highlight w:val="none"/>
        </w:rPr>
        <w:t>）</w:t>
      </w:r>
    </w:p>
    <w:p w14:paraId="330C476D">
      <w:pPr>
        <w:jc w:val="center"/>
        <w:rPr>
          <w:rFonts w:hint="eastAsia" w:eastAsia="黑体"/>
          <w:color w:val="auto"/>
          <w:sz w:val="44"/>
          <w:szCs w:val="44"/>
          <w:highlight w:val="none"/>
        </w:rPr>
      </w:pPr>
    </w:p>
    <w:p w14:paraId="429BDEEB">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87FB0C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7BDBA7B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1143297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BD49DC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4B3778C">
      <w:pPr>
        <w:pStyle w:val="23"/>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76084CEF">
      <w:pPr>
        <w:pStyle w:val="20"/>
        <w:widowControl/>
        <w:rPr>
          <w:color w:val="auto"/>
          <w:highlight w:val="none"/>
          <w:lang w:val="en-US"/>
        </w:rPr>
      </w:pPr>
      <w:r>
        <w:rPr>
          <w:color w:val="auto"/>
          <w:highlight w:val="none"/>
          <w:lang w:val="en-US"/>
        </w:rPr>
        <w:t xml:space="preserve"> </w:t>
      </w:r>
    </w:p>
    <w:p w14:paraId="034A9D6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6D8850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7677C15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329AFE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055A704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726E73E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5A6790B1">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0113D7B1">
      <w:pPr>
        <w:spacing w:line="400" w:lineRule="exact"/>
        <w:jc w:val="center"/>
        <w:rPr>
          <w:rFonts w:hint="eastAsia"/>
          <w:b/>
          <w:color w:val="auto"/>
          <w:sz w:val="36"/>
          <w:szCs w:val="36"/>
          <w:highlight w:val="none"/>
        </w:rPr>
      </w:pPr>
    </w:p>
    <w:p w14:paraId="5705442D">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6AAF6275">
      <w:pPr>
        <w:pStyle w:val="23"/>
        <w:rPr>
          <w:rFonts w:hint="eastAsia"/>
          <w:color w:val="auto"/>
          <w:highlight w:val="none"/>
        </w:rPr>
      </w:pPr>
    </w:p>
    <w:p w14:paraId="4D91489B">
      <w:pPr>
        <w:keepNext w:val="0"/>
        <w:keepLines w:val="0"/>
        <w:pageBreakBefore w:val="0"/>
        <w:widowControl w:val="0"/>
        <w:numPr>
          <w:ilvl w:val="0"/>
          <w:numId w:val="0"/>
        </w:numPr>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eastAsia="宋体" w:cs="宋体"/>
          <w:color w:val="auto"/>
          <w:sz w:val="21"/>
          <w:szCs w:val="21"/>
          <w:highlight w:val="none"/>
          <w:lang w:val="en-US" w:eastAsia="zh-CN"/>
        </w:rPr>
        <w:t>（1）结构鉴定检测实施组织计划</w:t>
      </w:r>
      <w:r>
        <w:rPr>
          <w:rFonts w:hint="eastAsia" w:ascii="宋体" w:hAnsi="宋体" w:cs="宋体"/>
          <w:bCs/>
          <w:color w:val="auto"/>
          <w:szCs w:val="21"/>
          <w:highlight w:val="none"/>
          <w:lang w:val="en-US" w:eastAsia="zh-CN"/>
        </w:rPr>
        <w:t>；</w:t>
      </w:r>
    </w:p>
    <w:p w14:paraId="46F761D1">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）结构鉴定检测和试验质量保障方案</w:t>
      </w:r>
      <w:r>
        <w:rPr>
          <w:rFonts w:hint="eastAsia" w:ascii="宋体" w:hAnsi="宋体" w:cs="宋体"/>
          <w:bCs/>
          <w:color w:val="auto"/>
          <w:szCs w:val="21"/>
          <w:highlight w:val="none"/>
          <w:lang w:val="en-US" w:eastAsia="zh-CN"/>
        </w:rPr>
        <w:t>。</w:t>
      </w:r>
    </w:p>
    <w:p w14:paraId="049A5C28">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eastAsia="宋体" w:cs="宋体"/>
          <w:color w:val="auto"/>
          <w:kern w:val="2"/>
          <w:sz w:val="21"/>
          <w:szCs w:val="21"/>
          <w:highlight w:val="none"/>
          <w:lang w:val="en-US" w:eastAsia="zh-CN" w:bidi="ar-SA"/>
        </w:rPr>
        <w:t>重难点分析及合理化建议</w:t>
      </w:r>
      <w:r>
        <w:rPr>
          <w:rFonts w:hint="eastAsia" w:ascii="宋体" w:hAnsi="宋体" w:cs="宋体"/>
          <w:bCs/>
          <w:color w:val="auto"/>
          <w:szCs w:val="21"/>
          <w:highlight w:val="none"/>
          <w:lang w:val="en-US" w:eastAsia="zh-CN"/>
        </w:rPr>
        <w:t>。</w:t>
      </w:r>
    </w:p>
    <w:p w14:paraId="0E2969F5">
      <w:pPr>
        <w:keepNext w:val="0"/>
        <w:keepLines w:val="0"/>
        <w:pageBreakBefore w:val="0"/>
        <w:widowControl w:val="0"/>
        <w:numPr>
          <w:ilvl w:val="0"/>
          <w:numId w:val="0"/>
        </w:numPr>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p>
    <w:p w14:paraId="28989D6C">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br w:type="page"/>
      </w:r>
    </w:p>
    <w:p w14:paraId="190C6FF6">
      <w:pPr>
        <w:jc w:val="center"/>
        <w:rPr>
          <w:rFonts w:hint="eastAsia" w:ascii="宋体"/>
          <w:b/>
          <w:color w:val="auto"/>
          <w:sz w:val="44"/>
          <w:szCs w:val="44"/>
          <w:highlight w:val="none"/>
          <w:lang w:val="en-US" w:eastAsia="zh-CN"/>
        </w:rPr>
      </w:pPr>
    </w:p>
    <w:p w14:paraId="3E792127">
      <w:pPr>
        <w:jc w:val="center"/>
        <w:rPr>
          <w:rFonts w:hint="eastAsia" w:ascii="宋体"/>
          <w:b/>
          <w:color w:val="auto"/>
          <w:sz w:val="44"/>
          <w:szCs w:val="44"/>
          <w:highlight w:val="none"/>
          <w:lang w:val="en-US" w:eastAsia="zh-CN"/>
        </w:rPr>
      </w:pPr>
    </w:p>
    <w:p w14:paraId="5B3BE68E">
      <w:pPr>
        <w:jc w:val="cente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商务标</w:t>
      </w:r>
    </w:p>
    <w:p w14:paraId="7F8B36FF">
      <w:pPr>
        <w:jc w:val="center"/>
        <w:rPr>
          <w:rFonts w:hint="eastAsia" w:ascii="宋体"/>
          <w:color w:val="auto"/>
          <w:sz w:val="32"/>
          <w:szCs w:val="32"/>
          <w:highlight w:val="none"/>
        </w:rPr>
      </w:pPr>
      <w:r>
        <w:rPr>
          <w:rFonts w:hint="eastAsia" w:ascii="宋体"/>
          <w:color w:val="auto"/>
          <w:sz w:val="32"/>
          <w:szCs w:val="32"/>
          <w:highlight w:val="none"/>
        </w:rPr>
        <w:t>（投标文件</w:t>
      </w:r>
      <w:r>
        <w:rPr>
          <w:rFonts w:hint="eastAsia" w:ascii="宋体"/>
          <w:color w:val="auto"/>
          <w:sz w:val="32"/>
          <w:szCs w:val="32"/>
          <w:highlight w:val="none"/>
          <w:lang w:val="en-US" w:eastAsia="zh-CN"/>
        </w:rPr>
        <w:t>三</w:t>
      </w:r>
      <w:r>
        <w:rPr>
          <w:rFonts w:hint="eastAsia" w:ascii="宋体"/>
          <w:color w:val="auto"/>
          <w:sz w:val="32"/>
          <w:szCs w:val="32"/>
          <w:highlight w:val="none"/>
        </w:rPr>
        <w:t>）</w:t>
      </w:r>
    </w:p>
    <w:p w14:paraId="63F2BF8F">
      <w:pPr>
        <w:jc w:val="center"/>
        <w:rPr>
          <w:rFonts w:hint="eastAsia" w:eastAsia="黑体"/>
          <w:color w:val="auto"/>
          <w:sz w:val="44"/>
          <w:szCs w:val="44"/>
          <w:highlight w:val="none"/>
        </w:rPr>
      </w:pPr>
    </w:p>
    <w:p w14:paraId="6DC0A05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C92B32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3465237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3F90BD4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8B41D3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C0DE6DC">
      <w:pPr>
        <w:pStyle w:val="23"/>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3067072E">
      <w:pPr>
        <w:pStyle w:val="20"/>
        <w:widowControl/>
        <w:rPr>
          <w:color w:val="auto"/>
          <w:highlight w:val="none"/>
          <w:lang w:val="en-US"/>
        </w:rPr>
      </w:pPr>
      <w:r>
        <w:rPr>
          <w:color w:val="auto"/>
          <w:highlight w:val="none"/>
          <w:lang w:val="en-US"/>
        </w:rPr>
        <w:t xml:space="preserve"> </w:t>
      </w:r>
    </w:p>
    <w:p w14:paraId="02C9C60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2AB386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5153578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27B3F7F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640ECD6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5420665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487E3B6C">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24B35507">
      <w:pPr>
        <w:spacing w:line="400" w:lineRule="exact"/>
        <w:jc w:val="center"/>
        <w:rPr>
          <w:rFonts w:hint="eastAsia"/>
          <w:b/>
          <w:color w:val="auto"/>
          <w:sz w:val="36"/>
          <w:szCs w:val="36"/>
          <w:highlight w:val="none"/>
        </w:rPr>
      </w:pPr>
    </w:p>
    <w:p w14:paraId="0910B758">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3A2A43B9">
      <w:pPr>
        <w:spacing w:line="400" w:lineRule="exact"/>
        <w:ind w:firstLine="4130" w:firstLineChars="935"/>
        <w:rPr>
          <w:rFonts w:hint="eastAsia"/>
          <w:b/>
          <w:color w:val="auto"/>
          <w:sz w:val="44"/>
          <w:szCs w:val="44"/>
          <w:highlight w:val="none"/>
        </w:rPr>
      </w:pPr>
    </w:p>
    <w:p w14:paraId="0D544BA3">
      <w:pPr>
        <w:spacing w:line="440" w:lineRule="exact"/>
        <w:ind w:left="420"/>
        <w:rPr>
          <w:rFonts w:hint="eastAsia" w:ascii="宋体"/>
          <w:color w:val="auto"/>
          <w:szCs w:val="21"/>
          <w:highlight w:val="none"/>
        </w:rPr>
      </w:pPr>
      <w:r>
        <w:rPr>
          <w:rFonts w:hint="eastAsia" w:ascii="宋体"/>
          <w:color w:val="auto"/>
          <w:szCs w:val="21"/>
          <w:highlight w:val="none"/>
        </w:rPr>
        <w:t>（1）开标一览表（格式见附件）；</w:t>
      </w:r>
    </w:p>
    <w:p w14:paraId="06064A9C">
      <w:pPr>
        <w:spacing w:line="440" w:lineRule="exact"/>
        <w:ind w:left="420"/>
        <w:rPr>
          <w:rFonts w:hint="eastAsia" w:ascii="宋体"/>
          <w:color w:val="auto"/>
          <w:szCs w:val="21"/>
          <w:highlight w:val="none"/>
        </w:rPr>
      </w:pPr>
      <w:r>
        <w:rPr>
          <w:rFonts w:hint="eastAsia" w:ascii="宋体"/>
          <w:color w:val="auto"/>
          <w:szCs w:val="21"/>
          <w:highlight w:val="none"/>
        </w:rPr>
        <w:t>（2）投标函（格式见附件）；</w:t>
      </w:r>
    </w:p>
    <w:p w14:paraId="7A71A1F5">
      <w:pPr>
        <w:spacing w:line="440" w:lineRule="exact"/>
        <w:ind w:left="420"/>
        <w:rPr>
          <w:rFonts w:hint="default" w:ascii="宋体" w:eastAsiaTheme="minorEastAsia"/>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3）分项报价清单</w:t>
      </w:r>
      <w:r>
        <w:rPr>
          <w:rFonts w:hint="eastAsia" w:ascii="宋体"/>
          <w:color w:val="auto"/>
          <w:szCs w:val="21"/>
          <w:highlight w:val="none"/>
        </w:rPr>
        <w:t>（格式见附件）；</w:t>
      </w:r>
    </w:p>
    <w:p w14:paraId="677EC66B">
      <w:pPr>
        <w:spacing w:line="400" w:lineRule="exact"/>
        <w:ind w:firstLine="424" w:firstLineChars="202"/>
        <w:rPr>
          <w:rFonts w:hint="eastAsia" w:ascii="宋体" w:eastAsiaTheme="minorEastAsia"/>
          <w:color w:val="auto"/>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）招标文件商务评审中要求提供的其他相关资料</w:t>
      </w:r>
      <w:r>
        <w:rPr>
          <w:rFonts w:hint="eastAsia" w:ascii="宋体"/>
          <w:color w:val="auto"/>
          <w:szCs w:val="21"/>
          <w:highlight w:val="none"/>
          <w:lang w:eastAsia="zh-CN"/>
        </w:rPr>
        <w:t>。</w:t>
      </w:r>
    </w:p>
    <w:p w14:paraId="0F9C4214">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63ACE9F2">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附件1</w:t>
      </w:r>
    </w:p>
    <w:p w14:paraId="4FED7420">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u w:color="000000"/>
          <w:lang w:val="en-US" w:eastAsia="zh-CN" w:bidi="ar"/>
        </w:rPr>
        <w:t xml:space="preserve"> </w:t>
      </w:r>
    </w:p>
    <w:p w14:paraId="4ABED535">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开标一览表</w:t>
      </w:r>
    </w:p>
    <w:p w14:paraId="7601BE16">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69DD0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A12883F">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0099BD0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14:paraId="700A2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1BB45BFD">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080753D8">
            <w:pPr>
              <w:pStyle w:val="17"/>
              <w:widowControl/>
              <w:spacing w:line="460" w:lineRule="exact"/>
              <w:ind w:left="86" w:leftChars="41"/>
              <w:rPr>
                <w:rFonts w:hint="eastAsia" w:ascii="宋体" w:hAnsi="Arial" w:eastAsia="宋体" w:cs="宋体"/>
                <w:color w:val="auto"/>
                <w:sz w:val="24"/>
                <w:szCs w:val="24"/>
                <w:highlight w:val="none"/>
                <w:lang w:val="en-US"/>
              </w:rPr>
            </w:pPr>
          </w:p>
        </w:tc>
      </w:tr>
      <w:tr w14:paraId="141B0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304DB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color w:val="auto"/>
                <w:sz w:val="24"/>
                <w:highlight w:val="none"/>
              </w:rPr>
              <w:t>投标</w:t>
            </w:r>
            <w:r>
              <w:rPr>
                <w:rFonts w:hint="eastAsia" w:ascii="宋体"/>
                <w:color w:val="auto"/>
                <w:sz w:val="24"/>
                <w:highlight w:val="none"/>
                <w:lang w:val="en-US" w:eastAsia="zh-CN"/>
              </w:rPr>
              <w:t>报价</w:t>
            </w:r>
            <w:r>
              <w:rPr>
                <w:rFonts w:hint="eastAsia" w:ascii="宋体"/>
                <w:color w:val="auto"/>
                <w:sz w:val="24"/>
                <w:highlight w:val="none"/>
              </w:rPr>
              <w:t>\服务期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60D1B8B3">
            <w:pPr>
              <w:keepNext w:val="0"/>
              <w:keepLines w:val="0"/>
              <w:suppressLineNumbers w:val="0"/>
              <w:spacing w:before="0" w:beforeAutospacing="0" w:after="0" w:afterAutospacing="0" w:line="600" w:lineRule="exact"/>
              <w:ind w:left="0" w:right="0"/>
              <w:rPr>
                <w:rFonts w:hint="eastAsia" w:ascii="宋体" w:eastAsiaTheme="minorEastAsia"/>
                <w:b w:val="0"/>
                <w:bCs w:val="0"/>
                <w:color w:val="auto"/>
                <w:sz w:val="24"/>
                <w:highlight w:val="none"/>
                <w:lang w:val="en-US" w:eastAsia="zh-CN"/>
              </w:rPr>
            </w:pPr>
            <w:r>
              <w:rPr>
                <w:rFonts w:hint="eastAsia" w:ascii="宋体"/>
                <w:color w:val="auto"/>
                <w:sz w:val="24"/>
                <w:highlight w:val="none"/>
                <w:lang w:val="en-US" w:eastAsia="zh-CN"/>
              </w:rPr>
              <w:t>投标</w:t>
            </w:r>
            <w:r>
              <w:rPr>
                <w:rFonts w:hint="eastAsia" w:ascii="宋体"/>
                <w:color w:val="auto"/>
                <w:sz w:val="24"/>
                <w:highlight w:val="none"/>
              </w:rPr>
              <w:t>报价 （大写）：</w:t>
            </w:r>
            <w:r>
              <w:rPr>
                <w:rFonts w:hint="eastAsia" w:asci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u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8"/>
                <w:szCs w:val="28"/>
                <w:highlight w:val="none"/>
              </w:rPr>
              <w:t>m</w:t>
            </w:r>
            <w:r>
              <w:rPr>
                <w:rFonts w:hint="eastAsia" w:ascii="宋体" w:hAnsi="宋体" w:eastAsia="宋体" w:cs="宋体"/>
                <w:color w:val="auto"/>
                <w:sz w:val="28"/>
                <w:szCs w:val="28"/>
                <w:highlight w:val="none"/>
                <w:vertAlign w:val="superscript"/>
              </w:rPr>
              <w:t>2</w:t>
            </w:r>
          </w:p>
          <w:p w14:paraId="29FC87A4">
            <w:pPr>
              <w:keepNext w:val="0"/>
              <w:keepLines w:val="0"/>
              <w:suppressLineNumbers w:val="0"/>
              <w:spacing w:before="0" w:beforeAutospacing="0" w:after="0" w:afterAutospacing="0" w:line="600" w:lineRule="exact"/>
              <w:ind w:left="0" w:right="0" w:firstLine="1200" w:firstLineChars="500"/>
              <w:rPr>
                <w:rFonts w:hint="eastAsia" w:ascii="宋体"/>
                <w:b w:val="0"/>
                <w:bCs w:val="0"/>
                <w:color w:val="auto"/>
                <w:szCs w:val="21"/>
                <w:highlight w:val="none"/>
                <w:lang w:val="en-US" w:eastAsia="zh-CN"/>
              </w:rPr>
            </w:pPr>
            <w:r>
              <w:rPr>
                <w:rFonts w:hint="eastAsia" w:ascii="宋体"/>
                <w:b w:val="0"/>
                <w:bCs w:val="0"/>
                <w:color w:val="auto"/>
                <w:sz w:val="24"/>
                <w:highlight w:val="none"/>
              </w:rPr>
              <w:t>(小写) ：</w:t>
            </w:r>
            <w:r>
              <w:rPr>
                <w:rFonts w:hint="eastAsia" w:ascii="宋体"/>
                <w:b w:val="0"/>
                <w:bCs w:val="0"/>
                <w:color w:val="auto"/>
                <w:sz w:val="24"/>
                <w:highlight w:val="none"/>
                <w:u w:val="single"/>
              </w:rPr>
              <w:t xml:space="preserve"> </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u w:val="single"/>
                <w:lang w:val="en-US" w:eastAsia="zh-CN"/>
              </w:rPr>
              <w:t xml:space="preserve"> </w:t>
            </w:r>
            <w:r>
              <w:rPr>
                <w:rFonts w:hint="eastAsia" w:ascii="宋体" w:hAnsi="宋体"/>
                <w:b w:val="0"/>
                <w:bCs w:val="0"/>
                <w:color w:val="auto"/>
                <w:sz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8"/>
                <w:szCs w:val="28"/>
                <w:highlight w:val="none"/>
              </w:rPr>
              <w:t>m</w:t>
            </w:r>
            <w:r>
              <w:rPr>
                <w:rFonts w:hint="eastAsia" w:ascii="宋体" w:hAnsi="宋体" w:eastAsia="宋体" w:cs="宋体"/>
                <w:color w:val="auto"/>
                <w:sz w:val="28"/>
                <w:szCs w:val="28"/>
                <w:highlight w:val="none"/>
                <w:vertAlign w:val="superscript"/>
              </w:rPr>
              <w:t>2</w:t>
            </w:r>
          </w:p>
          <w:p w14:paraId="620EE94F">
            <w:pPr>
              <w:pStyle w:val="23"/>
              <w:rPr>
                <w:rFonts w:hint="default"/>
                <w:color w:val="auto"/>
                <w:highlight w:val="none"/>
                <w:lang w:val="en-US" w:eastAsia="zh-CN"/>
              </w:rPr>
            </w:pPr>
          </w:p>
          <w:p w14:paraId="0B371DFD">
            <w:pPr>
              <w:keepNext w:val="0"/>
              <w:keepLines w:val="0"/>
              <w:suppressLineNumbers w:val="0"/>
              <w:spacing w:before="0" w:beforeAutospacing="0" w:after="0" w:afterAutospacing="0" w:line="360" w:lineRule="auto"/>
              <w:ind w:left="0" w:right="0" w:firstLine="1200" w:firstLineChars="500"/>
              <w:rPr>
                <w:rFonts w:hint="eastAsia" w:ascii="宋体" w:hAnsi="宋体"/>
                <w:color w:val="auto"/>
                <w:sz w:val="24"/>
                <w:highlight w:val="none"/>
              </w:rPr>
            </w:pPr>
          </w:p>
          <w:p w14:paraId="00FE9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default" w:ascii="宋体"/>
                <w:color w:val="auto"/>
                <w:sz w:val="24"/>
                <w:highlight w:val="none"/>
                <w:u w:val="single"/>
                <w:lang w:val="en-US"/>
              </w:rPr>
            </w:pPr>
            <w:r>
              <w:rPr>
                <w:rFonts w:hint="eastAsia" w:ascii="宋体"/>
                <w:color w:val="auto"/>
                <w:sz w:val="24"/>
                <w:highlight w:val="none"/>
              </w:rPr>
              <w:t>服务期：</w:t>
            </w:r>
            <w:r>
              <w:rPr>
                <w:rFonts w:hint="eastAsia" w:ascii="宋体"/>
                <w:color w:val="auto"/>
                <w:sz w:val="24"/>
                <w:highlight w:val="none"/>
                <w:u w:val="single"/>
                <w:lang w:val="en-US" w:eastAsia="zh-CN"/>
              </w:rPr>
              <w:t xml:space="preserve">              </w:t>
            </w:r>
          </w:p>
          <w:p w14:paraId="731D1220">
            <w:pPr>
              <w:keepNext w:val="0"/>
              <w:keepLines w:val="0"/>
              <w:suppressLineNumbers w:val="0"/>
              <w:spacing w:before="0" w:beforeAutospacing="0" w:after="0" w:afterAutospacing="0" w:line="360" w:lineRule="auto"/>
              <w:ind w:left="0" w:right="0"/>
              <w:rPr>
                <w:rFonts w:hint="default"/>
                <w:color w:val="auto"/>
                <w:kern w:val="2"/>
                <w:sz w:val="24"/>
                <w:szCs w:val="24"/>
                <w:highlight w:val="none"/>
                <w:lang w:val="en-US"/>
              </w:rPr>
            </w:pPr>
          </w:p>
        </w:tc>
      </w:tr>
    </w:tbl>
    <w:p w14:paraId="7A50B5E1">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3154A8B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37D7D702">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179FB58A">
      <w:pPr>
        <w:spacing w:line="360" w:lineRule="auto"/>
        <w:rPr>
          <w:rFonts w:hint="eastAsia" w:ascii="宋体" w:hAnsi="宋体" w:eastAsia="宋体" w:cs="宋体"/>
          <w:b/>
          <w:bCs w:val="0"/>
          <w:color w:val="auto"/>
          <w:kern w:val="0"/>
          <w:sz w:val="30"/>
          <w:szCs w:val="30"/>
          <w:highlight w:val="none"/>
          <w:lang w:val="en-US" w:eastAsia="zh-CN" w:bidi="ar"/>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80DD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43" w:firstLineChars="147"/>
        <w:jc w:val="both"/>
        <w:textAlignment w:val="auto"/>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附件2</w:t>
      </w:r>
    </w:p>
    <w:p w14:paraId="1BB37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31" w:firstLineChars="147"/>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1D2E51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 xml:space="preserve">)       </w:t>
      </w:r>
      <w:r>
        <w:rPr>
          <w:rFonts w:hint="eastAsia" w:ascii="宋体"/>
          <w:color w:val="auto"/>
          <w:sz w:val="24"/>
          <w:highlight w:val="none"/>
        </w:rPr>
        <w:t xml:space="preserve"> </w:t>
      </w:r>
    </w:p>
    <w:p w14:paraId="0BFB91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”的</w:t>
      </w:r>
      <w:r>
        <w:rPr>
          <w:rFonts w:hint="eastAsia" w:ascii="宋体"/>
          <w:color w:val="auto"/>
          <w:sz w:val="24"/>
          <w:highlight w:val="none"/>
          <w:lang w:val="en-US" w:eastAsia="zh-CN"/>
        </w:rPr>
        <w:t>招标</w:t>
      </w:r>
      <w:r>
        <w:rPr>
          <w:rFonts w:hint="eastAsia" w:ascii="宋体"/>
          <w:color w:val="auto"/>
          <w:sz w:val="24"/>
          <w:highlight w:val="none"/>
        </w:rPr>
        <w:t xml:space="preserve">。我方授权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14:paraId="10BE4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2.我方愿意按照招标文件规定的各项要求，向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 xml:space="preserve">提供“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）”项目的货物与服务，我方</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8"/>
          <w:szCs w:val="28"/>
          <w:highlight w:val="none"/>
        </w:rPr>
        <w:t>m</w:t>
      </w:r>
      <w:r>
        <w:rPr>
          <w:rFonts w:hint="eastAsia" w:ascii="宋体" w:hAnsi="宋体" w:eastAsia="宋体" w:cs="宋体"/>
          <w:color w:val="auto"/>
          <w:sz w:val="28"/>
          <w:szCs w:val="28"/>
          <w:highlight w:val="none"/>
          <w:vertAlign w:val="superscript"/>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4F646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90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日历天（从投标截止之日算起）。</w:t>
      </w:r>
    </w:p>
    <w:p w14:paraId="3D3DA1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rPr>
        <w:t>4.一旦我方成为合同签字人，我方将严格履行合同规定的责任和义务。</w:t>
      </w:r>
    </w:p>
    <w:p w14:paraId="15DE21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5</w:t>
      </w:r>
      <w:r>
        <w:rPr>
          <w:rFonts w:hint="eastAsia" w:ascii="宋体"/>
          <w:color w:val="auto"/>
          <w:sz w:val="24"/>
          <w:highlight w:val="none"/>
        </w:rPr>
        <w:t>.若我方中标，愿意为本项目提交的纸质投标文件一式三份，其中正本一份、副本二份。</w:t>
      </w:r>
    </w:p>
    <w:p w14:paraId="1E2ABC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.我方愿意提供可能另外要求的、与采购投标有关的文件资料，并保证我方已提供和将要提供的文件是真实的、准确的。</w:t>
      </w:r>
    </w:p>
    <w:p w14:paraId="448B6A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color w:val="auto"/>
          <w:sz w:val="24"/>
          <w:highlight w:val="none"/>
          <w:lang w:val="en-US" w:eastAsia="zh-CN"/>
        </w:rPr>
        <w:t>7</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57716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03643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0D793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13D58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12059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20B9D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178" w:rightChars="-85" w:firstLine="2520" w:firstLineChars="105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587BC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 xml:space="preserve"> </w:t>
      </w:r>
    </w:p>
    <w:p w14:paraId="48993E33">
      <w:pPr>
        <w:pStyle w:val="23"/>
        <w:rPr>
          <w:rFonts w:hint="eastAsia"/>
          <w:color w:val="auto"/>
          <w:highlight w:val="none"/>
          <w:lang w:val="en-US" w:eastAsia="zh-CN"/>
        </w:rPr>
      </w:pPr>
    </w:p>
    <w:p w14:paraId="21D6AC6E">
      <w:pPr>
        <w:pStyle w:val="2"/>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b/>
          <w:bCs w:val="0"/>
          <w:color w:val="auto"/>
          <w:sz w:val="32"/>
          <w:szCs w:val="32"/>
          <w:highlight w:val="none"/>
          <w:lang w:eastAsia="zh-CN"/>
        </w:rPr>
      </w:pPr>
      <w:bookmarkStart w:id="237" w:name="_Toc6275_WPSOffice_Level1"/>
      <w:bookmarkEnd w:id="237"/>
      <w:r>
        <w:rPr>
          <w:b/>
          <w:bCs w:val="0"/>
          <w:color w:val="auto"/>
          <w:sz w:val="32"/>
          <w:szCs w:val="32"/>
          <w:highlight w:val="none"/>
          <w:lang w:eastAsia="zh-CN"/>
        </w:rPr>
        <w:br w:type="page"/>
      </w:r>
    </w:p>
    <w:p w14:paraId="0E87E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附件3</w:t>
      </w:r>
    </w:p>
    <w:p w14:paraId="4B49F920">
      <w:pPr>
        <w:pStyle w:val="2"/>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b/>
          <w:bCs w:val="0"/>
          <w:color w:val="auto"/>
          <w:sz w:val="32"/>
          <w:szCs w:val="32"/>
          <w:highlight w:val="none"/>
          <w:lang w:eastAsia="zh-CN"/>
        </w:rPr>
      </w:pPr>
    </w:p>
    <w:p w14:paraId="040C938F">
      <w:pPr>
        <w:pStyle w:val="2"/>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left="0" w:leftChars="0" w:firstLine="0" w:firstLineChars="0"/>
        <w:jc w:val="center"/>
        <w:textAlignment w:val="auto"/>
        <w:rPr>
          <w:rFonts w:hint="default" w:eastAsia="宋体"/>
          <w:color w:val="auto"/>
          <w:highlight w:val="none"/>
          <w:lang w:val="en-US" w:eastAsia="zh-CN"/>
        </w:rPr>
      </w:pPr>
      <w:r>
        <w:rPr>
          <w:rFonts w:hint="eastAsia" w:ascii="宋体" w:hAnsi="宋体" w:eastAsia="宋体" w:cs="宋体"/>
          <w:b/>
          <w:bCs/>
          <w:color w:val="auto"/>
          <w:kern w:val="2"/>
          <w:sz w:val="28"/>
          <w:szCs w:val="28"/>
          <w:highlight w:val="none"/>
          <w:lang w:val="en-US" w:eastAsia="zh-CN" w:bidi="ar-SA"/>
        </w:rPr>
        <w:t>分项报价清单</w:t>
      </w:r>
    </w:p>
    <w:tbl>
      <w:tblPr>
        <w:tblStyle w:val="24"/>
        <w:tblW w:w="9351" w:type="dxa"/>
        <w:tblInd w:w="-457" w:type="dxa"/>
        <w:tblLayout w:type="autofit"/>
        <w:tblCellMar>
          <w:top w:w="0" w:type="dxa"/>
          <w:left w:w="108" w:type="dxa"/>
          <w:bottom w:w="0" w:type="dxa"/>
          <w:right w:w="108" w:type="dxa"/>
        </w:tblCellMar>
      </w:tblPr>
      <w:tblGrid>
        <w:gridCol w:w="818"/>
        <w:gridCol w:w="1855"/>
        <w:gridCol w:w="1404"/>
        <w:gridCol w:w="1828"/>
        <w:gridCol w:w="1295"/>
        <w:gridCol w:w="2151"/>
      </w:tblGrid>
      <w:tr w14:paraId="39E5A889">
        <w:tblPrEx>
          <w:tblCellMar>
            <w:top w:w="0" w:type="dxa"/>
            <w:left w:w="108" w:type="dxa"/>
            <w:bottom w:w="0" w:type="dxa"/>
            <w:right w:w="108" w:type="dxa"/>
          </w:tblCellMar>
        </w:tblPrEx>
        <w:trPr>
          <w:trHeight w:val="702"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14:paraId="369FC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55" w:type="dxa"/>
            <w:tcBorders>
              <w:top w:val="single" w:color="auto" w:sz="4" w:space="0"/>
              <w:left w:val="nil"/>
              <w:bottom w:val="single" w:color="auto" w:sz="4" w:space="0"/>
              <w:right w:val="single" w:color="auto" w:sz="4" w:space="0"/>
            </w:tcBorders>
            <w:noWrap w:val="0"/>
            <w:vAlign w:val="center"/>
          </w:tcPr>
          <w:p w14:paraId="545E1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404" w:type="dxa"/>
            <w:tcBorders>
              <w:top w:val="single" w:color="auto" w:sz="4" w:space="0"/>
              <w:left w:val="nil"/>
              <w:bottom w:val="single" w:color="auto" w:sz="4" w:space="0"/>
              <w:right w:val="single" w:color="auto" w:sz="4" w:space="0"/>
            </w:tcBorders>
            <w:noWrap w:val="0"/>
            <w:vAlign w:val="center"/>
          </w:tcPr>
          <w:p w14:paraId="5F2D3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面积</w:t>
            </w:r>
          </w:p>
        </w:tc>
        <w:tc>
          <w:tcPr>
            <w:tcW w:w="1828" w:type="dxa"/>
            <w:tcBorders>
              <w:top w:val="single" w:color="auto" w:sz="4" w:space="0"/>
              <w:left w:val="nil"/>
              <w:bottom w:val="single" w:color="auto" w:sz="4" w:space="0"/>
              <w:right w:val="single" w:color="auto" w:sz="4" w:space="0"/>
            </w:tcBorders>
            <w:noWrap w:val="0"/>
            <w:vAlign w:val="center"/>
          </w:tcPr>
          <w:p w14:paraId="790F0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单价</w:t>
            </w:r>
          </w:p>
          <w:p w14:paraId="4680B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r>
              <w:rPr>
                <w:rFonts w:hint="eastAsia" w:ascii="宋体" w:hAnsi="宋体" w:eastAsia="宋体" w:cs="宋体"/>
                <w:color w:val="auto"/>
                <w:sz w:val="28"/>
                <w:szCs w:val="28"/>
                <w:highlight w:val="none"/>
              </w:rPr>
              <w:t>m</w:t>
            </w:r>
            <w:r>
              <w:rPr>
                <w:rFonts w:hint="eastAsia" w:ascii="宋体" w:hAnsi="宋体" w:eastAsia="宋体" w:cs="宋体"/>
                <w:color w:val="auto"/>
                <w:sz w:val="28"/>
                <w:szCs w:val="28"/>
                <w:highlight w:val="none"/>
                <w:vertAlign w:val="superscript"/>
              </w:rPr>
              <w:t>2</w:t>
            </w:r>
            <w:r>
              <w:rPr>
                <w:rFonts w:hint="eastAsia" w:ascii="宋体" w:hAnsi="宋体" w:eastAsia="宋体" w:cs="宋体"/>
                <w:color w:val="auto"/>
                <w:sz w:val="24"/>
                <w:szCs w:val="24"/>
                <w:highlight w:val="none"/>
              </w:rPr>
              <w:t>)</w:t>
            </w:r>
          </w:p>
        </w:tc>
        <w:tc>
          <w:tcPr>
            <w:tcW w:w="1295" w:type="dxa"/>
            <w:tcBorders>
              <w:top w:val="single" w:color="auto" w:sz="4" w:space="0"/>
              <w:left w:val="nil"/>
              <w:bottom w:val="single" w:color="auto" w:sz="4" w:space="0"/>
              <w:right w:val="single" w:color="auto" w:sz="4" w:space="0"/>
            </w:tcBorders>
            <w:noWrap w:val="0"/>
            <w:vAlign w:val="center"/>
          </w:tcPr>
          <w:p w14:paraId="6CA67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合价</w:t>
            </w:r>
          </w:p>
          <w:p w14:paraId="3B46C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2151" w:type="dxa"/>
            <w:tcBorders>
              <w:top w:val="single" w:color="auto" w:sz="4" w:space="0"/>
              <w:left w:val="nil"/>
              <w:bottom w:val="single" w:color="auto" w:sz="4" w:space="0"/>
              <w:right w:val="single" w:color="auto" w:sz="4" w:space="0"/>
            </w:tcBorders>
            <w:noWrap w:val="0"/>
            <w:vAlign w:val="center"/>
          </w:tcPr>
          <w:p w14:paraId="1D525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72361EA">
        <w:tblPrEx>
          <w:tblCellMar>
            <w:top w:w="0" w:type="dxa"/>
            <w:left w:w="108" w:type="dxa"/>
            <w:bottom w:w="0" w:type="dxa"/>
            <w:right w:w="108" w:type="dxa"/>
          </w:tblCellMar>
        </w:tblPrEx>
        <w:trPr>
          <w:trHeight w:val="932"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14:paraId="1A135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55" w:type="dxa"/>
            <w:tcBorders>
              <w:top w:val="single" w:color="auto" w:sz="4" w:space="0"/>
              <w:left w:val="nil"/>
              <w:bottom w:val="single" w:color="auto" w:sz="4" w:space="0"/>
              <w:right w:val="single" w:color="auto" w:sz="4" w:space="0"/>
            </w:tcBorders>
            <w:noWrap w:val="0"/>
            <w:vAlign w:val="center"/>
          </w:tcPr>
          <w:p w14:paraId="3CE15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安全性鉴定和抗震鉴定</w:t>
            </w:r>
          </w:p>
        </w:tc>
        <w:tc>
          <w:tcPr>
            <w:tcW w:w="1404" w:type="dxa"/>
            <w:tcBorders>
              <w:top w:val="single" w:color="auto" w:sz="4" w:space="0"/>
              <w:left w:val="nil"/>
              <w:bottom w:val="single" w:color="auto" w:sz="4" w:space="0"/>
              <w:right w:val="single" w:color="auto" w:sz="4" w:space="0"/>
            </w:tcBorders>
            <w:noWrap w:val="0"/>
            <w:vAlign w:val="center"/>
          </w:tcPr>
          <w:p w14:paraId="712CE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55509.74</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c>
          <w:tcPr>
            <w:tcW w:w="1828" w:type="dxa"/>
            <w:tcBorders>
              <w:top w:val="single" w:color="auto" w:sz="4" w:space="0"/>
              <w:left w:val="nil"/>
              <w:bottom w:val="single" w:color="auto" w:sz="4" w:space="0"/>
              <w:right w:val="single" w:color="auto" w:sz="4" w:space="0"/>
            </w:tcBorders>
            <w:noWrap w:val="0"/>
            <w:vAlign w:val="center"/>
          </w:tcPr>
          <w:p w14:paraId="44F7A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nil"/>
              <w:bottom w:val="single" w:color="auto" w:sz="4" w:space="0"/>
              <w:right w:val="single" w:color="auto" w:sz="4" w:space="0"/>
            </w:tcBorders>
            <w:noWrap w:val="0"/>
            <w:vAlign w:val="center"/>
          </w:tcPr>
          <w:p w14:paraId="18729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p>
        </w:tc>
        <w:tc>
          <w:tcPr>
            <w:tcW w:w="2151" w:type="dxa"/>
            <w:tcBorders>
              <w:top w:val="single" w:color="auto" w:sz="4" w:space="0"/>
              <w:left w:val="nil"/>
              <w:right w:val="single" w:color="auto" w:sz="4" w:space="0"/>
            </w:tcBorders>
            <w:noWrap w:val="0"/>
            <w:vAlign w:val="center"/>
          </w:tcPr>
          <w:p w14:paraId="37C2C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表中面积为暂定面积，具体以实际鉴定面积为准。</w:t>
            </w:r>
          </w:p>
        </w:tc>
      </w:tr>
      <w:tr w14:paraId="083A5A77">
        <w:tblPrEx>
          <w:tblCellMar>
            <w:top w:w="0" w:type="dxa"/>
            <w:left w:w="108" w:type="dxa"/>
            <w:bottom w:w="0" w:type="dxa"/>
            <w:right w:w="108" w:type="dxa"/>
          </w:tblCellMar>
        </w:tblPrEx>
        <w:trPr>
          <w:trHeight w:val="962" w:hRule="atLeast"/>
        </w:trPr>
        <w:tc>
          <w:tcPr>
            <w:tcW w:w="9351" w:type="dxa"/>
            <w:gridSpan w:val="6"/>
            <w:tcBorders>
              <w:top w:val="single" w:color="auto" w:sz="4" w:space="0"/>
              <w:left w:val="single" w:color="auto" w:sz="4" w:space="0"/>
              <w:bottom w:val="single" w:color="auto" w:sz="4" w:space="0"/>
              <w:right w:val="single" w:color="auto" w:sz="4" w:space="0"/>
            </w:tcBorders>
            <w:noWrap w:val="0"/>
            <w:vAlign w:val="center"/>
          </w:tcPr>
          <w:p w14:paraId="0B39B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32"/>
                <w:szCs w:val="32"/>
                <w:highlight w:val="none"/>
                <w:lang w:val="en-US" w:eastAsia="zh-CN"/>
              </w:rPr>
              <w:t>投标总报价：</w:t>
            </w:r>
            <w:r>
              <w:rPr>
                <w:rFonts w:hint="eastAsia" w:ascii="宋体" w:hAnsi="宋体" w:eastAsia="宋体" w:cs="宋体"/>
                <w:b/>
                <w:bCs/>
                <w:color w:val="auto"/>
                <w:sz w:val="32"/>
                <w:szCs w:val="32"/>
                <w:highlight w:val="none"/>
                <w:u w:val="single"/>
                <w:lang w:val="en-US" w:eastAsia="zh-CN"/>
              </w:rPr>
              <w:t>（大写）          （小写）        元</w:t>
            </w:r>
          </w:p>
        </w:tc>
      </w:tr>
    </w:tbl>
    <w:p w14:paraId="1F8340A1">
      <w:pPr>
        <w:spacing w:line="360" w:lineRule="auto"/>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注：中标后，所报综合单价不予调整。</w:t>
      </w:r>
    </w:p>
    <w:p w14:paraId="57F62343">
      <w:pPr>
        <w:spacing w:line="360" w:lineRule="auto"/>
        <w:ind w:firstLine="2280" w:firstLineChars="950"/>
        <w:rPr>
          <w:rFonts w:hint="eastAsia"/>
          <w:color w:val="auto"/>
          <w:sz w:val="24"/>
          <w:szCs w:val="24"/>
          <w:highlight w:val="none"/>
        </w:rPr>
      </w:pPr>
    </w:p>
    <w:p w14:paraId="75895F26">
      <w:pPr>
        <w:keepNext w:val="0"/>
        <w:keepLines w:val="0"/>
        <w:pageBreakBefore w:val="0"/>
        <w:widowControl w:val="0"/>
        <w:kinsoku/>
        <w:wordWrap/>
        <w:overflowPunct/>
        <w:topLinePunct w:val="0"/>
        <w:autoSpaceDE/>
        <w:autoSpaceDN/>
        <w:bidi w:val="0"/>
        <w:adjustRightInd/>
        <w:snapToGrid/>
        <w:spacing w:line="720" w:lineRule="exact"/>
        <w:ind w:firstLine="3840" w:firstLineChars="1600"/>
        <w:textAlignment w:val="auto"/>
        <w:rPr>
          <w:color w:val="auto"/>
          <w:sz w:val="24"/>
          <w:szCs w:val="24"/>
          <w:highlight w:val="none"/>
          <w:u w:val="single"/>
        </w:rPr>
      </w:pPr>
      <w:r>
        <w:rPr>
          <w:rFonts w:hint="eastAsia"/>
          <w:color w:val="auto"/>
          <w:sz w:val="24"/>
          <w:szCs w:val="24"/>
          <w:highlight w:val="none"/>
        </w:rPr>
        <w:t>投标人：</w:t>
      </w:r>
      <w:r>
        <w:rPr>
          <w:rFonts w:hint="eastAsia"/>
          <w:color w:val="auto"/>
          <w:sz w:val="24"/>
          <w:szCs w:val="24"/>
          <w:highlight w:val="none"/>
          <w:u w:val="single"/>
        </w:rPr>
        <w:t xml:space="preserve">                   （签章）</w:t>
      </w:r>
      <w:r>
        <w:rPr>
          <w:color w:val="auto"/>
          <w:sz w:val="24"/>
          <w:szCs w:val="24"/>
          <w:highlight w:val="none"/>
          <w:u w:val="single"/>
        </w:rPr>
        <w:t xml:space="preserve"> </w:t>
      </w:r>
    </w:p>
    <w:p w14:paraId="1A3F6C23">
      <w:pPr>
        <w:keepNext w:val="0"/>
        <w:keepLines w:val="0"/>
        <w:pageBreakBefore w:val="0"/>
        <w:widowControl w:val="0"/>
        <w:kinsoku/>
        <w:wordWrap/>
        <w:overflowPunct/>
        <w:topLinePunct w:val="0"/>
        <w:autoSpaceDE/>
        <w:autoSpaceDN/>
        <w:bidi w:val="0"/>
        <w:adjustRightInd/>
        <w:snapToGrid/>
        <w:spacing w:line="720" w:lineRule="exact"/>
        <w:ind w:firstLine="2880" w:firstLineChars="1200"/>
        <w:textAlignment w:val="auto"/>
        <w:rPr>
          <w:rFonts w:hint="eastAsia"/>
          <w:color w:val="auto"/>
          <w:sz w:val="24"/>
          <w:szCs w:val="24"/>
          <w:highlight w:val="none"/>
          <w:u w:val="single"/>
        </w:rPr>
      </w:pPr>
      <w:r>
        <w:rPr>
          <w:rFonts w:hint="eastAsia"/>
          <w:color w:val="auto"/>
          <w:sz w:val="24"/>
          <w:szCs w:val="24"/>
          <w:highlight w:val="none"/>
        </w:rPr>
        <w:t>法定代表人或其委托代理人：</w:t>
      </w:r>
      <w:r>
        <w:rPr>
          <w:color w:val="auto"/>
          <w:sz w:val="24"/>
          <w:szCs w:val="24"/>
          <w:highlight w:val="none"/>
          <w:u w:val="single"/>
        </w:rPr>
        <w:t xml:space="preserve">        </w:t>
      </w:r>
      <w:r>
        <w:rPr>
          <w:rFonts w:hint="eastAsia"/>
          <w:color w:val="auto"/>
          <w:sz w:val="24"/>
          <w:szCs w:val="24"/>
          <w:highlight w:val="none"/>
          <w:u w:val="single"/>
        </w:rPr>
        <w:t>（签字或签章）</w:t>
      </w:r>
    </w:p>
    <w:p w14:paraId="31E1C6D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b/>
          <w:bCs/>
          <w:color w:val="auto"/>
          <w:sz w:val="28"/>
          <w:szCs w:val="28"/>
          <w:highlight w:val="none"/>
        </w:rPr>
      </w:pPr>
      <w:r>
        <w:rPr>
          <w:rFonts w:hint="eastAsia"/>
          <w:color w:val="auto"/>
          <w:sz w:val="24"/>
          <w:szCs w:val="24"/>
          <w:highlight w:val="none"/>
          <w:lang w:val="en-US" w:eastAsia="zh-CN"/>
        </w:rPr>
        <w:t xml:space="preserve">                        </w:t>
      </w:r>
      <w:r>
        <w:rPr>
          <w:rFonts w:hint="eastAsia"/>
          <w:color w:val="auto"/>
          <w:sz w:val="24"/>
          <w:szCs w:val="24"/>
          <w:highlight w:val="none"/>
        </w:rPr>
        <w:t>日期：</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月</w:t>
      </w:r>
      <w:r>
        <w:rPr>
          <w:color w:val="auto"/>
          <w:sz w:val="24"/>
          <w:szCs w:val="24"/>
          <w:highlight w:val="non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日</w:t>
      </w:r>
    </w:p>
    <w:p w14:paraId="2390CC0F">
      <w:pPr>
        <w:rPr>
          <w:b/>
          <w:bCs w:val="0"/>
          <w:color w:val="auto"/>
          <w:sz w:val="32"/>
          <w:szCs w:val="32"/>
          <w:highlight w:val="none"/>
          <w:lang w:eastAsia="zh-CN"/>
        </w:rPr>
      </w:pPr>
      <w:bookmarkStart w:id="238" w:name="_GoBack"/>
      <w:bookmarkEnd w:id="238"/>
    </w:p>
    <w:p w14:paraId="51E3D7EB">
      <w:pPr>
        <w:rPr>
          <w:b/>
          <w:bCs w:val="0"/>
          <w:color w:val="auto"/>
          <w:sz w:val="32"/>
          <w:szCs w:val="32"/>
          <w:highlight w:val="none"/>
          <w:lang w:eastAsia="zh-CN"/>
        </w:rPr>
      </w:pPr>
    </w:p>
    <w:p w14:paraId="54C4E7E9">
      <w:pPr>
        <w:rPr>
          <w:b/>
          <w:bCs w:val="0"/>
          <w:color w:val="auto"/>
          <w:sz w:val="32"/>
          <w:szCs w:val="32"/>
          <w:highlight w:val="none"/>
          <w:lang w:eastAsia="zh-CN"/>
        </w:rPr>
      </w:pPr>
    </w:p>
    <w:p w14:paraId="4D38AEDB">
      <w:pPr>
        <w:rPr>
          <w:b/>
          <w:bCs w:val="0"/>
          <w:color w:val="auto"/>
          <w:sz w:val="32"/>
          <w:szCs w:val="32"/>
          <w:highlight w:val="none"/>
          <w:lang w:eastAsia="zh-CN"/>
        </w:rPr>
      </w:pPr>
    </w:p>
    <w:p w14:paraId="4F8E0460">
      <w:pPr>
        <w:rPr>
          <w:b/>
          <w:bCs w:val="0"/>
          <w:color w:val="auto"/>
          <w:sz w:val="32"/>
          <w:szCs w:val="32"/>
          <w:highlight w:val="none"/>
          <w:lang w:eastAsia="zh-CN"/>
        </w:rPr>
      </w:pPr>
    </w:p>
    <w:p w14:paraId="3E187556">
      <w:pPr>
        <w:rPr>
          <w:b/>
          <w:bCs w:val="0"/>
          <w:color w:val="auto"/>
          <w:sz w:val="32"/>
          <w:szCs w:val="32"/>
          <w:highlight w:val="none"/>
          <w:lang w:eastAsia="zh-CN"/>
        </w:rPr>
      </w:pPr>
    </w:p>
    <w:p w14:paraId="4DC92F07">
      <w:pPr>
        <w:rPr>
          <w:b/>
          <w:bCs w:val="0"/>
          <w:color w:val="auto"/>
          <w:sz w:val="32"/>
          <w:szCs w:val="32"/>
          <w:highlight w:val="none"/>
          <w:lang w:eastAsia="zh-CN"/>
        </w:rPr>
      </w:pPr>
    </w:p>
    <w:p w14:paraId="2C3C6709">
      <w:pPr>
        <w:rPr>
          <w:b/>
          <w:bCs w:val="0"/>
          <w:color w:val="auto"/>
          <w:sz w:val="32"/>
          <w:szCs w:val="32"/>
          <w:highlight w:val="none"/>
          <w:lang w:eastAsia="zh-CN"/>
        </w:rPr>
      </w:pPr>
    </w:p>
    <w:p w14:paraId="5A6019AC">
      <w:pPr>
        <w:rPr>
          <w:b/>
          <w:bCs w:val="0"/>
          <w:color w:val="auto"/>
          <w:sz w:val="32"/>
          <w:szCs w:val="32"/>
          <w:highlight w:val="none"/>
          <w:lang w:eastAsia="zh-CN"/>
        </w:rPr>
      </w:pPr>
    </w:p>
    <w:p w14:paraId="61BA86D1">
      <w:pPr>
        <w:rPr>
          <w:b/>
          <w:bCs w:val="0"/>
          <w:color w:val="auto"/>
          <w:sz w:val="32"/>
          <w:szCs w:val="32"/>
          <w:highlight w:val="none"/>
          <w:lang w:eastAsia="zh-CN"/>
        </w:rPr>
      </w:pPr>
    </w:p>
    <w:p w14:paraId="4BC5B494">
      <w:pPr>
        <w:pStyle w:val="21"/>
        <w:widowControl/>
        <w:spacing w:before="0" w:beforeAutospacing="0" w:after="0" w:afterAutospacing="0" w:line="375" w:lineRule="atLeast"/>
        <w:ind w:left="0" w:right="0"/>
        <w:jc w:val="center"/>
        <w:outlineLvl w:val="0"/>
        <w:rPr>
          <w:b/>
          <w:bCs w:val="0"/>
          <w:color w:val="auto"/>
          <w:sz w:val="32"/>
          <w:szCs w:val="32"/>
          <w:highlight w:val="none"/>
          <w:lang w:val="en-US"/>
        </w:rPr>
      </w:pPr>
      <w:r>
        <w:rPr>
          <w:b/>
          <w:bCs w:val="0"/>
          <w:color w:val="auto"/>
          <w:sz w:val="32"/>
          <w:szCs w:val="32"/>
          <w:highlight w:val="none"/>
          <w:lang w:eastAsia="zh-CN"/>
        </w:rPr>
        <w:t>第</w:t>
      </w:r>
      <w:r>
        <w:rPr>
          <w:rFonts w:hint="eastAsia"/>
          <w:b/>
          <w:bCs w:val="0"/>
          <w:color w:val="auto"/>
          <w:sz w:val="32"/>
          <w:szCs w:val="32"/>
          <w:highlight w:val="none"/>
          <w:lang w:val="en-US" w:eastAsia="zh-CN"/>
        </w:rPr>
        <w:t>八</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p>
    <w:tbl>
      <w:tblPr>
        <w:tblStyle w:val="24"/>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58D1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254C1D0">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090B0942">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滁州市公共交通有限公司25处不动产安全性鉴定和抗震鉴定服务项目</w:t>
            </w:r>
            <w:r>
              <w:rPr>
                <w:rFonts w:hint="eastAsia" w:ascii="宋体" w:hAnsi="宋体" w:eastAsia="宋体" w:cs="宋体"/>
                <w:color w:val="auto"/>
                <w:kern w:val="2"/>
                <w:sz w:val="28"/>
                <w:szCs w:val="28"/>
                <w:highlight w:val="none"/>
                <w:u w:color="000000"/>
                <w:lang w:val="en-US" w:eastAsia="zh-CN" w:bidi="ar"/>
              </w:rPr>
              <w:t>招标文件进行确认。</w:t>
            </w:r>
          </w:p>
          <w:p w14:paraId="3F40886B">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招标人：滁州市公共交通有限公司 </w:t>
            </w:r>
          </w:p>
          <w:p w14:paraId="3649906A">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联系人：安孝武、张静</w:t>
            </w:r>
          </w:p>
          <w:p w14:paraId="24C0D24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联系电话：18365290581、13485502866</w:t>
            </w:r>
          </w:p>
          <w:p w14:paraId="36F5BE02">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5720912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0CCE9060">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00B272A2">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48452464">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2026年6月</w:t>
            </w:r>
          </w:p>
          <w:p w14:paraId="05FB7290">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36DB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0F9F313">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6C9A372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60AB075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经办人：周晓培</w:t>
            </w:r>
          </w:p>
          <w:p w14:paraId="58A4BF1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电话：0550-3519512、18255055896</w:t>
            </w:r>
          </w:p>
          <w:p w14:paraId="19A7CCC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8393DDA">
            <w:pPr>
              <w:pStyle w:val="23"/>
              <w:widowControl/>
              <w:spacing w:before="0" w:beforeAutospacing="0" w:after="120" w:afterAutospacing="0"/>
              <w:ind w:leftChars="200" w:right="0" w:firstLine="560"/>
              <w:rPr>
                <w:color w:val="auto"/>
                <w:kern w:val="2"/>
                <w:sz w:val="28"/>
                <w:szCs w:val="28"/>
                <w:highlight w:val="none"/>
                <w:lang w:val="en-US"/>
              </w:rPr>
            </w:pPr>
          </w:p>
          <w:p w14:paraId="39863F6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7B888BE6">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ED328C7">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8AF71A2">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2026年6月</w:t>
            </w:r>
          </w:p>
        </w:tc>
      </w:tr>
    </w:tbl>
    <w:p w14:paraId="03885DAA">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A08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6B14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86B14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B4C04"/>
    <w:multiLevelType w:val="singleLevel"/>
    <w:tmpl w:val="319B4C04"/>
    <w:lvl w:ilvl="0" w:tentative="0">
      <w:start w:val="6"/>
      <w:numFmt w:val="chineseCounting"/>
      <w:suff w:val="space"/>
      <w:lvlText w:val="第%1章"/>
      <w:lvlJc w:val="left"/>
      <w:rPr>
        <w:rFonts w:hint="eastAsia"/>
      </w:rPr>
    </w:lvl>
  </w:abstractNum>
  <w:abstractNum w:abstractNumId="1">
    <w:nsid w:val="658F2074"/>
    <w:multiLevelType w:val="singleLevel"/>
    <w:tmpl w:val="658F207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6B3CA7"/>
    <w:rsid w:val="00B92181"/>
    <w:rsid w:val="019C49FA"/>
    <w:rsid w:val="01D118B5"/>
    <w:rsid w:val="01E872A1"/>
    <w:rsid w:val="03E1007D"/>
    <w:rsid w:val="04D2512C"/>
    <w:rsid w:val="05056200"/>
    <w:rsid w:val="06C54E87"/>
    <w:rsid w:val="06D54ED0"/>
    <w:rsid w:val="082755CD"/>
    <w:rsid w:val="0A9B28F7"/>
    <w:rsid w:val="0AFF501E"/>
    <w:rsid w:val="0CCE0A8A"/>
    <w:rsid w:val="0CEF01A1"/>
    <w:rsid w:val="0E674BF0"/>
    <w:rsid w:val="0E6A2261"/>
    <w:rsid w:val="0EBB3464"/>
    <w:rsid w:val="0F5A3543"/>
    <w:rsid w:val="0FF27957"/>
    <w:rsid w:val="11273F56"/>
    <w:rsid w:val="12431559"/>
    <w:rsid w:val="1279442C"/>
    <w:rsid w:val="128D0D77"/>
    <w:rsid w:val="14102AD3"/>
    <w:rsid w:val="14334ED5"/>
    <w:rsid w:val="145C15EE"/>
    <w:rsid w:val="162403C8"/>
    <w:rsid w:val="164D0082"/>
    <w:rsid w:val="165958AD"/>
    <w:rsid w:val="181D0DEF"/>
    <w:rsid w:val="19C630AE"/>
    <w:rsid w:val="19C808E7"/>
    <w:rsid w:val="1A0C4C78"/>
    <w:rsid w:val="1A2C0203"/>
    <w:rsid w:val="1AFF1DF1"/>
    <w:rsid w:val="1B0B6A26"/>
    <w:rsid w:val="1B522B5E"/>
    <w:rsid w:val="1B56742D"/>
    <w:rsid w:val="1BE83977"/>
    <w:rsid w:val="1BFC2ACA"/>
    <w:rsid w:val="1CC535CD"/>
    <w:rsid w:val="1D4F1A4B"/>
    <w:rsid w:val="1DC10A04"/>
    <w:rsid w:val="1DD7722D"/>
    <w:rsid w:val="1E452429"/>
    <w:rsid w:val="1E474369"/>
    <w:rsid w:val="1E702A32"/>
    <w:rsid w:val="1FBE5586"/>
    <w:rsid w:val="1FD60202"/>
    <w:rsid w:val="2035457B"/>
    <w:rsid w:val="204506D8"/>
    <w:rsid w:val="2056239C"/>
    <w:rsid w:val="208257F5"/>
    <w:rsid w:val="20B15584"/>
    <w:rsid w:val="20F63292"/>
    <w:rsid w:val="21391D2B"/>
    <w:rsid w:val="213E3142"/>
    <w:rsid w:val="21817CF9"/>
    <w:rsid w:val="2186530F"/>
    <w:rsid w:val="21EB070A"/>
    <w:rsid w:val="21FC6157"/>
    <w:rsid w:val="222D5B93"/>
    <w:rsid w:val="223E0729"/>
    <w:rsid w:val="2309025E"/>
    <w:rsid w:val="246F69B2"/>
    <w:rsid w:val="249064A5"/>
    <w:rsid w:val="25E77CFB"/>
    <w:rsid w:val="261D1FBA"/>
    <w:rsid w:val="27427F5F"/>
    <w:rsid w:val="28196DBF"/>
    <w:rsid w:val="28235FAE"/>
    <w:rsid w:val="287E4991"/>
    <w:rsid w:val="2BDE4F39"/>
    <w:rsid w:val="2CF557C9"/>
    <w:rsid w:val="2D861D78"/>
    <w:rsid w:val="2E391725"/>
    <w:rsid w:val="2EB45BB2"/>
    <w:rsid w:val="2F6A2714"/>
    <w:rsid w:val="30776892"/>
    <w:rsid w:val="31285DBE"/>
    <w:rsid w:val="3166515D"/>
    <w:rsid w:val="32FC6756"/>
    <w:rsid w:val="3569521C"/>
    <w:rsid w:val="35E820B0"/>
    <w:rsid w:val="362954DA"/>
    <w:rsid w:val="37797999"/>
    <w:rsid w:val="379A4E56"/>
    <w:rsid w:val="3B381919"/>
    <w:rsid w:val="3C356D45"/>
    <w:rsid w:val="3CE35A45"/>
    <w:rsid w:val="3D7F110E"/>
    <w:rsid w:val="3D8B68BD"/>
    <w:rsid w:val="3DDD67A7"/>
    <w:rsid w:val="3EF876E2"/>
    <w:rsid w:val="3F252060"/>
    <w:rsid w:val="40585B1F"/>
    <w:rsid w:val="41C76417"/>
    <w:rsid w:val="41FF4F3E"/>
    <w:rsid w:val="425A6618"/>
    <w:rsid w:val="42AB7679"/>
    <w:rsid w:val="43036368"/>
    <w:rsid w:val="440F4D94"/>
    <w:rsid w:val="44121234"/>
    <w:rsid w:val="44CA665B"/>
    <w:rsid w:val="465E7FDB"/>
    <w:rsid w:val="465F1147"/>
    <w:rsid w:val="46623AC8"/>
    <w:rsid w:val="47AA594C"/>
    <w:rsid w:val="47DC16A5"/>
    <w:rsid w:val="49560276"/>
    <w:rsid w:val="49DB1F4F"/>
    <w:rsid w:val="4A1F1129"/>
    <w:rsid w:val="4A1F1E57"/>
    <w:rsid w:val="4A7B35D0"/>
    <w:rsid w:val="4B007631"/>
    <w:rsid w:val="4B8A2C90"/>
    <w:rsid w:val="4C3857CB"/>
    <w:rsid w:val="4E3E1D97"/>
    <w:rsid w:val="4EBE3A8B"/>
    <w:rsid w:val="4F3D28D2"/>
    <w:rsid w:val="4F522371"/>
    <w:rsid w:val="4FA422F6"/>
    <w:rsid w:val="50306C0B"/>
    <w:rsid w:val="510E11AC"/>
    <w:rsid w:val="525220E0"/>
    <w:rsid w:val="52DB1340"/>
    <w:rsid w:val="54E36276"/>
    <w:rsid w:val="5523352E"/>
    <w:rsid w:val="568742FD"/>
    <w:rsid w:val="571C4EED"/>
    <w:rsid w:val="572164C3"/>
    <w:rsid w:val="577B334F"/>
    <w:rsid w:val="5918061D"/>
    <w:rsid w:val="5A297B1D"/>
    <w:rsid w:val="5A453563"/>
    <w:rsid w:val="5A4F721B"/>
    <w:rsid w:val="5AB972A9"/>
    <w:rsid w:val="5AC41FE9"/>
    <w:rsid w:val="5B9B5880"/>
    <w:rsid w:val="5C975087"/>
    <w:rsid w:val="5D13683D"/>
    <w:rsid w:val="5D2B5019"/>
    <w:rsid w:val="5D7002D3"/>
    <w:rsid w:val="5E5F7FE9"/>
    <w:rsid w:val="5F473629"/>
    <w:rsid w:val="601E3597"/>
    <w:rsid w:val="604D11B9"/>
    <w:rsid w:val="60A16C23"/>
    <w:rsid w:val="62C47C43"/>
    <w:rsid w:val="62DB2AED"/>
    <w:rsid w:val="63357BFF"/>
    <w:rsid w:val="6353259C"/>
    <w:rsid w:val="64951CE3"/>
    <w:rsid w:val="64E363FE"/>
    <w:rsid w:val="6509245E"/>
    <w:rsid w:val="66527E86"/>
    <w:rsid w:val="668A652A"/>
    <w:rsid w:val="66F719A9"/>
    <w:rsid w:val="68EE40FC"/>
    <w:rsid w:val="69954A88"/>
    <w:rsid w:val="6A491970"/>
    <w:rsid w:val="6B743A22"/>
    <w:rsid w:val="6CE1330F"/>
    <w:rsid w:val="6CF3094C"/>
    <w:rsid w:val="6D12171A"/>
    <w:rsid w:val="6D4C4C2C"/>
    <w:rsid w:val="6EA934B6"/>
    <w:rsid w:val="6F9603E0"/>
    <w:rsid w:val="6F975F07"/>
    <w:rsid w:val="706E041E"/>
    <w:rsid w:val="70F36214"/>
    <w:rsid w:val="712A4741"/>
    <w:rsid w:val="713F1D02"/>
    <w:rsid w:val="727D3192"/>
    <w:rsid w:val="72D0112D"/>
    <w:rsid w:val="72E15E16"/>
    <w:rsid w:val="734B157F"/>
    <w:rsid w:val="737325AC"/>
    <w:rsid w:val="73BB15D1"/>
    <w:rsid w:val="73D4059A"/>
    <w:rsid w:val="75023E22"/>
    <w:rsid w:val="75843174"/>
    <w:rsid w:val="76B7003F"/>
    <w:rsid w:val="773F7634"/>
    <w:rsid w:val="77E03419"/>
    <w:rsid w:val="77E2713E"/>
    <w:rsid w:val="78132BC5"/>
    <w:rsid w:val="78AB7192"/>
    <w:rsid w:val="78B2187B"/>
    <w:rsid w:val="78F9553C"/>
    <w:rsid w:val="79757E4E"/>
    <w:rsid w:val="79C92892"/>
    <w:rsid w:val="7A012FE1"/>
    <w:rsid w:val="7A2A6204"/>
    <w:rsid w:val="7AF5326F"/>
    <w:rsid w:val="7CA21FBD"/>
    <w:rsid w:val="7D256A57"/>
    <w:rsid w:val="7E1352F2"/>
    <w:rsid w:val="7E8D57A7"/>
    <w:rsid w:val="7EB3006D"/>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64"/>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unhideWhenUsed/>
    <w:qFormat/>
    <w:uiPriority w:val="9"/>
    <w:pPr>
      <w:keepNext/>
      <w:keepLines/>
      <w:spacing w:before="280" w:after="290" w:line="376" w:lineRule="auto"/>
      <w:outlineLvl w:val="4"/>
    </w:pPr>
    <w:rPr>
      <w:rFonts w:asciiTheme="minorAscii" w:hAnsiTheme="minorAscii"/>
      <w:b/>
      <w:bCs/>
      <w:sz w:val="28"/>
      <w:szCs w:val="28"/>
    </w:rPr>
  </w:style>
  <w:style w:type="character" w:default="1" w:styleId="26">
    <w:name w:val="Default Paragraph Font"/>
    <w:semiHidden/>
    <w:qFormat/>
    <w:uiPriority w:val="0"/>
  </w:style>
  <w:style w:type="table" w:default="1" w:styleId="24">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Indent 2"/>
    <w:basedOn w:val="1"/>
    <w:autoRedefine/>
    <w:qFormat/>
    <w:uiPriority w:val="0"/>
    <w:pPr>
      <w:spacing w:line="360" w:lineRule="exact"/>
      <w:ind w:firstLine="600" w:firstLineChars="250"/>
      <w:jc w:val="left"/>
    </w:pPr>
    <w:rPr>
      <w:sz w:val="24"/>
    </w:rPr>
  </w:style>
  <w:style w:type="paragraph" w:styleId="6">
    <w:name w:val="toc 7"/>
    <w:basedOn w:val="1"/>
    <w:next w:val="1"/>
    <w:autoRedefine/>
    <w:qFormat/>
    <w:uiPriority w:val="39"/>
    <w:pPr>
      <w:ind w:left="1260"/>
      <w:jc w:val="left"/>
    </w:pPr>
    <w:rPr>
      <w:sz w:val="18"/>
      <w:szCs w:val="18"/>
    </w:rPr>
  </w:style>
  <w:style w:type="paragraph" w:styleId="7">
    <w:name w:val="table of authorities"/>
    <w:basedOn w:val="1"/>
    <w:next w:val="1"/>
    <w:autoRedefine/>
    <w:unhideWhenUsed/>
    <w:qFormat/>
    <w:uiPriority w:val="0"/>
    <w:pPr>
      <w:ind w:left="420" w:leftChars="200"/>
    </w:pPr>
  </w:style>
  <w:style w:type="paragraph" w:styleId="8">
    <w:name w:val="Normal Indent"/>
    <w:basedOn w:val="1"/>
    <w:autoRedefine/>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9">
    <w:name w:val="Document Map"/>
    <w:basedOn w:val="1"/>
    <w:next w:val="1"/>
    <w:autoRedefine/>
    <w:semiHidden/>
    <w:qFormat/>
    <w:uiPriority w:val="0"/>
    <w:pPr>
      <w:shd w:val="clear" w:color="auto" w:fill="000080"/>
    </w:pPr>
  </w:style>
  <w:style w:type="paragraph" w:styleId="10">
    <w:name w:val="annotation text"/>
    <w:basedOn w:val="1"/>
    <w:autoRedefine/>
    <w:qFormat/>
    <w:uiPriority w:val="0"/>
    <w:pPr>
      <w:jc w:val="left"/>
    </w:pPr>
  </w:style>
  <w:style w:type="paragraph" w:styleId="11">
    <w:name w:val="Body Text 3"/>
    <w:basedOn w:val="1"/>
    <w:autoRedefine/>
    <w:qFormat/>
    <w:uiPriority w:val="0"/>
    <w:rPr>
      <w:rFonts w:ascii="宋体" w:hAnsi="Calibri" w:eastAsia="宋体" w:cs="Times New Roman"/>
      <w:sz w:val="24"/>
      <w:szCs w:val="20"/>
    </w:rPr>
  </w:style>
  <w:style w:type="paragraph" w:styleId="12">
    <w:name w:val="Body Text"/>
    <w:basedOn w:val="1"/>
    <w:autoRedefine/>
    <w:qFormat/>
    <w:uiPriority w:val="0"/>
    <w:pPr>
      <w:widowControl w:val="0"/>
      <w:snapToGrid w:val="0"/>
      <w:spacing w:line="360" w:lineRule="auto"/>
    </w:pPr>
    <w:rPr>
      <w:rFonts w:ascii="Arial" w:hAnsi="Arial" w:eastAsia="仿宋_GB2312"/>
      <w:sz w:val="31"/>
    </w:rPr>
  </w:style>
  <w:style w:type="paragraph" w:styleId="13">
    <w:name w:val="Body Text Indent"/>
    <w:basedOn w:val="1"/>
    <w:next w:val="14"/>
    <w:link w:val="42"/>
    <w:autoRedefine/>
    <w:qFormat/>
    <w:uiPriority w:val="0"/>
    <w:pPr>
      <w:spacing w:after="120" w:afterLines="0" w:afterAutospacing="0"/>
      <w:ind w:left="420" w:leftChars="200"/>
    </w:pPr>
  </w:style>
  <w:style w:type="paragraph" w:styleId="14">
    <w:name w:val="envelope return"/>
    <w:basedOn w:val="1"/>
    <w:next w:val="6"/>
    <w:autoRedefine/>
    <w:qFormat/>
    <w:uiPriority w:val="0"/>
    <w:pPr>
      <w:snapToGrid w:val="0"/>
    </w:pPr>
    <w:rPr>
      <w:rFonts w:ascii="Arial" w:hAnsi="Arial"/>
    </w:rPr>
  </w:style>
  <w:style w:type="paragraph" w:styleId="15">
    <w:name w:val="index 4"/>
    <w:basedOn w:val="1"/>
    <w:next w:val="1"/>
    <w:autoRedefine/>
    <w:qFormat/>
    <w:uiPriority w:val="99"/>
    <w:pPr>
      <w:ind w:left="600" w:leftChars="600"/>
    </w:pPr>
    <w:rPr>
      <w:szCs w:val="24"/>
    </w:rPr>
  </w:style>
  <w:style w:type="paragraph" w:styleId="16">
    <w:name w:val="Plain Text"/>
    <w:basedOn w:val="1"/>
    <w:next w:val="1"/>
    <w:link w:val="47"/>
    <w:autoRedefine/>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7">
    <w:name w:val="Date"/>
    <w:basedOn w:val="1"/>
    <w:next w:val="1"/>
    <w:link w:val="44"/>
    <w:autoRedefine/>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8">
    <w:name w:val="footer"/>
    <w:basedOn w:val="1"/>
    <w:link w:val="48"/>
    <w:autoRedefine/>
    <w:qFormat/>
    <w:uiPriority w:val="0"/>
    <w:pPr>
      <w:tabs>
        <w:tab w:val="center" w:pos="4153"/>
        <w:tab w:val="right" w:pos="8306"/>
      </w:tabs>
      <w:snapToGrid w:val="0"/>
      <w:jc w:val="left"/>
    </w:pPr>
    <w:rPr>
      <w:sz w:val="18"/>
    </w:rPr>
  </w:style>
  <w:style w:type="paragraph" w:styleId="19">
    <w:name w:val="header"/>
    <w:basedOn w:val="1"/>
    <w:link w:val="4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List"/>
    <w:basedOn w:val="1"/>
    <w:autoRedefine/>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Normal (Web)"/>
    <w:basedOn w:val="1"/>
    <w:next w:val="13"/>
    <w:autoRedefine/>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2">
    <w:name w:val="Body Text First Indent"/>
    <w:basedOn w:val="12"/>
    <w:autoRedefine/>
    <w:qFormat/>
    <w:uiPriority w:val="0"/>
    <w:pPr>
      <w:adjustRightInd/>
      <w:spacing w:after="120" w:line="240" w:lineRule="auto"/>
      <w:ind w:firstLine="420" w:firstLineChars="100"/>
      <w:jc w:val="both"/>
    </w:pPr>
  </w:style>
  <w:style w:type="paragraph" w:styleId="23">
    <w:name w:val="Body Text First Indent 2"/>
    <w:basedOn w:val="13"/>
    <w:next w:val="1"/>
    <w:link w:val="43"/>
    <w:autoRedefine/>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autoRedefine/>
    <w:qFormat/>
    <w:uiPriority w:val="0"/>
  </w:style>
  <w:style w:type="character" w:styleId="29">
    <w:name w:val="FollowedHyperlink"/>
    <w:basedOn w:val="26"/>
    <w:autoRedefine/>
    <w:qFormat/>
    <w:uiPriority w:val="0"/>
    <w:rPr>
      <w:color w:val="333333"/>
      <w:u w:val="none"/>
    </w:rPr>
  </w:style>
  <w:style w:type="character" w:styleId="30">
    <w:name w:val="Emphasis"/>
    <w:basedOn w:val="26"/>
    <w:qFormat/>
    <w:uiPriority w:val="0"/>
    <w:rPr>
      <w:b/>
      <w:bCs/>
    </w:rPr>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autoRedefine/>
    <w:qFormat/>
    <w:uiPriority w:val="0"/>
    <w:rPr>
      <w:color w:val="333333"/>
      <w:u w:val="non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ascii="monospace" w:hAnsi="monospace" w:eastAsia="monospace" w:cs="monospace"/>
      <w:sz w:val="20"/>
    </w:rPr>
  </w:style>
  <w:style w:type="character" w:styleId="39">
    <w:name w:val="HTML Sample"/>
    <w:basedOn w:val="26"/>
    <w:qFormat/>
    <w:uiPriority w:val="0"/>
    <w:rPr>
      <w:rFonts w:hint="default" w:ascii="monospace" w:hAnsi="monospace" w:eastAsia="monospace" w:cs="monospace"/>
    </w:rPr>
  </w:style>
  <w:style w:type="paragraph" w:customStyle="1" w:styleId="40">
    <w:name w:val="正文文字 8"/>
    <w:basedOn w:val="1"/>
    <w:next w:val="1"/>
    <w:autoRedefine/>
    <w:qFormat/>
    <w:uiPriority w:val="0"/>
    <w:pPr>
      <w:ind w:left="240"/>
    </w:pPr>
    <w:rPr>
      <w:sz w:val="16"/>
    </w:rPr>
  </w:style>
  <w:style w:type="paragraph" w:customStyle="1" w:styleId="41">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2">
    <w:name w:val="正文文本缩进 Char"/>
    <w:basedOn w:val="26"/>
    <w:link w:val="13"/>
    <w:autoRedefine/>
    <w:qFormat/>
    <w:uiPriority w:val="0"/>
    <w:rPr>
      <w:rFonts w:hint="default" w:ascii="Times New Roman" w:hAnsi="Times New Roman" w:eastAsia="宋体" w:cs="Times New Roman"/>
      <w:color w:val="000000"/>
      <w:kern w:val="0"/>
      <w:szCs w:val="21"/>
      <w:u w:color="000000"/>
    </w:rPr>
  </w:style>
  <w:style w:type="character" w:customStyle="1" w:styleId="43">
    <w:name w:val="正文首行缩进 2 Char"/>
    <w:basedOn w:val="42"/>
    <w:link w:val="23"/>
    <w:autoRedefine/>
    <w:qFormat/>
    <w:uiPriority w:val="0"/>
    <w:rPr>
      <w:rFonts w:hint="default" w:ascii="Times New Roman" w:hAnsi="Times New Roman" w:eastAsia="宋体" w:cs="Times New Roman"/>
      <w:color w:val="000000"/>
      <w:kern w:val="0"/>
      <w:szCs w:val="21"/>
      <w:u w:color="000000"/>
    </w:rPr>
  </w:style>
  <w:style w:type="character" w:customStyle="1" w:styleId="44">
    <w:name w:val="日期 Char"/>
    <w:basedOn w:val="26"/>
    <w:link w:val="17"/>
    <w:autoRedefine/>
    <w:qFormat/>
    <w:uiPriority w:val="0"/>
    <w:rPr>
      <w:rFonts w:ascii="Arial" w:hAnsi="Arial" w:eastAsia="仿宋_GB2312" w:cs="Arial"/>
      <w:color w:val="000000"/>
      <w:sz w:val="32"/>
      <w:szCs w:val="32"/>
      <w:u w:color="000000"/>
    </w:rPr>
  </w:style>
  <w:style w:type="character" w:customStyle="1" w:styleId="45">
    <w:name w:val="标题 2 Char"/>
    <w:basedOn w:val="26"/>
    <w:link w:val="3"/>
    <w:autoRedefine/>
    <w:qFormat/>
    <w:uiPriority w:val="0"/>
    <w:rPr>
      <w:rFonts w:hint="default" w:ascii="Times New Roman" w:hAnsi="Times New Roman" w:eastAsia="宋体" w:cs="Times New Roman"/>
      <w:kern w:val="0"/>
      <w:sz w:val="24"/>
      <w:szCs w:val="24"/>
    </w:rPr>
  </w:style>
  <w:style w:type="character" w:customStyle="1" w:styleId="46">
    <w:name w:val="页眉 Char"/>
    <w:basedOn w:val="26"/>
    <w:link w:val="19"/>
    <w:autoRedefine/>
    <w:qFormat/>
    <w:uiPriority w:val="0"/>
    <w:rPr>
      <w:rFonts w:hint="default" w:ascii="Times New Roman" w:hAnsi="Times New Roman" w:eastAsia="宋体" w:cs="Times New Roman"/>
      <w:color w:val="000000"/>
      <w:kern w:val="0"/>
      <w:sz w:val="18"/>
      <w:szCs w:val="18"/>
      <w:u w:color="000000"/>
    </w:rPr>
  </w:style>
  <w:style w:type="character" w:customStyle="1" w:styleId="47">
    <w:name w:val="纯文本 Char"/>
    <w:basedOn w:val="26"/>
    <w:link w:val="16"/>
    <w:autoRedefine/>
    <w:qFormat/>
    <w:uiPriority w:val="0"/>
    <w:rPr>
      <w:rFonts w:hint="eastAsia" w:ascii="宋体" w:hAnsi="宋体" w:eastAsia="宋体" w:cs="宋体"/>
      <w:szCs w:val="21"/>
    </w:rPr>
  </w:style>
  <w:style w:type="character" w:customStyle="1" w:styleId="48">
    <w:name w:val="页脚 Char"/>
    <w:basedOn w:val="26"/>
    <w:link w:val="18"/>
    <w:autoRedefine/>
    <w:qFormat/>
    <w:uiPriority w:val="0"/>
    <w:rPr>
      <w:rFonts w:hint="default" w:ascii="Times New Roman" w:hAnsi="Times New Roman" w:eastAsia="宋体" w:cs="Times New Roman"/>
      <w:color w:val="000000"/>
      <w:kern w:val="0"/>
      <w:sz w:val="18"/>
      <w:szCs w:val="18"/>
      <w:u w:color="000000"/>
    </w:rPr>
  </w:style>
  <w:style w:type="paragraph" w:customStyle="1" w:styleId="49">
    <w:name w:val="节标题"/>
    <w:basedOn w:val="1"/>
    <w:next w:val="1"/>
    <w:autoRedefine/>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0">
    <w:name w:val="List Paragraph"/>
    <w:basedOn w:val="1"/>
    <w:autoRedefine/>
    <w:qFormat/>
    <w:uiPriority w:val="0"/>
    <w:pPr>
      <w:widowControl w:val="0"/>
      <w:spacing w:line="240" w:lineRule="auto"/>
      <w:ind w:firstLine="200" w:firstLineChars="200"/>
      <w:textAlignment w:val="auto"/>
    </w:pPr>
    <w:rPr>
      <w:u w:val="none" w:color="000000"/>
    </w:rPr>
  </w:style>
  <w:style w:type="character" w:customStyle="1" w:styleId="51">
    <w:name w:val="NormalCharacter"/>
    <w:autoRedefine/>
    <w:semiHidden/>
    <w:qFormat/>
    <w:uiPriority w:val="0"/>
  </w:style>
  <w:style w:type="paragraph" w:customStyle="1" w:styleId="52">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3">
    <w:name w:val="font51"/>
    <w:basedOn w:val="26"/>
    <w:autoRedefine/>
    <w:qFormat/>
    <w:uiPriority w:val="0"/>
    <w:rPr>
      <w:rFonts w:hint="eastAsia" w:ascii="宋体" w:hAnsi="宋体" w:eastAsia="宋体" w:cs="宋体"/>
      <w:color w:val="000000"/>
      <w:sz w:val="22"/>
      <w:szCs w:val="22"/>
      <w:u w:val="none"/>
    </w:rPr>
  </w:style>
  <w:style w:type="character" w:customStyle="1" w:styleId="54">
    <w:name w:val="font31"/>
    <w:basedOn w:val="26"/>
    <w:autoRedefine/>
    <w:qFormat/>
    <w:uiPriority w:val="0"/>
    <w:rPr>
      <w:rFonts w:hint="default" w:ascii="Times New Roman" w:hAnsi="Times New Roman" w:cs="Times New Roman"/>
      <w:color w:val="000000"/>
      <w:sz w:val="22"/>
      <w:szCs w:val="22"/>
      <w:u w:val="none"/>
    </w:rPr>
  </w:style>
  <w:style w:type="character" w:customStyle="1" w:styleId="55">
    <w:name w:val="font61"/>
    <w:basedOn w:val="26"/>
    <w:autoRedefine/>
    <w:qFormat/>
    <w:uiPriority w:val="0"/>
    <w:rPr>
      <w:rFonts w:hint="default" w:ascii="Times New Roman" w:hAnsi="Times New Roman" w:cs="Times New Roman"/>
      <w:color w:val="000000"/>
      <w:sz w:val="21"/>
      <w:szCs w:val="21"/>
      <w:u w:val="none"/>
    </w:rPr>
  </w:style>
  <w:style w:type="character" w:customStyle="1" w:styleId="56">
    <w:name w:val="font71"/>
    <w:basedOn w:val="26"/>
    <w:autoRedefine/>
    <w:qFormat/>
    <w:uiPriority w:val="0"/>
    <w:rPr>
      <w:rFonts w:hint="eastAsia" w:ascii="宋体" w:hAnsi="宋体" w:eastAsia="宋体" w:cs="宋体"/>
      <w:color w:val="000000"/>
      <w:sz w:val="21"/>
      <w:szCs w:val="21"/>
      <w:u w:val="none"/>
    </w:rPr>
  </w:style>
  <w:style w:type="character" w:customStyle="1" w:styleId="57">
    <w:name w:val="font01"/>
    <w:basedOn w:val="26"/>
    <w:autoRedefine/>
    <w:qFormat/>
    <w:uiPriority w:val="0"/>
    <w:rPr>
      <w:rFonts w:hint="eastAsia" w:ascii="宋体" w:hAnsi="宋体" w:eastAsia="宋体" w:cs="宋体"/>
      <w:color w:val="000000"/>
      <w:sz w:val="22"/>
      <w:szCs w:val="22"/>
      <w:u w:val="none"/>
    </w:rPr>
  </w:style>
  <w:style w:type="character" w:customStyle="1" w:styleId="58">
    <w:name w:val="font11"/>
    <w:basedOn w:val="26"/>
    <w:autoRedefine/>
    <w:qFormat/>
    <w:uiPriority w:val="0"/>
    <w:rPr>
      <w:rFonts w:hint="eastAsia" w:ascii="宋体" w:hAnsi="宋体" w:eastAsia="宋体" w:cs="宋体"/>
      <w:color w:val="000000"/>
      <w:sz w:val="21"/>
      <w:szCs w:val="21"/>
      <w:u w:val="none"/>
    </w:rPr>
  </w:style>
  <w:style w:type="character" w:customStyle="1" w:styleId="59">
    <w:name w:val="font41"/>
    <w:basedOn w:val="26"/>
    <w:autoRedefine/>
    <w:qFormat/>
    <w:uiPriority w:val="0"/>
    <w:rPr>
      <w:rFonts w:hint="default" w:ascii="Times New Roman" w:hAnsi="Times New Roman" w:cs="Times New Roman"/>
      <w:color w:val="000000"/>
      <w:sz w:val="22"/>
      <w:szCs w:val="22"/>
      <w:u w:val="none"/>
    </w:rPr>
  </w:style>
  <w:style w:type="paragraph" w:customStyle="1" w:styleId="60">
    <w:name w:val="二级标题"/>
    <w:basedOn w:val="1"/>
    <w:next w:val="1"/>
    <w:autoRedefine/>
    <w:qFormat/>
    <w:uiPriority w:val="0"/>
    <w:rPr>
      <w:rFonts w:hint="eastAsia" w:eastAsia="楷体"/>
    </w:rPr>
  </w:style>
  <w:style w:type="paragraph" w:customStyle="1" w:styleId="61">
    <w:name w:val="正文 New"/>
    <w:next w:val="62"/>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2">
    <w:name w:val="正文缩进1"/>
    <w:basedOn w:val="1"/>
    <w:next w:val="9"/>
    <w:autoRedefine/>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3">
    <w:name w:val="Table Paragraph"/>
    <w:basedOn w:val="1"/>
    <w:autoRedefine/>
    <w:qFormat/>
    <w:uiPriority w:val="0"/>
    <w:pPr>
      <w:autoSpaceDE w:val="0"/>
      <w:autoSpaceDN w:val="0"/>
      <w:jc w:val="left"/>
    </w:pPr>
    <w:rPr>
      <w:rFonts w:ascii="宋体" w:hAnsi="宋体" w:cs="宋体"/>
      <w:kern w:val="0"/>
      <w:sz w:val="22"/>
      <w:szCs w:val="22"/>
      <w:lang w:val="zh-CN"/>
    </w:rPr>
  </w:style>
  <w:style w:type="character" w:customStyle="1" w:styleId="64">
    <w:name w:val="标题 2 Char2"/>
    <w:link w:val="3"/>
    <w:autoRedefine/>
    <w:qFormat/>
    <w:uiPriority w:val="0"/>
    <w:rPr>
      <w:rFonts w:ascii="Arial" w:hAnsi="Arial" w:eastAsia="黑体"/>
      <w:b/>
      <w:bCs/>
      <w:kern w:val="2"/>
      <w:sz w:val="21"/>
      <w:szCs w:val="32"/>
      <w:lang w:val="en-US" w:eastAsia="zh-CN" w:bidi="ar-SA"/>
    </w:rPr>
  </w:style>
  <w:style w:type="character" w:customStyle="1" w:styleId="65">
    <w:name w:val="masked-content"/>
    <w:basedOn w:val="26"/>
    <w:autoRedefine/>
    <w:qFormat/>
    <w:uiPriority w:val="0"/>
  </w:style>
  <w:style w:type="character" w:customStyle="1" w:styleId="66">
    <w:name w:val="text"/>
    <w:basedOn w:val="26"/>
    <w:autoRedefine/>
    <w:qFormat/>
    <w:uiPriority w:val="0"/>
    <w:rPr>
      <w:sz w:val="21"/>
      <w:szCs w:val="21"/>
    </w:rPr>
  </w:style>
  <w:style w:type="character" w:customStyle="1" w:styleId="67">
    <w:name w:val="layui-laypage-curr"/>
    <w:basedOn w:val="26"/>
    <w:autoRedefine/>
    <w:qFormat/>
    <w:uiPriority w:val="0"/>
  </w:style>
  <w:style w:type="character" w:customStyle="1" w:styleId="68">
    <w:name w:val="first-child"/>
    <w:basedOn w:val="26"/>
    <w:autoRedefine/>
    <w:qFormat/>
    <w:uiPriority w:val="0"/>
  </w:style>
  <w:style w:type="character" w:customStyle="1" w:styleId="69">
    <w:name w:val="layui-this"/>
    <w:basedOn w:val="26"/>
    <w:autoRedefine/>
    <w:qFormat/>
    <w:uiPriority w:val="0"/>
    <w:rPr>
      <w:bdr w:val="single" w:color="EEEEEE" w:sz="6" w:space="0"/>
      <w:shd w:val="clear" w:fill="FFFFFF"/>
    </w:rPr>
  </w:style>
  <w:style w:type="character" w:customStyle="1" w:styleId="70">
    <w:name w:val="logout"/>
    <w:basedOn w:val="26"/>
    <w:autoRedefine/>
    <w:qFormat/>
    <w:uiPriority w:val="0"/>
    <w:rPr>
      <w:color w:val="4389FF"/>
    </w:rPr>
  </w:style>
  <w:style w:type="character" w:customStyle="1" w:styleId="71">
    <w:name w:val="get_ver_code"/>
    <w:basedOn w:val="26"/>
    <w:autoRedefine/>
    <w:qFormat/>
    <w:uiPriority w:val="0"/>
    <w:rPr>
      <w:color w:val="4389FF"/>
      <w:sz w:val="18"/>
      <w:szCs w:val="18"/>
    </w:rPr>
  </w:style>
  <w:style w:type="character" w:customStyle="1" w:styleId="72">
    <w:name w:val="sent"/>
    <w:basedOn w:val="26"/>
    <w:autoRedefine/>
    <w:qFormat/>
    <w:uiPriority w:val="0"/>
    <w:rPr>
      <w:vanish/>
      <w:color w:val="4389FF"/>
      <w:sz w:val="18"/>
      <w:szCs w:val="18"/>
    </w:rPr>
  </w:style>
  <w:style w:type="paragraph" w:customStyle="1" w:styleId="73">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74">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10648</Words>
  <Characters>11925</Characters>
  <Lines>0</Lines>
  <Paragraphs>0</Paragraphs>
  <TotalTime>2</TotalTime>
  <ScaleCrop>false</ScaleCrop>
  <LinksUpToDate>false</LinksUpToDate>
  <CharactersWithSpaces>12339</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Pim Pom丶</cp:lastModifiedBy>
  <cp:lastPrinted>2023-11-17T10:50:00Z</cp:lastPrinted>
  <dcterms:modified xsi:type="dcterms:W3CDTF">2026-06-01T08:46:10Z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9E14B26F98784E83AD4C63DED4326166_13</vt:lpwstr>
  </property>
  <property fmtid="{D5CDD505-2E9C-101B-9397-08002B2CF9AE}" pid="4" name="KSOTemplateDocerSaveRecord">
    <vt:lpwstr>eyJoZGlkIjoiMDk2MmQyNTdjMmYyM2I4Njk3YjVkOTliYjhhNDZiYTEiLCJ1c2VySWQiOiI0MDkyMjI1MTkifQ==</vt:lpwstr>
  </property>
</Properties>
</file>