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F35809">
      <w:pPr>
        <w:pStyle w:val="19"/>
        <w:ind w:left="0" w:leftChars="0" w:firstLine="0" w:firstLineChars="0"/>
        <w:rPr>
          <w:rFonts w:hint="eastAsia"/>
          <w:color w:val="auto"/>
          <w:highlight w:val="none"/>
        </w:rPr>
      </w:pPr>
      <w:bookmarkStart w:id="0" w:name="_Toc179632527"/>
      <w:bookmarkStart w:id="1" w:name="_Toc144974479"/>
      <w:bookmarkStart w:id="2" w:name="_Toc152042287"/>
      <w:bookmarkStart w:id="3" w:name="_Toc152045511"/>
      <w:bookmarkStart w:id="4" w:name="OLE_LINK1"/>
      <w:bookmarkStart w:id="5" w:name="OLE_LINK2"/>
      <w:bookmarkStart w:id="6" w:name="OLE_LINK4"/>
      <w:bookmarkStart w:id="7" w:name="OLE_LINK3"/>
      <w:bookmarkStart w:id="8" w:name="OLE_LINK5"/>
    </w:p>
    <w:p w14:paraId="050F0212">
      <w:pPr>
        <w:rPr>
          <w:rFonts w:hint="eastAsia"/>
          <w:color w:val="auto"/>
          <w:highlight w:val="none"/>
        </w:rPr>
      </w:pPr>
    </w:p>
    <w:p w14:paraId="1F4F5AE9">
      <w:pPr>
        <w:adjustRightInd w:val="0"/>
        <w:snapToGrid w:val="0"/>
        <w:spacing w:line="360" w:lineRule="auto"/>
        <w:jc w:val="center"/>
        <w:rPr>
          <w:rFonts w:hint="eastAsia" w:ascii="宋体" w:hAnsi="宋体" w:cs="宋体"/>
          <w:b/>
          <w:bCs/>
          <w:color w:val="auto"/>
          <w:sz w:val="72"/>
          <w:szCs w:val="72"/>
          <w:highlight w:val="none"/>
        </w:rPr>
      </w:pPr>
      <w:r>
        <w:rPr>
          <w:rFonts w:hint="eastAsia" w:ascii="宋体" w:hAnsi="宋体" w:cs="宋体"/>
          <w:b/>
          <w:bCs/>
          <w:color w:val="auto"/>
          <w:sz w:val="44"/>
          <w:szCs w:val="44"/>
          <w:highlight w:val="none"/>
          <w:u w:val="none"/>
          <w:lang w:val="en-US" w:eastAsia="zh-CN"/>
        </w:rPr>
        <w:t>隆基乐叶光伏组件厂房改扩建项目一期工程</w:t>
      </w:r>
    </w:p>
    <w:p w14:paraId="60580A37">
      <w:pPr>
        <w:adjustRightInd w:val="0"/>
        <w:snapToGrid w:val="0"/>
        <w:spacing w:line="360" w:lineRule="auto"/>
        <w:jc w:val="center"/>
        <w:rPr>
          <w:rFonts w:hint="eastAsia" w:ascii="宋体" w:hAnsi="宋体" w:cs="宋体"/>
          <w:b/>
          <w:bCs/>
          <w:color w:val="auto"/>
          <w:sz w:val="72"/>
          <w:szCs w:val="72"/>
          <w:highlight w:val="none"/>
        </w:rPr>
      </w:pPr>
      <w:r>
        <w:rPr>
          <w:rFonts w:hint="eastAsia" w:ascii="宋体" w:hAnsi="宋体" w:cs="宋体"/>
          <w:b/>
          <w:bCs/>
          <w:color w:val="auto"/>
          <w:sz w:val="72"/>
          <w:szCs w:val="72"/>
          <w:highlight w:val="none"/>
        </w:rPr>
        <w:t>招 标 文 件</w:t>
      </w:r>
    </w:p>
    <w:p w14:paraId="5135369E">
      <w:pPr>
        <w:adjustRightInd w:val="0"/>
        <w:snapToGrid w:val="0"/>
        <w:spacing w:line="360" w:lineRule="auto"/>
        <w:ind w:firstLine="2550" w:firstLineChars="850"/>
        <w:jc w:val="both"/>
        <w:rPr>
          <w:rFonts w:hint="default" w:ascii="宋体" w:hAnsi="宋体" w:cs="宋体"/>
          <w:color w:val="auto"/>
          <w:spacing w:val="140"/>
          <w:sz w:val="28"/>
          <w:szCs w:val="28"/>
          <w:highlight w:val="none"/>
          <w:lang w:val="en-US"/>
        </w:rPr>
      </w:pPr>
      <w:r>
        <w:rPr>
          <w:rFonts w:hint="eastAsia" w:ascii="宋体" w:hAnsi="宋体" w:cs="宋体"/>
          <w:color w:val="auto"/>
          <w:sz w:val="30"/>
          <w:szCs w:val="30"/>
          <w:highlight w:val="none"/>
        </w:rPr>
        <w:t>招标项目编号：</w:t>
      </w:r>
      <w:r>
        <w:rPr>
          <w:rFonts w:hint="eastAsia" w:ascii="宋体" w:hAnsi="宋体" w:cs="宋体"/>
          <w:color w:val="auto"/>
          <w:sz w:val="30"/>
          <w:szCs w:val="30"/>
          <w:highlight w:val="none"/>
          <w:lang w:val="en-US" w:eastAsia="zh-CN"/>
        </w:rPr>
        <w:t>czsjgc202607-004</w:t>
      </w:r>
    </w:p>
    <w:p w14:paraId="55FF87E5">
      <w:pPr>
        <w:adjustRightInd w:val="0"/>
        <w:snapToGrid w:val="0"/>
        <w:spacing w:line="360" w:lineRule="auto"/>
        <w:ind w:firstLine="4760" w:firstLineChars="850"/>
        <w:rPr>
          <w:rFonts w:hint="eastAsia" w:ascii="宋体" w:hAnsi="宋体" w:cs="宋体"/>
          <w:color w:val="auto"/>
          <w:spacing w:val="140"/>
          <w:sz w:val="28"/>
          <w:szCs w:val="28"/>
          <w:highlight w:val="none"/>
        </w:rPr>
      </w:pPr>
      <w:r>
        <w:rPr>
          <w:rFonts w:hint="eastAsia" w:ascii="宋体" w:hAnsi="宋体" w:cs="宋体"/>
          <w:color w:val="auto"/>
          <w:spacing w:val="140"/>
          <w:sz w:val="28"/>
          <w:szCs w:val="28"/>
          <w:highlight w:val="none"/>
        </w:rPr>
        <w:t xml:space="preserve">     </w:t>
      </w:r>
    </w:p>
    <w:p w14:paraId="463C7BA2">
      <w:pPr>
        <w:jc w:val="center"/>
        <w:rPr>
          <w:rFonts w:hint="eastAsia" w:ascii="宋体" w:hAnsi="宋体" w:cs="宋体"/>
          <w:color w:val="auto"/>
          <w:sz w:val="72"/>
          <w:szCs w:val="72"/>
          <w:highlight w:val="none"/>
        </w:rPr>
      </w:pPr>
    </w:p>
    <w:p w14:paraId="6C1E999A">
      <w:pPr>
        <w:spacing w:line="540" w:lineRule="exact"/>
        <w:ind w:firstLine="437"/>
        <w:jc w:val="right"/>
        <w:rPr>
          <w:rFonts w:hint="eastAsia" w:ascii="宋体" w:hAnsi="宋体" w:cs="宋体"/>
          <w:color w:val="auto"/>
          <w:szCs w:val="21"/>
          <w:highlight w:val="none"/>
        </w:rPr>
      </w:pPr>
    </w:p>
    <w:p w14:paraId="2C109266">
      <w:pPr>
        <w:spacing w:line="540" w:lineRule="exact"/>
        <w:ind w:firstLine="437"/>
        <w:rPr>
          <w:rFonts w:hint="eastAsia" w:ascii="宋体" w:hAnsi="宋体" w:cs="宋体"/>
          <w:color w:val="auto"/>
          <w:szCs w:val="21"/>
          <w:highlight w:val="none"/>
        </w:rPr>
      </w:pPr>
    </w:p>
    <w:p w14:paraId="2A924898">
      <w:pPr>
        <w:spacing w:line="540" w:lineRule="exact"/>
        <w:rPr>
          <w:rFonts w:hint="eastAsia" w:ascii="宋体" w:hAnsi="宋体" w:cs="宋体"/>
          <w:color w:val="auto"/>
          <w:szCs w:val="21"/>
          <w:highlight w:val="none"/>
        </w:rPr>
      </w:pPr>
    </w:p>
    <w:p w14:paraId="53515CDD">
      <w:pPr>
        <w:pStyle w:val="19"/>
        <w:rPr>
          <w:rFonts w:hint="eastAsia"/>
          <w:color w:val="auto"/>
          <w:highlight w:val="none"/>
        </w:rPr>
      </w:pPr>
    </w:p>
    <w:p w14:paraId="51211977">
      <w:pPr>
        <w:rPr>
          <w:rFonts w:hint="eastAsia"/>
          <w:color w:val="auto"/>
          <w:highlight w:val="none"/>
        </w:rPr>
      </w:pPr>
    </w:p>
    <w:p w14:paraId="06FA0141">
      <w:pPr>
        <w:spacing w:line="540" w:lineRule="exact"/>
        <w:rPr>
          <w:rFonts w:hint="eastAsia" w:ascii="宋体" w:hAnsi="宋体" w:cs="宋体"/>
          <w:color w:val="auto"/>
          <w:szCs w:val="21"/>
          <w:highlight w:val="none"/>
        </w:rPr>
      </w:pPr>
    </w:p>
    <w:p w14:paraId="11E126B2">
      <w:pPr>
        <w:pStyle w:val="19"/>
        <w:rPr>
          <w:rFonts w:hint="eastAsia" w:ascii="宋体" w:hAnsi="宋体" w:cs="宋体"/>
          <w:color w:val="auto"/>
          <w:szCs w:val="21"/>
          <w:highlight w:val="none"/>
        </w:rPr>
      </w:pPr>
    </w:p>
    <w:p w14:paraId="5658F748">
      <w:pPr>
        <w:rPr>
          <w:rFonts w:hint="eastAsia"/>
          <w:color w:val="auto"/>
          <w:highlight w:val="none"/>
        </w:rPr>
      </w:pPr>
    </w:p>
    <w:p w14:paraId="5122B687">
      <w:pPr>
        <w:adjustRightInd w:val="0"/>
        <w:snapToGrid w:val="0"/>
        <w:spacing w:line="480" w:lineRule="auto"/>
        <w:ind w:firstLine="437"/>
        <w:rPr>
          <w:rFonts w:hint="eastAsia" w:ascii="宋体" w:hAnsi="宋体" w:cs="宋体"/>
          <w:color w:val="auto"/>
          <w:szCs w:val="21"/>
          <w:highlight w:val="none"/>
        </w:rPr>
      </w:pPr>
    </w:p>
    <w:p w14:paraId="09E8297E">
      <w:pPr>
        <w:adjustRightInd w:val="0"/>
        <w:snapToGrid w:val="0"/>
        <w:spacing w:line="480" w:lineRule="auto"/>
        <w:ind w:firstLine="960" w:firstLineChars="300"/>
        <w:rPr>
          <w:rFonts w:hint="eastAsia" w:ascii="宋体" w:hAnsi="宋体" w:cs="宋体"/>
          <w:color w:val="auto"/>
          <w:sz w:val="32"/>
          <w:szCs w:val="32"/>
          <w:highlight w:val="none"/>
        </w:rPr>
      </w:pPr>
      <w:r>
        <w:rPr>
          <w:rFonts w:hint="eastAsia" w:ascii="宋体" w:hAnsi="宋体" w:cs="宋体"/>
          <w:color w:val="auto"/>
          <w:sz w:val="32"/>
          <w:szCs w:val="32"/>
          <w:highlight w:val="none"/>
        </w:rPr>
        <w:t>招   标   人：</w:t>
      </w:r>
      <w:r>
        <w:rPr>
          <w:rFonts w:hint="eastAsia" w:ascii="宋体" w:hAnsi="宋体" w:cs="宋体"/>
          <w:color w:val="auto"/>
          <w:sz w:val="32"/>
          <w:szCs w:val="32"/>
          <w:highlight w:val="none"/>
          <w:u w:val="single"/>
        </w:rPr>
        <w:t xml:space="preserve">  </w:t>
      </w:r>
      <w:r>
        <w:rPr>
          <w:rFonts w:hint="eastAsia" w:ascii="宋体" w:hAnsi="宋体" w:cs="宋体"/>
          <w:color w:val="auto"/>
          <w:sz w:val="32"/>
          <w:szCs w:val="32"/>
          <w:highlight w:val="none"/>
          <w:u w:val="single"/>
          <w:lang w:val="en-US" w:eastAsia="zh-CN"/>
        </w:rPr>
        <w:t>滁州市同创建设投资有限责任公司</w:t>
      </w:r>
      <w:r>
        <w:rPr>
          <w:rFonts w:hint="eastAsia" w:ascii="宋体" w:hAnsi="宋体" w:cs="宋体"/>
          <w:color w:val="auto"/>
          <w:sz w:val="32"/>
          <w:szCs w:val="32"/>
          <w:highlight w:val="none"/>
          <w:u w:val="single"/>
        </w:rPr>
        <w:t xml:space="preserve">    </w:t>
      </w:r>
      <w:r>
        <w:rPr>
          <w:rFonts w:hint="eastAsia" w:ascii="宋体" w:hAnsi="宋体" w:cs="宋体"/>
          <w:color w:val="auto"/>
          <w:sz w:val="32"/>
          <w:szCs w:val="32"/>
          <w:highlight w:val="none"/>
        </w:rPr>
        <w:t>（盖章）</w:t>
      </w:r>
    </w:p>
    <w:p w14:paraId="1D90FE98">
      <w:pPr>
        <w:adjustRightInd w:val="0"/>
        <w:snapToGrid w:val="0"/>
        <w:spacing w:line="480" w:lineRule="auto"/>
        <w:ind w:firstLine="960" w:firstLineChars="300"/>
        <w:jc w:val="center"/>
        <w:rPr>
          <w:rFonts w:hint="eastAsia" w:ascii="宋体" w:hAnsi="宋体" w:cs="宋体"/>
          <w:color w:val="auto"/>
          <w:sz w:val="32"/>
          <w:szCs w:val="32"/>
          <w:highlight w:val="none"/>
        </w:rPr>
      </w:pPr>
      <w:r>
        <w:rPr>
          <w:rFonts w:hint="eastAsia" w:ascii="宋体" w:hAnsi="宋体" w:eastAsia="宋体" w:cs="宋体"/>
          <w:color w:val="auto"/>
          <w:sz w:val="32"/>
          <w:szCs w:val="32"/>
          <w:highlight w:val="none"/>
          <w:u w:val="none"/>
          <w:lang w:val="en-US" w:eastAsia="zh-CN"/>
        </w:rPr>
        <w:t xml:space="preserve">      </w:t>
      </w:r>
      <w:r>
        <w:rPr>
          <w:rFonts w:hint="eastAsia" w:ascii="宋体" w:hAnsi="宋体" w:eastAsia="宋体" w:cs="宋体"/>
          <w:color w:val="auto"/>
          <w:sz w:val="32"/>
          <w:szCs w:val="32"/>
          <w:highlight w:val="none"/>
          <w:u w:val="single"/>
          <w:lang w:val="en-US" w:eastAsia="zh-CN"/>
        </w:rPr>
        <w:t>（隶属于国家级经济技术开发区的国有企业）</w:t>
      </w:r>
    </w:p>
    <w:p w14:paraId="5204D77C">
      <w:pPr>
        <w:adjustRightInd w:val="0"/>
        <w:snapToGrid w:val="0"/>
        <w:spacing w:line="480" w:lineRule="auto"/>
        <w:ind w:firstLine="960" w:firstLineChars="300"/>
        <w:rPr>
          <w:rFonts w:hint="eastAsia" w:ascii="宋体" w:hAnsi="宋体" w:cs="宋体"/>
          <w:color w:val="auto"/>
          <w:sz w:val="32"/>
          <w:szCs w:val="32"/>
          <w:highlight w:val="none"/>
        </w:rPr>
      </w:pPr>
      <w:r>
        <w:rPr>
          <w:rFonts w:hint="eastAsia" w:ascii="宋体" w:hAnsi="宋体" w:cs="宋体"/>
          <w:color w:val="auto"/>
          <w:sz w:val="32"/>
          <w:szCs w:val="32"/>
          <w:highlight w:val="none"/>
        </w:rPr>
        <w:t>招标代理机构：</w:t>
      </w:r>
      <w:r>
        <w:rPr>
          <w:rFonts w:hint="eastAsia" w:ascii="宋体" w:hAnsi="宋体" w:cs="宋体"/>
          <w:color w:val="auto"/>
          <w:sz w:val="32"/>
          <w:szCs w:val="32"/>
          <w:highlight w:val="none"/>
          <w:u w:val="single"/>
        </w:rPr>
        <w:t xml:space="preserve">  </w:t>
      </w:r>
      <w:r>
        <w:rPr>
          <w:rFonts w:hint="eastAsia" w:ascii="宋体" w:hAnsi="宋体" w:cs="宋体"/>
          <w:color w:val="auto"/>
          <w:sz w:val="32"/>
          <w:szCs w:val="32"/>
          <w:highlight w:val="none"/>
          <w:u w:val="single"/>
          <w:lang w:val="en-US" w:eastAsia="zh-CN"/>
        </w:rPr>
        <w:t>滁州市城投工程咨询管理有限公司</w:t>
      </w:r>
      <w:r>
        <w:rPr>
          <w:rFonts w:hint="eastAsia" w:ascii="宋体" w:hAnsi="宋体" w:cs="宋体"/>
          <w:color w:val="auto"/>
          <w:sz w:val="32"/>
          <w:szCs w:val="32"/>
          <w:highlight w:val="none"/>
          <w:u w:val="single"/>
        </w:rPr>
        <w:t xml:space="preserve"> </w:t>
      </w:r>
      <w:r>
        <w:rPr>
          <w:rFonts w:hint="eastAsia" w:ascii="宋体" w:hAnsi="宋体" w:cs="宋体"/>
          <w:color w:val="auto"/>
          <w:sz w:val="32"/>
          <w:szCs w:val="32"/>
          <w:highlight w:val="none"/>
        </w:rPr>
        <w:t>（盖章）</w:t>
      </w:r>
    </w:p>
    <w:p w14:paraId="0EAC0282">
      <w:pPr>
        <w:pStyle w:val="19"/>
        <w:ind w:left="0" w:leftChars="0" w:firstLine="0" w:firstLineChars="0"/>
        <w:rPr>
          <w:rFonts w:hint="eastAsia"/>
          <w:color w:val="auto"/>
          <w:highlight w:val="none"/>
        </w:rPr>
      </w:pPr>
    </w:p>
    <w:p w14:paraId="543ED3CC">
      <w:pPr>
        <w:jc w:val="center"/>
        <w:rPr>
          <w:rFonts w:hint="eastAsia" w:ascii="宋体" w:hAnsi="宋体" w:cs="宋体"/>
          <w:color w:val="auto"/>
          <w:sz w:val="32"/>
          <w:szCs w:val="32"/>
          <w:highlight w:val="none"/>
        </w:rPr>
      </w:pPr>
      <w:r>
        <w:rPr>
          <w:rFonts w:hint="eastAsia" w:ascii="宋体" w:hAnsi="宋体" w:cs="宋体"/>
          <w:color w:val="auto"/>
          <w:sz w:val="32"/>
          <w:szCs w:val="32"/>
          <w:highlight w:val="none"/>
        </w:rPr>
        <w:t xml:space="preserve">   </w:t>
      </w:r>
      <w:r>
        <w:rPr>
          <w:rFonts w:hint="eastAsia" w:ascii="宋体" w:hAnsi="宋体" w:cs="宋体"/>
          <w:color w:val="auto"/>
          <w:sz w:val="32"/>
          <w:szCs w:val="32"/>
          <w:highlight w:val="none"/>
          <w:u w:val="single"/>
        </w:rPr>
        <w:t xml:space="preserve"> </w:t>
      </w:r>
      <w:r>
        <w:rPr>
          <w:rFonts w:hint="eastAsia" w:ascii="宋体" w:hAnsi="宋体" w:cs="宋体"/>
          <w:color w:val="auto"/>
          <w:sz w:val="32"/>
          <w:szCs w:val="32"/>
          <w:highlight w:val="none"/>
          <w:u w:val="single"/>
          <w:lang w:val="en-US" w:eastAsia="zh-CN"/>
        </w:rPr>
        <w:t>2026</w:t>
      </w:r>
      <w:r>
        <w:rPr>
          <w:rFonts w:hint="eastAsia" w:ascii="宋体" w:hAnsi="宋体" w:cs="宋体"/>
          <w:color w:val="auto"/>
          <w:sz w:val="32"/>
          <w:szCs w:val="32"/>
          <w:highlight w:val="none"/>
          <w:u w:val="single"/>
        </w:rPr>
        <w:t xml:space="preserve"> </w:t>
      </w:r>
      <w:r>
        <w:rPr>
          <w:rFonts w:hint="eastAsia" w:ascii="宋体" w:hAnsi="宋体" w:cs="宋体"/>
          <w:color w:val="auto"/>
          <w:sz w:val="32"/>
          <w:szCs w:val="32"/>
          <w:highlight w:val="none"/>
        </w:rPr>
        <w:t>年</w:t>
      </w:r>
      <w:r>
        <w:rPr>
          <w:rFonts w:hint="eastAsia" w:ascii="宋体" w:hAnsi="宋体" w:cs="宋体"/>
          <w:color w:val="auto"/>
          <w:sz w:val="32"/>
          <w:szCs w:val="32"/>
          <w:highlight w:val="none"/>
          <w:u w:val="single"/>
        </w:rPr>
        <w:t xml:space="preserve"> </w:t>
      </w:r>
      <w:r>
        <w:rPr>
          <w:rFonts w:hint="eastAsia" w:ascii="宋体" w:hAnsi="宋体" w:cs="宋体"/>
          <w:color w:val="auto"/>
          <w:sz w:val="32"/>
          <w:szCs w:val="32"/>
          <w:highlight w:val="none"/>
          <w:u w:val="single"/>
          <w:lang w:val="en-US" w:eastAsia="zh-CN"/>
        </w:rPr>
        <w:t>7</w:t>
      </w:r>
      <w:r>
        <w:rPr>
          <w:rFonts w:hint="eastAsia" w:ascii="宋体" w:hAnsi="宋体" w:cs="宋体"/>
          <w:color w:val="auto"/>
          <w:sz w:val="32"/>
          <w:szCs w:val="32"/>
          <w:highlight w:val="none"/>
          <w:u w:val="single"/>
        </w:rPr>
        <w:t xml:space="preserve"> </w:t>
      </w:r>
      <w:r>
        <w:rPr>
          <w:rFonts w:hint="eastAsia" w:ascii="宋体" w:hAnsi="宋体" w:cs="宋体"/>
          <w:color w:val="auto"/>
          <w:sz w:val="32"/>
          <w:szCs w:val="32"/>
          <w:highlight w:val="none"/>
        </w:rPr>
        <w:t>月</w:t>
      </w:r>
      <w:r>
        <w:rPr>
          <w:rFonts w:hint="eastAsia" w:ascii="宋体" w:hAnsi="宋体" w:cs="宋体"/>
          <w:color w:val="auto"/>
          <w:sz w:val="32"/>
          <w:szCs w:val="32"/>
          <w:highlight w:val="none"/>
          <w:u w:val="single"/>
        </w:rPr>
        <w:t xml:space="preserve"> </w:t>
      </w:r>
      <w:r>
        <w:rPr>
          <w:rFonts w:hint="eastAsia" w:ascii="宋体" w:hAnsi="宋体" w:cs="宋体"/>
          <w:color w:val="auto"/>
          <w:sz w:val="32"/>
          <w:szCs w:val="32"/>
          <w:highlight w:val="none"/>
          <w:u w:val="single"/>
          <w:lang w:val="en-US" w:eastAsia="zh-CN"/>
        </w:rPr>
        <w:t>8</w:t>
      </w:r>
      <w:r>
        <w:rPr>
          <w:rFonts w:hint="eastAsia" w:ascii="宋体" w:hAnsi="宋体" w:cs="宋体"/>
          <w:color w:val="auto"/>
          <w:sz w:val="32"/>
          <w:szCs w:val="32"/>
          <w:highlight w:val="none"/>
          <w:u w:val="single"/>
        </w:rPr>
        <w:t xml:space="preserve"> </w:t>
      </w:r>
      <w:r>
        <w:rPr>
          <w:rFonts w:hint="eastAsia" w:ascii="宋体" w:hAnsi="宋体" w:cs="宋体"/>
          <w:color w:val="auto"/>
          <w:sz w:val="32"/>
          <w:szCs w:val="32"/>
          <w:highlight w:val="none"/>
        </w:rPr>
        <w:t>日</w:t>
      </w:r>
    </w:p>
    <w:p w14:paraId="008FC09E">
      <w:pPr>
        <w:pStyle w:val="19"/>
        <w:rPr>
          <w:rFonts w:hint="eastAsia"/>
          <w:color w:val="auto"/>
          <w:highlight w:val="none"/>
        </w:rPr>
      </w:pPr>
    </w:p>
    <w:p w14:paraId="5783F72A">
      <w:pPr>
        <w:rPr>
          <w:color w:val="auto"/>
          <w:sz w:val="52"/>
          <w:highlight w:val="none"/>
          <w:lang w:val="zh-CN"/>
        </w:rPr>
      </w:pPr>
      <w:r>
        <w:rPr>
          <w:color w:val="auto"/>
          <w:sz w:val="52"/>
          <w:highlight w:val="none"/>
          <w:lang w:val="zh-CN"/>
        </w:rPr>
        <w:br w:type="page"/>
      </w:r>
    </w:p>
    <w:p w14:paraId="65D97FCF">
      <w:pPr>
        <w:pStyle w:val="36"/>
        <w:adjustRightInd w:val="0"/>
        <w:snapToGrid w:val="0"/>
        <w:spacing w:before="0" w:line="240" w:lineRule="auto"/>
        <w:ind w:right="210" w:rightChars="100"/>
        <w:jc w:val="center"/>
        <w:rPr>
          <w:color w:val="auto"/>
          <w:sz w:val="52"/>
          <w:highlight w:val="none"/>
        </w:rPr>
      </w:pPr>
      <w:r>
        <w:rPr>
          <w:color w:val="auto"/>
          <w:sz w:val="52"/>
          <w:highlight w:val="none"/>
          <w:lang w:val="zh-CN"/>
        </w:rPr>
        <w:t>目</w:t>
      </w:r>
      <w:r>
        <w:rPr>
          <w:rFonts w:hint="eastAsia"/>
          <w:color w:val="auto"/>
          <w:sz w:val="52"/>
          <w:highlight w:val="none"/>
          <w:lang w:val="zh-CN"/>
        </w:rPr>
        <w:t xml:space="preserve">  </w:t>
      </w:r>
      <w:r>
        <w:rPr>
          <w:color w:val="auto"/>
          <w:sz w:val="52"/>
          <w:highlight w:val="none"/>
          <w:lang w:val="zh-CN"/>
        </w:rPr>
        <w:t>录</w:t>
      </w:r>
    </w:p>
    <w:p w14:paraId="09AD6086">
      <w:pPr>
        <w:pStyle w:val="16"/>
        <w:tabs>
          <w:tab w:val="right" w:leader="dot" w:pos="10120"/>
        </w:tabs>
        <w:rPr>
          <w:rFonts w:ascii="Calibri" w:hAnsi="Calibri"/>
          <w:b w:val="0"/>
          <w:bCs w:val="0"/>
          <w:caps w:val="0"/>
          <w:color w:val="auto"/>
          <w:sz w:val="32"/>
          <w:szCs w:val="22"/>
          <w:highlight w:val="none"/>
        </w:rPr>
      </w:pPr>
      <w:r>
        <w:rPr>
          <w:color w:val="auto"/>
          <w:highlight w:val="none"/>
        </w:rPr>
        <w:fldChar w:fldCharType="begin"/>
      </w:r>
      <w:r>
        <w:rPr>
          <w:color w:val="auto"/>
          <w:highlight w:val="none"/>
        </w:rPr>
        <w:instrText xml:space="preserve"> TOC \o "1-3" \h \z \u </w:instrText>
      </w:r>
      <w:r>
        <w:rPr>
          <w:color w:val="auto"/>
          <w:highlight w:val="none"/>
        </w:rPr>
        <w:fldChar w:fldCharType="separate"/>
      </w:r>
      <w:r>
        <w:rPr>
          <w:rStyle w:val="30"/>
          <w:color w:val="auto"/>
          <w:sz w:val="28"/>
          <w:highlight w:val="none"/>
        </w:rPr>
        <w:fldChar w:fldCharType="begin"/>
      </w:r>
      <w:r>
        <w:rPr>
          <w:rStyle w:val="30"/>
          <w:color w:val="auto"/>
          <w:sz w:val="28"/>
          <w:highlight w:val="none"/>
        </w:rPr>
        <w:instrText xml:space="preserve"> </w:instrText>
      </w:r>
      <w:r>
        <w:rPr>
          <w:color w:val="auto"/>
          <w:sz w:val="28"/>
          <w:highlight w:val="none"/>
        </w:rPr>
        <w:instrText xml:space="preserve">HYPERLINK \l "_Toc95223332"</w:instrText>
      </w:r>
      <w:r>
        <w:rPr>
          <w:rStyle w:val="30"/>
          <w:color w:val="auto"/>
          <w:sz w:val="28"/>
          <w:highlight w:val="none"/>
        </w:rPr>
        <w:instrText xml:space="preserve"> </w:instrText>
      </w:r>
      <w:r>
        <w:rPr>
          <w:rStyle w:val="30"/>
          <w:color w:val="auto"/>
          <w:sz w:val="28"/>
          <w:highlight w:val="none"/>
        </w:rPr>
        <w:fldChar w:fldCharType="separate"/>
      </w:r>
      <w:r>
        <w:rPr>
          <w:rStyle w:val="30"/>
          <w:rFonts w:hint="eastAsia"/>
          <w:color w:val="auto"/>
          <w:sz w:val="28"/>
          <w:highlight w:val="none"/>
        </w:rPr>
        <w:t>第一章</w:t>
      </w:r>
      <w:r>
        <w:rPr>
          <w:rStyle w:val="30"/>
          <w:color w:val="auto"/>
          <w:sz w:val="28"/>
          <w:highlight w:val="none"/>
        </w:rPr>
        <w:t xml:space="preserve">  </w:t>
      </w:r>
      <w:r>
        <w:rPr>
          <w:rStyle w:val="30"/>
          <w:rFonts w:hint="eastAsia"/>
          <w:color w:val="auto"/>
          <w:sz w:val="28"/>
          <w:highlight w:val="none"/>
        </w:rPr>
        <w:t>招标公告</w:t>
      </w:r>
      <w:r>
        <w:rPr>
          <w:color w:val="auto"/>
          <w:sz w:val="28"/>
          <w:highlight w:val="none"/>
        </w:rPr>
        <w:tab/>
      </w:r>
      <w:r>
        <w:rPr>
          <w:color w:val="auto"/>
          <w:sz w:val="28"/>
          <w:highlight w:val="none"/>
        </w:rPr>
        <w:fldChar w:fldCharType="begin"/>
      </w:r>
      <w:r>
        <w:rPr>
          <w:color w:val="auto"/>
          <w:sz w:val="28"/>
          <w:highlight w:val="none"/>
        </w:rPr>
        <w:instrText xml:space="preserve"> PAGEREF _Toc95223332 \h </w:instrText>
      </w:r>
      <w:r>
        <w:rPr>
          <w:color w:val="auto"/>
          <w:sz w:val="28"/>
          <w:highlight w:val="none"/>
        </w:rPr>
        <w:fldChar w:fldCharType="separate"/>
      </w:r>
      <w:r>
        <w:rPr>
          <w:color w:val="auto"/>
          <w:sz w:val="28"/>
          <w:highlight w:val="none"/>
        </w:rPr>
        <w:t>1</w:t>
      </w:r>
      <w:r>
        <w:rPr>
          <w:color w:val="auto"/>
          <w:sz w:val="28"/>
          <w:highlight w:val="none"/>
        </w:rPr>
        <w:fldChar w:fldCharType="end"/>
      </w:r>
      <w:r>
        <w:rPr>
          <w:rStyle w:val="30"/>
          <w:color w:val="auto"/>
          <w:sz w:val="28"/>
          <w:highlight w:val="none"/>
        </w:rPr>
        <w:fldChar w:fldCharType="end"/>
      </w:r>
    </w:p>
    <w:p w14:paraId="300B6861">
      <w:pPr>
        <w:pStyle w:val="16"/>
        <w:tabs>
          <w:tab w:val="right" w:leader="dot" w:pos="10120"/>
        </w:tabs>
        <w:rPr>
          <w:rFonts w:hint="eastAsia" w:ascii="Calibri" w:hAnsi="Calibri" w:eastAsia="宋体"/>
          <w:b w:val="0"/>
          <w:bCs w:val="0"/>
          <w:caps w:val="0"/>
          <w:color w:val="auto"/>
          <w:sz w:val="32"/>
          <w:szCs w:val="22"/>
          <w:highlight w:val="none"/>
          <w:lang w:val="en-US" w:eastAsia="zh-CN"/>
        </w:rPr>
      </w:pPr>
      <w:r>
        <w:rPr>
          <w:rStyle w:val="30"/>
          <w:color w:val="auto"/>
          <w:sz w:val="28"/>
          <w:highlight w:val="none"/>
        </w:rPr>
        <w:fldChar w:fldCharType="begin"/>
      </w:r>
      <w:r>
        <w:rPr>
          <w:rStyle w:val="30"/>
          <w:color w:val="auto"/>
          <w:sz w:val="28"/>
          <w:highlight w:val="none"/>
        </w:rPr>
        <w:instrText xml:space="preserve"> </w:instrText>
      </w:r>
      <w:r>
        <w:rPr>
          <w:color w:val="auto"/>
          <w:sz w:val="28"/>
          <w:highlight w:val="none"/>
        </w:rPr>
        <w:instrText xml:space="preserve">HYPERLINK \l "_Toc95223333"</w:instrText>
      </w:r>
      <w:r>
        <w:rPr>
          <w:rStyle w:val="30"/>
          <w:color w:val="auto"/>
          <w:sz w:val="28"/>
          <w:highlight w:val="none"/>
        </w:rPr>
        <w:instrText xml:space="preserve"> </w:instrText>
      </w:r>
      <w:r>
        <w:rPr>
          <w:rStyle w:val="30"/>
          <w:color w:val="auto"/>
          <w:sz w:val="28"/>
          <w:highlight w:val="none"/>
        </w:rPr>
        <w:fldChar w:fldCharType="separate"/>
      </w:r>
      <w:r>
        <w:rPr>
          <w:rStyle w:val="30"/>
          <w:rFonts w:hint="eastAsia"/>
          <w:color w:val="auto"/>
          <w:sz w:val="28"/>
          <w:highlight w:val="none"/>
        </w:rPr>
        <w:t>第二章</w:t>
      </w:r>
      <w:r>
        <w:rPr>
          <w:rStyle w:val="30"/>
          <w:color w:val="auto"/>
          <w:sz w:val="28"/>
          <w:highlight w:val="none"/>
        </w:rPr>
        <w:t xml:space="preserve"> </w:t>
      </w:r>
      <w:r>
        <w:rPr>
          <w:rStyle w:val="30"/>
          <w:rFonts w:hint="eastAsia"/>
          <w:color w:val="auto"/>
          <w:sz w:val="28"/>
          <w:highlight w:val="none"/>
        </w:rPr>
        <w:t>投标人须知</w:t>
      </w:r>
      <w:r>
        <w:rPr>
          <w:color w:val="auto"/>
          <w:sz w:val="28"/>
          <w:highlight w:val="none"/>
        </w:rPr>
        <w:tab/>
      </w:r>
      <w:r>
        <w:rPr>
          <w:rFonts w:hint="eastAsia"/>
          <w:color w:val="auto"/>
          <w:sz w:val="28"/>
          <w:highlight w:val="none"/>
          <w:lang w:val="en-US" w:eastAsia="zh-CN"/>
        </w:rPr>
        <w:t>1</w:t>
      </w:r>
      <w:r>
        <w:rPr>
          <w:rStyle w:val="30"/>
          <w:color w:val="auto"/>
          <w:sz w:val="28"/>
          <w:highlight w:val="none"/>
        </w:rPr>
        <w:fldChar w:fldCharType="end"/>
      </w:r>
      <w:r>
        <w:rPr>
          <w:rStyle w:val="30"/>
          <w:rFonts w:hint="eastAsia"/>
          <w:color w:val="auto"/>
          <w:sz w:val="28"/>
          <w:highlight w:val="none"/>
          <w:lang w:val="en-US" w:eastAsia="zh-CN"/>
        </w:rPr>
        <w:t>1</w:t>
      </w:r>
    </w:p>
    <w:p w14:paraId="086EA147">
      <w:pPr>
        <w:pStyle w:val="16"/>
        <w:tabs>
          <w:tab w:val="right" w:leader="dot" w:pos="10120"/>
        </w:tabs>
        <w:rPr>
          <w:rFonts w:ascii="Calibri" w:hAnsi="Calibri"/>
          <w:b w:val="0"/>
          <w:bCs w:val="0"/>
          <w:caps w:val="0"/>
          <w:color w:val="auto"/>
          <w:sz w:val="32"/>
          <w:szCs w:val="22"/>
          <w:highlight w:val="none"/>
        </w:rPr>
      </w:pPr>
      <w:r>
        <w:rPr>
          <w:rStyle w:val="30"/>
          <w:color w:val="auto"/>
          <w:sz w:val="28"/>
          <w:highlight w:val="none"/>
        </w:rPr>
        <w:fldChar w:fldCharType="begin"/>
      </w:r>
      <w:r>
        <w:rPr>
          <w:rStyle w:val="30"/>
          <w:color w:val="auto"/>
          <w:sz w:val="28"/>
          <w:highlight w:val="none"/>
        </w:rPr>
        <w:instrText xml:space="preserve"> </w:instrText>
      </w:r>
      <w:r>
        <w:rPr>
          <w:color w:val="auto"/>
          <w:sz w:val="28"/>
          <w:highlight w:val="none"/>
        </w:rPr>
        <w:instrText xml:space="preserve">HYPERLINK \l "_Toc95223391"</w:instrText>
      </w:r>
      <w:r>
        <w:rPr>
          <w:rStyle w:val="30"/>
          <w:color w:val="auto"/>
          <w:sz w:val="28"/>
          <w:highlight w:val="none"/>
        </w:rPr>
        <w:instrText xml:space="preserve"> </w:instrText>
      </w:r>
      <w:r>
        <w:rPr>
          <w:rStyle w:val="30"/>
          <w:color w:val="auto"/>
          <w:sz w:val="28"/>
          <w:highlight w:val="none"/>
        </w:rPr>
        <w:fldChar w:fldCharType="separate"/>
      </w:r>
      <w:r>
        <w:rPr>
          <w:rStyle w:val="30"/>
          <w:rFonts w:hint="eastAsia"/>
          <w:color w:val="auto"/>
          <w:sz w:val="28"/>
          <w:highlight w:val="none"/>
        </w:rPr>
        <w:t>第三章</w:t>
      </w:r>
      <w:r>
        <w:rPr>
          <w:rStyle w:val="30"/>
          <w:color w:val="auto"/>
          <w:sz w:val="28"/>
          <w:highlight w:val="none"/>
        </w:rPr>
        <w:t xml:space="preserve"> </w:t>
      </w:r>
      <w:r>
        <w:rPr>
          <w:rStyle w:val="30"/>
          <w:rFonts w:hint="eastAsia"/>
          <w:color w:val="auto"/>
          <w:sz w:val="28"/>
          <w:highlight w:val="none"/>
        </w:rPr>
        <w:t>资格审查办法</w:t>
      </w:r>
      <w:r>
        <w:rPr>
          <w:color w:val="auto"/>
          <w:sz w:val="28"/>
          <w:highlight w:val="none"/>
        </w:rPr>
        <w:tab/>
      </w:r>
      <w:r>
        <w:rPr>
          <w:rFonts w:hint="eastAsia"/>
          <w:color w:val="auto"/>
          <w:sz w:val="28"/>
          <w:highlight w:val="none"/>
          <w:lang w:val="en-US" w:eastAsia="zh-CN"/>
        </w:rPr>
        <w:t xml:space="preserve">50 </w:t>
      </w:r>
      <w:r>
        <w:rPr>
          <w:rStyle w:val="30"/>
          <w:color w:val="auto"/>
          <w:sz w:val="28"/>
          <w:highlight w:val="none"/>
        </w:rPr>
        <w:fldChar w:fldCharType="end"/>
      </w:r>
    </w:p>
    <w:p w14:paraId="54AFF59A">
      <w:pPr>
        <w:pStyle w:val="16"/>
        <w:tabs>
          <w:tab w:val="right" w:leader="dot" w:pos="10120"/>
        </w:tabs>
        <w:rPr>
          <w:rFonts w:hint="eastAsia" w:ascii="Calibri" w:hAnsi="Calibri" w:eastAsia="宋体"/>
          <w:b w:val="0"/>
          <w:bCs w:val="0"/>
          <w:caps w:val="0"/>
          <w:color w:val="auto"/>
          <w:sz w:val="32"/>
          <w:szCs w:val="22"/>
          <w:highlight w:val="none"/>
          <w:lang w:val="en-US" w:eastAsia="zh-CN"/>
        </w:rPr>
      </w:pPr>
      <w:r>
        <w:rPr>
          <w:rStyle w:val="30"/>
          <w:color w:val="auto"/>
          <w:sz w:val="28"/>
          <w:highlight w:val="none"/>
        </w:rPr>
        <w:fldChar w:fldCharType="begin"/>
      </w:r>
      <w:r>
        <w:rPr>
          <w:rStyle w:val="30"/>
          <w:color w:val="auto"/>
          <w:sz w:val="28"/>
          <w:highlight w:val="none"/>
        </w:rPr>
        <w:instrText xml:space="preserve"> </w:instrText>
      </w:r>
      <w:r>
        <w:rPr>
          <w:color w:val="auto"/>
          <w:sz w:val="28"/>
          <w:highlight w:val="none"/>
        </w:rPr>
        <w:instrText xml:space="preserve">HYPERLINK \l "_Toc95223428"</w:instrText>
      </w:r>
      <w:r>
        <w:rPr>
          <w:rStyle w:val="30"/>
          <w:color w:val="auto"/>
          <w:sz w:val="28"/>
          <w:highlight w:val="none"/>
        </w:rPr>
        <w:instrText xml:space="preserve"> </w:instrText>
      </w:r>
      <w:r>
        <w:rPr>
          <w:rStyle w:val="30"/>
          <w:color w:val="auto"/>
          <w:sz w:val="28"/>
          <w:highlight w:val="none"/>
        </w:rPr>
        <w:fldChar w:fldCharType="separate"/>
      </w:r>
      <w:r>
        <w:rPr>
          <w:rStyle w:val="30"/>
          <w:rFonts w:hint="eastAsia"/>
          <w:color w:val="auto"/>
          <w:sz w:val="28"/>
          <w:highlight w:val="none"/>
        </w:rPr>
        <w:t>第四章 评标办法（</w:t>
      </w:r>
      <w:r>
        <w:rPr>
          <w:rStyle w:val="30"/>
          <w:rFonts w:hint="eastAsia"/>
          <w:color w:val="auto"/>
          <w:sz w:val="28"/>
          <w:highlight w:val="none"/>
          <w:lang w:val="en-US" w:eastAsia="zh-CN"/>
        </w:rPr>
        <w:t>综合评估法-评定分离</w:t>
      </w:r>
      <w:r>
        <w:rPr>
          <w:rStyle w:val="30"/>
          <w:rFonts w:hint="eastAsia"/>
          <w:color w:val="auto"/>
          <w:sz w:val="28"/>
          <w:highlight w:val="none"/>
        </w:rPr>
        <w:t>）</w:t>
      </w:r>
      <w:r>
        <w:rPr>
          <w:color w:val="auto"/>
          <w:sz w:val="28"/>
          <w:highlight w:val="none"/>
        </w:rPr>
        <w:tab/>
      </w:r>
      <w:r>
        <w:rPr>
          <w:rFonts w:hint="eastAsia"/>
          <w:color w:val="auto"/>
          <w:sz w:val="28"/>
          <w:highlight w:val="none"/>
          <w:lang w:val="en-US" w:eastAsia="zh-CN"/>
        </w:rPr>
        <w:t>5</w:t>
      </w:r>
      <w:r>
        <w:rPr>
          <w:rStyle w:val="30"/>
          <w:color w:val="auto"/>
          <w:sz w:val="28"/>
          <w:highlight w:val="none"/>
        </w:rPr>
        <w:fldChar w:fldCharType="end"/>
      </w:r>
      <w:r>
        <w:rPr>
          <w:rStyle w:val="30"/>
          <w:rFonts w:hint="eastAsia"/>
          <w:color w:val="auto"/>
          <w:sz w:val="28"/>
          <w:highlight w:val="none"/>
          <w:lang w:val="en-US" w:eastAsia="zh-CN"/>
        </w:rPr>
        <w:t>4</w:t>
      </w:r>
    </w:p>
    <w:p w14:paraId="0DDA44EC">
      <w:pPr>
        <w:pStyle w:val="16"/>
        <w:tabs>
          <w:tab w:val="right" w:leader="dot" w:pos="10120"/>
        </w:tabs>
        <w:rPr>
          <w:rFonts w:hint="eastAsia" w:ascii="Calibri" w:hAnsi="Calibri" w:eastAsia="宋体"/>
          <w:b w:val="0"/>
          <w:bCs w:val="0"/>
          <w:caps w:val="0"/>
          <w:color w:val="auto"/>
          <w:sz w:val="32"/>
          <w:szCs w:val="22"/>
          <w:highlight w:val="none"/>
          <w:lang w:val="en-US" w:eastAsia="zh-CN"/>
        </w:rPr>
      </w:pPr>
      <w:r>
        <w:rPr>
          <w:rStyle w:val="30"/>
          <w:color w:val="auto"/>
          <w:sz w:val="28"/>
          <w:highlight w:val="none"/>
        </w:rPr>
        <w:fldChar w:fldCharType="begin"/>
      </w:r>
      <w:r>
        <w:rPr>
          <w:rStyle w:val="30"/>
          <w:color w:val="auto"/>
          <w:sz w:val="28"/>
          <w:highlight w:val="none"/>
        </w:rPr>
        <w:instrText xml:space="preserve"> </w:instrText>
      </w:r>
      <w:r>
        <w:rPr>
          <w:color w:val="auto"/>
          <w:sz w:val="28"/>
          <w:highlight w:val="none"/>
        </w:rPr>
        <w:instrText xml:space="preserve">HYPERLINK \l "_Toc95223458"</w:instrText>
      </w:r>
      <w:r>
        <w:rPr>
          <w:rStyle w:val="30"/>
          <w:color w:val="auto"/>
          <w:sz w:val="28"/>
          <w:highlight w:val="none"/>
        </w:rPr>
        <w:instrText xml:space="preserve"> </w:instrText>
      </w:r>
      <w:r>
        <w:rPr>
          <w:rStyle w:val="30"/>
          <w:color w:val="auto"/>
          <w:sz w:val="28"/>
          <w:highlight w:val="none"/>
        </w:rPr>
        <w:fldChar w:fldCharType="separate"/>
      </w:r>
      <w:r>
        <w:rPr>
          <w:rStyle w:val="30"/>
          <w:rFonts w:hint="eastAsia"/>
          <w:color w:val="auto"/>
          <w:sz w:val="28"/>
          <w:highlight w:val="none"/>
        </w:rPr>
        <w:t>第五章</w:t>
      </w:r>
      <w:r>
        <w:rPr>
          <w:rStyle w:val="30"/>
          <w:color w:val="auto"/>
          <w:sz w:val="28"/>
          <w:highlight w:val="none"/>
        </w:rPr>
        <w:t xml:space="preserve"> </w:t>
      </w:r>
      <w:r>
        <w:rPr>
          <w:rStyle w:val="30"/>
          <w:rFonts w:hint="eastAsia"/>
          <w:color w:val="auto"/>
          <w:sz w:val="28"/>
          <w:highlight w:val="none"/>
        </w:rPr>
        <w:t>合同条款及格式</w:t>
      </w:r>
      <w:r>
        <w:rPr>
          <w:color w:val="auto"/>
          <w:sz w:val="28"/>
          <w:highlight w:val="none"/>
        </w:rPr>
        <w:tab/>
      </w:r>
      <w:r>
        <w:rPr>
          <w:rFonts w:hint="eastAsia"/>
          <w:color w:val="auto"/>
          <w:sz w:val="28"/>
          <w:highlight w:val="none"/>
          <w:lang w:val="en-US" w:eastAsia="zh-CN"/>
        </w:rPr>
        <w:t>6</w:t>
      </w:r>
      <w:r>
        <w:rPr>
          <w:rStyle w:val="30"/>
          <w:color w:val="auto"/>
          <w:sz w:val="28"/>
          <w:highlight w:val="none"/>
        </w:rPr>
        <w:fldChar w:fldCharType="end"/>
      </w:r>
      <w:r>
        <w:rPr>
          <w:rStyle w:val="30"/>
          <w:rFonts w:hint="eastAsia"/>
          <w:color w:val="auto"/>
          <w:sz w:val="28"/>
          <w:highlight w:val="none"/>
          <w:lang w:val="en-US" w:eastAsia="zh-CN"/>
        </w:rPr>
        <w:t>9</w:t>
      </w:r>
    </w:p>
    <w:p w14:paraId="32E2092A">
      <w:pPr>
        <w:pStyle w:val="16"/>
        <w:tabs>
          <w:tab w:val="right" w:leader="dot" w:pos="10120"/>
        </w:tabs>
        <w:rPr>
          <w:rFonts w:hint="default" w:ascii="Calibri" w:hAnsi="Calibri" w:eastAsia="宋体"/>
          <w:b w:val="0"/>
          <w:bCs w:val="0"/>
          <w:caps w:val="0"/>
          <w:color w:val="auto"/>
          <w:sz w:val="32"/>
          <w:szCs w:val="22"/>
          <w:highlight w:val="none"/>
          <w:lang w:val="en-US" w:eastAsia="zh-CN"/>
        </w:rPr>
      </w:pPr>
      <w:r>
        <w:rPr>
          <w:rStyle w:val="30"/>
          <w:color w:val="auto"/>
          <w:sz w:val="28"/>
          <w:highlight w:val="none"/>
        </w:rPr>
        <w:fldChar w:fldCharType="begin"/>
      </w:r>
      <w:r>
        <w:rPr>
          <w:rStyle w:val="30"/>
          <w:color w:val="auto"/>
          <w:sz w:val="28"/>
          <w:highlight w:val="none"/>
        </w:rPr>
        <w:instrText xml:space="preserve"> </w:instrText>
      </w:r>
      <w:r>
        <w:rPr>
          <w:color w:val="auto"/>
          <w:sz w:val="28"/>
          <w:highlight w:val="none"/>
        </w:rPr>
        <w:instrText xml:space="preserve">HYPERLINK \l "_Toc95223515"</w:instrText>
      </w:r>
      <w:r>
        <w:rPr>
          <w:rStyle w:val="30"/>
          <w:color w:val="auto"/>
          <w:sz w:val="28"/>
          <w:highlight w:val="none"/>
        </w:rPr>
        <w:instrText xml:space="preserve"> </w:instrText>
      </w:r>
      <w:r>
        <w:rPr>
          <w:rStyle w:val="30"/>
          <w:color w:val="auto"/>
          <w:sz w:val="28"/>
          <w:highlight w:val="none"/>
        </w:rPr>
        <w:fldChar w:fldCharType="separate"/>
      </w:r>
      <w:r>
        <w:rPr>
          <w:rStyle w:val="30"/>
          <w:rFonts w:hint="eastAsia" w:ascii="宋体" w:hAnsi="宋体" w:cs="宋体"/>
          <w:color w:val="auto"/>
          <w:kern w:val="44"/>
          <w:sz w:val="28"/>
          <w:highlight w:val="none"/>
        </w:rPr>
        <w:t>第六章 工程量清单</w:t>
      </w:r>
      <w:r>
        <w:rPr>
          <w:color w:val="auto"/>
          <w:sz w:val="28"/>
          <w:highlight w:val="none"/>
        </w:rPr>
        <w:tab/>
      </w:r>
      <w:r>
        <w:rPr>
          <w:rFonts w:hint="eastAsia"/>
          <w:color w:val="auto"/>
          <w:sz w:val="28"/>
          <w:highlight w:val="none"/>
          <w:lang w:val="en-US" w:eastAsia="zh-CN"/>
        </w:rPr>
        <w:t>1</w:t>
      </w:r>
      <w:r>
        <w:rPr>
          <w:rStyle w:val="30"/>
          <w:color w:val="auto"/>
          <w:sz w:val="28"/>
          <w:highlight w:val="none"/>
        </w:rPr>
        <w:fldChar w:fldCharType="end"/>
      </w:r>
      <w:r>
        <w:rPr>
          <w:rStyle w:val="30"/>
          <w:rFonts w:hint="eastAsia"/>
          <w:color w:val="auto"/>
          <w:sz w:val="28"/>
          <w:highlight w:val="none"/>
          <w:lang w:val="en-US" w:eastAsia="zh-CN"/>
        </w:rPr>
        <w:t>23</w:t>
      </w:r>
    </w:p>
    <w:p w14:paraId="413BA21A">
      <w:pPr>
        <w:pStyle w:val="16"/>
        <w:tabs>
          <w:tab w:val="right" w:leader="dot" w:pos="10120"/>
        </w:tabs>
        <w:rPr>
          <w:rFonts w:hint="default" w:ascii="Calibri" w:hAnsi="Calibri" w:eastAsia="宋体"/>
          <w:b w:val="0"/>
          <w:bCs w:val="0"/>
          <w:caps w:val="0"/>
          <w:color w:val="auto"/>
          <w:sz w:val="32"/>
          <w:szCs w:val="22"/>
          <w:highlight w:val="none"/>
          <w:lang w:val="en-US" w:eastAsia="zh-CN"/>
        </w:rPr>
      </w:pPr>
      <w:r>
        <w:rPr>
          <w:rStyle w:val="30"/>
          <w:color w:val="auto"/>
          <w:sz w:val="28"/>
          <w:highlight w:val="none"/>
        </w:rPr>
        <w:fldChar w:fldCharType="begin"/>
      </w:r>
      <w:r>
        <w:rPr>
          <w:rStyle w:val="30"/>
          <w:color w:val="auto"/>
          <w:sz w:val="28"/>
          <w:highlight w:val="none"/>
        </w:rPr>
        <w:instrText xml:space="preserve"> </w:instrText>
      </w:r>
      <w:r>
        <w:rPr>
          <w:color w:val="auto"/>
          <w:sz w:val="28"/>
          <w:highlight w:val="none"/>
        </w:rPr>
        <w:instrText xml:space="preserve">HYPERLINK \l "_Toc95223522"</w:instrText>
      </w:r>
      <w:r>
        <w:rPr>
          <w:rStyle w:val="30"/>
          <w:color w:val="auto"/>
          <w:sz w:val="28"/>
          <w:highlight w:val="none"/>
        </w:rPr>
        <w:instrText xml:space="preserve"> </w:instrText>
      </w:r>
      <w:r>
        <w:rPr>
          <w:rStyle w:val="30"/>
          <w:color w:val="auto"/>
          <w:sz w:val="28"/>
          <w:highlight w:val="none"/>
        </w:rPr>
        <w:fldChar w:fldCharType="separate"/>
      </w:r>
      <w:r>
        <w:rPr>
          <w:rStyle w:val="30"/>
          <w:rFonts w:hint="eastAsia" w:ascii="宋体" w:hAnsi="宋体" w:cs="宋体"/>
          <w:color w:val="auto"/>
          <w:kern w:val="44"/>
          <w:sz w:val="28"/>
          <w:highlight w:val="none"/>
        </w:rPr>
        <w:t>第七章</w:t>
      </w:r>
      <w:r>
        <w:rPr>
          <w:rStyle w:val="30"/>
          <w:rFonts w:ascii="宋体" w:hAnsi="宋体" w:cs="宋体"/>
          <w:color w:val="auto"/>
          <w:kern w:val="44"/>
          <w:sz w:val="28"/>
          <w:highlight w:val="none"/>
        </w:rPr>
        <w:t xml:space="preserve"> </w:t>
      </w:r>
      <w:r>
        <w:rPr>
          <w:rStyle w:val="30"/>
          <w:rFonts w:hint="eastAsia" w:ascii="宋体" w:hAnsi="宋体" w:cs="宋体"/>
          <w:color w:val="auto"/>
          <w:kern w:val="44"/>
          <w:sz w:val="28"/>
          <w:highlight w:val="none"/>
        </w:rPr>
        <w:t>图</w:t>
      </w:r>
      <w:r>
        <w:rPr>
          <w:rStyle w:val="30"/>
          <w:rFonts w:ascii="宋体" w:hAnsi="宋体" w:cs="宋体"/>
          <w:color w:val="auto"/>
          <w:kern w:val="44"/>
          <w:sz w:val="28"/>
          <w:highlight w:val="none"/>
        </w:rPr>
        <w:t xml:space="preserve">  </w:t>
      </w:r>
      <w:r>
        <w:rPr>
          <w:rStyle w:val="30"/>
          <w:rFonts w:hint="eastAsia" w:ascii="宋体" w:hAnsi="宋体" w:cs="宋体"/>
          <w:color w:val="auto"/>
          <w:kern w:val="44"/>
          <w:sz w:val="28"/>
          <w:highlight w:val="none"/>
        </w:rPr>
        <w:t>纸</w:t>
      </w:r>
      <w:r>
        <w:rPr>
          <w:color w:val="auto"/>
          <w:sz w:val="28"/>
          <w:highlight w:val="none"/>
        </w:rPr>
        <w:tab/>
      </w:r>
      <w:r>
        <w:rPr>
          <w:rFonts w:hint="eastAsia"/>
          <w:color w:val="auto"/>
          <w:sz w:val="28"/>
          <w:highlight w:val="none"/>
          <w:lang w:val="en-US" w:eastAsia="zh-CN"/>
        </w:rPr>
        <w:t>1</w:t>
      </w:r>
      <w:r>
        <w:rPr>
          <w:rStyle w:val="30"/>
          <w:color w:val="auto"/>
          <w:sz w:val="28"/>
          <w:highlight w:val="none"/>
        </w:rPr>
        <w:fldChar w:fldCharType="end"/>
      </w:r>
      <w:r>
        <w:rPr>
          <w:rStyle w:val="30"/>
          <w:rFonts w:hint="eastAsia"/>
          <w:color w:val="auto"/>
          <w:sz w:val="28"/>
          <w:highlight w:val="none"/>
          <w:lang w:val="en-US" w:eastAsia="zh-CN"/>
        </w:rPr>
        <w:t>27</w:t>
      </w:r>
    </w:p>
    <w:p w14:paraId="45EE4135">
      <w:pPr>
        <w:pStyle w:val="16"/>
        <w:tabs>
          <w:tab w:val="right" w:leader="dot" w:pos="10120"/>
        </w:tabs>
        <w:rPr>
          <w:rFonts w:hint="default" w:ascii="Calibri" w:hAnsi="Calibri" w:eastAsia="宋体"/>
          <w:b w:val="0"/>
          <w:bCs w:val="0"/>
          <w:caps w:val="0"/>
          <w:color w:val="auto"/>
          <w:sz w:val="32"/>
          <w:szCs w:val="22"/>
          <w:highlight w:val="none"/>
          <w:lang w:val="en-US" w:eastAsia="zh-CN"/>
        </w:rPr>
      </w:pPr>
      <w:r>
        <w:rPr>
          <w:rStyle w:val="30"/>
          <w:color w:val="auto"/>
          <w:sz w:val="28"/>
          <w:highlight w:val="none"/>
        </w:rPr>
        <w:fldChar w:fldCharType="begin"/>
      </w:r>
      <w:r>
        <w:rPr>
          <w:rStyle w:val="30"/>
          <w:color w:val="auto"/>
          <w:sz w:val="28"/>
          <w:highlight w:val="none"/>
        </w:rPr>
        <w:instrText xml:space="preserve"> </w:instrText>
      </w:r>
      <w:r>
        <w:rPr>
          <w:color w:val="auto"/>
          <w:sz w:val="28"/>
          <w:highlight w:val="none"/>
        </w:rPr>
        <w:instrText xml:space="preserve">HYPERLINK \l "_Toc95223525"</w:instrText>
      </w:r>
      <w:r>
        <w:rPr>
          <w:rStyle w:val="30"/>
          <w:color w:val="auto"/>
          <w:sz w:val="28"/>
          <w:highlight w:val="none"/>
        </w:rPr>
        <w:instrText xml:space="preserve"> </w:instrText>
      </w:r>
      <w:r>
        <w:rPr>
          <w:rStyle w:val="30"/>
          <w:color w:val="auto"/>
          <w:sz w:val="28"/>
          <w:highlight w:val="none"/>
        </w:rPr>
        <w:fldChar w:fldCharType="separate"/>
      </w:r>
      <w:r>
        <w:rPr>
          <w:rStyle w:val="30"/>
          <w:rFonts w:hint="eastAsia" w:ascii="宋体" w:hAnsi="宋体" w:cs="宋体"/>
          <w:color w:val="auto"/>
          <w:kern w:val="44"/>
          <w:sz w:val="28"/>
          <w:highlight w:val="none"/>
        </w:rPr>
        <w:t>第八章 技术标准和要求</w:t>
      </w:r>
      <w:r>
        <w:rPr>
          <w:color w:val="auto"/>
          <w:sz w:val="28"/>
          <w:highlight w:val="none"/>
        </w:rPr>
        <w:tab/>
      </w:r>
      <w:r>
        <w:rPr>
          <w:rFonts w:hint="eastAsia"/>
          <w:color w:val="auto"/>
          <w:sz w:val="28"/>
          <w:highlight w:val="none"/>
          <w:lang w:val="en-US" w:eastAsia="zh-CN"/>
        </w:rPr>
        <w:t>1</w:t>
      </w:r>
      <w:r>
        <w:rPr>
          <w:rStyle w:val="30"/>
          <w:color w:val="auto"/>
          <w:sz w:val="28"/>
          <w:highlight w:val="none"/>
        </w:rPr>
        <w:fldChar w:fldCharType="end"/>
      </w:r>
      <w:r>
        <w:rPr>
          <w:rStyle w:val="30"/>
          <w:rFonts w:hint="eastAsia"/>
          <w:color w:val="auto"/>
          <w:sz w:val="28"/>
          <w:highlight w:val="none"/>
          <w:lang w:val="en-US" w:eastAsia="zh-CN"/>
        </w:rPr>
        <w:t>28</w:t>
      </w:r>
    </w:p>
    <w:p w14:paraId="60117182">
      <w:pPr>
        <w:pStyle w:val="16"/>
        <w:tabs>
          <w:tab w:val="right" w:leader="dot" w:pos="10120"/>
        </w:tabs>
        <w:rPr>
          <w:rFonts w:hint="default" w:ascii="Calibri" w:hAnsi="Calibri" w:eastAsia="宋体"/>
          <w:b w:val="0"/>
          <w:bCs w:val="0"/>
          <w:caps w:val="0"/>
          <w:color w:val="auto"/>
          <w:sz w:val="32"/>
          <w:szCs w:val="22"/>
          <w:highlight w:val="none"/>
          <w:lang w:val="en-US" w:eastAsia="zh-CN"/>
        </w:rPr>
      </w:pPr>
      <w:r>
        <w:rPr>
          <w:rStyle w:val="30"/>
          <w:color w:val="auto"/>
          <w:sz w:val="28"/>
          <w:highlight w:val="none"/>
        </w:rPr>
        <w:fldChar w:fldCharType="begin"/>
      </w:r>
      <w:r>
        <w:rPr>
          <w:rStyle w:val="30"/>
          <w:color w:val="auto"/>
          <w:sz w:val="28"/>
          <w:highlight w:val="none"/>
        </w:rPr>
        <w:instrText xml:space="preserve"> </w:instrText>
      </w:r>
      <w:r>
        <w:rPr>
          <w:color w:val="auto"/>
          <w:sz w:val="28"/>
          <w:highlight w:val="none"/>
        </w:rPr>
        <w:instrText xml:space="preserve">HYPERLINK \l "_Toc95223531"</w:instrText>
      </w:r>
      <w:r>
        <w:rPr>
          <w:rStyle w:val="30"/>
          <w:color w:val="auto"/>
          <w:sz w:val="28"/>
          <w:highlight w:val="none"/>
        </w:rPr>
        <w:instrText xml:space="preserve"> </w:instrText>
      </w:r>
      <w:r>
        <w:rPr>
          <w:rStyle w:val="30"/>
          <w:color w:val="auto"/>
          <w:sz w:val="28"/>
          <w:highlight w:val="none"/>
        </w:rPr>
        <w:fldChar w:fldCharType="separate"/>
      </w:r>
      <w:r>
        <w:rPr>
          <w:rStyle w:val="30"/>
          <w:rFonts w:hint="eastAsia"/>
          <w:color w:val="auto"/>
          <w:sz w:val="28"/>
          <w:highlight w:val="none"/>
        </w:rPr>
        <w:t>第九章 投标文件格式</w:t>
      </w:r>
      <w:r>
        <w:rPr>
          <w:color w:val="auto"/>
          <w:sz w:val="28"/>
          <w:highlight w:val="none"/>
        </w:rPr>
        <w:tab/>
      </w:r>
      <w:r>
        <w:rPr>
          <w:rFonts w:hint="eastAsia"/>
          <w:color w:val="auto"/>
          <w:sz w:val="28"/>
          <w:highlight w:val="none"/>
          <w:lang w:val="en-US" w:eastAsia="zh-CN"/>
        </w:rPr>
        <w:t>1</w:t>
      </w:r>
      <w:r>
        <w:rPr>
          <w:rStyle w:val="30"/>
          <w:color w:val="auto"/>
          <w:sz w:val="28"/>
          <w:highlight w:val="none"/>
        </w:rPr>
        <w:fldChar w:fldCharType="end"/>
      </w:r>
      <w:r>
        <w:rPr>
          <w:rStyle w:val="30"/>
          <w:rFonts w:hint="eastAsia"/>
          <w:color w:val="auto"/>
          <w:sz w:val="28"/>
          <w:highlight w:val="none"/>
          <w:lang w:val="en-US" w:eastAsia="zh-CN"/>
        </w:rPr>
        <w:t>32</w:t>
      </w:r>
    </w:p>
    <w:p w14:paraId="61D104FB">
      <w:pPr>
        <w:pStyle w:val="16"/>
        <w:tabs>
          <w:tab w:val="right" w:leader="dot" w:pos="10120"/>
        </w:tabs>
        <w:rPr>
          <w:rFonts w:hint="default" w:ascii="Calibri" w:hAnsi="Calibri" w:eastAsia="宋体"/>
          <w:b w:val="0"/>
          <w:bCs w:val="0"/>
          <w:caps w:val="0"/>
          <w:color w:val="auto"/>
          <w:sz w:val="32"/>
          <w:szCs w:val="22"/>
          <w:highlight w:val="none"/>
          <w:lang w:val="en-US" w:eastAsia="zh-CN"/>
        </w:rPr>
      </w:pPr>
      <w:r>
        <w:rPr>
          <w:rStyle w:val="30"/>
          <w:color w:val="auto"/>
          <w:sz w:val="28"/>
          <w:highlight w:val="none"/>
        </w:rPr>
        <w:fldChar w:fldCharType="begin"/>
      </w:r>
      <w:r>
        <w:rPr>
          <w:rStyle w:val="30"/>
          <w:color w:val="auto"/>
          <w:sz w:val="28"/>
          <w:highlight w:val="none"/>
        </w:rPr>
        <w:instrText xml:space="preserve"> </w:instrText>
      </w:r>
      <w:r>
        <w:rPr>
          <w:color w:val="auto"/>
          <w:sz w:val="28"/>
          <w:highlight w:val="none"/>
        </w:rPr>
        <w:instrText xml:space="preserve">HYPERLINK \l "_Toc95223547"</w:instrText>
      </w:r>
      <w:r>
        <w:rPr>
          <w:rStyle w:val="30"/>
          <w:color w:val="auto"/>
          <w:sz w:val="28"/>
          <w:highlight w:val="none"/>
        </w:rPr>
        <w:instrText xml:space="preserve"> </w:instrText>
      </w:r>
      <w:r>
        <w:rPr>
          <w:rStyle w:val="30"/>
          <w:color w:val="auto"/>
          <w:sz w:val="28"/>
          <w:highlight w:val="none"/>
        </w:rPr>
        <w:fldChar w:fldCharType="separate"/>
      </w:r>
      <w:r>
        <w:rPr>
          <w:rStyle w:val="30"/>
          <w:rFonts w:hint="eastAsia" w:eastAsia="黑体"/>
          <w:color w:val="auto"/>
          <w:sz w:val="28"/>
          <w:highlight w:val="none"/>
        </w:rPr>
        <w:t>第十章</w:t>
      </w:r>
      <w:r>
        <w:rPr>
          <w:rStyle w:val="30"/>
          <w:rFonts w:eastAsia="黑体"/>
          <w:color w:val="auto"/>
          <w:sz w:val="28"/>
          <w:highlight w:val="none"/>
        </w:rPr>
        <w:t xml:space="preserve"> </w:t>
      </w:r>
      <w:r>
        <w:rPr>
          <w:rStyle w:val="30"/>
          <w:rFonts w:hint="eastAsia" w:eastAsia="黑体"/>
          <w:color w:val="auto"/>
          <w:sz w:val="28"/>
          <w:highlight w:val="none"/>
        </w:rPr>
        <w:t xml:space="preserve"> 招标人、招标代理机构对本招标文件的确认</w:t>
      </w:r>
      <w:bookmarkStart w:id="9" w:name="_Hlt95223551"/>
      <w:bookmarkStart w:id="10" w:name="_Hlt95223550"/>
      <w:r>
        <w:rPr>
          <w:color w:val="auto"/>
          <w:sz w:val="28"/>
          <w:highlight w:val="none"/>
        </w:rPr>
        <w:tab/>
      </w:r>
      <w:bookmarkEnd w:id="9"/>
      <w:bookmarkEnd w:id="10"/>
      <w:r>
        <w:rPr>
          <w:rFonts w:hint="eastAsia"/>
          <w:color w:val="auto"/>
          <w:sz w:val="28"/>
          <w:highlight w:val="none"/>
          <w:lang w:val="en-US" w:eastAsia="zh-CN"/>
        </w:rPr>
        <w:t>1</w:t>
      </w:r>
      <w:r>
        <w:rPr>
          <w:rStyle w:val="30"/>
          <w:color w:val="auto"/>
          <w:sz w:val="28"/>
          <w:highlight w:val="none"/>
        </w:rPr>
        <w:fldChar w:fldCharType="end"/>
      </w:r>
      <w:r>
        <w:rPr>
          <w:rStyle w:val="30"/>
          <w:rFonts w:hint="eastAsia"/>
          <w:color w:val="auto"/>
          <w:sz w:val="28"/>
          <w:highlight w:val="none"/>
          <w:lang w:val="en-US" w:eastAsia="zh-CN"/>
        </w:rPr>
        <w:t>56</w:t>
      </w:r>
    </w:p>
    <w:p w14:paraId="645C0F38">
      <w:pPr>
        <w:pStyle w:val="16"/>
        <w:tabs>
          <w:tab w:val="right" w:leader="dot" w:pos="10120"/>
        </w:tabs>
        <w:rPr>
          <w:rFonts w:hint="default" w:ascii="Calibri" w:hAnsi="Calibri" w:eastAsia="宋体"/>
          <w:b w:val="0"/>
          <w:bCs w:val="0"/>
          <w:caps w:val="0"/>
          <w:color w:val="auto"/>
          <w:sz w:val="32"/>
          <w:szCs w:val="22"/>
          <w:highlight w:val="none"/>
          <w:lang w:val="en-US" w:eastAsia="zh-CN"/>
        </w:rPr>
      </w:pPr>
      <w:r>
        <w:rPr>
          <w:rStyle w:val="30"/>
          <w:color w:val="auto"/>
          <w:sz w:val="28"/>
          <w:highlight w:val="none"/>
        </w:rPr>
        <w:fldChar w:fldCharType="begin"/>
      </w:r>
      <w:r>
        <w:rPr>
          <w:rStyle w:val="30"/>
          <w:color w:val="auto"/>
          <w:sz w:val="28"/>
          <w:highlight w:val="none"/>
        </w:rPr>
        <w:instrText xml:space="preserve"> </w:instrText>
      </w:r>
      <w:r>
        <w:rPr>
          <w:color w:val="auto"/>
          <w:sz w:val="28"/>
          <w:highlight w:val="none"/>
        </w:rPr>
        <w:instrText xml:space="preserve">HYPERLINK \l "_Toc95223548"</w:instrText>
      </w:r>
      <w:r>
        <w:rPr>
          <w:rStyle w:val="30"/>
          <w:color w:val="auto"/>
          <w:sz w:val="28"/>
          <w:highlight w:val="none"/>
        </w:rPr>
        <w:instrText xml:space="preserve"> </w:instrText>
      </w:r>
      <w:r>
        <w:rPr>
          <w:rStyle w:val="30"/>
          <w:color w:val="auto"/>
          <w:sz w:val="28"/>
          <w:highlight w:val="none"/>
        </w:rPr>
        <w:fldChar w:fldCharType="separate"/>
      </w:r>
      <w:r>
        <w:rPr>
          <w:rStyle w:val="30"/>
          <w:rFonts w:hint="eastAsia" w:ascii="黑体" w:hAnsi="黑体" w:eastAsia="黑体"/>
          <w:color w:val="auto"/>
          <w:sz w:val="28"/>
          <w:highlight w:val="none"/>
        </w:rPr>
        <w:t>附件</w:t>
      </w:r>
      <w:r>
        <w:rPr>
          <w:rStyle w:val="30"/>
          <w:rFonts w:ascii="黑体" w:hAnsi="黑体" w:eastAsia="黑体"/>
          <w:color w:val="auto"/>
          <w:sz w:val="28"/>
          <w:highlight w:val="none"/>
        </w:rPr>
        <w:t xml:space="preserve">1 </w:t>
      </w:r>
      <w:r>
        <w:rPr>
          <w:rStyle w:val="30"/>
          <w:rFonts w:hint="eastAsia" w:ascii="黑体" w:hAnsi="黑体" w:eastAsia="黑体"/>
          <w:color w:val="auto"/>
          <w:sz w:val="28"/>
          <w:highlight w:val="none"/>
        </w:rPr>
        <w:t>关于联合惩戒失信行为加强信用查询管理的通知</w:t>
      </w:r>
      <w:r>
        <w:rPr>
          <w:color w:val="auto"/>
          <w:sz w:val="28"/>
          <w:highlight w:val="none"/>
        </w:rPr>
        <w:tab/>
      </w:r>
      <w:r>
        <w:rPr>
          <w:rFonts w:hint="eastAsia"/>
          <w:color w:val="auto"/>
          <w:sz w:val="28"/>
          <w:highlight w:val="none"/>
          <w:lang w:val="en-US" w:eastAsia="zh-CN"/>
        </w:rPr>
        <w:t>1</w:t>
      </w:r>
      <w:r>
        <w:rPr>
          <w:rStyle w:val="30"/>
          <w:color w:val="auto"/>
          <w:sz w:val="28"/>
          <w:highlight w:val="none"/>
        </w:rPr>
        <w:fldChar w:fldCharType="end"/>
      </w:r>
      <w:r>
        <w:rPr>
          <w:rStyle w:val="30"/>
          <w:rFonts w:hint="eastAsia"/>
          <w:color w:val="auto"/>
          <w:sz w:val="28"/>
          <w:highlight w:val="none"/>
          <w:lang w:val="en-US" w:eastAsia="zh-CN"/>
        </w:rPr>
        <w:t>57</w:t>
      </w:r>
    </w:p>
    <w:p w14:paraId="3A3DFAC2">
      <w:pPr>
        <w:pStyle w:val="16"/>
        <w:tabs>
          <w:tab w:val="right" w:leader="dot" w:pos="10120"/>
        </w:tabs>
        <w:rPr>
          <w:rStyle w:val="30"/>
          <w:rFonts w:hint="default" w:eastAsia="宋体"/>
          <w:color w:val="auto"/>
          <w:sz w:val="28"/>
          <w:highlight w:val="none"/>
          <w:lang w:val="en-US" w:eastAsia="zh-CN"/>
        </w:rPr>
      </w:pPr>
      <w:r>
        <w:rPr>
          <w:rStyle w:val="30"/>
          <w:color w:val="auto"/>
          <w:sz w:val="28"/>
          <w:highlight w:val="none"/>
        </w:rPr>
        <w:fldChar w:fldCharType="begin"/>
      </w:r>
      <w:r>
        <w:rPr>
          <w:rStyle w:val="30"/>
          <w:color w:val="auto"/>
          <w:sz w:val="28"/>
          <w:highlight w:val="none"/>
        </w:rPr>
        <w:instrText xml:space="preserve"> </w:instrText>
      </w:r>
      <w:r>
        <w:rPr>
          <w:color w:val="auto"/>
          <w:sz w:val="28"/>
          <w:highlight w:val="none"/>
        </w:rPr>
        <w:instrText xml:space="preserve">HYPERLINK \l "_Toc95223549"</w:instrText>
      </w:r>
      <w:r>
        <w:rPr>
          <w:rStyle w:val="30"/>
          <w:color w:val="auto"/>
          <w:sz w:val="28"/>
          <w:highlight w:val="none"/>
        </w:rPr>
        <w:instrText xml:space="preserve"> </w:instrText>
      </w:r>
      <w:r>
        <w:rPr>
          <w:rStyle w:val="30"/>
          <w:color w:val="auto"/>
          <w:sz w:val="28"/>
          <w:highlight w:val="none"/>
        </w:rPr>
        <w:fldChar w:fldCharType="separate"/>
      </w:r>
      <w:r>
        <w:rPr>
          <w:rStyle w:val="30"/>
          <w:rFonts w:hint="eastAsia" w:ascii="黑体" w:hAnsi="黑体" w:eastAsia="黑体"/>
          <w:color w:val="auto"/>
          <w:sz w:val="28"/>
          <w:highlight w:val="none"/>
        </w:rPr>
        <w:t>附件</w:t>
      </w:r>
      <w:r>
        <w:rPr>
          <w:rStyle w:val="30"/>
          <w:rFonts w:ascii="黑体" w:hAnsi="黑体" w:eastAsia="黑体"/>
          <w:color w:val="auto"/>
          <w:sz w:val="28"/>
          <w:highlight w:val="none"/>
        </w:rPr>
        <w:t xml:space="preserve">2 </w:t>
      </w:r>
      <w:r>
        <w:rPr>
          <w:rStyle w:val="30"/>
          <w:rFonts w:hint="eastAsia" w:ascii="黑体" w:hAnsi="黑体" w:eastAsia="黑体"/>
          <w:color w:val="auto"/>
          <w:sz w:val="28"/>
          <w:highlight w:val="none"/>
        </w:rPr>
        <w:t>“信用中国”查询的严重失信行为类别及判定依据</w:t>
      </w:r>
      <w:r>
        <w:rPr>
          <w:color w:val="auto"/>
          <w:sz w:val="28"/>
          <w:highlight w:val="none"/>
        </w:rPr>
        <w:tab/>
      </w:r>
      <w:r>
        <w:rPr>
          <w:rFonts w:hint="eastAsia"/>
          <w:color w:val="auto"/>
          <w:sz w:val="28"/>
          <w:highlight w:val="none"/>
          <w:lang w:val="en-US" w:eastAsia="zh-CN"/>
        </w:rPr>
        <w:t>1</w:t>
      </w:r>
      <w:r>
        <w:rPr>
          <w:rStyle w:val="30"/>
          <w:color w:val="auto"/>
          <w:sz w:val="28"/>
          <w:highlight w:val="none"/>
        </w:rPr>
        <w:fldChar w:fldCharType="end"/>
      </w:r>
      <w:r>
        <w:rPr>
          <w:rStyle w:val="30"/>
          <w:rFonts w:hint="eastAsia"/>
          <w:color w:val="auto"/>
          <w:sz w:val="28"/>
          <w:highlight w:val="none"/>
          <w:lang w:val="en-US" w:eastAsia="zh-CN"/>
        </w:rPr>
        <w:t>61</w:t>
      </w:r>
    </w:p>
    <w:p w14:paraId="3380691C">
      <w:pPr>
        <w:rPr>
          <w:rFonts w:hint="eastAsia"/>
          <w:color w:val="auto"/>
          <w:sz w:val="24"/>
          <w:highlight w:val="none"/>
        </w:rPr>
      </w:pPr>
    </w:p>
    <w:p w14:paraId="11B60752">
      <w:pPr>
        <w:pStyle w:val="16"/>
        <w:rPr>
          <w:rFonts w:hint="eastAsia"/>
          <w:color w:val="auto"/>
          <w:highlight w:val="none"/>
        </w:rPr>
      </w:pPr>
    </w:p>
    <w:p w14:paraId="4B0D1865">
      <w:pPr>
        <w:rPr>
          <w:rFonts w:hint="eastAsia"/>
          <w:color w:val="auto"/>
          <w:highlight w:val="none"/>
        </w:rPr>
      </w:pPr>
    </w:p>
    <w:p w14:paraId="48026030">
      <w:pPr>
        <w:pStyle w:val="16"/>
        <w:rPr>
          <w:rFonts w:hint="eastAsia"/>
          <w:color w:val="auto"/>
          <w:highlight w:val="none"/>
        </w:rPr>
      </w:pPr>
    </w:p>
    <w:p w14:paraId="649BF94E">
      <w:pPr>
        <w:rPr>
          <w:rFonts w:hint="eastAsia"/>
          <w:color w:val="auto"/>
          <w:highlight w:val="none"/>
        </w:rPr>
      </w:pPr>
    </w:p>
    <w:p w14:paraId="6AA2E4B5">
      <w:pPr>
        <w:pStyle w:val="16"/>
        <w:rPr>
          <w:rFonts w:hint="eastAsia"/>
          <w:color w:val="auto"/>
          <w:highlight w:val="none"/>
        </w:rPr>
      </w:pPr>
    </w:p>
    <w:p w14:paraId="50FB2B52">
      <w:pPr>
        <w:rPr>
          <w:rFonts w:hint="eastAsia"/>
          <w:color w:val="auto"/>
          <w:highlight w:val="none"/>
        </w:rPr>
      </w:pPr>
    </w:p>
    <w:p w14:paraId="34542F3E">
      <w:pPr>
        <w:pStyle w:val="16"/>
        <w:rPr>
          <w:rFonts w:hint="eastAsia"/>
          <w:color w:val="auto"/>
          <w:highlight w:val="none"/>
        </w:rPr>
      </w:pPr>
    </w:p>
    <w:p w14:paraId="54CE676D">
      <w:pPr>
        <w:rPr>
          <w:rFonts w:hint="eastAsia"/>
          <w:color w:val="auto"/>
          <w:highlight w:val="none"/>
        </w:rPr>
      </w:pPr>
    </w:p>
    <w:p w14:paraId="063FB5CA">
      <w:pPr>
        <w:pStyle w:val="16"/>
        <w:rPr>
          <w:rFonts w:hint="eastAsia"/>
          <w:color w:val="auto"/>
          <w:highlight w:val="none"/>
        </w:rPr>
      </w:pPr>
    </w:p>
    <w:p w14:paraId="7C1918CC">
      <w:pPr>
        <w:rPr>
          <w:rFonts w:hint="eastAsia"/>
          <w:color w:val="auto"/>
          <w:highlight w:val="none"/>
        </w:rPr>
      </w:pPr>
    </w:p>
    <w:p w14:paraId="54CC6D7A">
      <w:pPr>
        <w:rPr>
          <w:rFonts w:hint="eastAsia"/>
          <w:color w:val="auto"/>
          <w:highlight w:val="none"/>
        </w:rPr>
        <w:sectPr>
          <w:headerReference r:id="rId3" w:type="default"/>
          <w:pgSz w:w="11910" w:h="16850"/>
          <w:pgMar w:top="1600" w:right="660" w:bottom="1100" w:left="1120" w:header="0" w:footer="746" w:gutter="0"/>
          <w:pgNumType w:start="1"/>
          <w:cols w:space="720" w:num="1"/>
        </w:sectPr>
      </w:pPr>
    </w:p>
    <w:p w14:paraId="5AE3A9C9">
      <w:pPr>
        <w:pStyle w:val="2"/>
        <w:spacing w:before="0" w:after="0" w:line="240" w:lineRule="auto"/>
        <w:jc w:val="center"/>
        <w:rPr>
          <w:rFonts w:hint="eastAsia"/>
          <w:color w:val="auto"/>
          <w:highlight w:val="none"/>
          <w:lang w:val="zh-CN"/>
        </w:rPr>
      </w:pPr>
      <w:r>
        <w:rPr>
          <w:color w:val="auto"/>
          <w:highlight w:val="none"/>
          <w:lang w:val="zh-CN"/>
        </w:rPr>
        <w:fldChar w:fldCharType="end"/>
      </w:r>
      <w:bookmarkStart w:id="11" w:name="_Toc95223332"/>
      <w:r>
        <w:rPr>
          <w:rFonts w:hint="eastAsia"/>
          <w:color w:val="auto"/>
          <w:highlight w:val="none"/>
        </w:rPr>
        <w:t>第一章  招标公告</w:t>
      </w:r>
      <w:bookmarkEnd w:id="11"/>
    </w:p>
    <w:p w14:paraId="784D47FE">
      <w:pPr>
        <w:pStyle w:val="19"/>
        <w:ind w:left="0" w:leftChars="0" w:right="-279" w:rightChars="-133" w:firstLine="472" w:firstLineChars="196"/>
        <w:jc w:val="center"/>
        <w:rPr>
          <w:b/>
          <w:color w:val="auto"/>
          <w:sz w:val="24"/>
          <w:highlight w:val="none"/>
        </w:rPr>
      </w:pPr>
      <w:r>
        <w:rPr>
          <w:rFonts w:hint="eastAsia"/>
          <w:b/>
          <w:color w:val="auto"/>
          <w:sz w:val="24"/>
          <w:highlight w:val="none"/>
          <w:lang w:eastAsia="zh-CN"/>
        </w:rPr>
        <w:t>隆基乐叶光伏组件厂房改扩建项目一期工程</w:t>
      </w:r>
      <w:r>
        <w:rPr>
          <w:rFonts w:hint="eastAsia"/>
          <w:b/>
          <w:color w:val="auto"/>
          <w:sz w:val="24"/>
          <w:highlight w:val="none"/>
        </w:rPr>
        <w:t>招标公告信息（电子招标投标）</w:t>
      </w:r>
    </w:p>
    <w:tbl>
      <w:tblPr>
        <w:tblStyle w:val="20"/>
        <w:tblW w:w="10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5"/>
        <w:gridCol w:w="8313"/>
      </w:tblGrid>
      <w:tr w14:paraId="1E76B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8" w:type="dxa"/>
            <w:gridSpan w:val="2"/>
            <w:noWrap w:val="0"/>
            <w:vAlign w:val="center"/>
          </w:tcPr>
          <w:p w14:paraId="2FAFA1E8">
            <w:pPr>
              <w:keepNext w:val="0"/>
              <w:keepLines w:val="0"/>
              <w:pageBreakBefore w:val="0"/>
              <w:kinsoku/>
              <w:overflowPunct/>
              <w:topLinePunct w:val="0"/>
              <w:autoSpaceDE/>
              <w:autoSpaceDN/>
              <w:bidi w:val="0"/>
              <w:spacing w:line="500" w:lineRule="exact"/>
              <w:jc w:val="center"/>
              <w:textAlignment w:val="auto"/>
              <w:rPr>
                <w:rFonts w:hint="eastAsia" w:ascii="宋体" w:hAnsi="宋体" w:eastAsia="宋体" w:cs="宋体"/>
                <w:bCs/>
                <w:color w:val="auto"/>
                <w:kern w:val="1"/>
                <w:sz w:val="21"/>
                <w:szCs w:val="21"/>
                <w:highlight w:val="none"/>
              </w:rPr>
            </w:pPr>
            <w:r>
              <w:rPr>
                <w:rFonts w:hint="eastAsia" w:ascii="宋体" w:hAnsi="宋体" w:eastAsia="宋体" w:cs="宋体"/>
                <w:b/>
                <w:bCs/>
                <w:color w:val="auto"/>
                <w:sz w:val="21"/>
                <w:szCs w:val="21"/>
                <w:highlight w:val="none"/>
              </w:rPr>
              <w:t>招标条件</w:t>
            </w:r>
          </w:p>
        </w:tc>
      </w:tr>
      <w:tr w14:paraId="541AD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5678CB5F">
            <w:pPr>
              <w:keepNext w:val="0"/>
              <w:keepLines w:val="0"/>
              <w:pageBreakBefore w:val="0"/>
              <w:kinsoku/>
              <w:overflowPunct/>
              <w:topLinePunct w:val="0"/>
              <w:autoSpaceDE/>
              <w:autoSpaceDN/>
              <w:bidi w:val="0"/>
              <w:spacing w:line="500" w:lineRule="exact"/>
              <w:jc w:val="center"/>
              <w:textAlignment w:val="auto"/>
              <w:rPr>
                <w:rFonts w:hint="eastAsia" w:ascii="宋体" w:hAnsi="宋体" w:eastAsia="宋体" w:cs="宋体"/>
                <w:bCs/>
                <w:color w:val="auto"/>
                <w:kern w:val="1"/>
                <w:sz w:val="21"/>
                <w:szCs w:val="21"/>
                <w:highlight w:val="none"/>
              </w:rPr>
            </w:pPr>
            <w:r>
              <w:rPr>
                <w:rFonts w:hint="eastAsia" w:ascii="宋体" w:hAnsi="宋体" w:eastAsia="宋体" w:cs="宋体"/>
                <w:bCs/>
                <w:color w:val="auto"/>
                <w:kern w:val="1"/>
                <w:sz w:val="21"/>
                <w:szCs w:val="21"/>
                <w:highlight w:val="none"/>
              </w:rPr>
              <w:t>项目</w:t>
            </w:r>
            <w:r>
              <w:rPr>
                <w:rFonts w:hint="eastAsia" w:ascii="宋体" w:hAnsi="宋体" w:eastAsia="宋体" w:cs="宋体"/>
                <w:color w:val="auto"/>
                <w:kern w:val="0"/>
                <w:sz w:val="21"/>
                <w:szCs w:val="21"/>
                <w:highlight w:val="none"/>
              </w:rPr>
              <w:t>名称</w:t>
            </w:r>
          </w:p>
        </w:tc>
        <w:tc>
          <w:tcPr>
            <w:tcW w:w="8313" w:type="dxa"/>
            <w:noWrap w:val="0"/>
            <w:vAlign w:val="top"/>
          </w:tcPr>
          <w:p w14:paraId="64CC8059">
            <w:pPr>
              <w:keepNext w:val="0"/>
              <w:keepLines w:val="0"/>
              <w:pageBreakBefore w:val="0"/>
              <w:kinsoku/>
              <w:overflowPunct/>
              <w:topLinePunct w:val="0"/>
              <w:autoSpaceDE/>
              <w:autoSpaceDN/>
              <w:bidi w:val="0"/>
              <w:spacing w:line="500" w:lineRule="exact"/>
              <w:jc w:val="left"/>
              <w:textAlignment w:val="auto"/>
              <w:rPr>
                <w:rFonts w:hint="eastAsia" w:ascii="宋体" w:hAnsi="宋体" w:eastAsia="宋体" w:cs="宋体"/>
                <w:bCs/>
                <w:color w:val="auto"/>
                <w:kern w:val="1"/>
                <w:sz w:val="21"/>
                <w:szCs w:val="21"/>
                <w:highlight w:val="none"/>
                <w:lang w:eastAsia="zh-CN"/>
              </w:rPr>
            </w:pPr>
            <w:r>
              <w:rPr>
                <w:rFonts w:hint="eastAsia" w:ascii="宋体" w:hAnsi="宋体" w:cs="宋体"/>
                <w:bCs/>
                <w:color w:val="auto"/>
                <w:kern w:val="1"/>
                <w:sz w:val="21"/>
                <w:szCs w:val="21"/>
                <w:highlight w:val="none"/>
                <w:lang w:eastAsia="zh-CN"/>
              </w:rPr>
              <w:t>隆基乐叶光伏组件厂房改扩建项目一期工程</w:t>
            </w:r>
          </w:p>
        </w:tc>
      </w:tr>
      <w:tr w14:paraId="682AA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0AC2788D">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bCs/>
                <w:snapToGrid w:val="0"/>
                <w:color w:val="auto"/>
                <w:kern w:val="0"/>
                <w:sz w:val="21"/>
                <w:szCs w:val="21"/>
                <w:highlight w:val="none"/>
              </w:rPr>
              <w:t>项目审批、核准或备案机关名称</w:t>
            </w:r>
          </w:p>
        </w:tc>
        <w:tc>
          <w:tcPr>
            <w:tcW w:w="8313" w:type="dxa"/>
            <w:noWrap w:val="0"/>
            <w:vAlign w:val="center"/>
          </w:tcPr>
          <w:p w14:paraId="28FCDD7D">
            <w:pPr>
              <w:keepNext w:val="0"/>
              <w:keepLines w:val="0"/>
              <w:pageBreakBefore w:val="0"/>
              <w:widowControl/>
              <w:kinsoku/>
              <w:overflowPunct/>
              <w:topLinePunct w:val="0"/>
              <w:autoSpaceDE/>
              <w:autoSpaceDN/>
              <w:bidi w:val="0"/>
              <w:spacing w:line="500" w:lineRule="exact"/>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滁州经济技术开发区经贸发展局 </w:t>
            </w:r>
          </w:p>
        </w:tc>
      </w:tr>
      <w:tr w14:paraId="5AA87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6E728929">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bCs/>
                <w:snapToGrid w:val="0"/>
                <w:color w:val="auto"/>
                <w:kern w:val="0"/>
                <w:sz w:val="21"/>
                <w:szCs w:val="21"/>
                <w:highlight w:val="none"/>
              </w:rPr>
              <w:t>批文名称及编号</w:t>
            </w:r>
          </w:p>
        </w:tc>
        <w:tc>
          <w:tcPr>
            <w:tcW w:w="8313" w:type="dxa"/>
            <w:noWrap w:val="0"/>
            <w:vAlign w:val="center"/>
          </w:tcPr>
          <w:p w14:paraId="3EC199CF">
            <w:pPr>
              <w:widowControl/>
              <w:spacing w:line="560" w:lineRule="exact"/>
              <w:jc w:val="left"/>
              <w:rPr>
                <w:rFonts w:hint="eastAsia" w:ascii="宋体" w:hAnsi="宋体" w:eastAsia="宋体" w:cs="宋体"/>
                <w:color w:val="auto"/>
                <w:sz w:val="21"/>
                <w:szCs w:val="21"/>
                <w:highlight w:val="none"/>
              </w:rPr>
            </w:pPr>
            <w:r>
              <w:rPr>
                <w:rFonts w:hint="eastAsia" w:ascii="宋体" w:hAnsi="宋体" w:cs="宋体"/>
                <w:color w:val="auto"/>
                <w:szCs w:val="21"/>
                <w:highlight w:val="none"/>
                <w:lang w:val="en-US" w:eastAsia="zh-CN"/>
              </w:rPr>
              <w:t xml:space="preserve">滁州经开区经贸发展局备案表                       </w:t>
            </w:r>
          </w:p>
        </w:tc>
      </w:tr>
      <w:tr w14:paraId="629E0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5CFAAC4D">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bCs/>
                <w:snapToGrid w:val="0"/>
                <w:color w:val="auto"/>
                <w:kern w:val="0"/>
                <w:sz w:val="21"/>
                <w:szCs w:val="21"/>
                <w:highlight w:val="none"/>
              </w:rPr>
              <w:t>招标人</w:t>
            </w:r>
          </w:p>
        </w:tc>
        <w:tc>
          <w:tcPr>
            <w:tcW w:w="8313" w:type="dxa"/>
            <w:noWrap w:val="0"/>
            <w:vAlign w:val="center"/>
          </w:tcPr>
          <w:p w14:paraId="777E87E6">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cs="宋体"/>
                <w:bCs/>
                <w:color w:val="auto"/>
                <w:kern w:val="1"/>
                <w:sz w:val="21"/>
                <w:szCs w:val="21"/>
                <w:highlight w:val="none"/>
                <w:lang w:val="en-US" w:eastAsia="zh-CN"/>
              </w:rPr>
              <w:t>滁州市同创建设投资有限责任公司</w:t>
            </w:r>
            <w:r>
              <w:rPr>
                <w:rFonts w:hint="eastAsia" w:ascii="宋体" w:hAnsi="宋体" w:eastAsia="宋体" w:cs="宋体"/>
                <w:color w:val="auto"/>
                <w:sz w:val="21"/>
                <w:szCs w:val="21"/>
                <w:highlight w:val="none"/>
              </w:rPr>
              <w:t xml:space="preserve">  </w:t>
            </w:r>
          </w:p>
        </w:tc>
      </w:tr>
      <w:tr w14:paraId="550F5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66C6BCAF">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项目业主</w:t>
            </w:r>
          </w:p>
        </w:tc>
        <w:tc>
          <w:tcPr>
            <w:tcW w:w="8313" w:type="dxa"/>
            <w:noWrap w:val="0"/>
            <w:vAlign w:val="center"/>
          </w:tcPr>
          <w:p w14:paraId="4AF4CD07">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滁州市同创建设投资有限责任公司</w:t>
            </w:r>
            <w:r>
              <w:rPr>
                <w:rFonts w:hint="eastAsia" w:ascii="宋体" w:hAnsi="宋体" w:eastAsia="宋体" w:cs="宋体"/>
                <w:color w:val="auto"/>
                <w:sz w:val="21"/>
                <w:szCs w:val="21"/>
                <w:highlight w:val="none"/>
              </w:rPr>
              <w:t xml:space="preserve">  </w:t>
            </w:r>
          </w:p>
        </w:tc>
      </w:tr>
      <w:tr w14:paraId="32741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19C3AB46">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资金来源</w:t>
            </w:r>
          </w:p>
        </w:tc>
        <w:tc>
          <w:tcPr>
            <w:tcW w:w="8313" w:type="dxa"/>
            <w:noWrap w:val="0"/>
            <w:vAlign w:val="center"/>
          </w:tcPr>
          <w:p w14:paraId="46E590F6">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自筹资金</w:t>
            </w:r>
            <w:r>
              <w:rPr>
                <w:rFonts w:hint="eastAsia" w:ascii="宋体" w:hAnsi="宋体" w:eastAsia="宋体" w:cs="宋体"/>
                <w:color w:val="auto"/>
                <w:sz w:val="21"/>
                <w:szCs w:val="21"/>
                <w:highlight w:val="none"/>
              </w:rPr>
              <w:t xml:space="preserve"> </w:t>
            </w:r>
          </w:p>
        </w:tc>
      </w:tr>
      <w:tr w14:paraId="40189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66466540">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项目出资比例</w:t>
            </w:r>
          </w:p>
        </w:tc>
        <w:tc>
          <w:tcPr>
            <w:tcW w:w="8313" w:type="dxa"/>
            <w:noWrap w:val="0"/>
            <w:vAlign w:val="center"/>
          </w:tcPr>
          <w:p w14:paraId="21E28AE5">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w:t>
            </w:r>
            <w:r>
              <w:rPr>
                <w:rFonts w:hint="eastAsia" w:ascii="宋体" w:hAnsi="宋体" w:eastAsia="宋体" w:cs="宋体"/>
                <w:color w:val="auto"/>
                <w:sz w:val="21"/>
                <w:szCs w:val="21"/>
                <w:highlight w:val="none"/>
                <w:lang w:val="en-US" w:eastAsia="zh-CN"/>
              </w:rPr>
              <w:t xml:space="preserve"> </w:t>
            </w:r>
          </w:p>
        </w:tc>
      </w:tr>
      <w:tr w14:paraId="10B19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36B06530">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招标方式</w:t>
            </w:r>
          </w:p>
        </w:tc>
        <w:tc>
          <w:tcPr>
            <w:tcW w:w="8313" w:type="dxa"/>
            <w:noWrap w:val="0"/>
            <w:vAlign w:val="center"/>
          </w:tcPr>
          <w:p w14:paraId="361CACB1">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公开招标 </w:t>
            </w:r>
          </w:p>
        </w:tc>
      </w:tr>
      <w:tr w14:paraId="75762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1F252C12">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评标办法</w:t>
            </w:r>
          </w:p>
        </w:tc>
        <w:tc>
          <w:tcPr>
            <w:tcW w:w="8313" w:type="dxa"/>
            <w:noWrap w:val="0"/>
            <w:vAlign w:val="center"/>
          </w:tcPr>
          <w:p w14:paraId="0909A16E">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综合评估法</w:t>
            </w:r>
            <w:r>
              <w:rPr>
                <w:rFonts w:hint="eastAsia" w:ascii="宋体" w:hAnsi="宋体" w:cs="宋体"/>
                <w:color w:val="auto"/>
                <w:sz w:val="21"/>
                <w:szCs w:val="21"/>
                <w:highlight w:val="none"/>
                <w:lang w:val="en-US" w:eastAsia="zh-CN"/>
              </w:rPr>
              <w:t xml:space="preserve">（评定分离） </w:t>
            </w:r>
          </w:p>
        </w:tc>
      </w:tr>
      <w:tr w14:paraId="7579F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8" w:type="dxa"/>
            <w:gridSpan w:val="2"/>
            <w:noWrap w:val="0"/>
            <w:vAlign w:val="center"/>
          </w:tcPr>
          <w:p w14:paraId="39EC091A">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项目概况与招标范围</w:t>
            </w:r>
          </w:p>
        </w:tc>
      </w:tr>
      <w:tr w14:paraId="04F49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48A8B139">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招标项目名称</w:t>
            </w:r>
          </w:p>
        </w:tc>
        <w:tc>
          <w:tcPr>
            <w:tcW w:w="8313" w:type="dxa"/>
            <w:noWrap w:val="0"/>
            <w:vAlign w:val="center"/>
          </w:tcPr>
          <w:p w14:paraId="09F6BEA8">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cs="宋体"/>
                <w:bCs/>
                <w:color w:val="auto"/>
                <w:kern w:val="1"/>
                <w:sz w:val="21"/>
                <w:szCs w:val="21"/>
                <w:highlight w:val="none"/>
                <w:lang w:val="en-US" w:eastAsia="zh-CN"/>
              </w:rPr>
              <w:t>隆基乐叶光伏组件厂房改扩建项目一期工程</w:t>
            </w:r>
          </w:p>
        </w:tc>
      </w:tr>
      <w:tr w14:paraId="0CB0C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0ABBCC3C">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招标项目编号</w:t>
            </w:r>
          </w:p>
        </w:tc>
        <w:tc>
          <w:tcPr>
            <w:tcW w:w="8313" w:type="dxa"/>
            <w:noWrap w:val="0"/>
            <w:vAlign w:val="center"/>
          </w:tcPr>
          <w:p w14:paraId="06438952">
            <w:pPr>
              <w:keepNext w:val="0"/>
              <w:keepLines w:val="0"/>
              <w:pageBreakBefore w:val="0"/>
              <w:widowControl/>
              <w:kinsoku/>
              <w:overflowPunct/>
              <w:topLinePunct w:val="0"/>
              <w:autoSpaceDE/>
              <w:autoSpaceDN/>
              <w:bidi w:val="0"/>
              <w:spacing w:line="500" w:lineRule="exact"/>
              <w:jc w:val="left"/>
              <w:textAlignment w:val="auto"/>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czsjgc20260</w:t>
            </w:r>
            <w:r>
              <w:rPr>
                <w:rFonts w:hint="eastAsia" w:ascii="宋体" w:hAnsi="宋体" w:cs="宋体"/>
                <w:color w:val="auto"/>
                <w:sz w:val="21"/>
                <w:szCs w:val="21"/>
                <w:highlight w:val="none"/>
                <w:lang w:val="en-US" w:eastAsia="zh-CN"/>
              </w:rPr>
              <w:t>7-004</w:t>
            </w:r>
          </w:p>
        </w:tc>
      </w:tr>
      <w:tr w14:paraId="08A84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75" w:type="dxa"/>
            <w:noWrap w:val="0"/>
            <w:vAlign w:val="center"/>
          </w:tcPr>
          <w:p w14:paraId="4C575A29">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标段划分</w:t>
            </w:r>
          </w:p>
        </w:tc>
        <w:tc>
          <w:tcPr>
            <w:tcW w:w="8313" w:type="dxa"/>
            <w:noWrap w:val="0"/>
            <w:vAlign w:val="center"/>
          </w:tcPr>
          <w:p w14:paraId="77FA4E6A">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一个标段</w:t>
            </w:r>
            <w:r>
              <w:rPr>
                <w:rFonts w:hint="eastAsia" w:ascii="宋体" w:hAnsi="宋体" w:eastAsia="宋体" w:cs="宋体"/>
                <w:color w:val="auto"/>
                <w:sz w:val="21"/>
                <w:szCs w:val="21"/>
                <w:highlight w:val="none"/>
              </w:rPr>
              <w:t xml:space="preserve"> </w:t>
            </w:r>
          </w:p>
        </w:tc>
      </w:tr>
      <w:tr w14:paraId="1225D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50F467C7">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招标项目标段编号</w:t>
            </w:r>
          </w:p>
        </w:tc>
        <w:tc>
          <w:tcPr>
            <w:tcW w:w="8313" w:type="dxa"/>
            <w:noWrap w:val="0"/>
            <w:vAlign w:val="center"/>
          </w:tcPr>
          <w:p w14:paraId="78DFB7A7">
            <w:pPr>
              <w:keepNext w:val="0"/>
              <w:keepLines w:val="0"/>
              <w:pageBreakBefore w:val="0"/>
              <w:widowControl/>
              <w:kinsoku/>
              <w:overflowPunct/>
              <w:topLinePunct w:val="0"/>
              <w:autoSpaceDE/>
              <w:autoSpaceDN/>
              <w:bidi w:val="0"/>
              <w:spacing w:line="500" w:lineRule="exact"/>
              <w:jc w:val="left"/>
              <w:textAlignment w:val="auto"/>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czsjgc20260</w:t>
            </w:r>
            <w:r>
              <w:rPr>
                <w:rFonts w:hint="eastAsia" w:ascii="宋体" w:hAnsi="宋体" w:cs="宋体"/>
                <w:color w:val="auto"/>
                <w:sz w:val="21"/>
                <w:szCs w:val="21"/>
                <w:highlight w:val="none"/>
                <w:lang w:val="en-US" w:eastAsia="zh-CN"/>
              </w:rPr>
              <w:t>7-004</w:t>
            </w:r>
          </w:p>
        </w:tc>
      </w:tr>
      <w:tr w14:paraId="44A2B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10EB9ED6">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建设地点</w:t>
            </w:r>
          </w:p>
        </w:tc>
        <w:tc>
          <w:tcPr>
            <w:tcW w:w="8313" w:type="dxa"/>
            <w:noWrap w:val="0"/>
            <w:vAlign w:val="center"/>
          </w:tcPr>
          <w:p w14:paraId="677EA88A">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滁州市淮安路19号</w:t>
            </w:r>
          </w:p>
        </w:tc>
      </w:tr>
      <w:tr w14:paraId="7DD72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26AC1872">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建设规模</w:t>
            </w:r>
          </w:p>
        </w:tc>
        <w:tc>
          <w:tcPr>
            <w:tcW w:w="8313" w:type="dxa"/>
            <w:noWrap w:val="0"/>
            <w:vAlign w:val="center"/>
          </w:tcPr>
          <w:p w14:paraId="4154BAA6">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lang w:val="en-US"/>
              </w:rPr>
            </w:pPr>
            <w:r>
              <w:rPr>
                <w:rFonts w:hint="eastAsia" w:ascii="宋体" w:hAnsi="宋体" w:cs="宋体"/>
                <w:bCs/>
                <w:color w:val="auto"/>
                <w:kern w:val="1"/>
                <w:sz w:val="21"/>
                <w:szCs w:val="21"/>
                <w:highlight w:val="none"/>
                <w:lang w:val="en-US" w:eastAsia="zh-CN"/>
              </w:rPr>
              <w:t>本项目滁州市淮安路19号，建设内容包括：A3建筑内5车间改造和机电安装工程，包含暖通、供电、工艺工程、洁净装修及室外配套工程等，</w:t>
            </w:r>
            <w:r>
              <w:rPr>
                <w:rFonts w:hint="eastAsia" w:ascii="宋体" w:hAnsi="宋体" w:eastAsia="宋体" w:cs="宋体"/>
                <w:color w:val="auto"/>
                <w:szCs w:val="21"/>
                <w:highlight w:val="none"/>
                <w:lang w:val="en-US" w:eastAsia="zh-CN"/>
              </w:rPr>
              <w:t>具体详见施工图纸及工程量清单。</w:t>
            </w:r>
          </w:p>
        </w:tc>
      </w:tr>
      <w:tr w14:paraId="7DA47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36C3E0EA">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合同估算价</w:t>
            </w:r>
          </w:p>
        </w:tc>
        <w:tc>
          <w:tcPr>
            <w:tcW w:w="8313" w:type="dxa"/>
            <w:noWrap w:val="0"/>
            <w:vAlign w:val="center"/>
          </w:tcPr>
          <w:p w14:paraId="29836316">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约</w:t>
            </w:r>
            <w:r>
              <w:rPr>
                <w:rFonts w:hint="eastAsia" w:ascii="宋体" w:hAnsi="宋体" w:cs="宋体"/>
                <w:color w:val="auto"/>
                <w:sz w:val="21"/>
                <w:szCs w:val="21"/>
                <w:highlight w:val="none"/>
                <w:lang w:val="en-US" w:eastAsia="zh-CN"/>
              </w:rPr>
              <w:t>5230</w:t>
            </w:r>
            <w:r>
              <w:rPr>
                <w:rFonts w:hint="eastAsia" w:ascii="宋体" w:hAnsi="宋体" w:eastAsia="宋体" w:cs="宋体"/>
                <w:color w:val="auto"/>
                <w:sz w:val="21"/>
                <w:szCs w:val="21"/>
                <w:highlight w:val="none"/>
                <w:lang w:val="en-US" w:eastAsia="zh-CN"/>
              </w:rPr>
              <w:t>万元</w:t>
            </w:r>
          </w:p>
        </w:tc>
      </w:tr>
      <w:tr w14:paraId="35C2B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3067826C">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计划工期</w:t>
            </w:r>
          </w:p>
        </w:tc>
        <w:tc>
          <w:tcPr>
            <w:tcW w:w="8313" w:type="dxa"/>
            <w:noWrap w:val="0"/>
            <w:vAlign w:val="center"/>
          </w:tcPr>
          <w:p w14:paraId="467EF291">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详见招标文件</w:t>
            </w:r>
          </w:p>
        </w:tc>
      </w:tr>
      <w:tr w14:paraId="391E3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0BB90DFD">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招标范围</w:t>
            </w:r>
          </w:p>
        </w:tc>
        <w:tc>
          <w:tcPr>
            <w:tcW w:w="8313" w:type="dxa"/>
            <w:noWrap w:val="0"/>
            <w:vAlign w:val="center"/>
          </w:tcPr>
          <w:p w14:paraId="4AB67251">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依据招标人提供的施工图纸及工程量清单</w:t>
            </w:r>
            <w:r>
              <w:rPr>
                <w:rFonts w:hint="eastAsia" w:ascii="宋体" w:hAnsi="宋体" w:eastAsia="宋体" w:cs="宋体"/>
                <w:color w:val="auto"/>
                <w:sz w:val="21"/>
                <w:szCs w:val="21"/>
                <w:highlight w:val="none"/>
              </w:rPr>
              <w:t>中的全部内容</w:t>
            </w:r>
            <w:r>
              <w:rPr>
                <w:rFonts w:hint="eastAsia" w:ascii="宋体" w:hAnsi="宋体" w:eastAsia="宋体" w:cs="宋体"/>
                <w:color w:val="auto"/>
                <w:sz w:val="21"/>
                <w:szCs w:val="21"/>
                <w:highlight w:val="none"/>
                <w:lang w:eastAsia="zh-CN"/>
              </w:rPr>
              <w:t>。</w:t>
            </w:r>
          </w:p>
        </w:tc>
      </w:tr>
      <w:tr w14:paraId="481F3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67A997F7">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项目类别</w:t>
            </w:r>
          </w:p>
        </w:tc>
        <w:tc>
          <w:tcPr>
            <w:tcW w:w="8313" w:type="dxa"/>
            <w:noWrap w:val="0"/>
            <w:vAlign w:val="center"/>
          </w:tcPr>
          <w:p w14:paraId="365AABC7">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建筑</w:t>
            </w:r>
            <w:r>
              <w:rPr>
                <w:rFonts w:hint="eastAsia" w:ascii="宋体" w:hAnsi="宋体" w:eastAsia="宋体" w:cs="宋体"/>
                <w:color w:val="auto"/>
                <w:sz w:val="21"/>
                <w:szCs w:val="21"/>
                <w:highlight w:val="none"/>
                <w:lang w:val="en-US" w:eastAsia="zh-CN"/>
              </w:rPr>
              <w:t>工程</w:t>
            </w:r>
            <w:r>
              <w:rPr>
                <w:rFonts w:hint="eastAsia" w:ascii="宋体" w:hAnsi="宋体" w:eastAsia="宋体" w:cs="宋体"/>
                <w:color w:val="auto"/>
                <w:sz w:val="21"/>
                <w:szCs w:val="21"/>
                <w:highlight w:val="none"/>
              </w:rPr>
              <w:t xml:space="preserve">  </w:t>
            </w:r>
          </w:p>
        </w:tc>
      </w:tr>
      <w:tr w14:paraId="77069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679FBB5A">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其他</w:t>
            </w:r>
          </w:p>
        </w:tc>
        <w:tc>
          <w:tcPr>
            <w:tcW w:w="8313" w:type="dxa"/>
            <w:noWrap w:val="0"/>
            <w:vAlign w:val="center"/>
          </w:tcPr>
          <w:p w14:paraId="6C47DFAF">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r>
      <w:tr w14:paraId="39D58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8" w:type="dxa"/>
            <w:gridSpan w:val="2"/>
            <w:noWrap w:val="0"/>
            <w:vAlign w:val="center"/>
          </w:tcPr>
          <w:p w14:paraId="2AD1605B">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投标人资格要求</w:t>
            </w:r>
          </w:p>
        </w:tc>
      </w:tr>
      <w:tr w14:paraId="4710B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05534590">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投标人资质条件</w:t>
            </w:r>
          </w:p>
        </w:tc>
        <w:tc>
          <w:tcPr>
            <w:tcW w:w="8313" w:type="dxa"/>
            <w:noWrap w:val="0"/>
            <w:vAlign w:val="center"/>
          </w:tcPr>
          <w:p w14:paraId="757EEAD2">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投标人须</w:t>
            </w:r>
            <w:r>
              <w:rPr>
                <w:rFonts w:hint="eastAsia" w:ascii="宋体" w:hAnsi="宋体" w:cs="宋体"/>
                <w:color w:val="auto"/>
                <w:sz w:val="21"/>
                <w:szCs w:val="21"/>
                <w:highlight w:val="none"/>
                <w:lang w:val="en-US" w:eastAsia="zh-CN"/>
              </w:rPr>
              <w:t>同时</w:t>
            </w:r>
            <w:r>
              <w:rPr>
                <w:rFonts w:hint="eastAsia" w:ascii="宋体" w:hAnsi="宋体" w:eastAsia="宋体" w:cs="宋体"/>
                <w:color w:val="auto"/>
                <w:sz w:val="21"/>
                <w:szCs w:val="21"/>
                <w:highlight w:val="none"/>
              </w:rPr>
              <w:t>具备</w:t>
            </w:r>
            <w:r>
              <w:rPr>
                <w:rFonts w:hint="eastAsia"/>
                <w:color w:val="auto"/>
                <w:szCs w:val="21"/>
                <w:highlight w:val="none"/>
                <w:lang w:val="en-US" w:eastAsia="zh-CN"/>
              </w:rPr>
              <w:t>建筑</w:t>
            </w:r>
            <w:r>
              <w:rPr>
                <w:rFonts w:hint="eastAsia"/>
                <w:color w:val="auto"/>
                <w:szCs w:val="21"/>
                <w:highlight w:val="none"/>
                <w:lang w:eastAsia="zh-CN"/>
              </w:rPr>
              <w:t>工程施工总承包三级</w:t>
            </w:r>
            <w:r>
              <w:rPr>
                <w:rFonts w:hint="eastAsia"/>
                <w:color w:val="auto"/>
                <w:szCs w:val="21"/>
                <w:highlight w:val="none"/>
                <w:lang w:val="en-US" w:eastAsia="zh-CN"/>
              </w:rPr>
              <w:t>及</w:t>
            </w:r>
            <w:r>
              <w:rPr>
                <w:rFonts w:hint="eastAsia"/>
                <w:color w:val="auto"/>
                <w:szCs w:val="21"/>
                <w:highlight w:val="none"/>
                <w:lang w:eastAsia="zh-CN"/>
              </w:rPr>
              <w:t>以上</w:t>
            </w:r>
            <w:r>
              <w:rPr>
                <w:rFonts w:hint="eastAsia" w:ascii="Times New Roman" w:hAnsi="Times New Roman" w:eastAsia="宋体" w:cs="Times New Roman"/>
                <w:color w:val="auto"/>
                <w:szCs w:val="21"/>
                <w:highlight w:val="none"/>
                <w:lang w:eastAsia="zh-CN"/>
              </w:rPr>
              <w:t>资</w:t>
            </w:r>
            <w:r>
              <w:rPr>
                <w:rFonts w:hint="eastAsia" w:ascii="Times New Roman" w:hAnsi="Times New Roman" w:eastAsia="宋体" w:cs="Times New Roman"/>
                <w:color w:val="auto"/>
                <w:szCs w:val="21"/>
                <w:highlight w:val="none"/>
                <w:lang w:val="en-US" w:eastAsia="zh-CN"/>
              </w:rPr>
              <w:t>质和</w:t>
            </w:r>
            <w:r>
              <w:rPr>
                <w:rFonts w:hint="eastAsia" w:ascii="宋体" w:hAnsi="宋体" w:cs="宋体"/>
                <w:color w:val="auto"/>
                <w:sz w:val="21"/>
                <w:szCs w:val="21"/>
                <w:highlight w:val="none"/>
                <w:lang w:val="en-US" w:eastAsia="zh-CN"/>
              </w:rPr>
              <w:t>机电</w:t>
            </w:r>
            <w:r>
              <w:rPr>
                <w:rFonts w:hint="eastAsia" w:ascii="宋体" w:hAnsi="宋体" w:eastAsia="宋体" w:cs="宋体"/>
                <w:color w:val="auto"/>
                <w:sz w:val="21"/>
                <w:szCs w:val="21"/>
                <w:highlight w:val="none"/>
                <w:lang w:val="en-US" w:eastAsia="zh-CN"/>
              </w:rPr>
              <w:t>工程施工总承包</w:t>
            </w:r>
            <w:r>
              <w:rPr>
                <w:rFonts w:hint="eastAsia" w:ascii="宋体" w:hAnsi="宋体" w:cs="宋体"/>
                <w:color w:val="auto"/>
                <w:sz w:val="21"/>
                <w:szCs w:val="21"/>
                <w:highlight w:val="none"/>
                <w:lang w:val="en-US" w:eastAsia="zh-CN"/>
              </w:rPr>
              <w:t>一级</w:t>
            </w:r>
            <w:r>
              <w:rPr>
                <w:rFonts w:hint="eastAsia" w:ascii="宋体" w:hAnsi="宋体" w:eastAsia="宋体" w:cs="宋体"/>
                <w:color w:val="auto"/>
                <w:sz w:val="21"/>
                <w:szCs w:val="21"/>
                <w:highlight w:val="none"/>
              </w:rPr>
              <w:t>资质</w:t>
            </w:r>
          </w:p>
        </w:tc>
      </w:tr>
      <w:tr w14:paraId="79173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7DAC44A3">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bCs/>
                <w:snapToGrid w:val="0"/>
                <w:color w:val="auto"/>
                <w:kern w:val="0"/>
                <w:sz w:val="21"/>
                <w:szCs w:val="21"/>
                <w:highlight w:val="none"/>
              </w:rPr>
              <w:t>项目经理资格要求</w:t>
            </w:r>
          </w:p>
        </w:tc>
        <w:tc>
          <w:tcPr>
            <w:tcW w:w="8313" w:type="dxa"/>
            <w:noWrap w:val="0"/>
            <w:vAlign w:val="center"/>
          </w:tcPr>
          <w:p w14:paraId="2B35FECF">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投标人拟委任项目经理须具备</w:t>
            </w:r>
            <w:r>
              <w:rPr>
                <w:rFonts w:hint="eastAsia" w:ascii="宋体" w:hAnsi="宋体" w:eastAsia="宋体" w:cs="宋体"/>
                <w:color w:val="auto"/>
                <w:szCs w:val="21"/>
                <w:highlight w:val="none"/>
                <w:u w:val="single"/>
              </w:rPr>
              <w:t>注册在投标单位的</w:t>
            </w:r>
            <w:r>
              <w:rPr>
                <w:rFonts w:hint="eastAsia" w:ascii="宋体" w:hAnsi="宋体" w:eastAsia="宋体" w:cs="宋体"/>
                <w:color w:val="auto"/>
                <w:szCs w:val="21"/>
                <w:highlight w:val="none"/>
                <w:u w:val="single"/>
                <w:lang w:val="en-US" w:eastAsia="zh-CN"/>
              </w:rPr>
              <w:t>机电</w:t>
            </w:r>
            <w:r>
              <w:rPr>
                <w:rFonts w:hint="eastAsia" w:ascii="宋体" w:hAnsi="宋体" w:eastAsia="宋体" w:cs="宋体"/>
                <w:color w:val="auto"/>
                <w:szCs w:val="21"/>
                <w:highlight w:val="none"/>
                <w:u w:val="single"/>
                <w:lang w:eastAsia="zh-CN"/>
              </w:rPr>
              <w:t>工程</w:t>
            </w:r>
            <w:r>
              <w:rPr>
                <w:rFonts w:hint="eastAsia" w:ascii="宋体" w:hAnsi="宋体" w:eastAsia="宋体" w:cs="宋体"/>
                <w:color w:val="auto"/>
                <w:szCs w:val="21"/>
                <w:highlight w:val="none"/>
                <w:u w:val="single"/>
                <w:lang w:val="en-US" w:eastAsia="zh-CN"/>
              </w:rPr>
              <w:t>专业</w:t>
            </w:r>
            <w:r>
              <w:rPr>
                <w:rFonts w:hint="eastAsia" w:ascii="宋体" w:hAnsi="宋体" w:eastAsia="宋体" w:cs="宋体"/>
                <w:color w:val="auto"/>
                <w:sz w:val="21"/>
                <w:szCs w:val="21"/>
                <w:highlight w:val="none"/>
                <w:u w:val="single"/>
                <w:lang w:val="en-US" w:eastAsia="zh-CN"/>
              </w:rPr>
              <w:t>一级</w:t>
            </w:r>
            <w:r>
              <w:rPr>
                <w:rFonts w:hint="eastAsia" w:ascii="宋体" w:hAnsi="宋体" w:eastAsia="宋体" w:cs="宋体"/>
                <w:color w:val="auto"/>
                <w:szCs w:val="21"/>
                <w:highlight w:val="none"/>
                <w:u w:val="single"/>
                <w:lang w:val="en-US" w:eastAsia="zh-CN"/>
              </w:rPr>
              <w:t>和建筑</w:t>
            </w:r>
            <w:r>
              <w:rPr>
                <w:rFonts w:hint="eastAsia" w:ascii="宋体" w:hAnsi="宋体" w:eastAsia="宋体" w:cs="宋体"/>
                <w:color w:val="auto"/>
                <w:szCs w:val="21"/>
                <w:highlight w:val="none"/>
                <w:u w:val="single"/>
                <w:lang w:eastAsia="zh-CN"/>
              </w:rPr>
              <w:t>工程</w:t>
            </w:r>
            <w:r>
              <w:rPr>
                <w:rFonts w:hint="eastAsia" w:ascii="宋体" w:hAnsi="宋体" w:eastAsia="宋体" w:cs="宋体"/>
                <w:color w:val="auto"/>
                <w:szCs w:val="21"/>
                <w:highlight w:val="none"/>
                <w:u w:val="single"/>
                <w:lang w:val="en-US" w:eastAsia="zh-CN"/>
              </w:rPr>
              <w:t>专业二级及以上</w:t>
            </w:r>
            <w:r>
              <w:rPr>
                <w:rFonts w:hint="eastAsia" w:ascii="宋体" w:hAnsi="宋体" w:eastAsia="宋体" w:cs="宋体"/>
                <w:color w:val="auto"/>
                <w:szCs w:val="21"/>
                <w:highlight w:val="none"/>
                <w:u w:val="single"/>
              </w:rPr>
              <w:t>注册建造师</w:t>
            </w:r>
            <w:r>
              <w:rPr>
                <w:rFonts w:hint="eastAsia" w:ascii="宋体" w:hAnsi="宋体" w:eastAsia="宋体" w:cs="宋体"/>
                <w:color w:val="auto"/>
                <w:szCs w:val="21"/>
                <w:highlight w:val="none"/>
                <w:u w:val="single"/>
                <w:lang w:val="en-US" w:eastAsia="zh-CN"/>
              </w:rPr>
              <w:t>资格</w:t>
            </w:r>
            <w:r>
              <w:rPr>
                <w:rFonts w:hint="eastAsia" w:ascii="宋体" w:hAnsi="宋体" w:eastAsia="宋体" w:cs="宋体"/>
                <w:color w:val="auto"/>
                <w:szCs w:val="21"/>
                <w:highlight w:val="none"/>
                <w:u w:val="single"/>
              </w:rPr>
              <w:t>，具备有效的安全生产考核合格(B类)证书</w:t>
            </w:r>
            <w:r>
              <w:rPr>
                <w:rFonts w:hint="eastAsia" w:ascii="宋体" w:hAnsi="宋体" w:eastAsia="宋体" w:cs="宋体"/>
                <w:color w:val="auto"/>
                <w:szCs w:val="21"/>
                <w:highlight w:val="none"/>
                <w:u w:val="single"/>
                <w:lang w:eastAsia="zh-CN"/>
              </w:rPr>
              <w:t>（</w:t>
            </w:r>
            <w:r>
              <w:rPr>
                <w:rFonts w:hint="eastAsia" w:ascii="宋体" w:hAnsi="宋体" w:eastAsia="宋体" w:cs="宋体"/>
                <w:color w:val="auto"/>
                <w:szCs w:val="21"/>
                <w:highlight w:val="none"/>
                <w:u w:val="single"/>
                <w:lang w:val="en-US" w:eastAsia="zh-CN"/>
              </w:rPr>
              <w:t>若以联合体形式参加本项目投标，</w:t>
            </w:r>
            <w:r>
              <w:rPr>
                <w:rFonts w:hint="eastAsia" w:ascii="宋体" w:hAnsi="宋体" w:eastAsia="宋体" w:cs="宋体"/>
                <w:color w:val="auto"/>
                <w:kern w:val="0"/>
                <w:szCs w:val="21"/>
                <w:highlight w:val="none"/>
                <w:u w:val="single"/>
              </w:rPr>
              <w:t>联合体成员方</w:t>
            </w:r>
            <w:r>
              <w:rPr>
                <w:rFonts w:hint="eastAsia" w:ascii="宋体" w:hAnsi="宋体" w:eastAsia="宋体" w:cs="宋体"/>
                <w:color w:val="auto"/>
                <w:kern w:val="0"/>
                <w:szCs w:val="21"/>
                <w:highlight w:val="none"/>
                <w:u w:val="single"/>
                <w:lang w:val="en-US" w:eastAsia="zh-CN"/>
              </w:rPr>
              <w:t>且</w:t>
            </w:r>
            <w:r>
              <w:rPr>
                <w:rFonts w:hint="eastAsia" w:ascii="宋体" w:hAnsi="宋体" w:eastAsia="宋体" w:cs="宋体"/>
                <w:color w:val="auto"/>
                <w:kern w:val="0"/>
                <w:szCs w:val="21"/>
                <w:highlight w:val="none"/>
                <w:u w:val="single"/>
              </w:rPr>
              <w:t>派驻项目经理（建造师）B岗</w:t>
            </w:r>
            <w:r>
              <w:rPr>
                <w:rFonts w:hint="eastAsia" w:ascii="宋体" w:hAnsi="宋体" w:eastAsia="宋体" w:cs="宋体"/>
                <w:color w:val="auto"/>
                <w:szCs w:val="21"/>
                <w:highlight w:val="none"/>
                <w:u w:val="single"/>
                <w:lang w:eastAsia="zh-CN"/>
              </w:rPr>
              <w:t>）的，</w:t>
            </w:r>
            <w:r>
              <w:rPr>
                <w:rFonts w:hint="eastAsia" w:ascii="宋体" w:hAnsi="宋体" w:eastAsia="宋体" w:cs="宋体"/>
                <w:color w:val="auto"/>
                <w:kern w:val="0"/>
                <w:szCs w:val="21"/>
                <w:highlight w:val="none"/>
                <w:u w:val="single"/>
              </w:rPr>
              <w:t>联合体投标牵头方派驻项目经理（建造师）A岗</w:t>
            </w:r>
            <w:r>
              <w:rPr>
                <w:rFonts w:hint="eastAsia" w:ascii="宋体" w:hAnsi="宋体" w:eastAsia="宋体" w:cs="宋体"/>
                <w:color w:val="auto"/>
                <w:kern w:val="0"/>
                <w:szCs w:val="21"/>
                <w:highlight w:val="none"/>
                <w:u w:val="single"/>
                <w:lang w:val="en-US" w:eastAsia="zh-CN"/>
              </w:rPr>
              <w:t>必须具有</w:t>
            </w:r>
            <w:r>
              <w:rPr>
                <w:rFonts w:hint="eastAsia" w:ascii="宋体" w:hAnsi="宋体" w:eastAsia="宋体" w:cs="宋体"/>
                <w:color w:val="auto"/>
                <w:szCs w:val="21"/>
                <w:highlight w:val="none"/>
                <w:u w:val="single"/>
                <w:lang w:val="en-US" w:eastAsia="zh-CN"/>
              </w:rPr>
              <w:t>机电</w:t>
            </w:r>
            <w:r>
              <w:rPr>
                <w:rFonts w:hint="eastAsia" w:ascii="宋体" w:hAnsi="宋体" w:eastAsia="宋体" w:cs="宋体"/>
                <w:color w:val="auto"/>
                <w:szCs w:val="21"/>
                <w:highlight w:val="none"/>
                <w:u w:val="single"/>
                <w:lang w:eastAsia="zh-CN"/>
              </w:rPr>
              <w:t>工程</w:t>
            </w:r>
            <w:r>
              <w:rPr>
                <w:rFonts w:hint="eastAsia" w:ascii="宋体" w:hAnsi="宋体" w:eastAsia="宋体" w:cs="宋体"/>
                <w:color w:val="auto"/>
                <w:sz w:val="21"/>
                <w:szCs w:val="21"/>
                <w:highlight w:val="none"/>
                <w:u w:val="single"/>
                <w:lang w:val="en-US" w:eastAsia="zh-CN"/>
              </w:rPr>
              <w:t>一级</w:t>
            </w:r>
            <w:r>
              <w:rPr>
                <w:rFonts w:hint="eastAsia" w:ascii="宋体" w:hAnsi="宋体" w:eastAsia="宋体" w:cs="宋体"/>
                <w:color w:val="auto"/>
                <w:szCs w:val="21"/>
                <w:highlight w:val="none"/>
                <w:u w:val="single"/>
              </w:rPr>
              <w:t>注册建造师</w:t>
            </w:r>
            <w:r>
              <w:rPr>
                <w:rFonts w:hint="eastAsia" w:ascii="宋体" w:hAnsi="宋体" w:eastAsia="宋体" w:cs="宋体"/>
                <w:color w:val="auto"/>
                <w:szCs w:val="21"/>
                <w:highlight w:val="none"/>
                <w:u w:val="single"/>
                <w:lang w:val="en-US" w:eastAsia="zh-CN"/>
              </w:rPr>
              <w:t>资格和</w:t>
            </w:r>
            <w:r>
              <w:rPr>
                <w:rFonts w:hint="eastAsia" w:ascii="宋体" w:hAnsi="宋体" w:eastAsia="宋体" w:cs="宋体"/>
                <w:color w:val="auto"/>
                <w:szCs w:val="21"/>
                <w:highlight w:val="none"/>
                <w:u w:val="single"/>
              </w:rPr>
              <w:t>有效的安全生产考核合格(B类)证书</w:t>
            </w:r>
            <w:r>
              <w:rPr>
                <w:rFonts w:hint="eastAsia" w:ascii="宋体" w:hAnsi="宋体" w:eastAsia="宋体" w:cs="宋体"/>
                <w:color w:val="auto"/>
                <w:szCs w:val="21"/>
                <w:highlight w:val="none"/>
                <w:u w:val="single"/>
                <w:lang w:eastAsia="zh-CN"/>
              </w:rPr>
              <w:t>；</w:t>
            </w:r>
            <w:r>
              <w:rPr>
                <w:rFonts w:hint="eastAsia" w:ascii="宋体" w:hAnsi="宋体" w:eastAsia="宋体" w:cs="宋体"/>
                <w:color w:val="auto"/>
                <w:kern w:val="0"/>
                <w:szCs w:val="21"/>
                <w:highlight w:val="none"/>
                <w:u w:val="single"/>
              </w:rPr>
              <w:t>联合体成员方派驻项目经理（建造师）B岗</w:t>
            </w:r>
            <w:r>
              <w:rPr>
                <w:rFonts w:hint="eastAsia" w:ascii="宋体" w:hAnsi="宋体" w:eastAsia="宋体" w:cs="宋体"/>
                <w:color w:val="auto"/>
                <w:szCs w:val="21"/>
                <w:highlight w:val="none"/>
                <w:u w:val="single"/>
                <w:lang w:eastAsia="zh-CN"/>
              </w:rPr>
              <w:t>）</w:t>
            </w:r>
            <w:r>
              <w:rPr>
                <w:rFonts w:hint="eastAsia" w:ascii="宋体" w:hAnsi="宋体" w:eastAsia="宋体" w:cs="宋体"/>
                <w:color w:val="auto"/>
                <w:kern w:val="0"/>
                <w:szCs w:val="21"/>
                <w:highlight w:val="none"/>
                <w:u w:val="single"/>
                <w:lang w:val="en-US" w:eastAsia="zh-CN"/>
              </w:rPr>
              <w:t>必须具有</w:t>
            </w:r>
            <w:r>
              <w:rPr>
                <w:rFonts w:hint="eastAsia" w:ascii="宋体" w:hAnsi="宋体" w:eastAsia="宋体" w:cs="宋体"/>
                <w:color w:val="auto"/>
                <w:szCs w:val="21"/>
                <w:highlight w:val="none"/>
                <w:u w:val="single"/>
                <w:lang w:val="en-US" w:eastAsia="zh-CN"/>
              </w:rPr>
              <w:t>建筑</w:t>
            </w:r>
            <w:r>
              <w:rPr>
                <w:rFonts w:hint="eastAsia" w:ascii="宋体" w:hAnsi="宋体" w:eastAsia="宋体" w:cs="宋体"/>
                <w:color w:val="auto"/>
                <w:szCs w:val="21"/>
                <w:highlight w:val="none"/>
                <w:u w:val="single"/>
                <w:lang w:eastAsia="zh-CN"/>
              </w:rPr>
              <w:t>工程</w:t>
            </w:r>
            <w:r>
              <w:rPr>
                <w:rFonts w:hint="eastAsia" w:ascii="宋体" w:hAnsi="宋体" w:eastAsia="宋体" w:cs="宋体"/>
                <w:color w:val="auto"/>
                <w:szCs w:val="21"/>
                <w:highlight w:val="none"/>
                <w:u w:val="single"/>
                <w:lang w:val="en-US" w:eastAsia="zh-CN"/>
              </w:rPr>
              <w:t>二级及以上</w:t>
            </w:r>
            <w:r>
              <w:rPr>
                <w:rFonts w:hint="eastAsia" w:ascii="宋体" w:hAnsi="宋体" w:eastAsia="宋体" w:cs="宋体"/>
                <w:color w:val="auto"/>
                <w:szCs w:val="21"/>
                <w:highlight w:val="none"/>
                <w:u w:val="single"/>
              </w:rPr>
              <w:t>注册建造师</w:t>
            </w:r>
            <w:r>
              <w:rPr>
                <w:rFonts w:hint="eastAsia" w:ascii="宋体" w:hAnsi="宋体" w:eastAsia="宋体" w:cs="宋体"/>
                <w:color w:val="auto"/>
                <w:szCs w:val="21"/>
                <w:highlight w:val="none"/>
                <w:u w:val="single"/>
                <w:lang w:val="en-US" w:eastAsia="zh-CN"/>
              </w:rPr>
              <w:t>资格和</w:t>
            </w:r>
            <w:r>
              <w:rPr>
                <w:rFonts w:hint="eastAsia" w:ascii="宋体" w:hAnsi="宋体" w:eastAsia="宋体" w:cs="宋体"/>
                <w:color w:val="auto"/>
                <w:szCs w:val="21"/>
                <w:highlight w:val="none"/>
                <w:u w:val="single"/>
              </w:rPr>
              <w:t>有效的安全生产考核合格(B类)证书</w:t>
            </w:r>
            <w:r>
              <w:rPr>
                <w:rFonts w:hint="eastAsia" w:ascii="宋体" w:hAnsi="宋体" w:eastAsia="宋体" w:cs="宋体"/>
                <w:color w:val="auto"/>
                <w:szCs w:val="21"/>
                <w:highlight w:val="none"/>
                <w:u w:val="single"/>
                <w:lang w:eastAsia="zh-CN"/>
              </w:rPr>
              <w:t>）。</w:t>
            </w:r>
            <w:r>
              <w:rPr>
                <w:rFonts w:hint="eastAsia" w:ascii="宋体" w:hAnsi="宋体" w:eastAsia="宋体" w:cs="宋体"/>
                <w:color w:val="auto"/>
                <w:sz w:val="21"/>
                <w:szCs w:val="21"/>
                <w:highlight w:val="none"/>
              </w:rPr>
              <w:t>本项目不接受投标截止时间前六个月内在滁州市区域内办理过项目经理（建造师）变更备案手续的原项目经理（建造师）作为拟任项目经理（建造师）参加投标</w:t>
            </w:r>
            <w:r>
              <w:rPr>
                <w:rFonts w:hint="eastAsia" w:ascii="宋体" w:hAnsi="宋体" w:eastAsia="宋体" w:cs="宋体"/>
                <w:color w:val="auto"/>
                <w:sz w:val="21"/>
                <w:szCs w:val="21"/>
                <w:highlight w:val="none"/>
                <w:lang w:eastAsia="zh-CN"/>
              </w:rPr>
              <w:t>。</w:t>
            </w:r>
          </w:p>
        </w:tc>
      </w:tr>
      <w:tr w14:paraId="2E1AF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510198A3">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信誉要求</w:t>
            </w:r>
          </w:p>
        </w:tc>
        <w:tc>
          <w:tcPr>
            <w:tcW w:w="8313" w:type="dxa"/>
            <w:noWrap w:val="0"/>
            <w:vAlign w:val="center"/>
          </w:tcPr>
          <w:p w14:paraId="4F71D551">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投标人存在以下情形之一的，不得被确定为中标人：</w:t>
            </w:r>
          </w:p>
          <w:p w14:paraId="0D03D177">
            <w:pPr>
              <w:keepNext w:val="0"/>
              <w:keepLines w:val="0"/>
              <w:pageBreakBefore w:val="0"/>
              <w:widowControl/>
              <w:kinsoku/>
              <w:overflowPunct/>
              <w:topLinePunct w:val="0"/>
              <w:autoSpaceDE/>
              <w:autoSpaceDN/>
              <w:bidi w:val="0"/>
              <w:spacing w:line="500" w:lineRule="exact"/>
              <w:ind w:left="105" w:hanging="105" w:hangingChars="5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①被列入“信用中国”网站“失信被执行人”的;</w:t>
            </w:r>
          </w:p>
          <w:p w14:paraId="58DF8AF3">
            <w:pPr>
              <w:keepNext w:val="0"/>
              <w:keepLines w:val="0"/>
              <w:pageBreakBefore w:val="0"/>
              <w:widowControl/>
              <w:kinsoku/>
              <w:overflowPunct/>
              <w:topLinePunct w:val="0"/>
              <w:autoSpaceDE/>
              <w:autoSpaceDN/>
              <w:bidi w:val="0"/>
              <w:spacing w:line="500" w:lineRule="exact"/>
              <w:ind w:left="105" w:hanging="105" w:hangingChars="5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②被列入“信用中国”网站“重大税收违法失信主体”的；</w:t>
            </w:r>
          </w:p>
          <w:p w14:paraId="6199BDA5">
            <w:pPr>
              <w:keepNext w:val="0"/>
              <w:keepLines w:val="0"/>
              <w:pageBreakBefore w:val="0"/>
              <w:widowControl/>
              <w:kinsoku/>
              <w:overflowPunct/>
              <w:topLinePunct w:val="0"/>
              <w:autoSpaceDE/>
              <w:autoSpaceDN/>
              <w:bidi w:val="0"/>
              <w:spacing w:line="500" w:lineRule="exact"/>
              <w:ind w:left="105" w:hanging="105" w:hangingChars="5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③被列入“信用中国”网站“拖欠农民工工资失信联合惩戒对象名单”的；</w:t>
            </w:r>
          </w:p>
          <w:p w14:paraId="648E937B">
            <w:pPr>
              <w:keepNext w:val="0"/>
              <w:keepLines w:val="0"/>
              <w:pageBreakBefore w:val="0"/>
              <w:widowControl/>
              <w:kinsoku/>
              <w:overflowPunct/>
              <w:topLinePunct w:val="0"/>
              <w:autoSpaceDE/>
              <w:autoSpaceDN/>
              <w:bidi w:val="0"/>
              <w:spacing w:line="500" w:lineRule="exact"/>
              <w:ind w:left="105" w:hanging="105" w:hangingChars="5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④被列入“信用中国”网站 “严重失信主体名单”的；</w:t>
            </w:r>
          </w:p>
          <w:p w14:paraId="769BB5BE">
            <w:pPr>
              <w:keepNext w:val="0"/>
              <w:keepLines w:val="0"/>
              <w:pageBreakBefore w:val="0"/>
              <w:widowControl/>
              <w:kinsoku/>
              <w:overflowPunct/>
              <w:topLinePunct w:val="0"/>
              <w:autoSpaceDE/>
              <w:autoSpaceDN/>
              <w:bidi w:val="0"/>
              <w:spacing w:line="500" w:lineRule="exact"/>
              <w:ind w:left="105" w:hanging="105" w:hangingChars="5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⑤在“信用中国”网站上披露的仍在公示期的严重失信行为(具体行为类别及判定依据见附件2)的。</w:t>
            </w:r>
          </w:p>
          <w:p w14:paraId="5ADEF9D2">
            <w:pPr>
              <w:keepNext w:val="0"/>
              <w:keepLines w:val="0"/>
              <w:pageBreakBefore w:val="0"/>
              <w:widowControl/>
              <w:kinsoku/>
              <w:overflowPunct/>
              <w:topLinePunct w:val="0"/>
              <w:autoSpaceDE/>
              <w:autoSpaceDN/>
              <w:bidi w:val="0"/>
              <w:spacing w:line="500" w:lineRule="exact"/>
              <w:ind w:left="105" w:hanging="105" w:hangingChars="5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⑥被列入国家企业信用信息公示系统网站“经营异常名录”或者“严重违法失信名单”的。</w:t>
            </w:r>
          </w:p>
          <w:p w14:paraId="5F1D9DE0">
            <w:pPr>
              <w:keepNext w:val="0"/>
              <w:keepLines w:val="0"/>
              <w:pageBreakBefore w:val="0"/>
              <w:widowControl/>
              <w:kinsoku/>
              <w:overflowPunct/>
              <w:topLinePunct w:val="0"/>
              <w:autoSpaceDE/>
              <w:autoSpaceDN/>
              <w:bidi w:val="0"/>
              <w:spacing w:line="500" w:lineRule="exact"/>
              <w:ind w:left="105" w:hanging="105" w:hangingChars="5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⑦前三年有行贿犯罪行为的单位和个人；</w:t>
            </w:r>
          </w:p>
          <w:p w14:paraId="70698E8F">
            <w:pPr>
              <w:keepNext w:val="0"/>
              <w:keepLines w:val="0"/>
              <w:pageBreakBefore w:val="0"/>
              <w:widowControl/>
              <w:kinsoku/>
              <w:overflowPunct/>
              <w:topLinePunct w:val="0"/>
              <w:autoSpaceDE/>
              <w:autoSpaceDN/>
              <w:bidi w:val="0"/>
              <w:spacing w:line="500" w:lineRule="exact"/>
              <w:ind w:left="105" w:hanging="105" w:hangingChars="5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⑧被滁州市县两级公管部门及各行业主管部门取消在一定期限内的投标资格且在取消期限内的；</w:t>
            </w:r>
          </w:p>
          <w:p w14:paraId="413D47FD">
            <w:pPr>
              <w:keepNext w:val="0"/>
              <w:keepLines w:val="0"/>
              <w:pageBreakBefore w:val="0"/>
              <w:widowControl/>
              <w:kinsoku/>
              <w:overflowPunct/>
              <w:topLinePunct w:val="0"/>
              <w:autoSpaceDE/>
              <w:autoSpaceDN/>
              <w:bidi w:val="0"/>
              <w:spacing w:line="500" w:lineRule="exact"/>
              <w:ind w:left="105" w:hanging="105" w:hangingChars="5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⑨因拖欠农民工工资被县级及以上有关行政主管部门限制投标资格且在限制期限内的；</w:t>
            </w:r>
          </w:p>
          <w:p w14:paraId="11767ECA">
            <w:pPr>
              <w:keepNext w:val="0"/>
              <w:keepLines w:val="0"/>
              <w:pageBreakBefore w:val="0"/>
              <w:widowControl/>
              <w:kinsoku/>
              <w:overflowPunct/>
              <w:topLinePunct w:val="0"/>
              <w:autoSpaceDE/>
              <w:autoSpaceDN/>
              <w:bidi w:val="0"/>
              <w:spacing w:line="500" w:lineRule="exact"/>
              <w:ind w:left="105" w:hanging="105" w:hangingChars="5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⑩被列入省级、市级农民工工资支付异常名录的施工企业，在限制其参加全市范围内房建和市政工程建设项目投标的期限内的；列入县级异常名录的施工企业，在限制其参加本行政区域内房建和市政建设项目投标的期限内的。</w:t>
            </w:r>
          </w:p>
          <w:p w14:paraId="6A06FE26">
            <w:pPr>
              <w:keepNext w:val="0"/>
              <w:keepLines w:val="0"/>
              <w:pageBreakBefore w:val="0"/>
              <w:widowControl/>
              <w:kinsoku/>
              <w:overflowPunct/>
              <w:topLinePunct w:val="0"/>
              <w:autoSpaceDE/>
              <w:autoSpaceDN/>
              <w:bidi w:val="0"/>
              <w:spacing w:line="500" w:lineRule="exact"/>
              <w:ind w:left="105" w:hanging="105" w:hangingChars="5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投标人所属分公司、办事处等分支机构存在第1条信誉要求①-⑩项情形之一的，</w:t>
            </w:r>
            <w:r>
              <w:rPr>
                <w:rFonts w:hint="eastAsia" w:ascii="宋体" w:hAnsi="宋体" w:eastAsia="宋体" w:cs="宋体"/>
                <w:color w:val="auto"/>
                <w:kern w:val="0"/>
                <w:sz w:val="21"/>
                <w:szCs w:val="21"/>
                <w:highlight w:val="none"/>
              </w:rPr>
              <w:t>接受</w:t>
            </w:r>
            <w:r>
              <w:rPr>
                <w:rFonts w:hint="eastAsia" w:ascii="宋体" w:hAnsi="宋体" w:eastAsia="宋体" w:cs="宋体"/>
                <w:color w:val="auto"/>
                <w:sz w:val="21"/>
                <w:szCs w:val="21"/>
                <w:highlight w:val="none"/>
              </w:rPr>
              <w:t>其被确定为中标人。</w:t>
            </w:r>
          </w:p>
          <w:p w14:paraId="59124424">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备注：第1、2条按照附件1“关于联合惩戒失信行为加强信用查询管理的通知”查询或承诺。</w:t>
            </w:r>
          </w:p>
        </w:tc>
      </w:tr>
      <w:tr w14:paraId="466B3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42B66BC4">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联合体投标</w:t>
            </w:r>
          </w:p>
        </w:tc>
        <w:tc>
          <w:tcPr>
            <w:tcW w:w="8313" w:type="dxa"/>
            <w:noWrap w:val="0"/>
            <w:vAlign w:val="center"/>
          </w:tcPr>
          <w:p w14:paraId="082A677B">
            <w:pPr>
              <w:widowControl/>
              <w:adjustRightInd w:val="0"/>
              <w:snapToGrid w:val="0"/>
              <w:spacing w:line="560" w:lineRule="exact"/>
              <w:jc w:val="left"/>
              <w:rPr>
                <w:rFonts w:ascii="宋体" w:hAnsi="宋体" w:cs="宋体"/>
                <w:color w:val="auto"/>
                <w:kern w:val="0"/>
                <w:highlight w:val="none"/>
              </w:rPr>
            </w:pPr>
            <w:r>
              <w:rPr>
                <w:rFonts w:hint="eastAsia"/>
                <w:color w:val="auto"/>
                <w:highlight w:val="none"/>
              </w:rPr>
              <w:t>本次招标</w:t>
            </w:r>
            <w:r>
              <w:rPr>
                <w:rFonts w:hint="eastAsia" w:ascii="宋体" w:hAnsi="宋体" w:cs="宋体"/>
                <w:color w:val="auto"/>
                <w:kern w:val="0"/>
                <w:highlight w:val="none"/>
              </w:rPr>
              <w:t>接受</w:t>
            </w:r>
            <w:r>
              <w:rPr>
                <w:rFonts w:hint="eastAsia"/>
                <w:color w:val="auto"/>
                <w:highlight w:val="none"/>
              </w:rPr>
              <w:t>联合体投标</w:t>
            </w:r>
            <w:r>
              <w:rPr>
                <w:rFonts w:hint="eastAsia" w:ascii="宋体" w:hAnsi="宋体" w:cs="宋体"/>
                <w:color w:val="auto"/>
                <w:kern w:val="0"/>
                <w:highlight w:val="none"/>
              </w:rPr>
              <w:t>，应满足下列要求：</w:t>
            </w:r>
          </w:p>
          <w:p w14:paraId="3A31A6ED">
            <w:pPr>
              <w:widowControl/>
              <w:adjustRightInd w:val="0"/>
              <w:snapToGrid w:val="0"/>
              <w:spacing w:line="560" w:lineRule="exact"/>
              <w:jc w:val="left"/>
              <w:rPr>
                <w:rFonts w:hint="eastAsia" w:ascii="宋体" w:hAnsi="宋体" w:cs="宋体"/>
                <w:bCs/>
                <w:color w:val="auto"/>
                <w:kern w:val="0"/>
                <w:szCs w:val="21"/>
                <w:highlight w:val="none"/>
              </w:rPr>
            </w:pPr>
            <w:bookmarkStart w:id="12" w:name="OLE_LINK37"/>
            <w:r>
              <w:rPr>
                <w:rFonts w:hint="eastAsia" w:ascii="宋体" w:hAnsi="宋体" w:cs="宋体"/>
                <w:bCs/>
                <w:color w:val="auto"/>
                <w:kern w:val="0"/>
                <w:szCs w:val="21"/>
                <w:highlight w:val="none"/>
              </w:rPr>
              <w:t>1、</w:t>
            </w:r>
            <w:r>
              <w:rPr>
                <w:rFonts w:hint="eastAsia" w:ascii="宋体" w:hAnsi="宋体" w:cs="宋体"/>
                <w:bCs/>
                <w:color w:val="auto"/>
                <w:kern w:val="0"/>
                <w:szCs w:val="21"/>
                <w:highlight w:val="none"/>
                <w:lang w:val="en-US" w:eastAsia="zh-CN"/>
              </w:rPr>
              <w:t>若为联合体投标，联合体牵头方须为具备机电工程施工总承包一级资质，成员方须为具备建筑工程施工总承包三级及以上资质单位</w:t>
            </w:r>
            <w:r>
              <w:rPr>
                <w:rFonts w:hint="eastAsia" w:ascii="宋体" w:hAnsi="宋体" w:cs="宋体"/>
                <w:bCs/>
                <w:color w:val="auto"/>
                <w:kern w:val="0"/>
                <w:szCs w:val="21"/>
                <w:highlight w:val="none"/>
              </w:rPr>
              <w:t>。</w:t>
            </w:r>
          </w:p>
          <w:p w14:paraId="76A81E11">
            <w:pPr>
              <w:widowControl/>
              <w:adjustRightInd w:val="0"/>
              <w:snapToGrid w:val="0"/>
              <w:spacing w:line="560" w:lineRule="exact"/>
              <w:jc w:val="left"/>
              <w:rPr>
                <w:rFonts w:ascii="宋体" w:hAnsi="宋体" w:cs="宋体"/>
                <w:color w:val="auto"/>
                <w:kern w:val="0"/>
                <w:szCs w:val="21"/>
                <w:highlight w:val="none"/>
              </w:rPr>
            </w:pPr>
            <w:r>
              <w:rPr>
                <w:rFonts w:hint="eastAsia" w:ascii="宋体" w:hAnsi="宋体" w:cs="宋体"/>
                <w:bCs/>
                <w:color w:val="auto"/>
                <w:kern w:val="0"/>
                <w:szCs w:val="21"/>
                <w:highlight w:val="none"/>
              </w:rPr>
              <w:t>2、联合体参加投标的，</w:t>
            </w:r>
            <w:r>
              <w:rPr>
                <w:rFonts w:hint="eastAsia" w:ascii="宋体" w:hAnsi="宋体" w:cs="宋体"/>
                <w:b/>
                <w:color w:val="auto"/>
                <w:kern w:val="0"/>
                <w:szCs w:val="21"/>
                <w:highlight w:val="none"/>
              </w:rPr>
              <w:t xml:space="preserve">联合体（牵头方和成员方）总数不得超过 </w:t>
            </w:r>
            <w:r>
              <w:rPr>
                <w:rFonts w:hint="eastAsia" w:ascii="宋体" w:hAnsi="宋体" w:cs="宋体"/>
                <w:b/>
                <w:color w:val="auto"/>
                <w:kern w:val="0"/>
                <w:szCs w:val="21"/>
                <w:highlight w:val="none"/>
                <w:u w:val="single"/>
              </w:rPr>
              <w:t>不得2</w:t>
            </w:r>
            <w:r>
              <w:rPr>
                <w:rFonts w:hint="eastAsia" w:ascii="宋体" w:hAnsi="宋体" w:cs="宋体"/>
                <w:b/>
                <w:color w:val="auto"/>
                <w:kern w:val="0"/>
                <w:szCs w:val="21"/>
                <w:highlight w:val="none"/>
              </w:rPr>
              <w:t>家</w:t>
            </w:r>
            <w:r>
              <w:rPr>
                <w:color w:val="auto"/>
                <w:spacing w:val="-2"/>
                <w:szCs w:val="21"/>
                <w:highlight w:val="none"/>
              </w:rPr>
              <w:t>。</w:t>
            </w:r>
            <w:r>
              <w:rPr>
                <w:rFonts w:hint="eastAsia" w:ascii="宋体" w:hAnsi="宋体" w:cs="宋体"/>
                <w:bCs/>
                <w:color w:val="auto"/>
                <w:kern w:val="0"/>
                <w:szCs w:val="21"/>
                <w:highlight w:val="none"/>
              </w:rPr>
              <w:t>同一专业工程由一个单位承担的，按照承担单位资质确定资质等级；同一专业工程由两个单位共同承担的，按照资质等级较低的单位确定资质等级；不同专业工程由不同单位分别承担的，按照各单位的相应资质确定联合体</w:t>
            </w:r>
            <w:r>
              <w:rPr>
                <w:rFonts w:hint="eastAsia" w:ascii="宋体" w:hAnsi="宋体" w:cs="宋体"/>
                <w:color w:val="auto"/>
                <w:kern w:val="0"/>
                <w:szCs w:val="21"/>
                <w:highlight w:val="none"/>
              </w:rPr>
              <w:t>的资质。联合体牵头人和联合体成员按专业分工确定的联合体资质须满足招标文件的要求。</w:t>
            </w:r>
          </w:p>
          <w:p w14:paraId="57CEBD3B">
            <w:pPr>
              <w:widowControl/>
              <w:adjustRightInd w:val="0"/>
              <w:snapToGrid w:val="0"/>
              <w:spacing w:line="56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3、联合体参加投标的，招标文件下载、投标保证金缴纳、投标文件编制、电子签章、网上递交标书、解密等工作均由其牵头人负责办理，其他联合体成员方按招标文件要求提供相关材料即可。</w:t>
            </w:r>
          </w:p>
          <w:p w14:paraId="0D86B502">
            <w:pPr>
              <w:adjustRightInd w:val="0"/>
              <w:snapToGrid w:val="0"/>
              <w:spacing w:line="560" w:lineRule="exact"/>
              <w:rPr>
                <w:rFonts w:ascii="宋体" w:hAnsi="宋体" w:cs="宋体"/>
                <w:color w:val="auto"/>
                <w:kern w:val="0"/>
                <w:szCs w:val="21"/>
                <w:highlight w:val="none"/>
              </w:rPr>
            </w:pPr>
            <w:r>
              <w:rPr>
                <w:rFonts w:hint="eastAsia" w:ascii="宋体" w:hAnsi="宋体" w:cs="宋体"/>
                <w:color w:val="auto"/>
                <w:kern w:val="0"/>
                <w:szCs w:val="21"/>
                <w:highlight w:val="none"/>
              </w:rPr>
              <w:t>4、联合体参加投标的，一旦中标，联合体各方将向招标人承担连带责任，各方应服从招标人的管理。</w:t>
            </w:r>
          </w:p>
          <w:p w14:paraId="63EDEF81">
            <w:pPr>
              <w:spacing w:line="56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5、若为联合体投标的，联合体投标牵头方必须在投标文件中填报派驻项目经理（建造师）A岗，联合体成员方可根据项目情况自行选择是否在投标文件中填报派驻项目经理（建造师）B岗，若派驻，AB岗须满足项目经理资格要求。如联合体成员方没有在投标文件中填报派驻项目经理（建造师） B岗的，视为放弃填报派驻项目经理（建造师） B岗的权利，中标后不予填报增派。</w:t>
            </w:r>
          </w:p>
          <w:p w14:paraId="08C9DEA4">
            <w:pPr>
              <w:keepNext w:val="0"/>
              <w:keepLines w:val="0"/>
              <w:pageBreakBefore w:val="0"/>
              <w:widowControl/>
              <w:kinsoku/>
              <w:overflowPunct/>
              <w:topLinePunct w:val="0"/>
              <w:autoSpaceDE/>
              <w:autoSpaceDN/>
              <w:bidi w:val="0"/>
              <w:spacing w:line="500" w:lineRule="exact"/>
              <w:jc w:val="left"/>
              <w:textAlignment w:val="auto"/>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Cs w:val="21"/>
                <w:highlight w:val="none"/>
              </w:rPr>
              <w:t>6、联合体牵头人及成员单位共同对所提交的投标文件及相关证书材料的真实合规性负责。如联合体任一方出现保证金不予退还的情形，联合体所缴纳的投标保证金均不予退还。</w:t>
            </w:r>
            <w:bookmarkEnd w:id="12"/>
          </w:p>
        </w:tc>
      </w:tr>
      <w:tr w14:paraId="6D8EE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9" w:hRule="atLeast"/>
          <w:jc w:val="center"/>
        </w:trPr>
        <w:tc>
          <w:tcPr>
            <w:tcW w:w="1875" w:type="dxa"/>
            <w:noWrap w:val="0"/>
            <w:vAlign w:val="center"/>
          </w:tcPr>
          <w:p w14:paraId="085905AE">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多标段投标</w:t>
            </w:r>
          </w:p>
        </w:tc>
        <w:tc>
          <w:tcPr>
            <w:tcW w:w="8313" w:type="dxa"/>
            <w:noWrap w:val="0"/>
            <w:vAlign w:val="center"/>
          </w:tcPr>
          <w:p w14:paraId="3466A6FF">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各投标人均可就本招标项目上述标段中的</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(具体数量)</w:t>
            </w:r>
            <w:r>
              <w:rPr>
                <w:rFonts w:hint="eastAsia" w:ascii="宋体" w:hAnsi="宋体" w:eastAsia="宋体" w:cs="宋体"/>
                <w:color w:val="auto"/>
                <w:sz w:val="21"/>
                <w:szCs w:val="21"/>
                <w:highlight w:val="none"/>
              </w:rPr>
              <w:t>个标段投标，但最多允许中标</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(具体数量)</w:t>
            </w:r>
            <w:r>
              <w:rPr>
                <w:rFonts w:hint="eastAsia" w:ascii="宋体" w:hAnsi="宋体" w:eastAsia="宋体" w:cs="宋体"/>
                <w:color w:val="auto"/>
                <w:sz w:val="21"/>
                <w:szCs w:val="21"/>
                <w:highlight w:val="none"/>
              </w:rPr>
              <w:t>个标段(适用于分标段的招标项目)。（关于多标段投标的其他说明）。</w:t>
            </w:r>
          </w:p>
        </w:tc>
      </w:tr>
      <w:tr w14:paraId="01F5F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3501FD32">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其他要求</w:t>
            </w:r>
          </w:p>
        </w:tc>
        <w:tc>
          <w:tcPr>
            <w:tcW w:w="8313" w:type="dxa"/>
            <w:noWrap w:val="0"/>
            <w:vAlign w:val="center"/>
          </w:tcPr>
          <w:p w14:paraId="32146666">
            <w:pPr>
              <w:keepNext w:val="0"/>
              <w:keepLines w:val="0"/>
              <w:pageBreakBefore w:val="0"/>
              <w:kinsoku/>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w:t>
            </w:r>
          </w:p>
        </w:tc>
      </w:tr>
      <w:tr w14:paraId="1346A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8" w:type="dxa"/>
            <w:gridSpan w:val="2"/>
            <w:noWrap w:val="0"/>
            <w:vAlign w:val="center"/>
          </w:tcPr>
          <w:p w14:paraId="09A06A99">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招标文件的获取</w:t>
            </w:r>
          </w:p>
        </w:tc>
      </w:tr>
      <w:tr w14:paraId="64B08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479348A5">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获取时间</w:t>
            </w:r>
          </w:p>
        </w:tc>
        <w:tc>
          <w:tcPr>
            <w:tcW w:w="8313" w:type="dxa"/>
            <w:noWrap w:val="0"/>
            <w:vAlign w:val="center"/>
          </w:tcPr>
          <w:p w14:paraId="4F678C6A">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bCs/>
                <w:snapToGrid w:val="0"/>
                <w:color w:val="auto"/>
                <w:kern w:val="0"/>
                <w:sz w:val="21"/>
                <w:szCs w:val="21"/>
                <w:highlight w:val="none"/>
                <w:u w:val="single"/>
                <w:lang w:val="en-US" w:eastAsia="zh-CN"/>
              </w:rPr>
              <w:t>2026</w:t>
            </w:r>
            <w:r>
              <w:rPr>
                <w:rFonts w:hint="eastAsia" w:ascii="宋体" w:hAnsi="宋体" w:eastAsia="宋体" w:cs="宋体"/>
                <w:bCs/>
                <w:snapToGrid w:val="0"/>
                <w:color w:val="auto"/>
                <w:kern w:val="0"/>
                <w:sz w:val="21"/>
                <w:szCs w:val="21"/>
                <w:highlight w:val="none"/>
              </w:rPr>
              <w:t>年</w:t>
            </w:r>
            <w:r>
              <w:rPr>
                <w:rFonts w:hint="eastAsia" w:ascii="宋体" w:hAnsi="宋体" w:cs="宋体"/>
                <w:bCs/>
                <w:snapToGrid w:val="0"/>
                <w:color w:val="auto"/>
                <w:kern w:val="0"/>
                <w:sz w:val="21"/>
                <w:szCs w:val="21"/>
                <w:highlight w:val="none"/>
                <w:u w:val="single"/>
                <w:lang w:val="en-US" w:eastAsia="zh-CN"/>
              </w:rPr>
              <w:t>7</w:t>
            </w:r>
            <w:r>
              <w:rPr>
                <w:rFonts w:hint="eastAsia" w:ascii="宋体" w:hAnsi="宋体" w:eastAsia="宋体" w:cs="宋体"/>
                <w:bCs/>
                <w:snapToGrid w:val="0"/>
                <w:color w:val="auto"/>
                <w:kern w:val="0"/>
                <w:sz w:val="21"/>
                <w:szCs w:val="21"/>
                <w:highlight w:val="none"/>
              </w:rPr>
              <w:t>月</w:t>
            </w:r>
            <w:r>
              <w:rPr>
                <w:rFonts w:hint="eastAsia" w:ascii="宋体" w:hAnsi="宋体" w:cs="宋体"/>
                <w:bCs/>
                <w:snapToGrid w:val="0"/>
                <w:color w:val="auto"/>
                <w:kern w:val="0"/>
                <w:sz w:val="21"/>
                <w:szCs w:val="21"/>
                <w:highlight w:val="none"/>
                <w:u w:val="single"/>
                <w:lang w:val="en-US" w:eastAsia="zh-CN"/>
              </w:rPr>
              <w:t>8</w:t>
            </w:r>
            <w:r>
              <w:rPr>
                <w:rFonts w:hint="eastAsia" w:ascii="宋体" w:hAnsi="宋体" w:eastAsia="宋体" w:cs="宋体"/>
                <w:bCs/>
                <w:snapToGrid w:val="0"/>
                <w:color w:val="auto"/>
                <w:kern w:val="0"/>
                <w:sz w:val="21"/>
                <w:szCs w:val="21"/>
                <w:highlight w:val="none"/>
              </w:rPr>
              <w:t>日</w:t>
            </w:r>
            <w:r>
              <w:rPr>
                <w:rFonts w:hint="eastAsia" w:ascii="宋体" w:hAnsi="宋体" w:eastAsia="宋体" w:cs="宋体"/>
                <w:bCs/>
                <w:snapToGrid w:val="0"/>
                <w:color w:val="auto"/>
                <w:kern w:val="0"/>
                <w:sz w:val="21"/>
                <w:szCs w:val="21"/>
                <w:highlight w:val="none"/>
                <w:u w:val="single"/>
              </w:rPr>
              <w:t xml:space="preserve"> </w:t>
            </w:r>
            <w:r>
              <w:rPr>
                <w:rFonts w:hint="eastAsia" w:ascii="宋体" w:hAnsi="宋体" w:eastAsia="宋体" w:cs="宋体"/>
                <w:bCs/>
                <w:snapToGrid w:val="0"/>
                <w:color w:val="auto"/>
                <w:kern w:val="0"/>
                <w:sz w:val="21"/>
                <w:szCs w:val="21"/>
                <w:highlight w:val="none"/>
                <w:u w:val="single"/>
                <w:lang w:val="en-US" w:eastAsia="zh-CN"/>
              </w:rPr>
              <w:t>17</w:t>
            </w:r>
            <w:r>
              <w:rPr>
                <w:rFonts w:hint="eastAsia" w:ascii="宋体" w:hAnsi="宋体" w:eastAsia="宋体" w:cs="宋体"/>
                <w:bCs/>
                <w:snapToGrid w:val="0"/>
                <w:color w:val="auto"/>
                <w:kern w:val="0"/>
                <w:sz w:val="21"/>
                <w:szCs w:val="21"/>
                <w:highlight w:val="none"/>
                <w:u w:val="single"/>
              </w:rPr>
              <w:t xml:space="preserve"> </w:t>
            </w:r>
            <w:r>
              <w:rPr>
                <w:rFonts w:hint="eastAsia" w:ascii="宋体" w:hAnsi="宋体" w:eastAsia="宋体" w:cs="宋体"/>
                <w:bCs/>
                <w:snapToGrid w:val="0"/>
                <w:color w:val="auto"/>
                <w:kern w:val="0"/>
                <w:sz w:val="21"/>
                <w:szCs w:val="21"/>
                <w:highlight w:val="none"/>
              </w:rPr>
              <w:t>时</w:t>
            </w:r>
            <w:r>
              <w:rPr>
                <w:rFonts w:hint="eastAsia" w:ascii="宋体" w:hAnsi="宋体" w:eastAsia="宋体" w:cs="宋体"/>
                <w:bCs/>
                <w:snapToGrid w:val="0"/>
                <w:color w:val="auto"/>
                <w:kern w:val="0"/>
                <w:sz w:val="21"/>
                <w:szCs w:val="21"/>
                <w:highlight w:val="none"/>
                <w:u w:val="single"/>
              </w:rPr>
              <w:t xml:space="preserve"> </w:t>
            </w:r>
            <w:r>
              <w:rPr>
                <w:rFonts w:hint="eastAsia" w:ascii="宋体" w:hAnsi="宋体" w:eastAsia="宋体" w:cs="宋体"/>
                <w:bCs/>
                <w:snapToGrid w:val="0"/>
                <w:color w:val="auto"/>
                <w:kern w:val="0"/>
                <w:sz w:val="21"/>
                <w:szCs w:val="21"/>
                <w:highlight w:val="none"/>
                <w:u w:val="single"/>
                <w:lang w:val="en-US" w:eastAsia="zh-CN"/>
              </w:rPr>
              <w:t>00</w:t>
            </w:r>
            <w:r>
              <w:rPr>
                <w:rFonts w:hint="eastAsia" w:ascii="宋体" w:hAnsi="宋体" w:eastAsia="宋体" w:cs="宋体"/>
                <w:bCs/>
                <w:snapToGrid w:val="0"/>
                <w:color w:val="auto"/>
                <w:kern w:val="0"/>
                <w:sz w:val="21"/>
                <w:szCs w:val="21"/>
                <w:highlight w:val="none"/>
                <w:u w:val="single"/>
              </w:rPr>
              <w:t xml:space="preserve"> </w:t>
            </w:r>
            <w:r>
              <w:rPr>
                <w:rFonts w:hint="eastAsia" w:ascii="宋体" w:hAnsi="宋体" w:eastAsia="宋体" w:cs="宋体"/>
                <w:bCs/>
                <w:snapToGrid w:val="0"/>
                <w:color w:val="auto"/>
                <w:kern w:val="0"/>
                <w:sz w:val="21"/>
                <w:szCs w:val="21"/>
                <w:highlight w:val="none"/>
              </w:rPr>
              <w:t>分至</w:t>
            </w:r>
            <w:r>
              <w:rPr>
                <w:rFonts w:hint="eastAsia" w:ascii="宋体" w:hAnsi="宋体" w:eastAsia="宋体" w:cs="宋体"/>
                <w:bCs/>
                <w:snapToGrid w:val="0"/>
                <w:color w:val="auto"/>
                <w:kern w:val="0"/>
                <w:sz w:val="21"/>
                <w:szCs w:val="21"/>
                <w:highlight w:val="none"/>
                <w:u w:val="single"/>
                <w:lang w:val="en-US" w:eastAsia="zh-CN"/>
              </w:rPr>
              <w:t>2026</w:t>
            </w:r>
            <w:r>
              <w:rPr>
                <w:rFonts w:hint="eastAsia" w:ascii="宋体" w:hAnsi="宋体" w:eastAsia="宋体" w:cs="宋体"/>
                <w:bCs/>
                <w:snapToGrid w:val="0"/>
                <w:color w:val="auto"/>
                <w:kern w:val="0"/>
                <w:sz w:val="21"/>
                <w:szCs w:val="21"/>
                <w:highlight w:val="none"/>
              </w:rPr>
              <w:t>年</w:t>
            </w:r>
            <w:r>
              <w:rPr>
                <w:rFonts w:hint="eastAsia" w:ascii="宋体" w:hAnsi="宋体" w:cs="宋体"/>
                <w:bCs/>
                <w:snapToGrid w:val="0"/>
                <w:color w:val="auto"/>
                <w:kern w:val="0"/>
                <w:sz w:val="21"/>
                <w:szCs w:val="21"/>
                <w:highlight w:val="none"/>
                <w:u w:val="single"/>
                <w:lang w:val="en-US" w:eastAsia="zh-CN"/>
              </w:rPr>
              <w:t>7</w:t>
            </w:r>
            <w:r>
              <w:rPr>
                <w:rFonts w:hint="eastAsia" w:ascii="宋体" w:hAnsi="宋体" w:eastAsia="宋体" w:cs="宋体"/>
                <w:bCs/>
                <w:snapToGrid w:val="0"/>
                <w:color w:val="auto"/>
                <w:kern w:val="0"/>
                <w:sz w:val="21"/>
                <w:szCs w:val="21"/>
                <w:highlight w:val="none"/>
              </w:rPr>
              <w:t>月</w:t>
            </w:r>
            <w:r>
              <w:rPr>
                <w:rFonts w:hint="eastAsia" w:ascii="宋体" w:hAnsi="宋体" w:cs="宋体"/>
                <w:bCs/>
                <w:snapToGrid w:val="0"/>
                <w:color w:val="auto"/>
                <w:kern w:val="0"/>
                <w:sz w:val="21"/>
                <w:szCs w:val="21"/>
                <w:highlight w:val="none"/>
                <w:u w:val="single"/>
                <w:lang w:val="en-US" w:eastAsia="zh-CN"/>
              </w:rPr>
              <w:t>29</w:t>
            </w:r>
            <w:r>
              <w:rPr>
                <w:rFonts w:hint="eastAsia" w:ascii="宋体" w:hAnsi="宋体" w:eastAsia="宋体" w:cs="宋体"/>
                <w:bCs/>
                <w:snapToGrid w:val="0"/>
                <w:color w:val="auto"/>
                <w:kern w:val="0"/>
                <w:sz w:val="21"/>
                <w:szCs w:val="21"/>
                <w:highlight w:val="none"/>
              </w:rPr>
              <w:t>日</w:t>
            </w:r>
            <w:r>
              <w:rPr>
                <w:rFonts w:hint="eastAsia" w:ascii="宋体" w:hAnsi="宋体" w:cs="宋体"/>
                <w:bCs/>
                <w:snapToGrid w:val="0"/>
                <w:color w:val="auto"/>
                <w:kern w:val="0"/>
                <w:sz w:val="21"/>
                <w:szCs w:val="21"/>
                <w:highlight w:val="none"/>
                <w:u w:val="single"/>
                <w:lang w:val="en-US" w:eastAsia="zh-CN"/>
              </w:rPr>
              <w:t>8</w:t>
            </w:r>
            <w:r>
              <w:rPr>
                <w:rFonts w:hint="eastAsia" w:ascii="宋体" w:hAnsi="宋体" w:eastAsia="宋体" w:cs="宋体"/>
                <w:bCs/>
                <w:snapToGrid w:val="0"/>
                <w:color w:val="auto"/>
                <w:kern w:val="0"/>
                <w:sz w:val="21"/>
                <w:szCs w:val="21"/>
                <w:highlight w:val="none"/>
              </w:rPr>
              <w:t>时</w:t>
            </w:r>
            <w:r>
              <w:rPr>
                <w:rFonts w:hint="eastAsia" w:ascii="宋体" w:hAnsi="宋体" w:cs="宋体"/>
                <w:bCs/>
                <w:snapToGrid w:val="0"/>
                <w:color w:val="auto"/>
                <w:kern w:val="0"/>
                <w:sz w:val="21"/>
                <w:szCs w:val="21"/>
                <w:highlight w:val="none"/>
                <w:u w:val="single"/>
                <w:lang w:val="en-US" w:eastAsia="zh-CN"/>
              </w:rPr>
              <w:t>30</w:t>
            </w:r>
            <w:r>
              <w:rPr>
                <w:rFonts w:hint="eastAsia" w:ascii="宋体" w:hAnsi="宋体" w:eastAsia="宋体" w:cs="宋体"/>
                <w:bCs/>
                <w:snapToGrid w:val="0"/>
                <w:color w:val="auto"/>
                <w:kern w:val="0"/>
                <w:sz w:val="21"/>
                <w:szCs w:val="21"/>
                <w:highlight w:val="none"/>
              </w:rPr>
              <w:t>分。</w:t>
            </w:r>
          </w:p>
        </w:tc>
      </w:tr>
      <w:tr w14:paraId="61630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253D1550">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获取方式</w:t>
            </w:r>
          </w:p>
        </w:tc>
        <w:tc>
          <w:tcPr>
            <w:tcW w:w="8313" w:type="dxa"/>
            <w:noWrap w:val="0"/>
            <w:vAlign w:val="center"/>
          </w:tcPr>
          <w:p w14:paraId="46508255">
            <w:pPr>
              <w:keepNext w:val="0"/>
              <w:keepLines w:val="0"/>
              <w:pageBreakBefore w:val="0"/>
              <w:kinsoku/>
              <w:overflowPunct/>
              <w:topLinePunct w:val="0"/>
              <w:autoSpaceDE/>
              <w:autoSpaceDN/>
              <w:bidi w:val="0"/>
              <w:adjustRightInd w:val="0"/>
              <w:snapToGrid w:val="0"/>
              <w:spacing w:line="500" w:lineRule="exact"/>
              <w:textAlignment w:val="auto"/>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潜在投标人须登录</w:t>
            </w:r>
            <w:r>
              <w:rPr>
                <w:rFonts w:hint="eastAsia" w:ascii="宋体" w:hAnsi="宋体" w:eastAsia="宋体" w:cs="宋体"/>
                <w:bCs/>
                <w:snapToGrid w:val="0"/>
                <w:color w:val="auto"/>
                <w:kern w:val="0"/>
                <w:sz w:val="21"/>
                <w:szCs w:val="21"/>
                <w:highlight w:val="none"/>
                <w:u w:val="single"/>
              </w:rPr>
              <w:t>滁州市公共资源交易中心网站（http://ggzy.chuzhou.gov.cn/）</w:t>
            </w:r>
            <w:r>
              <w:rPr>
                <w:rFonts w:hint="eastAsia" w:ascii="宋体" w:hAnsi="宋体" w:eastAsia="宋体" w:cs="宋体"/>
                <w:bCs/>
                <w:snapToGrid w:val="0"/>
                <w:color w:val="auto"/>
                <w:kern w:val="0"/>
                <w:sz w:val="21"/>
                <w:szCs w:val="21"/>
                <w:highlight w:val="none"/>
              </w:rPr>
              <w:t>查阅并下载电子招标文件。</w:t>
            </w:r>
          </w:p>
          <w:p w14:paraId="781D7573">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bCs/>
                <w:snapToGrid w:val="0"/>
                <w:color w:val="auto"/>
                <w:kern w:val="0"/>
                <w:sz w:val="21"/>
                <w:szCs w:val="21"/>
                <w:highlight w:val="none"/>
              </w:rPr>
              <w:t>招标文件获取过程中有任何疑问，请在工作时间（工作时间：工作日</w:t>
            </w:r>
            <w:r>
              <w:rPr>
                <w:rFonts w:hint="eastAsia" w:ascii="宋体" w:hAnsi="宋体" w:eastAsia="宋体" w:cs="宋体"/>
                <w:bCs/>
                <w:snapToGrid w:val="0"/>
                <w:color w:val="auto"/>
                <w:kern w:val="0"/>
                <w:sz w:val="21"/>
                <w:szCs w:val="21"/>
                <w:highlight w:val="none"/>
                <w:u w:val="single"/>
              </w:rPr>
              <w:t>8:00-12:00,14:30-17:30</w:t>
            </w:r>
            <w:r>
              <w:rPr>
                <w:rFonts w:hint="eastAsia" w:ascii="宋体" w:hAnsi="宋体" w:eastAsia="宋体" w:cs="宋体"/>
                <w:bCs/>
                <w:snapToGrid w:val="0"/>
                <w:color w:val="auto"/>
                <w:kern w:val="0"/>
                <w:sz w:val="21"/>
                <w:szCs w:val="21"/>
                <w:highlight w:val="none"/>
              </w:rPr>
              <w:t>）拨打</w:t>
            </w:r>
            <w:r>
              <w:rPr>
                <w:rFonts w:hint="eastAsia" w:ascii="宋体" w:hAnsi="宋体" w:eastAsia="宋体" w:cs="宋体"/>
                <w:bCs/>
                <w:snapToGrid w:val="0"/>
                <w:color w:val="auto"/>
                <w:kern w:val="0"/>
                <w:sz w:val="21"/>
                <w:szCs w:val="21"/>
                <w:highlight w:val="none"/>
                <w:u w:val="single"/>
              </w:rPr>
              <w:t>0550-3801701</w:t>
            </w:r>
            <w:r>
              <w:rPr>
                <w:rFonts w:hint="eastAsia" w:ascii="宋体" w:hAnsi="宋体" w:eastAsia="宋体" w:cs="宋体"/>
                <w:bCs/>
                <w:snapToGrid w:val="0"/>
                <w:color w:val="auto"/>
                <w:kern w:val="0"/>
                <w:sz w:val="21"/>
                <w:szCs w:val="21"/>
                <w:highlight w:val="none"/>
              </w:rPr>
              <w:t>。</w:t>
            </w:r>
          </w:p>
        </w:tc>
      </w:tr>
      <w:tr w14:paraId="4789C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75B400A8">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招标公告发布时间</w:t>
            </w:r>
          </w:p>
        </w:tc>
        <w:tc>
          <w:tcPr>
            <w:tcW w:w="8313" w:type="dxa"/>
            <w:noWrap w:val="0"/>
            <w:vAlign w:val="center"/>
          </w:tcPr>
          <w:p w14:paraId="44E299F9">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lang w:val="en-US" w:eastAsia="zh-CN"/>
              </w:rPr>
              <w:t>26</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日</w:t>
            </w:r>
          </w:p>
        </w:tc>
      </w:tr>
      <w:tr w14:paraId="331E3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4127F5DE">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投标文件递交的截止时间</w:t>
            </w:r>
          </w:p>
        </w:tc>
        <w:tc>
          <w:tcPr>
            <w:tcW w:w="8313" w:type="dxa"/>
            <w:noWrap w:val="0"/>
            <w:vAlign w:val="center"/>
          </w:tcPr>
          <w:p w14:paraId="2483476A">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lang w:val="en-US" w:eastAsia="zh-CN"/>
              </w:rPr>
              <w:t>26</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29</w:t>
            </w:r>
            <w:r>
              <w:rPr>
                <w:rFonts w:hint="eastAsia" w:ascii="宋体" w:hAnsi="宋体" w:eastAsia="宋体" w:cs="宋体"/>
                <w:color w:val="auto"/>
                <w:sz w:val="21"/>
                <w:szCs w:val="21"/>
                <w:highlight w:val="none"/>
              </w:rPr>
              <w:t>日</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时</w:t>
            </w:r>
            <w:r>
              <w:rPr>
                <w:rFonts w:hint="eastAsia" w:ascii="宋体" w:hAnsi="宋体" w:cs="宋体"/>
                <w:color w:val="auto"/>
                <w:sz w:val="21"/>
                <w:szCs w:val="21"/>
                <w:highlight w:val="none"/>
                <w:lang w:val="en-US" w:eastAsia="zh-CN"/>
              </w:rPr>
              <w:t>30</w:t>
            </w:r>
            <w:r>
              <w:rPr>
                <w:rFonts w:hint="eastAsia" w:ascii="宋体" w:hAnsi="宋体" w:eastAsia="宋体" w:cs="宋体"/>
                <w:color w:val="auto"/>
                <w:sz w:val="21"/>
                <w:szCs w:val="21"/>
                <w:highlight w:val="none"/>
              </w:rPr>
              <w:t>分</w:t>
            </w:r>
          </w:p>
        </w:tc>
      </w:tr>
      <w:tr w14:paraId="48C9B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759A3C57">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投标文件递交的方式</w:t>
            </w:r>
          </w:p>
        </w:tc>
        <w:tc>
          <w:tcPr>
            <w:tcW w:w="8313" w:type="dxa"/>
            <w:noWrap w:val="0"/>
            <w:vAlign w:val="center"/>
          </w:tcPr>
          <w:p w14:paraId="00AC7753">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投标人应在投标截止时间前通过滁州市公共资源交易中心交易系统递交电子投标文件。</w:t>
            </w:r>
          </w:p>
        </w:tc>
      </w:tr>
      <w:tr w14:paraId="6A90E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875" w:type="dxa"/>
            <w:noWrap w:val="0"/>
            <w:vAlign w:val="center"/>
          </w:tcPr>
          <w:p w14:paraId="58B80AD7">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开标时间</w:t>
            </w:r>
          </w:p>
        </w:tc>
        <w:tc>
          <w:tcPr>
            <w:tcW w:w="8313" w:type="dxa"/>
            <w:noWrap w:val="0"/>
            <w:vAlign w:val="center"/>
          </w:tcPr>
          <w:p w14:paraId="3822CC0C">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lang w:val="en-US" w:eastAsia="zh-CN"/>
              </w:rPr>
              <w:t>26</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29</w:t>
            </w:r>
            <w:r>
              <w:rPr>
                <w:rFonts w:hint="eastAsia" w:ascii="宋体" w:hAnsi="宋体" w:eastAsia="宋体" w:cs="宋体"/>
                <w:color w:val="auto"/>
                <w:sz w:val="21"/>
                <w:szCs w:val="21"/>
                <w:highlight w:val="none"/>
              </w:rPr>
              <w:t>日</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时</w:t>
            </w:r>
            <w:r>
              <w:rPr>
                <w:rFonts w:hint="eastAsia" w:ascii="宋体" w:hAnsi="宋体" w:cs="宋体"/>
                <w:color w:val="auto"/>
                <w:sz w:val="21"/>
                <w:szCs w:val="21"/>
                <w:highlight w:val="none"/>
                <w:lang w:val="en-US" w:eastAsia="zh-CN"/>
              </w:rPr>
              <w:t>30</w:t>
            </w:r>
            <w:r>
              <w:rPr>
                <w:rFonts w:hint="eastAsia" w:ascii="宋体" w:hAnsi="宋体" w:eastAsia="宋体" w:cs="宋体"/>
                <w:color w:val="auto"/>
                <w:sz w:val="21"/>
                <w:szCs w:val="21"/>
                <w:highlight w:val="none"/>
              </w:rPr>
              <w:t>分</w:t>
            </w:r>
          </w:p>
        </w:tc>
      </w:tr>
      <w:tr w14:paraId="17C46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875" w:type="dxa"/>
            <w:noWrap w:val="0"/>
            <w:vAlign w:val="center"/>
          </w:tcPr>
          <w:p w14:paraId="65810FCB">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开标地点</w:t>
            </w:r>
          </w:p>
        </w:tc>
        <w:tc>
          <w:tcPr>
            <w:tcW w:w="8313" w:type="dxa"/>
            <w:noWrap w:val="0"/>
            <w:vAlign w:val="center"/>
          </w:tcPr>
          <w:p w14:paraId="3F3FFD2E">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网上开标，投标人登录滁州市不见面开标系统参与网上开标（网址：</w:t>
            </w:r>
            <w:r>
              <w:rPr>
                <w:rFonts w:hint="eastAsia" w:ascii="宋体" w:hAnsi="宋体" w:eastAsia="宋体" w:cs="宋体"/>
                <w:color w:val="auto"/>
                <w:kern w:val="0"/>
                <w:sz w:val="21"/>
                <w:szCs w:val="21"/>
                <w:highlight w:val="none"/>
              </w:rPr>
              <w:fldChar w:fldCharType="begin"/>
            </w:r>
            <w:r>
              <w:rPr>
                <w:rFonts w:hint="eastAsia" w:ascii="宋体" w:hAnsi="宋体" w:eastAsia="宋体" w:cs="宋体"/>
                <w:color w:val="auto"/>
                <w:kern w:val="0"/>
                <w:sz w:val="21"/>
                <w:szCs w:val="21"/>
                <w:highlight w:val="none"/>
              </w:rPr>
              <w:instrText xml:space="preserve"> HYPERLINK "https://ggzy.chuzhou.gov.cn/BidOpening/bidopeninghallaction/hall/login）。操作手册见" </w:instrText>
            </w:r>
            <w:r>
              <w:rPr>
                <w:rFonts w:hint="eastAsia" w:ascii="宋体" w:hAnsi="宋体" w:eastAsia="宋体" w:cs="宋体"/>
                <w:color w:val="auto"/>
                <w:kern w:val="0"/>
                <w:sz w:val="21"/>
                <w:szCs w:val="21"/>
                <w:highlight w:val="none"/>
              </w:rPr>
              <w:fldChar w:fldCharType="separate"/>
            </w:r>
            <w:r>
              <w:rPr>
                <w:rStyle w:val="30"/>
                <w:rFonts w:hint="eastAsia" w:ascii="宋体" w:hAnsi="宋体" w:eastAsia="宋体" w:cs="宋体"/>
                <w:color w:val="auto"/>
                <w:kern w:val="0"/>
                <w:sz w:val="21"/>
                <w:szCs w:val="21"/>
                <w:highlight w:val="none"/>
              </w:rPr>
              <w:t>https://ggzy.chuzhou.gov.cn/BidOpening/bidopeninghallaction/hall/login）。操作手册见</w:t>
            </w:r>
            <w:r>
              <w:rPr>
                <w:rFonts w:hint="eastAsia" w:ascii="宋体" w:hAnsi="宋体" w:eastAsia="宋体" w:cs="宋体"/>
                <w:color w:val="auto"/>
                <w:kern w:val="0"/>
                <w:sz w:val="21"/>
                <w:szCs w:val="21"/>
                <w:highlight w:val="none"/>
              </w:rPr>
              <w:fldChar w:fldCharType="end"/>
            </w:r>
            <w:r>
              <w:rPr>
                <w:rFonts w:hint="eastAsia" w:ascii="宋体" w:hAnsi="宋体" w:eastAsia="宋体" w:cs="宋体"/>
                <w:color w:val="auto"/>
                <w:kern w:val="0"/>
                <w:sz w:val="21"/>
                <w:szCs w:val="21"/>
                <w:highlight w:val="none"/>
              </w:rPr>
              <w:t>https://ggzy.chuzhou.gov.cn/fwzn/011006/20240510/f0637388-583d-4c69-8331-05b6adfcf24d.html。</w:t>
            </w:r>
          </w:p>
        </w:tc>
      </w:tr>
      <w:tr w14:paraId="5B944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77EC1F09">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招标文件价格</w:t>
            </w:r>
          </w:p>
        </w:tc>
        <w:tc>
          <w:tcPr>
            <w:tcW w:w="8313" w:type="dxa"/>
            <w:noWrap w:val="0"/>
            <w:vAlign w:val="center"/>
          </w:tcPr>
          <w:p w14:paraId="66C8A667">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0元</w:t>
            </w:r>
          </w:p>
        </w:tc>
      </w:tr>
      <w:tr w14:paraId="1BD6B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60E5A49B">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发布公告的媒介</w:t>
            </w:r>
          </w:p>
        </w:tc>
        <w:tc>
          <w:tcPr>
            <w:tcW w:w="8313" w:type="dxa"/>
            <w:noWrap w:val="0"/>
            <w:vAlign w:val="center"/>
          </w:tcPr>
          <w:p w14:paraId="032A6C55">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本次招标公告同时在滁州市公共资源交易中心、安徽省公共资源交易监管网、安徽省招标投标信息网等网站发布。</w:t>
            </w:r>
          </w:p>
        </w:tc>
      </w:tr>
      <w:tr w14:paraId="48949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00909D63">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投标人提出异议的截止时间及方式</w:t>
            </w:r>
          </w:p>
        </w:tc>
        <w:tc>
          <w:tcPr>
            <w:tcW w:w="8313" w:type="dxa"/>
            <w:noWrap w:val="0"/>
            <w:vAlign w:val="center"/>
          </w:tcPr>
          <w:p w14:paraId="3FE43371">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rPr>
              <w:t>如投标人对招标文件有异议，请于</w:t>
            </w:r>
            <w:r>
              <w:rPr>
                <w:rFonts w:hint="eastAsia" w:ascii="宋体" w:hAnsi="宋体" w:eastAsia="宋体" w:cs="宋体"/>
                <w:b/>
                <w:color w:val="auto"/>
                <w:kern w:val="0"/>
                <w:sz w:val="21"/>
                <w:szCs w:val="21"/>
                <w:highlight w:val="none"/>
                <w:u w:val="single"/>
                <w:lang w:val="en-US" w:eastAsia="zh-CN"/>
              </w:rPr>
              <w:t>2026</w:t>
            </w:r>
            <w:r>
              <w:rPr>
                <w:rFonts w:hint="eastAsia" w:ascii="宋体" w:hAnsi="宋体" w:eastAsia="宋体" w:cs="宋体"/>
                <w:b/>
                <w:color w:val="auto"/>
                <w:kern w:val="0"/>
                <w:sz w:val="21"/>
                <w:szCs w:val="21"/>
                <w:highlight w:val="none"/>
              </w:rPr>
              <w:t>年</w:t>
            </w:r>
            <w:r>
              <w:rPr>
                <w:rFonts w:hint="eastAsia" w:ascii="宋体" w:hAnsi="宋体" w:cs="宋体"/>
                <w:b/>
                <w:color w:val="auto"/>
                <w:kern w:val="0"/>
                <w:sz w:val="21"/>
                <w:szCs w:val="21"/>
                <w:highlight w:val="none"/>
                <w:u w:val="single"/>
                <w:lang w:val="en-US" w:eastAsia="zh-CN"/>
              </w:rPr>
              <w:t>7</w:t>
            </w:r>
            <w:r>
              <w:rPr>
                <w:rFonts w:hint="eastAsia" w:ascii="宋体" w:hAnsi="宋体" w:eastAsia="宋体" w:cs="宋体"/>
                <w:b/>
                <w:color w:val="auto"/>
                <w:kern w:val="0"/>
                <w:sz w:val="21"/>
                <w:szCs w:val="21"/>
                <w:highlight w:val="none"/>
              </w:rPr>
              <w:t>月</w:t>
            </w:r>
            <w:r>
              <w:rPr>
                <w:rFonts w:hint="eastAsia" w:ascii="宋体" w:hAnsi="宋体" w:cs="宋体"/>
                <w:b/>
                <w:color w:val="auto"/>
                <w:kern w:val="0"/>
                <w:sz w:val="21"/>
                <w:szCs w:val="21"/>
                <w:highlight w:val="none"/>
                <w:u w:val="single"/>
                <w:lang w:val="en-US" w:eastAsia="zh-CN"/>
              </w:rPr>
              <w:t>19</w:t>
            </w:r>
            <w:r>
              <w:rPr>
                <w:rFonts w:hint="eastAsia" w:ascii="宋体" w:hAnsi="宋体" w:eastAsia="宋体" w:cs="宋体"/>
                <w:b/>
                <w:color w:val="auto"/>
                <w:kern w:val="0"/>
                <w:sz w:val="21"/>
                <w:szCs w:val="21"/>
                <w:highlight w:val="none"/>
              </w:rPr>
              <w:t>日</w:t>
            </w:r>
            <w:r>
              <w:rPr>
                <w:rFonts w:hint="eastAsia" w:ascii="宋体" w:hAnsi="宋体" w:cs="宋体"/>
                <w:b/>
                <w:color w:val="auto"/>
                <w:kern w:val="0"/>
                <w:sz w:val="21"/>
                <w:szCs w:val="21"/>
                <w:highlight w:val="none"/>
                <w:u w:val="single"/>
                <w:lang w:val="en-US" w:eastAsia="zh-CN"/>
              </w:rPr>
              <w:t>8</w:t>
            </w:r>
            <w:r>
              <w:rPr>
                <w:rFonts w:hint="eastAsia" w:ascii="宋体" w:hAnsi="宋体" w:eastAsia="宋体" w:cs="宋体"/>
                <w:b/>
                <w:color w:val="auto"/>
                <w:kern w:val="0"/>
                <w:sz w:val="21"/>
                <w:szCs w:val="21"/>
                <w:highlight w:val="none"/>
              </w:rPr>
              <w:t>时</w:t>
            </w:r>
            <w:r>
              <w:rPr>
                <w:rFonts w:hint="eastAsia" w:ascii="宋体" w:hAnsi="宋体" w:cs="宋体"/>
                <w:b/>
                <w:color w:val="auto"/>
                <w:kern w:val="0"/>
                <w:sz w:val="21"/>
                <w:szCs w:val="21"/>
                <w:highlight w:val="none"/>
                <w:u w:val="single"/>
                <w:lang w:val="en-US" w:eastAsia="zh-CN"/>
              </w:rPr>
              <w:t>30</w:t>
            </w:r>
            <w:r>
              <w:rPr>
                <w:rFonts w:hint="eastAsia" w:ascii="宋体" w:hAnsi="宋体" w:cs="宋体"/>
                <w:b/>
                <w:color w:val="auto"/>
                <w:kern w:val="0"/>
                <w:sz w:val="21"/>
                <w:szCs w:val="21"/>
                <w:highlight w:val="none"/>
                <w:lang w:val="en-US" w:eastAsia="zh-CN"/>
              </w:rPr>
              <w:t>分</w:t>
            </w:r>
            <w:r>
              <w:rPr>
                <w:rFonts w:hint="eastAsia" w:ascii="宋体" w:hAnsi="宋体" w:eastAsia="宋体" w:cs="宋体"/>
                <w:b/>
                <w:color w:val="auto"/>
                <w:kern w:val="0"/>
                <w:sz w:val="21"/>
                <w:szCs w:val="21"/>
                <w:highlight w:val="none"/>
              </w:rPr>
              <w:t>（投标截止10日）前在滁州市公共资源交易中心网电子交易系统中在线进行异议，具体操作步骤和程序请参见服务指南&gt;交易须知&gt;在线异议、质疑和投诉操作手册。</w:t>
            </w:r>
          </w:p>
        </w:tc>
      </w:tr>
      <w:tr w14:paraId="7D1C8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63C12578">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受理异议的联系人及联系方式</w:t>
            </w:r>
          </w:p>
        </w:tc>
        <w:tc>
          <w:tcPr>
            <w:tcW w:w="8313" w:type="dxa"/>
            <w:noWrap w:val="0"/>
            <w:vAlign w:val="center"/>
          </w:tcPr>
          <w:p w14:paraId="6412C0F9">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联系人：</w:t>
            </w:r>
            <w:r>
              <w:rPr>
                <w:rFonts w:hint="eastAsia" w:ascii="宋体" w:hAnsi="宋体" w:cs="宋体"/>
                <w:color w:val="auto"/>
                <w:kern w:val="0"/>
                <w:sz w:val="21"/>
                <w:szCs w:val="21"/>
                <w:highlight w:val="none"/>
                <w:lang w:val="en-US" w:eastAsia="zh-CN"/>
              </w:rPr>
              <w:t>姜舒、</w:t>
            </w:r>
            <w:r>
              <w:rPr>
                <w:rFonts w:hint="eastAsia" w:ascii="宋体" w:hAnsi="宋体" w:cs="宋体"/>
                <w:color w:val="auto"/>
                <w:kern w:val="0"/>
                <w:sz w:val="21"/>
                <w:szCs w:val="21"/>
                <w:highlight w:val="none"/>
                <w:u w:val="none"/>
                <w:lang w:val="en-US" w:eastAsia="zh-CN"/>
              </w:rPr>
              <w:t>李庆延</w:t>
            </w:r>
            <w:r>
              <w:rPr>
                <w:rFonts w:hint="eastAsia" w:ascii="宋体" w:hAnsi="宋体" w:eastAsia="宋体" w:cs="宋体"/>
                <w:color w:val="auto"/>
                <w:kern w:val="0"/>
                <w:sz w:val="21"/>
                <w:szCs w:val="21"/>
                <w:highlight w:val="none"/>
                <w:u w:val="none"/>
                <w:lang w:val="en-US" w:eastAsia="zh-CN"/>
              </w:rPr>
              <w:t xml:space="preserve">、杨韦       </w:t>
            </w:r>
            <w:r>
              <w:rPr>
                <w:rFonts w:hint="eastAsia" w:ascii="宋体" w:hAnsi="宋体" w:eastAsia="宋体" w:cs="宋体"/>
                <w:color w:val="auto"/>
                <w:kern w:val="0"/>
                <w:sz w:val="21"/>
                <w:szCs w:val="21"/>
                <w:highlight w:val="none"/>
              </w:rPr>
              <w:t>联系方式:</w:t>
            </w:r>
            <w:r>
              <w:rPr>
                <w:rFonts w:hint="eastAsia" w:ascii="宋体" w:hAnsi="宋体" w:cs="宋体"/>
                <w:color w:val="auto"/>
                <w:kern w:val="0"/>
                <w:sz w:val="21"/>
                <w:szCs w:val="21"/>
                <w:highlight w:val="none"/>
                <w:lang w:eastAsia="zh-CN"/>
              </w:rPr>
              <w:t>0550-3017151</w:t>
            </w:r>
            <w:r>
              <w:rPr>
                <w:rFonts w:hint="eastAsia" w:ascii="宋体" w:hAnsi="宋体" w:eastAsia="宋体" w:cs="宋体"/>
                <w:color w:val="auto"/>
                <w:kern w:val="0"/>
                <w:sz w:val="21"/>
                <w:szCs w:val="21"/>
                <w:highlight w:val="none"/>
                <w:lang w:val="en-US" w:eastAsia="zh-CN"/>
              </w:rPr>
              <w:t>、0550-3519590</w:t>
            </w:r>
          </w:p>
        </w:tc>
      </w:tr>
      <w:tr w14:paraId="2C780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0A5A25C8">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b/>
                <w:color w:val="auto"/>
                <w:sz w:val="21"/>
                <w:szCs w:val="21"/>
                <w:highlight w:val="none"/>
              </w:rPr>
              <w:t>投标人提出投诉的方式</w:t>
            </w:r>
          </w:p>
        </w:tc>
        <w:tc>
          <w:tcPr>
            <w:tcW w:w="8313" w:type="dxa"/>
            <w:noWrap w:val="0"/>
            <w:vAlign w:val="top"/>
          </w:tcPr>
          <w:p w14:paraId="4EA7F928">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u w:val="none"/>
              </w:rPr>
              <w:t xml:space="preserve">投标人或者其他利害关系人认为招标投标活动违反法律、法规和规章规定的，有权向相关行政监督部门投诉。在线投诉具体步骤和程序请参照服务指南&gt;投诉渠道 </w:t>
            </w:r>
            <w:r>
              <w:rPr>
                <w:rFonts w:hint="eastAsia" w:ascii="宋体" w:hAnsi="宋体" w:eastAsia="宋体" w:cs="宋体"/>
                <w:color w:val="auto"/>
                <w:kern w:val="0"/>
                <w:sz w:val="21"/>
                <w:szCs w:val="21"/>
                <w:highlight w:val="none"/>
                <w:u w:val="none"/>
              </w:rPr>
              <w:fldChar w:fldCharType="begin"/>
            </w:r>
            <w:r>
              <w:rPr>
                <w:rFonts w:hint="eastAsia" w:ascii="宋体" w:hAnsi="宋体" w:eastAsia="宋体" w:cs="宋体"/>
                <w:color w:val="auto"/>
                <w:kern w:val="0"/>
                <w:sz w:val="21"/>
                <w:szCs w:val="21"/>
                <w:highlight w:val="none"/>
                <w:u w:val="none"/>
              </w:rPr>
              <w:instrText xml:space="preserve"> HYPERLINK "https://ggzy.chuzhou.gov.cn/fwzn/011001/serviceGuide.html" </w:instrText>
            </w:r>
            <w:r>
              <w:rPr>
                <w:rFonts w:hint="eastAsia" w:ascii="宋体" w:hAnsi="宋体" w:eastAsia="宋体" w:cs="宋体"/>
                <w:color w:val="auto"/>
                <w:kern w:val="0"/>
                <w:sz w:val="21"/>
                <w:szCs w:val="21"/>
                <w:highlight w:val="none"/>
                <w:u w:val="none"/>
              </w:rPr>
              <w:fldChar w:fldCharType="separate"/>
            </w:r>
            <w:r>
              <w:rPr>
                <w:rFonts w:hint="eastAsia" w:ascii="宋体" w:hAnsi="宋体" w:eastAsia="宋体" w:cs="宋体"/>
                <w:color w:val="auto"/>
                <w:kern w:val="0"/>
                <w:sz w:val="21"/>
                <w:szCs w:val="21"/>
                <w:highlight w:val="none"/>
                <w:u w:val="none"/>
              </w:rPr>
              <w:t>https://ggzy.chuzhou.gov.cn/fwzn/011001/serviceGuide.html</w:t>
            </w:r>
            <w:r>
              <w:rPr>
                <w:rFonts w:hint="eastAsia" w:ascii="宋体" w:hAnsi="宋体" w:eastAsia="宋体" w:cs="宋体"/>
                <w:color w:val="auto"/>
                <w:kern w:val="0"/>
                <w:sz w:val="21"/>
                <w:szCs w:val="21"/>
                <w:highlight w:val="none"/>
                <w:u w:val="none"/>
              </w:rPr>
              <w:fldChar w:fldCharType="end"/>
            </w:r>
            <w:r>
              <w:rPr>
                <w:rFonts w:hint="eastAsia" w:ascii="宋体" w:hAnsi="宋体" w:eastAsia="宋体" w:cs="宋体"/>
                <w:color w:val="auto"/>
                <w:kern w:val="0"/>
                <w:sz w:val="21"/>
                <w:szCs w:val="21"/>
                <w:highlight w:val="none"/>
                <w:u w:val="none"/>
              </w:rPr>
              <w:t>；投诉书格式等内容参见服务指南&gt;办事指南&gt;投标人服务&gt;投诉受理一次告知书https://ggzy.chuzhou.gov.cn/fwzn/011001/011001001/011001001003/20211022/4b7d87ec-2c58-49b0-b76c-3a6277377930.html。</w:t>
            </w:r>
          </w:p>
        </w:tc>
      </w:tr>
      <w:tr w14:paraId="79260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8" w:type="dxa"/>
            <w:gridSpan w:val="2"/>
            <w:noWrap w:val="0"/>
            <w:vAlign w:val="center"/>
          </w:tcPr>
          <w:p w14:paraId="4F1CCE63">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sz w:val="21"/>
                <w:szCs w:val="21"/>
                <w:highlight w:val="none"/>
              </w:rPr>
              <w:t>投标保证金收取</w:t>
            </w:r>
          </w:p>
        </w:tc>
      </w:tr>
      <w:tr w14:paraId="73F57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2FA606A3">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投标保证金收取</w:t>
            </w:r>
          </w:p>
        </w:tc>
        <w:tc>
          <w:tcPr>
            <w:tcW w:w="8313" w:type="dxa"/>
            <w:noWrap w:val="0"/>
            <w:vAlign w:val="center"/>
          </w:tcPr>
          <w:p w14:paraId="3EAAE161">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投标保证金的金额：</w:t>
            </w:r>
            <w:r>
              <w:rPr>
                <w:rFonts w:hint="eastAsia" w:ascii="宋体" w:hAnsi="宋体" w:cs="宋体"/>
                <w:color w:val="auto"/>
                <w:kern w:val="0"/>
                <w:sz w:val="21"/>
                <w:szCs w:val="21"/>
                <w:highlight w:val="none"/>
                <w:lang w:val="en-US" w:eastAsia="zh-CN"/>
              </w:rPr>
              <w:t>50</w:t>
            </w:r>
            <w:r>
              <w:rPr>
                <w:rFonts w:hint="eastAsia" w:ascii="宋体" w:hAnsi="宋体" w:eastAsia="宋体" w:cs="宋体"/>
                <w:color w:val="auto"/>
                <w:kern w:val="0"/>
                <w:sz w:val="21"/>
                <w:szCs w:val="21"/>
                <w:highlight w:val="none"/>
              </w:rPr>
              <w:t>万元，要求投标人提交投标保证金。</w:t>
            </w:r>
          </w:p>
        </w:tc>
      </w:tr>
      <w:tr w14:paraId="60F9B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top"/>
          </w:tcPr>
          <w:p w14:paraId="27681C1A">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投标保证金形式</w:t>
            </w:r>
          </w:p>
        </w:tc>
        <w:tc>
          <w:tcPr>
            <w:tcW w:w="8313" w:type="dxa"/>
            <w:noWrap w:val="0"/>
            <w:vAlign w:val="top"/>
          </w:tcPr>
          <w:p w14:paraId="38802FDD">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支持现金（银行转账、银行电汇等）、非现金形式（支票、银行汇票、本票等）、电子保函、纸质银行保函</w:t>
            </w:r>
          </w:p>
        </w:tc>
      </w:tr>
      <w:tr w14:paraId="2E8A5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1A9B57A9">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接收投标保证金的账户信息</w:t>
            </w:r>
          </w:p>
        </w:tc>
        <w:tc>
          <w:tcPr>
            <w:tcW w:w="8313" w:type="dxa"/>
            <w:noWrap w:val="0"/>
            <w:vAlign w:val="center"/>
          </w:tcPr>
          <w:p w14:paraId="09E2C1E1">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采用现金形式的，投标保证金应当从投标人基本存款账户转出，投标保证金的到账截止时间为投标截止时间。投标保证金转出账户与投标人投标文件提供的基本存款账户不一致的，视为未按照招标文件规定提交投标保证金。提交投标保证金的开户银行及账号如下（选择任何一家银行提交即可）：</w:t>
            </w:r>
          </w:p>
          <w:p w14:paraId="0A014F86">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①户名：滁州市公共资源交易中心</w:t>
            </w:r>
          </w:p>
          <w:p w14:paraId="00589A77">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开户行：中国银行滁州分行 </w:t>
            </w:r>
          </w:p>
          <w:p w14:paraId="7F5AE2C4">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账  号：181249193315</w:t>
            </w:r>
            <w:r>
              <w:rPr>
                <w:rFonts w:hint="eastAsia" w:ascii="宋体" w:hAnsi="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 xml:space="preserve">                       </w:t>
            </w:r>
          </w:p>
          <w:p w14:paraId="32D72E49">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②户  名：滁州市公共资源交易中心 </w:t>
            </w:r>
          </w:p>
          <w:p w14:paraId="5E36BDB8">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开户行：中国建设银行股份有限公司滁州南谯支行</w:t>
            </w:r>
          </w:p>
          <w:p w14:paraId="06E8EB9D">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账  号：6232811720000041017</w:t>
            </w:r>
            <w:r>
              <w:rPr>
                <w:rFonts w:hint="eastAsia" w:ascii="宋体" w:hAnsi="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 xml:space="preserve">                        </w:t>
            </w:r>
          </w:p>
          <w:p w14:paraId="3A9E1BC1">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③户  名：滁州市公共资源交易中心        </w:t>
            </w:r>
          </w:p>
          <w:p w14:paraId="20C27EBC">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开户行：中国农业银行滁州中都支行                </w:t>
            </w:r>
          </w:p>
          <w:p w14:paraId="506ACEC6">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账  号：123340010400044210000000113</w:t>
            </w:r>
          </w:p>
          <w:p w14:paraId="59F8A12B">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采用现金形式缴纳保证金时须在交易附言中注明：“</w:t>
            </w:r>
            <w:r>
              <w:rPr>
                <w:rFonts w:hint="eastAsia" w:ascii="宋体" w:hAnsi="宋体" w:eastAsia="宋体" w:cs="宋体"/>
                <w:color w:val="auto"/>
                <w:sz w:val="21"/>
                <w:szCs w:val="21"/>
                <w:highlight w:val="none"/>
                <w:lang w:val="en-US" w:eastAsia="zh-CN"/>
              </w:rPr>
              <w:t>czsjgc20260</w:t>
            </w:r>
            <w:r>
              <w:rPr>
                <w:rFonts w:hint="eastAsia" w:ascii="宋体" w:hAnsi="宋体" w:cs="宋体"/>
                <w:color w:val="auto"/>
                <w:sz w:val="21"/>
                <w:szCs w:val="21"/>
                <w:highlight w:val="none"/>
                <w:lang w:val="en-US" w:eastAsia="zh-CN"/>
              </w:rPr>
              <w:t>7-004</w:t>
            </w:r>
            <w:r>
              <w:rPr>
                <w:rFonts w:hint="eastAsia" w:ascii="宋体" w:hAnsi="宋体" w:eastAsia="宋体" w:cs="宋体"/>
                <w:color w:val="auto"/>
                <w:kern w:val="0"/>
                <w:sz w:val="21"/>
                <w:szCs w:val="21"/>
                <w:highlight w:val="none"/>
              </w:rPr>
              <w:t>项目投标保证金”。</w:t>
            </w:r>
          </w:p>
          <w:p w14:paraId="4C80CA36">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2）采用支票、银行汇票、本票等非现金形式提交投标保证金时，投标人应在付款人开户行申请书附言处注明“czsjgc20260</w:t>
            </w:r>
            <w:r>
              <w:rPr>
                <w:rFonts w:hint="eastAsia" w:ascii="宋体" w:hAnsi="宋体" w:cs="宋体"/>
                <w:color w:val="auto"/>
                <w:kern w:val="0"/>
                <w:sz w:val="21"/>
                <w:szCs w:val="21"/>
                <w:highlight w:val="none"/>
                <w:lang w:val="en-US" w:eastAsia="zh-CN"/>
              </w:rPr>
              <w:t>7-004</w:t>
            </w:r>
            <w:r>
              <w:rPr>
                <w:rFonts w:hint="eastAsia" w:ascii="宋体" w:hAnsi="宋体" w:eastAsia="宋体" w:cs="宋体"/>
                <w:color w:val="auto"/>
                <w:kern w:val="0"/>
                <w:sz w:val="21"/>
                <w:szCs w:val="21"/>
                <w:highlight w:val="none"/>
              </w:rPr>
              <w:t>项目投标保证金”字样，应确保收款人开户行进账单完整反映交易附言内容，由此导致无法识别投标保证金对应的投标项目，其后果由投标人负责。</w:t>
            </w:r>
          </w:p>
          <w:p w14:paraId="4428DDBA">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3)采用电子保函形式具体要求如下：</w:t>
            </w:r>
          </w:p>
          <w:p w14:paraId="4E629DAA">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①电子保函提交要求：</w:t>
            </w:r>
          </w:p>
          <w:p w14:paraId="028DDC13">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a.投标人须在投标文件提交截止时间前提供与滁州市公共资源交易中心金融服务平台对接的电子保函，否则视为投标保证金未按规定要求缴纳。</w:t>
            </w:r>
          </w:p>
          <w:p w14:paraId="1E107168">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b.电子保函生效时间须为所投项目规定的保证金到账截止时间之前，电子保函的有效期截止时间不得短于招标文件约定的投标有效期截止时间，否则视为投标保证金未按规定要求缴纳。</w:t>
            </w:r>
          </w:p>
          <w:p w14:paraId="64FD2AB1">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c.投标有效期内未能确定中标结果，需要延长投标有效期，投标人同意延长投标有效期的，须相应延长电子保函的有效期。</w:t>
            </w:r>
          </w:p>
          <w:p w14:paraId="436084A9">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d.投标人存在投标保证金不予退还的情形，采用电子保函形式的将予以追缴。</w:t>
            </w:r>
          </w:p>
          <w:p w14:paraId="5D393DE3">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4)采用纸质银行保函形式具体要求如下：</w:t>
            </w:r>
          </w:p>
          <w:p w14:paraId="0BB5AC97">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①应为投标人基本账户开户银行出具的不可撤销、不可转让的见索即付独立保函,所需费用由投标人承担。</w:t>
            </w:r>
          </w:p>
          <w:p w14:paraId="57A8F3C7">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②投标人在投标文件中必须提供基本存款账户证明（如基本存款账户开户许可证或基本存款账户信息），同时将纸质保函扫描件提供在投标文件中。</w:t>
            </w:r>
          </w:p>
          <w:p w14:paraId="64A8E711">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③投标人在投标文件中必须提供明确有效的查询途径（ 网址链接及查询方式），否则该纸质银行保函无效。</w:t>
            </w:r>
          </w:p>
          <w:p w14:paraId="28D3BB8A">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④中标候选人须在中标候选人公示期间将其开具至本招标项目的保函原件提交招标人（或招标代理机构），且原件须与投标文件中提供的扫描件一致，如存在未按照规定提交或提交内容不一致的，招标人有权取消其中标候选人资格；发现弄虚作假的，招标人（或招标代理机构）应报公共资源交易监管部门依法处理。</w:t>
            </w:r>
          </w:p>
          <w:p w14:paraId="0FA58333">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2.保证金电子保函业务应急处置措施。由于自然灾害、事故灾难、突发公共网络安全事件或者系统原因，以及保证金电子保函系统使用过程中出现的以下情况：</w:t>
            </w:r>
          </w:p>
          <w:p w14:paraId="1C5E4F1D">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（1）开标时，系统获取明文保函文件异常，无法正常获取保函文件；</w:t>
            </w:r>
          </w:p>
          <w:p w14:paraId="68F643EA">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（2）保证金电子保函系统的软件或数据库出现错误，不能进行正常操作；</w:t>
            </w:r>
          </w:p>
          <w:p w14:paraId="5FA2B29D">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（3）保证金电子保函系统服务器发生故障等情况，无法访问或无法使用电子保函；</w:t>
            </w:r>
          </w:p>
          <w:p w14:paraId="61EB882A">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（4）保证金电子保函系统服务器受到病毒或其他外来的攻击；</w:t>
            </w:r>
          </w:p>
          <w:p w14:paraId="47F5BC3C">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（5）其他影响电子保函出具的异常情形。</w:t>
            </w:r>
          </w:p>
          <w:p w14:paraId="4FC47D65">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由于上述原因导致投标人无法正常参加开评标的，招标人或招标代理机构应及时报告公共资源交易服务平台核实问题原因。投标人确实已购买电子保函，经监管部门同意后，投标人可以继续参加开评标。</w:t>
            </w:r>
          </w:p>
          <w:p w14:paraId="4C66F81B">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3.本次招标失败，再次进行招标的，投标人须按照新的账户重新缴纳投标保证金。</w:t>
            </w:r>
          </w:p>
          <w:p w14:paraId="41CE4B1D">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4.投标人为联合体投标的，由牵头人基本账户转出投标保证金或由牵头人办理保函。</w:t>
            </w:r>
          </w:p>
          <w:p w14:paraId="6DA94910">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5.是否适用免缴投标保证金政策</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不适用。</w:t>
            </w:r>
          </w:p>
        </w:tc>
      </w:tr>
      <w:tr w14:paraId="6883E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5D91A70D">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spacing w:val="-6"/>
                <w:sz w:val="21"/>
                <w:szCs w:val="21"/>
                <w:highlight w:val="none"/>
              </w:rPr>
              <w:t>备注</w:t>
            </w:r>
          </w:p>
        </w:tc>
        <w:tc>
          <w:tcPr>
            <w:tcW w:w="8313" w:type="dxa"/>
            <w:noWrap w:val="0"/>
            <w:vAlign w:val="center"/>
          </w:tcPr>
          <w:p w14:paraId="2F58A735">
            <w:pPr>
              <w:keepNext w:val="0"/>
              <w:keepLines w:val="0"/>
              <w:pageBreakBefore w:val="0"/>
              <w:kinsoku/>
              <w:overflowPunct/>
              <w:topLinePunct w:val="0"/>
              <w:autoSpaceDE/>
              <w:autoSpaceDN/>
              <w:bidi w:val="0"/>
              <w:spacing w:line="5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投标人为联合体投标的，保证金由牵头人基本账户转入交易中心账户或由牵头人办理投标担保。</w:t>
            </w:r>
          </w:p>
          <w:p w14:paraId="57943A14">
            <w:pPr>
              <w:keepNext w:val="0"/>
              <w:keepLines w:val="0"/>
              <w:pageBreakBefore w:val="0"/>
              <w:kinsoku/>
              <w:overflowPunct/>
              <w:topLinePunct w:val="0"/>
              <w:autoSpaceDE/>
              <w:autoSpaceDN/>
              <w:bidi w:val="0"/>
              <w:spacing w:line="5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本项目不缴纳投标保证金条款仅针对在投标过程中未违反本招标文件第二章“投标人须知”中第3.4.4项约定的投标人。如在投标过程中投标人存在本招标文件第二章“投标人须知”中第3.4.4项约定情形，则无条件按招标人要求的金额、时间、账号缴纳投标保证金。投标人采用银行保函、担保机构担保、保证保险方式提交投标保证金的，如出现本招标文件“投标人须知”第 3.4.4 项所列情形的，提供担保的银行、担保机构及保险机构将无条件向招标人支付保函所列的全部投标保证金金额，该支付行为视同投标保证金不予退还。</w:t>
            </w:r>
          </w:p>
          <w:p w14:paraId="37265611">
            <w:pPr>
              <w:keepNext w:val="0"/>
              <w:keepLines w:val="0"/>
              <w:pageBreakBefore w:val="0"/>
              <w:kinsoku/>
              <w:overflowPunct/>
              <w:topLinePunct w:val="0"/>
              <w:autoSpaceDE/>
              <w:autoSpaceDN/>
              <w:bidi w:val="0"/>
              <w:spacing w:line="5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投标人采用虚假银行保函、担保机构担保、保证保险方式提交投标保证金的，应依法承担弄虚作假、骗取中标的法律责任。</w:t>
            </w:r>
          </w:p>
        </w:tc>
      </w:tr>
      <w:tr w14:paraId="689B5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8" w:type="dxa"/>
            <w:gridSpan w:val="2"/>
            <w:noWrap w:val="0"/>
            <w:vAlign w:val="center"/>
          </w:tcPr>
          <w:p w14:paraId="299F8D80">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其他说明</w:t>
            </w:r>
          </w:p>
        </w:tc>
      </w:tr>
      <w:tr w14:paraId="2103C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67ED70FD">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bCs/>
                <w:color w:val="auto"/>
                <w:spacing w:val="-6"/>
                <w:sz w:val="21"/>
                <w:szCs w:val="21"/>
                <w:highlight w:val="none"/>
              </w:rPr>
            </w:pPr>
            <w:r>
              <w:rPr>
                <w:rFonts w:hint="eastAsia" w:ascii="宋体" w:hAnsi="宋体" w:eastAsia="宋体" w:cs="宋体"/>
                <w:bCs/>
                <w:color w:val="auto"/>
                <w:spacing w:val="-6"/>
                <w:sz w:val="21"/>
                <w:szCs w:val="21"/>
                <w:highlight w:val="none"/>
              </w:rPr>
              <w:t>重要说明</w:t>
            </w:r>
          </w:p>
        </w:tc>
        <w:tc>
          <w:tcPr>
            <w:tcW w:w="8313" w:type="dxa"/>
            <w:noWrap w:val="0"/>
            <w:vAlign w:val="center"/>
          </w:tcPr>
          <w:p w14:paraId="4D6316BA">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本项目只接受在安徽省公共资源交易市场主体库（http://ggzy.ah.gov.cn/ahggfwpt-zhutiku/dengludenglu）登记并进行信息确认提交的投标人投标，未登记的投标人请及时办理CA数字证书并登录安徽省公共资源交易市场主体库进行信息填写及确认提交；已办理过CA数字证书视为已在省库登记，进行信息更新及确认提交即可。办理流程为登录滁州市公共资源交易中心网&gt;服务指南&gt;办事指南中的“CA数字证书和电子签章”及“市场主体登记”。相关服务电话：（1）安徽省公共资源交易市场主体库使用相关问题（系统登录、信息登记、录入及提交、数字证书关联等）：010-86483801转5-2 ；（2） CA数字证书有关问题：安徽CA客服400-615-8899、0550-3019013（工作日）,CFCA客服025-66085508 、0550-3801669（工作日）；（3）市场主体招标环节和投标环节系统使用问题：0512-58188516（8:00-21:00）、0550-3801701（工作日）。因未及时通过CA数字证书登录省主体库对相关信息进行补充完善并确认提交，导致无法投标的，责任自负。为保证系统使用过程中产生的问题能够及时得到解决，请各主体在工作时间进行主体信息登记、更新、投标文件制作等相关操作。</w:t>
            </w:r>
          </w:p>
          <w:p w14:paraId="3933E064">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2</w:t>
            </w:r>
            <w:r>
              <w:rPr>
                <w:rFonts w:hint="eastAsia" w:ascii="宋体" w:hAnsi="宋体" w:eastAsia="宋体" w:cs="宋体"/>
                <w:color w:val="auto"/>
                <w:kern w:val="0"/>
                <w:sz w:val="21"/>
                <w:szCs w:val="21"/>
                <w:highlight w:val="none"/>
                <w:lang w:val="en-US" w:eastAsia="zh-CN"/>
              </w:rPr>
              <w:t>.请投标人登录滁州市公共资源交易中心网站查看参加本项目的程序（具体操作步骤和程序请参见服务指南&gt;交易须知&gt;投标人填写投标信息、下载文件及网上提问操作手册）。</w:t>
            </w:r>
          </w:p>
          <w:p w14:paraId="2DB48892">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r>
              <w:rPr>
                <w:rFonts w:hint="eastAsia" w:ascii="宋体" w:hAnsi="宋体" w:eastAsia="宋体" w:cs="宋体"/>
                <w:color w:val="auto"/>
                <w:kern w:val="0"/>
                <w:sz w:val="21"/>
                <w:szCs w:val="21"/>
                <w:highlight w:val="none"/>
                <w:lang w:val="en-US" w:eastAsia="zh-CN"/>
              </w:rPr>
              <w:t>.本项目采用不见面开标(远程解密)方式，开标时投标人无须至开标现场进行解密，开标采取远程解密方式解密投标文件，投标人远程解密方式：投标人在开标时间前使用CA数字证书登录滁州市“不见面开标系统”，网址为https://ggzy.chuzhou.gov.cn/BidOpening,等待开标并按系统提示进行相应的投标人解密等事项，无需到开标现场。采用本方式可以观看开标现场音视频直播并进行互动交流。具体操作方法见中心网站&gt;服务指南&gt;交易须知中的《滁州市不见面开标系统操作手册》。解密时间要求为：从本项目解密程序开始时计时，至完成投标文件解密时间，不得超过60分钟，否则投标文件将被拒绝。</w:t>
            </w:r>
          </w:p>
          <w:p w14:paraId="2056C81E">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4</w:t>
            </w:r>
            <w:r>
              <w:rPr>
                <w:rFonts w:hint="eastAsia" w:ascii="宋体" w:hAnsi="宋体" w:eastAsia="宋体" w:cs="宋体"/>
                <w:color w:val="auto"/>
                <w:kern w:val="0"/>
                <w:sz w:val="21"/>
                <w:szCs w:val="21"/>
                <w:highlight w:val="none"/>
                <w:lang w:val="en-US" w:eastAsia="zh-CN"/>
              </w:rPr>
              <w:t>.投标文件格式、内容和制作要求以招标文件为准，投标文件制作工具中提供的相关格式及内容仅供参考，投标企业可根据招标文件要求自行调整。</w:t>
            </w:r>
          </w:p>
        </w:tc>
      </w:tr>
      <w:tr w14:paraId="34B09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0F2CE77A">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bCs/>
                <w:color w:val="auto"/>
                <w:spacing w:val="-6"/>
                <w:sz w:val="21"/>
                <w:szCs w:val="21"/>
                <w:highlight w:val="none"/>
              </w:rPr>
            </w:pPr>
            <w:r>
              <w:rPr>
                <w:rFonts w:hint="eastAsia" w:ascii="宋体" w:hAnsi="宋体" w:eastAsia="宋体" w:cs="宋体"/>
                <w:bCs/>
                <w:color w:val="auto"/>
                <w:spacing w:val="-6"/>
                <w:sz w:val="21"/>
                <w:szCs w:val="21"/>
                <w:highlight w:val="none"/>
              </w:rPr>
              <w:t>特别提示</w:t>
            </w:r>
          </w:p>
          <w:p w14:paraId="07630F26">
            <w:pPr>
              <w:pStyle w:val="19"/>
              <w:keepNext w:val="0"/>
              <w:keepLines w:val="0"/>
              <w:pageBreakBefore w:val="0"/>
              <w:kinsoku/>
              <w:overflowPunct/>
              <w:topLinePunct w:val="0"/>
              <w:autoSpaceDE/>
              <w:autoSpaceDN/>
              <w:bidi w:val="0"/>
              <w:spacing w:after="0" w:afterLines="0" w:line="500" w:lineRule="exact"/>
              <w:textAlignment w:val="auto"/>
              <w:rPr>
                <w:rFonts w:hint="eastAsia" w:ascii="宋体" w:hAnsi="宋体" w:eastAsia="宋体" w:cs="宋体"/>
                <w:color w:val="auto"/>
                <w:sz w:val="21"/>
                <w:szCs w:val="21"/>
                <w:highlight w:val="none"/>
              </w:rPr>
            </w:pPr>
          </w:p>
        </w:tc>
        <w:tc>
          <w:tcPr>
            <w:tcW w:w="8313" w:type="dxa"/>
            <w:noWrap w:val="0"/>
            <w:vAlign w:val="center"/>
          </w:tcPr>
          <w:p w14:paraId="60C425C0">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1.本项目投标保证金、履约保证金、工程质量保证金、农民工工资保证金均支持保函使用。以现金形式提交保证金的，应当同时退还保证金本金和银行同期存款利息。</w:t>
            </w:r>
          </w:p>
          <w:p w14:paraId="688CEB6C">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2.投标人应填写投标信息并下载招标文件，否则无法上传投标文件。</w:t>
            </w:r>
          </w:p>
          <w:p w14:paraId="77626874">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注：投标人如为联合体的，牵头人必须完善投标人信息，并在上传投标文件环节添加联合体投标信息。</w:t>
            </w:r>
          </w:p>
          <w:p w14:paraId="55FB5589">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本项目采用电子招标投标，请投标人在滁州市公共资源交易中心网站&gt;服务指南&gt;软件下载栏目点击下载投标文件制作工具。投标人需采用最新版投标文件制作工具。软件运行需在国际互联网络通畅状态，投标人需注意更新，以免造成投标文件制作错误，如因此导致评标委员会否决其投标，责任自负。如有技术问题请联系0550-3801701，0512-58188516。</w:t>
            </w:r>
          </w:p>
          <w:p w14:paraId="1C6647A0">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4.如果过程中出现招标文件更改，应以最后发布的招标答疑澄清文件中的模板制作本项目最新投标文件。</w:t>
            </w:r>
          </w:p>
          <w:p w14:paraId="0D2EA1FE">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5.投标人应当用本单位CA数字证书制作投标文件，制作成功后进行投标文件上传。 </w:t>
            </w:r>
          </w:p>
          <w:p w14:paraId="3572C5DB">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投标人须用CA数字证书盖章和加密投标文件，建议使用主锁。（如未办理CA数字证书请及时办理，网上办理和窗口办理均可。查看办理所需资料请登录滁州市公共资源交易中心网站&gt;服务指南&gt;办事指南&gt;CA数字证书和电子签章。因未及时办理CA数字证书手续导致无法投标的，责任自负）</w:t>
            </w:r>
          </w:p>
          <w:p w14:paraId="54582D8E">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7.请投标人注意加密投标文件CA数字证书的有效期，不在有效期的CA数字证书无法解密投标文件。</w:t>
            </w:r>
          </w:p>
          <w:p w14:paraId="205C776D">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8.投标人投标MAC地址一致或申请开具电子保函MAC地址一致的，由评标委员会否决其投标。</w:t>
            </w:r>
          </w:p>
          <w:p w14:paraId="400BFB6A">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9.投标人投标文件中单方面出现其他投标人材料的（依法组成联合体投标的除外），由评标委员会否决其投标。</w:t>
            </w:r>
          </w:p>
          <w:p w14:paraId="15B7B82F">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10.评标时查询投标文件制作机器码、文件创建标识码及造价软件加密锁号。若存在投标文件制作机器码或创建标识码或造价软件加密锁号信息与其他投标人雷同的，由评标委员会否决其投标，依法依规予以处理。</w:t>
            </w:r>
          </w:p>
          <w:p w14:paraId="4D0B930B">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11.若存在不予退还投标人投标保证金的情形，银行转账的，由公共资源交易中心代为收缴，递交保函的，由招标人予以追缴。</w:t>
            </w:r>
          </w:p>
          <w:p w14:paraId="12FC0F43">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12.投标人以联合体名义投标的，其异议投诉应当由联合体全体成员共同提出。联合体成员单独进行异议投诉的，应当书面征得联合体其他成员同意，联合体成员之间投诉的除外。</w:t>
            </w:r>
          </w:p>
          <w:p w14:paraId="709F8623">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13.投标人联系人或联系电话相同的，由评标委员会否决其投标，并报告监管部门作不良行为处理和进一步调查。</w:t>
            </w:r>
          </w:p>
          <w:p w14:paraId="1F1334CE">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注册地在安徽省内且未在安徽省外开展业务、省外无违法违规行为的企业可通过安徽政务服务网开具由安徽省公共信用信息服务中心出具的《公共信用信息报告（无违法违规证明版或核查版）》代替《诚信投标承诺书》，信用报告出具有关问题可咨询滁州市信用办0550-3035032。</w:t>
            </w:r>
          </w:p>
        </w:tc>
      </w:tr>
      <w:tr w14:paraId="22090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8" w:type="dxa"/>
            <w:gridSpan w:val="2"/>
            <w:noWrap w:val="0"/>
            <w:vAlign w:val="center"/>
          </w:tcPr>
          <w:p w14:paraId="6EC84000">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联系方式（受理异议的联系人及联系方式）</w:t>
            </w:r>
          </w:p>
        </w:tc>
      </w:tr>
      <w:tr w14:paraId="7E84C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595AE529">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招标人名称</w:t>
            </w:r>
          </w:p>
        </w:tc>
        <w:tc>
          <w:tcPr>
            <w:tcW w:w="8313" w:type="dxa"/>
            <w:noWrap w:val="0"/>
            <w:vAlign w:val="center"/>
          </w:tcPr>
          <w:p w14:paraId="35C959BD">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滁州市同创建设投资有限责任公司</w:t>
            </w:r>
            <w:r>
              <w:rPr>
                <w:rFonts w:hint="eastAsia" w:ascii="宋体" w:hAnsi="宋体" w:eastAsia="宋体" w:cs="宋体"/>
                <w:color w:val="auto"/>
                <w:sz w:val="21"/>
                <w:szCs w:val="21"/>
                <w:highlight w:val="none"/>
              </w:rPr>
              <w:t xml:space="preserve"> </w:t>
            </w:r>
          </w:p>
        </w:tc>
      </w:tr>
      <w:tr w14:paraId="22660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70BD6E8C">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招标人地址</w:t>
            </w:r>
          </w:p>
        </w:tc>
        <w:tc>
          <w:tcPr>
            <w:tcW w:w="8313" w:type="dxa"/>
            <w:noWrap w:val="0"/>
            <w:vAlign w:val="center"/>
          </w:tcPr>
          <w:p w14:paraId="3408BF5A">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安徽省滁州市中都大道2887号（滁州原创科技城）</w:t>
            </w:r>
          </w:p>
        </w:tc>
      </w:tr>
      <w:tr w14:paraId="47A8B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01F8DE7C">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招标人联系人</w:t>
            </w:r>
          </w:p>
        </w:tc>
        <w:tc>
          <w:tcPr>
            <w:tcW w:w="8313" w:type="dxa"/>
            <w:noWrap w:val="0"/>
            <w:vAlign w:val="center"/>
          </w:tcPr>
          <w:p w14:paraId="3985ABB1">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姜舒、</w:t>
            </w:r>
            <w:r>
              <w:rPr>
                <w:rFonts w:hint="eastAsia" w:ascii="宋体" w:hAnsi="宋体" w:eastAsia="宋体" w:cs="宋体"/>
                <w:color w:val="auto"/>
                <w:sz w:val="21"/>
                <w:szCs w:val="21"/>
                <w:highlight w:val="none"/>
                <w:lang w:val="en-US" w:eastAsia="zh-CN"/>
              </w:rPr>
              <w:t>李</w:t>
            </w:r>
            <w:r>
              <w:rPr>
                <w:rFonts w:hint="eastAsia" w:ascii="宋体" w:hAnsi="宋体" w:cs="宋体"/>
                <w:color w:val="auto"/>
                <w:sz w:val="21"/>
                <w:szCs w:val="21"/>
                <w:highlight w:val="none"/>
                <w:lang w:val="en-US" w:eastAsia="zh-CN"/>
              </w:rPr>
              <w:t>庆延</w:t>
            </w:r>
            <w:r>
              <w:rPr>
                <w:rFonts w:hint="eastAsia" w:ascii="宋体" w:hAnsi="宋体" w:eastAsia="宋体" w:cs="宋体"/>
                <w:color w:val="auto"/>
                <w:sz w:val="21"/>
                <w:szCs w:val="21"/>
                <w:highlight w:val="none"/>
              </w:rPr>
              <w:t xml:space="preserve"> </w:t>
            </w:r>
          </w:p>
        </w:tc>
      </w:tr>
      <w:tr w14:paraId="546C8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6B20928E">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招标人电话</w:t>
            </w:r>
          </w:p>
        </w:tc>
        <w:tc>
          <w:tcPr>
            <w:tcW w:w="8313" w:type="dxa"/>
            <w:noWrap w:val="0"/>
            <w:vAlign w:val="center"/>
          </w:tcPr>
          <w:p w14:paraId="117A6377">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0550-3017151</w:t>
            </w:r>
          </w:p>
        </w:tc>
      </w:tr>
      <w:tr w14:paraId="0F8C9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70A55F66">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招标代理机构名称</w:t>
            </w:r>
          </w:p>
        </w:tc>
        <w:tc>
          <w:tcPr>
            <w:tcW w:w="8313" w:type="dxa"/>
            <w:noWrap w:val="0"/>
            <w:vAlign w:val="center"/>
          </w:tcPr>
          <w:p w14:paraId="0B87F63A">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滁州市城投工程咨询管理有限公司</w:t>
            </w:r>
            <w:r>
              <w:rPr>
                <w:rFonts w:hint="eastAsia" w:ascii="宋体" w:hAnsi="宋体" w:eastAsia="宋体" w:cs="宋体"/>
                <w:color w:val="auto"/>
                <w:sz w:val="21"/>
                <w:szCs w:val="21"/>
                <w:highlight w:val="none"/>
              </w:rPr>
              <w:t xml:space="preserve"> </w:t>
            </w:r>
          </w:p>
        </w:tc>
      </w:tr>
      <w:tr w14:paraId="464C9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1769F352">
            <w:pPr>
              <w:keepNext w:val="0"/>
              <w:keepLines w:val="0"/>
              <w:pageBreakBefore w:val="0"/>
              <w:widowControl/>
              <w:kinsoku/>
              <w:wordWrap w:val="0"/>
              <w:overflowPunct/>
              <w:topLinePunct w:val="0"/>
              <w:autoSpaceDE/>
              <w:autoSpaceDN/>
              <w:bidi w:val="0"/>
              <w:spacing w:line="500" w:lineRule="exact"/>
              <w:ind w:right="-220" w:rightChars="-105"/>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招标代理机构地址</w:t>
            </w:r>
          </w:p>
        </w:tc>
        <w:tc>
          <w:tcPr>
            <w:tcW w:w="8313" w:type="dxa"/>
            <w:noWrap w:val="0"/>
            <w:vAlign w:val="center"/>
          </w:tcPr>
          <w:p w14:paraId="17E3976A">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滁州市龙蟠大道109号房产大厦6楼</w:t>
            </w:r>
            <w:r>
              <w:rPr>
                <w:rFonts w:hint="eastAsia" w:ascii="宋体" w:hAnsi="宋体" w:eastAsia="宋体" w:cs="宋体"/>
                <w:color w:val="auto"/>
                <w:sz w:val="21"/>
                <w:szCs w:val="21"/>
                <w:highlight w:val="none"/>
              </w:rPr>
              <w:t xml:space="preserve"> </w:t>
            </w:r>
          </w:p>
        </w:tc>
      </w:tr>
      <w:tr w14:paraId="156D6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3CE29730">
            <w:pPr>
              <w:keepNext w:val="0"/>
              <w:keepLines w:val="0"/>
              <w:pageBreakBefore w:val="0"/>
              <w:widowControl/>
              <w:kinsoku/>
              <w:wordWrap w:val="0"/>
              <w:overflowPunct/>
              <w:topLinePunct w:val="0"/>
              <w:autoSpaceDE/>
              <w:autoSpaceDN/>
              <w:bidi w:val="0"/>
              <w:spacing w:line="500" w:lineRule="exact"/>
              <w:ind w:right="-21" w:rightChars="-1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招标代理机构项目负责人</w:t>
            </w:r>
          </w:p>
        </w:tc>
        <w:tc>
          <w:tcPr>
            <w:tcW w:w="8313" w:type="dxa"/>
            <w:noWrap w:val="0"/>
            <w:vAlign w:val="center"/>
          </w:tcPr>
          <w:p w14:paraId="64DAB382">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杨韦</w:t>
            </w:r>
            <w:r>
              <w:rPr>
                <w:rFonts w:hint="eastAsia" w:ascii="宋体" w:hAnsi="宋体" w:eastAsia="宋体" w:cs="宋体"/>
                <w:color w:val="auto"/>
                <w:sz w:val="21"/>
                <w:szCs w:val="21"/>
                <w:highlight w:val="none"/>
              </w:rPr>
              <w:t xml:space="preserve"> </w:t>
            </w:r>
          </w:p>
        </w:tc>
      </w:tr>
      <w:tr w14:paraId="5A325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52A3507E">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代理机构电话</w:t>
            </w:r>
          </w:p>
        </w:tc>
        <w:tc>
          <w:tcPr>
            <w:tcW w:w="8313" w:type="dxa"/>
            <w:noWrap w:val="0"/>
            <w:vAlign w:val="center"/>
          </w:tcPr>
          <w:p w14:paraId="65D2DCCC">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0550-3519590、18005501210</w:t>
            </w:r>
            <w:r>
              <w:rPr>
                <w:rFonts w:hint="eastAsia" w:ascii="宋体" w:hAnsi="宋体" w:eastAsia="宋体" w:cs="宋体"/>
                <w:color w:val="auto"/>
                <w:sz w:val="21"/>
                <w:szCs w:val="21"/>
                <w:highlight w:val="none"/>
              </w:rPr>
              <w:t xml:space="preserve"> </w:t>
            </w:r>
          </w:p>
        </w:tc>
      </w:tr>
      <w:tr w14:paraId="17BD3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607A3201">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招标投标行政监督部门</w:t>
            </w:r>
          </w:p>
        </w:tc>
        <w:tc>
          <w:tcPr>
            <w:tcW w:w="8313" w:type="dxa"/>
            <w:noWrap w:val="0"/>
            <w:vAlign w:val="center"/>
          </w:tcPr>
          <w:p w14:paraId="5FE51065">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滁州市公共资源交易监督管理局</w:t>
            </w:r>
            <w:r>
              <w:rPr>
                <w:rFonts w:hint="eastAsia" w:ascii="宋体" w:hAnsi="宋体" w:eastAsia="宋体" w:cs="宋体"/>
                <w:color w:val="auto"/>
                <w:sz w:val="21"/>
                <w:szCs w:val="21"/>
                <w:highlight w:val="none"/>
              </w:rPr>
              <w:t xml:space="preserve">  </w:t>
            </w:r>
          </w:p>
        </w:tc>
      </w:tr>
      <w:bookmarkEnd w:id="0"/>
      <w:bookmarkEnd w:id="1"/>
      <w:bookmarkEnd w:id="2"/>
      <w:bookmarkEnd w:id="3"/>
    </w:tbl>
    <w:p w14:paraId="6AA8C89B">
      <w:pPr>
        <w:pStyle w:val="2"/>
        <w:pageBreakBefore/>
        <w:adjustRightInd w:val="0"/>
        <w:snapToGrid w:val="0"/>
        <w:spacing w:before="0" w:after="0" w:line="560" w:lineRule="exact"/>
        <w:jc w:val="center"/>
        <w:rPr>
          <w:rFonts w:hint="eastAsia"/>
          <w:color w:val="auto"/>
          <w:highlight w:val="none"/>
        </w:rPr>
      </w:pPr>
      <w:bookmarkStart w:id="13" w:name="_Toc247085687"/>
      <w:bookmarkStart w:id="14" w:name="_Toc246996916"/>
      <w:bookmarkStart w:id="15" w:name="_Toc144974495"/>
      <w:bookmarkStart w:id="16" w:name="_Toc60061431"/>
      <w:bookmarkStart w:id="17" w:name="_Toc152045527"/>
      <w:bookmarkStart w:id="18" w:name="_Toc15058844"/>
      <w:bookmarkStart w:id="19" w:name="_Toc95223333"/>
      <w:bookmarkStart w:id="20" w:name="_Toc246996173"/>
      <w:bookmarkStart w:id="21" w:name="_Toc179632544"/>
      <w:bookmarkStart w:id="22" w:name="_Toc152042303"/>
      <w:bookmarkStart w:id="23" w:name="_Toc324404813"/>
      <w:bookmarkStart w:id="24" w:name="_Toc506107267"/>
      <w:r>
        <w:rPr>
          <w:rFonts w:hint="eastAsia"/>
          <w:color w:val="auto"/>
          <w:highlight w:val="none"/>
        </w:rPr>
        <w:t>第二章 投标人须知</w:t>
      </w:r>
      <w:bookmarkEnd w:id="13"/>
      <w:bookmarkEnd w:id="14"/>
      <w:bookmarkEnd w:id="15"/>
      <w:bookmarkEnd w:id="16"/>
      <w:bookmarkEnd w:id="17"/>
      <w:bookmarkEnd w:id="18"/>
      <w:bookmarkEnd w:id="19"/>
      <w:bookmarkEnd w:id="20"/>
      <w:bookmarkEnd w:id="21"/>
      <w:bookmarkEnd w:id="22"/>
      <w:bookmarkEnd w:id="23"/>
      <w:bookmarkEnd w:id="24"/>
    </w:p>
    <w:p w14:paraId="785179E1">
      <w:pPr>
        <w:pStyle w:val="3"/>
        <w:adjustRightInd w:val="0"/>
        <w:snapToGrid w:val="0"/>
        <w:spacing w:before="0" w:after="0" w:line="560" w:lineRule="exact"/>
        <w:jc w:val="center"/>
        <w:rPr>
          <w:rFonts w:hint="eastAsia"/>
          <w:color w:val="auto"/>
          <w:highlight w:val="none"/>
        </w:rPr>
      </w:pPr>
      <w:bookmarkStart w:id="25" w:name="_Toc83301687"/>
      <w:bookmarkStart w:id="26" w:name="_Toc15058845"/>
      <w:bookmarkStart w:id="27" w:name="_Toc144974496"/>
      <w:bookmarkStart w:id="28" w:name="_Toc324404814"/>
      <w:bookmarkStart w:id="29" w:name="_Toc246996174"/>
      <w:bookmarkStart w:id="30" w:name="_Toc152045528"/>
      <w:bookmarkStart w:id="31" w:name="_Toc179632545"/>
      <w:bookmarkStart w:id="32" w:name="_Toc95223334"/>
      <w:bookmarkStart w:id="33" w:name="_Toc246996917"/>
      <w:bookmarkStart w:id="34" w:name="_Toc506107268"/>
      <w:bookmarkStart w:id="35" w:name="_Toc60061432"/>
      <w:bookmarkStart w:id="36" w:name="_Toc152042304"/>
      <w:bookmarkStart w:id="37" w:name="_Toc247085688"/>
      <w:bookmarkStart w:id="38" w:name="_Toc506107269"/>
      <w:bookmarkStart w:id="39" w:name="_Toc246996918"/>
      <w:bookmarkStart w:id="40" w:name="_Toc15058846"/>
      <w:bookmarkStart w:id="41" w:name="_Toc246996175"/>
      <w:bookmarkStart w:id="42" w:name="_Toc144974497"/>
      <w:bookmarkStart w:id="43" w:name="_Toc247085689"/>
      <w:bookmarkStart w:id="44" w:name="_Toc324404815"/>
      <w:bookmarkStart w:id="45" w:name="_Toc179632546"/>
      <w:bookmarkStart w:id="46" w:name="_Toc152042305"/>
      <w:bookmarkStart w:id="47" w:name="_Toc152045529"/>
      <w:r>
        <w:rPr>
          <w:rFonts w:hint="eastAsia"/>
          <w:color w:val="auto"/>
          <w:highlight w:val="none"/>
        </w:rPr>
        <w:t>投标人须知前附表</w:t>
      </w:r>
      <w:bookmarkEnd w:id="25"/>
      <w:bookmarkEnd w:id="26"/>
      <w:bookmarkEnd w:id="27"/>
      <w:bookmarkEnd w:id="28"/>
      <w:bookmarkEnd w:id="29"/>
      <w:bookmarkEnd w:id="30"/>
      <w:bookmarkEnd w:id="31"/>
      <w:bookmarkEnd w:id="32"/>
      <w:bookmarkEnd w:id="33"/>
      <w:bookmarkEnd w:id="34"/>
      <w:bookmarkEnd w:id="35"/>
      <w:bookmarkEnd w:id="36"/>
      <w:bookmarkEnd w:id="37"/>
    </w:p>
    <w:tbl>
      <w:tblPr>
        <w:tblStyle w:val="20"/>
        <w:tblW w:w="10175" w:type="dxa"/>
        <w:jc w:val="center"/>
        <w:tblLayout w:type="fixed"/>
        <w:tblCellMar>
          <w:top w:w="0" w:type="dxa"/>
          <w:left w:w="108" w:type="dxa"/>
          <w:bottom w:w="0" w:type="dxa"/>
          <w:right w:w="108" w:type="dxa"/>
        </w:tblCellMar>
      </w:tblPr>
      <w:tblGrid>
        <w:gridCol w:w="1016"/>
        <w:gridCol w:w="1860"/>
        <w:gridCol w:w="7299"/>
      </w:tblGrid>
      <w:tr w14:paraId="7937B584">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4766B0FE">
            <w:pPr>
              <w:adjustRightInd w:val="0"/>
              <w:snapToGrid w:val="0"/>
              <w:spacing w:line="560" w:lineRule="exact"/>
              <w:jc w:val="center"/>
              <w:rPr>
                <w:rFonts w:hint="eastAsia" w:ascii="宋体" w:hAnsi="宋体" w:cs="宋体"/>
                <w:b/>
                <w:color w:val="auto"/>
                <w:szCs w:val="21"/>
                <w:highlight w:val="none"/>
              </w:rPr>
            </w:pPr>
            <w:r>
              <w:rPr>
                <w:rFonts w:hint="eastAsia" w:ascii="宋体" w:hAnsi="宋体" w:cs="宋体"/>
                <w:b/>
                <w:color w:val="auto"/>
                <w:szCs w:val="21"/>
                <w:highlight w:val="none"/>
              </w:rPr>
              <w:t>序号</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7E1244C0">
            <w:pPr>
              <w:adjustRightInd w:val="0"/>
              <w:snapToGrid w:val="0"/>
              <w:spacing w:line="560" w:lineRule="exact"/>
              <w:jc w:val="center"/>
              <w:rPr>
                <w:rFonts w:hint="eastAsia" w:ascii="宋体" w:hAnsi="宋体" w:cs="宋体"/>
                <w:b/>
                <w:color w:val="auto"/>
                <w:szCs w:val="21"/>
                <w:highlight w:val="none"/>
              </w:rPr>
            </w:pPr>
            <w:r>
              <w:rPr>
                <w:rFonts w:hint="eastAsia" w:ascii="宋体" w:hAnsi="宋体" w:cs="宋体"/>
                <w:b/>
                <w:color w:val="auto"/>
                <w:szCs w:val="21"/>
                <w:highlight w:val="none"/>
              </w:rPr>
              <w:t>条  款  名  称</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5DA1CC38">
            <w:pPr>
              <w:adjustRightInd w:val="0"/>
              <w:snapToGrid w:val="0"/>
              <w:spacing w:line="560" w:lineRule="exact"/>
              <w:jc w:val="center"/>
              <w:rPr>
                <w:rFonts w:hint="eastAsia" w:ascii="宋体" w:hAnsi="宋体" w:cs="宋体"/>
                <w:b/>
                <w:color w:val="auto"/>
                <w:szCs w:val="21"/>
                <w:highlight w:val="none"/>
              </w:rPr>
            </w:pPr>
            <w:r>
              <w:rPr>
                <w:rFonts w:hint="eastAsia" w:ascii="宋体" w:hAnsi="宋体" w:cs="宋体"/>
                <w:b/>
                <w:color w:val="auto"/>
                <w:szCs w:val="21"/>
                <w:highlight w:val="none"/>
              </w:rPr>
              <w:t>编  列  内  容</w:t>
            </w:r>
          </w:p>
        </w:tc>
      </w:tr>
      <w:tr w14:paraId="59566856">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57827586">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1.1.2</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7E0FBB32">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招标人</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7CBBA0A8">
            <w:pPr>
              <w:pStyle w:val="37"/>
              <w:adjustRightInd w:val="0"/>
              <w:snapToGrid w:val="0"/>
              <w:spacing w:line="560" w:lineRule="exact"/>
              <w:jc w:val="left"/>
              <w:rPr>
                <w:rFonts w:hint="eastAsia" w:ascii="宋体" w:hAnsi="宋体" w:cs="宋体"/>
                <w:color w:val="auto"/>
                <w:kern w:val="2"/>
                <w:sz w:val="24"/>
                <w:szCs w:val="24"/>
                <w:highlight w:val="none"/>
              </w:rPr>
            </w:pPr>
            <w:r>
              <w:rPr>
                <w:rFonts w:hint="eastAsia" w:ascii="宋体" w:hAnsi="宋体" w:cs="宋体"/>
                <w:color w:val="auto"/>
                <w:sz w:val="24"/>
                <w:highlight w:val="none"/>
              </w:rPr>
              <w:t>见招标公告</w:t>
            </w:r>
          </w:p>
        </w:tc>
      </w:tr>
      <w:tr w14:paraId="0A014B5E">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716B3129">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1.1.3</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34A4AC84">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招标代理机构及其项目负责人</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638F398E">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rPr>
              <w:t>见招标公告</w:t>
            </w:r>
          </w:p>
        </w:tc>
      </w:tr>
      <w:tr w14:paraId="22EDA78E">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69381125">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1.1.4</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50641A6E">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招标项目名称</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459B00B6">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rPr>
              <w:t>见招标公告</w:t>
            </w:r>
          </w:p>
        </w:tc>
      </w:tr>
      <w:tr w14:paraId="311BA5CF">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5AD2E7B9">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1.1.5</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72A983F5">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建设地点</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7CDED281">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rPr>
              <w:t>见招标公告</w:t>
            </w:r>
          </w:p>
        </w:tc>
      </w:tr>
      <w:tr w14:paraId="381513DD">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14CF25D2">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1.2.1</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56BE832B">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资金来源及出资比例</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11E51155">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rPr>
              <w:t>见招标公告</w:t>
            </w:r>
          </w:p>
        </w:tc>
      </w:tr>
      <w:tr w14:paraId="64E83A2E">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0F800720">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1.2.2</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7289D8B7">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资金落实情况</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2191C560">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lang w:val="en-US" w:eastAsia="zh-CN"/>
              </w:rPr>
              <w:t>已落实</w:t>
            </w:r>
            <w:r>
              <w:rPr>
                <w:rFonts w:hint="eastAsia" w:ascii="宋体" w:hAnsi="宋体" w:cs="宋体"/>
                <w:color w:val="auto"/>
                <w:sz w:val="24"/>
                <w:highlight w:val="none"/>
              </w:rPr>
              <w:t xml:space="preserve"> </w:t>
            </w:r>
          </w:p>
        </w:tc>
      </w:tr>
      <w:tr w14:paraId="3B583621">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43F4D384">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1.3.1</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217F178F">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招标范围</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58EDF12E">
            <w:pPr>
              <w:adjustRightInd w:val="0"/>
              <w:snapToGrid w:val="0"/>
              <w:spacing w:line="560" w:lineRule="exact"/>
              <w:rPr>
                <w:rFonts w:hint="eastAsia" w:ascii="宋体" w:hAnsi="宋体" w:eastAsia="宋体" w:cs="宋体"/>
                <w:color w:val="auto"/>
                <w:sz w:val="24"/>
                <w:highlight w:val="none"/>
                <w:lang w:eastAsia="zh-CN"/>
              </w:rPr>
            </w:pPr>
            <w:r>
              <w:rPr>
                <w:rFonts w:hint="eastAsia" w:ascii="宋体" w:hAnsi="宋体" w:cs="宋体"/>
                <w:color w:val="auto"/>
                <w:sz w:val="24"/>
                <w:highlight w:val="none"/>
              </w:rPr>
              <w:t>见招标公告</w:t>
            </w:r>
            <w:r>
              <w:rPr>
                <w:rFonts w:hint="eastAsia" w:ascii="宋体" w:hAnsi="宋体" w:cs="宋体"/>
                <w:color w:val="auto"/>
                <w:sz w:val="24"/>
                <w:highlight w:val="none"/>
                <w:lang w:eastAsia="zh-CN"/>
              </w:rPr>
              <w:t>。</w:t>
            </w:r>
          </w:p>
        </w:tc>
      </w:tr>
      <w:tr w14:paraId="24D51BF5">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160BFF42">
            <w:pPr>
              <w:adjustRightInd w:val="0"/>
              <w:snapToGrid w:val="0"/>
              <w:spacing w:line="560" w:lineRule="exact"/>
              <w:jc w:val="center"/>
              <w:rPr>
                <w:rFonts w:ascii="宋体" w:hAnsi="宋体" w:cs="宋体"/>
                <w:color w:val="auto"/>
                <w:sz w:val="24"/>
                <w:highlight w:val="none"/>
              </w:rPr>
            </w:pPr>
            <w:r>
              <w:rPr>
                <w:rFonts w:hint="eastAsia" w:ascii="宋体" w:hAnsi="宋体" w:cs="宋体"/>
                <w:color w:val="auto"/>
                <w:sz w:val="24"/>
                <w:highlight w:val="none"/>
              </w:rPr>
              <w:t>1.3.2</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0F058336">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计划工期</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047489CB">
            <w:pPr>
              <w:adjustRightInd w:val="0"/>
              <w:snapToGrid w:val="0"/>
              <w:spacing w:line="560" w:lineRule="exact"/>
              <w:rPr>
                <w:rFonts w:hint="eastAsia" w:ascii="宋体" w:hAnsi="宋体" w:cs="宋体"/>
                <w:b/>
                <w:color w:val="auto"/>
                <w:sz w:val="24"/>
                <w:highlight w:val="none"/>
              </w:rPr>
            </w:pPr>
            <w:r>
              <w:rPr>
                <w:rFonts w:hint="eastAsia" w:ascii="宋体" w:hAnsi="宋体" w:cs="宋体"/>
                <w:b/>
                <w:color w:val="auto"/>
                <w:sz w:val="24"/>
                <w:highlight w:val="none"/>
              </w:rPr>
              <w:t>计划工期：</w:t>
            </w:r>
            <w:r>
              <w:rPr>
                <w:rFonts w:hint="eastAsia" w:ascii="宋体" w:hAnsi="宋体" w:eastAsia="宋体" w:cs="宋体"/>
                <w:b/>
                <w:color w:val="auto"/>
                <w:sz w:val="24"/>
                <w:highlight w:val="none"/>
              </w:rPr>
              <w:t>不高于</w:t>
            </w:r>
            <w:r>
              <w:rPr>
                <w:rFonts w:hint="eastAsia" w:ascii="宋体" w:hAnsi="宋体" w:eastAsia="宋体" w:cs="宋体"/>
                <w:b/>
                <w:color w:val="auto"/>
                <w:sz w:val="24"/>
                <w:highlight w:val="none"/>
                <w:lang w:val="en-US" w:eastAsia="zh-CN"/>
              </w:rPr>
              <w:t>90</w:t>
            </w:r>
            <w:r>
              <w:rPr>
                <w:rFonts w:hint="eastAsia" w:ascii="宋体" w:hAnsi="宋体" w:eastAsia="宋体" w:cs="宋体"/>
                <w:b/>
                <w:color w:val="auto"/>
                <w:sz w:val="24"/>
                <w:highlight w:val="none"/>
              </w:rPr>
              <w:t>个日历天。</w:t>
            </w:r>
          </w:p>
          <w:p w14:paraId="2FD96DD0">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rPr>
              <w:t>计划开工日期：具体开工日期以开工通知为准</w:t>
            </w:r>
          </w:p>
          <w:p w14:paraId="0772C865">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rPr>
              <w:t>计划竣工日期：以最终实际要求工期为准</w:t>
            </w:r>
          </w:p>
          <w:p w14:paraId="02EA7C28">
            <w:pPr>
              <w:adjustRightInd w:val="0"/>
              <w:snapToGrid w:val="0"/>
              <w:spacing w:line="560" w:lineRule="exact"/>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rPr>
              <w:t>除上述总工期外，招标人还要求以下区段工期（如有）：</w:t>
            </w:r>
            <w:r>
              <w:rPr>
                <w:rFonts w:hint="eastAsia" w:ascii="宋体" w:hAnsi="宋体" w:cs="宋体"/>
                <w:color w:val="auto"/>
                <w:sz w:val="24"/>
                <w:highlight w:val="none"/>
                <w:lang w:val="en-US" w:eastAsia="zh-CN"/>
              </w:rPr>
              <w:t>/</w:t>
            </w:r>
          </w:p>
          <w:p w14:paraId="40F7BB28">
            <w:pPr>
              <w:adjustRightInd w:val="0"/>
              <w:snapToGrid w:val="0"/>
              <w:spacing w:line="560" w:lineRule="exact"/>
              <w:rPr>
                <w:rFonts w:hint="eastAsia" w:ascii="宋体" w:hAnsi="宋体" w:cs="宋体"/>
                <w:color w:val="auto"/>
                <w:sz w:val="24"/>
                <w:highlight w:val="none"/>
                <w:lang w:eastAsia="zh-CN"/>
              </w:rPr>
            </w:pPr>
            <w:r>
              <w:rPr>
                <w:rFonts w:hint="eastAsia" w:ascii="宋体" w:hAnsi="宋体" w:eastAsia="宋体" w:cs="宋体"/>
                <w:color w:val="auto"/>
                <w:sz w:val="24"/>
                <w:highlight w:val="none"/>
                <w:lang w:val="en-US" w:eastAsia="zh-CN"/>
              </w:rPr>
              <w:t>注：因承包方原因造成的工期延误，每延期一天</w:t>
            </w:r>
            <w:r>
              <w:rPr>
                <w:rFonts w:hint="eastAsia" w:ascii="宋体" w:hAnsi="宋体" w:cs="宋体"/>
                <w:color w:val="auto"/>
                <w:sz w:val="24"/>
                <w:highlight w:val="none"/>
                <w:lang w:val="en-US" w:eastAsia="zh-CN"/>
              </w:rPr>
              <w:t>向招标人支付10000元/天</w:t>
            </w:r>
            <w:r>
              <w:rPr>
                <w:rFonts w:hint="eastAsia" w:ascii="宋体" w:hAnsi="宋体" w:eastAsia="宋体" w:cs="宋体"/>
                <w:color w:val="auto"/>
                <w:sz w:val="24"/>
                <w:highlight w:val="none"/>
                <w:lang w:val="en-US" w:eastAsia="zh-CN"/>
              </w:rPr>
              <w:t>的违约金，工期提前不奖励</w:t>
            </w:r>
            <w:r>
              <w:rPr>
                <w:rFonts w:hint="eastAsia" w:ascii="宋体" w:hAnsi="宋体" w:cs="宋体"/>
                <w:color w:val="auto"/>
                <w:sz w:val="24"/>
                <w:highlight w:val="none"/>
                <w:lang w:eastAsia="zh-CN"/>
              </w:rPr>
              <w:t>。其中对部分工程采用分阶段施工节点方式：</w:t>
            </w:r>
          </w:p>
          <w:tbl>
            <w:tblPr>
              <w:tblStyle w:val="20"/>
              <w:tblW w:w="696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06"/>
              <w:gridCol w:w="765"/>
              <w:gridCol w:w="1050"/>
              <w:gridCol w:w="1125"/>
              <w:gridCol w:w="2915"/>
            </w:tblGrid>
            <w:tr w14:paraId="12188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106" w:type="dxa"/>
                  <w:tcBorders>
                    <w:top w:val="single" w:color="000000" w:sz="4" w:space="0"/>
                    <w:left w:val="single" w:color="000000" w:sz="4" w:space="0"/>
                    <w:bottom w:val="nil"/>
                    <w:right w:val="single" w:color="000000" w:sz="4" w:space="0"/>
                  </w:tcBorders>
                  <w:shd w:val="clear" w:color="auto" w:fill="FFFFFF"/>
                  <w:vAlign w:val="center"/>
                </w:tcPr>
                <w:p w14:paraId="12C5C58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专业</w:t>
                  </w:r>
                </w:p>
              </w:tc>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4F808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分项工程</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2EB3A0">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厂务设备到货</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90E80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交付时间</w:t>
                  </w:r>
                </w:p>
              </w:tc>
              <w:tc>
                <w:tcPr>
                  <w:tcW w:w="2915" w:type="dxa"/>
                  <w:tcBorders>
                    <w:top w:val="single" w:color="000000" w:sz="4" w:space="0"/>
                    <w:left w:val="single" w:color="000000" w:sz="4" w:space="0"/>
                    <w:bottom w:val="nil"/>
                    <w:right w:val="single" w:color="000000" w:sz="4" w:space="0"/>
                  </w:tcBorders>
                  <w:shd w:val="clear" w:color="auto" w:fill="FFFFFF"/>
                  <w:vAlign w:val="center"/>
                </w:tcPr>
                <w:p w14:paraId="31C47F24">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需要完成事项</w:t>
                  </w:r>
                </w:p>
              </w:tc>
            </w:tr>
            <w:tr w14:paraId="4E5D0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0" w:hRule="atLeast"/>
                <w:jc w:val="center"/>
              </w:trPr>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C82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基建工程</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2D64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拆除/吊顶/土建/消防</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1CAD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1DA4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9月25日</w:t>
                  </w:r>
                </w:p>
              </w:tc>
              <w:tc>
                <w:tcPr>
                  <w:tcW w:w="2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33DE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特别说明：</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1、施工区域硬性围挡搭建隔离，（30轴-27轴至2/H-3/F区域涉及设备转运避让，施工期间采用施工9天，暂停3天，其余区域全封闭施工，与6车间做物理隔离）</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①5车间室内建筑隔墙、吊顶施工完成，具备设备搬入条件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②原参观通道及北侧辅房完成墙、顶、地土建施工及室内机电、消防安装</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③厂区东侧室外废气、油烟净化、冷却塔、空调设施基础施工完成具备机电放入条件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④车间地面满足设备进入条件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⑤动力站空压机、冷干机及水源热泵拆除完成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⑥室外雨水管网、屋面漏水维修完成</w:t>
                  </w:r>
                </w:p>
              </w:tc>
            </w:tr>
            <w:tr w14:paraId="72F44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0" w:hRule="atLeast"/>
                <w:jc w:val="center"/>
              </w:trPr>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B2C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供配电</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E40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母线/供电配电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(厂务设备：母线、高低压配电柜，补偿柜，现场盘柜）</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C9FC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9月15日</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8FDA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9月25日</w:t>
                  </w:r>
                </w:p>
              </w:tc>
              <w:tc>
                <w:tcPr>
                  <w:tcW w:w="2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D386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①低压配电完成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1、SVG、IPF安装（4台）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2、GGD柜4面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3、密集母线40米（预估需实际测量）630A插接箱24面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4、新增工艺柜11面，动力柜19面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5、利旧改造工艺柜25面，动力柜7面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6、车间内动力柜移位安装</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7、低压动力、工艺设施配电完成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8、原车间双管灯现场均为单管，恢复双管供应</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9、密集母线温控监控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②高压供配电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1、空压机630kw配电完成具备通电调试</w:t>
                  </w:r>
                </w:p>
              </w:tc>
            </w:tr>
            <w:tr w14:paraId="532BE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50" w:hRule="atLeast"/>
                <w:jc w:val="center"/>
              </w:trPr>
              <w:tc>
                <w:tcPr>
                  <w:tcW w:w="11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027A6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机电安装</w:t>
                  </w:r>
                </w:p>
              </w:tc>
              <w:tc>
                <w:tcPr>
                  <w:tcW w:w="765" w:type="dxa"/>
                  <w:tcBorders>
                    <w:top w:val="single" w:color="000000" w:sz="4" w:space="0"/>
                    <w:left w:val="single" w:color="000000" w:sz="4" w:space="0"/>
                    <w:bottom w:val="nil"/>
                    <w:right w:val="nil"/>
                  </w:tcBorders>
                  <w:shd w:val="clear" w:color="auto" w:fill="auto"/>
                  <w:vAlign w:val="center"/>
                </w:tcPr>
                <w:p w14:paraId="57A1EF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动力系统</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(厂务设备：冰机，空压机，干燥机）</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6B4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9月20日</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64C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9月25日</w:t>
                  </w:r>
                </w:p>
              </w:tc>
              <w:tc>
                <w:tcPr>
                  <w:tcW w:w="2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89E3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①完成真空管线安装，真空泵增加，满足正常供应,</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②压缩空气管路增加完成，满足正常供应；预留新增设备管路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③磁悬浮冷机管路增加完成，满足正常供应；预留新增设备管路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④压缩空气主管道更换四氟垫片完成，满足正常供应</w:t>
                  </w:r>
                </w:p>
              </w:tc>
            </w:tr>
            <w:tr w14:paraId="4329C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5" w:hRule="atLeast"/>
                <w:jc w:val="center"/>
              </w:trPr>
              <w:tc>
                <w:tcPr>
                  <w:tcW w:w="11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24ED18">
                  <w:pPr>
                    <w:jc w:val="center"/>
                    <w:rPr>
                      <w:rFonts w:hint="eastAsia" w:ascii="宋体" w:hAnsi="宋体" w:eastAsia="宋体" w:cs="宋体"/>
                      <w:i w:val="0"/>
                      <w:iCs w:val="0"/>
                      <w:color w:val="000000"/>
                      <w:sz w:val="21"/>
                      <w:szCs w:val="21"/>
                      <w:u w:val="none"/>
                    </w:rPr>
                  </w:pPr>
                </w:p>
              </w:tc>
              <w:tc>
                <w:tcPr>
                  <w:tcW w:w="765" w:type="dxa"/>
                  <w:vMerge w:val="restart"/>
                  <w:tcBorders>
                    <w:top w:val="single" w:color="000000" w:sz="4" w:space="0"/>
                    <w:left w:val="single" w:color="000000" w:sz="4" w:space="0"/>
                    <w:bottom w:val="single" w:color="000000" w:sz="4" w:space="0"/>
                    <w:right w:val="nil"/>
                  </w:tcBorders>
                  <w:shd w:val="clear" w:color="auto" w:fill="auto"/>
                  <w:vAlign w:val="center"/>
                </w:tcPr>
                <w:p w14:paraId="0C30B4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给排水系统</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(厂务设备：板换，水泵，冷却塔）</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143A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9月20日</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AE50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9月25日</w:t>
                  </w:r>
                </w:p>
              </w:tc>
              <w:tc>
                <w:tcPr>
                  <w:tcW w:w="2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F06A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①pcw/板换/水泵主系统安装调试完成并保证正常供应,（包含备用方案：连通管)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②空压冷却水泵、冷机冷却水泵安装调试完成并保证正常供应</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③冷机电动阀、冷机冷却塔电动阀安装完成并保证正常供应</w:t>
                  </w:r>
                </w:p>
              </w:tc>
            </w:tr>
            <w:tr w14:paraId="1D153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0" w:hRule="atLeast"/>
                <w:jc w:val="center"/>
              </w:trPr>
              <w:tc>
                <w:tcPr>
                  <w:tcW w:w="11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306426">
                  <w:pPr>
                    <w:jc w:val="center"/>
                    <w:rPr>
                      <w:rFonts w:hint="eastAsia" w:ascii="宋体" w:hAnsi="宋体" w:eastAsia="宋体" w:cs="宋体"/>
                      <w:i w:val="0"/>
                      <w:iCs w:val="0"/>
                      <w:color w:val="000000"/>
                      <w:sz w:val="21"/>
                      <w:szCs w:val="21"/>
                      <w:u w:val="none"/>
                    </w:rPr>
                  </w:pPr>
                </w:p>
              </w:tc>
              <w:tc>
                <w:tcPr>
                  <w:tcW w:w="765" w:type="dxa"/>
                  <w:vMerge w:val="continue"/>
                  <w:tcBorders>
                    <w:top w:val="single" w:color="000000" w:sz="4" w:space="0"/>
                    <w:left w:val="single" w:color="000000" w:sz="4" w:space="0"/>
                    <w:bottom w:val="single" w:color="000000" w:sz="4" w:space="0"/>
                    <w:right w:val="nil"/>
                  </w:tcBorders>
                  <w:shd w:val="clear" w:color="auto" w:fill="auto"/>
                  <w:vAlign w:val="center"/>
                </w:tcPr>
                <w:p w14:paraId="5FAF8363">
                  <w:pPr>
                    <w:jc w:val="center"/>
                    <w:rPr>
                      <w:rFonts w:hint="eastAsia" w:ascii="宋体" w:hAnsi="宋体" w:eastAsia="宋体" w:cs="宋体"/>
                      <w:i w:val="0"/>
                      <w:iCs w:val="0"/>
                      <w:color w:val="000000"/>
                      <w:sz w:val="21"/>
                      <w:szCs w:val="21"/>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FCB4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9月20日</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D2E1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9月30日</w:t>
                  </w:r>
                </w:p>
              </w:tc>
              <w:tc>
                <w:tcPr>
                  <w:tcW w:w="2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95D8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①冷却塔安装调试完成满足丝印pcw正常供应,（包含备用方案：连通管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②空压系统新增冷却塔安装调试完成，接入原有自控系统，正常供应</w:t>
                  </w:r>
                </w:p>
              </w:tc>
            </w:tr>
            <w:tr w14:paraId="0A098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4" w:hRule="atLeast"/>
                <w:jc w:val="center"/>
              </w:trPr>
              <w:tc>
                <w:tcPr>
                  <w:tcW w:w="11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F20D37">
                  <w:pPr>
                    <w:jc w:val="center"/>
                    <w:rPr>
                      <w:rFonts w:hint="eastAsia" w:ascii="宋体" w:hAnsi="宋体" w:eastAsia="宋体" w:cs="宋体"/>
                      <w:i w:val="0"/>
                      <w:iCs w:val="0"/>
                      <w:color w:val="000000"/>
                      <w:sz w:val="21"/>
                      <w:szCs w:val="21"/>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C0C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空调系统</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(厂务设备：空调箱，加湿器）</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2D8F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9月15日</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266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9月30日</w:t>
                  </w:r>
                </w:p>
              </w:tc>
              <w:tc>
                <w:tcPr>
                  <w:tcW w:w="2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7FC7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①空调箱安装完成，满足材料线、排版线、装框区空调使用条件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②层压正压送风机安装完成，满足使用条件</w:t>
                  </w:r>
                </w:p>
              </w:tc>
            </w:tr>
            <w:tr w14:paraId="4C08C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jc w:val="center"/>
              </w:trPr>
              <w:tc>
                <w:tcPr>
                  <w:tcW w:w="11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8747A4">
                  <w:pPr>
                    <w:jc w:val="center"/>
                    <w:rPr>
                      <w:rFonts w:hint="eastAsia" w:ascii="宋体" w:hAnsi="宋体" w:eastAsia="宋体" w:cs="宋体"/>
                      <w:i w:val="0"/>
                      <w:iCs w:val="0"/>
                      <w:color w:val="000000"/>
                      <w:sz w:val="21"/>
                      <w:szCs w:val="21"/>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6CD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废气设备</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(厂务设备：油烟净化，热排风机，CO机组</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CC9A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9月30日</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F44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10月10日</w:t>
                  </w:r>
                </w:p>
              </w:tc>
              <w:tc>
                <w:tcPr>
                  <w:tcW w:w="2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ED80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①有机排：CO及油烟净化设备安装调试完成，有机排管道完成（包含备用方案：连通管），并保证正常供应</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②热排：3套设备及管路完成，并保证正常供应</w:t>
                  </w:r>
                </w:p>
              </w:tc>
            </w:tr>
            <w:tr w14:paraId="46075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20" w:hRule="atLeast"/>
                <w:jc w:val="center"/>
              </w:trPr>
              <w:tc>
                <w:tcPr>
                  <w:tcW w:w="11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9F8B9D">
                  <w:pPr>
                    <w:jc w:val="center"/>
                    <w:rPr>
                      <w:rFonts w:hint="eastAsia" w:ascii="宋体" w:hAnsi="宋体" w:eastAsia="宋体" w:cs="宋体"/>
                      <w:i w:val="0"/>
                      <w:iCs w:val="0"/>
                      <w:color w:val="000000"/>
                      <w:sz w:val="21"/>
                      <w:szCs w:val="21"/>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AB8C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自控系统</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(厂务设备：服务器，传感器，执行器）</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8DE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9月30日</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5593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10月20日</w:t>
                  </w:r>
                </w:p>
              </w:tc>
              <w:tc>
                <w:tcPr>
                  <w:tcW w:w="2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BFB2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①监控室监控大屏、横条屏灯安装调试完成，并保证正常供应</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②5车间对应车间传感器、空调自控传感器、流量计、温湿度传感器、压力传感器、第三方485通讯设备安装调试完成，并接入原有系统实现自动控制</w:t>
                  </w:r>
                </w:p>
              </w:tc>
            </w:tr>
          </w:tbl>
          <w:p w14:paraId="6E8C0A4C">
            <w:pPr>
              <w:adjustRightInd w:val="0"/>
              <w:snapToGrid w:val="0"/>
              <w:spacing w:line="560" w:lineRule="exact"/>
              <w:rPr>
                <w:rFonts w:hint="eastAsia" w:ascii="宋体" w:hAnsi="宋体" w:cs="宋体"/>
                <w:color w:val="auto"/>
                <w:sz w:val="24"/>
                <w:highlight w:val="none"/>
              </w:rPr>
            </w:pPr>
          </w:p>
        </w:tc>
      </w:tr>
      <w:tr w14:paraId="0162CA23">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3BD5F987">
            <w:pPr>
              <w:adjustRightInd w:val="0"/>
              <w:snapToGrid w:val="0"/>
              <w:spacing w:line="560" w:lineRule="exact"/>
              <w:jc w:val="center"/>
              <w:rPr>
                <w:rFonts w:ascii="宋体" w:hAnsi="宋体" w:cs="宋体"/>
                <w:color w:val="auto"/>
                <w:sz w:val="24"/>
                <w:highlight w:val="none"/>
              </w:rPr>
            </w:pPr>
            <w:r>
              <w:rPr>
                <w:rFonts w:hint="eastAsia" w:ascii="宋体" w:hAnsi="宋体" w:cs="宋体"/>
                <w:color w:val="auto"/>
                <w:sz w:val="24"/>
                <w:highlight w:val="none"/>
              </w:rPr>
              <w:t>1.3.3</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7A31C197">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质量要求</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02285BBA">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rPr>
              <w:t>工程质量必须达到国家工程施工质量验收</w:t>
            </w:r>
            <w:r>
              <w:rPr>
                <w:rFonts w:hint="eastAsia" w:ascii="宋体" w:hAnsi="宋体" w:cs="宋体"/>
                <w:b/>
                <w:color w:val="auto"/>
                <w:sz w:val="24"/>
                <w:highlight w:val="none"/>
                <w:u w:val="single"/>
              </w:rPr>
              <w:t xml:space="preserve"> </w:t>
            </w:r>
            <w:r>
              <w:rPr>
                <w:rFonts w:hint="eastAsia" w:ascii="宋体" w:hAnsi="宋体" w:cs="宋体"/>
                <w:b/>
                <w:color w:val="auto"/>
                <w:sz w:val="24"/>
                <w:highlight w:val="none"/>
                <w:u w:val="single"/>
                <w:lang w:val="en-US" w:eastAsia="zh-CN"/>
              </w:rPr>
              <w:t>合格</w:t>
            </w:r>
            <w:r>
              <w:rPr>
                <w:rFonts w:hint="eastAsia" w:ascii="宋体" w:hAnsi="宋体" w:cs="宋体"/>
                <w:b/>
                <w:color w:val="auto"/>
                <w:sz w:val="24"/>
                <w:highlight w:val="none"/>
                <w:u w:val="single"/>
              </w:rPr>
              <w:t xml:space="preserve"> </w:t>
            </w:r>
            <w:r>
              <w:rPr>
                <w:rFonts w:hint="eastAsia" w:ascii="宋体" w:hAnsi="宋体" w:cs="宋体"/>
                <w:color w:val="auto"/>
                <w:sz w:val="24"/>
                <w:highlight w:val="none"/>
              </w:rPr>
              <w:t xml:space="preserve">标准。 </w:t>
            </w:r>
          </w:p>
        </w:tc>
      </w:tr>
      <w:tr w14:paraId="0E90DBF1">
        <w:tblPrEx>
          <w:tblCellMar>
            <w:top w:w="0" w:type="dxa"/>
            <w:left w:w="108" w:type="dxa"/>
            <w:bottom w:w="0" w:type="dxa"/>
            <w:right w:w="108" w:type="dxa"/>
          </w:tblCellMar>
        </w:tblPrEx>
        <w:trPr>
          <w:trHeight w:val="1232" w:hRule="atLeast"/>
          <w:jc w:val="center"/>
        </w:trPr>
        <w:tc>
          <w:tcPr>
            <w:tcW w:w="1016" w:type="dxa"/>
            <w:tcBorders>
              <w:top w:val="single" w:color="auto" w:sz="4" w:space="0"/>
              <w:left w:val="single" w:color="auto" w:sz="4" w:space="0"/>
              <w:right w:val="single" w:color="auto" w:sz="4" w:space="0"/>
            </w:tcBorders>
            <w:noWrap w:val="0"/>
            <w:vAlign w:val="center"/>
          </w:tcPr>
          <w:p w14:paraId="5CE95E05">
            <w:pPr>
              <w:adjustRightInd w:val="0"/>
              <w:snapToGrid w:val="0"/>
              <w:spacing w:line="560" w:lineRule="exact"/>
              <w:jc w:val="center"/>
              <w:rPr>
                <w:rFonts w:ascii="宋体" w:hAnsi="宋体" w:cs="宋体"/>
                <w:color w:val="auto"/>
                <w:sz w:val="24"/>
                <w:highlight w:val="none"/>
              </w:rPr>
            </w:pPr>
            <w:r>
              <w:rPr>
                <w:rFonts w:hint="eastAsia" w:ascii="宋体" w:hAnsi="宋体" w:cs="宋体"/>
                <w:color w:val="auto"/>
                <w:sz w:val="24"/>
                <w:highlight w:val="none"/>
              </w:rPr>
              <w:t>1.4.1</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4919A1ED">
            <w:pPr>
              <w:adjustRightInd w:val="0"/>
              <w:snapToGrid w:val="0"/>
              <w:spacing w:line="560" w:lineRule="exact"/>
              <w:jc w:val="center"/>
              <w:rPr>
                <w:rFonts w:hint="eastAsia" w:ascii="宋体" w:hAnsi="宋体" w:cs="宋体"/>
                <w:color w:val="auto"/>
                <w:sz w:val="24"/>
                <w:highlight w:val="none"/>
                <w:u w:val="none"/>
              </w:rPr>
            </w:pPr>
            <w:r>
              <w:rPr>
                <w:rFonts w:hint="eastAsia" w:ascii="宋体" w:hAnsi="宋体" w:cs="宋体"/>
                <w:color w:val="auto"/>
                <w:sz w:val="24"/>
                <w:highlight w:val="none"/>
                <w:u w:val="none"/>
              </w:rPr>
              <w:t>投标人资质条件、能力和信誉</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78579910">
            <w:pPr>
              <w:widowControl/>
              <w:adjustRightInd w:val="0"/>
              <w:snapToGrid w:val="0"/>
              <w:spacing w:line="560" w:lineRule="exact"/>
              <w:jc w:val="left"/>
              <w:rPr>
                <w:rFonts w:hint="eastAsia" w:ascii="宋体" w:hAnsi="宋体" w:cs="宋体"/>
                <w:color w:val="auto"/>
                <w:sz w:val="24"/>
                <w:highlight w:val="none"/>
                <w:u w:val="none"/>
              </w:rPr>
            </w:pPr>
            <w:r>
              <w:rPr>
                <w:rFonts w:hint="eastAsia" w:ascii="宋体" w:hAnsi="宋体" w:cs="宋体"/>
                <w:color w:val="auto"/>
                <w:sz w:val="24"/>
                <w:highlight w:val="none"/>
                <w:u w:val="none"/>
              </w:rPr>
              <w:t>详见招标公告</w:t>
            </w:r>
          </w:p>
        </w:tc>
      </w:tr>
      <w:tr w14:paraId="6F26DE31">
        <w:tblPrEx>
          <w:tblCellMar>
            <w:top w:w="0" w:type="dxa"/>
            <w:left w:w="108" w:type="dxa"/>
            <w:bottom w:w="0" w:type="dxa"/>
            <w:right w:w="108" w:type="dxa"/>
          </w:tblCellMar>
        </w:tblPrEx>
        <w:trPr>
          <w:trHeight w:val="683"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631EE4B9">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1.4.2</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203E5A94">
            <w:pPr>
              <w:adjustRightInd w:val="0"/>
              <w:snapToGrid w:val="0"/>
              <w:spacing w:line="560" w:lineRule="exact"/>
              <w:jc w:val="center"/>
              <w:rPr>
                <w:rFonts w:hint="eastAsia" w:ascii="宋体" w:hAnsi="宋体" w:cs="宋体"/>
                <w:color w:val="auto"/>
                <w:spacing w:val="-4"/>
                <w:kern w:val="0"/>
                <w:sz w:val="24"/>
                <w:highlight w:val="none"/>
                <w:u w:val="none"/>
              </w:rPr>
            </w:pPr>
            <w:r>
              <w:rPr>
                <w:rFonts w:hint="eastAsia" w:ascii="宋体" w:hAnsi="宋体" w:cs="宋体"/>
                <w:color w:val="auto"/>
                <w:spacing w:val="-4"/>
                <w:kern w:val="0"/>
                <w:sz w:val="24"/>
                <w:highlight w:val="none"/>
                <w:u w:val="none"/>
              </w:rPr>
              <w:t>是否接受联合体投标</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24D4DAFE">
            <w:pPr>
              <w:pStyle w:val="10"/>
              <w:topLinePunct/>
              <w:adjustRightInd w:val="0"/>
              <w:snapToGrid w:val="0"/>
              <w:spacing w:line="560" w:lineRule="exact"/>
              <w:rPr>
                <w:rFonts w:hint="eastAsia" w:hAnsi="宋体" w:cs="宋体"/>
                <w:color w:val="auto"/>
                <w:szCs w:val="24"/>
                <w:highlight w:val="none"/>
                <w:u w:val="none"/>
              </w:rPr>
            </w:pPr>
            <w:r>
              <w:rPr>
                <w:rFonts w:hint="eastAsia" w:hAnsi="宋体" w:cs="宋体"/>
                <w:color w:val="auto"/>
                <w:szCs w:val="24"/>
                <w:highlight w:val="none"/>
                <w:u w:val="none"/>
              </w:rPr>
              <w:t>详见招标公告</w:t>
            </w:r>
          </w:p>
        </w:tc>
      </w:tr>
      <w:tr w14:paraId="1B06E17D">
        <w:tblPrEx>
          <w:tblCellMar>
            <w:top w:w="0" w:type="dxa"/>
            <w:left w:w="108" w:type="dxa"/>
            <w:bottom w:w="0" w:type="dxa"/>
            <w:right w:w="108" w:type="dxa"/>
          </w:tblCellMar>
        </w:tblPrEx>
        <w:trPr>
          <w:trHeight w:val="683"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25B67D8C">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1.4.3</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4128EF46">
            <w:pPr>
              <w:adjustRightInd w:val="0"/>
              <w:snapToGrid w:val="0"/>
              <w:spacing w:line="560" w:lineRule="exact"/>
              <w:jc w:val="center"/>
              <w:rPr>
                <w:rFonts w:hint="eastAsia" w:ascii="宋体" w:hAnsi="宋体" w:cs="宋体"/>
                <w:color w:val="auto"/>
                <w:spacing w:val="-4"/>
                <w:kern w:val="0"/>
                <w:sz w:val="24"/>
                <w:highlight w:val="none"/>
              </w:rPr>
            </w:pPr>
            <w:r>
              <w:rPr>
                <w:rFonts w:hint="eastAsia" w:ascii="宋体" w:hAnsi="宋体" w:cs="宋体"/>
                <w:color w:val="auto"/>
                <w:spacing w:val="-4"/>
                <w:kern w:val="0"/>
                <w:sz w:val="24"/>
                <w:highlight w:val="none"/>
              </w:rPr>
              <w:t>投标人不得存在的其他关联情形</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34E8FE0D">
            <w:pPr>
              <w:pStyle w:val="10"/>
              <w:topLinePunct/>
              <w:adjustRightInd w:val="0"/>
              <w:snapToGrid w:val="0"/>
              <w:spacing w:line="560" w:lineRule="exact"/>
              <w:rPr>
                <w:rFonts w:hint="eastAsia" w:hAnsi="宋体" w:cs="宋体"/>
                <w:color w:val="auto"/>
                <w:szCs w:val="24"/>
                <w:highlight w:val="none"/>
              </w:rPr>
            </w:pPr>
            <w:r>
              <w:rPr>
                <w:rFonts w:hint="eastAsia" w:hAnsi="宋体" w:cs="宋体"/>
                <w:color w:val="auto"/>
                <w:szCs w:val="24"/>
                <w:highlight w:val="none"/>
              </w:rPr>
              <w:t xml:space="preserve">详见招标公告 </w:t>
            </w:r>
          </w:p>
        </w:tc>
      </w:tr>
      <w:tr w14:paraId="1E95AAF9">
        <w:tblPrEx>
          <w:tblCellMar>
            <w:top w:w="0" w:type="dxa"/>
            <w:left w:w="108" w:type="dxa"/>
            <w:bottom w:w="0" w:type="dxa"/>
            <w:right w:w="108" w:type="dxa"/>
          </w:tblCellMar>
        </w:tblPrEx>
        <w:trPr>
          <w:trHeight w:val="683"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72447EA9">
            <w:pPr>
              <w:adjustRightInd w:val="0"/>
              <w:snapToGrid w:val="0"/>
              <w:spacing w:line="560" w:lineRule="exact"/>
              <w:jc w:val="center"/>
              <w:rPr>
                <w:rFonts w:ascii="宋体" w:hAnsi="宋体" w:cs="宋体"/>
                <w:color w:val="auto"/>
                <w:sz w:val="24"/>
                <w:highlight w:val="none"/>
              </w:rPr>
            </w:pPr>
            <w:r>
              <w:rPr>
                <w:rFonts w:hint="eastAsia" w:ascii="宋体" w:hAnsi="宋体" w:cs="宋体"/>
                <w:color w:val="auto"/>
                <w:sz w:val="24"/>
                <w:highlight w:val="none"/>
              </w:rPr>
              <w:t>1.9</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732519DC">
            <w:pPr>
              <w:adjustRightInd w:val="0"/>
              <w:snapToGrid w:val="0"/>
              <w:spacing w:line="560" w:lineRule="exact"/>
              <w:jc w:val="center"/>
              <w:rPr>
                <w:rFonts w:hint="eastAsia" w:ascii="宋体" w:hAnsi="宋体" w:cs="宋体"/>
                <w:color w:val="auto"/>
                <w:spacing w:val="-4"/>
                <w:kern w:val="0"/>
                <w:sz w:val="24"/>
                <w:highlight w:val="none"/>
              </w:rPr>
            </w:pPr>
            <w:r>
              <w:rPr>
                <w:rFonts w:hint="eastAsia" w:ascii="宋体" w:hAnsi="宋体" w:cs="宋体"/>
                <w:color w:val="auto"/>
                <w:spacing w:val="-4"/>
                <w:kern w:val="0"/>
                <w:sz w:val="24"/>
                <w:highlight w:val="none"/>
              </w:rPr>
              <w:t>踏勘现场</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5E4802CE">
            <w:pPr>
              <w:pStyle w:val="10"/>
              <w:topLinePunct/>
              <w:adjustRightInd w:val="0"/>
              <w:snapToGrid w:val="0"/>
              <w:spacing w:line="560" w:lineRule="exact"/>
              <w:rPr>
                <w:rFonts w:hint="eastAsia" w:hAnsi="宋体" w:cs="宋体"/>
                <w:color w:val="auto"/>
                <w:szCs w:val="24"/>
                <w:highlight w:val="none"/>
              </w:rPr>
            </w:pPr>
            <w:r>
              <w:rPr>
                <w:rFonts w:hint="eastAsia" w:hAnsi="宋体" w:cs="宋体"/>
                <w:color w:val="auto"/>
                <w:spacing w:val="-4"/>
                <w:kern w:val="0"/>
                <w:szCs w:val="24"/>
                <w:highlight w:val="none"/>
              </w:rPr>
              <w:t>不组织，投标人自行组织踏勘</w:t>
            </w:r>
            <w:r>
              <w:rPr>
                <w:rFonts w:hint="eastAsia" w:hAnsi="宋体" w:cs="宋体"/>
                <w:color w:val="auto"/>
                <w:szCs w:val="24"/>
                <w:highlight w:val="none"/>
              </w:rPr>
              <w:t>。</w:t>
            </w:r>
          </w:p>
        </w:tc>
      </w:tr>
      <w:tr w14:paraId="7455166C">
        <w:tblPrEx>
          <w:tblCellMar>
            <w:top w:w="0" w:type="dxa"/>
            <w:left w:w="108" w:type="dxa"/>
            <w:bottom w:w="0" w:type="dxa"/>
            <w:right w:w="108" w:type="dxa"/>
          </w:tblCellMar>
        </w:tblPrEx>
        <w:trPr>
          <w:trHeight w:val="661"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2BF01902">
            <w:pPr>
              <w:adjustRightInd w:val="0"/>
              <w:snapToGrid w:val="0"/>
              <w:spacing w:line="560" w:lineRule="exact"/>
              <w:jc w:val="center"/>
              <w:rPr>
                <w:rFonts w:ascii="宋体" w:hAnsi="宋体" w:cs="宋体"/>
                <w:color w:val="auto"/>
                <w:sz w:val="24"/>
                <w:highlight w:val="none"/>
              </w:rPr>
            </w:pPr>
            <w:r>
              <w:rPr>
                <w:rFonts w:hint="eastAsia" w:ascii="宋体" w:hAnsi="宋体" w:cs="宋体"/>
                <w:color w:val="auto"/>
                <w:sz w:val="24"/>
                <w:highlight w:val="none"/>
              </w:rPr>
              <w:t>1.10.1</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0BAD22E6">
            <w:pPr>
              <w:adjustRightInd w:val="0"/>
              <w:snapToGrid w:val="0"/>
              <w:spacing w:line="560" w:lineRule="exact"/>
              <w:jc w:val="center"/>
              <w:rPr>
                <w:rFonts w:hint="eastAsia" w:ascii="宋体" w:hAnsi="宋体" w:cs="宋体"/>
                <w:color w:val="auto"/>
                <w:spacing w:val="-4"/>
                <w:kern w:val="0"/>
                <w:sz w:val="24"/>
                <w:highlight w:val="none"/>
              </w:rPr>
            </w:pPr>
            <w:r>
              <w:rPr>
                <w:rFonts w:hint="eastAsia" w:ascii="宋体" w:hAnsi="宋体" w:cs="宋体"/>
                <w:color w:val="auto"/>
                <w:spacing w:val="-4"/>
                <w:kern w:val="0"/>
                <w:sz w:val="24"/>
                <w:highlight w:val="none"/>
              </w:rPr>
              <w:t>投标预备会</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7AA801E1">
            <w:pPr>
              <w:pStyle w:val="10"/>
              <w:topLinePunct/>
              <w:adjustRightInd w:val="0"/>
              <w:snapToGrid w:val="0"/>
              <w:spacing w:line="560" w:lineRule="exact"/>
              <w:rPr>
                <w:rFonts w:hint="eastAsia" w:hAnsi="宋体" w:cs="宋体"/>
                <w:color w:val="auto"/>
                <w:szCs w:val="24"/>
                <w:highlight w:val="none"/>
              </w:rPr>
            </w:pPr>
            <w:r>
              <w:rPr>
                <w:rFonts w:hint="eastAsia" w:hAnsi="宋体" w:cs="宋体"/>
                <w:color w:val="auto"/>
                <w:szCs w:val="24"/>
                <w:highlight w:val="none"/>
                <w:u w:val="none"/>
              </w:rPr>
              <w:t>不召开。</w:t>
            </w:r>
            <w:r>
              <w:rPr>
                <w:rFonts w:hint="eastAsia" w:hAnsi="宋体" w:cs="宋体"/>
                <w:color w:val="auto"/>
                <w:szCs w:val="24"/>
                <w:highlight w:val="none"/>
              </w:rPr>
              <w:t xml:space="preserve">  </w:t>
            </w:r>
          </w:p>
        </w:tc>
      </w:tr>
      <w:tr w14:paraId="2EEFD762">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0DCD1D4C">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1.10.2</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7DD83AAC">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投标人在投标预备会前提出问题</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77040C44">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rPr>
              <w:t>时间：</w:t>
            </w:r>
            <w:r>
              <w:rPr>
                <w:rFonts w:hint="eastAsia" w:ascii="宋体" w:hAnsi="宋体" w:cs="宋体"/>
                <w:color w:val="auto"/>
                <w:sz w:val="24"/>
                <w:highlight w:val="none"/>
                <w:lang w:val="en-US" w:eastAsia="zh-CN"/>
              </w:rPr>
              <w:t>/</w:t>
            </w:r>
            <w:r>
              <w:rPr>
                <w:rFonts w:hint="eastAsia" w:ascii="宋体" w:hAnsi="宋体" w:cs="宋体"/>
                <w:color w:val="auto"/>
                <w:sz w:val="24"/>
                <w:highlight w:val="none"/>
              </w:rPr>
              <w:t xml:space="preserve">    </w:t>
            </w:r>
          </w:p>
          <w:p w14:paraId="2DC380E8">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rPr>
              <w:t>形式：</w:t>
            </w:r>
            <w:r>
              <w:rPr>
                <w:rFonts w:hint="eastAsia" w:ascii="宋体" w:hAnsi="宋体" w:cs="宋体"/>
                <w:color w:val="auto"/>
                <w:sz w:val="24"/>
                <w:highlight w:val="none"/>
                <w:lang w:val="en-US" w:eastAsia="zh-CN"/>
              </w:rPr>
              <w:t>/</w:t>
            </w:r>
            <w:r>
              <w:rPr>
                <w:rFonts w:hint="eastAsia" w:ascii="宋体" w:hAnsi="宋体" w:cs="宋体"/>
                <w:color w:val="auto"/>
                <w:sz w:val="24"/>
                <w:highlight w:val="none"/>
              </w:rPr>
              <w:t xml:space="preserve">    </w:t>
            </w:r>
          </w:p>
        </w:tc>
      </w:tr>
      <w:tr w14:paraId="51D64FC6">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653E28EB">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1.11</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76FFBD41">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分包</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511BC6A2">
            <w:pPr>
              <w:adjustRightInd w:val="0"/>
              <w:snapToGrid w:val="0"/>
              <w:spacing w:line="560" w:lineRule="exact"/>
              <w:jc w:val="left"/>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允许，分包内容要求：主体结构、关键性工作的范围以外的专业工程                       </w:t>
            </w:r>
          </w:p>
          <w:p w14:paraId="6BEA4DD8">
            <w:pPr>
              <w:adjustRightInd w:val="0"/>
              <w:snapToGrid w:val="0"/>
              <w:spacing w:line="560" w:lineRule="exact"/>
              <w:jc w:val="left"/>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分包金额要求：另行约定               </w:t>
            </w:r>
          </w:p>
          <w:p w14:paraId="11B9169D">
            <w:pPr>
              <w:adjustRightInd w:val="0"/>
              <w:snapToGrid w:val="0"/>
              <w:spacing w:line="560" w:lineRule="exact"/>
              <w:jc w:val="left"/>
              <w:rPr>
                <w:rFonts w:hint="eastAsia" w:ascii="宋体" w:hAnsi="宋体" w:cs="宋体"/>
                <w:color w:val="auto"/>
                <w:kern w:val="0"/>
                <w:sz w:val="24"/>
                <w:highlight w:val="none"/>
              </w:rPr>
            </w:pPr>
            <w:r>
              <w:rPr>
                <w:rFonts w:hint="eastAsia" w:ascii="宋体" w:hAnsi="宋体" w:cs="宋体"/>
                <w:color w:val="auto"/>
                <w:kern w:val="0"/>
                <w:sz w:val="24"/>
                <w:highlight w:val="none"/>
              </w:rPr>
              <w:t>接受分包的第三人资质要求：必须经招标人同意，且须满足分包工程的资质要求。</w:t>
            </w:r>
          </w:p>
          <w:p w14:paraId="3CA52540">
            <w:pPr>
              <w:adjustRightInd w:val="0"/>
              <w:snapToGrid w:val="0"/>
              <w:spacing w:line="560" w:lineRule="exact"/>
              <w:jc w:val="left"/>
              <w:rPr>
                <w:rFonts w:hint="eastAsia" w:ascii="宋体" w:hAnsi="宋体" w:cs="宋体"/>
                <w:color w:val="auto"/>
                <w:kern w:val="0"/>
                <w:sz w:val="24"/>
                <w:highlight w:val="none"/>
              </w:rPr>
            </w:pPr>
            <w:r>
              <w:rPr>
                <w:rFonts w:hint="eastAsia" w:ascii="宋体" w:hAnsi="宋体" w:cs="宋体"/>
                <w:b/>
                <w:bCs/>
                <w:color w:val="auto"/>
                <w:kern w:val="0"/>
                <w:sz w:val="24"/>
                <w:highlight w:val="none"/>
              </w:rPr>
              <w:t>注：允许分包的，其分包合同须报建设单位备案。</w:t>
            </w:r>
          </w:p>
        </w:tc>
      </w:tr>
      <w:tr w14:paraId="447E2BFB">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35BD5CD1">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2.1</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2F285D3E">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构成招标文件的其他资料</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32957186">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lang w:val="en-US" w:eastAsia="zh-CN"/>
              </w:rPr>
              <w:t>本项目</w:t>
            </w:r>
            <w:r>
              <w:rPr>
                <w:rFonts w:hint="eastAsia" w:ascii="宋体" w:hAnsi="宋体" w:cs="宋体"/>
                <w:color w:val="auto"/>
                <w:sz w:val="24"/>
                <w:highlight w:val="none"/>
              </w:rPr>
              <w:t>图纸、工程量清单、最高投标限价、澄清答疑文件（如有）</w:t>
            </w:r>
          </w:p>
        </w:tc>
      </w:tr>
      <w:tr w14:paraId="25A8D99A">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444DEA4A">
            <w:pPr>
              <w:adjustRightInd w:val="0"/>
              <w:snapToGrid w:val="0"/>
              <w:spacing w:line="560" w:lineRule="exact"/>
              <w:jc w:val="center"/>
              <w:rPr>
                <w:rFonts w:ascii="宋体" w:hAnsi="宋体" w:cs="宋体"/>
                <w:color w:val="auto"/>
                <w:sz w:val="24"/>
                <w:highlight w:val="none"/>
              </w:rPr>
            </w:pPr>
            <w:r>
              <w:rPr>
                <w:rFonts w:hint="eastAsia" w:ascii="宋体" w:hAnsi="宋体" w:cs="宋体"/>
                <w:color w:val="auto"/>
                <w:sz w:val="24"/>
                <w:highlight w:val="none"/>
              </w:rPr>
              <w:t>2.2</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72C7E19F">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投标人提出异议的截止时间及方式</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2727A989">
            <w:pPr>
              <w:adjustRightInd w:val="0"/>
              <w:snapToGrid w:val="0"/>
              <w:spacing w:line="560" w:lineRule="exact"/>
              <w:jc w:val="left"/>
              <w:rPr>
                <w:rFonts w:hint="eastAsia" w:ascii="宋体" w:hAnsi="宋体" w:cs="宋体"/>
                <w:color w:val="auto"/>
                <w:sz w:val="24"/>
                <w:highlight w:val="none"/>
              </w:rPr>
            </w:pPr>
            <w:r>
              <w:rPr>
                <w:rFonts w:hint="eastAsia" w:ascii="宋体" w:hAnsi="宋体" w:cs="宋体"/>
                <w:color w:val="auto"/>
                <w:kern w:val="0"/>
                <w:sz w:val="24"/>
                <w:highlight w:val="none"/>
              </w:rPr>
              <w:t>如投标人对招标文件有异议，请于</w:t>
            </w:r>
            <w:r>
              <w:rPr>
                <w:rFonts w:hint="eastAsia" w:ascii="宋体" w:hAnsi="宋体" w:cs="宋体"/>
                <w:color w:val="auto"/>
                <w:kern w:val="0"/>
                <w:sz w:val="24"/>
                <w:highlight w:val="none"/>
                <w:lang w:val="en-US" w:eastAsia="zh-CN"/>
              </w:rPr>
              <w:t>2026</w:t>
            </w:r>
            <w:r>
              <w:rPr>
                <w:rFonts w:hint="eastAsia" w:ascii="宋体" w:hAnsi="宋体" w:cs="宋体"/>
                <w:color w:val="auto"/>
                <w:kern w:val="0"/>
                <w:sz w:val="24"/>
                <w:highlight w:val="none"/>
              </w:rPr>
              <w:t>年</w:t>
            </w:r>
            <w:r>
              <w:rPr>
                <w:rFonts w:hint="eastAsia" w:ascii="宋体" w:hAnsi="宋体" w:cs="宋体"/>
                <w:color w:val="auto"/>
                <w:kern w:val="0"/>
                <w:sz w:val="24"/>
                <w:highlight w:val="none"/>
                <w:lang w:val="en-US" w:eastAsia="zh-CN"/>
              </w:rPr>
              <w:t>7</w:t>
            </w:r>
            <w:r>
              <w:rPr>
                <w:rFonts w:hint="eastAsia" w:ascii="宋体" w:hAnsi="宋体" w:cs="宋体"/>
                <w:color w:val="auto"/>
                <w:kern w:val="0"/>
                <w:sz w:val="24"/>
                <w:highlight w:val="none"/>
              </w:rPr>
              <w:t>月</w:t>
            </w:r>
            <w:r>
              <w:rPr>
                <w:rFonts w:hint="eastAsia" w:ascii="宋体" w:hAnsi="宋体" w:cs="宋体"/>
                <w:color w:val="auto"/>
                <w:kern w:val="0"/>
                <w:sz w:val="24"/>
                <w:highlight w:val="none"/>
                <w:lang w:val="en-US" w:eastAsia="zh-CN"/>
              </w:rPr>
              <w:t>19</w:t>
            </w:r>
            <w:r>
              <w:rPr>
                <w:rFonts w:hint="eastAsia" w:ascii="宋体" w:hAnsi="宋体" w:cs="宋体"/>
                <w:color w:val="auto"/>
                <w:kern w:val="0"/>
                <w:sz w:val="24"/>
                <w:highlight w:val="none"/>
              </w:rPr>
              <w:t>日</w:t>
            </w:r>
            <w:r>
              <w:rPr>
                <w:rFonts w:hint="eastAsia" w:ascii="宋体" w:hAnsi="宋体" w:cs="宋体"/>
                <w:color w:val="auto"/>
                <w:kern w:val="0"/>
                <w:sz w:val="24"/>
                <w:highlight w:val="none"/>
                <w:lang w:val="en-US" w:eastAsia="zh-CN"/>
              </w:rPr>
              <w:t>8</w:t>
            </w:r>
            <w:r>
              <w:rPr>
                <w:rFonts w:hint="eastAsia" w:ascii="宋体" w:hAnsi="宋体" w:cs="宋体"/>
                <w:color w:val="auto"/>
                <w:kern w:val="0"/>
                <w:sz w:val="24"/>
                <w:highlight w:val="none"/>
              </w:rPr>
              <w:t>时</w:t>
            </w:r>
            <w:r>
              <w:rPr>
                <w:rFonts w:hint="eastAsia" w:ascii="宋体" w:hAnsi="宋体" w:cs="宋体"/>
                <w:color w:val="auto"/>
                <w:kern w:val="0"/>
                <w:sz w:val="24"/>
                <w:highlight w:val="none"/>
                <w:lang w:val="en-US" w:eastAsia="zh-CN"/>
              </w:rPr>
              <w:t>30分</w:t>
            </w:r>
            <w:r>
              <w:rPr>
                <w:rFonts w:hint="eastAsia" w:ascii="宋体" w:hAnsi="宋体" w:cs="宋体"/>
                <w:color w:val="auto"/>
                <w:kern w:val="0"/>
                <w:sz w:val="24"/>
                <w:highlight w:val="none"/>
              </w:rPr>
              <w:t>（投标截止10日）前在滁州市公共资源交易中心网电子交易系统中进行异议，具体操作步骤和程序请参见服务指南&gt;交易须知&gt;在线异议、质疑和投诉操作手册。</w:t>
            </w:r>
          </w:p>
        </w:tc>
      </w:tr>
      <w:tr w14:paraId="68B569E3">
        <w:tblPrEx>
          <w:tblCellMar>
            <w:top w:w="0" w:type="dxa"/>
            <w:left w:w="108" w:type="dxa"/>
            <w:bottom w:w="0" w:type="dxa"/>
            <w:right w:w="108" w:type="dxa"/>
          </w:tblCellMar>
        </w:tblPrEx>
        <w:trPr>
          <w:trHeight w:val="1196"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2DB939D2">
            <w:pPr>
              <w:adjustRightInd w:val="0"/>
              <w:snapToGrid w:val="0"/>
              <w:spacing w:line="560" w:lineRule="exact"/>
              <w:jc w:val="center"/>
              <w:rPr>
                <w:rFonts w:ascii="宋体" w:hAnsi="宋体" w:cs="宋体"/>
                <w:color w:val="auto"/>
                <w:sz w:val="24"/>
                <w:highlight w:val="none"/>
              </w:rPr>
            </w:pPr>
            <w:r>
              <w:rPr>
                <w:rFonts w:hint="eastAsia" w:ascii="宋体" w:hAnsi="宋体" w:cs="宋体"/>
                <w:color w:val="auto"/>
                <w:sz w:val="24"/>
                <w:highlight w:val="none"/>
              </w:rPr>
              <w:t>2.3</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4D330DA9">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招标人澄清的时间及方式</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7C2F1F1D">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2026</w:t>
            </w:r>
            <w:r>
              <w:rPr>
                <w:rFonts w:hint="eastAsia" w:ascii="宋体" w:hAnsi="宋体" w:cs="宋体"/>
                <w:color w:val="auto"/>
                <w:sz w:val="24"/>
                <w:highlight w:val="none"/>
              </w:rPr>
              <w:t>年</w:t>
            </w:r>
            <w:r>
              <w:rPr>
                <w:rFonts w:hint="eastAsia" w:ascii="宋体" w:hAnsi="宋体" w:cs="宋体"/>
                <w:color w:val="auto"/>
                <w:sz w:val="24"/>
                <w:highlight w:val="none"/>
                <w:u w:val="single"/>
                <w:lang w:val="en-US" w:eastAsia="zh-CN"/>
              </w:rPr>
              <w:t>7</w:t>
            </w:r>
            <w:r>
              <w:rPr>
                <w:rFonts w:hint="eastAsia" w:ascii="宋体" w:hAnsi="宋体" w:cs="宋体"/>
                <w:color w:val="auto"/>
                <w:sz w:val="24"/>
                <w:highlight w:val="none"/>
              </w:rPr>
              <w:t>月</w:t>
            </w:r>
            <w:r>
              <w:rPr>
                <w:rFonts w:hint="eastAsia" w:ascii="宋体" w:hAnsi="宋体" w:cs="宋体"/>
                <w:color w:val="auto"/>
                <w:sz w:val="24"/>
                <w:highlight w:val="none"/>
                <w:u w:val="single"/>
                <w:lang w:val="en-US" w:eastAsia="zh-CN"/>
              </w:rPr>
              <w:t>21</w:t>
            </w:r>
            <w:r>
              <w:rPr>
                <w:rFonts w:hint="eastAsia" w:ascii="宋体" w:hAnsi="宋体" w:cs="宋体"/>
                <w:color w:val="auto"/>
                <w:sz w:val="24"/>
                <w:highlight w:val="none"/>
              </w:rPr>
              <w:t>日</w:t>
            </w:r>
            <w:r>
              <w:rPr>
                <w:rFonts w:hint="eastAsia" w:ascii="宋体" w:hAnsi="宋体" w:cs="宋体"/>
                <w:color w:val="auto"/>
                <w:sz w:val="24"/>
                <w:highlight w:val="none"/>
                <w:u w:val="single"/>
              </w:rPr>
              <w:t>17</w:t>
            </w:r>
            <w:r>
              <w:rPr>
                <w:rFonts w:hint="eastAsia" w:ascii="宋体" w:hAnsi="宋体" w:cs="宋体"/>
                <w:color w:val="auto"/>
                <w:sz w:val="24"/>
                <w:highlight w:val="none"/>
              </w:rPr>
              <w:t>时前</w:t>
            </w:r>
            <w:r>
              <w:rPr>
                <w:rFonts w:hint="eastAsia" w:ascii="宋体" w:hAnsi="宋体" w:cs="宋体"/>
                <w:color w:val="auto"/>
                <w:kern w:val="0"/>
                <w:sz w:val="24"/>
                <w:highlight w:val="none"/>
              </w:rPr>
              <w:t>在滁州市公共资源交易中心网站</w:t>
            </w:r>
            <w:r>
              <w:rPr>
                <w:rFonts w:hint="eastAsia" w:ascii="宋体" w:hAnsi="宋体" w:cs="宋体"/>
                <w:color w:val="auto"/>
                <w:sz w:val="24"/>
                <w:highlight w:val="none"/>
              </w:rPr>
              <w:t xml:space="preserve"> “答疑澄清文件”栏目予以公告</w:t>
            </w:r>
            <w:r>
              <w:rPr>
                <w:rFonts w:hint="eastAsia" w:ascii="宋体" w:hAnsi="宋体" w:cs="宋体"/>
                <w:color w:val="auto"/>
                <w:kern w:val="0"/>
                <w:sz w:val="24"/>
                <w:highlight w:val="none"/>
              </w:rPr>
              <w:t>。</w:t>
            </w:r>
          </w:p>
        </w:tc>
      </w:tr>
      <w:tr w14:paraId="63BCA78D">
        <w:tblPrEx>
          <w:tblCellMar>
            <w:top w:w="0" w:type="dxa"/>
            <w:left w:w="108" w:type="dxa"/>
            <w:bottom w:w="0" w:type="dxa"/>
            <w:right w:w="108" w:type="dxa"/>
          </w:tblCellMar>
        </w:tblPrEx>
        <w:trPr>
          <w:trHeight w:val="681"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55118E84">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3.2.1</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02F34F30">
            <w:pPr>
              <w:adjustRightInd w:val="0"/>
              <w:snapToGrid w:val="0"/>
              <w:spacing w:line="560" w:lineRule="exact"/>
              <w:jc w:val="center"/>
              <w:rPr>
                <w:rFonts w:hint="eastAsia" w:ascii="宋体" w:hAnsi="宋体" w:cs="宋体"/>
                <w:color w:val="auto"/>
                <w:sz w:val="24"/>
                <w:highlight w:val="none"/>
              </w:rPr>
            </w:pPr>
            <w:r>
              <w:rPr>
                <w:rFonts w:hint="eastAsia"/>
                <w:color w:val="auto"/>
                <w:sz w:val="24"/>
                <w:highlight w:val="none"/>
              </w:rPr>
              <w:t>增值税税金</w:t>
            </w:r>
          </w:p>
        </w:tc>
        <w:tc>
          <w:tcPr>
            <w:tcW w:w="7299" w:type="dxa"/>
            <w:tcBorders>
              <w:top w:val="single" w:color="auto" w:sz="4" w:space="0"/>
              <w:left w:val="single" w:color="auto" w:sz="4" w:space="0"/>
              <w:bottom w:val="single" w:color="auto" w:sz="4" w:space="0"/>
              <w:right w:val="single" w:color="auto" w:sz="4" w:space="0"/>
            </w:tcBorders>
            <w:noWrap w:val="0"/>
            <w:vAlign w:val="top"/>
          </w:tcPr>
          <w:p w14:paraId="07FF2B2E">
            <w:pPr>
              <w:adjustRightInd w:val="0"/>
              <w:snapToGrid w:val="0"/>
              <w:spacing w:line="560" w:lineRule="exact"/>
              <w:rPr>
                <w:rFonts w:hint="eastAsia" w:ascii="宋体" w:hAnsi="宋体" w:cs="宋体"/>
                <w:bCs/>
                <w:snapToGrid w:val="0"/>
                <w:color w:val="auto"/>
                <w:kern w:val="0"/>
                <w:sz w:val="24"/>
                <w:highlight w:val="none"/>
              </w:rPr>
            </w:pPr>
            <w:r>
              <w:rPr>
                <w:rFonts w:hint="eastAsia" w:ascii="宋体" w:hAnsi="宋体" w:cs="宋体"/>
                <w:bCs/>
                <w:snapToGrid w:val="0"/>
                <w:color w:val="auto"/>
                <w:kern w:val="0"/>
                <w:sz w:val="24"/>
                <w:highlight w:val="none"/>
              </w:rPr>
              <w:t>（1）计税方法：一般计税方法</w:t>
            </w:r>
          </w:p>
          <w:p w14:paraId="64C6E1DF">
            <w:pPr>
              <w:adjustRightInd w:val="0"/>
              <w:snapToGrid w:val="0"/>
              <w:spacing w:line="560" w:lineRule="exact"/>
              <w:rPr>
                <w:rFonts w:hint="eastAsia" w:ascii="宋体" w:hAnsi="宋体" w:cs="宋体"/>
                <w:bCs/>
                <w:snapToGrid w:val="0"/>
                <w:color w:val="auto"/>
                <w:kern w:val="0"/>
                <w:sz w:val="24"/>
                <w:highlight w:val="none"/>
                <w:u w:val="single"/>
              </w:rPr>
            </w:pPr>
            <w:r>
              <w:rPr>
                <w:rFonts w:hint="eastAsia" w:ascii="宋体" w:hAnsi="宋体" w:cs="宋体"/>
                <w:bCs/>
                <w:snapToGrid w:val="0"/>
                <w:color w:val="auto"/>
                <w:kern w:val="0"/>
                <w:sz w:val="24"/>
                <w:highlight w:val="none"/>
              </w:rPr>
              <w:t>（2）发票类型：增值税专用发票</w:t>
            </w:r>
          </w:p>
          <w:p w14:paraId="4D3E4330">
            <w:pPr>
              <w:numPr>
                <w:ilvl w:val="0"/>
                <w:numId w:val="1"/>
              </w:numPr>
              <w:adjustRightInd w:val="0"/>
              <w:snapToGrid w:val="0"/>
              <w:spacing w:line="560" w:lineRule="exact"/>
              <w:rPr>
                <w:rFonts w:hint="eastAsia" w:ascii="宋体" w:hAnsi="宋体" w:cs="宋体"/>
                <w:bCs/>
                <w:snapToGrid w:val="0"/>
                <w:color w:val="auto"/>
                <w:kern w:val="0"/>
                <w:sz w:val="24"/>
                <w:highlight w:val="none"/>
              </w:rPr>
            </w:pPr>
            <w:r>
              <w:rPr>
                <w:rFonts w:hint="eastAsia" w:ascii="宋体" w:hAnsi="宋体" w:cs="宋体"/>
                <w:bCs/>
                <w:snapToGrid w:val="0"/>
                <w:color w:val="auto"/>
                <w:kern w:val="0"/>
                <w:sz w:val="24"/>
                <w:highlight w:val="none"/>
              </w:rPr>
              <w:t>增值税税率按照国家有关规定执行。</w:t>
            </w:r>
          </w:p>
          <w:p w14:paraId="5F17B608">
            <w:pPr>
              <w:pStyle w:val="10"/>
              <w:topLinePunct/>
              <w:adjustRightInd w:val="0"/>
              <w:snapToGrid w:val="0"/>
              <w:spacing w:line="560" w:lineRule="exact"/>
              <w:ind w:firstLine="600" w:firstLineChars="250"/>
              <w:rPr>
                <w:rFonts w:hint="eastAsia" w:hAnsi="宋体" w:cs="宋体"/>
                <w:color w:val="auto"/>
                <w:kern w:val="0"/>
                <w:szCs w:val="24"/>
                <w:highlight w:val="none"/>
              </w:rPr>
            </w:pPr>
            <w:r>
              <w:rPr>
                <w:rFonts w:hint="eastAsia" w:hAnsi="宋体" w:cs="宋体"/>
                <w:bCs/>
                <w:snapToGrid w:val="0"/>
                <w:color w:val="auto"/>
                <w:kern w:val="0"/>
                <w:szCs w:val="24"/>
                <w:highlight w:val="none"/>
              </w:rPr>
              <w:t>其它：</w:t>
            </w:r>
            <w:r>
              <w:rPr>
                <w:rFonts w:hint="eastAsia" w:hAnsi="宋体" w:cs="宋体"/>
                <w:bCs/>
                <w:snapToGrid w:val="0"/>
                <w:color w:val="auto"/>
                <w:kern w:val="0"/>
                <w:szCs w:val="24"/>
                <w:highlight w:val="none"/>
                <w:u w:val="single"/>
              </w:rPr>
              <w:t xml:space="preserve">   </w:t>
            </w:r>
            <w:r>
              <w:rPr>
                <w:rFonts w:hint="eastAsia" w:hAnsi="宋体" w:cs="宋体"/>
                <w:bCs/>
                <w:snapToGrid w:val="0"/>
                <w:color w:val="auto"/>
                <w:kern w:val="0"/>
                <w:szCs w:val="24"/>
                <w:highlight w:val="none"/>
                <w:u w:val="single"/>
                <w:lang w:val="en-US" w:eastAsia="zh-CN"/>
              </w:rPr>
              <w:t>/</w:t>
            </w:r>
            <w:r>
              <w:rPr>
                <w:rFonts w:hint="eastAsia" w:hAnsi="宋体" w:cs="宋体"/>
                <w:bCs/>
                <w:snapToGrid w:val="0"/>
                <w:color w:val="auto"/>
                <w:kern w:val="0"/>
                <w:szCs w:val="24"/>
                <w:highlight w:val="none"/>
                <w:u w:val="single"/>
              </w:rPr>
              <w:t xml:space="preserve">       </w:t>
            </w:r>
            <w:r>
              <w:rPr>
                <w:rFonts w:hint="eastAsia" w:hAnsi="宋体" w:cs="宋体"/>
                <w:bCs/>
                <w:snapToGrid w:val="0"/>
                <w:color w:val="auto"/>
                <w:kern w:val="0"/>
                <w:szCs w:val="24"/>
                <w:highlight w:val="none"/>
              </w:rPr>
              <w:t xml:space="preserve"> 。</w:t>
            </w:r>
          </w:p>
        </w:tc>
      </w:tr>
      <w:tr w14:paraId="3C34017B">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29A2D1C4">
            <w:pPr>
              <w:adjustRightInd w:val="0"/>
              <w:snapToGrid w:val="0"/>
              <w:spacing w:line="560" w:lineRule="exact"/>
              <w:jc w:val="center"/>
              <w:rPr>
                <w:rFonts w:ascii="宋体" w:hAnsi="宋体" w:cs="宋体"/>
                <w:color w:val="auto"/>
                <w:sz w:val="24"/>
                <w:highlight w:val="none"/>
              </w:rPr>
            </w:pPr>
            <w:r>
              <w:rPr>
                <w:rFonts w:hint="eastAsia" w:ascii="宋体" w:hAnsi="宋体" w:cs="宋体"/>
                <w:color w:val="auto"/>
                <w:sz w:val="24"/>
                <w:highlight w:val="none"/>
              </w:rPr>
              <w:t>3.2.4</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7EF6CDE1">
            <w:pPr>
              <w:adjustRightInd w:val="0"/>
              <w:snapToGrid w:val="0"/>
              <w:spacing w:line="560" w:lineRule="exact"/>
              <w:jc w:val="center"/>
              <w:rPr>
                <w:rFonts w:hint="eastAsia" w:ascii="宋体" w:hAnsi="宋体" w:eastAsia="宋体" w:cs="宋体"/>
                <w:color w:val="auto"/>
                <w:sz w:val="24"/>
                <w:highlight w:val="none"/>
                <w:lang w:eastAsia="zh-CN"/>
              </w:rPr>
            </w:pPr>
            <w:r>
              <w:rPr>
                <w:rFonts w:hint="eastAsia" w:ascii="宋体" w:hAnsi="宋体" w:cs="宋体"/>
                <w:b/>
                <w:bCs/>
                <w:color w:val="auto"/>
                <w:sz w:val="24"/>
                <w:highlight w:val="none"/>
              </w:rPr>
              <w:t>最高投标限价</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4C470B73">
            <w:pPr>
              <w:adjustRightInd w:val="0"/>
              <w:snapToGrid w:val="0"/>
              <w:spacing w:line="560" w:lineRule="exact"/>
              <w:rPr>
                <w:rFonts w:hint="eastAsia" w:ascii="宋体" w:hAnsi="宋体" w:cs="宋体"/>
                <w:b/>
                <w:color w:val="auto"/>
                <w:sz w:val="24"/>
                <w:highlight w:val="none"/>
                <w:u w:val="single"/>
              </w:rPr>
            </w:pPr>
            <w:r>
              <w:rPr>
                <w:rFonts w:hint="eastAsia" w:ascii="宋体" w:hAnsi="宋体" w:cs="宋体"/>
                <w:bCs/>
                <w:color w:val="auto"/>
                <w:sz w:val="24"/>
                <w:highlight w:val="none"/>
                <w:u w:val="none"/>
              </w:rPr>
              <w:t>有</w:t>
            </w:r>
            <w:r>
              <w:rPr>
                <w:rFonts w:hint="eastAsia" w:ascii="宋体" w:hAnsi="宋体" w:cs="宋体"/>
                <w:bCs/>
                <w:color w:val="auto"/>
                <w:sz w:val="24"/>
                <w:highlight w:val="none"/>
              </w:rPr>
              <w:t>，</w:t>
            </w:r>
            <w:r>
              <w:rPr>
                <w:rFonts w:hint="eastAsia" w:ascii="宋体" w:hAnsi="宋体" w:cs="宋体"/>
                <w:color w:val="auto"/>
                <w:sz w:val="24"/>
                <w:highlight w:val="none"/>
              </w:rPr>
              <w:t>公布的最高投标限价：</w:t>
            </w:r>
            <w:r>
              <w:rPr>
                <w:rFonts w:hint="eastAsia" w:ascii="宋体" w:hAnsi="宋体" w:cs="宋体"/>
                <w:color w:val="auto"/>
                <w:sz w:val="24"/>
                <w:highlight w:val="none"/>
                <w:u w:val="single"/>
                <w:lang w:val="en-US" w:eastAsia="zh-CN"/>
              </w:rPr>
              <w:t>52250539.61</w:t>
            </w:r>
            <w:r>
              <w:rPr>
                <w:rFonts w:hint="eastAsia" w:ascii="宋体" w:hAnsi="宋体" w:cs="宋体"/>
                <w:color w:val="auto"/>
                <w:sz w:val="24"/>
                <w:highlight w:val="none"/>
                <w:u w:val="single"/>
              </w:rPr>
              <w:t>元（其中含暂列金额</w:t>
            </w:r>
            <w:r>
              <w:rPr>
                <w:rFonts w:hint="eastAsia" w:ascii="宋体" w:hAnsi="宋体" w:cs="宋体"/>
                <w:color w:val="auto"/>
                <w:sz w:val="24"/>
                <w:highlight w:val="none"/>
                <w:u w:val="single"/>
                <w:lang w:val="en-US" w:eastAsia="zh-CN"/>
              </w:rPr>
              <w:t>4400000</w:t>
            </w:r>
            <w:r>
              <w:rPr>
                <w:rFonts w:hint="eastAsia" w:ascii="宋体" w:hAnsi="宋体" w:cs="宋体"/>
                <w:color w:val="auto"/>
                <w:sz w:val="24"/>
                <w:highlight w:val="none"/>
                <w:u w:val="single"/>
              </w:rPr>
              <w:t>元）</w:t>
            </w:r>
            <w:r>
              <w:rPr>
                <w:rFonts w:hint="eastAsia" w:ascii="宋体" w:hAnsi="宋体" w:cs="宋体"/>
                <w:color w:val="auto"/>
                <w:sz w:val="24"/>
                <w:highlight w:val="none"/>
              </w:rPr>
              <w:t>。应当</w:t>
            </w:r>
            <w:r>
              <w:rPr>
                <w:rFonts w:hint="eastAsia" w:ascii="宋体" w:hAnsi="宋体" w:cs="宋体"/>
                <w:b/>
                <w:bCs/>
                <w:color w:val="auto"/>
                <w:sz w:val="24"/>
                <w:highlight w:val="none"/>
                <w:u w:val="single"/>
              </w:rPr>
              <w:t>包括总价、各单位工程的分部分项工程费、措施项目费、其他项目费、不可竞争性费用和税金。</w:t>
            </w:r>
          </w:p>
          <w:p w14:paraId="1C49B6AB">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rPr>
              <w:t>发布时间：</w:t>
            </w:r>
            <w:r>
              <w:rPr>
                <w:rFonts w:hint="eastAsia" w:ascii="宋体" w:hAnsi="宋体" w:cs="宋体"/>
                <w:color w:val="auto"/>
                <w:sz w:val="24"/>
                <w:highlight w:val="none"/>
                <w:u w:val="single"/>
                <w:lang w:val="en-US" w:eastAsia="zh-CN"/>
              </w:rPr>
              <w:t>2026</w:t>
            </w:r>
            <w:r>
              <w:rPr>
                <w:rFonts w:hint="eastAsia" w:ascii="宋体" w:hAnsi="宋体" w:cs="宋体"/>
                <w:color w:val="auto"/>
                <w:sz w:val="24"/>
                <w:highlight w:val="none"/>
              </w:rPr>
              <w:t>年</w:t>
            </w:r>
            <w:r>
              <w:rPr>
                <w:rFonts w:hint="eastAsia" w:ascii="宋体" w:hAnsi="宋体" w:cs="宋体"/>
                <w:color w:val="auto"/>
                <w:sz w:val="24"/>
                <w:highlight w:val="none"/>
                <w:u w:val="single"/>
                <w:lang w:val="en-US" w:eastAsia="zh-CN"/>
              </w:rPr>
              <w:t>7</w:t>
            </w:r>
            <w:r>
              <w:rPr>
                <w:rFonts w:hint="eastAsia" w:ascii="宋体" w:hAnsi="宋体" w:cs="宋体"/>
                <w:color w:val="auto"/>
                <w:sz w:val="24"/>
                <w:highlight w:val="none"/>
              </w:rPr>
              <w:t>月</w:t>
            </w:r>
            <w:r>
              <w:rPr>
                <w:rFonts w:hint="eastAsia" w:ascii="宋体" w:hAnsi="宋体" w:cs="宋体"/>
                <w:color w:val="auto"/>
                <w:sz w:val="24"/>
                <w:highlight w:val="none"/>
                <w:u w:val="single"/>
                <w:lang w:val="en-US" w:eastAsia="zh-CN"/>
              </w:rPr>
              <w:t>8</w:t>
            </w:r>
            <w:r>
              <w:rPr>
                <w:rFonts w:hint="eastAsia" w:ascii="宋体" w:hAnsi="宋体" w:cs="宋体"/>
                <w:color w:val="auto"/>
                <w:sz w:val="24"/>
                <w:highlight w:val="none"/>
              </w:rPr>
              <w:t>日</w:t>
            </w:r>
            <w:r>
              <w:rPr>
                <w:rFonts w:hint="eastAsia" w:ascii="宋体" w:hAnsi="宋体" w:cs="宋体"/>
                <w:color w:val="auto"/>
                <w:sz w:val="24"/>
                <w:highlight w:val="none"/>
                <w:u w:val="single"/>
                <w:lang w:val="en-US" w:eastAsia="zh-CN"/>
              </w:rPr>
              <w:t>17</w:t>
            </w:r>
            <w:r>
              <w:rPr>
                <w:rFonts w:hint="eastAsia" w:ascii="宋体" w:hAnsi="宋体" w:cs="宋体"/>
                <w:color w:val="auto"/>
                <w:sz w:val="24"/>
                <w:highlight w:val="none"/>
              </w:rPr>
              <w:t>时前。</w:t>
            </w:r>
          </w:p>
          <w:p w14:paraId="262C245D">
            <w:pPr>
              <w:adjustRightInd w:val="0"/>
              <w:snapToGrid w:val="0"/>
              <w:spacing w:line="560" w:lineRule="exact"/>
              <w:rPr>
                <w:rFonts w:hint="eastAsia" w:ascii="宋体" w:hAnsi="宋体" w:cs="宋体"/>
                <w:b/>
                <w:color w:val="auto"/>
                <w:sz w:val="24"/>
                <w:highlight w:val="none"/>
              </w:rPr>
            </w:pPr>
            <w:r>
              <w:rPr>
                <w:rFonts w:hint="eastAsia" w:ascii="宋体" w:hAnsi="宋体" w:cs="宋体"/>
                <w:b/>
                <w:bCs/>
                <w:color w:val="auto"/>
                <w:sz w:val="24"/>
                <w:highlight w:val="none"/>
              </w:rPr>
              <w:t>发布媒介：</w:t>
            </w:r>
            <w:r>
              <w:rPr>
                <w:rFonts w:hint="eastAsia" w:ascii="宋体" w:hAnsi="宋体" w:cs="宋体"/>
                <w:b/>
                <w:bCs/>
                <w:color w:val="auto"/>
                <w:kern w:val="0"/>
                <w:sz w:val="24"/>
                <w:highlight w:val="none"/>
              </w:rPr>
              <w:t>滁州市公共资源交易中心网站。</w:t>
            </w:r>
          </w:p>
        </w:tc>
      </w:tr>
      <w:tr w14:paraId="24277762">
        <w:tblPrEx>
          <w:tblCellMar>
            <w:top w:w="0" w:type="dxa"/>
            <w:left w:w="108" w:type="dxa"/>
            <w:bottom w:w="0" w:type="dxa"/>
            <w:right w:w="108" w:type="dxa"/>
          </w:tblCellMar>
        </w:tblPrEx>
        <w:trPr>
          <w:trHeight w:val="681"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7BE3993B">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3.2.5</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5028B05A">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投标报价的</w:t>
            </w:r>
          </w:p>
          <w:p w14:paraId="05C48B6A">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其他要求</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7558CC3E">
            <w:pPr>
              <w:pStyle w:val="10"/>
              <w:topLinePunct/>
              <w:adjustRightInd w:val="0"/>
              <w:snapToGrid w:val="0"/>
              <w:spacing w:line="560" w:lineRule="exact"/>
              <w:rPr>
                <w:rFonts w:hint="default" w:hAnsi="宋体" w:cs="宋体"/>
                <w:color w:val="auto"/>
                <w:kern w:val="0"/>
                <w:szCs w:val="24"/>
                <w:highlight w:val="none"/>
                <w:lang w:val="en-US"/>
              </w:rPr>
            </w:pPr>
            <w:r>
              <w:rPr>
                <w:rFonts w:hint="eastAsia" w:hAnsi="宋体" w:cs="宋体"/>
                <w:color w:val="auto"/>
                <w:kern w:val="0"/>
                <w:szCs w:val="24"/>
                <w:highlight w:val="none"/>
                <w:lang w:val="en-US" w:eastAsia="zh-CN"/>
              </w:rPr>
              <w:t xml:space="preserve"> 无</w:t>
            </w:r>
          </w:p>
        </w:tc>
      </w:tr>
      <w:tr w14:paraId="72A2F12E">
        <w:tblPrEx>
          <w:tblCellMar>
            <w:top w:w="0" w:type="dxa"/>
            <w:left w:w="108" w:type="dxa"/>
            <w:bottom w:w="0" w:type="dxa"/>
            <w:right w:w="108" w:type="dxa"/>
          </w:tblCellMar>
        </w:tblPrEx>
        <w:trPr>
          <w:trHeight w:val="681"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716C5168">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3.3.1</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70DD7F60">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投标有效期</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5E14E83A">
            <w:pPr>
              <w:pStyle w:val="10"/>
              <w:topLinePunct/>
              <w:adjustRightInd w:val="0"/>
              <w:snapToGrid w:val="0"/>
              <w:spacing w:line="560" w:lineRule="exact"/>
              <w:rPr>
                <w:rFonts w:hint="eastAsia" w:hAnsi="宋体" w:cs="宋体"/>
                <w:color w:val="auto"/>
                <w:kern w:val="0"/>
                <w:szCs w:val="24"/>
                <w:highlight w:val="none"/>
              </w:rPr>
            </w:pPr>
            <w:r>
              <w:rPr>
                <w:rFonts w:hint="eastAsia" w:hAnsi="宋体" w:cs="宋体"/>
                <w:color w:val="auto"/>
                <w:kern w:val="0"/>
                <w:szCs w:val="24"/>
                <w:highlight w:val="none"/>
              </w:rPr>
              <w:t>自投标人递交投标文件截止之日起计算</w:t>
            </w:r>
            <w:r>
              <w:rPr>
                <w:rFonts w:hint="eastAsia" w:hAnsi="宋体" w:cs="宋体"/>
                <w:color w:val="auto"/>
                <w:kern w:val="0"/>
                <w:szCs w:val="24"/>
                <w:highlight w:val="none"/>
                <w:lang w:val="en-US" w:eastAsia="zh-CN"/>
              </w:rPr>
              <w:t>120</w:t>
            </w:r>
            <w:r>
              <w:rPr>
                <w:rFonts w:hint="eastAsia" w:hAnsi="宋体" w:cs="宋体"/>
                <w:color w:val="auto"/>
                <w:kern w:val="0"/>
                <w:szCs w:val="24"/>
                <w:highlight w:val="none"/>
              </w:rPr>
              <w:t>日历天。在此期限内，凡符合本招标文件要求的投标文件均保持有效。</w:t>
            </w:r>
          </w:p>
        </w:tc>
      </w:tr>
      <w:tr w14:paraId="3E2229B5">
        <w:tblPrEx>
          <w:tblCellMar>
            <w:top w:w="0" w:type="dxa"/>
            <w:left w:w="108" w:type="dxa"/>
            <w:bottom w:w="0" w:type="dxa"/>
            <w:right w:w="108" w:type="dxa"/>
          </w:tblCellMar>
        </w:tblPrEx>
        <w:trPr>
          <w:trHeight w:val="647"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64E9559E">
            <w:pPr>
              <w:adjustRightInd w:val="0"/>
              <w:snapToGrid w:val="0"/>
              <w:spacing w:line="560" w:lineRule="exact"/>
              <w:jc w:val="center"/>
              <w:rPr>
                <w:rFonts w:ascii="宋体" w:hAnsi="宋体" w:cs="宋体"/>
                <w:color w:val="auto"/>
                <w:sz w:val="24"/>
                <w:highlight w:val="none"/>
              </w:rPr>
            </w:pPr>
            <w:r>
              <w:rPr>
                <w:rFonts w:hint="eastAsia" w:ascii="宋体" w:hAnsi="宋体" w:cs="宋体"/>
                <w:color w:val="auto"/>
                <w:sz w:val="24"/>
                <w:highlight w:val="none"/>
              </w:rPr>
              <w:t>3.4.1</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5A565EBE">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投标保证金</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1A8B91A8">
            <w:pPr>
              <w:adjustRightInd w:val="0"/>
              <w:snapToGrid w:val="0"/>
              <w:spacing w:line="560" w:lineRule="exact"/>
              <w:jc w:val="left"/>
              <w:rPr>
                <w:rFonts w:hint="eastAsia" w:ascii="宋体" w:hAnsi="宋体" w:cs="宋体"/>
                <w:color w:val="auto"/>
                <w:sz w:val="24"/>
                <w:highlight w:val="none"/>
              </w:rPr>
            </w:pPr>
            <w:r>
              <w:rPr>
                <w:rFonts w:hint="eastAsia" w:ascii="宋体" w:hAnsi="宋体" w:cs="宋体"/>
                <w:color w:val="auto"/>
                <w:sz w:val="24"/>
                <w:highlight w:val="none"/>
              </w:rPr>
              <w:t>详见招标公告。</w:t>
            </w:r>
          </w:p>
        </w:tc>
      </w:tr>
      <w:tr w14:paraId="7C98FF6C">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2F8DFE59">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3.5.1</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7EBC6572">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snapToGrid w:val="0"/>
                <w:color w:val="auto"/>
                <w:kern w:val="0"/>
                <w:sz w:val="24"/>
                <w:highlight w:val="none"/>
                <w:shd w:val="clear" w:color="auto" w:fill="FFFFFF"/>
              </w:rPr>
              <w:t>施工组织设计编制的特殊要求</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6842A255">
            <w:pPr>
              <w:adjustRightInd w:val="0"/>
              <w:snapToGrid w:val="0"/>
              <w:spacing w:line="560" w:lineRule="exact"/>
              <w:rPr>
                <w:rFonts w:hint="default" w:ascii="宋体" w:hAnsi="宋体" w:eastAsia="宋体" w:cs="宋体"/>
                <w:snapToGrid w:val="0"/>
                <w:color w:val="auto"/>
                <w:kern w:val="0"/>
                <w:sz w:val="24"/>
                <w:highlight w:val="none"/>
                <w:u w:val="single"/>
                <w:shd w:val="clear" w:color="auto" w:fill="FFFFFF"/>
                <w:lang w:val="en-US" w:eastAsia="zh-CN"/>
              </w:rPr>
            </w:pPr>
            <w:r>
              <w:rPr>
                <w:rFonts w:hint="eastAsia" w:ascii="宋体" w:hAnsi="宋体" w:cs="宋体"/>
                <w:b/>
                <w:snapToGrid w:val="0"/>
                <w:color w:val="auto"/>
                <w:kern w:val="0"/>
                <w:sz w:val="24"/>
                <w:highlight w:val="none"/>
                <w:shd w:val="clear" w:color="auto" w:fill="FFFFFF"/>
              </w:rPr>
              <w:t>（1）本招标项目重点难点：</w:t>
            </w:r>
            <w:r>
              <w:rPr>
                <w:rFonts w:hint="eastAsia" w:ascii="宋体" w:hAnsi="宋体" w:eastAsia="宋体" w:cs="宋体"/>
                <w:b/>
                <w:snapToGrid w:val="0"/>
                <w:color w:val="auto"/>
                <w:kern w:val="0"/>
                <w:sz w:val="24"/>
                <w:highlight w:val="none"/>
                <w:u w:val="single"/>
                <w:shd w:val="clear" w:color="auto" w:fill="FFFFFF"/>
                <w:lang w:val="en-US" w:eastAsia="zh-CN"/>
              </w:rPr>
              <w:t>本项目主要为土建工程和机电工程两个部分，因机电工程具有大量机电设备需要购置，投标人须充分考虑本项目工期节点，落实项目进度，保障在规定工期内完成本项目所有工程施工。</w:t>
            </w:r>
          </w:p>
          <w:p w14:paraId="09B8B244">
            <w:pPr>
              <w:adjustRightInd w:val="0"/>
              <w:snapToGrid w:val="0"/>
              <w:spacing w:line="560" w:lineRule="exact"/>
              <w:rPr>
                <w:rFonts w:hint="eastAsia" w:ascii="宋体" w:hAnsi="宋体" w:cs="宋体"/>
                <w:snapToGrid w:val="0"/>
                <w:color w:val="auto"/>
                <w:kern w:val="0"/>
                <w:sz w:val="24"/>
                <w:highlight w:val="none"/>
                <w:shd w:val="clear" w:color="auto" w:fill="FFFFFF"/>
              </w:rPr>
            </w:pPr>
            <w:r>
              <w:rPr>
                <w:rFonts w:hint="eastAsia" w:ascii="宋体" w:hAnsi="宋体" w:cs="宋体"/>
                <w:snapToGrid w:val="0"/>
                <w:color w:val="auto"/>
                <w:kern w:val="0"/>
                <w:sz w:val="24"/>
                <w:highlight w:val="none"/>
                <w:shd w:val="clear" w:color="auto" w:fill="FFFFFF"/>
              </w:rPr>
              <w:t>（注：本项内容与施工组织设计重难点评审相对应，投标人必须在施工组织设计中全面重点阐述）</w:t>
            </w:r>
          </w:p>
          <w:p w14:paraId="21EB8DAE">
            <w:pPr>
              <w:adjustRightInd w:val="0"/>
              <w:snapToGrid w:val="0"/>
              <w:spacing w:line="560" w:lineRule="exact"/>
              <w:rPr>
                <w:rFonts w:hint="default" w:ascii="宋体" w:hAnsi="宋体" w:cs="宋体"/>
                <w:snapToGrid w:val="0"/>
                <w:color w:val="auto"/>
                <w:kern w:val="0"/>
                <w:sz w:val="24"/>
                <w:highlight w:val="none"/>
                <w:shd w:val="clear" w:color="auto" w:fill="FFFFFF"/>
                <w:lang w:val="en-US"/>
              </w:rPr>
            </w:pPr>
            <w:r>
              <w:rPr>
                <w:rFonts w:hint="eastAsia" w:ascii="宋体" w:hAnsi="宋体" w:cs="宋体"/>
                <w:b/>
                <w:snapToGrid w:val="0"/>
                <w:color w:val="auto"/>
                <w:kern w:val="0"/>
                <w:sz w:val="24"/>
                <w:highlight w:val="none"/>
                <w:shd w:val="clear" w:color="auto" w:fill="FFFFFF"/>
              </w:rPr>
              <w:t>（2）本招标项目危险性较大的分部分项工程清单：</w:t>
            </w:r>
            <w:r>
              <w:rPr>
                <w:rFonts w:hint="eastAsia" w:ascii="宋体" w:hAnsi="宋体" w:eastAsia="宋体" w:cs="宋体"/>
                <w:b/>
                <w:snapToGrid w:val="0"/>
                <w:color w:val="auto"/>
                <w:kern w:val="0"/>
                <w:sz w:val="24"/>
                <w:highlight w:val="none"/>
                <w:u w:val="single"/>
                <w:shd w:val="clear" w:color="auto" w:fill="FFFFFF"/>
                <w:lang w:val="en-US" w:eastAsia="zh-CN"/>
              </w:rPr>
              <w:t>包括但不限于起重吊装及起重机械安装拆卸工程，由投标人根据提供的技术资料和现场情况自行考虑。施工单位在投标时补充完善危大工程清单并明确相应的安全管理措施</w:t>
            </w:r>
            <w:r>
              <w:rPr>
                <w:rFonts w:hint="eastAsia" w:ascii="宋体" w:hAnsi="宋体" w:cs="宋体"/>
                <w:b/>
                <w:snapToGrid w:val="0"/>
                <w:color w:val="auto"/>
                <w:kern w:val="0"/>
                <w:sz w:val="24"/>
                <w:highlight w:val="none"/>
                <w:u w:val="single"/>
                <w:shd w:val="clear" w:color="auto" w:fill="FFFFFF"/>
                <w:lang w:val="en-US" w:eastAsia="zh-CN"/>
              </w:rPr>
              <w:t>。</w:t>
            </w:r>
          </w:p>
        </w:tc>
      </w:tr>
      <w:tr w14:paraId="5F2621E0">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57FF6077">
            <w:pPr>
              <w:adjustRightInd w:val="0"/>
              <w:snapToGrid w:val="0"/>
              <w:spacing w:line="560" w:lineRule="exact"/>
              <w:jc w:val="center"/>
              <w:rPr>
                <w:rFonts w:ascii="宋体" w:hAnsi="宋体" w:cs="宋体"/>
                <w:color w:val="auto"/>
                <w:sz w:val="24"/>
                <w:highlight w:val="none"/>
              </w:rPr>
            </w:pPr>
            <w:r>
              <w:rPr>
                <w:rFonts w:hint="eastAsia" w:ascii="宋体" w:hAnsi="宋体" w:cs="宋体"/>
                <w:color w:val="auto"/>
                <w:sz w:val="24"/>
                <w:highlight w:val="none"/>
              </w:rPr>
              <w:t>3.5.8</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7D323D39">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投标文件份数</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2DEE1B73">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rPr>
              <w:t>加密电子投标文件应在投标截止时间前通过交易中心电子交易系统上传。</w:t>
            </w:r>
            <w:r>
              <w:rPr>
                <w:rFonts w:hint="eastAsia" w:ascii="宋体" w:hAnsi="宋体" w:cs="宋体"/>
                <w:b/>
                <w:color w:val="auto"/>
                <w:kern w:val="0"/>
                <w:sz w:val="24"/>
                <w:highlight w:val="none"/>
              </w:rPr>
              <w:t>（投标人中标后须递交与网上电子投标文件完全一致的纸质版投标文件，并按要求加盖单位章；份数：正本</w:t>
            </w:r>
            <w:r>
              <w:rPr>
                <w:rFonts w:hint="eastAsia" w:ascii="宋体" w:hAnsi="宋体" w:cs="宋体"/>
                <w:b/>
                <w:color w:val="auto"/>
                <w:kern w:val="0"/>
                <w:sz w:val="24"/>
                <w:highlight w:val="none"/>
                <w:u w:val="single"/>
              </w:rPr>
              <w:t xml:space="preserve"> </w:t>
            </w:r>
            <w:r>
              <w:rPr>
                <w:rFonts w:hint="eastAsia" w:ascii="宋体" w:hAnsi="宋体" w:cs="宋体"/>
                <w:b/>
                <w:color w:val="auto"/>
                <w:kern w:val="0"/>
                <w:sz w:val="24"/>
                <w:highlight w:val="none"/>
                <w:u w:val="single"/>
                <w:lang w:val="en-US" w:eastAsia="zh-CN"/>
              </w:rPr>
              <w:t>一</w:t>
            </w:r>
            <w:r>
              <w:rPr>
                <w:rFonts w:hint="eastAsia" w:ascii="宋体" w:hAnsi="宋体" w:cs="宋体"/>
                <w:b/>
                <w:color w:val="auto"/>
                <w:kern w:val="0"/>
                <w:sz w:val="24"/>
                <w:highlight w:val="none"/>
                <w:u w:val="single"/>
              </w:rPr>
              <w:t xml:space="preserve"> </w:t>
            </w:r>
            <w:r>
              <w:rPr>
                <w:rFonts w:hint="eastAsia" w:ascii="宋体" w:hAnsi="宋体" w:cs="宋体"/>
                <w:b/>
                <w:color w:val="auto"/>
                <w:kern w:val="0"/>
                <w:sz w:val="24"/>
                <w:highlight w:val="none"/>
              </w:rPr>
              <w:t>份，副本</w:t>
            </w:r>
            <w:r>
              <w:rPr>
                <w:rFonts w:hint="eastAsia" w:ascii="宋体" w:hAnsi="宋体" w:cs="宋体"/>
                <w:b/>
                <w:color w:val="auto"/>
                <w:kern w:val="0"/>
                <w:sz w:val="24"/>
                <w:highlight w:val="none"/>
                <w:u w:val="single"/>
              </w:rPr>
              <w:t xml:space="preserve"> </w:t>
            </w:r>
            <w:r>
              <w:rPr>
                <w:rFonts w:hint="eastAsia" w:ascii="宋体" w:hAnsi="宋体" w:cs="宋体"/>
                <w:b/>
                <w:color w:val="auto"/>
                <w:kern w:val="0"/>
                <w:sz w:val="24"/>
                <w:highlight w:val="none"/>
                <w:u w:val="single"/>
                <w:lang w:val="en-US" w:eastAsia="zh-CN"/>
              </w:rPr>
              <w:t>一</w:t>
            </w:r>
            <w:r>
              <w:rPr>
                <w:rFonts w:hint="eastAsia" w:ascii="宋体" w:hAnsi="宋体" w:cs="宋体"/>
                <w:b/>
                <w:color w:val="auto"/>
                <w:kern w:val="0"/>
                <w:sz w:val="24"/>
                <w:highlight w:val="none"/>
                <w:u w:val="single"/>
              </w:rPr>
              <w:t xml:space="preserve"> </w:t>
            </w:r>
            <w:r>
              <w:rPr>
                <w:rFonts w:hint="eastAsia" w:ascii="宋体" w:hAnsi="宋体" w:cs="宋体"/>
                <w:b/>
                <w:color w:val="auto"/>
                <w:kern w:val="0"/>
                <w:sz w:val="24"/>
                <w:highlight w:val="none"/>
              </w:rPr>
              <w:t>份；中标人领取中标通知书时，一并递交给招标代理机构）。</w:t>
            </w:r>
          </w:p>
        </w:tc>
      </w:tr>
      <w:tr w14:paraId="0608B580">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65BA6BFF">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3.6.1</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5549DC48">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是否允许递交备选投标方案</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6985EF5F">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u w:val="none"/>
              </w:rPr>
              <w:t>不允许。</w:t>
            </w:r>
          </w:p>
        </w:tc>
      </w:tr>
      <w:tr w14:paraId="7698C266">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7B4A22A8">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4.3.2</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18232A75">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是否退还投标文件</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279FCB74">
            <w:pPr>
              <w:adjustRightInd w:val="0"/>
              <w:snapToGrid w:val="0"/>
              <w:spacing w:line="560" w:lineRule="exact"/>
              <w:rPr>
                <w:rFonts w:hint="eastAsia" w:ascii="宋体" w:hAnsi="宋体" w:cs="宋体"/>
                <w:color w:val="auto"/>
                <w:sz w:val="24"/>
                <w:highlight w:val="none"/>
                <w:u w:val="single"/>
              </w:rPr>
            </w:pPr>
            <w:r>
              <w:rPr>
                <w:rFonts w:hint="eastAsia" w:ascii="宋体" w:hAnsi="宋体" w:cs="宋体"/>
                <w:color w:val="auto"/>
                <w:sz w:val="24"/>
                <w:highlight w:val="none"/>
                <w:u w:val="none"/>
              </w:rPr>
              <w:t>否</w:t>
            </w:r>
          </w:p>
        </w:tc>
      </w:tr>
      <w:tr w14:paraId="150F2BAE">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0252BB5E">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5.1</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27602E72">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开标时间和地点</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0FBDD87C">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rPr>
              <w:t>开标时间：同投标截止时间</w:t>
            </w:r>
          </w:p>
          <w:p w14:paraId="4599A306">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rPr>
              <w:t>开标地点：见招标公告</w:t>
            </w:r>
          </w:p>
        </w:tc>
      </w:tr>
      <w:tr w14:paraId="6C861EC9">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108154C5">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5.2</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7A14E5D6">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开标程序</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4EFA1DAC">
            <w:pPr>
              <w:adjustRightInd w:val="0"/>
              <w:snapToGrid w:val="0"/>
              <w:spacing w:line="560" w:lineRule="exact"/>
              <w:rPr>
                <w:rFonts w:hint="eastAsia" w:ascii="宋体" w:hAnsi="宋体" w:cs="宋体"/>
                <w:bCs/>
                <w:snapToGrid w:val="0"/>
                <w:color w:val="auto"/>
                <w:kern w:val="0"/>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解密时间：解密程序开始后</w:t>
            </w:r>
            <w:r>
              <w:rPr>
                <w:rFonts w:hint="eastAsia" w:ascii="宋体" w:hAnsi="宋体" w:cs="宋体"/>
                <w:color w:val="auto"/>
                <w:sz w:val="24"/>
                <w:highlight w:val="none"/>
                <w:u w:val="single"/>
              </w:rPr>
              <w:t>60</w:t>
            </w:r>
            <w:r>
              <w:rPr>
                <w:rFonts w:hint="eastAsia" w:ascii="宋体" w:hAnsi="宋体" w:cs="宋体"/>
                <w:color w:val="auto"/>
                <w:sz w:val="24"/>
                <w:highlight w:val="none"/>
              </w:rPr>
              <w:t>分钟内</w:t>
            </w:r>
            <w:r>
              <w:rPr>
                <w:rFonts w:hint="eastAsia" w:ascii="宋体" w:hAnsi="宋体" w:cs="宋体"/>
                <w:bCs/>
                <w:snapToGrid w:val="0"/>
                <w:color w:val="auto"/>
                <w:kern w:val="0"/>
                <w:sz w:val="24"/>
                <w:highlight w:val="none"/>
              </w:rPr>
              <w:t>（以电子交易系统解密倒计时为准），</w:t>
            </w:r>
            <w:r>
              <w:rPr>
                <w:rFonts w:hint="eastAsia" w:ascii="宋体" w:hAnsi="宋体" w:cs="宋体"/>
                <w:color w:val="auto"/>
                <w:sz w:val="24"/>
                <w:highlight w:val="none"/>
              </w:rPr>
              <w:t>解密时间为</w:t>
            </w:r>
            <w:r>
              <w:rPr>
                <w:rFonts w:hint="eastAsia" w:ascii="宋体" w:hAnsi="宋体" w:cs="宋体"/>
                <w:color w:val="auto"/>
                <w:sz w:val="24"/>
                <w:highlight w:val="none"/>
                <w:u w:val="single"/>
                <w:lang w:val="en-US" w:eastAsia="zh-CN"/>
              </w:rPr>
              <w:t>2026</w:t>
            </w:r>
            <w:r>
              <w:rPr>
                <w:rFonts w:hint="eastAsia" w:ascii="宋体" w:hAnsi="宋体" w:cs="宋体"/>
                <w:color w:val="auto"/>
                <w:sz w:val="24"/>
                <w:highlight w:val="none"/>
              </w:rPr>
              <w:t>年</w:t>
            </w:r>
            <w:r>
              <w:rPr>
                <w:rFonts w:hint="eastAsia" w:ascii="宋体" w:hAnsi="宋体" w:cs="宋体"/>
                <w:color w:val="auto"/>
                <w:sz w:val="24"/>
                <w:highlight w:val="none"/>
                <w:u w:val="single"/>
                <w:lang w:val="en-US" w:eastAsia="zh-CN"/>
              </w:rPr>
              <w:t>7</w:t>
            </w:r>
            <w:r>
              <w:rPr>
                <w:rFonts w:hint="eastAsia" w:ascii="宋体" w:hAnsi="宋体" w:cs="宋体"/>
                <w:color w:val="auto"/>
                <w:sz w:val="24"/>
                <w:highlight w:val="none"/>
              </w:rPr>
              <w:t>月</w:t>
            </w:r>
            <w:r>
              <w:rPr>
                <w:rFonts w:hint="eastAsia" w:ascii="宋体" w:hAnsi="宋体" w:cs="宋体"/>
                <w:color w:val="auto"/>
                <w:sz w:val="24"/>
                <w:highlight w:val="none"/>
                <w:u w:val="single"/>
                <w:lang w:val="en-US" w:eastAsia="zh-CN"/>
              </w:rPr>
              <w:t>29</w:t>
            </w:r>
            <w:r>
              <w:rPr>
                <w:rFonts w:hint="eastAsia" w:ascii="宋体" w:hAnsi="宋体" w:cs="宋体"/>
                <w:color w:val="auto"/>
                <w:sz w:val="24"/>
                <w:highlight w:val="none"/>
              </w:rPr>
              <w:t>日</w:t>
            </w:r>
            <w:r>
              <w:rPr>
                <w:rFonts w:hint="eastAsia" w:ascii="宋体" w:hAnsi="宋体" w:cs="宋体"/>
                <w:color w:val="auto"/>
                <w:sz w:val="24"/>
                <w:highlight w:val="none"/>
                <w:u w:val="single"/>
                <w:lang w:val="en-US" w:eastAsia="zh-CN"/>
              </w:rPr>
              <w:t>8</w:t>
            </w:r>
            <w:r>
              <w:rPr>
                <w:rFonts w:hint="eastAsia" w:ascii="宋体" w:hAnsi="宋体" w:cs="宋体"/>
                <w:color w:val="auto"/>
                <w:sz w:val="24"/>
                <w:highlight w:val="none"/>
              </w:rPr>
              <w:t>时</w:t>
            </w:r>
            <w:r>
              <w:rPr>
                <w:rFonts w:hint="eastAsia" w:ascii="宋体" w:hAnsi="宋体" w:cs="宋体"/>
                <w:color w:val="auto"/>
                <w:sz w:val="24"/>
                <w:highlight w:val="none"/>
                <w:u w:val="single"/>
                <w:lang w:val="en-US" w:eastAsia="zh-CN"/>
              </w:rPr>
              <w:t>30</w:t>
            </w:r>
            <w:r>
              <w:rPr>
                <w:rFonts w:hint="eastAsia" w:ascii="宋体" w:hAnsi="宋体" w:cs="宋体"/>
                <w:color w:val="auto"/>
                <w:sz w:val="24"/>
                <w:highlight w:val="none"/>
              </w:rPr>
              <w:t>分至</w:t>
            </w:r>
            <w:r>
              <w:rPr>
                <w:rFonts w:hint="eastAsia" w:ascii="宋体" w:hAnsi="宋体" w:cs="宋体"/>
                <w:color w:val="auto"/>
                <w:sz w:val="24"/>
                <w:highlight w:val="none"/>
                <w:u w:val="single"/>
                <w:lang w:val="en-US" w:eastAsia="zh-CN"/>
              </w:rPr>
              <w:t>2026</w:t>
            </w:r>
            <w:r>
              <w:rPr>
                <w:rFonts w:hint="eastAsia" w:ascii="宋体" w:hAnsi="宋体" w:cs="宋体"/>
                <w:color w:val="auto"/>
                <w:sz w:val="24"/>
                <w:highlight w:val="none"/>
              </w:rPr>
              <w:t>年</w:t>
            </w:r>
            <w:r>
              <w:rPr>
                <w:rFonts w:hint="eastAsia" w:ascii="宋体" w:hAnsi="宋体" w:cs="宋体"/>
                <w:color w:val="auto"/>
                <w:sz w:val="24"/>
                <w:highlight w:val="none"/>
                <w:u w:val="single"/>
                <w:lang w:val="en-US" w:eastAsia="zh-CN"/>
              </w:rPr>
              <w:t>7</w:t>
            </w:r>
            <w:r>
              <w:rPr>
                <w:rFonts w:hint="eastAsia" w:ascii="宋体" w:hAnsi="宋体" w:cs="宋体"/>
                <w:color w:val="auto"/>
                <w:sz w:val="24"/>
                <w:highlight w:val="none"/>
              </w:rPr>
              <w:t>月</w:t>
            </w:r>
            <w:r>
              <w:rPr>
                <w:rFonts w:hint="eastAsia" w:ascii="宋体" w:hAnsi="宋体" w:cs="宋体"/>
                <w:color w:val="auto"/>
                <w:sz w:val="24"/>
                <w:highlight w:val="none"/>
                <w:u w:val="single"/>
                <w:lang w:val="en-US" w:eastAsia="zh-CN"/>
              </w:rPr>
              <w:t>29</w:t>
            </w:r>
            <w:r>
              <w:rPr>
                <w:rFonts w:hint="eastAsia" w:ascii="宋体" w:hAnsi="宋体" w:cs="宋体"/>
                <w:color w:val="auto"/>
                <w:sz w:val="24"/>
                <w:highlight w:val="none"/>
              </w:rPr>
              <w:t>日</w:t>
            </w:r>
            <w:r>
              <w:rPr>
                <w:rFonts w:hint="eastAsia" w:ascii="宋体" w:hAnsi="宋体" w:cs="宋体"/>
                <w:color w:val="auto"/>
                <w:sz w:val="24"/>
                <w:highlight w:val="none"/>
                <w:u w:val="single"/>
                <w:lang w:val="en-US" w:eastAsia="zh-CN"/>
              </w:rPr>
              <w:t>9</w:t>
            </w:r>
            <w:r>
              <w:rPr>
                <w:rFonts w:hint="eastAsia" w:ascii="宋体" w:hAnsi="宋体" w:cs="宋体"/>
                <w:color w:val="auto"/>
                <w:sz w:val="24"/>
                <w:highlight w:val="none"/>
              </w:rPr>
              <w:t>时</w:t>
            </w:r>
            <w:r>
              <w:rPr>
                <w:rFonts w:hint="eastAsia" w:ascii="宋体" w:hAnsi="宋体" w:cs="宋体"/>
                <w:color w:val="auto"/>
                <w:sz w:val="24"/>
                <w:highlight w:val="none"/>
                <w:u w:val="single"/>
                <w:lang w:val="en-US" w:eastAsia="zh-CN"/>
              </w:rPr>
              <w:t>30</w:t>
            </w:r>
            <w:r>
              <w:rPr>
                <w:rFonts w:hint="eastAsia" w:ascii="宋体" w:hAnsi="宋体" w:cs="宋体"/>
                <w:color w:val="auto"/>
                <w:sz w:val="24"/>
                <w:highlight w:val="none"/>
              </w:rPr>
              <w:t>分。</w:t>
            </w:r>
          </w:p>
          <w:p w14:paraId="67A9D717">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公布投标人</w:t>
            </w:r>
            <w:r>
              <w:rPr>
                <w:rFonts w:hint="eastAsia" w:ascii="宋体" w:hAnsi="宋体" w:cs="宋体"/>
                <w:color w:val="auto"/>
                <w:sz w:val="24"/>
                <w:highlight w:val="none"/>
                <w:lang w:val="en-US" w:eastAsia="zh-CN"/>
              </w:rPr>
              <w:t>投标截止时间前通过电子交易系统完成投标文件递交的投标人名称；投标人在投标截止时间后在投标人须知前附表规定的解密时间内完成投标文件的解密工作；招标人或招标代理机构完成解密工作，导入并读取所有成功解密的投标文件；按投标人须知前附表规定公布投标人名称、标段名称、投标报价、质量目标、工期及其他内容；开标结束</w:t>
            </w:r>
            <w:r>
              <w:rPr>
                <w:rFonts w:hint="eastAsia" w:ascii="宋体" w:hAnsi="宋体" w:cs="宋体"/>
                <w:color w:val="auto"/>
                <w:sz w:val="24"/>
                <w:highlight w:val="none"/>
              </w:rPr>
              <w:t xml:space="preserve"> 。</w:t>
            </w:r>
          </w:p>
          <w:p w14:paraId="1BA3305C">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rPr>
              <w:t>多标段开标顺序：</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tc>
      </w:tr>
      <w:tr w14:paraId="5DDD3ADD">
        <w:tblPrEx>
          <w:tblCellMar>
            <w:top w:w="0" w:type="dxa"/>
            <w:left w:w="108" w:type="dxa"/>
            <w:bottom w:w="0" w:type="dxa"/>
            <w:right w:w="108" w:type="dxa"/>
          </w:tblCellMar>
        </w:tblPrEx>
        <w:trPr>
          <w:trHeight w:val="488"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1DBCD9D4">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6.1.1</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13ECF927">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评标委员会的组建</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43A0D9DA">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rPr>
              <w:t>评标委员会构成</w:t>
            </w:r>
            <w:r>
              <w:rPr>
                <w:rFonts w:hint="eastAsia" w:ascii="宋体" w:hAnsi="宋体" w:cs="宋体"/>
                <w:color w:val="auto"/>
                <w:sz w:val="24"/>
                <w:highlight w:val="none"/>
                <w:lang w:eastAsia="zh-CN"/>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人，其中招标人代表</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0</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人，评标专家</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w:t>
            </w:r>
          </w:p>
          <w:p w14:paraId="47199337">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rPr>
              <w:t>评标专家确定方式：评标专家由招标人在评标活动开始前24小时内，通过抽取终端从专家库中随机抽取。</w:t>
            </w:r>
          </w:p>
        </w:tc>
      </w:tr>
      <w:tr w14:paraId="5AB98957">
        <w:tblPrEx>
          <w:tblCellMar>
            <w:top w:w="0" w:type="dxa"/>
            <w:left w:w="108" w:type="dxa"/>
            <w:bottom w:w="0" w:type="dxa"/>
            <w:right w:w="108" w:type="dxa"/>
          </w:tblCellMar>
        </w:tblPrEx>
        <w:trPr>
          <w:trHeight w:val="88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02C5EC2B">
            <w:pPr>
              <w:adjustRightInd w:val="0"/>
              <w:snapToGrid w:val="0"/>
              <w:spacing w:line="560" w:lineRule="exact"/>
              <w:jc w:val="center"/>
              <w:rPr>
                <w:rFonts w:ascii="宋体" w:hAnsi="宋体" w:cs="宋体"/>
                <w:color w:val="auto"/>
                <w:sz w:val="24"/>
                <w:highlight w:val="none"/>
              </w:rPr>
            </w:pPr>
            <w:r>
              <w:rPr>
                <w:rFonts w:hint="eastAsia" w:ascii="宋体" w:hAnsi="宋体" w:cs="宋体"/>
                <w:color w:val="auto"/>
                <w:sz w:val="24"/>
                <w:highlight w:val="none"/>
              </w:rPr>
              <w:t>6.3.2</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4CDB08B7">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评标委员会确定中标候选人的人数</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13E31694">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rPr>
              <w:t>3名</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不排序）</w:t>
            </w:r>
            <w:r>
              <w:rPr>
                <w:rFonts w:hint="eastAsia" w:ascii="宋体" w:hAnsi="宋体" w:cs="宋体"/>
                <w:color w:val="auto"/>
                <w:sz w:val="24"/>
                <w:highlight w:val="none"/>
              </w:rPr>
              <w:t>。</w:t>
            </w:r>
          </w:p>
        </w:tc>
      </w:tr>
      <w:tr w14:paraId="3EE985FC">
        <w:tblPrEx>
          <w:tblCellMar>
            <w:top w:w="0" w:type="dxa"/>
            <w:left w:w="108" w:type="dxa"/>
            <w:bottom w:w="0" w:type="dxa"/>
            <w:right w:w="108" w:type="dxa"/>
          </w:tblCellMar>
        </w:tblPrEx>
        <w:trPr>
          <w:trHeight w:val="653"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4364ECA9">
            <w:pPr>
              <w:adjustRightInd w:val="0"/>
              <w:snapToGrid w:val="0"/>
              <w:spacing w:line="560" w:lineRule="exact"/>
              <w:jc w:val="center"/>
              <w:rPr>
                <w:rFonts w:ascii="宋体" w:hAnsi="宋体" w:cs="宋体"/>
                <w:color w:val="auto"/>
                <w:sz w:val="24"/>
                <w:highlight w:val="none"/>
              </w:rPr>
            </w:pPr>
            <w:r>
              <w:rPr>
                <w:rFonts w:hint="eastAsia" w:ascii="宋体" w:hAnsi="宋体" w:cs="宋体"/>
                <w:color w:val="auto"/>
                <w:sz w:val="24"/>
                <w:highlight w:val="none"/>
              </w:rPr>
              <w:t>7.1</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53CD05B7">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中标候选人公示媒介及期限</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3ECB100D">
            <w:pPr>
              <w:widowControl/>
              <w:adjustRightInd w:val="0"/>
              <w:snapToGrid w:val="0"/>
              <w:spacing w:line="560" w:lineRule="exact"/>
              <w:jc w:val="left"/>
              <w:rPr>
                <w:rFonts w:hint="eastAsia" w:ascii="宋体" w:hAnsi="宋体" w:cs="宋体"/>
                <w:color w:val="auto"/>
                <w:sz w:val="24"/>
                <w:highlight w:val="none"/>
              </w:rPr>
            </w:pPr>
            <w:r>
              <w:rPr>
                <w:rFonts w:hint="eastAsia" w:ascii="宋体" w:hAnsi="宋体" w:cs="宋体"/>
                <w:color w:val="auto"/>
                <w:sz w:val="24"/>
                <w:highlight w:val="none"/>
              </w:rPr>
              <w:t>公示媒介：同招标公告发布媒介</w:t>
            </w:r>
          </w:p>
          <w:p w14:paraId="4121CAE5">
            <w:pPr>
              <w:widowControl/>
              <w:adjustRightInd w:val="0"/>
              <w:snapToGrid w:val="0"/>
              <w:spacing w:line="560" w:lineRule="exact"/>
              <w:jc w:val="left"/>
              <w:rPr>
                <w:rFonts w:hint="eastAsia" w:ascii="宋体" w:hAnsi="宋体" w:cs="宋体"/>
                <w:color w:val="auto"/>
                <w:sz w:val="24"/>
                <w:highlight w:val="none"/>
              </w:rPr>
            </w:pPr>
            <w:r>
              <w:rPr>
                <w:rFonts w:hint="eastAsia" w:ascii="宋体" w:hAnsi="宋体" w:cs="宋体"/>
                <w:color w:val="auto"/>
                <w:sz w:val="24"/>
                <w:highlight w:val="none"/>
              </w:rPr>
              <w:t>公示期限：公示发布次日起3日（如公示第三日为休息日或节假日，则顺延至休息日或节假日后第一个工作日）</w:t>
            </w:r>
          </w:p>
        </w:tc>
      </w:tr>
      <w:tr w14:paraId="7D60CB4F">
        <w:tblPrEx>
          <w:tblCellMar>
            <w:top w:w="0" w:type="dxa"/>
            <w:left w:w="108" w:type="dxa"/>
            <w:bottom w:w="0" w:type="dxa"/>
            <w:right w:w="108" w:type="dxa"/>
          </w:tblCellMar>
        </w:tblPrEx>
        <w:trPr>
          <w:trHeight w:val="653"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27FA7142">
            <w:pPr>
              <w:adjustRightInd w:val="0"/>
              <w:snapToGrid w:val="0"/>
              <w:spacing w:line="560" w:lineRule="exact"/>
              <w:jc w:val="center"/>
              <w:rPr>
                <w:rFonts w:ascii="宋体" w:hAnsi="宋体" w:cs="宋体"/>
                <w:color w:val="auto"/>
                <w:sz w:val="24"/>
                <w:highlight w:val="none"/>
              </w:rPr>
            </w:pPr>
            <w:r>
              <w:rPr>
                <w:rFonts w:hint="eastAsia" w:ascii="宋体" w:hAnsi="宋体" w:cs="宋体"/>
                <w:color w:val="auto"/>
                <w:sz w:val="24"/>
                <w:highlight w:val="none"/>
              </w:rPr>
              <w:t>7.5</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53A43602">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是否授权评标委员会确定中标人</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6E393888">
            <w:pPr>
              <w:widowControl/>
              <w:adjustRightInd w:val="0"/>
              <w:snapToGrid w:val="0"/>
              <w:spacing w:line="560" w:lineRule="exact"/>
              <w:jc w:val="left"/>
              <w:rPr>
                <w:rFonts w:hint="eastAsia" w:ascii="宋体" w:hAnsi="宋体" w:cs="宋体"/>
                <w:color w:val="auto"/>
                <w:sz w:val="24"/>
                <w:highlight w:val="none"/>
                <w:u w:val="single"/>
              </w:rPr>
            </w:pPr>
            <w:r>
              <w:rPr>
                <w:rFonts w:hint="eastAsia" w:ascii="宋体" w:hAnsi="宋体" w:cs="宋体"/>
                <w:color w:val="auto"/>
                <w:sz w:val="24"/>
                <w:highlight w:val="none"/>
                <w:u w:val="none"/>
              </w:rPr>
              <w:t>否</w:t>
            </w:r>
          </w:p>
        </w:tc>
      </w:tr>
      <w:tr w14:paraId="2DC42501">
        <w:tblPrEx>
          <w:tblCellMar>
            <w:top w:w="0" w:type="dxa"/>
            <w:left w:w="108" w:type="dxa"/>
            <w:bottom w:w="0" w:type="dxa"/>
            <w:right w:w="108" w:type="dxa"/>
          </w:tblCellMar>
        </w:tblPrEx>
        <w:trPr>
          <w:trHeight w:val="653"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010D9161">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7.6</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6DB006E7">
            <w:pPr>
              <w:adjustRightInd w:val="0"/>
              <w:snapToGrid w:val="0"/>
              <w:spacing w:line="560" w:lineRule="exact"/>
              <w:jc w:val="center"/>
              <w:rPr>
                <w:rFonts w:hint="eastAsia" w:ascii="宋体" w:hAnsi="宋体" w:cs="宋体"/>
                <w:color w:val="auto"/>
                <w:sz w:val="24"/>
                <w:highlight w:val="none"/>
              </w:rPr>
            </w:pPr>
            <w:r>
              <w:rPr>
                <w:rFonts w:hint="eastAsia"/>
                <w:color w:val="auto"/>
                <w:sz w:val="24"/>
                <w:highlight w:val="none"/>
              </w:rPr>
              <w:t>中标通知书发出形式</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60238F1B">
            <w:pPr>
              <w:widowControl/>
              <w:adjustRightInd w:val="0"/>
              <w:snapToGrid w:val="0"/>
              <w:spacing w:line="560" w:lineRule="exact"/>
              <w:rPr>
                <w:rFonts w:hint="eastAsia" w:ascii="宋体" w:hAnsi="宋体" w:cs="宋体"/>
                <w:color w:val="auto"/>
                <w:sz w:val="24"/>
                <w:highlight w:val="none"/>
              </w:rPr>
            </w:pPr>
            <w:r>
              <w:rPr>
                <w:rFonts w:hint="eastAsia"/>
                <w:color w:val="auto"/>
                <w:sz w:val="24"/>
                <w:highlight w:val="none"/>
              </w:rPr>
              <w:t>数据电文</w:t>
            </w:r>
          </w:p>
        </w:tc>
      </w:tr>
      <w:tr w14:paraId="00A7A888">
        <w:tblPrEx>
          <w:tblCellMar>
            <w:top w:w="0" w:type="dxa"/>
            <w:left w:w="108" w:type="dxa"/>
            <w:bottom w:w="0" w:type="dxa"/>
            <w:right w:w="108" w:type="dxa"/>
          </w:tblCellMar>
        </w:tblPrEx>
        <w:trPr>
          <w:trHeight w:val="653"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7317FCB2">
            <w:pPr>
              <w:adjustRightInd w:val="0"/>
              <w:snapToGrid w:val="0"/>
              <w:spacing w:line="560" w:lineRule="exact"/>
              <w:jc w:val="center"/>
              <w:rPr>
                <w:rFonts w:ascii="宋体" w:hAnsi="宋体" w:cs="宋体"/>
                <w:color w:val="auto"/>
                <w:sz w:val="24"/>
                <w:highlight w:val="none"/>
              </w:rPr>
            </w:pPr>
            <w:r>
              <w:rPr>
                <w:rFonts w:hint="eastAsia" w:ascii="宋体" w:hAnsi="宋体" w:cs="宋体"/>
                <w:color w:val="auto"/>
                <w:sz w:val="24"/>
                <w:highlight w:val="none"/>
              </w:rPr>
              <w:t>7.7</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5D496E8D">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中标结果公示媒介</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0A7E3E89">
            <w:pPr>
              <w:widowControl/>
              <w:adjustRightInd w:val="0"/>
              <w:snapToGrid w:val="0"/>
              <w:spacing w:line="560" w:lineRule="exact"/>
              <w:jc w:val="left"/>
              <w:rPr>
                <w:rFonts w:hint="eastAsia" w:ascii="宋体" w:hAnsi="宋体" w:cs="宋体"/>
                <w:color w:val="auto"/>
                <w:sz w:val="24"/>
                <w:highlight w:val="none"/>
              </w:rPr>
            </w:pPr>
            <w:r>
              <w:rPr>
                <w:rFonts w:hint="eastAsia" w:ascii="宋体" w:hAnsi="宋体" w:cs="宋体"/>
                <w:color w:val="auto"/>
                <w:sz w:val="24"/>
                <w:highlight w:val="none"/>
              </w:rPr>
              <w:t>公示媒介：同招标公告发布媒介；</w:t>
            </w:r>
          </w:p>
          <w:p w14:paraId="0302AD2B">
            <w:pPr>
              <w:widowControl/>
              <w:adjustRightInd w:val="0"/>
              <w:snapToGrid w:val="0"/>
              <w:spacing w:line="560" w:lineRule="exact"/>
              <w:jc w:val="left"/>
              <w:rPr>
                <w:rFonts w:hint="eastAsia"/>
                <w:color w:val="auto"/>
                <w:highlight w:val="none"/>
              </w:rPr>
            </w:pPr>
            <w:r>
              <w:rPr>
                <w:rFonts w:hint="eastAsia" w:ascii="宋体" w:hAnsi="宋体" w:cs="宋体"/>
                <w:color w:val="auto"/>
                <w:sz w:val="24"/>
                <w:highlight w:val="none"/>
              </w:rPr>
              <w:t>公示期限：</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日（公示期截止时间在法定休息日的顺延至首个工作日）。</w:t>
            </w:r>
          </w:p>
        </w:tc>
      </w:tr>
      <w:tr w14:paraId="7E03D617">
        <w:tblPrEx>
          <w:tblCellMar>
            <w:top w:w="0" w:type="dxa"/>
            <w:left w:w="108" w:type="dxa"/>
            <w:bottom w:w="0" w:type="dxa"/>
            <w:right w:w="108" w:type="dxa"/>
          </w:tblCellMar>
        </w:tblPrEx>
        <w:trPr>
          <w:trHeight w:val="97"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5F25CAE7">
            <w:pPr>
              <w:adjustRightInd w:val="0"/>
              <w:snapToGrid w:val="0"/>
              <w:spacing w:line="560" w:lineRule="exact"/>
              <w:jc w:val="center"/>
              <w:rPr>
                <w:rFonts w:ascii="宋体" w:hAnsi="宋体" w:cs="宋体"/>
                <w:color w:val="auto"/>
                <w:sz w:val="24"/>
                <w:highlight w:val="none"/>
              </w:rPr>
            </w:pPr>
            <w:r>
              <w:rPr>
                <w:rFonts w:hint="eastAsia" w:ascii="宋体" w:hAnsi="宋体" w:cs="宋体"/>
                <w:color w:val="auto"/>
                <w:sz w:val="24"/>
                <w:highlight w:val="none"/>
              </w:rPr>
              <w:t>7.8</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4AED12A3">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履约担保</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498F1DCE">
            <w:pPr>
              <w:widowControl/>
              <w:spacing w:line="560" w:lineRule="exact"/>
              <w:jc w:val="left"/>
              <w:rPr>
                <w:rFonts w:hint="eastAsia" w:ascii="宋体" w:hAnsi="宋体" w:cs="宋体"/>
                <w:color w:val="auto"/>
                <w:kern w:val="0"/>
                <w:szCs w:val="21"/>
                <w:highlight w:val="none"/>
              </w:rPr>
            </w:pPr>
            <w:r>
              <w:rPr>
                <w:rFonts w:hint="eastAsia" w:ascii="宋体" w:hAnsi="宋体" w:cs="宋体"/>
                <w:color w:val="auto"/>
                <w:sz w:val="24"/>
                <w:highlight w:val="none"/>
              </w:rPr>
              <w:t>要求中标人提交履约保证金。</w:t>
            </w:r>
          </w:p>
          <w:p w14:paraId="55ED1F8D">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rPr>
              <w:t>形式：支持银行转账、银行电汇、银行保函、担保机构担保、保证保险使用。</w:t>
            </w:r>
          </w:p>
          <w:p w14:paraId="263552BA">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rPr>
              <w:t>金   额：中标合同金额×</w:t>
            </w:r>
            <w:r>
              <w:rPr>
                <w:rFonts w:hint="eastAsia" w:ascii="宋体" w:hAnsi="宋体" w:cs="宋体"/>
                <w:color w:val="auto"/>
                <w:sz w:val="24"/>
                <w:highlight w:val="none"/>
                <w:u w:val="none"/>
              </w:rPr>
              <w:t xml:space="preserve">2% </w:t>
            </w:r>
          </w:p>
          <w:p w14:paraId="7D363309">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rPr>
              <w:t>收款单位：</w:t>
            </w:r>
            <w:r>
              <w:rPr>
                <w:rFonts w:hint="eastAsia" w:ascii="宋体" w:hAnsi="宋体" w:cs="宋体"/>
                <w:color w:val="auto"/>
                <w:sz w:val="24"/>
                <w:highlight w:val="none"/>
                <w:lang w:val="en-US" w:eastAsia="zh-CN"/>
              </w:rPr>
              <w:t>滁州市同创建设投资有限责任公司</w:t>
            </w:r>
            <w:r>
              <w:rPr>
                <w:rFonts w:hint="eastAsia" w:ascii="宋体" w:hAnsi="宋体" w:cs="宋体"/>
                <w:color w:val="auto"/>
                <w:sz w:val="24"/>
                <w:highlight w:val="none"/>
              </w:rPr>
              <w:t xml:space="preserve"> </w:t>
            </w:r>
          </w:p>
          <w:p w14:paraId="06DF9DFB">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rPr>
              <w:t>开户银行</w:t>
            </w:r>
            <w:r>
              <w:rPr>
                <w:rFonts w:hint="eastAsia" w:ascii="宋体" w:hAnsi="宋体" w:cs="宋体"/>
                <w:color w:val="auto"/>
                <w:sz w:val="24"/>
                <w:highlight w:val="none"/>
                <w:lang w:val="en-US" w:eastAsia="zh-CN"/>
              </w:rPr>
              <w:t>:另行通知</w:t>
            </w:r>
            <w:r>
              <w:rPr>
                <w:rFonts w:hint="eastAsia" w:ascii="宋体" w:hAnsi="宋体" w:cs="宋体"/>
                <w:color w:val="auto"/>
                <w:sz w:val="24"/>
                <w:highlight w:val="none"/>
              </w:rPr>
              <w:t xml:space="preserve"> </w:t>
            </w:r>
          </w:p>
          <w:p w14:paraId="4ABD1C89">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rPr>
              <w:t>银行账号：</w:t>
            </w:r>
            <w:r>
              <w:rPr>
                <w:rFonts w:hint="eastAsia" w:ascii="宋体" w:hAnsi="宋体" w:cs="宋体"/>
                <w:color w:val="auto"/>
                <w:sz w:val="24"/>
                <w:highlight w:val="none"/>
                <w:lang w:val="en-US" w:eastAsia="zh-CN"/>
              </w:rPr>
              <w:t>另行通知</w:t>
            </w:r>
            <w:r>
              <w:rPr>
                <w:rFonts w:hint="eastAsia" w:ascii="宋体" w:hAnsi="宋体" w:cs="宋体"/>
                <w:color w:val="auto"/>
                <w:sz w:val="24"/>
                <w:highlight w:val="none"/>
              </w:rPr>
              <w:t xml:space="preserve">                </w:t>
            </w:r>
          </w:p>
          <w:p w14:paraId="69BE8701">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rPr>
              <w:t>缴纳时限：</w:t>
            </w:r>
            <w:r>
              <w:rPr>
                <w:rFonts w:hint="eastAsia" w:ascii="宋体" w:hAnsi="宋体" w:cs="宋体"/>
                <w:color w:val="auto"/>
                <w:sz w:val="24"/>
                <w:highlight w:val="none"/>
                <w:lang w:val="en-US" w:eastAsia="zh-CN"/>
              </w:rPr>
              <w:t>签订合同前缴纳</w:t>
            </w:r>
            <w:r>
              <w:rPr>
                <w:rFonts w:hint="eastAsia" w:ascii="宋体" w:hAnsi="宋体" w:cs="宋体"/>
                <w:color w:val="auto"/>
                <w:sz w:val="24"/>
                <w:highlight w:val="none"/>
              </w:rPr>
              <w:t xml:space="preserve"> </w:t>
            </w:r>
          </w:p>
          <w:p w14:paraId="4B7262CF">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lang w:val="en-US" w:eastAsia="zh-CN"/>
              </w:rPr>
              <w:t xml:space="preserve">中标通知书发出之日起，3个日历天内应委派代表与招标人联系办 </w:t>
            </w:r>
          </w:p>
          <w:p w14:paraId="614D27FA">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lang w:val="en-US" w:eastAsia="zh-CN"/>
              </w:rPr>
              <w:t>理履约保证金缴纳并商讨书面合同签订等事宜；30个日历天内足额交纳履约保证金（投标保证金不能转为履约保证金）并根据招标文件和中标人的投标文件订立书面合同。中标人无正当理由拒签合同的，招标人将依据招投标相关法律法规进行处理；给招标人造成的损失，中标人还应当予以赔偿。</w:t>
            </w:r>
          </w:p>
          <w:p w14:paraId="593ACB92">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rPr>
              <w:t>履约保证金退还时限：履约保证金有效期满7日内。</w:t>
            </w:r>
          </w:p>
          <w:p w14:paraId="7FD31DDC">
            <w:pPr>
              <w:pStyle w:val="19"/>
              <w:adjustRightInd w:val="0"/>
              <w:snapToGrid w:val="0"/>
              <w:spacing w:after="0" w:line="560" w:lineRule="exact"/>
              <w:ind w:left="0" w:leftChars="0" w:firstLine="0" w:firstLineChars="0"/>
              <w:rPr>
                <w:rFonts w:hint="eastAsia" w:ascii="宋体" w:hAnsi="宋体" w:cs="宋体"/>
                <w:color w:val="auto"/>
                <w:position w:val="6"/>
                <w:sz w:val="24"/>
                <w:highlight w:val="none"/>
                <w:u w:val="none"/>
              </w:rPr>
            </w:pPr>
            <w:r>
              <w:rPr>
                <w:rFonts w:hint="eastAsia" w:ascii="宋体" w:hAnsi="宋体" w:cs="宋体"/>
                <w:color w:val="auto"/>
                <w:position w:val="6"/>
                <w:sz w:val="24"/>
                <w:highlight w:val="none"/>
                <w:u w:val="none"/>
              </w:rPr>
              <w:t>其他相关要求：</w:t>
            </w:r>
          </w:p>
          <w:p w14:paraId="3A4EC622">
            <w:pPr>
              <w:pStyle w:val="19"/>
              <w:numPr>
                <w:ilvl w:val="0"/>
                <w:numId w:val="0"/>
              </w:numPr>
              <w:adjustRightInd w:val="0"/>
              <w:snapToGrid w:val="0"/>
              <w:spacing w:after="0" w:line="560" w:lineRule="exact"/>
              <w:ind w:leftChars="0"/>
              <w:rPr>
                <w:rFonts w:hint="eastAsia" w:ascii="宋体" w:hAnsi="宋体" w:cs="宋体"/>
                <w:color w:val="auto"/>
                <w:position w:val="6"/>
                <w:sz w:val="24"/>
                <w:highlight w:val="none"/>
                <w:u w:val="single"/>
              </w:rPr>
            </w:pPr>
            <w:r>
              <w:rPr>
                <w:rFonts w:hint="eastAsia" w:ascii="宋体" w:hAnsi="宋体" w:cs="宋体"/>
                <w:color w:val="auto"/>
                <w:position w:val="6"/>
                <w:sz w:val="24"/>
                <w:highlight w:val="none"/>
                <w:u w:val="none"/>
                <w:lang w:val="en-US" w:eastAsia="zh-CN"/>
              </w:rPr>
              <w:t>1.</w:t>
            </w:r>
            <w:r>
              <w:rPr>
                <w:rFonts w:hint="eastAsia" w:ascii="宋体" w:hAnsi="宋体" w:cs="宋体"/>
                <w:color w:val="auto"/>
                <w:position w:val="6"/>
                <w:sz w:val="24"/>
                <w:highlight w:val="none"/>
                <w:u w:val="none"/>
              </w:rPr>
              <w:t>具体要求：</w:t>
            </w:r>
            <w:r>
              <w:rPr>
                <w:rFonts w:hint="eastAsia" w:ascii="宋体" w:hAnsi="宋体" w:cs="宋体"/>
                <w:color w:val="auto"/>
                <w:position w:val="6"/>
                <w:sz w:val="24"/>
                <w:highlight w:val="none"/>
                <w:u w:val="none"/>
                <w:lang w:val="en-US" w:eastAsia="zh-CN"/>
              </w:rPr>
              <w:t>满足招标人要求</w:t>
            </w:r>
            <w:r>
              <w:rPr>
                <w:rFonts w:hint="eastAsia" w:ascii="宋体" w:hAnsi="宋体" w:cs="宋体"/>
                <w:color w:val="auto"/>
                <w:position w:val="6"/>
                <w:sz w:val="24"/>
                <w:highlight w:val="none"/>
                <w:u w:val="none"/>
              </w:rPr>
              <w:t>；</w:t>
            </w:r>
          </w:p>
          <w:p w14:paraId="6D67CCAB">
            <w:pPr>
              <w:pStyle w:val="19"/>
              <w:numPr>
                <w:ilvl w:val="0"/>
                <w:numId w:val="0"/>
              </w:numPr>
              <w:adjustRightInd w:val="0"/>
              <w:snapToGrid w:val="0"/>
              <w:spacing w:after="0" w:line="560" w:lineRule="exact"/>
              <w:ind w:leftChars="0"/>
              <w:rPr>
                <w:rFonts w:hint="eastAsia"/>
                <w:color w:val="auto"/>
                <w:sz w:val="24"/>
                <w:highlight w:val="none"/>
              </w:rPr>
            </w:pPr>
            <w:r>
              <w:rPr>
                <w:rFonts w:hint="eastAsia" w:ascii="宋体" w:hAnsi="宋体" w:cs="宋体"/>
                <w:color w:val="auto"/>
                <w:position w:val="6"/>
                <w:sz w:val="24"/>
                <w:highlight w:val="none"/>
                <w:u w:val="none"/>
                <w:lang w:val="en-US" w:eastAsia="zh-CN"/>
              </w:rPr>
              <w:t>2.</w:t>
            </w:r>
            <w:r>
              <w:rPr>
                <w:rFonts w:hint="eastAsia" w:ascii="宋体" w:hAnsi="宋体" w:cs="宋体"/>
                <w:color w:val="auto"/>
                <w:position w:val="6"/>
                <w:sz w:val="24"/>
                <w:highlight w:val="none"/>
                <w:u w:val="none"/>
              </w:rPr>
              <w:t>联合体参加投标且中标的，以联合体牵头人的名义按上述要求缴纳履约担保。</w:t>
            </w:r>
          </w:p>
        </w:tc>
      </w:tr>
      <w:tr w14:paraId="0A4B6E13">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1128C677">
            <w:pPr>
              <w:adjustRightInd w:val="0"/>
              <w:snapToGrid w:val="0"/>
              <w:spacing w:line="560" w:lineRule="exact"/>
              <w:jc w:val="center"/>
              <w:rPr>
                <w:rFonts w:ascii="宋体" w:hAnsi="宋体" w:cs="宋体"/>
                <w:color w:val="auto"/>
                <w:sz w:val="24"/>
                <w:highlight w:val="none"/>
              </w:rPr>
            </w:pPr>
            <w:r>
              <w:rPr>
                <w:rFonts w:hint="eastAsia" w:ascii="宋体" w:hAnsi="宋体" w:cs="宋体"/>
                <w:color w:val="auto"/>
                <w:sz w:val="24"/>
                <w:highlight w:val="none"/>
              </w:rPr>
              <w:t>7.9</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342D5BDA">
            <w:pPr>
              <w:adjustRightInd w:val="0"/>
              <w:snapToGrid w:val="0"/>
              <w:spacing w:line="560" w:lineRule="exact"/>
              <w:jc w:val="center"/>
              <w:rPr>
                <w:rFonts w:hint="eastAsia" w:ascii="宋体" w:hAnsi="宋体" w:cs="宋体"/>
                <w:color w:val="auto"/>
                <w:sz w:val="24"/>
                <w:highlight w:val="none"/>
              </w:rPr>
            </w:pPr>
            <w:r>
              <w:rPr>
                <w:rFonts w:hint="eastAsia"/>
                <w:color w:val="auto"/>
                <w:sz w:val="24"/>
                <w:highlight w:val="none"/>
              </w:rPr>
              <w:t>签订合同</w:t>
            </w:r>
          </w:p>
        </w:tc>
        <w:tc>
          <w:tcPr>
            <w:tcW w:w="7299" w:type="dxa"/>
            <w:tcBorders>
              <w:top w:val="single" w:color="auto" w:sz="4" w:space="0"/>
              <w:left w:val="single" w:color="auto" w:sz="4" w:space="0"/>
              <w:bottom w:val="single" w:color="auto" w:sz="4" w:space="0"/>
              <w:right w:val="single" w:color="auto" w:sz="4" w:space="0"/>
            </w:tcBorders>
            <w:noWrap w:val="0"/>
            <w:vAlign w:val="top"/>
          </w:tcPr>
          <w:p w14:paraId="50DE4271">
            <w:pPr>
              <w:adjustRightInd w:val="0"/>
              <w:snapToGrid w:val="0"/>
              <w:spacing w:line="560" w:lineRule="exact"/>
              <w:rPr>
                <w:rFonts w:hint="eastAsia" w:ascii="宋体" w:hAnsi="宋体" w:cs="宋体"/>
                <w:color w:val="auto"/>
                <w:sz w:val="24"/>
                <w:highlight w:val="none"/>
              </w:rPr>
            </w:pPr>
            <w:r>
              <w:rPr>
                <w:rFonts w:hint="eastAsia"/>
                <w:color w:val="auto"/>
                <w:sz w:val="24"/>
                <w:highlight w:val="none"/>
              </w:rPr>
              <w:t>中标通知书发出之日起</w:t>
            </w:r>
            <w:r>
              <w:rPr>
                <w:rFonts w:hint="eastAsia"/>
                <w:color w:val="auto"/>
                <w:sz w:val="24"/>
                <w:highlight w:val="none"/>
                <w:u w:val="single"/>
              </w:rPr>
              <w:t xml:space="preserve">  </w:t>
            </w:r>
            <w:r>
              <w:rPr>
                <w:rFonts w:hint="eastAsia"/>
                <w:color w:val="auto"/>
                <w:sz w:val="24"/>
                <w:highlight w:val="none"/>
                <w:u w:val="single"/>
                <w:lang w:val="en-US" w:eastAsia="zh-CN"/>
              </w:rPr>
              <w:t>3</w:t>
            </w:r>
            <w:r>
              <w:rPr>
                <w:rFonts w:hint="eastAsia"/>
                <w:color w:val="auto"/>
                <w:sz w:val="24"/>
                <w:highlight w:val="none"/>
                <w:u w:val="single"/>
              </w:rPr>
              <w:t xml:space="preserve"> </w:t>
            </w:r>
            <w:r>
              <w:rPr>
                <w:rFonts w:hint="eastAsia"/>
                <w:color w:val="auto"/>
                <w:sz w:val="24"/>
                <w:highlight w:val="none"/>
              </w:rPr>
              <w:t>日内，应委派代表与招标人联系并商讨书面合同签订事宜。中标人和招标人应在投标有效期内以及中标通知书发出之日起30日内，根据招标文件和中标人的投标文件订立书面合同。</w:t>
            </w:r>
          </w:p>
        </w:tc>
      </w:tr>
      <w:tr w14:paraId="45EAB547">
        <w:tblPrEx>
          <w:tblCellMar>
            <w:top w:w="0" w:type="dxa"/>
            <w:left w:w="108" w:type="dxa"/>
            <w:bottom w:w="0" w:type="dxa"/>
            <w:right w:w="108" w:type="dxa"/>
          </w:tblCellMar>
        </w:tblPrEx>
        <w:trPr>
          <w:trHeight w:val="90" w:hRule="atLeast"/>
          <w:jc w:val="center"/>
        </w:trPr>
        <w:tc>
          <w:tcPr>
            <w:tcW w:w="10175" w:type="dxa"/>
            <w:gridSpan w:val="3"/>
            <w:tcBorders>
              <w:top w:val="single" w:color="auto" w:sz="4" w:space="0"/>
              <w:left w:val="single" w:color="auto" w:sz="4" w:space="0"/>
              <w:bottom w:val="single" w:color="auto" w:sz="4" w:space="0"/>
              <w:right w:val="single" w:color="auto" w:sz="4" w:space="0"/>
            </w:tcBorders>
            <w:noWrap w:val="0"/>
            <w:vAlign w:val="center"/>
          </w:tcPr>
          <w:p w14:paraId="09AC8888">
            <w:pPr>
              <w:adjustRightInd w:val="0"/>
              <w:snapToGrid w:val="0"/>
              <w:spacing w:line="560" w:lineRule="exact"/>
              <w:jc w:val="left"/>
              <w:rPr>
                <w:rFonts w:hint="eastAsia" w:ascii="宋体" w:hAnsi="宋体" w:cs="宋体"/>
                <w:color w:val="auto"/>
                <w:sz w:val="24"/>
                <w:highlight w:val="none"/>
              </w:rPr>
            </w:pPr>
            <w:r>
              <w:rPr>
                <w:rFonts w:hint="eastAsia" w:ascii="宋体" w:hAnsi="宋体" w:cs="宋体"/>
                <w:color w:val="auto"/>
                <w:sz w:val="24"/>
                <w:highlight w:val="none"/>
              </w:rPr>
              <w:t>10.需要补充的其他内容</w:t>
            </w:r>
          </w:p>
        </w:tc>
      </w:tr>
      <w:tr w14:paraId="7DCF2F31">
        <w:tblPrEx>
          <w:tblCellMar>
            <w:top w:w="0" w:type="dxa"/>
            <w:left w:w="108" w:type="dxa"/>
            <w:bottom w:w="0" w:type="dxa"/>
            <w:right w:w="108" w:type="dxa"/>
          </w:tblCellMar>
        </w:tblPrEx>
        <w:trPr>
          <w:trHeight w:val="90" w:hRule="atLeast"/>
          <w:jc w:val="center"/>
        </w:trPr>
        <w:tc>
          <w:tcPr>
            <w:tcW w:w="10175" w:type="dxa"/>
            <w:gridSpan w:val="3"/>
            <w:tcBorders>
              <w:top w:val="single" w:color="auto" w:sz="4" w:space="0"/>
              <w:left w:val="single" w:color="auto" w:sz="4" w:space="0"/>
              <w:bottom w:val="single" w:color="auto" w:sz="4" w:space="0"/>
              <w:right w:val="single" w:color="auto" w:sz="4" w:space="0"/>
            </w:tcBorders>
            <w:noWrap w:val="0"/>
            <w:vAlign w:val="center"/>
          </w:tcPr>
          <w:p w14:paraId="63EAFB36">
            <w:pPr>
              <w:adjustRightInd w:val="0"/>
              <w:snapToGrid w:val="0"/>
              <w:spacing w:line="560" w:lineRule="exact"/>
              <w:jc w:val="left"/>
              <w:rPr>
                <w:rFonts w:hint="eastAsia" w:ascii="宋体" w:hAnsi="宋体" w:cs="宋体"/>
                <w:color w:val="auto"/>
                <w:sz w:val="24"/>
                <w:highlight w:val="none"/>
              </w:rPr>
            </w:pPr>
            <w:r>
              <w:rPr>
                <w:rFonts w:hint="eastAsia" w:ascii="宋体" w:hAnsi="宋体" w:cs="宋体"/>
                <w:color w:val="auto"/>
                <w:sz w:val="24"/>
                <w:highlight w:val="none"/>
              </w:rPr>
              <w:t>10.1招标代理服务费和专家评审劳务费</w:t>
            </w:r>
          </w:p>
        </w:tc>
      </w:tr>
      <w:tr w14:paraId="0C1A896D">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2B54AD1B">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10.1.1</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00F31CA6">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招标代理服务费</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040B2493">
            <w:pPr>
              <w:adjustRightInd w:val="0"/>
              <w:snapToGrid w:val="0"/>
              <w:spacing w:line="560" w:lineRule="exact"/>
              <w:rPr>
                <w:rFonts w:hint="eastAsia" w:ascii="宋体" w:hAnsi="宋体" w:cs="宋体"/>
                <w:color w:val="auto"/>
                <w:kern w:val="0"/>
                <w:sz w:val="24"/>
                <w:highlight w:val="none"/>
                <w:u w:val="single"/>
              </w:rPr>
            </w:pPr>
            <w:r>
              <w:rPr>
                <w:rFonts w:hint="eastAsia" w:ascii="宋体" w:hAnsi="宋体" w:cs="宋体"/>
                <w:color w:val="auto"/>
                <w:sz w:val="24"/>
                <w:highlight w:val="none"/>
              </w:rPr>
              <w:t>代理服务费具体金额：</w:t>
            </w:r>
            <w:r>
              <w:rPr>
                <w:rFonts w:hint="eastAsia" w:ascii="宋体" w:hAnsi="宋体" w:cs="宋体"/>
                <w:color w:val="auto"/>
                <w:kern w:val="0"/>
                <w:sz w:val="24"/>
                <w:highlight w:val="none"/>
                <w:u w:val="single"/>
                <w:lang w:val="en-US" w:eastAsia="zh-CN"/>
              </w:rPr>
              <w:t>62000</w:t>
            </w:r>
            <w:r>
              <w:rPr>
                <w:rFonts w:hint="eastAsia" w:ascii="宋体" w:hAnsi="宋体" w:cs="宋体"/>
                <w:color w:val="auto"/>
                <w:kern w:val="0"/>
                <w:sz w:val="24"/>
                <w:highlight w:val="none"/>
                <w:u w:val="single"/>
              </w:rPr>
              <w:t>元</w:t>
            </w:r>
            <w:r>
              <w:rPr>
                <w:rFonts w:hint="eastAsia" w:ascii="宋体" w:hAnsi="宋体" w:cs="宋体"/>
                <w:color w:val="auto"/>
                <w:kern w:val="0"/>
                <w:sz w:val="24"/>
                <w:highlight w:val="none"/>
                <w:u w:val="single"/>
                <w:lang w:val="en-US" w:eastAsia="zh-CN"/>
              </w:rPr>
              <w:t>，参考计价格【2002】1980号文件规定的30%</w:t>
            </w:r>
            <w:r>
              <w:rPr>
                <w:rFonts w:hint="eastAsia" w:ascii="宋体" w:hAnsi="宋体" w:cs="宋体"/>
                <w:color w:val="auto"/>
                <w:kern w:val="0"/>
                <w:sz w:val="24"/>
                <w:highlight w:val="none"/>
                <w:u w:val="single"/>
              </w:rPr>
              <w:t>；</w:t>
            </w:r>
          </w:p>
          <w:p w14:paraId="4D7A8A86">
            <w:pPr>
              <w:adjustRightInd w:val="0"/>
              <w:snapToGrid w:val="0"/>
              <w:spacing w:line="560" w:lineRule="exact"/>
              <w:rPr>
                <w:rFonts w:hint="eastAsia" w:ascii="宋体" w:hAnsi="宋体" w:cs="宋体"/>
                <w:color w:val="auto"/>
                <w:kern w:val="0"/>
                <w:sz w:val="24"/>
                <w:highlight w:val="none"/>
              </w:rPr>
            </w:pPr>
            <w:r>
              <w:rPr>
                <w:rFonts w:hint="eastAsia" w:ascii="宋体" w:hAnsi="宋体" w:cs="宋体"/>
                <w:color w:val="auto"/>
                <w:kern w:val="0"/>
                <w:sz w:val="24"/>
                <w:highlight w:val="none"/>
              </w:rPr>
              <w:t>代理服务费支付主体</w:t>
            </w:r>
            <w:r>
              <w:rPr>
                <w:rFonts w:hint="eastAsia" w:ascii="宋体" w:hAnsi="宋体" w:cs="宋体"/>
                <w:color w:val="auto"/>
                <w:sz w:val="24"/>
                <w:highlight w:val="none"/>
              </w:rPr>
              <w:t>：</w:t>
            </w:r>
            <w:r>
              <w:rPr>
                <w:rFonts w:hint="eastAsia" w:ascii="宋体" w:hAnsi="宋体" w:cs="宋体"/>
                <w:color w:val="auto"/>
                <w:sz w:val="24"/>
                <w:highlight w:val="none"/>
                <w:u w:val="single"/>
                <w:lang w:val="en-US" w:eastAsia="zh-CN"/>
              </w:rPr>
              <w:t>中标人，本项目因故未将此费用列入最高投标限价中，此项费用由中标人支付，投标人投标报价时充分考虑并谨慎报价</w:t>
            </w:r>
            <w:r>
              <w:rPr>
                <w:rFonts w:hint="eastAsia" w:ascii="宋体" w:hAnsi="宋体" w:cs="宋体"/>
                <w:color w:val="auto"/>
                <w:kern w:val="0"/>
                <w:sz w:val="24"/>
                <w:highlight w:val="none"/>
              </w:rPr>
              <w:t>。</w:t>
            </w:r>
          </w:p>
          <w:p w14:paraId="7F7830B6">
            <w:pPr>
              <w:adjustRightInd w:val="0"/>
              <w:snapToGrid w:val="0"/>
              <w:spacing w:line="560" w:lineRule="exact"/>
              <w:rPr>
                <w:rFonts w:hint="eastAsia" w:ascii="宋体" w:hAnsi="宋体" w:cs="宋体"/>
                <w:color w:val="auto"/>
                <w:kern w:val="0"/>
                <w:sz w:val="24"/>
                <w:highlight w:val="none"/>
              </w:rPr>
            </w:pPr>
            <w:r>
              <w:rPr>
                <w:rFonts w:hint="eastAsia" w:ascii="宋体" w:hAnsi="宋体" w:cs="宋体"/>
                <w:color w:val="auto"/>
                <w:sz w:val="24"/>
                <w:highlight w:val="none"/>
              </w:rPr>
              <w:t>代理服务费收取方式：</w:t>
            </w:r>
            <w:r>
              <w:rPr>
                <w:rFonts w:hint="eastAsia" w:ascii="宋体" w:hAnsi="宋体" w:cs="宋体"/>
                <w:color w:val="auto"/>
                <w:sz w:val="24"/>
                <w:highlight w:val="none"/>
                <w:u w:val="single"/>
              </w:rPr>
              <w:t>由中标人在领取中标通知书时一次性支付给代理机构</w:t>
            </w:r>
            <w:r>
              <w:rPr>
                <w:rFonts w:hint="eastAsia" w:ascii="宋体" w:hAnsi="宋体" w:cs="宋体"/>
                <w:color w:val="auto"/>
                <w:kern w:val="0"/>
                <w:sz w:val="24"/>
                <w:highlight w:val="none"/>
                <w:u w:val="single"/>
              </w:rPr>
              <w:t xml:space="preserve"> </w:t>
            </w:r>
          </w:p>
        </w:tc>
      </w:tr>
      <w:tr w14:paraId="3CB55B2E">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00C2B9A7">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10.1.2</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36439BA3">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专家评审劳务费</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2F75E5A6">
            <w:pPr>
              <w:adjustRightInd w:val="0"/>
              <w:snapToGrid w:val="0"/>
              <w:spacing w:line="560" w:lineRule="exact"/>
              <w:rPr>
                <w:rFonts w:hint="eastAsia" w:ascii="宋体" w:hAnsi="宋体" w:cs="宋体"/>
                <w:color w:val="auto"/>
                <w:sz w:val="24"/>
                <w:highlight w:val="none"/>
                <w:u w:val="single"/>
              </w:rPr>
            </w:pPr>
            <w:r>
              <w:rPr>
                <w:rFonts w:hint="eastAsia" w:ascii="宋体" w:hAnsi="宋体" w:cs="宋体"/>
                <w:color w:val="auto"/>
                <w:sz w:val="24"/>
                <w:highlight w:val="none"/>
              </w:rPr>
              <w:t>费用或支付标准：</w:t>
            </w:r>
            <w:r>
              <w:rPr>
                <w:rFonts w:hint="eastAsia" w:ascii="宋体" w:hAnsi="宋体" w:cs="宋体"/>
                <w:color w:val="auto"/>
                <w:sz w:val="24"/>
                <w:highlight w:val="none"/>
                <w:u w:val="single"/>
                <w:lang w:val="en-US" w:eastAsia="zh-CN"/>
              </w:rPr>
              <w:t>以实际发生费用为准</w:t>
            </w:r>
            <w:r>
              <w:rPr>
                <w:rFonts w:hint="eastAsia" w:ascii="宋体" w:hAnsi="宋体" w:cs="宋体"/>
                <w:color w:val="auto"/>
                <w:sz w:val="24"/>
                <w:highlight w:val="none"/>
                <w:u w:val="single"/>
              </w:rPr>
              <w:t xml:space="preserve"> </w:t>
            </w:r>
          </w:p>
          <w:p w14:paraId="694B41C4">
            <w:pPr>
              <w:adjustRightInd w:val="0"/>
              <w:snapToGrid w:val="0"/>
              <w:spacing w:line="560" w:lineRule="exact"/>
              <w:rPr>
                <w:rFonts w:hint="eastAsia" w:eastAsia="宋体"/>
                <w:color w:val="auto"/>
                <w:sz w:val="24"/>
                <w:highlight w:val="none"/>
                <w:lang w:eastAsia="zh-CN"/>
              </w:rPr>
            </w:pPr>
            <w:r>
              <w:rPr>
                <w:rFonts w:hint="eastAsia" w:ascii="宋体" w:hAnsi="宋体" w:cs="宋体"/>
                <w:color w:val="auto"/>
                <w:sz w:val="24"/>
                <w:highlight w:val="none"/>
              </w:rPr>
              <w:t>支付主体：</w:t>
            </w:r>
            <w:r>
              <w:rPr>
                <w:rFonts w:hint="eastAsia" w:ascii="宋体" w:hAnsi="宋体" w:cs="宋体"/>
                <w:color w:val="auto"/>
                <w:sz w:val="24"/>
                <w:highlight w:val="none"/>
                <w:u w:val="single"/>
                <w:lang w:val="en-US" w:eastAsia="zh-CN"/>
              </w:rPr>
              <w:t>招标人</w:t>
            </w:r>
          </w:p>
        </w:tc>
      </w:tr>
      <w:tr w14:paraId="422BA287">
        <w:tblPrEx>
          <w:tblCellMar>
            <w:top w:w="0" w:type="dxa"/>
            <w:left w:w="108" w:type="dxa"/>
            <w:bottom w:w="0" w:type="dxa"/>
            <w:right w:w="108" w:type="dxa"/>
          </w:tblCellMar>
        </w:tblPrEx>
        <w:trPr>
          <w:trHeight w:val="90" w:hRule="atLeast"/>
          <w:jc w:val="center"/>
        </w:trPr>
        <w:tc>
          <w:tcPr>
            <w:tcW w:w="10175" w:type="dxa"/>
            <w:gridSpan w:val="3"/>
            <w:tcBorders>
              <w:top w:val="single" w:color="auto" w:sz="4" w:space="0"/>
              <w:left w:val="single" w:color="auto" w:sz="4" w:space="0"/>
              <w:bottom w:val="single" w:color="auto" w:sz="4" w:space="0"/>
              <w:right w:val="single" w:color="auto" w:sz="4" w:space="0"/>
            </w:tcBorders>
            <w:noWrap w:val="0"/>
            <w:vAlign w:val="center"/>
          </w:tcPr>
          <w:p w14:paraId="53876D72">
            <w:pPr>
              <w:adjustRightInd w:val="0"/>
              <w:snapToGrid w:val="0"/>
              <w:spacing w:line="560" w:lineRule="exact"/>
              <w:rPr>
                <w:rFonts w:hint="eastAsia" w:ascii="宋体" w:hAnsi="宋体" w:cs="宋体"/>
                <w:bCs/>
                <w:snapToGrid w:val="0"/>
                <w:color w:val="auto"/>
                <w:kern w:val="0"/>
                <w:sz w:val="24"/>
                <w:highlight w:val="none"/>
              </w:rPr>
            </w:pPr>
            <w:r>
              <w:rPr>
                <w:rFonts w:hint="eastAsia" w:ascii="宋体" w:hAnsi="宋体" w:cs="宋体"/>
                <w:color w:val="auto"/>
                <w:sz w:val="24"/>
                <w:highlight w:val="none"/>
              </w:rPr>
              <w:t>10.2 招标文件获取与通知</w:t>
            </w:r>
          </w:p>
        </w:tc>
      </w:tr>
      <w:tr w14:paraId="253A3332">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7B68A62D">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10.2.1</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152E2125">
            <w:pPr>
              <w:adjustRightInd w:val="0"/>
              <w:snapToGrid w:val="0"/>
              <w:spacing w:line="560" w:lineRule="exact"/>
              <w:jc w:val="center"/>
              <w:rPr>
                <w:rFonts w:hint="eastAsia" w:ascii="宋体" w:hAnsi="宋体" w:cs="宋体"/>
                <w:bCs/>
                <w:snapToGrid w:val="0"/>
                <w:color w:val="auto"/>
                <w:kern w:val="0"/>
                <w:sz w:val="24"/>
                <w:highlight w:val="none"/>
              </w:rPr>
            </w:pPr>
            <w:r>
              <w:rPr>
                <w:rFonts w:hint="eastAsia" w:ascii="宋体" w:hAnsi="宋体" w:cs="宋体"/>
                <w:bCs/>
                <w:snapToGrid w:val="0"/>
                <w:color w:val="auto"/>
                <w:kern w:val="0"/>
                <w:sz w:val="24"/>
                <w:highlight w:val="none"/>
              </w:rPr>
              <w:t>电子招投标</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2185529A">
            <w:pPr>
              <w:adjustRightInd w:val="0"/>
              <w:snapToGrid w:val="0"/>
              <w:spacing w:line="560" w:lineRule="exact"/>
              <w:rPr>
                <w:rFonts w:hint="eastAsia" w:ascii="宋体" w:hAnsi="宋体" w:cs="宋体"/>
                <w:color w:val="auto"/>
                <w:sz w:val="24"/>
                <w:highlight w:val="none"/>
              </w:rPr>
            </w:pPr>
            <w:r>
              <w:rPr>
                <w:rFonts w:hint="eastAsia" w:ascii="宋体" w:hAnsi="宋体" w:cs="宋体"/>
                <w:bCs/>
                <w:snapToGrid w:val="0"/>
                <w:color w:val="auto"/>
                <w:kern w:val="0"/>
                <w:sz w:val="24"/>
                <w:highlight w:val="none"/>
              </w:rPr>
              <w:t>本项目采用电子招标投标方式。</w:t>
            </w:r>
          </w:p>
        </w:tc>
      </w:tr>
      <w:tr w14:paraId="5C178D1F">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13389978">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10.2.2</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0DEEB45C">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bCs/>
                <w:snapToGrid w:val="0"/>
                <w:color w:val="auto"/>
                <w:kern w:val="0"/>
                <w:sz w:val="24"/>
                <w:highlight w:val="none"/>
              </w:rPr>
              <w:t>图纸获取说明</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764897AF">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rPr>
              <w:t xml:space="preserve">通过滁州市公共资源交易中心网站发布，投标人应自行下载。投标人应当及时登录滁州市公共资源交易中心交易系统查看。 </w:t>
            </w:r>
          </w:p>
        </w:tc>
      </w:tr>
      <w:tr w14:paraId="0CDE7D54">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6989D427">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10.2.3</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11E3AB86">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bCs/>
                <w:snapToGrid w:val="0"/>
                <w:color w:val="auto"/>
                <w:kern w:val="0"/>
                <w:sz w:val="24"/>
                <w:highlight w:val="none"/>
              </w:rPr>
              <w:t>获取与查看通知</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2970526F">
            <w:pPr>
              <w:adjustRightInd w:val="0"/>
              <w:snapToGrid w:val="0"/>
              <w:spacing w:line="560" w:lineRule="exact"/>
              <w:rPr>
                <w:rFonts w:hint="eastAsia" w:ascii="宋体" w:hAnsi="宋体" w:cs="宋体"/>
                <w:color w:val="auto"/>
                <w:sz w:val="24"/>
                <w:highlight w:val="none"/>
              </w:rPr>
            </w:pPr>
            <w:r>
              <w:rPr>
                <w:rFonts w:hint="eastAsia" w:ascii="宋体" w:hAnsi="宋体" w:cs="宋体"/>
                <w:bCs/>
                <w:snapToGrid w:val="0"/>
                <w:color w:val="auto"/>
                <w:kern w:val="0"/>
                <w:sz w:val="24"/>
                <w:highlight w:val="none"/>
              </w:rPr>
              <w:t>本项目的招标文件、工程量清单、最高投标限价、澄清及修改等相关资料均通过</w:t>
            </w:r>
            <w:r>
              <w:rPr>
                <w:rFonts w:hint="eastAsia" w:ascii="宋体" w:hAnsi="宋体" w:cs="宋体"/>
                <w:bCs/>
                <w:snapToGrid w:val="0"/>
                <w:color w:val="auto"/>
                <w:kern w:val="0"/>
                <w:sz w:val="24"/>
                <w:highlight w:val="none"/>
                <w:u w:val="single"/>
              </w:rPr>
              <w:t>滁州市公共资源交易中心网站</w:t>
            </w:r>
            <w:r>
              <w:rPr>
                <w:rFonts w:hint="eastAsia" w:ascii="宋体" w:hAnsi="宋体" w:cs="宋体"/>
                <w:bCs/>
                <w:snapToGrid w:val="0"/>
                <w:color w:val="auto"/>
                <w:kern w:val="0"/>
                <w:sz w:val="24"/>
                <w:highlight w:val="none"/>
              </w:rPr>
              <w:t>发布，投标人应自行下载。投标人应当及时登录</w:t>
            </w:r>
            <w:r>
              <w:rPr>
                <w:rFonts w:hint="eastAsia" w:ascii="宋体" w:hAnsi="宋体" w:cs="宋体"/>
                <w:bCs/>
                <w:snapToGrid w:val="0"/>
                <w:color w:val="auto"/>
                <w:kern w:val="0"/>
                <w:sz w:val="24"/>
                <w:highlight w:val="none"/>
                <w:u w:val="single"/>
              </w:rPr>
              <w:t>滁州市公共资源交易中心交易</w:t>
            </w:r>
            <w:r>
              <w:rPr>
                <w:rFonts w:hint="eastAsia" w:ascii="宋体" w:hAnsi="宋体" w:cs="宋体"/>
                <w:bCs/>
                <w:snapToGrid w:val="0"/>
                <w:color w:val="auto"/>
                <w:kern w:val="0"/>
                <w:sz w:val="24"/>
                <w:highlight w:val="none"/>
              </w:rPr>
              <w:t>系统查看。</w:t>
            </w:r>
          </w:p>
        </w:tc>
      </w:tr>
      <w:tr w14:paraId="37C7FB9C">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4B5CA3AE">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10.3</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4E1027C7">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主要材料要求</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635E04D1">
            <w:pPr>
              <w:pStyle w:val="38"/>
              <w:spacing w:line="560" w:lineRule="exact"/>
              <w:jc w:val="left"/>
              <w:rPr>
                <w:rFonts w:hint="eastAsia"/>
                <w:bCs/>
                <w:color w:val="auto"/>
                <w:sz w:val="24"/>
                <w:highlight w:val="none"/>
                <w:lang w:val="en-US" w:eastAsia="zh-CN"/>
              </w:rPr>
            </w:pPr>
            <w:r>
              <w:rPr>
                <w:rFonts w:hint="eastAsia"/>
                <w:bCs/>
                <w:color w:val="auto"/>
                <w:sz w:val="24"/>
                <w:highlight w:val="none"/>
                <w:lang w:val="en-US"/>
              </w:rPr>
              <w:t>主要材料由中标人自行采购</w:t>
            </w:r>
            <w:r>
              <w:rPr>
                <w:rFonts w:hint="eastAsia"/>
                <w:bCs/>
                <w:color w:val="auto"/>
                <w:sz w:val="24"/>
                <w:highlight w:val="none"/>
                <w:lang w:val="en-US" w:eastAsia="zh-CN"/>
              </w:rPr>
              <w:t>。</w:t>
            </w:r>
          </w:p>
          <w:p w14:paraId="4A7FF9EF">
            <w:pPr>
              <w:pStyle w:val="38"/>
              <w:spacing w:line="560" w:lineRule="exact"/>
              <w:jc w:val="left"/>
              <w:rPr>
                <w:rFonts w:hint="eastAsia"/>
                <w:bCs/>
                <w:color w:val="auto"/>
                <w:sz w:val="24"/>
                <w:highlight w:val="none"/>
                <w:lang w:val="en-US"/>
              </w:rPr>
            </w:pPr>
            <w:r>
              <w:rPr>
                <w:rFonts w:hint="eastAsia"/>
                <w:bCs/>
                <w:color w:val="auto"/>
                <w:sz w:val="24"/>
                <w:highlight w:val="none"/>
                <w:lang w:val="en-US"/>
              </w:rPr>
              <w:t>如招标人对主要材料、设备的技术性能指标有特殊要求，应在招标文件第八章“技术标准和要求”品牌推荐表中推荐不少于三个品牌。对于招标人推荐品牌的材料、设备，投标人可选用推荐品牌或不低于推荐品牌技术性能指标的其他品牌；采用其他品牌的应在报价文件《招标人推荐的材料品牌响应表》中注明并提供相关技术性能指标、业绩等供评标委员会评审，未在《招标人推荐的材料品牌响应表》中注明且未提供相关技术性能指标、业绩，或经评标委员会评审未通过的，中标后只能从招标人推荐品牌中进行选择，合同价格不予调整。</w:t>
            </w:r>
          </w:p>
          <w:p w14:paraId="501A5476">
            <w:pPr>
              <w:pStyle w:val="38"/>
              <w:spacing w:line="560" w:lineRule="exact"/>
              <w:jc w:val="left"/>
              <w:rPr>
                <w:rFonts w:hint="eastAsia"/>
                <w:b/>
                <w:bCs/>
                <w:color w:val="auto"/>
                <w:sz w:val="24"/>
                <w:highlight w:val="none"/>
                <w:u w:val="none"/>
                <w:lang w:val="en-US"/>
              </w:rPr>
            </w:pPr>
            <w:r>
              <w:rPr>
                <w:rFonts w:hint="eastAsia"/>
                <w:b/>
                <w:bCs/>
                <w:color w:val="auto"/>
                <w:sz w:val="24"/>
                <w:highlight w:val="none"/>
                <w:u w:val="none"/>
                <w:lang w:val="en-US"/>
              </w:rPr>
              <w:t>1、本工程采用商品砼。</w:t>
            </w:r>
          </w:p>
          <w:p w14:paraId="4AA858F8">
            <w:pPr>
              <w:pStyle w:val="38"/>
              <w:spacing w:line="560" w:lineRule="exact"/>
              <w:jc w:val="left"/>
              <w:rPr>
                <w:rFonts w:hint="eastAsia"/>
                <w:b/>
                <w:bCs/>
                <w:color w:val="auto"/>
                <w:sz w:val="24"/>
                <w:highlight w:val="none"/>
                <w:u w:val="none"/>
                <w:lang w:val="en-US"/>
              </w:rPr>
            </w:pPr>
            <w:r>
              <w:rPr>
                <w:rFonts w:hint="eastAsia"/>
                <w:b/>
                <w:bCs/>
                <w:color w:val="auto"/>
                <w:sz w:val="24"/>
                <w:highlight w:val="none"/>
                <w:u w:val="none"/>
                <w:lang w:val="en-US"/>
              </w:rPr>
              <w:t>2、本项目采用预拌砂浆。</w:t>
            </w:r>
          </w:p>
          <w:p w14:paraId="7DA555F4">
            <w:pPr>
              <w:pStyle w:val="38"/>
              <w:adjustRightInd w:val="0"/>
              <w:snapToGrid w:val="0"/>
              <w:spacing w:line="560" w:lineRule="exact"/>
              <w:jc w:val="left"/>
              <w:rPr>
                <w:rFonts w:hint="eastAsia" w:ascii="宋体" w:hAnsi="宋体" w:eastAsia="宋体" w:cs="宋体"/>
                <w:b/>
                <w:bCs/>
                <w:color w:val="auto"/>
                <w:sz w:val="24"/>
                <w:highlight w:val="none"/>
                <w:u w:val="none"/>
                <w:lang w:val="en-US" w:eastAsia="zh-CN"/>
              </w:rPr>
            </w:pPr>
            <w:r>
              <w:rPr>
                <w:rFonts w:hint="eastAsia" w:ascii="宋体" w:hAnsi="宋体" w:eastAsia="宋体" w:cs="宋体"/>
                <w:b/>
                <w:bCs/>
                <w:color w:val="auto"/>
                <w:sz w:val="24"/>
                <w:highlight w:val="none"/>
                <w:u w:val="none"/>
                <w:lang w:val="en-US" w:eastAsia="zh-CN"/>
              </w:rPr>
              <w:t>3.其他相关要求：</w:t>
            </w:r>
          </w:p>
          <w:p w14:paraId="449FC186">
            <w:pPr>
              <w:pStyle w:val="38"/>
              <w:adjustRightInd w:val="0"/>
              <w:snapToGrid w:val="0"/>
              <w:spacing w:line="560" w:lineRule="exact"/>
              <w:jc w:val="left"/>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 xml:space="preserve">3.1中标人自行采购的材料应满足设计和规范要求的质量等级，并须按有关技术规范要求对材料质量进行检验。如招标人和监理单位对某种或某些材料的质量有异议，有权提出停止使用的要求，中标人必须服从该要求。若该材料经检验部门鉴定确有质量问题，由此发生的一切费用由中标人自付；主要材料供应商发生过质量事故及管理混乱的，不得用于该工程建设，发包人具有否决权。因中标人自行采购的材料质量引起的工程质量问题由中标人承担所造成的一切损失。 </w:t>
            </w:r>
          </w:p>
          <w:p w14:paraId="341A7824">
            <w:pPr>
              <w:pStyle w:val="38"/>
              <w:adjustRightInd w:val="0"/>
              <w:snapToGrid w:val="0"/>
              <w:spacing w:line="560" w:lineRule="exact"/>
              <w:jc w:val="left"/>
              <w:rPr>
                <w:rFonts w:hint="eastAsia"/>
                <w:color w:val="auto"/>
                <w:sz w:val="24"/>
                <w:highlight w:val="none"/>
              </w:rPr>
            </w:pPr>
            <w:r>
              <w:rPr>
                <w:rFonts w:hint="eastAsia" w:ascii="宋体" w:hAnsi="宋体" w:eastAsia="宋体" w:cs="宋体"/>
                <w:bCs/>
                <w:color w:val="auto"/>
                <w:sz w:val="24"/>
                <w:highlight w:val="none"/>
                <w:lang w:val="en-US" w:eastAsia="zh-CN"/>
              </w:rPr>
              <w:t>3.</w:t>
            </w:r>
            <w:r>
              <w:rPr>
                <w:rFonts w:hint="eastAsia" w:cs="宋体"/>
                <w:bCs/>
                <w:color w:val="auto"/>
                <w:sz w:val="24"/>
                <w:highlight w:val="none"/>
                <w:lang w:val="en-US" w:eastAsia="zh-CN"/>
              </w:rPr>
              <w:t>2</w:t>
            </w:r>
            <w:r>
              <w:rPr>
                <w:rFonts w:hint="eastAsia" w:ascii="宋体" w:hAnsi="宋体" w:eastAsia="宋体" w:cs="宋体"/>
                <w:bCs/>
                <w:color w:val="auto"/>
                <w:sz w:val="24"/>
                <w:highlight w:val="none"/>
                <w:lang w:val="en-US" w:eastAsia="zh-CN"/>
              </w:rPr>
              <w:t>招标人有权随机抽取中标人提供的材料进行检测，若检测不合格，检测费用由中标人支付，不合格材料无条件退场并处以1万元/次违约金；二次抽检不合格，不合格材料无条件退场并处以5万元/次违约金并上报主管部门。</w:t>
            </w:r>
          </w:p>
        </w:tc>
      </w:tr>
      <w:tr w14:paraId="34564D72">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2867CCEB">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10.4</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0EC781ED">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bCs/>
                <w:snapToGrid w:val="0"/>
                <w:color w:val="auto"/>
                <w:kern w:val="0"/>
                <w:sz w:val="24"/>
                <w:highlight w:val="none"/>
              </w:rPr>
              <w:t>相关要求</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5AEBDA66">
            <w:pPr>
              <w:adjustRightInd w:val="0"/>
              <w:snapToGrid w:val="0"/>
              <w:spacing w:line="560" w:lineRule="exact"/>
              <w:rPr>
                <w:rFonts w:hint="eastAsia" w:ascii="宋体" w:hAnsi="宋体" w:eastAsia="宋体" w:cs="宋体"/>
                <w:bCs/>
                <w:color w:val="auto"/>
                <w:kern w:val="2"/>
                <w:sz w:val="24"/>
                <w:szCs w:val="24"/>
                <w:highlight w:val="none"/>
                <w:lang w:val="en-US" w:eastAsia="zh-CN" w:bidi="zh-CN"/>
              </w:rPr>
            </w:pPr>
            <w:r>
              <w:rPr>
                <w:rFonts w:hint="eastAsia" w:ascii="宋体" w:hAnsi="宋体" w:eastAsia="宋体" w:cs="宋体"/>
                <w:bCs/>
                <w:color w:val="auto"/>
                <w:kern w:val="2"/>
                <w:sz w:val="24"/>
                <w:szCs w:val="24"/>
                <w:highlight w:val="none"/>
                <w:lang w:val="en-US" w:eastAsia="zh-CN" w:bidi="zh-CN"/>
              </w:rPr>
              <w:t>1</w:t>
            </w:r>
            <w:r>
              <w:rPr>
                <w:rFonts w:hint="eastAsia" w:ascii="宋体" w:hAnsi="宋体" w:cs="宋体"/>
                <w:bCs/>
                <w:color w:val="auto"/>
                <w:kern w:val="2"/>
                <w:sz w:val="24"/>
                <w:szCs w:val="24"/>
                <w:highlight w:val="none"/>
                <w:lang w:val="en-US" w:eastAsia="zh-CN" w:bidi="zh-CN"/>
              </w:rPr>
              <w:t>.</w:t>
            </w:r>
            <w:r>
              <w:rPr>
                <w:rFonts w:hint="eastAsia" w:ascii="宋体" w:hAnsi="宋体" w:eastAsia="宋体" w:cs="宋体"/>
                <w:bCs/>
                <w:color w:val="auto"/>
                <w:kern w:val="2"/>
                <w:sz w:val="24"/>
                <w:szCs w:val="24"/>
                <w:highlight w:val="none"/>
                <w:lang w:val="en-US" w:eastAsia="zh-CN" w:bidi="zh-CN"/>
              </w:rPr>
              <w:t>本项目投标保证金、履约保证金、工程质量保证金、农民工工资保证金均支持保函使用。以现金形式提交保证金的，应当同时退还保证金本金和银行同期存款利息。</w:t>
            </w:r>
          </w:p>
          <w:p w14:paraId="0D035134">
            <w:pPr>
              <w:adjustRightInd w:val="0"/>
              <w:snapToGrid w:val="0"/>
              <w:spacing w:line="560" w:lineRule="exact"/>
              <w:rPr>
                <w:rFonts w:hint="eastAsia" w:ascii="宋体" w:hAnsi="宋体" w:eastAsia="宋体" w:cs="宋体"/>
                <w:bCs/>
                <w:color w:val="auto"/>
                <w:kern w:val="2"/>
                <w:sz w:val="24"/>
                <w:szCs w:val="24"/>
                <w:highlight w:val="none"/>
                <w:lang w:val="en-US" w:eastAsia="zh-CN" w:bidi="zh-CN"/>
              </w:rPr>
            </w:pPr>
            <w:r>
              <w:rPr>
                <w:rFonts w:hint="eastAsia" w:ascii="宋体" w:hAnsi="宋体" w:eastAsia="宋体" w:cs="宋体"/>
                <w:bCs/>
                <w:color w:val="auto"/>
                <w:kern w:val="2"/>
                <w:sz w:val="24"/>
                <w:szCs w:val="24"/>
                <w:highlight w:val="none"/>
                <w:lang w:val="en-US" w:eastAsia="zh-CN" w:bidi="zh-CN"/>
              </w:rPr>
              <w:t>2</w:t>
            </w:r>
            <w:r>
              <w:rPr>
                <w:rFonts w:hint="eastAsia" w:ascii="宋体" w:hAnsi="宋体" w:cs="宋体"/>
                <w:bCs/>
                <w:color w:val="auto"/>
                <w:kern w:val="2"/>
                <w:sz w:val="24"/>
                <w:szCs w:val="24"/>
                <w:highlight w:val="none"/>
                <w:lang w:val="en-US" w:eastAsia="zh-CN" w:bidi="zh-CN"/>
              </w:rPr>
              <w:t>.</w:t>
            </w:r>
            <w:r>
              <w:rPr>
                <w:rFonts w:hint="eastAsia" w:ascii="宋体" w:hAnsi="宋体" w:eastAsia="宋体" w:cs="宋体"/>
                <w:bCs/>
                <w:color w:val="auto"/>
                <w:kern w:val="2"/>
                <w:sz w:val="24"/>
                <w:szCs w:val="24"/>
                <w:highlight w:val="none"/>
                <w:lang w:val="en-US" w:eastAsia="zh-CN" w:bidi="zh-CN"/>
              </w:rPr>
              <w:t>承包人在工程实施过程中的用工行为，必须严格按照《保障农民工工资支付条例》（国务院令 第724号）、《安徽省人民政府办公厅关于全面治理拖欠农民工工资问题的实施意见》（皖政办〔2016〕22号）以及《贯彻落实&lt;工程建设领域农民工工资专用账户管理暂行办法&gt;的通知》（皖人社发〔2022〕5号）、《安徽省工程建设领域农民工工资保证金实施办法》（皖人社发〔2022〕8号）等文件精神的有关规定，依法与招用的农民工签订劳动合同，并按规定及时足额支付工资。</w:t>
            </w:r>
          </w:p>
          <w:p w14:paraId="3A330D03">
            <w:pPr>
              <w:adjustRightInd w:val="0"/>
              <w:snapToGrid w:val="0"/>
              <w:spacing w:line="560" w:lineRule="exact"/>
              <w:rPr>
                <w:rFonts w:hint="eastAsia" w:ascii="宋体" w:hAnsi="宋体" w:eastAsia="宋体" w:cs="宋体"/>
                <w:bCs/>
                <w:color w:val="auto"/>
                <w:kern w:val="2"/>
                <w:sz w:val="24"/>
                <w:szCs w:val="24"/>
                <w:highlight w:val="none"/>
                <w:lang w:val="en-US" w:eastAsia="zh-CN" w:bidi="zh-CN"/>
              </w:rPr>
            </w:pPr>
            <w:r>
              <w:rPr>
                <w:rFonts w:hint="eastAsia" w:ascii="宋体" w:hAnsi="宋体" w:eastAsia="宋体" w:cs="宋体"/>
                <w:bCs/>
                <w:color w:val="auto"/>
                <w:kern w:val="2"/>
                <w:sz w:val="24"/>
                <w:szCs w:val="24"/>
                <w:highlight w:val="none"/>
                <w:lang w:val="en-US" w:eastAsia="zh-CN" w:bidi="zh-CN"/>
              </w:rPr>
              <w:t>为切实保障建筑行业农民工工资支付、加快培育新时代建筑产业工人队伍、有效破解拖欠工程款问题，承包人应严格落实安徽省住建厅《关于建立长效机制切实保障建筑行业农民工工资支付工作的通知》（建市函〔2022〕490号），《关于加快培育和壮大我省建筑产业工人队伍的意见》（建市规〔2023〕1号）以及《关于印发〈安徽省房屋建筑和市政基础设施工程施工过程结算管理办法〉 的通知》（建市规〔2023〕2号）等文件要求。</w:t>
            </w:r>
          </w:p>
          <w:p w14:paraId="5B51E939">
            <w:pPr>
              <w:adjustRightInd w:val="0"/>
              <w:snapToGrid w:val="0"/>
              <w:spacing w:line="560" w:lineRule="exact"/>
              <w:rPr>
                <w:rFonts w:hint="eastAsia" w:ascii="宋体" w:hAnsi="宋体" w:eastAsia="宋体" w:cs="宋体"/>
                <w:bCs/>
                <w:color w:val="auto"/>
                <w:kern w:val="2"/>
                <w:sz w:val="24"/>
                <w:szCs w:val="24"/>
                <w:highlight w:val="none"/>
                <w:lang w:val="en-US" w:eastAsia="zh-CN" w:bidi="zh-CN"/>
              </w:rPr>
            </w:pPr>
            <w:r>
              <w:rPr>
                <w:rFonts w:hint="eastAsia" w:ascii="宋体" w:hAnsi="宋体" w:eastAsia="宋体" w:cs="宋体"/>
                <w:bCs/>
                <w:color w:val="auto"/>
                <w:kern w:val="2"/>
                <w:sz w:val="24"/>
                <w:szCs w:val="24"/>
                <w:highlight w:val="none"/>
                <w:lang w:val="en-US" w:eastAsia="zh-CN" w:bidi="zh-CN"/>
              </w:rPr>
              <w:t>《贯彻落实&lt;工程建设领域农民工工资专用账户管理暂行办法&gt;的通知》（皖人社发【2022】5号），其中工资保证金和工资专户由工程建设项目的施工总承包企业（包括直接承包建设单位发包工程的专业承包企业）缴存和开设。若为联合体中标，由联合体中牵头人缴存和开设专户。</w:t>
            </w:r>
          </w:p>
          <w:p w14:paraId="043E23B1">
            <w:pPr>
              <w:adjustRightInd w:val="0"/>
              <w:snapToGrid w:val="0"/>
              <w:spacing w:line="560" w:lineRule="exact"/>
              <w:rPr>
                <w:rFonts w:hint="eastAsia" w:ascii="宋体" w:hAnsi="宋体" w:eastAsia="宋体" w:cs="宋体"/>
                <w:bCs/>
                <w:color w:val="auto"/>
                <w:kern w:val="2"/>
                <w:sz w:val="24"/>
                <w:szCs w:val="24"/>
                <w:highlight w:val="none"/>
                <w:lang w:val="en-US" w:eastAsia="zh-CN" w:bidi="zh-CN"/>
              </w:rPr>
            </w:pPr>
            <w:r>
              <w:rPr>
                <w:rFonts w:hint="eastAsia" w:ascii="宋体" w:hAnsi="宋体" w:eastAsia="宋体" w:cs="宋体"/>
                <w:bCs/>
                <w:color w:val="auto"/>
                <w:kern w:val="2"/>
                <w:sz w:val="24"/>
                <w:szCs w:val="24"/>
                <w:highlight w:val="none"/>
                <w:lang w:val="en-US" w:eastAsia="zh-CN" w:bidi="zh-CN"/>
              </w:rPr>
              <w:t>3</w:t>
            </w:r>
            <w:r>
              <w:rPr>
                <w:rFonts w:hint="eastAsia" w:ascii="宋体" w:hAnsi="宋体" w:cs="宋体"/>
                <w:bCs/>
                <w:color w:val="auto"/>
                <w:kern w:val="2"/>
                <w:sz w:val="24"/>
                <w:szCs w:val="24"/>
                <w:highlight w:val="none"/>
                <w:lang w:val="en-US" w:eastAsia="zh-CN" w:bidi="zh-CN"/>
              </w:rPr>
              <w:t>.</w:t>
            </w:r>
            <w:r>
              <w:rPr>
                <w:rFonts w:hint="eastAsia" w:ascii="宋体" w:hAnsi="宋体" w:eastAsia="宋体" w:cs="宋体"/>
                <w:bCs/>
                <w:color w:val="auto"/>
                <w:kern w:val="2"/>
                <w:sz w:val="24"/>
                <w:szCs w:val="24"/>
                <w:highlight w:val="none"/>
                <w:lang w:val="en-US" w:eastAsia="zh-CN" w:bidi="zh-CN"/>
              </w:rPr>
              <w:t xml:space="preserve">省外建设工程企业按照《关于优化进皖建设工程企业信息登记服务和管理有关工作的通知》（建市函〔2022〕580号）进行相关信息登记。 </w:t>
            </w:r>
          </w:p>
          <w:p w14:paraId="10913AE7">
            <w:pPr>
              <w:adjustRightInd w:val="0"/>
              <w:snapToGrid w:val="0"/>
              <w:spacing w:line="560" w:lineRule="exact"/>
              <w:rPr>
                <w:rFonts w:hint="eastAsia" w:ascii="宋体" w:hAnsi="宋体" w:eastAsia="宋体" w:cs="宋体"/>
                <w:bCs/>
                <w:color w:val="auto"/>
                <w:kern w:val="2"/>
                <w:sz w:val="24"/>
                <w:szCs w:val="24"/>
                <w:highlight w:val="none"/>
                <w:lang w:val="en-US" w:eastAsia="zh-CN" w:bidi="zh-CN"/>
              </w:rPr>
            </w:pPr>
            <w:r>
              <w:rPr>
                <w:rFonts w:hint="eastAsia" w:ascii="宋体" w:hAnsi="宋体" w:eastAsia="宋体" w:cs="宋体"/>
                <w:bCs/>
                <w:color w:val="auto"/>
                <w:kern w:val="2"/>
                <w:sz w:val="24"/>
                <w:szCs w:val="24"/>
                <w:highlight w:val="none"/>
                <w:lang w:val="en-US" w:eastAsia="zh-CN" w:bidi="zh-CN"/>
              </w:rPr>
              <w:t>4</w:t>
            </w:r>
            <w:r>
              <w:rPr>
                <w:rFonts w:hint="eastAsia" w:ascii="宋体" w:hAnsi="宋体" w:cs="宋体"/>
                <w:bCs/>
                <w:color w:val="auto"/>
                <w:kern w:val="2"/>
                <w:sz w:val="24"/>
                <w:szCs w:val="24"/>
                <w:highlight w:val="none"/>
                <w:lang w:val="en-US" w:eastAsia="zh-CN" w:bidi="zh-CN"/>
              </w:rPr>
              <w:t>.</w:t>
            </w:r>
            <w:r>
              <w:rPr>
                <w:rFonts w:hint="eastAsia" w:ascii="宋体" w:hAnsi="宋体" w:eastAsia="宋体" w:cs="宋体"/>
                <w:bCs/>
                <w:color w:val="auto"/>
                <w:kern w:val="2"/>
                <w:sz w:val="24"/>
                <w:szCs w:val="24"/>
                <w:highlight w:val="none"/>
                <w:lang w:val="en-US" w:eastAsia="zh-CN" w:bidi="zh-CN"/>
              </w:rPr>
              <w:t>保证保险产品应按《中国银保监会办公厅关于进一步加强和改进财产保险公司产品监管有关问题的通知》执行。</w:t>
            </w:r>
          </w:p>
          <w:p w14:paraId="01C515DE">
            <w:pPr>
              <w:adjustRightInd w:val="0"/>
              <w:snapToGrid w:val="0"/>
              <w:spacing w:line="560" w:lineRule="exact"/>
              <w:rPr>
                <w:rFonts w:hint="eastAsia"/>
                <w:color w:val="auto"/>
                <w:highlight w:val="none"/>
              </w:rPr>
            </w:pPr>
            <w:r>
              <w:rPr>
                <w:rFonts w:hint="eastAsia" w:ascii="宋体" w:hAnsi="宋体" w:eastAsia="宋体" w:cs="宋体"/>
                <w:bCs/>
                <w:color w:val="auto"/>
                <w:kern w:val="2"/>
                <w:sz w:val="24"/>
                <w:szCs w:val="24"/>
                <w:highlight w:val="none"/>
                <w:lang w:val="en-US" w:eastAsia="zh-CN" w:bidi="zh-CN"/>
              </w:rPr>
              <w:t>5</w:t>
            </w:r>
            <w:r>
              <w:rPr>
                <w:rFonts w:hint="eastAsia" w:ascii="宋体" w:hAnsi="宋体" w:cs="宋体"/>
                <w:bCs/>
                <w:color w:val="auto"/>
                <w:kern w:val="2"/>
                <w:sz w:val="24"/>
                <w:szCs w:val="24"/>
                <w:highlight w:val="none"/>
                <w:lang w:val="en-US" w:eastAsia="zh-CN" w:bidi="zh-CN"/>
              </w:rPr>
              <w:t>.</w:t>
            </w:r>
            <w:r>
              <w:rPr>
                <w:rFonts w:hint="eastAsia" w:ascii="宋体" w:hAnsi="宋体" w:eastAsia="宋体" w:cs="宋体"/>
                <w:bCs/>
                <w:color w:val="auto"/>
                <w:kern w:val="2"/>
                <w:sz w:val="24"/>
                <w:szCs w:val="24"/>
                <w:highlight w:val="none"/>
                <w:lang w:val="en-US" w:eastAsia="zh-CN" w:bidi="zh-CN"/>
              </w:rPr>
              <w:t>我省行政区域内按照规定应办理建筑工程施工许可证的房屋建筑和市政工程建设项目，均应办理工程款支付担保。具体金额、担保方式等按《安徽省住房和城乡建设厅关于加强房屋建筑和市政基础设施工程建设领域工程款支付担保管理工作的通知》（建市〔2022〕54号）执行。</w:t>
            </w:r>
          </w:p>
        </w:tc>
      </w:tr>
      <w:tr w14:paraId="39523DB4">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68D07F4E">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10.5</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4DD7B916">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评标过程中的澄清、说明或补正</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0A8B4121">
            <w:pPr>
              <w:pStyle w:val="38"/>
              <w:tabs>
                <w:tab w:val="left" w:pos="636"/>
              </w:tabs>
              <w:adjustRightInd w:val="0"/>
              <w:snapToGrid w:val="0"/>
              <w:spacing w:line="560" w:lineRule="exact"/>
              <w:jc w:val="left"/>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1.评标委员会通过网上开评标系统将需要澄清、说明或补正的内容以询标函的形式发送给投标人，投标人应安排专人登录网上开评标系统并保持在线状态，并确保联系方式有效，以便及时接收评标委员会可能发出的询标函。</w:t>
            </w:r>
          </w:p>
          <w:p w14:paraId="0004115A">
            <w:pPr>
              <w:pStyle w:val="38"/>
              <w:tabs>
                <w:tab w:val="left" w:pos="636"/>
              </w:tabs>
              <w:adjustRightInd w:val="0"/>
              <w:snapToGrid w:val="0"/>
              <w:spacing w:line="560" w:lineRule="exact"/>
              <w:jc w:val="left"/>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2.因投标人未登录网上开评标系统导致无法及时接收询标函（远程网上询标）或未在规定时间内按评标委员会要求进行澄清、说明或补正内容的视同投标人放弃澄清、说明或补正内容的权利，评标委员会可按对投标人不利的解释进行判定。</w:t>
            </w:r>
          </w:p>
        </w:tc>
      </w:tr>
      <w:tr w14:paraId="0D8981BC">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29C2BBD0">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10.6</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02C94AA8">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解释权</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03334F7E">
            <w:pPr>
              <w:pStyle w:val="38"/>
              <w:adjustRightInd w:val="0"/>
              <w:snapToGrid w:val="0"/>
              <w:spacing w:line="560" w:lineRule="exact"/>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1.构成本招标文件的各个组成文件应互为解释，互为说明；</w:t>
            </w:r>
          </w:p>
          <w:p w14:paraId="495FF31F">
            <w:pPr>
              <w:pStyle w:val="38"/>
              <w:adjustRightInd w:val="0"/>
              <w:snapToGrid w:val="0"/>
              <w:spacing w:line="560" w:lineRule="exact"/>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2.同一组成文件中就同一事项的规定或约定不一致的，以编排顺序在后者为准；</w:t>
            </w:r>
          </w:p>
          <w:p w14:paraId="37E20622">
            <w:pPr>
              <w:pStyle w:val="38"/>
              <w:tabs>
                <w:tab w:val="left" w:pos="351"/>
              </w:tabs>
              <w:adjustRightInd w:val="0"/>
              <w:snapToGrid w:val="0"/>
              <w:spacing w:line="560" w:lineRule="exact"/>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3.如有不明确或不一致，构成合同文件组成内容的，以合同文件约定内容为准，且以专用合同条款约定的合同文件优先顺序解释；</w:t>
            </w:r>
          </w:p>
          <w:p w14:paraId="20A1FC5D">
            <w:pPr>
              <w:pStyle w:val="38"/>
              <w:tabs>
                <w:tab w:val="left" w:pos="354"/>
              </w:tabs>
              <w:adjustRightInd w:val="0"/>
              <w:snapToGrid w:val="0"/>
              <w:spacing w:line="560" w:lineRule="exact"/>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4.系统中提供的表格（或格式文件）与招标文件中不一致时，以招标文件中提供的为准；</w:t>
            </w:r>
          </w:p>
          <w:p w14:paraId="391B86FC">
            <w:pPr>
              <w:pStyle w:val="38"/>
              <w:tabs>
                <w:tab w:val="left" w:pos="636"/>
              </w:tabs>
              <w:adjustRightInd w:val="0"/>
              <w:snapToGrid w:val="0"/>
              <w:spacing w:line="560" w:lineRule="exact"/>
              <w:jc w:val="left"/>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5.按本款前述规定仍不能形成结论的，由招标人负责解释。</w:t>
            </w:r>
          </w:p>
        </w:tc>
      </w:tr>
      <w:tr w14:paraId="0743A4B2">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67A265D8">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10.7</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270E4211">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同义词语</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3E3F6387">
            <w:pPr>
              <w:pStyle w:val="38"/>
              <w:adjustRightInd w:val="0"/>
              <w:snapToGrid w:val="0"/>
              <w:spacing w:line="560" w:lineRule="exact"/>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构成招标文件组成部分的“通用合同条款”、“专用合同条款”、“技术标准和要求”和“工程量清单”等章节中 “发包人”和“承包人”，等同于招标投标阶段的“招标人”和“投标人/中标人”。</w:t>
            </w:r>
          </w:p>
        </w:tc>
      </w:tr>
      <w:tr w14:paraId="3C3F5CBE">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72821C30">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10.8</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06F31783">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关于招标工程量清单、最高投标限价及投标报价编制特别说明</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49891F57">
            <w:pPr>
              <w:pStyle w:val="38"/>
              <w:adjustRightInd w:val="0"/>
              <w:snapToGrid w:val="0"/>
              <w:spacing w:line="560" w:lineRule="exact"/>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本项目最高投标限价材料、设备价格依据造价管理部门发布的市场价格信息并结合市场实际价格综合考虑编制，投标人应根据施工图纸等，并结合企业自身实力理性报价。</w:t>
            </w:r>
          </w:p>
        </w:tc>
      </w:tr>
      <w:tr w14:paraId="41931EAE">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15B4936B">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10.9</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499ED92F">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其他</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51BBD237">
            <w:pPr>
              <w:pStyle w:val="38"/>
              <w:adjustRightInd w:val="0"/>
              <w:snapToGrid w:val="0"/>
              <w:spacing w:line="560" w:lineRule="exact"/>
              <w:jc w:val="left"/>
              <w:rPr>
                <w:rFonts w:hint="eastAsia"/>
                <w:color w:val="auto"/>
                <w:sz w:val="24"/>
                <w:highlight w:val="none"/>
                <w:lang w:val="en-US"/>
              </w:rPr>
            </w:pPr>
            <w:r>
              <w:rPr>
                <w:rFonts w:hint="eastAsia"/>
                <w:color w:val="auto"/>
                <w:sz w:val="24"/>
                <w:highlight w:val="none"/>
                <w:lang w:val="en-US"/>
              </w:rPr>
              <w:t>1</w:t>
            </w:r>
            <w:r>
              <w:rPr>
                <w:rFonts w:hint="eastAsia"/>
                <w:color w:val="auto"/>
                <w:sz w:val="24"/>
                <w:highlight w:val="none"/>
                <w:lang w:val="en-US" w:eastAsia="zh-CN"/>
              </w:rPr>
              <w:t>.</w:t>
            </w:r>
            <w:r>
              <w:rPr>
                <w:rFonts w:hint="eastAsia"/>
                <w:bCs/>
                <w:snapToGrid w:val="0"/>
                <w:color w:val="auto"/>
                <w:kern w:val="0"/>
                <w:sz w:val="24"/>
                <w:highlight w:val="none"/>
              </w:rPr>
              <w:t>如本项目招标文件中出现特定性、唯一性品牌的表述，该品牌仅作为参考，施工过程中不具有限定性。</w:t>
            </w:r>
          </w:p>
          <w:p w14:paraId="23E683EC">
            <w:pPr>
              <w:pStyle w:val="38"/>
              <w:adjustRightInd w:val="0"/>
              <w:snapToGrid w:val="0"/>
              <w:spacing w:line="560" w:lineRule="exact"/>
              <w:jc w:val="left"/>
              <w:rPr>
                <w:rFonts w:hint="eastAsia"/>
                <w:bCs/>
                <w:snapToGrid w:val="0"/>
                <w:color w:val="auto"/>
                <w:kern w:val="0"/>
                <w:sz w:val="24"/>
                <w:highlight w:val="none"/>
              </w:rPr>
            </w:pPr>
            <w:r>
              <w:rPr>
                <w:rFonts w:hint="eastAsia"/>
                <w:color w:val="auto"/>
                <w:sz w:val="24"/>
                <w:highlight w:val="none"/>
                <w:lang w:val="en-US"/>
              </w:rPr>
              <w:t>2</w:t>
            </w:r>
            <w:r>
              <w:rPr>
                <w:rFonts w:hint="eastAsia"/>
                <w:color w:val="auto"/>
                <w:sz w:val="24"/>
                <w:highlight w:val="none"/>
                <w:lang w:val="en-US" w:eastAsia="zh-CN"/>
              </w:rPr>
              <w:t>.</w:t>
            </w:r>
            <w:r>
              <w:rPr>
                <w:rFonts w:hint="eastAsia"/>
                <w:color w:val="auto"/>
                <w:sz w:val="24"/>
                <w:highlight w:val="none"/>
                <w:lang w:val="en-US"/>
              </w:rPr>
              <w:t>项目经理必</w:t>
            </w:r>
            <w:r>
              <w:rPr>
                <w:rFonts w:hint="eastAsia"/>
                <w:bCs/>
                <w:snapToGrid w:val="0"/>
                <w:color w:val="auto"/>
                <w:kern w:val="0"/>
                <w:sz w:val="24"/>
                <w:highlight w:val="none"/>
                <w:lang w:val="en-US"/>
              </w:rPr>
              <w:t>须是投标人本单位工作人员，提供虚假资料谋取中标将被依法处罚。</w:t>
            </w:r>
            <w:r>
              <w:rPr>
                <w:rFonts w:hint="eastAsia"/>
                <w:bCs/>
                <w:snapToGrid w:val="0"/>
                <w:color w:val="auto"/>
                <w:kern w:val="0"/>
                <w:sz w:val="24"/>
                <w:highlight w:val="none"/>
              </w:rPr>
              <w:t>投标人对所提交的投标人或拟派项目经理业绩、投标人资质等证明资料承担缔约过失责任和法律责任。若投诉人或举报人对前述资料或证明资料存在争议，进行有效投诉或举报，被投诉人、被举报人应当主动配合执法机关调查，并在规定的期限内举证，提供有关证明资料的原件；拒不配合执法机构调查，且未在规定期限内举证、提供证明资料原件的，执法机构</w:t>
            </w:r>
            <w:r>
              <w:rPr>
                <w:rFonts w:hint="eastAsia"/>
                <w:bCs/>
                <w:snapToGrid w:val="0"/>
                <w:color w:val="auto"/>
                <w:kern w:val="0"/>
                <w:sz w:val="24"/>
                <w:highlight w:val="none"/>
                <w:lang w:val="en-US"/>
              </w:rPr>
              <w:t>滁州市</w:t>
            </w:r>
            <w:r>
              <w:rPr>
                <w:rFonts w:hint="eastAsia"/>
                <w:bCs/>
                <w:snapToGrid w:val="0"/>
                <w:color w:val="auto"/>
                <w:kern w:val="0"/>
                <w:sz w:val="24"/>
                <w:highlight w:val="none"/>
              </w:rPr>
              <w:t>公共资源交易监督管理局依法处理。</w:t>
            </w:r>
          </w:p>
          <w:p w14:paraId="2A136003">
            <w:pPr>
              <w:pStyle w:val="38"/>
              <w:tabs>
                <w:tab w:val="left" w:pos="636"/>
              </w:tabs>
              <w:adjustRightInd w:val="0"/>
              <w:snapToGrid w:val="0"/>
              <w:spacing w:line="560" w:lineRule="exact"/>
              <w:jc w:val="left"/>
              <w:rPr>
                <w:color w:val="auto"/>
                <w:sz w:val="24"/>
                <w:highlight w:val="none"/>
              </w:rPr>
            </w:pPr>
            <w:r>
              <w:rPr>
                <w:rFonts w:hint="eastAsia"/>
                <w:color w:val="auto"/>
                <w:sz w:val="24"/>
                <w:highlight w:val="none"/>
                <w:lang w:val="en-US"/>
              </w:rPr>
              <w:t>3</w:t>
            </w:r>
            <w:r>
              <w:rPr>
                <w:rFonts w:hint="eastAsia"/>
                <w:color w:val="auto"/>
                <w:sz w:val="24"/>
                <w:highlight w:val="none"/>
                <w:lang w:val="en-US" w:eastAsia="zh-CN"/>
              </w:rPr>
              <w:t>.</w:t>
            </w:r>
            <w:r>
              <w:rPr>
                <w:color w:val="auto"/>
                <w:sz w:val="24"/>
                <w:highlight w:val="none"/>
              </w:rPr>
              <w:t>中标人未履行下述义务的，</w:t>
            </w:r>
            <w:r>
              <w:rPr>
                <w:rFonts w:hint="eastAsia"/>
                <w:color w:val="auto"/>
                <w:sz w:val="24"/>
                <w:highlight w:val="none"/>
                <w:lang w:val="en-US"/>
              </w:rPr>
              <w:t>滁州市</w:t>
            </w:r>
            <w:r>
              <w:rPr>
                <w:color w:val="auto"/>
                <w:sz w:val="24"/>
                <w:highlight w:val="none"/>
              </w:rPr>
              <w:t>公共资源交</w:t>
            </w:r>
            <w:r>
              <w:rPr>
                <w:color w:val="auto"/>
                <w:spacing w:val="-7"/>
                <w:sz w:val="24"/>
                <w:highlight w:val="none"/>
              </w:rPr>
              <w:t>易监督管理局将依法对中标人进行处理，追究相关责</w:t>
            </w:r>
            <w:r>
              <w:rPr>
                <w:color w:val="auto"/>
                <w:sz w:val="24"/>
                <w:highlight w:val="none"/>
              </w:rPr>
              <w:t>任：</w:t>
            </w:r>
          </w:p>
          <w:p w14:paraId="68BAB59C">
            <w:pPr>
              <w:pStyle w:val="38"/>
              <w:adjustRightInd w:val="0"/>
              <w:snapToGrid w:val="0"/>
              <w:spacing w:line="560" w:lineRule="exact"/>
              <w:jc w:val="left"/>
              <w:rPr>
                <w:color w:val="auto"/>
                <w:sz w:val="24"/>
                <w:highlight w:val="none"/>
              </w:rPr>
            </w:pPr>
            <w:r>
              <w:rPr>
                <w:rFonts w:hint="eastAsia"/>
                <w:color w:val="auto"/>
                <w:sz w:val="24"/>
                <w:highlight w:val="none"/>
              </w:rPr>
              <w:t>①中标人无正当理由不与招标人订立合同，在签订合同时向招标人提出附加条件，或者不按照招标文件要求提交履约保证金的</w:t>
            </w:r>
            <w:r>
              <w:rPr>
                <w:color w:val="auto"/>
                <w:spacing w:val="-7"/>
                <w:sz w:val="24"/>
                <w:highlight w:val="none"/>
              </w:rPr>
              <w:t>，招标人有权取</w:t>
            </w:r>
            <w:r>
              <w:rPr>
                <w:color w:val="auto"/>
                <w:spacing w:val="-9"/>
                <w:sz w:val="24"/>
                <w:highlight w:val="none"/>
              </w:rPr>
              <w:t>消中标人中标资格，并将相关违约行为报送监管部门</w:t>
            </w:r>
            <w:r>
              <w:rPr>
                <w:rFonts w:hint="eastAsia"/>
                <w:color w:val="auto"/>
                <w:spacing w:val="-9"/>
                <w:sz w:val="24"/>
                <w:highlight w:val="none"/>
              </w:rPr>
              <w:t>处理</w:t>
            </w:r>
            <w:r>
              <w:rPr>
                <w:color w:val="auto"/>
                <w:spacing w:val="-6"/>
                <w:sz w:val="24"/>
                <w:highlight w:val="none"/>
              </w:rPr>
              <w:t>；</w:t>
            </w:r>
          </w:p>
          <w:p w14:paraId="5C3E2377">
            <w:pPr>
              <w:pStyle w:val="38"/>
              <w:adjustRightInd w:val="0"/>
              <w:snapToGrid w:val="0"/>
              <w:spacing w:line="560" w:lineRule="exact"/>
              <w:jc w:val="left"/>
              <w:rPr>
                <w:rFonts w:hint="eastAsia"/>
                <w:bCs/>
                <w:snapToGrid w:val="0"/>
                <w:color w:val="auto"/>
                <w:kern w:val="0"/>
                <w:sz w:val="24"/>
                <w:highlight w:val="none"/>
              </w:rPr>
            </w:pPr>
            <w:r>
              <w:rPr>
                <w:color w:val="auto"/>
                <w:spacing w:val="-4"/>
                <w:sz w:val="24"/>
                <w:highlight w:val="none"/>
              </w:rPr>
              <w:t>②</w:t>
            </w:r>
            <w:r>
              <w:rPr>
                <w:color w:val="auto"/>
                <w:spacing w:val="-3"/>
                <w:sz w:val="24"/>
                <w:highlight w:val="none"/>
              </w:rPr>
              <w:t>合同签订后，中标人存在规定时间内不组织人员进场开工、</w:t>
            </w:r>
            <w:r>
              <w:rPr>
                <w:color w:val="auto"/>
                <w:spacing w:val="-6"/>
                <w:sz w:val="24"/>
                <w:highlight w:val="none"/>
              </w:rPr>
              <w:t>不履行供货安装义务等情况，招标人有权解除合同，并追究违</w:t>
            </w:r>
            <w:r>
              <w:rPr>
                <w:color w:val="auto"/>
                <w:spacing w:val="-16"/>
                <w:sz w:val="24"/>
                <w:highlight w:val="none"/>
              </w:rPr>
              <w:t>约责任，同时将相关违约</w:t>
            </w:r>
            <w:r>
              <w:rPr>
                <w:rFonts w:hint="eastAsia"/>
                <w:bCs/>
                <w:snapToGrid w:val="0"/>
                <w:color w:val="auto"/>
                <w:kern w:val="0"/>
                <w:sz w:val="24"/>
                <w:highlight w:val="none"/>
              </w:rPr>
              <w:t>行为报送监管部门，记不良行为记录， 实施信用惩戒。</w:t>
            </w:r>
          </w:p>
          <w:p w14:paraId="7F1E8C41">
            <w:pPr>
              <w:pStyle w:val="38"/>
              <w:adjustRightInd w:val="0"/>
              <w:snapToGrid w:val="0"/>
              <w:spacing w:line="560" w:lineRule="exact"/>
              <w:jc w:val="left"/>
              <w:rPr>
                <w:rFonts w:hint="eastAsia"/>
                <w:color w:val="auto"/>
                <w:sz w:val="24"/>
                <w:highlight w:val="none"/>
                <w:lang w:val="en-US"/>
              </w:rPr>
            </w:pPr>
            <w:r>
              <w:rPr>
                <w:rFonts w:hint="eastAsia"/>
                <w:bCs/>
                <w:snapToGrid w:val="0"/>
                <w:color w:val="auto"/>
                <w:kern w:val="0"/>
                <w:sz w:val="24"/>
                <w:highlight w:val="none"/>
                <w:lang w:val="en-US"/>
              </w:rPr>
              <w:t>4</w:t>
            </w:r>
            <w:r>
              <w:rPr>
                <w:rFonts w:hint="eastAsia"/>
                <w:bCs/>
                <w:snapToGrid w:val="0"/>
                <w:color w:val="auto"/>
                <w:kern w:val="0"/>
                <w:sz w:val="24"/>
                <w:highlight w:val="none"/>
                <w:lang w:val="en-US" w:eastAsia="zh-CN"/>
              </w:rPr>
              <w:t>.</w:t>
            </w:r>
            <w:r>
              <w:rPr>
                <w:rFonts w:hint="eastAsia"/>
                <w:bCs/>
                <w:snapToGrid w:val="0"/>
                <w:color w:val="auto"/>
                <w:kern w:val="0"/>
                <w:sz w:val="24"/>
                <w:highlight w:val="none"/>
                <w:lang w:val="en-US"/>
              </w:rPr>
              <w:t>项目经理（建造师）变更按照《关于进一步加强建筑施工现场项目经理（建造师）变更行为管理的通知》（滁公管〔2020〕1号）规定，需经发包人以及公管、住建</w:t>
            </w:r>
            <w:r>
              <w:rPr>
                <w:rFonts w:hint="eastAsia"/>
                <w:color w:val="auto"/>
                <w:sz w:val="24"/>
                <w:highlight w:val="none"/>
                <w:lang w:val="en-US"/>
              </w:rPr>
              <w:t>部门同意。技术负责人变更需经发包人同意。</w:t>
            </w:r>
          </w:p>
          <w:p w14:paraId="1AA2893C">
            <w:pPr>
              <w:pStyle w:val="38"/>
              <w:adjustRightInd w:val="0"/>
              <w:snapToGrid w:val="0"/>
              <w:spacing w:line="560" w:lineRule="exact"/>
              <w:jc w:val="left"/>
              <w:rPr>
                <w:color w:val="auto"/>
                <w:sz w:val="24"/>
                <w:highlight w:val="none"/>
                <w:lang w:val="en-US"/>
              </w:rPr>
            </w:pPr>
            <w:r>
              <w:rPr>
                <w:rFonts w:hint="eastAsia"/>
                <w:color w:val="auto"/>
                <w:sz w:val="24"/>
                <w:highlight w:val="none"/>
                <w:lang w:val="en-US"/>
              </w:rPr>
              <w:t>中标人因下列原因变更项目经理（建造师），须缴纳违约金</w:t>
            </w:r>
            <w:r>
              <w:rPr>
                <w:color w:val="auto"/>
                <w:sz w:val="24"/>
                <w:highlight w:val="none"/>
                <w:u w:val="single"/>
                <w:lang w:val="en-US"/>
              </w:rPr>
              <w:t xml:space="preserve"> </w:t>
            </w:r>
            <w:r>
              <w:rPr>
                <w:rFonts w:hint="eastAsia"/>
                <w:color w:val="auto"/>
                <w:sz w:val="24"/>
                <w:highlight w:val="none"/>
                <w:u w:val="single"/>
                <w:lang w:val="en-US" w:eastAsia="zh-CN"/>
              </w:rPr>
              <w:t>300000</w:t>
            </w:r>
            <w:r>
              <w:rPr>
                <w:rFonts w:hint="eastAsia"/>
                <w:color w:val="auto"/>
                <w:sz w:val="24"/>
                <w:highlight w:val="none"/>
                <w:lang w:val="en-US"/>
              </w:rPr>
              <w:t>元</w:t>
            </w:r>
            <w:r>
              <w:rPr>
                <w:color w:val="auto"/>
                <w:sz w:val="24"/>
                <w:highlight w:val="none"/>
                <w:lang w:val="en-US"/>
              </w:rPr>
              <w:t xml:space="preserve">: </w:t>
            </w:r>
            <w:r>
              <w:rPr>
                <w:rFonts w:hint="eastAsia"/>
                <w:color w:val="auto"/>
                <w:sz w:val="24"/>
                <w:highlight w:val="none"/>
                <w:lang w:val="en-US"/>
              </w:rPr>
              <w:t>①患重病、发生意外等身体原因不能在施工现场进行管理的；②离职的；③违法违规行为不能继续从事施工现场管理工作的；④无能力履行合同责任义务被建设行政主管部门或建设单位责令更换的</w:t>
            </w:r>
            <w:r>
              <w:rPr>
                <w:rFonts w:hint="eastAsia"/>
                <w:color w:val="auto"/>
                <w:sz w:val="24"/>
                <w:highlight w:val="none"/>
                <w:lang w:val="en-US" w:eastAsia="zh-CN"/>
              </w:rPr>
              <w:t>.</w:t>
            </w:r>
          </w:p>
          <w:p w14:paraId="7C836300">
            <w:pPr>
              <w:pStyle w:val="38"/>
              <w:adjustRightInd w:val="0"/>
              <w:snapToGrid w:val="0"/>
              <w:spacing w:line="560" w:lineRule="exact"/>
              <w:jc w:val="left"/>
              <w:rPr>
                <w:rFonts w:ascii="MS Mincho" w:hAnsi="MS Mincho" w:cs="MS Mincho"/>
                <w:color w:val="auto"/>
                <w:sz w:val="24"/>
                <w:highlight w:val="none"/>
                <w:lang w:val="en-US"/>
              </w:rPr>
            </w:pPr>
            <w:r>
              <w:rPr>
                <w:rFonts w:hint="eastAsia"/>
                <w:color w:val="auto"/>
                <w:sz w:val="24"/>
                <w:highlight w:val="none"/>
                <w:lang w:val="en-US"/>
              </w:rPr>
              <w:t>中标人因下列原因变更技术负责人，须缴纳违约金</w:t>
            </w:r>
            <w:r>
              <w:rPr>
                <w:rFonts w:hint="eastAsia"/>
                <w:color w:val="auto"/>
                <w:sz w:val="24"/>
                <w:highlight w:val="none"/>
                <w:u w:val="single"/>
                <w:lang w:val="en-US" w:eastAsia="zh-CN"/>
              </w:rPr>
              <w:t>200000</w:t>
            </w:r>
            <w:r>
              <w:rPr>
                <w:rFonts w:hint="eastAsia"/>
                <w:color w:val="auto"/>
                <w:sz w:val="24"/>
                <w:highlight w:val="none"/>
                <w:lang w:val="en-US"/>
              </w:rPr>
              <w:t>元</w:t>
            </w:r>
            <w:r>
              <w:rPr>
                <w:color w:val="auto"/>
                <w:sz w:val="24"/>
                <w:highlight w:val="none"/>
                <w:lang w:val="en-US"/>
              </w:rPr>
              <w:t xml:space="preserve">: </w:t>
            </w:r>
            <w:r>
              <w:rPr>
                <w:rFonts w:hint="eastAsia"/>
                <w:color w:val="auto"/>
                <w:sz w:val="24"/>
                <w:highlight w:val="none"/>
                <w:lang w:val="en-US"/>
              </w:rPr>
              <w:t>①患重病、发生意外等身体原因不能在施工现场进行管理的；②离职的；③违法违规行为不能继续从事施工现场管理工作的；④无能力履行合同责任义务被建设行政主管部门或建设单位责令更换的。</w:t>
            </w:r>
          </w:p>
        </w:tc>
      </w:tr>
      <w:tr w14:paraId="77ED9EFB">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64654C16">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10</w:t>
            </w:r>
            <w:r>
              <w:rPr>
                <w:rFonts w:ascii="宋体" w:hAnsi="宋体" w:cs="宋体"/>
                <w:color w:val="auto"/>
                <w:sz w:val="24"/>
                <w:highlight w:val="none"/>
              </w:rPr>
              <w:t>.10</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2E14B2E4">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重点项目约谈</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5EA945E6">
            <w:pPr>
              <w:adjustRightInd w:val="0"/>
              <w:snapToGrid w:val="0"/>
              <w:spacing w:line="520" w:lineRule="exact"/>
              <w:rPr>
                <w:rFonts w:hint="eastAsia" w:ascii="宋体" w:hAnsi="宋体" w:cs="宋体"/>
                <w:b/>
                <w:bCs/>
                <w:color w:val="auto"/>
                <w:sz w:val="24"/>
                <w:highlight w:val="none"/>
              </w:rPr>
            </w:pPr>
            <w:r>
              <w:rPr>
                <w:rFonts w:hint="eastAsia" w:ascii="宋体" w:hAnsi="宋体" w:cs="宋体"/>
                <w:color w:val="auto"/>
                <w:sz w:val="24"/>
                <w:highlight w:val="none"/>
                <w:lang w:bidi="zh-CN"/>
              </w:rPr>
              <w:t>实行重点工程项目考察约谈机制。项目单位牵头负责，公管等部门参与对预中标单位进行考察约谈、警醒提示，防止非法转包、违法分包、挂靠及出借资质的情况发生。</w:t>
            </w:r>
          </w:p>
        </w:tc>
      </w:tr>
      <w:tr w14:paraId="257367D0">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688C0A9B">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10.11</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01BD677E">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变更招标方式</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4045EFE5">
            <w:pPr>
              <w:pStyle w:val="11"/>
              <w:adjustRightInd w:val="0"/>
              <w:snapToGrid w:val="0"/>
              <w:spacing w:after="0" w:line="560" w:lineRule="exact"/>
              <w:rPr>
                <w:rFonts w:hint="eastAsia"/>
                <w:color w:val="auto"/>
                <w:sz w:val="22"/>
                <w:highlight w:val="none"/>
              </w:rPr>
            </w:pPr>
            <w:r>
              <w:rPr>
                <w:rFonts w:hint="eastAsia" w:ascii="宋体" w:hAnsi="宋体" w:cs="宋体"/>
                <w:color w:val="auto"/>
                <w:sz w:val="24"/>
                <w:highlight w:val="none"/>
                <w:lang w:bidi="zh-CN"/>
              </w:rPr>
              <w:t>按照滁州市公共资源交易监督管理局现行规定执行。</w:t>
            </w:r>
          </w:p>
        </w:tc>
      </w:tr>
      <w:tr w14:paraId="0E205D89">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4896BDB7">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10.12</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28F5A2AC">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招标人补充的</w:t>
            </w:r>
          </w:p>
          <w:p w14:paraId="53D7EBDB">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其他内容</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551FC59B">
            <w:pPr>
              <w:keepNext/>
              <w:keepLines/>
              <w:adjustRightInd w:val="0"/>
              <w:snapToGrid w:val="0"/>
              <w:spacing w:line="520" w:lineRule="exact"/>
              <w:outlineLvl w:val="3"/>
              <w:rPr>
                <w:rFonts w:hint="default" w:ascii="宋体" w:hAnsi="宋体" w:eastAsia="宋体" w:cs="宋体"/>
                <w:b/>
                <w:bCs/>
                <w:color w:val="auto"/>
                <w:sz w:val="24"/>
                <w:highlight w:val="none"/>
                <w:lang w:val="en-US" w:eastAsia="zh-CN"/>
              </w:rPr>
            </w:pPr>
            <w:r>
              <w:rPr>
                <w:rFonts w:hint="eastAsia" w:ascii="宋体" w:hAnsi="宋体" w:cs="宋体"/>
                <w:b/>
                <w:bCs/>
                <w:color w:val="auto"/>
                <w:sz w:val="24"/>
                <w:highlight w:val="none"/>
              </w:rPr>
              <w:t>（1）创建优质工程</w:t>
            </w:r>
            <w:r>
              <w:rPr>
                <w:rFonts w:hint="eastAsia" w:ascii="宋体" w:hAnsi="宋体" w:cs="宋体"/>
                <w:b/>
                <w:bCs/>
                <w:color w:val="auto"/>
                <w:sz w:val="24"/>
                <w:highlight w:val="none"/>
                <w:lang w:eastAsia="zh-CN"/>
              </w:rPr>
              <w:t>（</w:t>
            </w:r>
            <w:r>
              <w:rPr>
                <w:rFonts w:hint="eastAsia" w:ascii="宋体" w:hAnsi="宋体" w:cs="宋体"/>
                <w:b/>
                <w:bCs/>
                <w:color w:val="auto"/>
                <w:sz w:val="24"/>
                <w:highlight w:val="none"/>
                <w:lang w:val="en-US" w:eastAsia="zh-CN"/>
              </w:rPr>
              <w:t>本项目不要求）</w:t>
            </w:r>
          </w:p>
          <w:p w14:paraId="0557B9A1">
            <w:pPr>
              <w:spacing w:line="520" w:lineRule="exact"/>
              <w:ind w:firstLine="480" w:firstLineChars="200"/>
              <w:rPr>
                <w:rFonts w:hint="eastAsia" w:ascii="Calibri" w:hAnsi="Calibri" w:cs="Calibri"/>
                <w:color w:val="auto"/>
                <w:sz w:val="24"/>
                <w:highlight w:val="none"/>
              </w:rPr>
            </w:pPr>
            <w:r>
              <w:rPr>
                <w:rFonts w:hint="eastAsia" w:ascii="Calibri" w:hAnsi="Calibri" w:cs="Calibri"/>
                <w:color w:val="auto"/>
                <w:sz w:val="24"/>
                <w:highlight w:val="none"/>
              </w:rPr>
              <w:t>①创建优质工程奖励要求：</w:t>
            </w:r>
          </w:p>
          <w:p w14:paraId="65CBD311">
            <w:pPr>
              <w:spacing w:line="520" w:lineRule="exact"/>
              <w:ind w:firstLine="480" w:firstLineChars="200"/>
              <w:rPr>
                <w:rFonts w:hint="eastAsia" w:ascii="Calibri" w:hAnsi="Calibri" w:cs="Calibri"/>
                <w:color w:val="auto"/>
                <w:sz w:val="24"/>
                <w:highlight w:val="none"/>
              </w:rPr>
            </w:pPr>
            <w:r>
              <w:rPr>
                <w:rFonts w:hint="eastAsia" w:ascii="Calibri" w:hAnsi="Calibri" w:cs="Calibri"/>
                <w:color w:val="auto"/>
                <w:sz w:val="24"/>
                <w:highlight w:val="none"/>
              </w:rPr>
              <w:t>获得市级优质工程奖项，给予工程结算金额的</w:t>
            </w:r>
            <w:r>
              <w:rPr>
                <w:rFonts w:hint="eastAsia" w:ascii="Calibri" w:hAnsi="Calibri" w:cs="Calibri"/>
                <w:color w:val="auto"/>
                <w:sz w:val="24"/>
                <w:highlight w:val="none"/>
                <w:u w:val="single"/>
              </w:rPr>
              <w:t xml:space="preserve">       </w:t>
            </w:r>
            <w:r>
              <w:rPr>
                <w:rFonts w:hint="eastAsia" w:ascii="Calibri" w:hAnsi="Calibri" w:cs="Calibri"/>
                <w:color w:val="auto"/>
                <w:sz w:val="24"/>
                <w:highlight w:val="none"/>
              </w:rPr>
              <w:t>奖励；</w:t>
            </w:r>
          </w:p>
          <w:p w14:paraId="197F036E">
            <w:pPr>
              <w:spacing w:line="520" w:lineRule="exact"/>
              <w:ind w:firstLine="480" w:firstLineChars="200"/>
              <w:rPr>
                <w:rFonts w:hint="eastAsia" w:ascii="Calibri" w:hAnsi="Calibri" w:cs="Calibri"/>
                <w:color w:val="auto"/>
                <w:sz w:val="24"/>
                <w:highlight w:val="none"/>
              </w:rPr>
            </w:pPr>
            <w:r>
              <w:rPr>
                <w:rFonts w:hint="eastAsia" w:ascii="Calibri" w:hAnsi="Calibri" w:cs="Calibri"/>
                <w:color w:val="auto"/>
                <w:sz w:val="24"/>
                <w:highlight w:val="none"/>
              </w:rPr>
              <w:t>获得省级优质工程奖项，给予工程结算金额的</w:t>
            </w:r>
            <w:r>
              <w:rPr>
                <w:rFonts w:hint="eastAsia" w:ascii="Calibri" w:hAnsi="Calibri" w:cs="Calibri"/>
                <w:color w:val="auto"/>
                <w:sz w:val="24"/>
                <w:highlight w:val="none"/>
                <w:u w:val="single"/>
              </w:rPr>
              <w:t xml:space="preserve">       </w:t>
            </w:r>
            <w:r>
              <w:rPr>
                <w:rFonts w:hint="eastAsia" w:ascii="Calibri" w:hAnsi="Calibri" w:cs="Calibri"/>
                <w:color w:val="auto"/>
                <w:sz w:val="24"/>
                <w:highlight w:val="none"/>
              </w:rPr>
              <w:t>奖励；</w:t>
            </w:r>
          </w:p>
          <w:p w14:paraId="4FF8A6AD">
            <w:pPr>
              <w:spacing w:line="520" w:lineRule="exact"/>
              <w:ind w:firstLine="480" w:firstLineChars="200"/>
              <w:rPr>
                <w:rFonts w:hint="eastAsia" w:ascii="Calibri" w:hAnsi="Calibri" w:cs="Calibri"/>
                <w:color w:val="auto"/>
                <w:sz w:val="24"/>
                <w:highlight w:val="none"/>
              </w:rPr>
            </w:pPr>
            <w:r>
              <w:rPr>
                <w:rFonts w:hint="eastAsia" w:ascii="Calibri" w:hAnsi="Calibri" w:cs="Calibri"/>
                <w:color w:val="auto"/>
                <w:sz w:val="24"/>
                <w:highlight w:val="none"/>
              </w:rPr>
              <w:t>获得国家级优质工程奖项，给予工程结算金额的</w:t>
            </w:r>
            <w:r>
              <w:rPr>
                <w:rFonts w:hint="eastAsia" w:ascii="Calibri" w:hAnsi="Calibri" w:cs="Calibri"/>
                <w:color w:val="auto"/>
                <w:sz w:val="24"/>
                <w:highlight w:val="none"/>
                <w:u w:val="single"/>
              </w:rPr>
              <w:t xml:space="preserve">     </w:t>
            </w:r>
            <w:r>
              <w:rPr>
                <w:rFonts w:hint="eastAsia" w:ascii="Calibri" w:hAnsi="Calibri" w:cs="Calibri"/>
                <w:color w:val="auto"/>
                <w:sz w:val="24"/>
                <w:highlight w:val="none"/>
              </w:rPr>
              <w:t>奖励；</w:t>
            </w:r>
          </w:p>
          <w:p w14:paraId="016208CB">
            <w:pPr>
              <w:spacing w:line="520" w:lineRule="exact"/>
              <w:ind w:firstLine="480" w:firstLineChars="200"/>
              <w:rPr>
                <w:rFonts w:hint="eastAsia" w:ascii="宋体" w:hAnsi="宋体" w:eastAsia="宋体" w:cs="宋体"/>
                <w:color w:val="auto"/>
                <w:kern w:val="2"/>
                <w:sz w:val="24"/>
                <w:szCs w:val="24"/>
                <w:highlight w:val="none"/>
                <w:lang w:val="en-US" w:eastAsia="zh-CN" w:bidi="zh-CN"/>
              </w:rPr>
            </w:pPr>
            <w:r>
              <w:rPr>
                <w:rFonts w:hint="eastAsia" w:ascii="Calibri" w:hAnsi="Calibri" w:cs="Calibri"/>
                <w:color w:val="auto"/>
                <w:sz w:val="24"/>
                <w:highlight w:val="none"/>
              </w:rPr>
              <w:t>②创建优质工程其他要求：</w:t>
            </w:r>
            <w:r>
              <w:rPr>
                <w:rFonts w:hint="eastAsia" w:ascii="Calibri" w:hAnsi="Calibri" w:cs="Calibri"/>
                <w:color w:val="auto"/>
                <w:sz w:val="24"/>
                <w:highlight w:val="none"/>
                <w:u w:val="single"/>
              </w:rPr>
              <w:t xml:space="preserve">  </w:t>
            </w:r>
            <w:r>
              <w:rPr>
                <w:rFonts w:hint="eastAsia" w:ascii="Calibri" w:hAnsi="Calibri" w:cs="Calibri"/>
                <w:color w:val="auto"/>
                <w:sz w:val="24"/>
                <w:highlight w:val="none"/>
                <w:u w:val="single"/>
                <w:lang w:val="en-US" w:eastAsia="zh-CN"/>
              </w:rPr>
              <w:t xml:space="preserve">无 </w:t>
            </w:r>
            <w:r>
              <w:rPr>
                <w:rFonts w:hint="eastAsia" w:ascii="Calibri" w:hAnsi="Calibri" w:cs="Calibri"/>
                <w:color w:val="auto"/>
                <w:sz w:val="24"/>
                <w:highlight w:val="none"/>
                <w:u w:val="single"/>
              </w:rPr>
              <w:t xml:space="preserve">        </w:t>
            </w:r>
            <w:r>
              <w:rPr>
                <w:rFonts w:hint="eastAsia" w:ascii="Calibri" w:hAnsi="Calibri" w:cs="Calibri"/>
                <w:color w:val="auto"/>
                <w:sz w:val="24"/>
                <w:highlight w:val="none"/>
              </w:rPr>
              <w:t>。</w:t>
            </w:r>
          </w:p>
          <w:p w14:paraId="62FCD5C9">
            <w:pPr>
              <w:keepNext/>
              <w:keepLines/>
              <w:adjustRightInd w:val="0"/>
              <w:snapToGrid w:val="0"/>
              <w:spacing w:line="520" w:lineRule="exact"/>
              <w:outlineLvl w:val="3"/>
              <w:rPr>
                <w:rFonts w:hint="eastAsia" w:ascii="宋体" w:hAnsi="宋体" w:cs="宋体"/>
                <w:b/>
                <w:color w:val="auto"/>
                <w:sz w:val="24"/>
                <w:highlight w:val="none"/>
              </w:rPr>
            </w:pPr>
            <w:r>
              <w:rPr>
                <w:rFonts w:hint="eastAsia" w:ascii="宋体" w:hAnsi="宋体" w:cs="宋体"/>
                <w:b/>
                <w:color w:val="auto"/>
                <w:sz w:val="24"/>
                <w:highlight w:val="none"/>
              </w:rPr>
              <w:t>（2）暂估价</w:t>
            </w:r>
          </w:p>
          <w:p w14:paraId="45A6C005">
            <w:pPr>
              <w:adjustRightInd w:val="0"/>
              <w:snapToGrid w:val="0"/>
              <w:spacing w:line="520" w:lineRule="exact"/>
              <w:rPr>
                <w:rFonts w:hint="eastAsia" w:ascii="宋体" w:hAnsi="宋体" w:cs="宋体"/>
                <w:color w:val="auto"/>
                <w:sz w:val="24"/>
                <w:highlight w:val="none"/>
                <w:u w:val="single"/>
              </w:rPr>
            </w:pPr>
            <w:r>
              <w:rPr>
                <w:rFonts w:hint="eastAsia" w:ascii="宋体" w:hAnsi="宋体" w:cs="宋体"/>
                <w:color w:val="auto"/>
                <w:kern w:val="0"/>
                <w:sz w:val="24"/>
                <w:highlight w:val="none"/>
              </w:rPr>
              <w:t xml:space="preserve">暂估价材料、工程设备及专业工程约定： </w:t>
            </w:r>
            <w:r>
              <w:rPr>
                <w:rFonts w:hint="eastAsia" w:ascii="宋体" w:hAnsi="宋体" w:cs="宋体"/>
                <w:color w:val="auto"/>
                <w:kern w:val="0"/>
                <w:sz w:val="24"/>
                <w:highlight w:val="none"/>
                <w:u w:val="single"/>
                <w:lang w:val="en-US" w:eastAsia="zh-CN"/>
              </w:rPr>
              <w:t>详见工程量清单</w:t>
            </w:r>
            <w:r>
              <w:rPr>
                <w:rFonts w:hint="eastAsia" w:ascii="宋体" w:hAnsi="宋体" w:cs="宋体"/>
                <w:color w:val="auto"/>
                <w:kern w:val="0"/>
                <w:sz w:val="24"/>
                <w:highlight w:val="none"/>
              </w:rPr>
              <w:t>。</w:t>
            </w:r>
          </w:p>
          <w:p w14:paraId="370574B6">
            <w:pPr>
              <w:spacing w:line="520" w:lineRule="exact"/>
              <w:rPr>
                <w:rFonts w:ascii="宋体" w:hAnsi="宋体" w:cs="宋体"/>
                <w:b/>
                <w:bCs/>
                <w:color w:val="auto"/>
                <w:sz w:val="24"/>
                <w:highlight w:val="none"/>
              </w:rPr>
            </w:pPr>
            <w:r>
              <w:rPr>
                <w:rFonts w:hint="eastAsia" w:ascii="宋体" w:hAnsi="宋体" w:cs="宋体"/>
                <w:b/>
                <w:bCs/>
                <w:color w:val="auto"/>
                <w:sz w:val="24"/>
                <w:highlight w:val="none"/>
              </w:rPr>
              <w:t>（3）安全生产</w:t>
            </w:r>
          </w:p>
          <w:p w14:paraId="675D4F51">
            <w:pPr>
              <w:spacing w:line="520" w:lineRule="exact"/>
              <w:rPr>
                <w:rFonts w:hint="eastAsia" w:ascii="宋体" w:hAnsi="宋体" w:cs="宋体"/>
                <w:color w:val="auto"/>
                <w:sz w:val="24"/>
                <w:highlight w:val="none"/>
              </w:rPr>
            </w:pPr>
            <w:r>
              <w:rPr>
                <w:rFonts w:hint="eastAsia" w:ascii="宋体" w:hAnsi="宋体" w:cs="宋体"/>
                <w:color w:val="auto"/>
                <w:sz w:val="24"/>
                <w:highlight w:val="none"/>
              </w:rPr>
              <w:t>①须严格遵守《中华人民共和国安全生产法》、《建设工程安全生产管理条例》等国家有关安全生产的法律法规、《建设项目安全设施“三同时”监督管理办法》等有关安全生产的规定。认真执行工程承包合同中的有关安全要求。</w:t>
            </w:r>
          </w:p>
          <w:p w14:paraId="638BCA78">
            <w:pPr>
              <w:spacing w:line="520" w:lineRule="exact"/>
              <w:rPr>
                <w:rFonts w:hint="eastAsia" w:ascii="宋体" w:hAnsi="宋体" w:cs="宋体"/>
                <w:color w:val="auto"/>
                <w:sz w:val="24"/>
                <w:highlight w:val="none"/>
              </w:rPr>
            </w:pPr>
            <w:r>
              <w:rPr>
                <w:rFonts w:hint="eastAsia" w:ascii="宋体" w:hAnsi="宋体" w:cs="宋体"/>
                <w:color w:val="auto"/>
                <w:sz w:val="24"/>
                <w:highlight w:val="none"/>
              </w:rPr>
              <w:t>②坚持“安全第一、预防为主、综合治理”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合同的各项规定，做到生产与安全工作同时计划、布置、检查、总结和评比。</w:t>
            </w:r>
          </w:p>
        </w:tc>
      </w:tr>
      <w:tr w14:paraId="4C040DDC">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16894CA1">
            <w:pPr>
              <w:adjustRightInd w:val="0"/>
              <w:snapToGrid w:val="0"/>
              <w:spacing w:line="560" w:lineRule="exact"/>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10.13</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2C1BCEBC">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采用“实名认证”投标</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5AB10377">
            <w:pPr>
              <w:spacing w:line="520" w:lineRule="exact"/>
              <w:rPr>
                <w:rFonts w:hint="eastAsia" w:ascii="宋体" w:hAnsi="宋体" w:cs="宋体"/>
                <w:color w:val="auto"/>
                <w:sz w:val="24"/>
                <w:highlight w:val="none"/>
              </w:rPr>
            </w:pPr>
            <w:r>
              <w:rPr>
                <w:rFonts w:hint="eastAsia" w:ascii="宋体" w:hAnsi="宋体" w:cs="宋体"/>
                <w:color w:val="auto"/>
                <w:sz w:val="24"/>
                <w:highlight w:val="none"/>
              </w:rPr>
              <w:t>是，本项目采用“实名认证”投标，相关要求如下：</w:t>
            </w:r>
          </w:p>
          <w:p w14:paraId="2499963F">
            <w:pPr>
              <w:spacing w:line="520" w:lineRule="exact"/>
              <w:rPr>
                <w:rFonts w:hint="eastAsia"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w:t>
            </w:r>
            <w:r>
              <w:rPr>
                <w:rFonts w:hint="eastAsia" w:ascii="宋体" w:hAnsi="宋体" w:cs="宋体"/>
                <w:color w:val="auto"/>
                <w:sz w:val="24"/>
                <w:highlight w:val="none"/>
              </w:rPr>
              <w:t>“实名认证”投标是指应用“人脸识别”技术，对法定代表人或对投标联系人身份进行实名验证的投标活动。投标联系人或法定代表人在下载招标文件、上传投标文件前，在电子交易系统中完成实名认证比对。</w:t>
            </w:r>
          </w:p>
          <w:p w14:paraId="5105D8B4">
            <w:pPr>
              <w:spacing w:line="520" w:lineRule="exact"/>
              <w:rPr>
                <w:rFonts w:hint="eastAsia"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en-US" w:eastAsia="zh-CN"/>
              </w:rPr>
              <w:t>.</w:t>
            </w:r>
            <w:r>
              <w:rPr>
                <w:rFonts w:hint="eastAsia" w:ascii="宋体" w:hAnsi="宋体" w:cs="宋体"/>
                <w:color w:val="auto"/>
                <w:sz w:val="24"/>
                <w:highlight w:val="none"/>
              </w:rPr>
              <w:t>“实名认证”投标基于“皖企通”APP完成，各投标人提前在手机上下载、安装、调试好“皖企通”APP（具体操作详见滁州市公共资源交易中心网/网上课堂/全部课程/《滁州市公共资源交易系统操作手册（投标人）》）。</w:t>
            </w:r>
          </w:p>
          <w:p w14:paraId="71ADCE26">
            <w:pPr>
              <w:spacing w:line="520" w:lineRule="exact"/>
              <w:rPr>
                <w:rFonts w:hint="eastAsia" w:ascii="宋体" w:hAnsi="宋体" w:cs="宋体"/>
                <w:color w:val="auto"/>
                <w:sz w:val="24"/>
                <w:highlight w:val="none"/>
              </w:rPr>
            </w:pPr>
            <w:r>
              <w:rPr>
                <w:rFonts w:hint="eastAsia" w:ascii="宋体" w:hAnsi="宋体" w:cs="宋体"/>
                <w:color w:val="auto"/>
                <w:sz w:val="24"/>
                <w:highlight w:val="none"/>
              </w:rPr>
              <w:t>3</w:t>
            </w:r>
            <w:r>
              <w:rPr>
                <w:rFonts w:hint="eastAsia" w:ascii="宋体" w:hAnsi="宋体" w:cs="宋体"/>
                <w:color w:val="auto"/>
                <w:sz w:val="24"/>
                <w:highlight w:val="none"/>
                <w:lang w:val="en-US" w:eastAsia="zh-CN"/>
              </w:rPr>
              <w:t>.</w:t>
            </w:r>
            <w:r>
              <w:rPr>
                <w:rFonts w:hint="eastAsia" w:ascii="宋体" w:hAnsi="宋体" w:cs="宋体"/>
                <w:color w:val="auto"/>
                <w:sz w:val="24"/>
                <w:highlight w:val="none"/>
              </w:rPr>
              <w:t>“人脸识别”身份认证出现异常情况的，作如下处理：</w:t>
            </w:r>
          </w:p>
          <w:p w14:paraId="40DC8414">
            <w:pPr>
              <w:spacing w:line="520" w:lineRule="exact"/>
              <w:rPr>
                <w:rFonts w:hint="eastAsia" w:ascii="宋体" w:hAnsi="宋体" w:cs="宋体"/>
                <w:color w:val="auto"/>
                <w:sz w:val="24"/>
                <w:highlight w:val="none"/>
              </w:rPr>
            </w:pPr>
            <w:r>
              <w:rPr>
                <w:rFonts w:hint="eastAsia" w:ascii="宋体" w:hAnsi="宋体" w:cs="宋体"/>
                <w:color w:val="auto"/>
                <w:sz w:val="24"/>
                <w:highlight w:val="none"/>
              </w:rPr>
              <w:t>（1）下载招标文件人脸比对：未参与“人脸识别”身份认证或“人脸识别”身份认证失败的，将无法下载招标文件。</w:t>
            </w:r>
          </w:p>
          <w:p w14:paraId="78DCB4D6">
            <w:pPr>
              <w:spacing w:line="520" w:lineRule="exact"/>
              <w:rPr>
                <w:rFonts w:hint="eastAsia" w:ascii="宋体" w:hAnsi="宋体" w:cs="宋体"/>
                <w:color w:val="auto"/>
                <w:sz w:val="24"/>
                <w:highlight w:val="none"/>
              </w:rPr>
            </w:pPr>
            <w:r>
              <w:rPr>
                <w:rFonts w:hint="eastAsia" w:ascii="宋体" w:hAnsi="宋体" w:cs="宋体"/>
                <w:color w:val="auto"/>
                <w:sz w:val="24"/>
                <w:highlight w:val="none"/>
              </w:rPr>
              <w:t>（2）上传投标文件人脸比对：未参与“人脸识别”身份认证或“人脸识别”身份认证失败的，将无法上传投标文件。</w:t>
            </w:r>
          </w:p>
          <w:p w14:paraId="5B693F03">
            <w:pPr>
              <w:spacing w:line="520" w:lineRule="exact"/>
              <w:rPr>
                <w:rFonts w:hint="eastAsia" w:ascii="宋体" w:hAnsi="宋体" w:eastAsia="宋体" w:cs="宋体"/>
                <w:color w:val="auto"/>
                <w:sz w:val="24"/>
                <w:highlight w:val="none"/>
                <w:lang w:eastAsia="zh-CN"/>
              </w:rPr>
            </w:pPr>
            <w:r>
              <w:rPr>
                <w:rFonts w:hint="eastAsia" w:ascii="宋体" w:hAnsi="宋体" w:cs="宋体"/>
                <w:color w:val="auto"/>
                <w:sz w:val="24"/>
                <w:highlight w:val="none"/>
              </w:rPr>
              <w:t>注：投标联系人是指下载招标文件、上传投标文件等参与投标活动的经办人。在投标活动中，投标联系人可以不为同一人</w:t>
            </w:r>
            <w:r>
              <w:rPr>
                <w:rFonts w:hint="eastAsia" w:ascii="宋体" w:hAnsi="宋体" w:cs="宋体"/>
                <w:color w:val="auto"/>
                <w:sz w:val="24"/>
                <w:highlight w:val="none"/>
                <w:lang w:eastAsia="zh-CN"/>
              </w:rPr>
              <w:t>。</w:t>
            </w:r>
          </w:p>
        </w:tc>
      </w:tr>
      <w:tr w14:paraId="0283370A">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0DCFBC80">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sz w:val="24"/>
                <w:highlight w:val="none"/>
                <w:lang w:val="en-US" w:eastAsia="zh-CN"/>
              </w:rPr>
              <w:t>10.14</w:t>
            </w:r>
            <w:r>
              <w:rPr>
                <w:rFonts w:hint="eastAsia" w:ascii="宋体" w:hAnsi="宋体" w:cs="宋体"/>
                <w:color w:val="auto"/>
                <w:sz w:val="24"/>
                <w:highlight w:val="none"/>
              </w:rPr>
              <w:t xml:space="preserve"> </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725A35C6">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进场考核考勤</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4D13503D">
            <w:pPr>
              <w:spacing w:line="520" w:lineRule="exac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人员考核：工程开工进场后，承包人必须按招标文件要求和投标承诺配备项目经理、技术负责人等施工项目部关键岗位人员。未经发包人同意，不得更换上述人员并满足《关于进一步加强建筑施工现场项目负责人变更行为管理的通知》及滁州市其他相关规定要求。发包人将组织对上述人员进行业务能力考核，对未按投标文件配备或经考核不合格要求更换人员的，承包人7日内必须整改调整到位。对项目经理（建造师）和技术负责人处以</w:t>
            </w:r>
            <w:r>
              <w:rPr>
                <w:rFonts w:hint="eastAsia" w:ascii="宋体" w:hAnsi="宋体" w:eastAsia="宋体" w:cs="宋体"/>
                <w:color w:val="auto"/>
                <w:sz w:val="24"/>
                <w:highlight w:val="none"/>
                <w:lang w:val="en-US" w:eastAsia="zh-CN"/>
              </w:rPr>
              <w:t>5000</w:t>
            </w:r>
            <w:r>
              <w:rPr>
                <w:rFonts w:hint="eastAsia" w:ascii="宋体" w:hAnsi="宋体" w:eastAsia="宋体" w:cs="宋体"/>
                <w:color w:val="auto"/>
                <w:sz w:val="24"/>
                <w:highlight w:val="none"/>
              </w:rPr>
              <w:t>元/人·天的违约金，对项目经理（建造师）和技术负责外以外的其他管理人员处以</w:t>
            </w:r>
            <w:r>
              <w:rPr>
                <w:rFonts w:hint="eastAsia" w:ascii="宋体" w:hAnsi="宋体" w:eastAsia="宋体" w:cs="宋体"/>
                <w:color w:val="auto"/>
                <w:sz w:val="24"/>
                <w:highlight w:val="none"/>
                <w:lang w:val="en-US" w:eastAsia="zh-CN"/>
              </w:rPr>
              <w:t>3000</w:t>
            </w:r>
            <w:r>
              <w:rPr>
                <w:rFonts w:hint="eastAsia" w:ascii="宋体" w:hAnsi="宋体" w:eastAsia="宋体" w:cs="宋体"/>
                <w:color w:val="auto"/>
                <w:sz w:val="24"/>
                <w:highlight w:val="none"/>
              </w:rPr>
              <w:t>元/人·天的违约金。28日内未整改调整到位的，发包人有权终止合同，并提请相关行政主管部门对企业和人员进行“黑名单”处罚。发包人在施工进场第一个月或施工过程中发现承包人转包、挂靠等行为的，发包人立即解除合同，清退出场，承包人已完合格工程量按合同价款60%进行结算。</w:t>
            </w:r>
          </w:p>
          <w:p w14:paraId="06E67E64">
            <w:pPr>
              <w:spacing w:line="52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人员考勤：①项目部所有管理人员上下班实行人脸识别电子考勤，人脸识别电子考勤系统设备必须与招标人现行使用的监管平台无缝对接。②监管平台设备及人脸识别电子考勤系统设备，承包人可以租赁或购买，但租赁或购买费用由承包人在投标报价时自行考虑，含在投标报价中，招标人将不再支付任何费用。③监管平台考勤范围为本项目监理部和项目部所有管理人员，监管平台信息及数据录入（包括质量、进度、安全、施工许可办理等）均由监理单位负责。④项目经理（建造师）每月在岗时间不得少于22天，每天不少于8小时，其他管理人员每月在岗时间不得少于25天，每天不少于8小时。未按规定在岗履责的，对项目经理（建造师）和技术负责人处以</w:t>
            </w:r>
            <w:r>
              <w:rPr>
                <w:rFonts w:hint="eastAsia" w:ascii="宋体" w:hAnsi="宋体" w:eastAsia="宋体" w:cs="宋体"/>
                <w:color w:val="auto"/>
                <w:sz w:val="24"/>
                <w:highlight w:val="none"/>
                <w:lang w:val="en-US" w:eastAsia="zh-CN"/>
              </w:rPr>
              <w:t>5000</w:t>
            </w:r>
            <w:r>
              <w:rPr>
                <w:rFonts w:hint="eastAsia" w:ascii="宋体" w:hAnsi="宋体" w:eastAsia="宋体" w:cs="宋体"/>
                <w:color w:val="auto"/>
                <w:sz w:val="24"/>
                <w:highlight w:val="none"/>
              </w:rPr>
              <w:t>元/人·天的违约金，对项目经理（建造师）和技术负责外以外的其他管理人员处以</w:t>
            </w:r>
            <w:r>
              <w:rPr>
                <w:rFonts w:hint="eastAsia" w:ascii="宋体" w:hAnsi="宋体" w:eastAsia="宋体" w:cs="宋体"/>
                <w:color w:val="auto"/>
                <w:sz w:val="24"/>
                <w:highlight w:val="none"/>
                <w:lang w:val="en-US" w:eastAsia="zh-CN"/>
              </w:rPr>
              <w:t>3000</w:t>
            </w:r>
            <w:r>
              <w:rPr>
                <w:rFonts w:hint="eastAsia" w:ascii="宋体" w:hAnsi="宋体" w:eastAsia="宋体" w:cs="宋体"/>
                <w:color w:val="auto"/>
                <w:sz w:val="24"/>
                <w:highlight w:val="none"/>
              </w:rPr>
              <w:t xml:space="preserve">元/人·天的违约金。 </w:t>
            </w:r>
          </w:p>
          <w:p w14:paraId="0D900080">
            <w:pPr>
              <w:spacing w:line="52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 xml:space="preserve">在经开区及各级相关部门现场检查过程中发现项目经理（建造师）、技术负责人、安全员、质检员等主要管理人员未按合同约定在岗三次及以上的，将上报建设行政主管部门依法依规处理，并在相关信用信息平台披露。 </w:t>
            </w:r>
          </w:p>
          <w:p w14:paraId="5B0F4F09">
            <w:pPr>
              <w:spacing w:line="520" w:lineRule="exact"/>
              <w:rPr>
                <w:rFonts w:hint="eastAsia" w:ascii="宋体" w:hAnsi="宋体" w:cs="宋体"/>
                <w:b/>
                <w:bCs/>
                <w:color w:val="auto"/>
                <w:sz w:val="24"/>
                <w:highlight w:val="none"/>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中标人未能按照承诺到岗尽职的，招标人将视情况严重程度对其作出相应处理，给予警告并发出整改通知。如仍未及时整改，招标人有权责令其停工整改、直至终止合同，招标人还将停止支付工程款项，扣留任何未付的工程进度款项补偿建设单位的有关损失或工期延误的损失，并就此向承包单位索赔。</w:t>
            </w:r>
          </w:p>
        </w:tc>
      </w:tr>
      <w:tr w14:paraId="2D93F086">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28A183BF">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sz w:val="24"/>
                <w:highlight w:val="none"/>
                <w:lang w:val="en-US" w:eastAsia="zh-CN"/>
              </w:rPr>
              <w:t>10.15</w:t>
            </w:r>
            <w:r>
              <w:rPr>
                <w:rFonts w:hint="eastAsia" w:ascii="宋体" w:hAnsi="宋体" w:cs="宋体"/>
                <w:color w:val="auto"/>
                <w:sz w:val="24"/>
                <w:highlight w:val="none"/>
              </w:rPr>
              <w:t xml:space="preserve"> </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7555FCC0">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 xml:space="preserve">工程进度管理 </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696492AE">
            <w:pPr>
              <w:spacing w:line="52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工程有下列原因影响合同工期的，由承包人提出，经发包人批准可顺延合同工期：（1）土地和房屋征收进度不符合施工要求，涉铁路、涉部队、涉供电等影响施工；（2）因地震、洪涝灾害、突发重大事件等不可抗力影响施工；（3）因规划设计调整或重大变更，对工期造成影响的；（4）其它非承包人原因影响工期的。承包人未提出工期顺延的申请或申请未经批准的，工期不予顺延。</w:t>
            </w:r>
          </w:p>
          <w:p w14:paraId="1CCFB486">
            <w:pPr>
              <w:spacing w:line="52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因承包人原因造成合同工期延误，每延误一天，处以</w:t>
            </w:r>
            <w:r>
              <w:rPr>
                <w:rFonts w:hint="eastAsia" w:ascii="宋体" w:hAnsi="宋体" w:cs="宋体"/>
                <w:color w:val="auto"/>
                <w:sz w:val="24"/>
                <w:highlight w:val="none"/>
                <w:lang w:val="en-US" w:eastAsia="zh-CN"/>
              </w:rPr>
              <w:t>10000</w:t>
            </w:r>
            <w:r>
              <w:rPr>
                <w:rFonts w:hint="eastAsia" w:ascii="宋体" w:hAnsi="宋体" w:eastAsia="宋体" w:cs="宋体"/>
                <w:color w:val="auto"/>
                <w:sz w:val="24"/>
                <w:highlight w:val="none"/>
              </w:rPr>
              <w:t xml:space="preserve">元违约金。月工程量未完成的当期不得请款，当月未完成的工程量纳入下月一并完成，完不成的仍不予请款，依次类推。5.3对严重拖延工期，经发包人多次督促，承包人拒不整改或整改不到位的，招标人可终止施工合同，同时处以合同金额×2%×50%的金额作为违约金，另选施工队伍，承包人须无条件配合，不得以任何借口阻挠另选的施工队伍施工，不得向发包人提出任何索赔要求。 </w:t>
            </w:r>
          </w:p>
          <w:p w14:paraId="6E1FCCDA">
            <w:pPr>
              <w:spacing w:line="520" w:lineRule="exact"/>
              <w:rPr>
                <w:rFonts w:hint="eastAsia"/>
                <w:color w:val="auto"/>
                <w:highlight w:val="none"/>
              </w:rPr>
            </w:pP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 xml:space="preserve">对严重拖延工期，经发包人多次督促，承包人拒不整改或整改不到位的，招标人可终止施工合同，同时处以合同金额×2%×50%的金额作为违约金，另选施工队伍，承包人须无条件配合，不得以任何借口阻挠另选的施工队伍施工，不得向发包人提出任何索赔要求。 </w:t>
            </w:r>
          </w:p>
        </w:tc>
      </w:tr>
      <w:tr w14:paraId="19AC387A">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5E9A7105">
            <w:pPr>
              <w:adjustRightInd w:val="0"/>
              <w:snapToGrid w:val="0"/>
              <w:spacing w:line="560" w:lineRule="exact"/>
              <w:jc w:val="center"/>
              <w:rPr>
                <w:rFonts w:hint="default" w:ascii="宋体" w:hAnsi="宋体" w:eastAsia="宋体" w:cs="宋体"/>
                <w:color w:val="auto"/>
                <w:sz w:val="24"/>
                <w:highlight w:val="none"/>
                <w:lang w:val="en-US" w:eastAsia="zh-CN"/>
              </w:rPr>
            </w:pPr>
            <w:bookmarkStart w:id="48" w:name="_Toc25869"/>
            <w:bookmarkStart w:id="49" w:name="_Toc95223335"/>
            <w:bookmarkStart w:id="50" w:name="_Toc38879323"/>
            <w:bookmarkStart w:id="51" w:name="_Toc283798422"/>
            <w:r>
              <w:rPr>
                <w:rFonts w:hint="eastAsia" w:ascii="宋体" w:hAnsi="宋体" w:cs="宋体"/>
                <w:color w:val="auto"/>
                <w:sz w:val="24"/>
                <w:highlight w:val="none"/>
                <w:lang w:val="en-US" w:eastAsia="zh-CN"/>
              </w:rPr>
              <w:t>10.16</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1AB36F20">
            <w:pPr>
              <w:adjustRightInd w:val="0"/>
              <w:snapToGrid w:val="0"/>
              <w:spacing w:line="560" w:lineRule="exact"/>
              <w:jc w:val="center"/>
              <w:rPr>
                <w:rFonts w:hint="eastAsia" w:ascii="宋体" w:hAnsi="宋体" w:cs="宋体"/>
                <w:color w:val="auto"/>
                <w:sz w:val="24"/>
                <w:highlight w:val="none"/>
              </w:rPr>
            </w:pPr>
            <w:r>
              <w:rPr>
                <w:rFonts w:hint="eastAsia" w:ascii="宋体" w:hAnsi="宋体" w:eastAsia="宋体" w:cs="宋体"/>
                <w:color w:val="auto"/>
                <w:highlight w:val="none"/>
              </w:rPr>
              <w:t>工程质量管理</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52837E74">
            <w:pPr>
              <w:spacing w:line="520" w:lineRule="exac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1.承包人被发包人项目组日常检查、专项检查或第三方巡查等检查出未按设计文件和相关规范施工，存在质量问题的，由监理单位记录错误细节，每次处以2000元罚款，直接纳入近期付款申请兑现。</w:t>
            </w:r>
          </w:p>
          <w:p w14:paraId="47B7054E">
            <w:pPr>
              <w:spacing w:line="520" w:lineRule="exac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2.质量缺陷责任期内出现质量问题，发包人书面通知承包人，在规定时间内不及时处理的，发包人有权直接委托其他单位进行维修，相关费用直接从工程质保金中支付。 </w:t>
            </w:r>
          </w:p>
        </w:tc>
      </w:tr>
      <w:tr w14:paraId="47C2109B">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41397586">
            <w:pPr>
              <w:adjustRightInd w:val="0"/>
              <w:snapToGrid w:val="0"/>
              <w:spacing w:line="560" w:lineRule="exact"/>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10.17</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15AEF7E8">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安全文明管理</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216D8F37">
            <w:pPr>
              <w:spacing w:line="520" w:lineRule="exac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1.承包人必须确保安全文明施工，严格执行国家、安徽省、滁州市的相关规定，同时遵守建设单位对安全文明施工的相关要求。经检查，达不到相关规定和要求的，由项目组及时下发整改通知书，拒不整改或限期整改不到位的，处以承包人2000元/项/次的违约金。施工现场卫生保洁自开工之日起至工程竣工移交结束，切实做好项目管理人员和工人宿舍安全、卫生工作。 </w:t>
            </w:r>
          </w:p>
          <w:p w14:paraId="23930EB2">
            <w:pPr>
              <w:spacing w:line="520" w:lineRule="exac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2.按关于印发《滁州市建筑工地围挡提档升级标准》的通知（建质﹝2022﹞34 号文）执行。 </w:t>
            </w:r>
          </w:p>
        </w:tc>
      </w:tr>
      <w:tr w14:paraId="0A3CC470">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4124A58C">
            <w:pPr>
              <w:adjustRightInd w:val="0"/>
              <w:snapToGrid w:val="0"/>
              <w:spacing w:line="560" w:lineRule="exact"/>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10.18</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7FAABD32">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扬尘治理</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61EC4415">
            <w:pPr>
              <w:spacing w:line="520" w:lineRule="exac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严格执行《安徽省建筑工程施工扬尘污染防治规定》、《滁州市城市扬尘管理办法》和《滁州市建筑工程施工扬尘污染防治实施细则》等相关规定。对违反规定或经检查达不到规定和要求，被相关部门批评、曝光、通报的，处以承包人 10000 元/次的违约金。 </w:t>
            </w:r>
          </w:p>
        </w:tc>
      </w:tr>
      <w:tr w14:paraId="7B21B275">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71A02562">
            <w:pPr>
              <w:adjustRightInd w:val="0"/>
              <w:snapToGrid w:val="0"/>
              <w:spacing w:line="560" w:lineRule="exact"/>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10.19</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046415FC">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农民工工资支付</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5471598A">
            <w:pPr>
              <w:spacing w:line="520" w:lineRule="exac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凡到市经开区上访，滞留时间半个工作日（不足半个工作日以半个工作日计算），工程款支付比例在30%-40%（含）的，按每人每半个工作日200元的标准给予处罚，每增加工程款支付比例10%，每人每半个工作日处罚标准增加100元，依此类推。</w:t>
            </w:r>
          </w:p>
          <w:p w14:paraId="0BC8A88F">
            <w:pPr>
              <w:spacing w:line="520" w:lineRule="exac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2.凡赴市政府或市根治办上访，滞留时间半个工作日（不足半个工作日以半个工作日计算），工程款支付比例在30%-40%（含）的，按每人每半个工作日400元的标准给予处罚，每增加工程款支付比例 10%，每人每半个工作日处罚标准增加200元，依此类推。</w:t>
            </w:r>
          </w:p>
          <w:p w14:paraId="116D160A">
            <w:pPr>
              <w:spacing w:line="520" w:lineRule="exac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3.凡赴省政府上访，滞留时间半个工作日（不足半个工作日以半个工作日计算），工程款支付比例在 30%-40%（含）的，按每人每半个工作日 600 元的标准给予处罚，每增加工程款支付比例 10%，每人每半个工作日处罚标准增加 300元，依此类推。</w:t>
            </w:r>
          </w:p>
        </w:tc>
      </w:tr>
      <w:tr w14:paraId="3B4B055B">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17B2A8DD">
            <w:pPr>
              <w:adjustRightInd w:val="0"/>
              <w:snapToGrid w:val="0"/>
              <w:spacing w:line="560" w:lineRule="exact"/>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10.20</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40857BBC">
            <w:pPr>
              <w:adjustRightInd w:val="0"/>
              <w:snapToGrid w:val="0"/>
              <w:spacing w:line="560" w:lineRule="exact"/>
              <w:jc w:val="center"/>
              <w:rPr>
                <w:rFonts w:hint="eastAsia" w:ascii="宋体" w:hAnsi="宋体" w:cs="宋体"/>
                <w:color w:val="auto"/>
                <w:sz w:val="24"/>
                <w:highlight w:val="none"/>
              </w:rPr>
            </w:pPr>
            <w:r>
              <w:rPr>
                <w:rFonts w:hint="eastAsia" w:ascii="宋体" w:hAnsi="宋体" w:eastAsia="宋体" w:cs="宋体"/>
                <w:color w:val="auto"/>
                <w:highlight w:val="none"/>
              </w:rPr>
              <w:t>现场管理</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146B7961">
            <w:pPr>
              <w:spacing w:line="520" w:lineRule="exac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1.施工过程中，除临时办公、管理用房（施工进场前建设单位有权指定其具体位置）外，其他人员一律不得住施工现场；若发现上述问题，项目经理（建造师）负责组织、管理及清理出场。 </w:t>
            </w:r>
          </w:p>
          <w:p w14:paraId="73E1A7CD">
            <w:pPr>
              <w:spacing w:line="520" w:lineRule="exac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2.投标人自行勘察施工现场情况，因投标人未踏勘现场而造成的损失由投标人承担。  </w:t>
            </w:r>
          </w:p>
          <w:p w14:paraId="2D28DEFD">
            <w:pPr>
              <w:spacing w:line="520" w:lineRule="exac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3.投标人在标前应自行踏勘现场，充分考虑难度系数和不可预见因素。施工期间的协调工作由承包人自行解决，此部分费用包含在投标报价中。 </w:t>
            </w:r>
          </w:p>
          <w:p w14:paraId="556F3436">
            <w:pPr>
              <w:spacing w:line="520" w:lineRule="exac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施工现场和取、弃土场内的施工便道、机械整平以及协调渣土、环保等相关部门办理相关手续、缴纳保证金及费用等由投标人自行承担，此部分费用包含在投标报价中。施工渣土、淤泥、建筑垃圾等弃置点需经相关部门批准并报发包人备案后，方可施工，不得弃在施工区域500M范围内。严禁违规倾倒堆存。否则，责任自负。</w:t>
            </w:r>
          </w:p>
          <w:p w14:paraId="0E848818">
            <w:pPr>
              <w:spacing w:line="520" w:lineRule="exac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5.施工过程中，严格执行国家及地方针对环保、禁噪、防尘、防护等措施，必须满足当地行政主管部门相关规定及要求。 </w:t>
            </w:r>
          </w:p>
          <w:p w14:paraId="1D6AA1E7">
            <w:pPr>
              <w:spacing w:line="520" w:lineRule="exac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6.施工场地及周边场地、道路、绿化、管线、设施设备等，若被施工方（中标人）损坏，施工方（中标人）必须无偿按照原貌恢复。</w:t>
            </w:r>
          </w:p>
          <w:p w14:paraId="7F9C160E">
            <w:pPr>
              <w:spacing w:line="520" w:lineRule="exac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10.7本项目必须按规定设置封闭围挡，费用含在投标总价中，投标人自行考虑。围挡设置必须符合相关部门要求，对于围挡的宣传标语（图案）等设置，必须按照建设单位要求进行布置，并且及时更新、更换。</w:t>
            </w:r>
          </w:p>
          <w:p w14:paraId="68A845FF">
            <w:pPr>
              <w:spacing w:line="520" w:lineRule="exac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7.投标人自行勘察施工现场情况，因投标人未勘察现场而造成的损失由投标人承担。在工程建设过程中，出现质量、安全、进度、文明施工、扬尘污染、人员不在岗履职等违约行为的，招标人将给予违约处罚；如中标人拒不缴纳违约金的，招标人有权从履约保证金中直接扣除。</w:t>
            </w:r>
          </w:p>
          <w:p w14:paraId="7FE62F9D">
            <w:pPr>
              <w:spacing w:line="520" w:lineRule="exac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8.道路、房屋等防护费用、临时设施、施工便道、场地内外的高低压线路保护、建筑物及道路等安全防护等费用由投标人自行勘察现场考虑，综合考虑在报价中，招标人不另行支付其他任何费用。 </w:t>
            </w:r>
          </w:p>
          <w:p w14:paraId="19E56F90">
            <w:pPr>
              <w:spacing w:line="520" w:lineRule="exac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9.招标人负责提供水、电接入点，具体手续及费用由中标人负责办理，由施工单位自行解决，费用自理且投标报价时需含在投标报价中，工程量清单已考虑的除外。工程未完全交付甲方前，所有水电费用由乙方承担并管理。</w:t>
            </w:r>
          </w:p>
          <w:p w14:paraId="197509DD">
            <w:pPr>
              <w:spacing w:line="520" w:lineRule="exac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10.施工现场必须采用门禁管理系统，施工现场必须采用刷脸进入，费用由中标人自行承担。 </w:t>
            </w:r>
          </w:p>
          <w:p w14:paraId="58476C43">
            <w:pPr>
              <w:spacing w:line="520" w:lineRule="exac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11.施工现场需专门配备定点摄像设备，采用建筑施工现场视频监控系统，便于实时监控，要求设备稳定，图像清晰，分辨率高，配备专用储存设备，15天以内的现场摄像资料必须完整保存，含在投标总报价中。 </w:t>
            </w:r>
          </w:p>
          <w:p w14:paraId="3E1E4D4C">
            <w:pPr>
              <w:spacing w:line="520" w:lineRule="exac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12.中标人须提供室外雨污水管道全部影像检测试验合格报告。</w:t>
            </w:r>
          </w:p>
          <w:p w14:paraId="3F34FA1D">
            <w:pPr>
              <w:spacing w:line="520" w:lineRule="exac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13.中标后，在项目建设期间，中标人向发包人指定专人配合办理相关手续。</w:t>
            </w:r>
          </w:p>
        </w:tc>
      </w:tr>
      <w:tr w14:paraId="64B556DD">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3FB5D868">
            <w:pPr>
              <w:adjustRightInd w:val="0"/>
              <w:snapToGrid w:val="0"/>
              <w:spacing w:line="560" w:lineRule="exact"/>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10.21</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06A90CA9">
            <w:pPr>
              <w:adjustRightInd w:val="0"/>
              <w:snapToGrid w:val="0"/>
              <w:spacing w:line="56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文明施工要求</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5F82D129">
            <w:pPr>
              <w:spacing w:line="520" w:lineRule="exac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1.公共环境 </w:t>
            </w:r>
          </w:p>
          <w:p w14:paraId="6D102F35">
            <w:pPr>
              <w:spacing w:line="520" w:lineRule="exac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①建筑工地采用砌体、钢结构或彩钢夹芯板等封闭管理，高度不低于3米；储备用地、路面施工应一律设置建筑围墙进行遮挡。环境卫生干净整洁，围墙内外无乱堆放现象，无生活垃圾；施工现场标识明显，四周设置围墙、围挡，并符合标准；施工车辆有硬化的进出通道和冲洗设备，无抛洒和污染路面现象。 </w:t>
            </w:r>
          </w:p>
          <w:p w14:paraId="00C4A89B">
            <w:pPr>
              <w:spacing w:line="520" w:lineRule="exac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②场内设有不少于15米硬化面，车辆进出工地实行密闭运输，有车辆冲洗平台和冲洗设备、临时厕所、垃圾收集容器、污水处理排放系统、降尘设备等设施；场内干净整洁，机械设备、物料等摆放有序，安全施工措施到位，文明施工氛围浓厚。能够开展文明工地创建，施工噪音、粉尘等达到国家环保要求。 </w:t>
            </w:r>
          </w:p>
          <w:p w14:paraId="6922360D">
            <w:pPr>
              <w:spacing w:line="520" w:lineRule="exac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2.公益宣传 </w:t>
            </w:r>
          </w:p>
          <w:p w14:paraId="26FB0ABC">
            <w:pPr>
              <w:spacing w:line="520" w:lineRule="exac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①运用建筑围挡宣传展示社会主义核心价值观12个主题词、市民文明行为规范，及时更新中宣部、中央文明办发布的“讲文明树新风”、“图说我们的价值观”通稿作品以及本市自创的公益广告（建筑围挡无破墙开洞现象，公益广告无污染、破旧现象）。 </w:t>
            </w:r>
          </w:p>
          <w:p w14:paraId="38F31FC9">
            <w:pPr>
              <w:spacing w:line="520" w:lineRule="exac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②公益广告展示面积占围挡总面积的比例不少于50%，且公益广告要与商业广告穿插展示（每3块广告中必须要有1块公益广告），且单面围挡墙体均能看到公益宣传。步行30米，达到50%面积比例。</w:t>
            </w:r>
          </w:p>
        </w:tc>
      </w:tr>
      <w:tr w14:paraId="0115F8E9">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5189117A">
            <w:pPr>
              <w:adjustRightInd w:val="0"/>
              <w:snapToGrid w:val="0"/>
              <w:spacing w:line="560" w:lineRule="exact"/>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10.22</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0813E572">
            <w:pPr>
              <w:adjustRightInd w:val="0"/>
              <w:snapToGrid w:val="0"/>
              <w:spacing w:line="560" w:lineRule="exact"/>
              <w:jc w:val="center"/>
              <w:rPr>
                <w:rFonts w:hint="eastAsia" w:ascii="宋体" w:hAnsi="宋体" w:eastAsia="宋体" w:cs="宋体"/>
                <w:color w:val="auto"/>
                <w:highlight w:val="none"/>
              </w:rPr>
            </w:pPr>
            <w:r>
              <w:rPr>
                <w:rFonts w:hint="eastAsia" w:ascii="宋体" w:hAnsi="宋体" w:eastAsia="宋体" w:cs="宋体"/>
                <w:color w:val="auto"/>
                <w:sz w:val="24"/>
                <w:highlight w:val="none"/>
                <w:lang w:val="en-US" w:eastAsia="zh-CN"/>
              </w:rPr>
              <w:t>约谈制度</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435BA00B">
            <w:pPr>
              <w:adjustRightInd w:val="0"/>
              <w:snapToGrid w:val="0"/>
              <w:spacing w:line="520" w:lineRule="exac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项目公示期满，下发中标通知书前，中标单位必须按照招标单位的规定参加项目实施前约谈，中标单位(若为联合体，指联合体所有成员）的法人代表或负责人（公司副总以上）和项目负责人（指项目经理A岗、项目经理B岗（如有））必须参加约谈会议。</w:t>
            </w:r>
          </w:p>
          <w:p w14:paraId="7CC2B378">
            <w:pPr>
              <w:spacing w:line="520" w:lineRule="exac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注：中标单位(若为联合体，指联合体所有成员）的法人代表参加约谈的，参与会议时须提供有效身份证明和职务任命文件；中标单位的负责人（公司副总以上）参加约谈的，参与会议时须提供授权委托书、有效身份证明和职务任命文件，以及社保部门出具的本单位为其缴纳的养老保险证明（证明文件两个月内有效）。未按照规定要求参加约谈的，视为放弃中标。</w:t>
            </w:r>
            <w:r>
              <w:rPr>
                <w:rFonts w:hint="eastAsia" w:ascii="宋体" w:hAnsi="宋体" w:cs="宋体"/>
                <w:b/>
                <w:bCs/>
                <w:color w:val="auto"/>
                <w:sz w:val="24"/>
                <w:highlight w:val="none"/>
                <w:lang w:val="en-US" w:eastAsia="zh-CN"/>
              </w:rPr>
              <w:t xml:space="preserve">    </w:t>
            </w:r>
            <w:r>
              <w:rPr>
                <w:rFonts w:hint="eastAsia" w:ascii="宋体" w:hAnsi="宋体" w:cs="宋体"/>
                <w:b/>
                <w:bCs/>
                <w:color w:val="auto"/>
                <w:sz w:val="24"/>
                <w:highlight w:val="none"/>
              </w:rPr>
              <w:t xml:space="preserve"> </w:t>
            </w:r>
          </w:p>
        </w:tc>
      </w:tr>
      <w:tr w14:paraId="67E466B2">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1C394AF1">
            <w:pPr>
              <w:adjustRightInd w:val="0"/>
              <w:snapToGrid w:val="0"/>
              <w:spacing w:line="560" w:lineRule="exact"/>
              <w:jc w:val="center"/>
              <w:rPr>
                <w:rFonts w:hint="default" w:ascii="宋体" w:hAnsi="宋体" w:cs="宋体"/>
                <w:color w:val="auto"/>
                <w:sz w:val="24"/>
                <w:highlight w:val="none"/>
                <w:lang w:val="en-US" w:eastAsia="zh-CN"/>
              </w:rPr>
            </w:pPr>
            <w:bookmarkStart w:id="52" w:name="_Toc95223336"/>
            <w:bookmarkStart w:id="53" w:name="_Toc60061433"/>
            <w:bookmarkStart w:id="54" w:name="_Toc83301688"/>
            <w:r>
              <w:rPr>
                <w:rFonts w:hint="eastAsia" w:ascii="宋体" w:hAnsi="宋体" w:cs="宋体"/>
                <w:color w:val="auto"/>
                <w:sz w:val="24"/>
                <w:highlight w:val="none"/>
                <w:lang w:val="en-US" w:eastAsia="zh-CN"/>
              </w:rPr>
              <w:t>10.21</w:t>
            </w:r>
          </w:p>
        </w:tc>
        <w:tc>
          <w:tcPr>
            <w:tcW w:w="1860" w:type="dxa"/>
            <w:tcBorders>
              <w:top w:val="single" w:color="auto" w:sz="4" w:space="0"/>
              <w:left w:val="single" w:color="auto" w:sz="4" w:space="0"/>
              <w:bottom w:val="single" w:color="auto" w:sz="4" w:space="0"/>
              <w:right w:val="single" w:color="auto" w:sz="4" w:space="0"/>
            </w:tcBorders>
            <w:noWrap w:val="0"/>
            <w:vAlign w:val="center"/>
          </w:tcPr>
          <w:p w14:paraId="4689CF58">
            <w:pPr>
              <w:adjustRightInd w:val="0"/>
              <w:snapToGrid w:val="0"/>
              <w:spacing w:line="560" w:lineRule="exact"/>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评定分离</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0443E2B5">
            <w:pPr>
              <w:adjustRightInd w:val="0"/>
              <w:snapToGrid w:val="0"/>
              <w:spacing w:line="520" w:lineRule="exac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评定分离”是指将评标和定标分为两个环节。评标委员会根据招标文件规定的评标标准和方法对投标文件的价格、技术、 质量、投标人履约能力等因素进行评审后，向招标人推荐一定数量的中标候选人，再由招标人组建的定标委员，根据评标报告和评标委员会推荐的中标候选人，结合项目规模、技术难度等因素，按照规定的决策程序，择优确定中标人。</w:t>
            </w:r>
          </w:p>
          <w:p w14:paraId="2FAE4233">
            <w:pPr>
              <w:adjustRightInd w:val="0"/>
              <w:snapToGrid w:val="0"/>
              <w:spacing w:line="520" w:lineRule="exact"/>
              <w:rPr>
                <w:rFonts w:hint="eastAsia" w:ascii="宋体" w:hAnsi="宋体" w:eastAsia="宋体" w:cs="宋体"/>
                <w:b/>
                <w:bCs/>
                <w:color w:val="auto"/>
                <w:sz w:val="24"/>
                <w:highlight w:val="none"/>
                <w:lang w:val="en-US" w:eastAsia="zh-CN"/>
              </w:rPr>
            </w:pPr>
            <w:r>
              <w:rPr>
                <w:rFonts w:hint="eastAsia" w:ascii="宋体" w:hAnsi="宋体" w:cs="宋体"/>
                <w:b/>
                <w:bCs/>
                <w:color w:val="auto"/>
                <w:sz w:val="24"/>
                <w:highlight w:val="none"/>
                <w:lang w:val="en-US" w:eastAsia="zh-CN"/>
              </w:rPr>
              <w:t>一、组建定标委员会</w:t>
            </w:r>
          </w:p>
          <w:p w14:paraId="5E0DDF2C">
            <w:pPr>
              <w:adjustRightInd w:val="0"/>
              <w:snapToGrid w:val="0"/>
              <w:spacing w:line="52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(一）</w:t>
            </w:r>
            <w:r>
              <w:rPr>
                <w:rFonts w:hint="eastAsia" w:ascii="宋体" w:hAnsi="宋体" w:eastAsia="宋体" w:cs="宋体"/>
                <w:color w:val="auto"/>
                <w:sz w:val="24"/>
                <w:highlight w:val="none"/>
              </w:rPr>
              <w:t>定标委员会由招标人负责组建，成员数量为5人及以上单数。定标委员会设主任一名，</w:t>
            </w:r>
            <w:r>
              <w:rPr>
                <w:rFonts w:hint="eastAsia" w:ascii="宋体" w:hAnsi="宋体" w:cs="宋体"/>
                <w:color w:val="auto"/>
                <w:sz w:val="24"/>
                <w:highlight w:val="none"/>
                <w:lang w:val="en-US" w:eastAsia="zh-CN"/>
              </w:rPr>
              <w:t>定标委员会主任由定标委员会成员民主推荐产生。</w:t>
            </w:r>
          </w:p>
          <w:p w14:paraId="1C0D21E7">
            <w:pPr>
              <w:keepNext w:val="0"/>
              <w:keepLines w:val="0"/>
              <w:pageBreakBefore w:val="0"/>
              <w:kinsoku/>
              <w:wordWrap/>
              <w:overflowPunct/>
              <w:topLinePunct w:val="0"/>
              <w:autoSpaceDE/>
              <w:autoSpaceDN/>
              <w:bidi w:val="0"/>
              <w:adjustRightInd w:val="0"/>
              <w:snapToGrid w:val="0"/>
              <w:spacing w:line="520" w:lineRule="exac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二）</w:t>
            </w:r>
            <w:r>
              <w:rPr>
                <w:rFonts w:hint="eastAsia" w:ascii="宋体" w:hAnsi="宋体" w:eastAsia="宋体" w:cs="宋体"/>
                <w:color w:val="auto"/>
                <w:sz w:val="24"/>
                <w:highlight w:val="none"/>
              </w:rPr>
              <w:t>定标委员会成员与中标候选人有利害关系的，应当主动回避。</w:t>
            </w:r>
            <w:r>
              <w:rPr>
                <w:rFonts w:hint="eastAsia" w:ascii="宋体" w:hAnsi="宋体" w:cs="宋体"/>
                <w:b/>
                <w:bCs/>
                <w:color w:val="auto"/>
                <w:sz w:val="24"/>
                <w:highlight w:val="none"/>
                <w:lang w:val="en-US" w:eastAsia="zh-CN"/>
              </w:rPr>
              <w:t>二</w:t>
            </w:r>
            <w:r>
              <w:rPr>
                <w:rFonts w:hint="eastAsia" w:ascii="宋体" w:hAnsi="宋体" w:eastAsia="宋体" w:cs="宋体"/>
                <w:b/>
                <w:bCs/>
                <w:color w:val="auto"/>
                <w:sz w:val="24"/>
                <w:highlight w:val="none"/>
                <w:lang w:val="en-US" w:eastAsia="zh-CN"/>
              </w:rPr>
              <w:t>、定标方法：</w:t>
            </w:r>
          </w:p>
          <w:p w14:paraId="5D61AC26">
            <w:pPr>
              <w:keepNext w:val="0"/>
              <w:keepLines w:val="0"/>
              <w:pageBreakBefore w:val="0"/>
              <w:kinsoku/>
              <w:wordWrap/>
              <w:overflowPunct/>
              <w:topLinePunct w:val="0"/>
              <w:autoSpaceDE/>
              <w:autoSpaceDN/>
              <w:bidi w:val="0"/>
              <w:adjustRightInd w:val="0"/>
              <w:snapToGrid w:val="0"/>
              <w:spacing w:line="520" w:lineRule="exact"/>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一）本项目定标阶段采用综合定标法确定中标人。综合定标法是指由定标委员会结合定标因素，制定综合定标评分细则，对中标候选人进行综合评分，按照定标得分由高到低排名，最终择优确定中标人。为公平、公正的开展本项目招标工作，结合实际情况，本项目定标评分细则如下：</w:t>
            </w:r>
          </w:p>
          <w:p w14:paraId="10EDD474">
            <w:pPr>
              <w:keepNext w:val="0"/>
              <w:keepLines w:val="0"/>
              <w:pageBreakBefore w:val="0"/>
              <w:kinsoku/>
              <w:wordWrap/>
              <w:overflowPunct/>
              <w:topLinePunct w:val="0"/>
              <w:autoSpaceDE/>
              <w:autoSpaceDN/>
              <w:bidi w:val="0"/>
              <w:adjustRightInd w:val="0"/>
              <w:snapToGrid w:val="0"/>
              <w:spacing w:line="520" w:lineRule="exact"/>
              <w:textAlignment w:val="auto"/>
              <w:rPr>
                <w:rFonts w:hint="default"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1.定标因素1-投标报价：此项总分值为5分。</w:t>
            </w:r>
            <w:r>
              <w:rPr>
                <w:rFonts w:hint="eastAsia" w:ascii="宋体" w:hAnsi="宋体" w:cs="宋体"/>
                <w:b w:val="0"/>
                <w:bCs w:val="0"/>
                <w:color w:val="auto"/>
                <w:sz w:val="24"/>
                <w:highlight w:val="none"/>
                <w:lang w:val="en-US" w:eastAsia="zh-CN"/>
              </w:rPr>
              <w:t>得分最高得5分，次低得4分，最低得3分。具体得分计算过程如下：</w:t>
            </w:r>
          </w:p>
          <w:p w14:paraId="547197B3">
            <w:pPr>
              <w:keepNext w:val="0"/>
              <w:keepLines w:val="0"/>
              <w:pageBreakBefore w:val="0"/>
              <w:kinsoku/>
              <w:wordWrap/>
              <w:overflowPunct/>
              <w:topLinePunct w:val="0"/>
              <w:autoSpaceDE/>
              <w:autoSpaceDN/>
              <w:bidi w:val="0"/>
              <w:adjustRightInd w:val="0"/>
              <w:snapToGrid w:val="0"/>
              <w:spacing w:line="520" w:lineRule="exact"/>
              <w:textAlignment w:val="auto"/>
              <w:rPr>
                <w:rFonts w:hint="eastAsia" w:ascii="宋体" w:hAnsi="宋体" w:eastAsia="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a.</w:t>
            </w:r>
            <w:r>
              <w:rPr>
                <w:rFonts w:hint="eastAsia" w:ascii="宋体" w:hAnsi="宋体" w:eastAsia="宋体" w:cs="宋体"/>
                <w:b w:val="0"/>
                <w:bCs w:val="0"/>
                <w:color w:val="auto"/>
                <w:sz w:val="24"/>
                <w:highlight w:val="none"/>
                <w:lang w:val="en-US" w:eastAsia="zh-CN"/>
              </w:rPr>
              <w:t>以进入定标阶段的所有中标候选人投标报价的平均值作为定标基准价。</w:t>
            </w:r>
          </w:p>
          <w:p w14:paraId="3523B1A3">
            <w:pPr>
              <w:keepNext w:val="0"/>
              <w:keepLines w:val="0"/>
              <w:pageBreakBefore w:val="0"/>
              <w:kinsoku/>
              <w:wordWrap/>
              <w:overflowPunct/>
              <w:topLinePunct w:val="0"/>
              <w:autoSpaceDE/>
              <w:autoSpaceDN/>
              <w:bidi w:val="0"/>
              <w:adjustRightInd w:val="0"/>
              <w:snapToGrid w:val="0"/>
              <w:spacing w:line="520" w:lineRule="exact"/>
              <w:textAlignment w:val="auto"/>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b计算报价偏差率。</w:t>
            </w:r>
          </w:p>
          <w:p w14:paraId="3FFAB769">
            <w:pPr>
              <w:keepNext w:val="0"/>
              <w:keepLines w:val="0"/>
              <w:pageBreakBefore w:val="0"/>
              <w:kinsoku/>
              <w:wordWrap/>
              <w:overflowPunct/>
              <w:topLinePunct w:val="0"/>
              <w:autoSpaceDE/>
              <w:autoSpaceDN/>
              <w:bidi w:val="0"/>
              <w:adjustRightInd w:val="0"/>
              <w:snapToGrid w:val="0"/>
              <w:spacing w:line="520" w:lineRule="exact"/>
              <w:textAlignment w:val="auto"/>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①偏差率=|（投标报价-定标基准价）/定标基准价|×100%</w:t>
            </w:r>
          </w:p>
          <w:p w14:paraId="235BD42D">
            <w:pPr>
              <w:keepNext w:val="0"/>
              <w:keepLines w:val="0"/>
              <w:pageBreakBefore w:val="0"/>
              <w:kinsoku/>
              <w:wordWrap/>
              <w:overflowPunct/>
              <w:topLinePunct w:val="0"/>
              <w:autoSpaceDE/>
              <w:autoSpaceDN/>
              <w:bidi w:val="0"/>
              <w:adjustRightInd w:val="0"/>
              <w:snapToGrid w:val="0"/>
              <w:spacing w:line="520" w:lineRule="exact"/>
              <w:textAlignment w:val="auto"/>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c计算报价得分</w:t>
            </w:r>
          </w:p>
          <w:p w14:paraId="56A39302">
            <w:pPr>
              <w:keepNext w:val="0"/>
              <w:keepLines w:val="0"/>
              <w:pageBreakBefore w:val="0"/>
              <w:kinsoku/>
              <w:wordWrap/>
              <w:overflowPunct/>
              <w:topLinePunct w:val="0"/>
              <w:autoSpaceDE/>
              <w:autoSpaceDN/>
              <w:bidi w:val="0"/>
              <w:adjustRightInd w:val="0"/>
              <w:snapToGrid w:val="0"/>
              <w:spacing w:line="520" w:lineRule="exact"/>
              <w:textAlignment w:val="auto"/>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①投标报价等于定标基准价的得满分（100分）。</w:t>
            </w:r>
          </w:p>
          <w:p w14:paraId="57127BBB">
            <w:pPr>
              <w:keepNext w:val="0"/>
              <w:keepLines w:val="0"/>
              <w:pageBreakBefore w:val="0"/>
              <w:kinsoku/>
              <w:wordWrap/>
              <w:overflowPunct/>
              <w:topLinePunct w:val="0"/>
              <w:autoSpaceDE/>
              <w:autoSpaceDN/>
              <w:bidi w:val="0"/>
              <w:adjustRightInd w:val="0"/>
              <w:snapToGrid w:val="0"/>
              <w:spacing w:line="520" w:lineRule="exact"/>
              <w:textAlignment w:val="auto"/>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②投标报价高于定标基准价的，投标报价得分=报价满分值（100分）-偏差率×100×1</w:t>
            </w:r>
          </w:p>
          <w:p w14:paraId="70B4381E">
            <w:pPr>
              <w:keepNext w:val="0"/>
              <w:keepLines w:val="0"/>
              <w:pageBreakBefore w:val="0"/>
              <w:kinsoku/>
              <w:wordWrap/>
              <w:overflowPunct/>
              <w:topLinePunct w:val="0"/>
              <w:autoSpaceDE/>
              <w:autoSpaceDN/>
              <w:bidi w:val="0"/>
              <w:adjustRightInd w:val="0"/>
              <w:snapToGrid w:val="0"/>
              <w:spacing w:line="520" w:lineRule="exact"/>
              <w:textAlignment w:val="auto"/>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③投标报价低于定标基准价的，投标报价得分=报价满分值（100分）-偏差率×100×0.5</w:t>
            </w:r>
          </w:p>
          <w:p w14:paraId="5C54FC23">
            <w:pPr>
              <w:keepNext w:val="0"/>
              <w:keepLines w:val="0"/>
              <w:pageBreakBefore w:val="0"/>
              <w:kinsoku/>
              <w:wordWrap/>
              <w:overflowPunct/>
              <w:topLinePunct w:val="0"/>
              <w:autoSpaceDE/>
              <w:autoSpaceDN/>
              <w:bidi w:val="0"/>
              <w:adjustRightInd w:val="0"/>
              <w:snapToGrid w:val="0"/>
              <w:spacing w:line="520" w:lineRule="exact"/>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2.定标因素2-企业实力：此项总分值为5分。主要包括企业综合施工能力等</w:t>
            </w:r>
            <w:r>
              <w:rPr>
                <w:rFonts w:hint="eastAsia" w:ascii="宋体" w:hAnsi="宋体" w:cs="宋体"/>
                <w:b w:val="0"/>
                <w:bCs w:val="0"/>
                <w:color w:val="auto"/>
                <w:sz w:val="24"/>
                <w:highlight w:val="none"/>
                <w:lang w:val="en-US" w:eastAsia="zh-CN"/>
              </w:rPr>
              <w:t>，投标人根据企业自身情况，提供相关证明材料。最优</w:t>
            </w:r>
            <w:r>
              <w:rPr>
                <w:rFonts w:hint="eastAsia" w:ascii="宋体" w:hAnsi="宋体" w:eastAsia="宋体" w:cs="宋体"/>
                <w:b w:val="0"/>
                <w:bCs w:val="0"/>
                <w:color w:val="auto"/>
                <w:sz w:val="24"/>
                <w:highlight w:val="none"/>
                <w:lang w:val="en-US" w:eastAsia="zh-CN"/>
              </w:rPr>
              <w:t>得5分，其次得4分，</w:t>
            </w:r>
            <w:r>
              <w:rPr>
                <w:rFonts w:hint="eastAsia" w:ascii="宋体" w:hAnsi="宋体" w:cs="宋体"/>
                <w:b w:val="0"/>
                <w:bCs w:val="0"/>
                <w:color w:val="auto"/>
                <w:sz w:val="24"/>
                <w:highlight w:val="none"/>
                <w:lang w:val="en-US" w:eastAsia="zh-CN"/>
              </w:rPr>
              <w:t>一般</w:t>
            </w:r>
            <w:r>
              <w:rPr>
                <w:rFonts w:hint="eastAsia" w:ascii="宋体" w:hAnsi="宋体" w:eastAsia="宋体" w:cs="宋体"/>
                <w:b w:val="0"/>
                <w:bCs w:val="0"/>
                <w:color w:val="auto"/>
                <w:sz w:val="24"/>
                <w:highlight w:val="none"/>
                <w:lang w:val="en-US" w:eastAsia="zh-CN"/>
              </w:rPr>
              <w:t xml:space="preserve">得3分，未提供的此项不得分。  </w:t>
            </w:r>
          </w:p>
          <w:p w14:paraId="1FAA51B8">
            <w:pPr>
              <w:keepNext w:val="0"/>
              <w:keepLines w:val="0"/>
              <w:pageBreakBefore w:val="0"/>
              <w:kinsoku/>
              <w:wordWrap/>
              <w:overflowPunct/>
              <w:topLinePunct w:val="0"/>
              <w:autoSpaceDE/>
              <w:autoSpaceDN/>
              <w:bidi w:val="0"/>
              <w:adjustRightInd w:val="0"/>
              <w:snapToGrid w:val="0"/>
              <w:spacing w:line="520" w:lineRule="exac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val="0"/>
                <w:bCs w:val="0"/>
                <w:color w:val="auto"/>
                <w:sz w:val="24"/>
                <w:highlight w:val="none"/>
                <w:lang w:val="en-US" w:eastAsia="zh-CN"/>
              </w:rPr>
              <w:t>3.定标因素3-项目团队技术能力与履约水平【①人员配备情况；②项目经理</w:t>
            </w:r>
            <w:r>
              <w:rPr>
                <w:rFonts w:hint="eastAsia" w:ascii="宋体" w:hAnsi="宋体" w:cs="宋体"/>
                <w:b w:val="0"/>
                <w:bCs w:val="0"/>
                <w:color w:val="auto"/>
                <w:sz w:val="24"/>
                <w:highlight w:val="none"/>
                <w:lang w:val="en-US" w:eastAsia="zh-CN"/>
              </w:rPr>
              <w:t>的</w:t>
            </w:r>
            <w:r>
              <w:rPr>
                <w:rFonts w:hint="eastAsia" w:ascii="宋体" w:hAnsi="宋体" w:eastAsia="宋体" w:cs="宋体"/>
                <w:b w:val="0"/>
                <w:bCs w:val="0"/>
                <w:color w:val="auto"/>
                <w:sz w:val="24"/>
                <w:highlight w:val="none"/>
                <w:lang w:val="en-US" w:eastAsia="zh-CN"/>
              </w:rPr>
              <w:t>业绩】：此项总分值为5分。</w:t>
            </w:r>
            <w:r>
              <w:rPr>
                <w:rFonts w:hint="eastAsia" w:ascii="宋体" w:hAnsi="宋体" w:cs="宋体"/>
                <w:b w:val="0"/>
                <w:bCs w:val="0"/>
                <w:color w:val="auto"/>
                <w:sz w:val="24"/>
                <w:highlight w:val="none"/>
                <w:lang w:val="en-US" w:eastAsia="zh-CN"/>
              </w:rPr>
              <w:t>优</w:t>
            </w:r>
            <w:r>
              <w:rPr>
                <w:rFonts w:hint="eastAsia" w:ascii="宋体" w:hAnsi="宋体" w:eastAsia="宋体" w:cs="宋体"/>
                <w:b w:val="0"/>
                <w:bCs w:val="0"/>
                <w:color w:val="auto"/>
                <w:sz w:val="24"/>
                <w:highlight w:val="none"/>
                <w:lang w:val="en-US" w:eastAsia="zh-CN"/>
              </w:rPr>
              <w:t>得5分，良好得4分，一般得3分，未提供的此项不得分。</w:t>
            </w:r>
          </w:p>
          <w:p w14:paraId="4DD9D29E">
            <w:pPr>
              <w:keepNext w:val="0"/>
              <w:keepLines w:val="0"/>
              <w:pageBreakBefore w:val="0"/>
              <w:kinsoku/>
              <w:wordWrap/>
              <w:overflowPunct/>
              <w:topLinePunct w:val="0"/>
              <w:autoSpaceDE/>
              <w:autoSpaceDN/>
              <w:bidi w:val="0"/>
              <w:adjustRightInd w:val="0"/>
              <w:snapToGrid w:val="0"/>
              <w:spacing w:line="520" w:lineRule="exact"/>
              <w:textAlignment w:val="auto"/>
              <w:rPr>
                <w:rFonts w:hint="default" w:ascii="宋体" w:hAnsi="宋体" w:eastAsia="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4</w:t>
            </w:r>
            <w:r>
              <w:rPr>
                <w:rFonts w:hint="eastAsia" w:ascii="宋体" w:hAnsi="宋体" w:eastAsia="宋体" w:cs="宋体"/>
                <w:b w:val="0"/>
                <w:bCs w:val="0"/>
                <w:color w:val="auto"/>
                <w:sz w:val="24"/>
                <w:highlight w:val="none"/>
                <w:lang w:val="en-US" w:eastAsia="zh-CN"/>
              </w:rPr>
              <w:t>.定标因素</w:t>
            </w:r>
            <w:r>
              <w:rPr>
                <w:rFonts w:hint="eastAsia" w:ascii="宋体" w:hAnsi="宋体" w:cs="宋体"/>
                <w:b w:val="0"/>
                <w:bCs w:val="0"/>
                <w:color w:val="auto"/>
                <w:sz w:val="24"/>
                <w:highlight w:val="none"/>
                <w:lang w:val="en-US" w:eastAsia="zh-CN"/>
              </w:rPr>
              <w:t>4</w:t>
            </w:r>
            <w:r>
              <w:rPr>
                <w:rFonts w:hint="eastAsia" w:ascii="宋体" w:hAnsi="宋体" w:eastAsia="宋体" w:cs="宋体"/>
                <w:b w:val="0"/>
                <w:bCs w:val="0"/>
                <w:color w:val="auto"/>
                <w:sz w:val="24"/>
                <w:highlight w:val="none"/>
                <w:lang w:val="en-US" w:eastAsia="zh-CN"/>
              </w:rPr>
              <w:t>-本项目重难点问题的解决方案：此项总分值为5分。对项目的重难点问题进行分析、解决，分析合理、有依据。</w:t>
            </w:r>
            <w:r>
              <w:rPr>
                <w:rFonts w:hint="eastAsia" w:ascii="宋体" w:hAnsi="宋体" w:cs="宋体"/>
                <w:b w:val="0"/>
                <w:bCs w:val="0"/>
                <w:color w:val="auto"/>
                <w:sz w:val="24"/>
                <w:highlight w:val="none"/>
                <w:lang w:val="en-US" w:eastAsia="zh-CN"/>
              </w:rPr>
              <w:t>最</w:t>
            </w:r>
            <w:r>
              <w:rPr>
                <w:rFonts w:hint="eastAsia" w:ascii="宋体" w:hAnsi="宋体" w:eastAsia="宋体" w:cs="宋体"/>
                <w:b w:val="0"/>
                <w:bCs w:val="0"/>
                <w:color w:val="auto"/>
                <w:sz w:val="24"/>
                <w:highlight w:val="none"/>
                <w:lang w:val="en-US" w:eastAsia="zh-CN"/>
              </w:rPr>
              <w:t>优得5分，</w:t>
            </w:r>
            <w:r>
              <w:rPr>
                <w:rFonts w:hint="eastAsia" w:ascii="宋体" w:hAnsi="宋体" w:cs="宋体"/>
                <w:b w:val="0"/>
                <w:bCs w:val="0"/>
                <w:color w:val="auto"/>
                <w:sz w:val="24"/>
                <w:highlight w:val="none"/>
                <w:lang w:val="en-US" w:eastAsia="zh-CN"/>
              </w:rPr>
              <w:t>其次</w:t>
            </w:r>
            <w:r>
              <w:rPr>
                <w:rFonts w:hint="eastAsia" w:ascii="宋体" w:hAnsi="宋体" w:eastAsia="宋体" w:cs="宋体"/>
                <w:b w:val="0"/>
                <w:bCs w:val="0"/>
                <w:color w:val="auto"/>
                <w:sz w:val="24"/>
                <w:highlight w:val="none"/>
                <w:lang w:val="en-US" w:eastAsia="zh-CN"/>
              </w:rPr>
              <w:t>得4分，一般得3分，未提供的此项不得分。</w:t>
            </w:r>
          </w:p>
          <w:p w14:paraId="5D5C04FD">
            <w:pPr>
              <w:adjustRightInd w:val="0"/>
              <w:snapToGrid w:val="0"/>
              <w:spacing w:line="520" w:lineRule="exact"/>
              <w:rPr>
                <w:rFonts w:hint="default" w:ascii="宋体" w:hAnsi="宋体" w:eastAsia="宋体" w:cs="宋体"/>
                <w:b/>
                <w:bCs/>
                <w:color w:val="auto"/>
                <w:sz w:val="24"/>
                <w:highlight w:val="none"/>
                <w:lang w:val="en-US" w:eastAsia="zh-CN"/>
              </w:rPr>
            </w:pPr>
            <w:r>
              <w:rPr>
                <w:rFonts w:hint="eastAsia" w:ascii="宋体" w:hAnsi="宋体" w:cs="宋体"/>
                <w:b/>
                <w:bCs/>
                <w:color w:val="auto"/>
                <w:sz w:val="24"/>
                <w:highlight w:val="none"/>
                <w:lang w:val="en-US" w:eastAsia="zh-CN"/>
              </w:rPr>
              <w:t>上述定标材料须在投标文件中“定标材料”模块上传，格式自拟，未在投标文件中提供定标材料的，在项目评标结束后不额外接收。</w:t>
            </w:r>
          </w:p>
          <w:p w14:paraId="21875C4B">
            <w:pPr>
              <w:adjustRightInd w:val="0"/>
              <w:snapToGrid w:val="0"/>
              <w:spacing w:line="520" w:lineRule="exact"/>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综合定标法评分细则总分值为20分，定标委员会按照上述细则对中标候选人进行综合评分，每项得分按平均分列入总分，对各中标候选人</w:t>
            </w:r>
            <w:r>
              <w:rPr>
                <w:rFonts w:hint="eastAsia" w:ascii="宋体" w:hAnsi="宋体" w:cs="宋体"/>
                <w:b/>
                <w:bCs/>
                <w:color w:val="auto"/>
                <w:sz w:val="24"/>
                <w:highlight w:val="none"/>
                <w:lang w:val="en-US" w:eastAsia="zh-CN"/>
              </w:rPr>
              <w:t>按照定标得分分值由高到底</w:t>
            </w:r>
            <w:r>
              <w:rPr>
                <w:rFonts w:hint="eastAsia" w:ascii="宋体" w:hAnsi="宋体" w:eastAsia="宋体" w:cs="宋体"/>
                <w:b/>
                <w:bCs/>
                <w:color w:val="auto"/>
                <w:sz w:val="24"/>
                <w:highlight w:val="none"/>
                <w:lang w:val="en-US" w:eastAsia="zh-CN"/>
              </w:rPr>
              <w:t>进行排序，总分最高的为本项目中标人。</w:t>
            </w:r>
            <w:r>
              <w:rPr>
                <w:rFonts w:hint="eastAsia" w:ascii="宋体" w:hAnsi="宋体" w:cs="宋体"/>
                <w:b/>
                <w:bCs/>
                <w:color w:val="auto"/>
                <w:sz w:val="24"/>
                <w:highlight w:val="none"/>
                <w:lang w:val="en-US" w:eastAsia="zh-CN"/>
              </w:rPr>
              <w:t>（注：上述分值均保留两位小数，小数点后第三位四舍五入）</w:t>
            </w:r>
          </w:p>
          <w:p w14:paraId="608AFAAD">
            <w:pPr>
              <w:numPr>
                <w:ilvl w:val="0"/>
                <w:numId w:val="0"/>
              </w:numPr>
              <w:adjustRightInd w:val="0"/>
              <w:snapToGrid w:val="0"/>
              <w:spacing w:line="520" w:lineRule="exact"/>
              <w:rPr>
                <w:rFonts w:hint="eastAsia" w:ascii="宋体" w:hAnsi="宋体" w:eastAsia="宋体" w:cs="宋体"/>
                <w:b/>
                <w:bCs/>
                <w:color w:val="auto"/>
                <w:sz w:val="24"/>
                <w:highlight w:val="none"/>
                <w:lang w:val="en-US" w:eastAsia="zh-CN"/>
              </w:rPr>
            </w:pPr>
            <w:r>
              <w:rPr>
                <w:rFonts w:hint="eastAsia" w:ascii="宋体" w:hAnsi="宋体" w:cs="宋体"/>
                <w:b/>
                <w:bCs/>
                <w:color w:val="auto"/>
                <w:sz w:val="24"/>
                <w:highlight w:val="none"/>
                <w:lang w:val="en-US" w:eastAsia="zh-CN"/>
              </w:rPr>
              <w:t>三</w:t>
            </w:r>
            <w:r>
              <w:rPr>
                <w:rFonts w:hint="eastAsia" w:ascii="宋体" w:hAnsi="宋体" w:eastAsia="宋体" w:cs="宋体"/>
                <w:b/>
                <w:bCs/>
                <w:color w:val="auto"/>
                <w:sz w:val="24"/>
                <w:highlight w:val="none"/>
                <w:lang w:val="en-US" w:eastAsia="zh-CN"/>
              </w:rPr>
              <w:t>、定标会议</w:t>
            </w:r>
          </w:p>
          <w:p w14:paraId="56FF2DA3">
            <w:pPr>
              <w:numPr>
                <w:ilvl w:val="0"/>
                <w:numId w:val="0"/>
              </w:numPr>
              <w:adjustRightInd w:val="0"/>
              <w:snapToGrid w:val="0"/>
              <w:spacing w:line="520" w:lineRule="exact"/>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 xml:space="preserve">1.招标人应当自收到评标报告之日起5个工作日内召开定标会议。如因招标文件约定或其他特殊原因，定标会议时间可以适当延期。定标会议应当在公共资源交易中心召开，按照以下程序进行定标： </w:t>
            </w:r>
          </w:p>
          <w:p w14:paraId="36865BEB">
            <w:pPr>
              <w:numPr>
                <w:ilvl w:val="0"/>
                <w:numId w:val="0"/>
              </w:numPr>
              <w:adjustRightInd w:val="0"/>
              <w:snapToGrid w:val="0"/>
              <w:spacing w:line="520" w:lineRule="exact"/>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（1）招标人介绍定标程序及须知，定标成员签署承诺书。定标委员会成员存在法定事由需要回避的应主动提出，招标人办理补充事宜。</w:t>
            </w:r>
          </w:p>
          <w:p w14:paraId="355E91FA">
            <w:pPr>
              <w:numPr>
                <w:ilvl w:val="0"/>
                <w:numId w:val="0"/>
              </w:numPr>
              <w:adjustRightInd w:val="0"/>
              <w:snapToGrid w:val="0"/>
              <w:spacing w:line="520" w:lineRule="exact"/>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（2）招标人介绍项目基本情况，汇报内容不得有明示或暗示倾向性内容。</w:t>
            </w:r>
          </w:p>
          <w:p w14:paraId="0E71158A">
            <w:pPr>
              <w:numPr>
                <w:ilvl w:val="0"/>
                <w:numId w:val="0"/>
              </w:numPr>
              <w:adjustRightInd w:val="0"/>
              <w:snapToGrid w:val="0"/>
              <w:spacing w:line="520" w:lineRule="exact"/>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（3）定标委员会根据定标方法，结合评标报告、汇报情况及定标要素等进行定标，确定中标人；</w:t>
            </w:r>
          </w:p>
          <w:p w14:paraId="0C04B332">
            <w:pPr>
              <w:numPr>
                <w:ilvl w:val="0"/>
                <w:numId w:val="0"/>
              </w:numPr>
              <w:adjustRightInd w:val="0"/>
              <w:snapToGrid w:val="0"/>
              <w:spacing w:line="520" w:lineRule="exact"/>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（4）定标委员会出具书面定标报告。定标报告内容应当包括定标委员名单、定标程序、定标因素、定标结果等内容。采用综合定标法的，应当包括定标委员会成员对各中标候选人的打分情况和排序。</w:t>
            </w:r>
          </w:p>
          <w:p w14:paraId="17396513">
            <w:pPr>
              <w:numPr>
                <w:ilvl w:val="0"/>
                <w:numId w:val="0"/>
              </w:numPr>
              <w:adjustRightInd w:val="0"/>
              <w:snapToGrid w:val="0"/>
              <w:spacing w:line="520" w:lineRule="exact"/>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2.定标报告由定标委员会全体成员签字。对定标结果有不同意见的定标委员会成员应当以书面形式说明其不同意见和理由。定标委员会成员拒绝在定标报告上签字又不书面说明其不同意见和理由的，视为同意定标结果。</w:t>
            </w:r>
          </w:p>
          <w:p w14:paraId="7AC5C8C6">
            <w:pPr>
              <w:numPr>
                <w:ilvl w:val="0"/>
                <w:numId w:val="0"/>
              </w:numPr>
              <w:adjustRightInd w:val="0"/>
              <w:snapToGrid w:val="0"/>
              <w:spacing w:line="520" w:lineRule="exact"/>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3.定标会议中，定标委员会不得改变招标文件、投标文件和评 标的实质性内容。</w:t>
            </w:r>
          </w:p>
          <w:p w14:paraId="4705E5D2">
            <w:pPr>
              <w:numPr>
                <w:ilvl w:val="0"/>
                <w:numId w:val="0"/>
              </w:numPr>
              <w:adjustRightInd w:val="0"/>
              <w:snapToGrid w:val="0"/>
              <w:spacing w:line="520" w:lineRule="exact"/>
              <w:rPr>
                <w:rFonts w:hint="eastAsia" w:ascii="宋体" w:hAnsi="宋体" w:cs="宋体"/>
                <w:b/>
                <w:bCs/>
                <w:color w:val="auto"/>
                <w:sz w:val="24"/>
                <w:highlight w:val="none"/>
                <w:lang w:val="en-US" w:eastAsia="zh-CN"/>
              </w:rPr>
            </w:pPr>
            <w:r>
              <w:rPr>
                <w:rFonts w:hint="eastAsia" w:ascii="宋体" w:hAnsi="宋体" w:cs="宋体"/>
                <w:b/>
                <w:bCs/>
                <w:color w:val="auto"/>
                <w:sz w:val="24"/>
                <w:highlight w:val="none"/>
                <w:lang w:val="en-US" w:eastAsia="zh-CN"/>
              </w:rPr>
              <w:t>四、定标的其他情形</w:t>
            </w:r>
          </w:p>
          <w:p w14:paraId="45899DA9">
            <w:pPr>
              <w:numPr>
                <w:ilvl w:val="0"/>
                <w:numId w:val="0"/>
              </w:numPr>
              <w:adjustRightInd w:val="0"/>
              <w:snapToGrid w:val="0"/>
              <w:spacing w:line="520" w:lineRule="exact"/>
              <w:rPr>
                <w:rFonts w:hint="default"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评标结果公示期间，因异议或投诉导致中标候选人发生改变的，应当重新公示中标候选人。</w:t>
            </w:r>
          </w:p>
          <w:p w14:paraId="2EA4B1BC">
            <w:pPr>
              <w:numPr>
                <w:ilvl w:val="0"/>
                <w:numId w:val="0"/>
              </w:numPr>
              <w:adjustRightInd w:val="0"/>
              <w:snapToGrid w:val="0"/>
              <w:spacing w:line="520" w:lineRule="exact"/>
              <w:rPr>
                <w:rFonts w:hint="eastAsia" w:ascii="宋体" w:hAnsi="宋体" w:eastAsia="宋体" w:cs="宋体"/>
                <w:b/>
                <w:bCs/>
                <w:color w:val="auto"/>
                <w:sz w:val="24"/>
                <w:highlight w:val="none"/>
                <w:lang w:val="en-US" w:eastAsia="zh-CN"/>
              </w:rPr>
            </w:pPr>
            <w:r>
              <w:rPr>
                <w:rFonts w:hint="eastAsia" w:ascii="宋体" w:hAnsi="宋体" w:cs="宋体"/>
                <w:b/>
                <w:bCs/>
                <w:color w:val="auto"/>
                <w:sz w:val="24"/>
                <w:highlight w:val="none"/>
                <w:lang w:val="en-US" w:eastAsia="zh-CN"/>
              </w:rPr>
              <w:t>五</w:t>
            </w:r>
            <w:r>
              <w:rPr>
                <w:rFonts w:hint="eastAsia" w:ascii="宋体" w:hAnsi="宋体" w:eastAsia="宋体" w:cs="宋体"/>
                <w:b/>
                <w:bCs/>
                <w:color w:val="auto"/>
                <w:sz w:val="24"/>
                <w:highlight w:val="none"/>
                <w:lang w:val="en-US" w:eastAsia="zh-CN"/>
              </w:rPr>
              <w:t>、中标结果公告</w:t>
            </w:r>
          </w:p>
          <w:p w14:paraId="168E1250">
            <w:pPr>
              <w:numPr>
                <w:ilvl w:val="0"/>
                <w:numId w:val="0"/>
              </w:numPr>
              <w:adjustRightInd w:val="0"/>
              <w:snapToGrid w:val="0"/>
              <w:spacing w:line="520" w:lineRule="exact"/>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定标结束后3日内，招标人应当在发布招标公告的媒介上公示中标结果，并发放中标通知书。中标结果公告应载明中标人的名称、投标报价、项目</w:t>
            </w:r>
            <w:r>
              <w:rPr>
                <w:rFonts w:hint="eastAsia" w:ascii="宋体" w:hAnsi="宋体" w:cs="宋体"/>
                <w:b w:val="0"/>
                <w:bCs w:val="0"/>
                <w:color w:val="auto"/>
                <w:sz w:val="24"/>
                <w:highlight w:val="none"/>
                <w:lang w:val="en-US" w:eastAsia="zh-CN"/>
              </w:rPr>
              <w:t>经理</w:t>
            </w:r>
            <w:r>
              <w:rPr>
                <w:rFonts w:hint="eastAsia" w:ascii="宋体" w:hAnsi="宋体" w:eastAsia="宋体" w:cs="宋体"/>
                <w:b w:val="0"/>
                <w:bCs w:val="0"/>
                <w:color w:val="auto"/>
                <w:sz w:val="24"/>
                <w:highlight w:val="none"/>
                <w:lang w:val="en-US" w:eastAsia="zh-CN"/>
              </w:rPr>
              <w:t>等信息。</w:t>
            </w:r>
          </w:p>
          <w:p w14:paraId="713891D1">
            <w:pPr>
              <w:numPr>
                <w:ilvl w:val="0"/>
                <w:numId w:val="0"/>
              </w:numPr>
              <w:adjustRightInd w:val="0"/>
              <w:snapToGrid w:val="0"/>
              <w:spacing w:line="520" w:lineRule="exact"/>
              <w:rPr>
                <w:rFonts w:hint="eastAsia" w:ascii="宋体" w:hAnsi="宋体" w:cs="宋体"/>
                <w:b/>
                <w:bCs/>
                <w:color w:val="auto"/>
                <w:sz w:val="24"/>
                <w:highlight w:val="none"/>
                <w:lang w:val="en-US" w:eastAsia="zh-CN"/>
              </w:rPr>
            </w:pPr>
            <w:r>
              <w:rPr>
                <w:rFonts w:hint="eastAsia" w:ascii="宋体" w:hAnsi="宋体" w:cs="宋体"/>
                <w:b/>
                <w:bCs/>
                <w:color w:val="auto"/>
                <w:sz w:val="24"/>
                <w:highlight w:val="none"/>
                <w:lang w:val="en-US" w:eastAsia="zh-CN"/>
              </w:rPr>
              <w:t>六、重新定标</w:t>
            </w:r>
          </w:p>
          <w:p w14:paraId="203AFA3E">
            <w:pPr>
              <w:numPr>
                <w:ilvl w:val="0"/>
                <w:numId w:val="0"/>
              </w:numPr>
              <w:adjustRightInd w:val="0"/>
              <w:snapToGrid w:val="0"/>
              <w:spacing w:line="520" w:lineRule="exact"/>
              <w:rPr>
                <w:rFonts w:hint="default" w:ascii="宋体" w:hAnsi="宋体" w:eastAsia="宋体" w:cs="宋体"/>
                <w:b w:val="0"/>
                <w:bCs w:val="0"/>
                <w:color w:val="auto"/>
                <w:sz w:val="24"/>
                <w:highlight w:val="none"/>
                <w:lang w:val="en-US" w:eastAsia="zh-CN"/>
              </w:rPr>
            </w:pPr>
            <w:r>
              <w:rPr>
                <w:rFonts w:hint="default" w:ascii="宋体" w:hAnsi="宋体" w:eastAsia="宋体" w:cs="宋体"/>
                <w:b w:val="0"/>
                <w:bCs w:val="0"/>
                <w:color w:val="auto"/>
                <w:sz w:val="24"/>
                <w:highlight w:val="none"/>
                <w:lang w:val="en-US" w:eastAsia="zh-CN"/>
              </w:rPr>
              <w:t>定标后有下列情形之一的，建设单位或项目实施单位可以组织原定标委员会从其他中标候选人中按原定标方法确定中标人：</w:t>
            </w:r>
          </w:p>
          <w:p w14:paraId="28BB2013">
            <w:pPr>
              <w:numPr>
                <w:ilvl w:val="0"/>
                <w:numId w:val="0"/>
              </w:numPr>
              <w:adjustRightInd w:val="0"/>
              <w:snapToGrid w:val="0"/>
              <w:spacing w:line="520" w:lineRule="exact"/>
              <w:rPr>
                <w:rFonts w:hint="default" w:ascii="宋体" w:hAnsi="宋体" w:eastAsia="宋体" w:cs="宋体"/>
                <w:b w:val="0"/>
                <w:bCs w:val="0"/>
                <w:color w:val="auto"/>
                <w:sz w:val="24"/>
                <w:highlight w:val="none"/>
                <w:lang w:val="en-US" w:eastAsia="zh-CN"/>
              </w:rPr>
            </w:pPr>
            <w:r>
              <w:rPr>
                <w:rFonts w:hint="default" w:ascii="宋体" w:hAnsi="宋体" w:eastAsia="宋体" w:cs="宋体"/>
                <w:b w:val="0"/>
                <w:bCs w:val="0"/>
                <w:color w:val="auto"/>
                <w:sz w:val="24"/>
                <w:highlight w:val="none"/>
                <w:lang w:val="en-US" w:eastAsia="zh-CN"/>
              </w:rPr>
              <w:t>1</w:t>
            </w:r>
            <w:r>
              <w:rPr>
                <w:rFonts w:hint="eastAsia" w:ascii="宋体" w:hAnsi="宋体" w:cs="宋体"/>
                <w:b w:val="0"/>
                <w:bCs w:val="0"/>
                <w:color w:val="auto"/>
                <w:sz w:val="24"/>
                <w:highlight w:val="none"/>
                <w:lang w:val="en-US" w:eastAsia="zh-CN"/>
              </w:rPr>
              <w:t>.</w:t>
            </w:r>
            <w:r>
              <w:rPr>
                <w:rFonts w:hint="default" w:ascii="宋体" w:hAnsi="宋体" w:eastAsia="宋体" w:cs="宋体"/>
                <w:b w:val="0"/>
                <w:bCs w:val="0"/>
                <w:color w:val="auto"/>
                <w:sz w:val="24"/>
                <w:highlight w:val="none"/>
                <w:lang w:val="en-US" w:eastAsia="zh-CN"/>
              </w:rPr>
              <w:t>中标人放弃中标资格或者拒不签订合同的；</w:t>
            </w:r>
          </w:p>
          <w:p w14:paraId="35359D8E">
            <w:pPr>
              <w:numPr>
                <w:ilvl w:val="0"/>
                <w:numId w:val="0"/>
              </w:numPr>
              <w:adjustRightInd w:val="0"/>
              <w:snapToGrid w:val="0"/>
              <w:spacing w:line="520" w:lineRule="exact"/>
              <w:rPr>
                <w:rFonts w:hint="default" w:ascii="宋体" w:hAnsi="宋体" w:eastAsia="宋体" w:cs="宋体"/>
                <w:b w:val="0"/>
                <w:bCs w:val="0"/>
                <w:color w:val="auto"/>
                <w:sz w:val="24"/>
                <w:highlight w:val="none"/>
                <w:lang w:val="en-US" w:eastAsia="zh-CN"/>
              </w:rPr>
            </w:pPr>
            <w:r>
              <w:rPr>
                <w:rFonts w:hint="default" w:ascii="宋体" w:hAnsi="宋体" w:eastAsia="宋体" w:cs="宋体"/>
                <w:b w:val="0"/>
                <w:bCs w:val="0"/>
                <w:color w:val="auto"/>
                <w:sz w:val="24"/>
                <w:highlight w:val="none"/>
                <w:lang w:val="en-US" w:eastAsia="zh-CN"/>
              </w:rPr>
              <w:t>2</w:t>
            </w:r>
            <w:r>
              <w:rPr>
                <w:rFonts w:hint="eastAsia" w:ascii="宋体" w:hAnsi="宋体" w:cs="宋体"/>
                <w:b w:val="0"/>
                <w:bCs w:val="0"/>
                <w:color w:val="auto"/>
                <w:sz w:val="24"/>
                <w:highlight w:val="none"/>
                <w:lang w:val="en-US" w:eastAsia="zh-CN"/>
              </w:rPr>
              <w:t>.</w:t>
            </w:r>
            <w:r>
              <w:rPr>
                <w:rFonts w:hint="default" w:ascii="宋体" w:hAnsi="宋体" w:eastAsia="宋体" w:cs="宋体"/>
                <w:b w:val="0"/>
                <w:bCs w:val="0"/>
                <w:color w:val="auto"/>
                <w:sz w:val="24"/>
                <w:highlight w:val="none"/>
                <w:lang w:val="en-US" w:eastAsia="zh-CN"/>
              </w:rPr>
              <w:t>招标文件规定应当提交履约保证金而且在规定的期限内未能提交的；</w:t>
            </w:r>
          </w:p>
          <w:p w14:paraId="7E9679FC">
            <w:pPr>
              <w:numPr>
                <w:ilvl w:val="0"/>
                <w:numId w:val="0"/>
              </w:numPr>
              <w:adjustRightInd w:val="0"/>
              <w:snapToGrid w:val="0"/>
              <w:spacing w:line="520" w:lineRule="exact"/>
              <w:rPr>
                <w:rFonts w:hint="default" w:ascii="宋体" w:hAnsi="宋体" w:eastAsia="宋体" w:cs="宋体"/>
                <w:b w:val="0"/>
                <w:bCs w:val="0"/>
                <w:color w:val="auto"/>
                <w:sz w:val="24"/>
                <w:highlight w:val="none"/>
                <w:lang w:val="en-US" w:eastAsia="zh-CN"/>
              </w:rPr>
            </w:pPr>
            <w:r>
              <w:rPr>
                <w:rFonts w:hint="default"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lang w:val="en-US" w:eastAsia="zh-CN"/>
              </w:rPr>
              <w:t>.</w:t>
            </w:r>
            <w:r>
              <w:rPr>
                <w:rFonts w:hint="default" w:ascii="宋体" w:hAnsi="宋体" w:eastAsia="宋体" w:cs="宋体"/>
                <w:b w:val="0"/>
                <w:bCs w:val="0"/>
                <w:color w:val="auto"/>
                <w:sz w:val="24"/>
                <w:highlight w:val="none"/>
                <w:lang w:val="en-US" w:eastAsia="zh-CN"/>
              </w:rPr>
              <w:t>中标人被查实存在违法行为影响中标结果的；</w:t>
            </w:r>
          </w:p>
          <w:p w14:paraId="6BDA5AAD">
            <w:pPr>
              <w:numPr>
                <w:ilvl w:val="0"/>
                <w:numId w:val="0"/>
              </w:numPr>
              <w:adjustRightInd w:val="0"/>
              <w:snapToGrid w:val="0"/>
              <w:spacing w:line="520" w:lineRule="exact"/>
              <w:rPr>
                <w:rFonts w:hint="default" w:ascii="宋体" w:hAnsi="宋体" w:eastAsia="宋体" w:cs="宋体"/>
                <w:b w:val="0"/>
                <w:bCs w:val="0"/>
                <w:color w:val="auto"/>
                <w:sz w:val="24"/>
                <w:highlight w:val="none"/>
                <w:lang w:val="en-US" w:eastAsia="zh-CN"/>
              </w:rPr>
            </w:pPr>
            <w:r>
              <w:rPr>
                <w:rFonts w:hint="default" w:ascii="宋体" w:hAnsi="宋体" w:eastAsia="宋体" w:cs="宋体"/>
                <w:b w:val="0"/>
                <w:bCs w:val="0"/>
                <w:color w:val="auto"/>
                <w:sz w:val="24"/>
                <w:highlight w:val="none"/>
                <w:lang w:val="en-US" w:eastAsia="zh-CN"/>
              </w:rPr>
              <w:t>4</w:t>
            </w:r>
            <w:r>
              <w:rPr>
                <w:rFonts w:hint="eastAsia" w:ascii="宋体" w:hAnsi="宋体" w:eastAsia="宋体" w:cs="宋体"/>
                <w:b w:val="0"/>
                <w:bCs w:val="0"/>
                <w:color w:val="auto"/>
                <w:sz w:val="24"/>
                <w:highlight w:val="none"/>
                <w:lang w:val="en-US" w:eastAsia="zh-CN"/>
              </w:rPr>
              <w:t>.</w:t>
            </w:r>
            <w:r>
              <w:rPr>
                <w:rFonts w:hint="default" w:ascii="宋体" w:hAnsi="宋体" w:eastAsia="宋体" w:cs="宋体"/>
                <w:b w:val="0"/>
                <w:bCs w:val="0"/>
                <w:color w:val="auto"/>
                <w:sz w:val="24"/>
                <w:highlight w:val="none"/>
                <w:lang w:val="en-US" w:eastAsia="zh-CN"/>
              </w:rPr>
              <w:t>招标文件规定的其他情形。</w:t>
            </w:r>
          </w:p>
          <w:p w14:paraId="14525FCA">
            <w:pPr>
              <w:numPr>
                <w:ilvl w:val="0"/>
                <w:numId w:val="0"/>
              </w:numPr>
              <w:adjustRightInd w:val="0"/>
              <w:snapToGrid w:val="0"/>
              <w:spacing w:line="520" w:lineRule="exact"/>
              <w:rPr>
                <w:rFonts w:hint="default" w:ascii="宋体" w:hAnsi="宋体" w:eastAsia="宋体" w:cs="宋体"/>
                <w:b w:val="0"/>
                <w:bCs w:val="0"/>
                <w:color w:val="auto"/>
                <w:sz w:val="24"/>
                <w:highlight w:val="none"/>
                <w:lang w:val="en-US" w:eastAsia="zh-CN"/>
              </w:rPr>
            </w:pPr>
            <w:r>
              <w:rPr>
                <w:rFonts w:hint="default" w:ascii="宋体" w:hAnsi="宋体" w:eastAsia="宋体" w:cs="宋体"/>
                <w:b w:val="0"/>
                <w:bCs w:val="0"/>
                <w:color w:val="auto"/>
                <w:sz w:val="24"/>
                <w:highlight w:val="none"/>
                <w:lang w:val="en-US" w:eastAsia="zh-CN"/>
              </w:rPr>
              <w:t>定标后有下列情形之一的，应重新组建定标委员会进行定标：</w:t>
            </w:r>
          </w:p>
          <w:p w14:paraId="7AE83621">
            <w:pPr>
              <w:numPr>
                <w:ilvl w:val="0"/>
                <w:numId w:val="0"/>
              </w:numPr>
              <w:adjustRightInd w:val="0"/>
              <w:snapToGrid w:val="0"/>
              <w:spacing w:line="520" w:lineRule="exact"/>
              <w:rPr>
                <w:rFonts w:hint="default" w:ascii="宋体" w:hAnsi="宋体" w:eastAsia="宋体" w:cs="宋体"/>
                <w:b w:val="0"/>
                <w:bCs w:val="0"/>
                <w:color w:val="auto"/>
                <w:sz w:val="24"/>
                <w:highlight w:val="none"/>
                <w:lang w:val="en-US" w:eastAsia="zh-CN"/>
              </w:rPr>
            </w:pPr>
            <w:r>
              <w:rPr>
                <w:rFonts w:hint="default" w:ascii="宋体" w:hAnsi="宋体" w:eastAsia="宋体" w:cs="宋体"/>
                <w:b w:val="0"/>
                <w:bCs w:val="0"/>
                <w:color w:val="auto"/>
                <w:sz w:val="24"/>
                <w:highlight w:val="none"/>
                <w:lang w:val="en-US" w:eastAsia="zh-CN"/>
              </w:rPr>
              <w:t>1.定标委员会未按定标方法公正履职的；</w:t>
            </w:r>
          </w:p>
          <w:p w14:paraId="555EAA2A">
            <w:pPr>
              <w:numPr>
                <w:ilvl w:val="0"/>
                <w:numId w:val="0"/>
              </w:numPr>
              <w:adjustRightInd w:val="0"/>
              <w:snapToGrid w:val="0"/>
              <w:spacing w:line="520" w:lineRule="exact"/>
              <w:rPr>
                <w:rFonts w:hint="default" w:ascii="宋体" w:hAnsi="宋体" w:eastAsia="宋体" w:cs="宋体"/>
                <w:b w:val="0"/>
                <w:bCs w:val="0"/>
                <w:color w:val="auto"/>
                <w:sz w:val="24"/>
                <w:highlight w:val="none"/>
                <w:lang w:val="en-US" w:eastAsia="zh-CN"/>
              </w:rPr>
            </w:pPr>
            <w:r>
              <w:rPr>
                <w:rFonts w:hint="default" w:ascii="宋体" w:hAnsi="宋体" w:eastAsia="宋体" w:cs="宋体"/>
                <w:b w:val="0"/>
                <w:bCs w:val="0"/>
                <w:color w:val="auto"/>
                <w:sz w:val="24"/>
                <w:highlight w:val="none"/>
                <w:lang w:val="en-US" w:eastAsia="zh-CN"/>
              </w:rPr>
              <w:t>2.定标委员会成员与中标候选人有利害关系且未申请回避 的；</w:t>
            </w:r>
          </w:p>
          <w:p w14:paraId="69EB07F9">
            <w:pPr>
              <w:spacing w:line="520" w:lineRule="exact"/>
              <w:rPr>
                <w:rFonts w:hint="eastAsia" w:ascii="宋体" w:hAnsi="宋体" w:eastAsia="宋体" w:cs="宋体"/>
                <w:color w:val="auto"/>
                <w:sz w:val="24"/>
                <w:highlight w:val="none"/>
                <w:lang w:val="en-US" w:eastAsia="zh-CN"/>
              </w:rPr>
            </w:pPr>
            <w:r>
              <w:rPr>
                <w:rFonts w:hint="default" w:ascii="宋体" w:hAnsi="宋体" w:eastAsia="宋体" w:cs="宋体"/>
                <w:b w:val="0"/>
                <w:bCs w:val="0"/>
                <w:color w:val="auto"/>
                <w:sz w:val="24"/>
                <w:highlight w:val="none"/>
                <w:lang w:val="en-US" w:eastAsia="zh-CN"/>
              </w:rPr>
              <w:t>3.招标文件规定的其他情形。</w:t>
            </w:r>
          </w:p>
        </w:tc>
      </w:tr>
      <w:bookmarkEnd w:id="48"/>
      <w:bookmarkEnd w:id="49"/>
      <w:bookmarkEnd w:id="50"/>
      <w:bookmarkEnd w:id="51"/>
    </w:tbl>
    <w:p w14:paraId="2C2388C1">
      <w:pPr>
        <w:pStyle w:val="3"/>
        <w:pageBreakBefore/>
        <w:adjustRightInd w:val="0"/>
        <w:snapToGrid w:val="0"/>
        <w:spacing w:before="0" w:after="0" w:line="560" w:lineRule="exact"/>
        <w:ind w:firstLine="422" w:firstLineChars="200"/>
        <w:rPr>
          <w:rFonts w:hint="eastAsia" w:ascii="黑体" w:hAnsi="黑体" w:cs="黑体"/>
          <w:color w:val="auto"/>
          <w:sz w:val="21"/>
          <w:szCs w:val="21"/>
          <w:highlight w:val="none"/>
        </w:rPr>
      </w:pPr>
      <w:r>
        <w:rPr>
          <w:rFonts w:hint="eastAsia" w:ascii="黑体" w:hAnsi="黑体" w:cs="黑体"/>
          <w:color w:val="auto"/>
          <w:sz w:val="21"/>
          <w:szCs w:val="21"/>
          <w:highlight w:val="none"/>
        </w:rPr>
        <w:t>1. 总则</w:t>
      </w:r>
      <w:bookmarkEnd w:id="38"/>
      <w:bookmarkEnd w:id="39"/>
      <w:bookmarkEnd w:id="40"/>
      <w:bookmarkEnd w:id="41"/>
      <w:bookmarkEnd w:id="42"/>
      <w:bookmarkEnd w:id="43"/>
      <w:bookmarkEnd w:id="44"/>
      <w:bookmarkEnd w:id="45"/>
      <w:bookmarkEnd w:id="46"/>
      <w:bookmarkEnd w:id="47"/>
      <w:bookmarkEnd w:id="52"/>
      <w:bookmarkEnd w:id="53"/>
      <w:bookmarkEnd w:id="54"/>
    </w:p>
    <w:p w14:paraId="05714B5D">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55" w:name="_Toc15058847"/>
      <w:bookmarkStart w:id="56" w:name="_Toc95223337"/>
      <w:bookmarkStart w:id="57" w:name="_Toc83301689"/>
      <w:bookmarkStart w:id="58" w:name="_Toc152042306"/>
      <w:bookmarkStart w:id="59" w:name="_Toc324404816"/>
      <w:bookmarkStart w:id="60" w:name="_Toc144974498"/>
      <w:bookmarkStart w:id="61" w:name="_Toc506107270"/>
      <w:bookmarkStart w:id="62" w:name="_Toc152045530"/>
      <w:bookmarkStart w:id="63" w:name="_Toc179632547"/>
      <w:bookmarkStart w:id="64" w:name="_Toc296602421"/>
      <w:bookmarkStart w:id="65" w:name="_Toc246996176"/>
      <w:bookmarkStart w:id="66" w:name="_Toc60061434"/>
      <w:bookmarkStart w:id="67" w:name="_Toc246996919"/>
      <w:bookmarkStart w:id="68" w:name="_Toc247085690"/>
      <w:r>
        <w:rPr>
          <w:rFonts w:hint="eastAsia" w:ascii="黑体" w:hAnsi="黑体" w:eastAsia="黑体" w:cs="黑体"/>
          <w:color w:val="auto"/>
          <w:sz w:val="21"/>
          <w:szCs w:val="21"/>
          <w:highlight w:val="none"/>
        </w:rPr>
        <w:t>1.1 项目概况</w:t>
      </w:r>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06CFFDF5">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1.1.1根据《中华人民共和国招标投标法》《中华人民共和国招标投标法实施条例》等有关法律、法规和规章的规定，本招标项目已具备招标条件，现对本项目施工进行招标。</w:t>
      </w:r>
    </w:p>
    <w:p w14:paraId="0CDB7DA1">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1.1.2 本招标项目招标人：见投标人须知前附表。</w:t>
      </w:r>
    </w:p>
    <w:p w14:paraId="55882995">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1.1.3 本招标项目招标代理机构：见投标人须知前附表。</w:t>
      </w:r>
    </w:p>
    <w:p w14:paraId="7837177F">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1.1.4 本招标项目名称：见投标人须知前附表。</w:t>
      </w:r>
    </w:p>
    <w:p w14:paraId="56DA0C03">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1.1.5 本招标项目建设地点：见投标人须知前附表。</w:t>
      </w:r>
    </w:p>
    <w:p w14:paraId="24089917">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69" w:name="_Toc324404817"/>
      <w:bookmarkStart w:id="70" w:name="_Toc296602422"/>
      <w:bookmarkStart w:id="71" w:name="_Toc144974499"/>
      <w:bookmarkStart w:id="72" w:name="_Toc506107271"/>
      <w:bookmarkStart w:id="73" w:name="_Toc15058848"/>
      <w:bookmarkStart w:id="74" w:name="_Toc152042307"/>
      <w:bookmarkStart w:id="75" w:name="_Toc246996920"/>
      <w:bookmarkStart w:id="76" w:name="_Toc246996177"/>
      <w:bookmarkStart w:id="77" w:name="_Toc95223338"/>
      <w:bookmarkStart w:id="78" w:name="_Toc83301690"/>
      <w:bookmarkStart w:id="79" w:name="_Toc247085691"/>
      <w:bookmarkStart w:id="80" w:name="_Toc179632548"/>
      <w:bookmarkStart w:id="81" w:name="_Toc152045531"/>
      <w:bookmarkStart w:id="82" w:name="_Toc60061435"/>
      <w:r>
        <w:rPr>
          <w:rFonts w:hint="eastAsia" w:ascii="黑体" w:hAnsi="黑体" w:eastAsia="黑体" w:cs="黑体"/>
          <w:color w:val="auto"/>
          <w:sz w:val="21"/>
          <w:szCs w:val="21"/>
          <w:highlight w:val="none"/>
        </w:rPr>
        <w:t>1.2 资金来源和落实情况</w:t>
      </w:r>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540CE3F1">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 本招标项目的资金来源及出资比例：见投标人须知前附表。</w:t>
      </w:r>
    </w:p>
    <w:p w14:paraId="3E091DBE">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1.2.2 本招标项目的资金落实情况：见投标人须知前附表。</w:t>
      </w:r>
    </w:p>
    <w:p w14:paraId="3BE03C02">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83" w:name="_Toc296602423"/>
      <w:bookmarkStart w:id="84" w:name="_Toc15058849"/>
      <w:bookmarkStart w:id="85" w:name="_Toc152042308"/>
      <w:bookmarkStart w:id="86" w:name="_Toc324404818"/>
      <w:bookmarkStart w:id="87" w:name="_Toc506107272"/>
      <w:bookmarkStart w:id="88" w:name="_Toc95223339"/>
      <w:bookmarkStart w:id="89" w:name="_Toc246996178"/>
      <w:bookmarkStart w:id="90" w:name="_Toc247085692"/>
      <w:bookmarkStart w:id="91" w:name="_Toc152045532"/>
      <w:bookmarkStart w:id="92" w:name="_Toc60061436"/>
      <w:bookmarkStart w:id="93" w:name="_Toc144974500"/>
      <w:bookmarkStart w:id="94" w:name="_Toc246996921"/>
      <w:bookmarkStart w:id="95" w:name="_Toc83301691"/>
      <w:bookmarkStart w:id="96" w:name="_Toc179632549"/>
      <w:r>
        <w:rPr>
          <w:rFonts w:hint="eastAsia" w:ascii="黑体" w:hAnsi="黑体" w:eastAsia="黑体" w:cs="黑体"/>
          <w:color w:val="auto"/>
          <w:sz w:val="21"/>
          <w:szCs w:val="21"/>
          <w:highlight w:val="none"/>
        </w:rPr>
        <w:t>1.3 招标范围、计划工期、质量要求</w:t>
      </w:r>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1CCF5241">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1.3.1 本次招标范围：见投标人须知前附表。</w:t>
      </w:r>
    </w:p>
    <w:p w14:paraId="129184A4">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1.3.2 本招标项目的计划工期：见投标人须知前附表。</w:t>
      </w:r>
    </w:p>
    <w:p w14:paraId="68770223">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1.3.3 本招标项目的质量要求：见投标人须知前附表。</w:t>
      </w:r>
    </w:p>
    <w:p w14:paraId="3109BE9F">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97" w:name="_Toc506107273"/>
      <w:bookmarkStart w:id="98" w:name="_Toc15058850"/>
      <w:bookmarkStart w:id="99" w:name="_Toc83301692"/>
      <w:bookmarkStart w:id="100" w:name="_Toc179632551"/>
      <w:bookmarkStart w:id="101" w:name="_Toc152045534"/>
      <w:bookmarkStart w:id="102" w:name="_Toc95223340"/>
      <w:bookmarkStart w:id="103" w:name="_Toc144974502"/>
      <w:bookmarkStart w:id="104" w:name="_Toc247085693"/>
      <w:bookmarkStart w:id="105" w:name="_Toc324404819"/>
      <w:bookmarkStart w:id="106" w:name="_Toc246996922"/>
      <w:bookmarkStart w:id="107" w:name="_Toc296602424"/>
      <w:bookmarkStart w:id="108" w:name="_Toc152042310"/>
      <w:bookmarkStart w:id="109" w:name="_Toc60061437"/>
      <w:bookmarkStart w:id="110" w:name="_Toc246996179"/>
      <w:r>
        <w:rPr>
          <w:rFonts w:hint="eastAsia" w:ascii="黑体" w:hAnsi="黑体" w:eastAsia="黑体" w:cs="黑体"/>
          <w:color w:val="auto"/>
          <w:sz w:val="21"/>
          <w:szCs w:val="21"/>
          <w:highlight w:val="none"/>
        </w:rPr>
        <w:t>1.4 投标人资格要求</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46EE446E">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1.4.1 投标人应具备承担本项目施工的资质条件、能力和信誉。</w:t>
      </w:r>
    </w:p>
    <w:p w14:paraId="357425D7">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（1）资质条件：见投标人须知前附表；</w:t>
      </w:r>
    </w:p>
    <w:p w14:paraId="102D0192">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（2）信誉要求：见投标人须知前附表；</w:t>
      </w:r>
    </w:p>
    <w:p w14:paraId="6F00284F">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（3）项目经理（建造师）资格：见投标人须知前附表；</w:t>
      </w:r>
    </w:p>
    <w:p w14:paraId="79D5B1D9">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（4）其他要求：见投标人须知前附表。</w:t>
      </w:r>
    </w:p>
    <w:p w14:paraId="488EE6FC">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1.4.2 投标人须知前附表规定接受联合体投标的，除应符合本章第1.4.1项和投标人须知前附表的要求外，还应遵守以下规定： </w:t>
      </w:r>
    </w:p>
    <w:p w14:paraId="40E966CE">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（1）联合体各方应按招标文件提供的格式签订联合体协议书，明确联合体各方权利义务</w:t>
      </w:r>
      <w:r>
        <w:rPr>
          <w:color w:val="auto"/>
          <w:spacing w:val="-3"/>
          <w:highlight w:val="none"/>
        </w:rPr>
        <w:t>，并承诺就中标项目向招标人承担连带责任</w:t>
      </w:r>
      <w:r>
        <w:rPr>
          <w:rFonts w:hint="eastAsia" w:ascii="宋体" w:hAnsi="宋体" w:cs="宋体"/>
          <w:color w:val="auto"/>
          <w:szCs w:val="21"/>
          <w:highlight w:val="none"/>
        </w:rPr>
        <w:t>；</w:t>
      </w:r>
    </w:p>
    <w:p w14:paraId="50DDEAB8">
      <w:pPr>
        <w:adjustRightInd w:val="0"/>
        <w:snapToGrid w:val="0"/>
        <w:spacing w:line="560" w:lineRule="exact"/>
        <w:ind w:firstLine="420" w:firstLineChars="200"/>
        <w:rPr>
          <w:rFonts w:hint="eastAsia"/>
          <w:color w:val="auto"/>
          <w:highlight w:val="none"/>
        </w:rPr>
      </w:pPr>
      <w:r>
        <w:rPr>
          <w:rFonts w:hint="eastAsia" w:ascii="宋体" w:hAnsi="宋体" w:cs="宋体"/>
          <w:color w:val="auto"/>
          <w:szCs w:val="21"/>
          <w:highlight w:val="none"/>
        </w:rPr>
        <w:t>（2）联合体各方不得再以自己名义单独或参加其他联合体在同一标段中投标。</w:t>
      </w:r>
    </w:p>
    <w:p w14:paraId="642FBACE">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1.4.3</w:t>
      </w:r>
      <w:bookmarkStart w:id="111" w:name="_Toc179632552"/>
      <w:bookmarkStart w:id="112" w:name="_Toc15058851"/>
      <w:bookmarkStart w:id="113" w:name="_Toc144974503"/>
      <w:bookmarkStart w:id="114" w:name="_Toc246996923"/>
      <w:bookmarkStart w:id="115" w:name="_Toc152042311"/>
      <w:bookmarkStart w:id="116" w:name="_Toc95223341"/>
      <w:bookmarkStart w:id="117" w:name="_Toc247085694"/>
      <w:bookmarkStart w:id="118" w:name="_Toc60061438"/>
      <w:bookmarkStart w:id="119" w:name="_Toc83301693"/>
      <w:bookmarkStart w:id="120" w:name="_Toc246996180"/>
      <w:bookmarkStart w:id="121" w:name="_Toc506107274"/>
      <w:bookmarkStart w:id="122" w:name="_Toc296602425"/>
      <w:bookmarkStart w:id="123" w:name="_Toc324404820"/>
      <w:bookmarkStart w:id="124" w:name="_Toc152045535"/>
      <w:r>
        <w:rPr>
          <w:rFonts w:hint="eastAsia" w:ascii="宋体" w:hAnsi="宋体" w:cs="宋体"/>
          <w:color w:val="auto"/>
          <w:szCs w:val="21"/>
          <w:highlight w:val="none"/>
        </w:rPr>
        <w:t>投标人（包括联合体各成员）不得与本标段相关单位存在下列关联关系：</w:t>
      </w:r>
    </w:p>
    <w:p w14:paraId="145B1444">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（1）为招标人不具有独立法人资格的附属机构（单位）；</w:t>
      </w:r>
    </w:p>
    <w:p w14:paraId="2EEB93BB">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（2）与招标人存在利害关系且可能影响招标公正性；</w:t>
      </w:r>
    </w:p>
    <w:p w14:paraId="632B7105">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（3）与本标段的其他投标人同为一个单位负责人；</w:t>
      </w:r>
    </w:p>
    <w:p w14:paraId="13FA4652">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（4）与本标段的其他投标人存在控股、管理关系；</w:t>
      </w:r>
    </w:p>
    <w:p w14:paraId="2022E85D">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（5）为本标段前期准备提供设计或咨询服务的法人或其任何附属机构（单位）</w:t>
      </w:r>
      <w:r>
        <w:rPr>
          <w:rFonts w:hint="eastAsia" w:ascii="宋体" w:hAnsi="宋体" w:cs="宋体"/>
          <w:b/>
          <w:color w:val="auto"/>
          <w:szCs w:val="21"/>
          <w:highlight w:val="none"/>
        </w:rPr>
        <w:t>(工程总承包项目本目不采用)</w:t>
      </w:r>
      <w:r>
        <w:rPr>
          <w:rFonts w:hint="eastAsia" w:ascii="宋体" w:hAnsi="宋体" w:cs="宋体"/>
          <w:color w:val="auto"/>
          <w:szCs w:val="21"/>
          <w:highlight w:val="none"/>
        </w:rPr>
        <w:t>；</w:t>
      </w:r>
    </w:p>
    <w:p w14:paraId="2D4545B1">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（6）为本标段的监理人；</w:t>
      </w:r>
    </w:p>
    <w:p w14:paraId="699CA178">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（7）为本标段的代建人；</w:t>
      </w:r>
    </w:p>
    <w:p w14:paraId="297F8848">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（8）为本标段的招标代理机构；</w:t>
      </w:r>
    </w:p>
    <w:p w14:paraId="6B730147">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（9）与本标段的监理人或代建人或招标代理机构同为一个法定代表人；</w:t>
      </w:r>
    </w:p>
    <w:p w14:paraId="3691B6CE">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（10）与本标段的监理人或代建人或招标代理机构存在控股或参股关系；</w:t>
      </w:r>
    </w:p>
    <w:p w14:paraId="3D5CB86A">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（11）法律法规或投标人须知前附表规定的其他情形。</w:t>
      </w:r>
    </w:p>
    <w:p w14:paraId="139E741F">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r>
        <w:rPr>
          <w:rFonts w:hint="eastAsia" w:ascii="黑体" w:hAnsi="黑体" w:eastAsia="黑体" w:cs="黑体"/>
          <w:color w:val="auto"/>
          <w:sz w:val="21"/>
          <w:szCs w:val="21"/>
          <w:highlight w:val="none"/>
        </w:rPr>
        <w:t>1.5 费用承担</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52FF78F8">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投标人准备和参加投标活动发生的费用自理。</w:t>
      </w:r>
    </w:p>
    <w:p w14:paraId="7D7055F1">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125" w:name="_Toc246996924"/>
      <w:bookmarkStart w:id="126" w:name="_Toc83301694"/>
      <w:bookmarkStart w:id="127" w:name="_Toc247085695"/>
      <w:bookmarkStart w:id="128" w:name="_Toc296602426"/>
      <w:bookmarkStart w:id="129" w:name="_Toc246996181"/>
      <w:bookmarkStart w:id="130" w:name="_Toc95223342"/>
      <w:bookmarkStart w:id="131" w:name="_Toc506107275"/>
      <w:bookmarkStart w:id="132" w:name="_Toc152042312"/>
      <w:bookmarkStart w:id="133" w:name="_Toc152045536"/>
      <w:bookmarkStart w:id="134" w:name="_Toc144974504"/>
      <w:bookmarkStart w:id="135" w:name="_Toc179632553"/>
      <w:bookmarkStart w:id="136" w:name="_Toc60061439"/>
      <w:bookmarkStart w:id="137" w:name="_Toc15058852"/>
      <w:bookmarkStart w:id="138" w:name="_Toc324404821"/>
      <w:r>
        <w:rPr>
          <w:rFonts w:hint="eastAsia" w:ascii="黑体" w:hAnsi="黑体" w:eastAsia="黑体" w:cs="黑体"/>
          <w:color w:val="auto"/>
          <w:sz w:val="21"/>
          <w:szCs w:val="21"/>
          <w:highlight w:val="none"/>
        </w:rPr>
        <w:t>1.6 保密</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50A4F214">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参与招标投标活动的各方应对招标文件和投标文件中的商业和技术等秘密保密，违者应对由此造成的后果承担法律责任。 </w:t>
      </w:r>
    </w:p>
    <w:p w14:paraId="27C26EBC">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139" w:name="_Toc144974505"/>
      <w:bookmarkStart w:id="140" w:name="_Toc152042313"/>
      <w:bookmarkStart w:id="141" w:name="_Toc15058853"/>
      <w:bookmarkStart w:id="142" w:name="_Toc60061440"/>
      <w:bookmarkStart w:id="143" w:name="_Toc506107276"/>
      <w:bookmarkStart w:id="144" w:name="_Toc179632554"/>
      <w:bookmarkStart w:id="145" w:name="_Toc247085696"/>
      <w:bookmarkStart w:id="146" w:name="_Toc95223343"/>
      <w:bookmarkStart w:id="147" w:name="_Toc246996182"/>
      <w:bookmarkStart w:id="148" w:name="_Toc324404822"/>
      <w:bookmarkStart w:id="149" w:name="_Toc246996925"/>
      <w:bookmarkStart w:id="150" w:name="_Toc152045537"/>
      <w:bookmarkStart w:id="151" w:name="_Toc83301695"/>
      <w:bookmarkStart w:id="152" w:name="_Toc296602427"/>
      <w:r>
        <w:rPr>
          <w:rFonts w:hint="eastAsia" w:ascii="黑体" w:hAnsi="黑体" w:eastAsia="黑体" w:cs="黑体"/>
          <w:color w:val="auto"/>
          <w:sz w:val="21"/>
          <w:szCs w:val="21"/>
          <w:highlight w:val="none"/>
        </w:rPr>
        <w:t>1.7 语言</w:t>
      </w:r>
      <w:bookmarkEnd w:id="139"/>
      <w:r>
        <w:rPr>
          <w:rFonts w:hint="eastAsia" w:ascii="黑体" w:hAnsi="黑体" w:eastAsia="黑体" w:cs="黑体"/>
          <w:color w:val="auto"/>
          <w:sz w:val="21"/>
          <w:szCs w:val="21"/>
          <w:highlight w:val="none"/>
        </w:rPr>
        <w:t>文字</w:t>
      </w:r>
      <w:bookmarkEnd w:id="140"/>
      <w:bookmarkEnd w:id="141"/>
      <w:bookmarkEnd w:id="142"/>
      <w:bookmarkEnd w:id="143"/>
      <w:bookmarkEnd w:id="144"/>
      <w:bookmarkEnd w:id="145"/>
      <w:bookmarkEnd w:id="146"/>
      <w:bookmarkEnd w:id="147"/>
      <w:bookmarkEnd w:id="148"/>
      <w:bookmarkEnd w:id="149"/>
      <w:bookmarkEnd w:id="150"/>
      <w:bookmarkEnd w:id="151"/>
      <w:bookmarkEnd w:id="152"/>
    </w:p>
    <w:p w14:paraId="1F608CB8">
      <w:pPr>
        <w:adjustRightInd w:val="0"/>
        <w:snapToGrid w:val="0"/>
        <w:spacing w:line="560" w:lineRule="exact"/>
        <w:ind w:firstLine="420" w:firstLineChars="200"/>
        <w:rPr>
          <w:rFonts w:hint="eastAsia" w:ascii="宋体" w:hAnsi="宋体" w:cs="宋体"/>
          <w:color w:val="auto"/>
          <w:szCs w:val="21"/>
          <w:highlight w:val="none"/>
        </w:rPr>
      </w:pPr>
      <w:bookmarkStart w:id="153" w:name="_Toc246996183"/>
      <w:bookmarkStart w:id="154" w:name="_Toc152042314"/>
      <w:bookmarkStart w:id="155" w:name="_Toc144974506"/>
      <w:bookmarkStart w:id="156" w:name="_Toc179632555"/>
      <w:bookmarkStart w:id="157" w:name="_Toc246996926"/>
      <w:bookmarkStart w:id="158" w:name="_Toc247085697"/>
      <w:bookmarkStart w:id="159" w:name="_Toc152045538"/>
      <w:r>
        <w:rPr>
          <w:rFonts w:hint="eastAsia" w:ascii="宋体" w:hAnsi="宋体" w:cs="宋体"/>
          <w:color w:val="auto"/>
          <w:szCs w:val="21"/>
          <w:highlight w:val="none"/>
        </w:rPr>
        <w:t>招标投标文件使用的语言文字为中文。专用术语使用外文的，应附有中文注释。</w:t>
      </w:r>
    </w:p>
    <w:p w14:paraId="4A83C7ED">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160" w:name="_Toc95223344"/>
      <w:bookmarkStart w:id="161" w:name="_Toc296602428"/>
      <w:bookmarkStart w:id="162" w:name="_Toc15058854"/>
      <w:bookmarkStart w:id="163" w:name="_Toc506107277"/>
      <w:bookmarkStart w:id="164" w:name="_Toc60061441"/>
      <w:bookmarkStart w:id="165" w:name="_Toc324404823"/>
      <w:bookmarkStart w:id="166" w:name="_Toc83301696"/>
      <w:r>
        <w:rPr>
          <w:rFonts w:hint="eastAsia" w:ascii="黑体" w:hAnsi="黑体" w:eastAsia="黑体" w:cs="黑体"/>
          <w:color w:val="auto"/>
          <w:sz w:val="21"/>
          <w:szCs w:val="21"/>
          <w:highlight w:val="none"/>
        </w:rPr>
        <w:t>1.8 计量单位</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378B0B5B">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所有计量均采用中华人民共和国法定计量单位。</w:t>
      </w:r>
    </w:p>
    <w:p w14:paraId="43D09ED0">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167" w:name="_Toc15058855"/>
      <w:bookmarkStart w:id="168" w:name="_Toc296602429"/>
      <w:bookmarkStart w:id="169" w:name="_Toc152045539"/>
      <w:bookmarkStart w:id="170" w:name="_Toc152042315"/>
      <w:bookmarkStart w:id="171" w:name="_Toc247513962"/>
      <w:bookmarkStart w:id="172" w:name="_Toc60061442"/>
      <w:bookmarkStart w:id="173" w:name="_Toc506107278"/>
      <w:bookmarkStart w:id="174" w:name="_Toc247527563"/>
      <w:bookmarkStart w:id="175" w:name="_Toc144974507"/>
      <w:bookmarkStart w:id="176" w:name="_Toc95223345"/>
      <w:bookmarkStart w:id="177" w:name="_Toc324404824"/>
      <w:bookmarkStart w:id="178" w:name="_Toc83301697"/>
      <w:bookmarkStart w:id="179" w:name="_Toc247592876"/>
      <w:r>
        <w:rPr>
          <w:rFonts w:hint="eastAsia" w:ascii="黑体" w:hAnsi="黑体" w:eastAsia="黑体" w:cs="黑体"/>
          <w:color w:val="auto"/>
          <w:sz w:val="21"/>
          <w:szCs w:val="21"/>
          <w:highlight w:val="none"/>
        </w:rPr>
        <w:t>1.9 踏勘现场</w:t>
      </w:r>
      <w:bookmarkEnd w:id="167"/>
      <w:bookmarkEnd w:id="168"/>
      <w:bookmarkEnd w:id="169"/>
      <w:bookmarkEnd w:id="170"/>
      <w:bookmarkEnd w:id="171"/>
      <w:bookmarkEnd w:id="172"/>
      <w:bookmarkEnd w:id="173"/>
      <w:bookmarkEnd w:id="174"/>
      <w:bookmarkEnd w:id="175"/>
      <w:bookmarkEnd w:id="176"/>
      <w:bookmarkEnd w:id="177"/>
      <w:bookmarkEnd w:id="178"/>
      <w:bookmarkEnd w:id="179"/>
    </w:p>
    <w:p w14:paraId="0BBEEA4F">
      <w:pPr>
        <w:adjustRightInd w:val="0"/>
        <w:snapToGrid w:val="0"/>
        <w:spacing w:line="560" w:lineRule="exact"/>
        <w:ind w:firstLine="420" w:firstLineChars="200"/>
        <w:rPr>
          <w:rFonts w:hint="eastAsia" w:ascii="宋体" w:hAnsi="宋体" w:cs="宋体"/>
          <w:color w:val="auto"/>
          <w:szCs w:val="21"/>
          <w:highlight w:val="none"/>
        </w:rPr>
      </w:pPr>
      <w:bookmarkStart w:id="180" w:name="_Toc247592877"/>
      <w:bookmarkStart w:id="181" w:name="_Toc324404825"/>
      <w:bookmarkStart w:id="182" w:name="_Toc296602430"/>
      <w:bookmarkStart w:id="183" w:name="_Toc15058856"/>
      <w:bookmarkStart w:id="184" w:name="_Toc152042316"/>
      <w:bookmarkStart w:id="185" w:name="_Toc247527564"/>
      <w:bookmarkStart w:id="186" w:name="_Toc60061443"/>
      <w:bookmarkStart w:id="187" w:name="_Toc144974508"/>
      <w:bookmarkStart w:id="188" w:name="_Toc506107279"/>
      <w:bookmarkStart w:id="189" w:name="_Toc152045540"/>
      <w:bookmarkStart w:id="190" w:name="_Toc247513963"/>
      <w:r>
        <w:rPr>
          <w:rFonts w:hint="eastAsia" w:ascii="宋体" w:hAnsi="宋体" w:cs="宋体"/>
          <w:color w:val="auto"/>
          <w:szCs w:val="21"/>
          <w:highlight w:val="none"/>
        </w:rPr>
        <w:t xml:space="preserve">1.9.1前附表规定组织踏勘现场的，招标人按投标人须知前附表规定的时间、地点组织投标人踏勘项目现场。部分投标人未按时参加踏勘现场的，不影响踏勘现场的正常进行。招标人不得组织单个或部分投标人踏勘项目现场。 </w:t>
      </w:r>
    </w:p>
    <w:p w14:paraId="76903681">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1.9.2 投标人踏勘现场发生的费用自理。</w:t>
      </w:r>
    </w:p>
    <w:p w14:paraId="2695D7CC">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1.9.3 除招标人的原因外，投标人自行负责在踏勘现场中所发生的人员伤亡和财产损失。</w:t>
      </w:r>
    </w:p>
    <w:p w14:paraId="6EF3178A">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1.9.4 招标人在踏勘现场中介绍的工程场地和相关的周边环境情况，供投标人在编制投标文件时参考，招标人不对投标人据此作出的判断和决策负责。</w:t>
      </w:r>
    </w:p>
    <w:p w14:paraId="57E166D3">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1.9.5无论投标人是否到施工现场实地踏勘，中标后签订合同时和履约过程中，投标人不得以不完全了解现场情况或现场情况与招标文件描述不一致等为由，提出任何形式的增加工程造价或索赔的要求。</w:t>
      </w:r>
    </w:p>
    <w:p w14:paraId="69E6BEC1">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191" w:name="_Toc83301698"/>
      <w:bookmarkStart w:id="192" w:name="_Toc95223346"/>
      <w:r>
        <w:rPr>
          <w:rFonts w:hint="eastAsia" w:ascii="黑体" w:hAnsi="黑体" w:eastAsia="黑体" w:cs="黑体"/>
          <w:color w:val="auto"/>
          <w:sz w:val="21"/>
          <w:szCs w:val="21"/>
          <w:highlight w:val="none"/>
        </w:rPr>
        <w:t>1.10 投标预备会</w:t>
      </w:r>
      <w:bookmarkEnd w:id="180"/>
      <w:bookmarkEnd w:id="181"/>
      <w:bookmarkEnd w:id="182"/>
      <w:bookmarkEnd w:id="183"/>
      <w:bookmarkEnd w:id="184"/>
      <w:bookmarkEnd w:id="185"/>
      <w:bookmarkEnd w:id="186"/>
      <w:bookmarkEnd w:id="187"/>
      <w:bookmarkEnd w:id="188"/>
      <w:bookmarkEnd w:id="189"/>
      <w:bookmarkEnd w:id="190"/>
      <w:bookmarkEnd w:id="191"/>
      <w:bookmarkEnd w:id="192"/>
    </w:p>
    <w:p w14:paraId="19ADDE71">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1.10.1投标人须知前附表规定召开投标预备会的，招标人按投标人须知前附表规定的时间和地点召开投标预备会，澄清投标人提出的问题。</w:t>
      </w:r>
    </w:p>
    <w:p w14:paraId="3FA3C969">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1.10.2投标人应在投标人须知前附表规定的时间前，将提出的问题送达招标人，以便招标人澄清。</w:t>
      </w:r>
    </w:p>
    <w:p w14:paraId="30FEC9B6">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193" w:name="_Toc324404826"/>
      <w:bookmarkStart w:id="194" w:name="_Toc15058857"/>
      <w:bookmarkStart w:id="195" w:name="_Toc506107280"/>
      <w:bookmarkStart w:id="196" w:name="_Toc296602431"/>
      <w:bookmarkStart w:id="197" w:name="_Toc83301699"/>
      <w:bookmarkStart w:id="198" w:name="_Toc95223347"/>
      <w:bookmarkStart w:id="199" w:name="_Toc60061444"/>
      <w:r>
        <w:rPr>
          <w:rFonts w:hint="eastAsia" w:ascii="黑体" w:hAnsi="黑体" w:eastAsia="黑体" w:cs="黑体"/>
          <w:color w:val="auto"/>
          <w:sz w:val="21"/>
          <w:szCs w:val="21"/>
          <w:highlight w:val="none"/>
        </w:rPr>
        <w:t xml:space="preserve">1.11 </w:t>
      </w:r>
      <w:bookmarkEnd w:id="193"/>
      <w:bookmarkEnd w:id="194"/>
      <w:bookmarkEnd w:id="195"/>
      <w:bookmarkEnd w:id="196"/>
      <w:r>
        <w:rPr>
          <w:rFonts w:hint="eastAsia" w:ascii="黑体" w:hAnsi="黑体" w:eastAsia="黑体" w:cs="黑体"/>
          <w:color w:val="auto"/>
          <w:sz w:val="21"/>
          <w:szCs w:val="21"/>
          <w:highlight w:val="none"/>
        </w:rPr>
        <w:t>分包</w:t>
      </w:r>
      <w:bookmarkEnd w:id="197"/>
      <w:bookmarkEnd w:id="198"/>
      <w:bookmarkEnd w:id="199"/>
    </w:p>
    <w:p w14:paraId="4CD88FCD">
      <w:pPr>
        <w:pStyle w:val="19"/>
        <w:adjustRightInd w:val="0"/>
        <w:snapToGrid w:val="0"/>
        <w:spacing w:after="0" w:line="560" w:lineRule="exact"/>
        <w:ind w:left="0" w:leftChars="0" w:firstLine="420" w:firstLineChars="200"/>
        <w:rPr>
          <w:rFonts w:hint="eastAsia"/>
          <w:color w:val="auto"/>
          <w:highlight w:val="none"/>
        </w:rPr>
      </w:pPr>
      <w:r>
        <w:rPr>
          <w:rFonts w:hint="eastAsia"/>
          <w:color w:val="auto"/>
          <w:highlight w:val="none"/>
        </w:rPr>
        <w:t>1.11.1 投标人拟在中标后将中标项目的部分非主体、非关键性工作进行分包的，应符合以下规定：</w:t>
      </w:r>
    </w:p>
    <w:p w14:paraId="2250047F">
      <w:pPr>
        <w:pStyle w:val="19"/>
        <w:adjustRightInd w:val="0"/>
        <w:snapToGrid w:val="0"/>
        <w:spacing w:after="0" w:line="560" w:lineRule="exact"/>
        <w:ind w:left="0" w:leftChars="0" w:firstLine="0" w:firstLineChars="0"/>
        <w:rPr>
          <w:rFonts w:hint="eastAsia"/>
          <w:color w:val="auto"/>
          <w:highlight w:val="none"/>
        </w:rPr>
      </w:pPr>
      <w:r>
        <w:rPr>
          <w:rFonts w:hint="eastAsia"/>
          <w:color w:val="auto"/>
          <w:highlight w:val="none"/>
        </w:rPr>
        <w:t>（1）分包内容要求：招标人允许分包或不允许分包的专业工程（如有）应在投标人须知前附表中载明；</w:t>
      </w:r>
    </w:p>
    <w:p w14:paraId="2366D7C6">
      <w:pPr>
        <w:pStyle w:val="19"/>
        <w:adjustRightInd w:val="0"/>
        <w:snapToGrid w:val="0"/>
        <w:spacing w:after="0" w:line="560" w:lineRule="exact"/>
        <w:ind w:left="0" w:leftChars="0" w:firstLine="0" w:firstLineChars="0"/>
        <w:rPr>
          <w:rFonts w:hint="eastAsia"/>
          <w:color w:val="auto"/>
          <w:highlight w:val="none"/>
        </w:rPr>
      </w:pPr>
      <w:r>
        <w:rPr>
          <w:rFonts w:hint="eastAsia"/>
          <w:color w:val="auto"/>
          <w:highlight w:val="none"/>
        </w:rPr>
        <w:t>（2）接受分包的第三人资格要求：分包人的资格能力应与其分包工程的标准和规模相适应，且具备投标人须知前附表中规定的资格条件；</w:t>
      </w:r>
    </w:p>
    <w:p w14:paraId="7D9C8C71">
      <w:pPr>
        <w:pStyle w:val="19"/>
        <w:adjustRightInd w:val="0"/>
        <w:snapToGrid w:val="0"/>
        <w:spacing w:after="0" w:line="560" w:lineRule="exact"/>
        <w:ind w:left="0" w:leftChars="0" w:firstLine="0" w:firstLineChars="0"/>
        <w:rPr>
          <w:rFonts w:hint="eastAsia"/>
          <w:color w:val="auto"/>
          <w:highlight w:val="none"/>
        </w:rPr>
      </w:pPr>
      <w:r>
        <w:rPr>
          <w:rFonts w:hint="eastAsia"/>
          <w:color w:val="auto"/>
          <w:highlight w:val="none"/>
        </w:rPr>
        <w:t>（3）其他要求：投标人如有分包计划，应按第九章“投标文件格式”的要求填写“拟分包项目情况表”，明确拟分包的工程及规模，且投标人中标后的分包应满足合同条款的相关要求。</w:t>
      </w:r>
    </w:p>
    <w:p w14:paraId="494F4895">
      <w:pPr>
        <w:pStyle w:val="19"/>
        <w:adjustRightInd w:val="0"/>
        <w:snapToGrid w:val="0"/>
        <w:spacing w:after="0" w:line="560" w:lineRule="exact"/>
        <w:ind w:left="0" w:leftChars="0" w:firstLine="0" w:firstLineChars="0"/>
        <w:rPr>
          <w:rFonts w:hint="eastAsia"/>
          <w:color w:val="auto"/>
          <w:highlight w:val="none"/>
        </w:rPr>
      </w:pPr>
      <w:r>
        <w:rPr>
          <w:rFonts w:hint="eastAsia"/>
          <w:color w:val="auto"/>
          <w:highlight w:val="none"/>
        </w:rPr>
        <w:t xml:space="preserve">   1.11.2中标人不得向他人转让中标项目，接受分包的人不得再次分包。中标人应就分包项目</w:t>
      </w:r>
    </w:p>
    <w:p w14:paraId="26A65702">
      <w:pPr>
        <w:pStyle w:val="19"/>
        <w:adjustRightInd w:val="0"/>
        <w:snapToGrid w:val="0"/>
        <w:spacing w:after="0" w:line="560" w:lineRule="exact"/>
        <w:ind w:left="0" w:leftChars="0" w:firstLine="0" w:firstLineChars="0"/>
        <w:rPr>
          <w:rFonts w:hint="eastAsia"/>
          <w:color w:val="auto"/>
          <w:highlight w:val="none"/>
        </w:rPr>
      </w:pPr>
      <w:r>
        <w:rPr>
          <w:rFonts w:hint="eastAsia"/>
          <w:color w:val="auto"/>
          <w:highlight w:val="none"/>
        </w:rPr>
        <w:t>向招标人负责，接受分包的人就分包项目承担连带责任。</w:t>
      </w:r>
    </w:p>
    <w:p w14:paraId="0AB83718">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200" w:name="_Toc95223348"/>
      <w:bookmarkStart w:id="201" w:name="_Toc60061445"/>
      <w:bookmarkStart w:id="202" w:name="_Toc83301700"/>
      <w:r>
        <w:rPr>
          <w:rFonts w:hint="eastAsia" w:ascii="黑体" w:hAnsi="黑体" w:eastAsia="黑体" w:cs="黑体"/>
          <w:color w:val="auto"/>
          <w:sz w:val="21"/>
          <w:szCs w:val="21"/>
          <w:highlight w:val="none"/>
        </w:rPr>
        <w:t>1.12 偏离</w:t>
      </w:r>
      <w:bookmarkEnd w:id="200"/>
      <w:bookmarkEnd w:id="201"/>
      <w:bookmarkEnd w:id="202"/>
    </w:p>
    <w:p w14:paraId="11669082">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1.12.1投标文件偏离招标文件某些要求，视为投标文件存在偏差。偏差包括重大偏差和细微偏差。</w:t>
      </w:r>
    </w:p>
    <w:p w14:paraId="6971116E">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1.12.2投标文件应对招标文件的实质性要求和条件作出满足性或更有利于招标人的响应，否则，视为投标文件存在重大偏差，投标人的投标将被否决。</w:t>
      </w:r>
    </w:p>
    <w:p w14:paraId="6AC0BE67">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投标文件存在第四章“评标办法”中所列任一无效投标情形的，均属于存在重大偏差。</w:t>
      </w:r>
    </w:p>
    <w:p w14:paraId="05ED16E5">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1.12.3投标文件中的下列偏差为细微偏差：</w:t>
      </w:r>
    </w:p>
    <w:p w14:paraId="7F64D297">
      <w:pPr>
        <w:tabs>
          <w:tab w:val="left" w:pos="1014"/>
        </w:tabs>
        <w:adjustRightInd w:val="0"/>
        <w:snapToGrid w:val="0"/>
        <w:spacing w:line="600" w:lineRule="exact"/>
        <w:ind w:firstLine="420" w:firstLineChars="200"/>
        <w:rPr>
          <w:rFonts w:hint="eastAsia" w:ascii="宋体" w:hAnsi="宋体" w:cs="宋体"/>
          <w:bCs/>
          <w:snapToGrid w:val="0"/>
          <w:color w:val="auto"/>
          <w:kern w:val="0"/>
          <w:szCs w:val="21"/>
          <w:highlight w:val="none"/>
        </w:rPr>
      </w:pPr>
      <w:r>
        <w:rPr>
          <w:rFonts w:hint="eastAsia" w:ascii="宋体" w:hAnsi="宋体" w:cs="宋体"/>
          <w:bCs/>
          <w:snapToGrid w:val="0"/>
          <w:color w:val="auto"/>
          <w:kern w:val="0"/>
          <w:szCs w:val="21"/>
          <w:highlight w:val="none"/>
        </w:rPr>
        <w:t>（1）在按照第四章“评标办法”的规定对投标价进行算术性错误修正及其他错误修正后，最终投标报价未超过最高投标限价（如有）或未被否决投标的情况下，出现第四章“评标办法”规定的算术性错误和投标报价的其他错误；</w:t>
      </w:r>
    </w:p>
    <w:p w14:paraId="4976573F">
      <w:pPr>
        <w:tabs>
          <w:tab w:val="left" w:pos="1014"/>
        </w:tabs>
        <w:adjustRightInd w:val="0"/>
        <w:snapToGrid w:val="0"/>
        <w:spacing w:line="600" w:lineRule="exact"/>
        <w:ind w:firstLine="420" w:firstLineChars="200"/>
        <w:rPr>
          <w:rFonts w:hint="eastAsia" w:ascii="宋体" w:hAnsi="宋体" w:cs="宋体"/>
          <w:bCs/>
          <w:snapToGrid w:val="0"/>
          <w:color w:val="auto"/>
          <w:kern w:val="0"/>
          <w:szCs w:val="21"/>
          <w:highlight w:val="none"/>
        </w:rPr>
      </w:pPr>
      <w:r>
        <w:rPr>
          <w:rFonts w:hint="eastAsia" w:ascii="宋体" w:hAnsi="宋体" w:cs="宋体"/>
          <w:bCs/>
          <w:snapToGrid w:val="0"/>
          <w:color w:val="auto"/>
          <w:kern w:val="0"/>
          <w:szCs w:val="21"/>
          <w:highlight w:val="none"/>
        </w:rPr>
        <w:t>（2）投标文件个别文字有遗漏错误等不影响投标文件实质性内容的偏差。</w:t>
      </w:r>
    </w:p>
    <w:p w14:paraId="5C930095">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1.12.4评标委员会对投标文件中的细微偏差按如下规定处理：</w:t>
      </w:r>
    </w:p>
    <w:p w14:paraId="4470C783">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对于本章第1.12.3项（1）目所述的细微偏差，按照第四章“评标办法”的规定予以修正并要求投标人进行澄清；</w:t>
      </w:r>
    </w:p>
    <w:p w14:paraId="79C0FE16">
      <w:pPr>
        <w:pStyle w:val="3"/>
        <w:adjustRightInd w:val="0"/>
        <w:snapToGrid w:val="0"/>
        <w:spacing w:before="0" w:after="0" w:line="560" w:lineRule="exact"/>
        <w:ind w:firstLine="420" w:firstLineChars="2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对于本章第1.12.3项（2）目所述的细微偏差，可要求投标人对细微偏差进行澄清。</w:t>
      </w:r>
      <w:bookmarkStart w:id="203" w:name="_Toc246996187"/>
      <w:bookmarkStart w:id="204" w:name="_Toc83301701"/>
      <w:bookmarkStart w:id="205" w:name="_Toc247085701"/>
      <w:bookmarkStart w:id="206" w:name="_Toc152045542"/>
      <w:bookmarkStart w:id="207" w:name="_Toc95223349"/>
      <w:bookmarkStart w:id="208" w:name="_Toc60061446"/>
      <w:bookmarkStart w:id="209" w:name="_Toc152042318"/>
      <w:bookmarkStart w:id="210" w:name="_Toc144974510"/>
      <w:bookmarkStart w:id="211" w:name="_Toc179632560"/>
      <w:bookmarkStart w:id="212" w:name="_Toc15058858"/>
      <w:bookmarkStart w:id="213" w:name="_Toc506107281"/>
      <w:bookmarkStart w:id="214" w:name="_Toc324404827"/>
      <w:bookmarkStart w:id="215" w:name="_Toc246996930"/>
    </w:p>
    <w:p w14:paraId="709B908E">
      <w:pPr>
        <w:pStyle w:val="3"/>
        <w:adjustRightInd w:val="0"/>
        <w:snapToGrid w:val="0"/>
        <w:spacing w:before="0" w:after="0" w:line="560" w:lineRule="exact"/>
        <w:ind w:firstLine="422" w:firstLineChars="200"/>
        <w:rPr>
          <w:rFonts w:hint="eastAsia" w:ascii="黑体" w:hAnsi="黑体" w:cs="黑体"/>
          <w:color w:val="auto"/>
          <w:sz w:val="21"/>
          <w:szCs w:val="21"/>
          <w:highlight w:val="none"/>
        </w:rPr>
      </w:pPr>
      <w:r>
        <w:rPr>
          <w:rFonts w:hint="eastAsia" w:ascii="黑体" w:hAnsi="黑体" w:cs="黑体"/>
          <w:color w:val="auto"/>
          <w:sz w:val="21"/>
          <w:szCs w:val="21"/>
          <w:highlight w:val="none"/>
        </w:rPr>
        <w:t>2. 招标文件</w:t>
      </w:r>
      <w:bookmarkEnd w:id="203"/>
      <w:bookmarkEnd w:id="204"/>
      <w:bookmarkEnd w:id="205"/>
      <w:bookmarkEnd w:id="206"/>
      <w:bookmarkEnd w:id="207"/>
      <w:bookmarkEnd w:id="208"/>
      <w:bookmarkEnd w:id="209"/>
      <w:bookmarkEnd w:id="210"/>
      <w:bookmarkEnd w:id="211"/>
      <w:bookmarkEnd w:id="212"/>
      <w:bookmarkEnd w:id="213"/>
      <w:bookmarkEnd w:id="214"/>
      <w:bookmarkEnd w:id="215"/>
    </w:p>
    <w:p w14:paraId="02C34C88">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216" w:name="_Toc60061447"/>
      <w:bookmarkStart w:id="217" w:name="_Toc152045543"/>
      <w:bookmarkStart w:id="218" w:name="_Toc246996931"/>
      <w:bookmarkStart w:id="219" w:name="_Toc324404828"/>
      <w:bookmarkStart w:id="220" w:name="_Toc247085702"/>
      <w:bookmarkStart w:id="221" w:name="_Toc246996188"/>
      <w:bookmarkStart w:id="222" w:name="_Toc83301702"/>
      <w:bookmarkStart w:id="223" w:name="_Toc152042319"/>
      <w:bookmarkStart w:id="224" w:name="_Toc95223350"/>
      <w:bookmarkStart w:id="225" w:name="_Toc15058859"/>
      <w:bookmarkStart w:id="226" w:name="_Toc296602433"/>
      <w:bookmarkStart w:id="227" w:name="_Toc506107282"/>
      <w:bookmarkStart w:id="228" w:name="_Toc179632561"/>
      <w:bookmarkStart w:id="229" w:name="_Toc144974511"/>
      <w:r>
        <w:rPr>
          <w:rFonts w:hint="eastAsia" w:ascii="黑体" w:hAnsi="黑体" w:eastAsia="黑体" w:cs="黑体"/>
          <w:color w:val="auto"/>
          <w:sz w:val="21"/>
          <w:szCs w:val="21"/>
          <w:highlight w:val="none"/>
        </w:rPr>
        <w:t>2.1 招标文件的组成</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1F6196DD">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2.1.1 本招标文件包括：</w:t>
      </w:r>
    </w:p>
    <w:p w14:paraId="62E7126E">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（1）招标公告；</w:t>
      </w:r>
    </w:p>
    <w:p w14:paraId="2D91AA8C">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（2）投标人须知；</w:t>
      </w:r>
    </w:p>
    <w:p w14:paraId="41F6B8AD">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（3）资格审查办法</w:t>
      </w:r>
    </w:p>
    <w:p w14:paraId="5D63046B">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（4）评标办法；</w:t>
      </w:r>
    </w:p>
    <w:p w14:paraId="13C1CA56">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（5）合同条款及格式；</w:t>
      </w:r>
    </w:p>
    <w:p w14:paraId="1E316AAD">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（6）工程量清单； </w:t>
      </w:r>
    </w:p>
    <w:p w14:paraId="71E82EE2">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（7）图纸；</w:t>
      </w:r>
    </w:p>
    <w:p w14:paraId="10E3BC1A">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（8）技术标准和要求； </w:t>
      </w:r>
    </w:p>
    <w:p w14:paraId="173C945C">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（9）投标文件格式；</w:t>
      </w:r>
    </w:p>
    <w:p w14:paraId="54A4C7CE">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（10）投标人须知前附表规定的其他材料。</w:t>
      </w:r>
    </w:p>
    <w:p w14:paraId="72EE560A">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2.1.2 根据本章第1.10款、第2.2款和第2.3款对招标文件所作的澄清、修改，构成招标文件的组成部分。</w:t>
      </w:r>
    </w:p>
    <w:p w14:paraId="2D34A777">
      <w:pPr>
        <w:pStyle w:val="11"/>
        <w:adjustRightInd w:val="0"/>
        <w:snapToGrid w:val="0"/>
        <w:spacing w:after="0"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2.1.3当招标文件、招标文件的澄清或修改等在同一内容的表述上不一致时，以最后发出的文件为准。</w:t>
      </w:r>
    </w:p>
    <w:p w14:paraId="40E7EA3A">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230" w:name="_Toc95223351"/>
      <w:bookmarkStart w:id="231" w:name="_Toc506107283"/>
      <w:bookmarkStart w:id="232" w:name="_Toc246996189"/>
      <w:bookmarkStart w:id="233" w:name="_Toc83301703"/>
      <w:bookmarkStart w:id="234" w:name="_Toc15058860"/>
      <w:bookmarkStart w:id="235" w:name="_Toc179632562"/>
      <w:bookmarkStart w:id="236" w:name="_Toc324404829"/>
      <w:bookmarkStart w:id="237" w:name="_Toc144974512"/>
      <w:bookmarkStart w:id="238" w:name="_Toc296602434"/>
      <w:bookmarkStart w:id="239" w:name="_Toc152042320"/>
      <w:bookmarkStart w:id="240" w:name="_Toc247085703"/>
      <w:bookmarkStart w:id="241" w:name="_Toc60061448"/>
      <w:bookmarkStart w:id="242" w:name="_Toc152045544"/>
      <w:bookmarkStart w:id="243" w:name="_Toc246996932"/>
      <w:bookmarkStart w:id="244" w:name="_Toc152045546"/>
      <w:bookmarkStart w:id="245" w:name="_Toc15058863"/>
      <w:bookmarkStart w:id="246" w:name="_Toc246996191"/>
      <w:bookmarkStart w:id="247" w:name="_Toc324404832"/>
      <w:bookmarkStart w:id="248" w:name="_Toc152042322"/>
      <w:bookmarkStart w:id="249" w:name="_Toc506107285"/>
      <w:bookmarkStart w:id="250" w:name="_Toc60061451"/>
      <w:bookmarkStart w:id="251" w:name="_Toc246996934"/>
      <w:bookmarkStart w:id="252" w:name="_Toc179632564"/>
      <w:bookmarkStart w:id="253" w:name="_Toc95223354"/>
      <w:bookmarkStart w:id="254" w:name="_Toc83301706"/>
      <w:bookmarkStart w:id="255" w:name="_Toc247085705"/>
      <w:bookmarkStart w:id="256" w:name="_Toc144974514"/>
      <w:r>
        <w:rPr>
          <w:rFonts w:hint="eastAsia" w:ascii="黑体" w:hAnsi="黑体" w:eastAsia="黑体" w:cs="黑体"/>
          <w:color w:val="auto"/>
          <w:sz w:val="21"/>
          <w:szCs w:val="21"/>
          <w:highlight w:val="none"/>
        </w:rPr>
        <w:t>2.2招标文件的异议</w:t>
      </w:r>
    </w:p>
    <w:p w14:paraId="2462FB2F">
      <w:pPr>
        <w:pStyle w:val="19"/>
        <w:adjustRightInd w:val="0"/>
        <w:snapToGrid w:val="0"/>
        <w:spacing w:after="0" w:line="560" w:lineRule="exact"/>
        <w:ind w:left="0" w:leftChars="0" w:firstLine="0" w:firstLineChars="0"/>
        <w:rPr>
          <w:rFonts w:hint="eastAsia"/>
          <w:color w:val="auto"/>
          <w:highlight w:val="none"/>
        </w:rPr>
      </w:pPr>
      <w:r>
        <w:rPr>
          <w:rFonts w:hint="eastAsia"/>
          <w:color w:val="auto"/>
          <w:highlight w:val="none"/>
        </w:rPr>
        <w:t xml:space="preserve"> </w:t>
      </w:r>
      <w:r>
        <w:rPr>
          <w:rFonts w:hint="eastAsia" w:ascii="宋体" w:hAnsi="宋体" w:eastAsia="宋体" w:cs="宋体"/>
          <w:color w:val="auto"/>
          <w:kern w:val="2"/>
          <w:sz w:val="21"/>
          <w:szCs w:val="21"/>
          <w:highlight w:val="none"/>
          <w:lang w:val="en-US" w:eastAsia="zh-CN" w:bidi="ar-SA"/>
        </w:rPr>
        <w:t xml:space="preserve">  投标人或其他利害关系人投标人应仔细阅读和检查招标文件的全部内容，对招标文件有异议的，应在投标截止时间10日前以投标人须知前附表规定的网上留言或书面形式提出。招标人将在收到异议之日起3日内作出答复；作出答复前，将暂停招标投标活动。</w:t>
      </w:r>
    </w:p>
    <w:p w14:paraId="598EFA31">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r>
        <w:rPr>
          <w:rFonts w:ascii="黑体" w:hAnsi="黑体" w:eastAsia="黑体" w:cs="黑体"/>
          <w:color w:val="auto"/>
          <w:sz w:val="21"/>
          <w:szCs w:val="21"/>
          <w:highlight w:val="none"/>
        </w:rPr>
        <w:t>2.3</w:t>
      </w:r>
      <w:r>
        <w:rPr>
          <w:rFonts w:hint="eastAsia" w:ascii="黑体" w:hAnsi="黑体" w:eastAsia="黑体" w:cs="黑体"/>
          <w:color w:val="auto"/>
          <w:sz w:val="21"/>
          <w:szCs w:val="21"/>
          <w:highlight w:val="none"/>
        </w:rPr>
        <w:t>招标文件的澄清</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Pr>
          <w:rFonts w:hint="eastAsia" w:ascii="黑体" w:hAnsi="黑体" w:eastAsia="黑体" w:cs="黑体"/>
          <w:color w:val="auto"/>
          <w:sz w:val="21"/>
          <w:szCs w:val="21"/>
          <w:highlight w:val="none"/>
        </w:rPr>
        <w:t xml:space="preserve"> </w:t>
      </w:r>
    </w:p>
    <w:p w14:paraId="1E232BBA">
      <w:pPr>
        <w:adjustRightInd w:val="0"/>
        <w:snapToGrid w:val="0"/>
        <w:spacing w:line="560" w:lineRule="exact"/>
        <w:ind w:firstLine="420" w:firstLineChars="200"/>
        <w:rPr>
          <w:rFonts w:hint="eastAsia"/>
          <w:color w:val="auto"/>
          <w:highlight w:val="none"/>
        </w:rPr>
      </w:pPr>
      <w:r>
        <w:rPr>
          <w:rFonts w:hint="eastAsia" w:ascii="宋体" w:hAnsi="宋体" w:cs="宋体"/>
          <w:color w:val="auto"/>
          <w:szCs w:val="21"/>
          <w:highlight w:val="none"/>
        </w:rPr>
        <w:t>招标人可以澄清招标文件，并以投标人须知前附表规定澄清的方式在滁州市公共资源交易中心网站发布。但如果修改招标文件的时间距投标截止时间不足15天，并且修改内容影响投标文件编制的，将相应延长投标截止时间。</w:t>
      </w:r>
    </w:p>
    <w:p w14:paraId="7913B19D">
      <w:pPr>
        <w:pStyle w:val="3"/>
        <w:adjustRightInd w:val="0"/>
        <w:snapToGrid w:val="0"/>
        <w:spacing w:before="0" w:after="0" w:line="560" w:lineRule="exact"/>
        <w:ind w:firstLine="422" w:firstLineChars="200"/>
        <w:rPr>
          <w:rFonts w:hint="eastAsia" w:ascii="黑体" w:hAnsi="黑体" w:cs="黑体"/>
          <w:color w:val="auto"/>
          <w:sz w:val="21"/>
          <w:szCs w:val="21"/>
          <w:highlight w:val="none"/>
        </w:rPr>
      </w:pPr>
      <w:r>
        <w:rPr>
          <w:rFonts w:hint="eastAsia" w:ascii="黑体" w:hAnsi="黑体" w:cs="黑体"/>
          <w:color w:val="auto"/>
          <w:sz w:val="21"/>
          <w:szCs w:val="21"/>
          <w:highlight w:val="none"/>
        </w:rPr>
        <w:t>3. 投标文件</w:t>
      </w:r>
      <w:bookmarkEnd w:id="244"/>
      <w:bookmarkEnd w:id="245"/>
      <w:bookmarkEnd w:id="246"/>
      <w:bookmarkEnd w:id="247"/>
      <w:bookmarkEnd w:id="248"/>
      <w:bookmarkEnd w:id="249"/>
      <w:bookmarkEnd w:id="250"/>
      <w:bookmarkEnd w:id="251"/>
      <w:bookmarkEnd w:id="252"/>
      <w:bookmarkEnd w:id="253"/>
      <w:bookmarkEnd w:id="254"/>
      <w:bookmarkEnd w:id="255"/>
      <w:bookmarkEnd w:id="256"/>
    </w:p>
    <w:p w14:paraId="691F2AF3">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257" w:name="_Toc246996935"/>
      <w:bookmarkStart w:id="258" w:name="_Toc60061452"/>
      <w:bookmarkStart w:id="259" w:name="_Toc83301707"/>
      <w:bookmarkStart w:id="260" w:name="_Toc296602437"/>
      <w:bookmarkStart w:id="261" w:name="_Toc246996192"/>
      <w:bookmarkStart w:id="262" w:name="_Toc247085706"/>
      <w:bookmarkStart w:id="263" w:name="_Toc15058864"/>
      <w:bookmarkStart w:id="264" w:name="_Toc179632565"/>
      <w:bookmarkStart w:id="265" w:name="_Toc152042323"/>
      <w:bookmarkStart w:id="266" w:name="_Toc324404833"/>
      <w:bookmarkStart w:id="267" w:name="_Toc506107286"/>
      <w:bookmarkStart w:id="268" w:name="_Toc144974515"/>
      <w:bookmarkStart w:id="269" w:name="_Toc152045547"/>
      <w:bookmarkStart w:id="270" w:name="_Toc95223355"/>
      <w:r>
        <w:rPr>
          <w:rFonts w:hint="eastAsia" w:ascii="黑体" w:hAnsi="黑体" w:eastAsia="黑体" w:cs="黑体"/>
          <w:color w:val="auto"/>
          <w:sz w:val="21"/>
          <w:szCs w:val="21"/>
          <w:highlight w:val="none"/>
        </w:rPr>
        <w:t>3.1 投标文件的组成</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325C6188">
      <w:pPr>
        <w:adjustRightInd w:val="0"/>
        <w:snapToGrid w:val="0"/>
        <w:spacing w:line="560" w:lineRule="exact"/>
        <w:ind w:firstLine="420" w:firstLineChars="200"/>
        <w:rPr>
          <w:rFonts w:hint="eastAsia" w:ascii="宋体" w:hAnsi="宋体" w:cs="宋体"/>
          <w:color w:val="auto"/>
          <w:szCs w:val="21"/>
          <w:highlight w:val="none"/>
        </w:rPr>
      </w:pPr>
      <w:bookmarkStart w:id="271" w:name="_Toc247085707"/>
      <w:bookmarkStart w:id="272" w:name="_Toc179632566"/>
      <w:bookmarkStart w:id="273" w:name="_Toc152042324"/>
      <w:bookmarkStart w:id="274" w:name="_Toc246996193"/>
      <w:bookmarkStart w:id="275" w:name="_Toc95223356"/>
      <w:bookmarkStart w:id="276" w:name="_Toc296602438"/>
      <w:bookmarkStart w:id="277" w:name="_Toc506107287"/>
      <w:bookmarkStart w:id="278" w:name="_Toc324404834"/>
      <w:bookmarkStart w:id="279" w:name="_Toc152045548"/>
      <w:bookmarkStart w:id="280" w:name="_Toc60061453"/>
      <w:bookmarkStart w:id="281" w:name="_Toc246996936"/>
      <w:bookmarkStart w:id="282" w:name="_Toc144974516"/>
      <w:bookmarkStart w:id="283" w:name="_Toc83301708"/>
      <w:bookmarkStart w:id="284" w:name="_Toc15058865"/>
      <w:r>
        <w:rPr>
          <w:rFonts w:hint="eastAsia" w:ascii="宋体" w:hAnsi="宋体" w:cs="宋体"/>
          <w:color w:val="auto"/>
          <w:szCs w:val="21"/>
          <w:highlight w:val="none"/>
        </w:rPr>
        <w:t>3.1.1 投标文件应包括下列内容：</w:t>
      </w:r>
    </w:p>
    <w:p w14:paraId="3B8057CA">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资信证明文件：</w:t>
      </w:r>
    </w:p>
    <w:p w14:paraId="4C921947">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（1）投标人基本情况表（联合体投标的，联合体各方均须提供）；</w:t>
      </w:r>
    </w:p>
    <w:p w14:paraId="070C195F">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（2）近年财务状况表（</w:t>
      </w:r>
      <w:r>
        <w:rPr>
          <w:rFonts w:hint="eastAsia" w:ascii="宋体" w:hAnsi="宋体" w:cs="宋体"/>
          <w:color w:val="auto"/>
          <w:szCs w:val="21"/>
          <w:highlight w:val="none"/>
          <w:lang w:val="en-US" w:eastAsia="zh-CN"/>
        </w:rPr>
        <w:t>本项目不采用</w:t>
      </w:r>
      <w:r>
        <w:rPr>
          <w:rFonts w:hint="eastAsia" w:ascii="宋体" w:hAnsi="宋体" w:cs="宋体"/>
          <w:color w:val="auto"/>
          <w:szCs w:val="21"/>
          <w:highlight w:val="none"/>
        </w:rPr>
        <w:t>）；</w:t>
      </w:r>
    </w:p>
    <w:p w14:paraId="6B88E063">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（3）近年完成的类似项目情况表（</w:t>
      </w:r>
      <w:r>
        <w:rPr>
          <w:rFonts w:hint="eastAsia" w:ascii="宋体" w:hAnsi="宋体" w:cs="宋体"/>
          <w:color w:val="auto"/>
          <w:szCs w:val="21"/>
          <w:highlight w:val="none"/>
          <w:lang w:val="en-US" w:eastAsia="zh-CN"/>
        </w:rPr>
        <w:t>本项目不采用</w:t>
      </w:r>
      <w:r>
        <w:rPr>
          <w:rFonts w:hint="eastAsia" w:ascii="宋体" w:hAnsi="宋体" w:cs="宋体"/>
          <w:color w:val="auto"/>
          <w:szCs w:val="21"/>
          <w:highlight w:val="none"/>
        </w:rPr>
        <w:t>）；</w:t>
      </w:r>
    </w:p>
    <w:p w14:paraId="4D4044DF">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（4）正在实施的和新承接的项目情况表（</w:t>
      </w:r>
      <w:r>
        <w:rPr>
          <w:rFonts w:hint="eastAsia" w:ascii="宋体" w:hAnsi="宋体" w:cs="宋体"/>
          <w:color w:val="auto"/>
          <w:szCs w:val="21"/>
          <w:highlight w:val="none"/>
          <w:lang w:val="en-US" w:eastAsia="zh-CN"/>
        </w:rPr>
        <w:t>本项目不采用</w:t>
      </w:r>
      <w:r>
        <w:rPr>
          <w:rFonts w:hint="eastAsia" w:ascii="宋体" w:hAnsi="宋体" w:cs="宋体"/>
          <w:color w:val="auto"/>
          <w:szCs w:val="21"/>
          <w:highlight w:val="none"/>
        </w:rPr>
        <w:t>）；</w:t>
      </w:r>
    </w:p>
    <w:p w14:paraId="6FCA42E9">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（5）联合体协议书 （如有）；</w:t>
      </w:r>
    </w:p>
    <w:p w14:paraId="0C78BB0A">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highlight w:val="none"/>
        </w:rPr>
        <w:t>（</w:t>
      </w:r>
      <w:r>
        <w:rPr>
          <w:rFonts w:hint="eastAsia" w:ascii="宋体" w:hAnsi="宋体" w:cs="宋体"/>
          <w:color w:val="auto"/>
          <w:highlight w:val="none"/>
          <w:lang w:val="en-US" w:eastAsia="zh-CN"/>
        </w:rPr>
        <w:t>6</w:t>
      </w:r>
      <w:r>
        <w:rPr>
          <w:rFonts w:hint="eastAsia" w:ascii="宋体" w:hAnsi="宋体" w:cs="宋体"/>
          <w:color w:val="auto"/>
          <w:highlight w:val="none"/>
        </w:rPr>
        <w:t>）</w:t>
      </w:r>
      <w:r>
        <w:rPr>
          <w:rFonts w:hint="eastAsia" w:ascii="宋体" w:hAnsi="宋体" w:cs="宋体"/>
          <w:bCs/>
          <w:snapToGrid w:val="0"/>
          <w:color w:val="auto"/>
          <w:kern w:val="0"/>
          <w:szCs w:val="21"/>
          <w:highlight w:val="none"/>
        </w:rPr>
        <w:t>拟分包项目情况表</w:t>
      </w:r>
      <w:r>
        <w:rPr>
          <w:rFonts w:hint="eastAsia" w:ascii="宋体" w:hAnsi="宋体" w:cs="宋体"/>
          <w:color w:val="auto"/>
          <w:highlight w:val="none"/>
        </w:rPr>
        <w:t xml:space="preserve"> （如有）；</w:t>
      </w:r>
    </w:p>
    <w:p w14:paraId="71FE7ABA">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）项目管理机构；</w:t>
      </w:r>
    </w:p>
    <w:p w14:paraId="243F8082">
      <w:pPr>
        <w:adjustRightInd w:val="0"/>
        <w:snapToGrid w:val="0"/>
        <w:spacing w:line="560" w:lineRule="exact"/>
        <w:ind w:firstLine="420" w:firstLineChars="200"/>
        <w:rPr>
          <w:rFonts w:hint="eastAsia" w:ascii="宋体" w:hAnsi="宋体" w:cs="宋体"/>
          <w:color w:val="auto"/>
          <w:szCs w:val="21"/>
          <w:highlight w:val="none"/>
          <w:lang w:eastAsia="zh-CN"/>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）其他资格审查资料</w:t>
      </w:r>
      <w:r>
        <w:rPr>
          <w:rFonts w:hint="eastAsia" w:ascii="宋体" w:hAnsi="宋体" w:cs="宋体"/>
          <w:color w:val="auto"/>
          <w:szCs w:val="21"/>
          <w:highlight w:val="none"/>
          <w:lang w:eastAsia="zh-CN"/>
        </w:rPr>
        <w:t>；</w:t>
      </w:r>
    </w:p>
    <w:p w14:paraId="0AED372A">
      <w:pPr>
        <w:adjustRightInd w:val="0"/>
        <w:snapToGrid w:val="0"/>
        <w:spacing w:line="560" w:lineRule="exact"/>
        <w:ind w:firstLine="420" w:firstLineChars="200"/>
        <w:rPr>
          <w:rFonts w:hint="default" w:ascii="宋体" w:hAnsi="宋体" w:cs="宋体"/>
          <w:color w:val="auto"/>
          <w:szCs w:val="21"/>
          <w:highlight w:val="none"/>
          <w:lang w:val="en-US" w:eastAsia="zh-CN"/>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9）定标材料（如有）</w:t>
      </w:r>
    </w:p>
    <w:p w14:paraId="08C3B9DE">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技术标文件：</w:t>
      </w:r>
    </w:p>
    <w:p w14:paraId="007DD7E2">
      <w:pPr>
        <w:adjustRightInd w:val="0"/>
        <w:snapToGrid w:val="0"/>
        <w:spacing w:line="560" w:lineRule="exact"/>
        <w:ind w:firstLine="420" w:firstLineChars="200"/>
        <w:rPr>
          <w:rFonts w:hint="eastAsia" w:ascii="宋体" w:hAnsi="宋体"/>
          <w:color w:val="auto"/>
          <w:szCs w:val="21"/>
          <w:highlight w:val="none"/>
          <w:lang w:val="en-US" w:eastAsia="zh-CN"/>
        </w:rPr>
      </w:pPr>
      <w:r>
        <w:rPr>
          <w:rFonts w:hint="eastAsia" w:ascii="宋体" w:hAnsi="宋体" w:cs="宋体"/>
          <w:color w:val="auto"/>
          <w:szCs w:val="21"/>
          <w:highlight w:val="none"/>
        </w:rPr>
        <w:t>（1）施工组织设计；</w:t>
      </w:r>
      <w:r>
        <w:rPr>
          <w:rFonts w:hint="eastAsia" w:ascii="宋体" w:hAnsi="宋体" w:cs="宋体"/>
          <w:b/>
          <w:color w:val="auto"/>
          <w:szCs w:val="21"/>
          <w:highlight w:val="none"/>
        </w:rPr>
        <w:t>（根据评分细则评审内容共有10项内容，系统中分别设置为施工组织设计1、2、3.....10）</w:t>
      </w:r>
      <w:r>
        <w:rPr>
          <w:rFonts w:hint="eastAsia" w:ascii="宋体" w:hAnsi="宋体"/>
          <w:color w:val="auto"/>
          <w:szCs w:val="21"/>
          <w:highlight w:val="none"/>
          <w:lang w:val="en-US" w:eastAsia="zh-CN"/>
        </w:rPr>
        <w:t xml:space="preserve">     </w:t>
      </w:r>
    </w:p>
    <w:p w14:paraId="7D50CDE8">
      <w:pPr>
        <w:numPr>
          <w:ilvl w:val="0"/>
          <w:numId w:val="0"/>
        </w:numPr>
        <w:adjustRightInd w:val="0"/>
        <w:snapToGrid w:val="0"/>
        <w:spacing w:line="560" w:lineRule="exact"/>
        <w:ind w:firstLine="422" w:firstLineChars="200"/>
        <w:rPr>
          <w:rFonts w:hint="eastAsia" w:ascii="宋体" w:hAnsi="宋体" w:cs="宋体"/>
          <w:color w:val="auto"/>
          <w:szCs w:val="21"/>
          <w:highlight w:val="none"/>
        </w:rPr>
      </w:pPr>
      <w:r>
        <w:rPr>
          <w:rFonts w:hint="eastAsia" w:ascii="宋体" w:hAnsi="宋体" w:cs="宋体"/>
          <w:b/>
          <w:bCs/>
          <w:color w:val="auto"/>
          <w:szCs w:val="21"/>
          <w:highlight w:val="none"/>
        </w:rPr>
        <w:t>注：本项目采用横向暗标评审，请投标人结合技术标评审细则和系统内容在对应模块上传技术标评审内容。</w:t>
      </w:r>
    </w:p>
    <w:p w14:paraId="17E475A0">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商务标文件：</w:t>
      </w:r>
    </w:p>
    <w:p w14:paraId="4C8A2E92">
      <w:pPr>
        <w:adjustRightInd w:val="0"/>
        <w:snapToGrid w:val="0"/>
        <w:spacing w:line="560" w:lineRule="exact"/>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（1）投标函；</w:t>
      </w:r>
    </w:p>
    <w:p w14:paraId="2DC6DA76">
      <w:pPr>
        <w:adjustRightInd w:val="0"/>
        <w:snapToGrid w:val="0"/>
        <w:spacing w:line="560" w:lineRule="exact"/>
        <w:ind w:firstLine="420" w:firstLineChars="200"/>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2）工程量清单报价书；</w:t>
      </w:r>
    </w:p>
    <w:p w14:paraId="7413C86F">
      <w:pPr>
        <w:adjustRightInd w:val="0"/>
        <w:snapToGrid w:val="0"/>
        <w:spacing w:line="560" w:lineRule="exact"/>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w:t>
      </w:r>
      <w:r>
        <w:rPr>
          <w:rFonts w:hint="eastAsia" w:ascii="宋体" w:hAnsi="宋体" w:cs="Times New Roman"/>
          <w:color w:val="auto"/>
          <w:szCs w:val="21"/>
          <w:highlight w:val="none"/>
          <w:lang w:val="en-US" w:eastAsia="zh-CN"/>
        </w:rPr>
        <w:t>3</w:t>
      </w:r>
      <w:r>
        <w:rPr>
          <w:rFonts w:hint="eastAsia" w:ascii="宋体" w:hAnsi="宋体" w:eastAsia="宋体" w:cs="Times New Roman"/>
          <w:color w:val="auto"/>
          <w:szCs w:val="21"/>
          <w:highlight w:val="none"/>
        </w:rPr>
        <w:t>）招标人推荐的材料品牌响应表（如有）；</w:t>
      </w:r>
    </w:p>
    <w:p w14:paraId="1179FD50">
      <w:pPr>
        <w:adjustRightInd w:val="0"/>
        <w:snapToGrid w:val="0"/>
        <w:spacing w:line="560" w:lineRule="exact"/>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w:t>
      </w:r>
      <w:r>
        <w:rPr>
          <w:rFonts w:hint="eastAsia" w:ascii="宋体" w:hAnsi="宋体" w:cs="Times New Roman"/>
          <w:color w:val="auto"/>
          <w:szCs w:val="21"/>
          <w:highlight w:val="none"/>
          <w:lang w:val="en-US" w:eastAsia="zh-CN"/>
        </w:rPr>
        <w:t>4</w:t>
      </w:r>
      <w:r>
        <w:rPr>
          <w:rFonts w:hint="eastAsia" w:ascii="宋体" w:hAnsi="宋体" w:eastAsia="宋体" w:cs="Times New Roman"/>
          <w:color w:val="auto"/>
          <w:szCs w:val="21"/>
          <w:highlight w:val="none"/>
        </w:rPr>
        <w:t>）全国建筑市场监管公共服务平台(四库一平台)企业注册人员网页截图；</w:t>
      </w:r>
    </w:p>
    <w:p w14:paraId="07DFDC55">
      <w:pPr>
        <w:adjustRightInd w:val="0"/>
        <w:snapToGrid w:val="0"/>
        <w:spacing w:line="560" w:lineRule="exact"/>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w:t>
      </w:r>
      <w:r>
        <w:rPr>
          <w:rFonts w:hint="eastAsia" w:ascii="宋体" w:hAnsi="宋体" w:cs="Times New Roman"/>
          <w:color w:val="auto"/>
          <w:szCs w:val="21"/>
          <w:highlight w:val="none"/>
          <w:lang w:val="en-US" w:eastAsia="zh-CN"/>
        </w:rPr>
        <w:t>5</w:t>
      </w:r>
      <w:r>
        <w:rPr>
          <w:rFonts w:hint="eastAsia" w:ascii="宋体" w:hAnsi="宋体" w:eastAsia="宋体" w:cs="Times New Roman"/>
          <w:color w:val="auto"/>
          <w:szCs w:val="21"/>
          <w:highlight w:val="none"/>
        </w:rPr>
        <w:t>）商务标评审所需其他材料。</w:t>
      </w:r>
    </w:p>
    <w:p w14:paraId="248A9DE4">
      <w:pPr>
        <w:adjustRightInd w:val="0"/>
        <w:snapToGrid w:val="0"/>
        <w:spacing w:line="600" w:lineRule="exact"/>
        <w:ind w:firstLine="359" w:firstLineChars="171"/>
        <w:rPr>
          <w:rFonts w:hint="eastAsia" w:ascii="宋体" w:hAnsi="宋体" w:cs="宋体"/>
          <w:color w:val="auto"/>
          <w:highlight w:val="none"/>
        </w:rPr>
      </w:pPr>
      <w:r>
        <w:rPr>
          <w:rFonts w:hint="eastAsia" w:ascii="宋体" w:hAnsi="宋体" w:cs="宋体"/>
          <w:color w:val="auto"/>
          <w:highlight w:val="none"/>
        </w:rPr>
        <w:t>3.1.2 投标人须知前附表规定不接受联合体投标的，或投标人没有组成联合体的，投标文件不包括本章第3.1.1（5）目所指的联合体协议书。</w:t>
      </w:r>
    </w:p>
    <w:p w14:paraId="58B8EADF">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r>
        <w:rPr>
          <w:rFonts w:hint="eastAsia" w:ascii="黑体" w:hAnsi="黑体" w:eastAsia="黑体" w:cs="黑体"/>
          <w:color w:val="auto"/>
          <w:sz w:val="21"/>
          <w:szCs w:val="21"/>
          <w:highlight w:val="none"/>
        </w:rPr>
        <w:t>3.2 投标报价</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3CA81124">
      <w:pPr>
        <w:adjustRightInd w:val="0"/>
        <w:snapToGrid w:val="0"/>
        <w:spacing w:line="560" w:lineRule="exact"/>
        <w:ind w:firstLine="420" w:firstLineChars="200"/>
        <w:rPr>
          <w:rFonts w:hint="eastAsia" w:ascii="宋体" w:hAnsi="宋体" w:cs="宋体"/>
          <w:color w:val="auto"/>
          <w:szCs w:val="21"/>
          <w:highlight w:val="none"/>
        </w:rPr>
      </w:pPr>
      <w:bookmarkStart w:id="285" w:name="_Toc179632567"/>
      <w:bookmarkStart w:id="286" w:name="_Toc60061454"/>
      <w:bookmarkStart w:id="287" w:name="_Toc324404835"/>
      <w:bookmarkStart w:id="288" w:name="_Toc83301709"/>
      <w:bookmarkStart w:id="289" w:name="_Toc152042325"/>
      <w:bookmarkStart w:id="290" w:name="_Toc95223357"/>
      <w:bookmarkStart w:id="291" w:name="_Toc246996194"/>
      <w:bookmarkStart w:id="292" w:name="_Toc152045549"/>
      <w:bookmarkStart w:id="293" w:name="_Toc247085708"/>
      <w:bookmarkStart w:id="294" w:name="_Toc144974517"/>
      <w:bookmarkStart w:id="295" w:name="_Toc506107288"/>
      <w:bookmarkStart w:id="296" w:name="_Toc246996937"/>
      <w:bookmarkStart w:id="297" w:name="_Toc15058866"/>
      <w:bookmarkStart w:id="298" w:name="_Toc296602439"/>
      <w:r>
        <w:rPr>
          <w:rFonts w:hint="eastAsia" w:ascii="宋体" w:hAnsi="宋体" w:cs="宋体"/>
          <w:color w:val="auto"/>
          <w:szCs w:val="21"/>
          <w:highlight w:val="none"/>
        </w:rPr>
        <w:t>3.2.1投标报价应包括国家规定的增值税税金，除投标人须知前附表另有规定外，增值税税金按一般计税方法计算。投标人应按第九章“投标文件格式”的要求在投标函中进行报价并填写工程量清单相应表格。</w:t>
      </w:r>
    </w:p>
    <w:p w14:paraId="541C3EC0">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3.2.2投标人应充分了解本项目的总体情况以及影响投标报价的其他要素。</w:t>
      </w:r>
    </w:p>
    <w:p w14:paraId="7E8464DD">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3.2.3投标人在投标截止时间前修改投标函中的投标报价总额，应同时修改“已标价工程量清单”中的相应报价，投标报价总额为各分项金额之和。此修改须符合本章第4.4款的有关要求。</w:t>
      </w:r>
    </w:p>
    <w:p w14:paraId="118522E5">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3.2.4招标人设有最高投标限价的，投标人的投标报价不得超过最高投标限价，最高投标限价在投标人须知前附表中载明。</w:t>
      </w:r>
    </w:p>
    <w:p w14:paraId="6A2247F4">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3.2.5 投标报价的其他要求见投标人须知前附表。</w:t>
      </w:r>
    </w:p>
    <w:p w14:paraId="2EF6CDBA">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r>
        <w:rPr>
          <w:rFonts w:hint="eastAsia" w:ascii="黑体" w:hAnsi="黑体" w:eastAsia="黑体" w:cs="黑体"/>
          <w:color w:val="auto"/>
          <w:sz w:val="21"/>
          <w:szCs w:val="21"/>
          <w:highlight w:val="none"/>
        </w:rPr>
        <w:t>3.3 投标有效期</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14:paraId="49E5F317">
      <w:pPr>
        <w:adjustRightInd w:val="0"/>
        <w:snapToGrid w:val="0"/>
        <w:spacing w:line="560" w:lineRule="exact"/>
        <w:ind w:firstLine="420" w:firstLineChars="200"/>
        <w:rPr>
          <w:rFonts w:hint="eastAsia" w:ascii="宋体" w:hAnsi="宋体" w:cs="宋体"/>
          <w:color w:val="auto"/>
          <w:szCs w:val="21"/>
          <w:highlight w:val="none"/>
        </w:rPr>
      </w:pPr>
      <w:bookmarkStart w:id="299" w:name="_Toc152042326"/>
      <w:bookmarkStart w:id="300" w:name="_Toc247085709"/>
      <w:bookmarkStart w:id="301" w:name="_Toc324404836"/>
      <w:bookmarkStart w:id="302" w:name="_Toc246996195"/>
      <w:bookmarkStart w:id="303" w:name="_Toc179632568"/>
      <w:bookmarkStart w:id="304" w:name="_Toc296602440"/>
      <w:bookmarkStart w:id="305" w:name="_Toc246996938"/>
      <w:bookmarkStart w:id="306" w:name="_Toc15058867"/>
      <w:bookmarkStart w:id="307" w:name="_Toc152045550"/>
      <w:bookmarkStart w:id="308" w:name="_Toc60061455"/>
      <w:bookmarkStart w:id="309" w:name="_Toc83301710"/>
      <w:bookmarkStart w:id="310" w:name="_Toc506107289"/>
      <w:bookmarkStart w:id="311" w:name="_Toc95223358"/>
      <w:bookmarkStart w:id="312" w:name="_Toc144974518"/>
      <w:r>
        <w:rPr>
          <w:rFonts w:hint="eastAsia" w:ascii="宋体" w:hAnsi="宋体" w:cs="宋体"/>
          <w:color w:val="auto"/>
          <w:szCs w:val="21"/>
          <w:highlight w:val="none"/>
        </w:rPr>
        <w:t>3.3.1 除投标人须知前附表另有规定外，投标有效期为90天。</w:t>
      </w:r>
    </w:p>
    <w:p w14:paraId="4F0B0FFD">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3.3.2在投标有效期内，投标人撤销或修改其投标文件的，应承担招标文件和法律规定的责任。</w:t>
      </w:r>
    </w:p>
    <w:p w14:paraId="05FE9B00">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3.3.3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14:paraId="6F549D4B">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r>
        <w:rPr>
          <w:rFonts w:hint="eastAsia" w:ascii="黑体" w:hAnsi="黑体" w:eastAsia="黑体" w:cs="黑体"/>
          <w:color w:val="auto"/>
          <w:sz w:val="21"/>
          <w:szCs w:val="21"/>
          <w:highlight w:val="none"/>
        </w:rPr>
        <w:t>3.4 投标保证金</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14:paraId="48B98641">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3.4.1 投标人须知前附表规定递交投标保证金的，投标人在递交投标文件的同时，应按投标人须知前附表规定的金额、担保形式和第九章“投标文件格式”规定的或者事先经过招标人认可的保证金格式递交保证金，并作为其投标文件的组成部分。联合体投标的，其投标保证金由牵头人递交，并应符合投标人须知前附表的规定。</w:t>
      </w:r>
    </w:p>
    <w:p w14:paraId="386D6098">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无论采取何种形式的投标保证金，投标保证金有效期均应与投标有效期一致（采用投标电子保函的保证期截止时间不得早于该项目投标有效期的截止时间）。招标人如果按本章第3.3.3项的规定延长了投标有效期，则投标保证金的有效期也相应延长。</w:t>
      </w:r>
    </w:p>
    <w:p w14:paraId="7F3BB265">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3.4.2 投标人不按本章第3.4.1项要求提交投标保证金的，评标委员会将否决其投标。</w:t>
      </w:r>
    </w:p>
    <w:p w14:paraId="7492C24A">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3.4.3 未中标投标人的投标保证金，中标通知书同步推送至交易中心服务端，银行接到退还指令后一个工作日内退还保证金到达原交纳的基本账户；中标人的投标保证金，在中标人与招标人签订合同并将公开信息推送至交易中心服务端，银行接到退还指令后一个工作日内退付保证金到达原交纳的基本账户。</w:t>
      </w:r>
    </w:p>
    <w:p w14:paraId="47424355">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3.4.4 有下列情形之一的，投标保证金将不予退还： </w:t>
      </w:r>
    </w:p>
    <w:p w14:paraId="18C5C7F5">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（1）投标截止后投标人撤销投标文件的；</w:t>
      </w:r>
    </w:p>
    <w:p w14:paraId="1D242CDE">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（2）中标人无正当理由不与招标人订立合同，在签订合同时向招标人提出附加条件，或者不按照招标文件要求提交履约保证金的。</w:t>
      </w:r>
    </w:p>
    <w:p w14:paraId="38D4B093">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3.4.5 投标保证金按《滁州市公共资源交易投标保证金管理规定》（滁公管〔2021〕7号）规定执行。</w:t>
      </w:r>
    </w:p>
    <w:p w14:paraId="629298B7">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313" w:name="_Toc95223359"/>
      <w:bookmarkStart w:id="314" w:name="_Toc60061456"/>
      <w:bookmarkStart w:id="315" w:name="_Toc15058868"/>
      <w:bookmarkStart w:id="316" w:name="_Toc83301711"/>
      <w:bookmarkStart w:id="317" w:name="_Toc296602442"/>
      <w:bookmarkStart w:id="318" w:name="_Toc324404837"/>
      <w:bookmarkStart w:id="319" w:name="_Toc506107290"/>
      <w:bookmarkStart w:id="320" w:name="_Toc144974521"/>
      <w:bookmarkStart w:id="321" w:name="_Toc152042329"/>
      <w:bookmarkStart w:id="322" w:name="_Toc179632571"/>
      <w:bookmarkStart w:id="323" w:name="_Toc246996940"/>
      <w:bookmarkStart w:id="324" w:name="_Toc152045553"/>
      <w:bookmarkStart w:id="325" w:name="_Toc246996197"/>
      <w:bookmarkStart w:id="326" w:name="_Toc247085711"/>
      <w:r>
        <w:rPr>
          <w:rFonts w:hint="eastAsia" w:ascii="黑体" w:hAnsi="黑体" w:eastAsia="黑体" w:cs="黑体"/>
          <w:color w:val="auto"/>
          <w:sz w:val="21"/>
          <w:szCs w:val="21"/>
          <w:highlight w:val="none"/>
        </w:rPr>
        <w:t>3.5投标文件的编制</w:t>
      </w:r>
      <w:bookmarkEnd w:id="313"/>
      <w:bookmarkEnd w:id="314"/>
      <w:bookmarkEnd w:id="315"/>
      <w:bookmarkEnd w:id="316"/>
      <w:bookmarkEnd w:id="317"/>
      <w:bookmarkEnd w:id="318"/>
      <w:bookmarkEnd w:id="319"/>
    </w:p>
    <w:p w14:paraId="352A22FE">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3.5.1投标文件应按第九章“投标文件格式”进行编写，如有必要，可以增加附页，作为投标文件的组成部分。其中，投标函在满足招标文件实质性要求的基础上，可以提出比招标文件要求更有利于招标人的承诺。施工组织设计编制的特殊要求见投标人须知前附表。</w:t>
      </w:r>
    </w:p>
    <w:p w14:paraId="49D61F10">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3.5.2本次投标不需要提供纸质投标文件，投标人应按照电子招标投标的要求，在投标人的电子系统中制作、签章、上传加密的电子投标文件。</w:t>
      </w:r>
    </w:p>
    <w:p w14:paraId="5F8F4803">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3.5.3 投标文件应当对招标文件有关工期、投标有效期、质量要求、技术标准和要求、招标范围等实质性内容作出响应。</w:t>
      </w:r>
    </w:p>
    <w:bookmarkEnd w:id="320"/>
    <w:bookmarkEnd w:id="321"/>
    <w:bookmarkEnd w:id="322"/>
    <w:bookmarkEnd w:id="323"/>
    <w:bookmarkEnd w:id="324"/>
    <w:bookmarkEnd w:id="325"/>
    <w:bookmarkEnd w:id="326"/>
    <w:p w14:paraId="01FB1CCC">
      <w:pPr>
        <w:adjustRightInd w:val="0"/>
        <w:snapToGrid w:val="0"/>
        <w:spacing w:line="600" w:lineRule="exact"/>
        <w:ind w:firstLine="420" w:firstLineChars="200"/>
        <w:rPr>
          <w:rFonts w:hint="eastAsia" w:ascii="宋体" w:hAnsi="宋体" w:cs="宋体"/>
          <w:bCs/>
          <w:snapToGrid w:val="0"/>
          <w:color w:val="auto"/>
          <w:kern w:val="0"/>
          <w:szCs w:val="21"/>
          <w:highlight w:val="none"/>
        </w:rPr>
      </w:pPr>
      <w:bookmarkStart w:id="327" w:name="_Toc152045555"/>
      <w:bookmarkStart w:id="328" w:name="_Toc324404838"/>
      <w:bookmarkStart w:id="329" w:name="_Toc179632573"/>
      <w:bookmarkStart w:id="330" w:name="_Toc246996942"/>
      <w:bookmarkStart w:id="331" w:name="_Toc144974523"/>
      <w:bookmarkStart w:id="332" w:name="_Toc247085713"/>
      <w:bookmarkStart w:id="333" w:name="_Toc246996199"/>
      <w:bookmarkStart w:id="334" w:name="_Toc152042331"/>
      <w:r>
        <w:rPr>
          <w:rFonts w:hint="eastAsia" w:ascii="宋体" w:hAnsi="宋体" w:cs="宋体"/>
          <w:bCs/>
          <w:snapToGrid w:val="0"/>
          <w:color w:val="auto"/>
          <w:kern w:val="0"/>
          <w:szCs w:val="21"/>
          <w:highlight w:val="none"/>
        </w:rPr>
        <w:t>3.5.4 投标人须知前附表规定接受联合体投标的，资格审查资料应包括联合体各方相关情况 。</w:t>
      </w:r>
    </w:p>
    <w:p w14:paraId="32DD7B1E">
      <w:pPr>
        <w:adjustRightInd w:val="0"/>
        <w:snapToGrid w:val="0"/>
        <w:spacing w:line="600" w:lineRule="exact"/>
        <w:ind w:firstLine="420" w:firstLineChars="200"/>
        <w:rPr>
          <w:rFonts w:hint="eastAsia" w:ascii="宋体" w:hAnsi="宋体" w:cs="宋体"/>
          <w:bCs/>
          <w:snapToGrid w:val="0"/>
          <w:color w:val="auto"/>
          <w:kern w:val="0"/>
          <w:szCs w:val="21"/>
          <w:highlight w:val="none"/>
        </w:rPr>
      </w:pPr>
      <w:r>
        <w:rPr>
          <w:rFonts w:hint="eastAsia" w:ascii="宋体" w:hAnsi="宋体" w:cs="宋体"/>
          <w:bCs/>
          <w:snapToGrid w:val="0"/>
          <w:color w:val="auto"/>
          <w:kern w:val="0"/>
          <w:szCs w:val="21"/>
          <w:highlight w:val="none"/>
        </w:rPr>
        <w:t>3.5.5招标人有权核查投标人在投标文件中提供的资料，若发现投标人以他人名义投标或者以其他方式弄虚作假骗取中标的，中标无效；</w:t>
      </w:r>
      <w:r>
        <w:rPr>
          <w:rFonts w:hint="eastAsia" w:ascii="宋体" w:hAnsi="宋体" w:cs="宋体"/>
          <w:b/>
          <w:snapToGrid w:val="0"/>
          <w:color w:val="auto"/>
          <w:kern w:val="0"/>
          <w:szCs w:val="21"/>
          <w:highlight w:val="none"/>
        </w:rPr>
        <w:t>如果签订合同后发现中标人提供了虚假材料，招标人有权解除合同</w:t>
      </w:r>
      <w:r>
        <w:rPr>
          <w:rFonts w:hint="eastAsia" w:ascii="宋体" w:hAnsi="宋体" w:cs="宋体"/>
          <w:bCs/>
          <w:snapToGrid w:val="0"/>
          <w:color w:val="auto"/>
          <w:kern w:val="0"/>
          <w:szCs w:val="21"/>
          <w:highlight w:val="none"/>
        </w:rPr>
        <w:t>。同时招标人将投标人上述弄虚作假行为上报公共资源交易监督管理部门处理。</w:t>
      </w:r>
    </w:p>
    <w:p w14:paraId="2ED82EB8">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3.5.6投标文件的制作应满足以下规定：</w:t>
      </w:r>
    </w:p>
    <w:p w14:paraId="28A327C0">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（1）投标文件由投标人使用电子交易系统提供的“投标文件制作工具”制作生成。“投标文件制作工具”可以通过电子交易系统下载。</w:t>
      </w:r>
    </w:p>
    <w:p w14:paraId="7FD56C39">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b/>
          <w:color w:val="auto"/>
          <w:szCs w:val="21"/>
          <w:highlight w:val="none"/>
        </w:rPr>
        <w:t>招标文件中“签章”是指签字或盖章。</w:t>
      </w:r>
      <w:r>
        <w:rPr>
          <w:rFonts w:hint="eastAsia" w:ascii="宋体" w:hAnsi="宋体" w:cs="宋体"/>
          <w:color w:val="auto"/>
          <w:szCs w:val="21"/>
          <w:highlight w:val="none"/>
        </w:rPr>
        <w:t>在第九章“投标文件格式”中要求签章处，投标人应加盖投标人单位电子印章和法定代表人的个人电子印章/电子签名章或直接上传加盖投标人单位印章和法定代表人的印章（或签字）的原件彩色扫描件。联合体投标的，除联合体协议书外， 投标文件由联合体牵头人按上述规定加盖联合体牵头人单位电子印章和法定代表人的个人电子印章/电子签名章或直接上传加盖联合体牵头人单位印章和法定代表人的印章（或签字）的原件彩色扫描件。</w:t>
      </w:r>
    </w:p>
    <w:p w14:paraId="20635A2E">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投标文件制作完成后，投标人应对投标文件进行文件加密，形成加密的投标文件。采用CA数字证书加密的，加密时投标文件的所有内容均只能使用同一把CA数字证书进行加密，否则引起的解密失败责任由投标人自行承担。</w:t>
      </w:r>
    </w:p>
    <w:p w14:paraId="2D78CB2E">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（4）投标文件制作的具体方法详见“投标文件制作工具”中的帮助文档。</w:t>
      </w:r>
    </w:p>
    <w:p w14:paraId="2EEEF4D4">
      <w:pPr>
        <w:adjustRightInd w:val="0"/>
        <w:snapToGrid w:val="0"/>
        <w:spacing w:line="5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3.5.7 因投标人自身原因而导致投标文件无法导入电子交易系统电子开标、评标系统，该投标视为无效投标，投标人自行承担由此导致的全部责任。</w:t>
      </w:r>
    </w:p>
    <w:p w14:paraId="3B4DD4B0">
      <w:pPr>
        <w:adjustRightInd w:val="0"/>
        <w:snapToGrid w:val="0"/>
        <w:spacing w:line="5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3.5.8 投标人中标后须递交与网上电子投标文件完全一致的纸质版投标文件，在领取中标通知书时，一并递交给招标代理机构。</w:t>
      </w:r>
    </w:p>
    <w:p w14:paraId="3D18FEE9">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r>
        <w:rPr>
          <w:rFonts w:hint="eastAsia" w:ascii="黑体" w:hAnsi="黑体" w:eastAsia="黑体" w:cs="黑体"/>
          <w:color w:val="auto"/>
          <w:sz w:val="21"/>
          <w:szCs w:val="21"/>
          <w:highlight w:val="none"/>
        </w:rPr>
        <w:t>3.6 备选投标方案</w:t>
      </w:r>
    </w:p>
    <w:p w14:paraId="5E833604">
      <w:pPr>
        <w:adjustRightInd w:val="0"/>
        <w:snapToGrid w:val="0"/>
        <w:spacing w:line="600" w:lineRule="exact"/>
        <w:ind w:firstLine="420" w:firstLineChars="200"/>
        <w:rPr>
          <w:rFonts w:hint="eastAsia" w:ascii="宋体" w:hAnsi="宋体" w:cs="宋体"/>
          <w:color w:val="auto"/>
          <w:highlight w:val="none"/>
        </w:rPr>
      </w:pPr>
      <w:r>
        <w:rPr>
          <w:rFonts w:hint="eastAsia" w:ascii="宋体" w:hAnsi="宋体" w:cs="宋体"/>
          <w:color w:val="auto"/>
          <w:highlight w:val="none"/>
        </w:rPr>
        <w:t xml:space="preserve">3.6.1 </w:t>
      </w:r>
      <w:r>
        <w:rPr>
          <w:rFonts w:hint="eastAsia" w:ascii="宋体" w:hAnsi="宋体" w:cs="宋体"/>
          <w:bCs/>
          <w:snapToGrid w:val="0"/>
          <w:color w:val="auto"/>
          <w:kern w:val="0"/>
          <w:szCs w:val="21"/>
          <w:highlight w:val="none"/>
        </w:rPr>
        <w:t>除投标人须知前附表规定允许外，投标人不得递交备选投标方案，否则其投标将被否决。</w:t>
      </w:r>
    </w:p>
    <w:p w14:paraId="6E36DAAA">
      <w:pPr>
        <w:adjustRightInd w:val="0"/>
        <w:snapToGrid w:val="0"/>
        <w:spacing w:line="600" w:lineRule="exact"/>
        <w:ind w:firstLine="420" w:firstLineChars="200"/>
        <w:rPr>
          <w:rFonts w:hint="eastAsia" w:ascii="宋体" w:hAnsi="宋体" w:cs="宋体"/>
          <w:color w:val="auto"/>
          <w:highlight w:val="none"/>
        </w:rPr>
      </w:pPr>
      <w:r>
        <w:rPr>
          <w:rFonts w:hint="eastAsia" w:ascii="宋体" w:hAnsi="宋体" w:cs="宋体"/>
          <w:color w:val="auto"/>
          <w:highlight w:val="none"/>
        </w:rPr>
        <w:t xml:space="preserve">3.6.2 </w:t>
      </w:r>
      <w:r>
        <w:rPr>
          <w:rFonts w:hint="eastAsia" w:ascii="宋体" w:hAnsi="宋体" w:cs="宋体"/>
          <w:bCs/>
          <w:snapToGrid w:val="0"/>
          <w:color w:val="auto"/>
          <w:kern w:val="0"/>
          <w:szCs w:val="21"/>
          <w:highlight w:val="none"/>
        </w:rPr>
        <w:t>允许投标人递交备选投标方案的，只有中标人所递交的备选投标方案方可予以考虑。评标委员会认为中标人的备选投标方案优于其按照招标文件要求编制的投标方案的，招标人可以接受该备选投标方案。</w:t>
      </w:r>
    </w:p>
    <w:p w14:paraId="6C4CC366">
      <w:pPr>
        <w:adjustRightInd w:val="0"/>
        <w:snapToGrid w:val="0"/>
        <w:spacing w:line="600" w:lineRule="exact"/>
        <w:ind w:firstLine="420" w:firstLineChars="200"/>
        <w:rPr>
          <w:rFonts w:hint="eastAsia" w:ascii="宋体" w:hAnsi="宋体" w:cs="宋体"/>
          <w:bCs/>
          <w:snapToGrid w:val="0"/>
          <w:color w:val="auto"/>
          <w:kern w:val="0"/>
          <w:szCs w:val="21"/>
          <w:highlight w:val="none"/>
        </w:rPr>
      </w:pPr>
      <w:r>
        <w:rPr>
          <w:rFonts w:hint="eastAsia" w:ascii="宋体" w:hAnsi="宋体" w:cs="宋体"/>
          <w:color w:val="auto"/>
          <w:highlight w:val="none"/>
        </w:rPr>
        <w:t xml:space="preserve">3.6.3 </w:t>
      </w:r>
      <w:r>
        <w:rPr>
          <w:rFonts w:hint="eastAsia" w:ascii="宋体" w:hAnsi="宋体" w:cs="宋体"/>
          <w:bCs/>
          <w:snapToGrid w:val="0"/>
          <w:color w:val="auto"/>
          <w:kern w:val="0"/>
          <w:szCs w:val="21"/>
          <w:highlight w:val="none"/>
        </w:rPr>
        <w:t>投标人提供两个或两个以上投标报价，或在投标文件中提供一个报价，但同时提供两个或两个以上施工组织设计的，视为提供备选方案。</w:t>
      </w:r>
    </w:p>
    <w:p w14:paraId="777FD702">
      <w:pPr>
        <w:pStyle w:val="3"/>
        <w:adjustRightInd w:val="0"/>
        <w:snapToGrid w:val="0"/>
        <w:spacing w:before="0" w:after="0" w:line="560" w:lineRule="exact"/>
        <w:ind w:firstLine="422" w:firstLineChars="200"/>
        <w:rPr>
          <w:rFonts w:hint="eastAsia" w:ascii="黑体" w:hAnsi="黑体" w:cs="黑体"/>
          <w:color w:val="auto"/>
          <w:sz w:val="21"/>
          <w:szCs w:val="21"/>
          <w:highlight w:val="none"/>
        </w:rPr>
      </w:pPr>
      <w:bookmarkStart w:id="335" w:name="_Toc506107291"/>
      <w:bookmarkStart w:id="336" w:name="_Toc60061457"/>
      <w:bookmarkStart w:id="337" w:name="_Toc83301712"/>
      <w:bookmarkStart w:id="338" w:name="_Toc15058869"/>
      <w:bookmarkStart w:id="339" w:name="_Toc95223360"/>
      <w:r>
        <w:rPr>
          <w:rFonts w:hint="eastAsia" w:ascii="黑体" w:hAnsi="黑体" w:cs="黑体"/>
          <w:color w:val="auto"/>
          <w:sz w:val="21"/>
          <w:szCs w:val="21"/>
          <w:highlight w:val="none"/>
        </w:rPr>
        <w:t>4.投标</w:t>
      </w:r>
      <w:bookmarkEnd w:id="335"/>
      <w:bookmarkEnd w:id="336"/>
      <w:bookmarkEnd w:id="337"/>
      <w:bookmarkEnd w:id="338"/>
      <w:bookmarkEnd w:id="339"/>
    </w:p>
    <w:p w14:paraId="3B603B1B">
      <w:pPr>
        <w:pStyle w:val="4"/>
        <w:adjustRightInd w:val="0"/>
        <w:snapToGrid w:val="0"/>
        <w:spacing w:before="0" w:after="0" w:line="560" w:lineRule="exact"/>
        <w:ind w:firstLine="422" w:firstLineChars="200"/>
        <w:rPr>
          <w:rFonts w:hint="eastAsia" w:ascii="黑体" w:hAnsi="黑体" w:cs="黑体"/>
          <w:color w:val="auto"/>
          <w:sz w:val="21"/>
          <w:szCs w:val="21"/>
          <w:highlight w:val="none"/>
        </w:rPr>
      </w:pPr>
      <w:bookmarkStart w:id="340" w:name="_Toc60061458"/>
      <w:bookmarkStart w:id="341" w:name="_Toc83301713"/>
      <w:bookmarkStart w:id="342" w:name="_Toc15058870"/>
      <w:bookmarkStart w:id="343" w:name="_Toc95223361"/>
      <w:r>
        <w:rPr>
          <w:rFonts w:hint="eastAsia" w:ascii="黑体" w:hAnsi="黑体" w:eastAsia="黑体" w:cs="黑体"/>
          <w:color w:val="auto"/>
          <w:sz w:val="21"/>
          <w:szCs w:val="21"/>
          <w:highlight w:val="none"/>
        </w:rPr>
        <w:t>4.1投标文件上传</w:t>
      </w:r>
      <w:bookmarkEnd w:id="340"/>
      <w:bookmarkEnd w:id="341"/>
      <w:bookmarkEnd w:id="342"/>
      <w:bookmarkEnd w:id="343"/>
    </w:p>
    <w:p w14:paraId="0A30029B">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4.1.1请投标人通过系统下载投标工具制作投标文件，并利用CA数字证书进行上传投标文件，上传已加密的投标文件，务必通过此方式上传投标文件。</w:t>
      </w:r>
    </w:p>
    <w:p w14:paraId="72B484D0">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4.1.2投标人在投标文件编制、签章、上传过程中如有任何操作的疑问请及时联系技术支持，电话：0550-3801701。</w:t>
      </w:r>
    </w:p>
    <w:p w14:paraId="1943874A">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344" w:name="_Toc60061459"/>
      <w:bookmarkStart w:id="345" w:name="_Toc15058871"/>
      <w:bookmarkStart w:id="346" w:name="_Toc506107292"/>
      <w:bookmarkStart w:id="347" w:name="_Toc83301714"/>
      <w:bookmarkStart w:id="348" w:name="_Toc179632574"/>
      <w:bookmarkStart w:id="349" w:name="_Toc95223362"/>
      <w:bookmarkStart w:id="350" w:name="_Toc152042332"/>
      <w:bookmarkStart w:id="351" w:name="_Toc247085714"/>
      <w:bookmarkStart w:id="352" w:name="_Toc324404839"/>
      <w:bookmarkStart w:id="353" w:name="_Toc152045556"/>
      <w:bookmarkStart w:id="354" w:name="_Toc246996200"/>
      <w:bookmarkStart w:id="355" w:name="_Toc246996943"/>
      <w:bookmarkStart w:id="356" w:name="_Toc144974524"/>
      <w:bookmarkStart w:id="357" w:name="_Toc296602444"/>
      <w:r>
        <w:rPr>
          <w:rFonts w:hint="eastAsia" w:ascii="黑体" w:hAnsi="黑体" w:eastAsia="黑体" w:cs="黑体"/>
          <w:color w:val="auto"/>
          <w:sz w:val="21"/>
          <w:szCs w:val="21"/>
          <w:highlight w:val="none"/>
        </w:rPr>
        <w:t>4.2投标文件的密封和标记</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14:paraId="3F435AEC">
      <w:pPr>
        <w:adjustRightInd w:val="0"/>
        <w:snapToGrid w:val="0"/>
        <w:spacing w:line="560" w:lineRule="exact"/>
        <w:ind w:firstLine="420" w:firstLineChars="200"/>
        <w:rPr>
          <w:rFonts w:hint="eastAsia" w:ascii="宋体" w:hAnsi="宋体" w:cs="宋体"/>
          <w:color w:val="auto"/>
          <w:szCs w:val="21"/>
          <w:highlight w:val="none"/>
        </w:rPr>
      </w:pPr>
      <w:bookmarkStart w:id="358" w:name="_Toc324404840"/>
      <w:bookmarkStart w:id="359" w:name="_Toc246996201"/>
      <w:bookmarkStart w:id="360" w:name="_Toc152045557"/>
      <w:bookmarkStart w:id="361" w:name="_Toc144974525"/>
      <w:bookmarkStart w:id="362" w:name="_Toc296602445"/>
      <w:bookmarkStart w:id="363" w:name="_Toc179632575"/>
      <w:bookmarkStart w:id="364" w:name="_Toc152042333"/>
      <w:bookmarkStart w:id="365" w:name="_Toc246996944"/>
      <w:bookmarkStart w:id="366" w:name="_Toc247085715"/>
      <w:r>
        <w:rPr>
          <w:rFonts w:hint="eastAsia" w:ascii="宋体" w:hAnsi="宋体" w:cs="宋体"/>
          <w:color w:val="auto"/>
          <w:szCs w:val="21"/>
          <w:highlight w:val="none"/>
        </w:rPr>
        <w:t>4.2.1投标文件应按照本章第3.5.6项要求制作并加密，未按要求加密的投标文件将被拒绝接收。以投标人在投标截止时间前网上递交的电子投标文件为准。</w:t>
      </w:r>
    </w:p>
    <w:p w14:paraId="6C5DFD9A">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367" w:name="_Toc95223363"/>
      <w:bookmarkStart w:id="368" w:name="_Toc83301715"/>
      <w:bookmarkStart w:id="369" w:name="_Toc15058872"/>
      <w:bookmarkStart w:id="370" w:name="_Toc506107293"/>
      <w:bookmarkStart w:id="371" w:name="_Toc60061460"/>
      <w:r>
        <w:rPr>
          <w:rFonts w:hint="eastAsia" w:ascii="黑体" w:hAnsi="黑体" w:eastAsia="黑体" w:cs="黑体"/>
          <w:color w:val="auto"/>
          <w:sz w:val="21"/>
          <w:szCs w:val="21"/>
          <w:highlight w:val="none"/>
        </w:rPr>
        <w:t>4.3 投标文件的递交</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14:paraId="3B1E2D87">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4.3.1 投标人应当在第一章“招标公告”规定的投标截止时间前，将加密投标文件上传至电子交易系统。</w:t>
      </w:r>
    </w:p>
    <w:p w14:paraId="24783A0F">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4.3.2 除投标人须知前附表另有规定外，投标人所递交的投标文件不予退还。</w:t>
      </w:r>
    </w:p>
    <w:p w14:paraId="11017A84">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4.3.3 </w:t>
      </w:r>
      <w:r>
        <w:rPr>
          <w:rFonts w:ascii="宋体" w:hAnsi="宋体" w:cs="宋体"/>
          <w:color w:val="auto"/>
          <w:szCs w:val="21"/>
          <w:highlight w:val="none"/>
        </w:rPr>
        <w:t>投标人应当在投标截止时间前完成投标文件的</w:t>
      </w:r>
      <w:r>
        <w:rPr>
          <w:rFonts w:hint="eastAsia" w:ascii="宋体" w:hAnsi="宋体" w:cs="宋体"/>
          <w:color w:val="auto"/>
          <w:szCs w:val="21"/>
          <w:highlight w:val="none"/>
        </w:rPr>
        <w:t>网上递交，</w:t>
      </w:r>
      <w:r>
        <w:rPr>
          <w:rFonts w:ascii="宋体" w:hAnsi="宋体" w:cs="宋体"/>
          <w:color w:val="auto"/>
          <w:szCs w:val="21"/>
          <w:highlight w:val="none"/>
        </w:rPr>
        <w:t xml:space="preserve"> 并可以补充、修改或者撤回投标文件。投标截止时间前未完成投标文件</w:t>
      </w:r>
      <w:r>
        <w:rPr>
          <w:rFonts w:hint="eastAsia" w:ascii="宋体" w:hAnsi="宋体" w:cs="宋体"/>
          <w:color w:val="auto"/>
          <w:szCs w:val="21"/>
          <w:highlight w:val="none"/>
        </w:rPr>
        <w:t>网上递交</w:t>
      </w:r>
      <w:r>
        <w:rPr>
          <w:rFonts w:ascii="宋体" w:hAnsi="宋体" w:cs="宋体"/>
          <w:color w:val="auto"/>
          <w:szCs w:val="21"/>
          <w:highlight w:val="none"/>
        </w:rPr>
        <w:t>的，视为撤回投标文件。未按规定加密或投标截止时间后</w:t>
      </w:r>
      <w:r>
        <w:rPr>
          <w:rFonts w:hint="eastAsia" w:ascii="宋体" w:hAnsi="宋体" w:cs="宋体"/>
          <w:color w:val="auto"/>
          <w:szCs w:val="21"/>
          <w:highlight w:val="none"/>
        </w:rPr>
        <w:t>通过网上招标投标系统递交电子投标文件的</w:t>
      </w:r>
      <w:r>
        <w:rPr>
          <w:rFonts w:ascii="宋体" w:hAnsi="宋体" w:cs="宋体"/>
          <w:color w:val="auto"/>
          <w:szCs w:val="21"/>
          <w:highlight w:val="none"/>
        </w:rPr>
        <w:t>，电子交易系统应当拒收</w:t>
      </w:r>
      <w:r>
        <w:rPr>
          <w:rFonts w:hint="eastAsia" w:ascii="宋体" w:hAnsi="宋体" w:cs="宋体"/>
          <w:color w:val="auto"/>
          <w:szCs w:val="21"/>
          <w:highlight w:val="none"/>
        </w:rPr>
        <w:t>，投标无效。</w:t>
      </w:r>
    </w:p>
    <w:p w14:paraId="29474D10">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372" w:name="_Toc296602446"/>
      <w:bookmarkStart w:id="373" w:name="_Toc60061461"/>
      <w:bookmarkStart w:id="374" w:name="_Toc152042334"/>
      <w:bookmarkStart w:id="375" w:name="_Toc144974526"/>
      <w:bookmarkStart w:id="376" w:name="_Toc83301716"/>
      <w:bookmarkStart w:id="377" w:name="_Toc506107294"/>
      <w:bookmarkStart w:id="378" w:name="_Toc15058873"/>
      <w:bookmarkStart w:id="379" w:name="_Toc246996945"/>
      <w:bookmarkStart w:id="380" w:name="_Toc95223364"/>
      <w:bookmarkStart w:id="381" w:name="_Toc246996202"/>
      <w:bookmarkStart w:id="382" w:name="_Toc179632576"/>
      <w:bookmarkStart w:id="383" w:name="_Toc152045558"/>
      <w:bookmarkStart w:id="384" w:name="_Toc324404841"/>
      <w:bookmarkStart w:id="385" w:name="_Toc247085716"/>
      <w:r>
        <w:rPr>
          <w:rFonts w:hint="eastAsia" w:ascii="黑体" w:hAnsi="黑体" w:eastAsia="黑体" w:cs="黑体"/>
          <w:color w:val="auto"/>
          <w:sz w:val="21"/>
          <w:szCs w:val="21"/>
          <w:highlight w:val="none"/>
        </w:rPr>
        <w:t>4.4 投标文件的修改与撤回</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14:paraId="31842F4F">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4.4.1在第一章“招标公告”规定的投标截止时间前，投标人可以自行从网上开评标系统撤回已递交的投标文件，并可修改后重新加密上传，开标时以投标截止时间前投标人最终上传的投标文件为准。</w:t>
      </w:r>
    </w:p>
    <w:p w14:paraId="61DE0D9F">
      <w:pPr>
        <w:pStyle w:val="3"/>
        <w:adjustRightInd w:val="0"/>
        <w:snapToGrid w:val="0"/>
        <w:spacing w:before="0" w:after="0" w:line="560" w:lineRule="exact"/>
        <w:ind w:firstLine="422" w:firstLineChars="200"/>
        <w:rPr>
          <w:rFonts w:hint="eastAsia" w:ascii="黑体" w:hAnsi="黑体" w:cs="黑体"/>
          <w:color w:val="auto"/>
          <w:sz w:val="21"/>
          <w:szCs w:val="21"/>
          <w:highlight w:val="none"/>
        </w:rPr>
      </w:pPr>
      <w:bookmarkStart w:id="386" w:name="_Toc246996946"/>
      <w:bookmarkStart w:id="387" w:name="_Toc246996203"/>
      <w:bookmarkStart w:id="388" w:name="_Toc152042335"/>
      <w:bookmarkStart w:id="389" w:name="_Toc179632577"/>
      <w:bookmarkStart w:id="390" w:name="_Toc60061462"/>
      <w:bookmarkStart w:id="391" w:name="_Toc15058874"/>
      <w:bookmarkStart w:id="392" w:name="_Toc144974527"/>
      <w:bookmarkStart w:id="393" w:name="_Toc247085717"/>
      <w:bookmarkStart w:id="394" w:name="_Toc152045559"/>
      <w:bookmarkStart w:id="395" w:name="_Toc324404842"/>
      <w:bookmarkStart w:id="396" w:name="_Toc506107295"/>
      <w:bookmarkStart w:id="397" w:name="_Toc95223365"/>
      <w:bookmarkStart w:id="398" w:name="_Toc83301717"/>
      <w:r>
        <w:rPr>
          <w:rFonts w:hint="eastAsia" w:ascii="黑体" w:hAnsi="黑体" w:cs="黑体"/>
          <w:color w:val="auto"/>
          <w:sz w:val="21"/>
          <w:szCs w:val="21"/>
          <w:highlight w:val="none"/>
        </w:rPr>
        <w:t>5. 开标</w:t>
      </w:r>
      <w:bookmarkEnd w:id="386"/>
      <w:bookmarkEnd w:id="387"/>
      <w:bookmarkEnd w:id="388"/>
      <w:bookmarkEnd w:id="389"/>
      <w:bookmarkEnd w:id="390"/>
      <w:bookmarkEnd w:id="391"/>
      <w:bookmarkEnd w:id="392"/>
      <w:bookmarkEnd w:id="393"/>
      <w:bookmarkEnd w:id="394"/>
      <w:bookmarkEnd w:id="395"/>
      <w:bookmarkEnd w:id="396"/>
      <w:bookmarkEnd w:id="397"/>
      <w:bookmarkEnd w:id="398"/>
    </w:p>
    <w:p w14:paraId="7F265A91">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399" w:name="_Toc506107296"/>
      <w:bookmarkStart w:id="400" w:name="_Toc296602448"/>
      <w:bookmarkStart w:id="401" w:name="_Toc246996947"/>
      <w:bookmarkStart w:id="402" w:name="_Toc95223366"/>
      <w:bookmarkStart w:id="403" w:name="_Toc152045560"/>
      <w:bookmarkStart w:id="404" w:name="_Toc247085718"/>
      <w:bookmarkStart w:id="405" w:name="_Toc246996204"/>
      <w:bookmarkStart w:id="406" w:name="_Toc152042336"/>
      <w:bookmarkStart w:id="407" w:name="_Toc324404843"/>
      <w:bookmarkStart w:id="408" w:name="_Toc144974528"/>
      <w:bookmarkStart w:id="409" w:name="_Toc60061463"/>
      <w:bookmarkStart w:id="410" w:name="_Toc15058875"/>
      <w:bookmarkStart w:id="411" w:name="_Toc83301718"/>
      <w:bookmarkStart w:id="412" w:name="_Toc179632578"/>
      <w:r>
        <w:rPr>
          <w:rFonts w:hint="eastAsia" w:ascii="黑体" w:hAnsi="黑体" w:eastAsia="黑体" w:cs="黑体"/>
          <w:color w:val="auto"/>
          <w:sz w:val="21"/>
          <w:szCs w:val="21"/>
          <w:highlight w:val="none"/>
        </w:rPr>
        <w:t>5.1 开标时间和地点</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7643B79C">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招标人在第一章“招标公告”规定的投标截止时间前（开标时间）和地点</w:t>
      </w:r>
      <w:r>
        <w:rPr>
          <w:color w:val="auto"/>
          <w:highlight w:val="none"/>
        </w:rPr>
        <w:t>通过电子交易系统公开开标</w:t>
      </w:r>
      <w:r>
        <w:rPr>
          <w:rFonts w:hint="eastAsia" w:ascii="宋体" w:hAnsi="宋体" w:cs="宋体"/>
          <w:color w:val="auto"/>
          <w:szCs w:val="21"/>
          <w:highlight w:val="none"/>
        </w:rPr>
        <w:t>。</w:t>
      </w:r>
    </w:p>
    <w:p w14:paraId="480B062D">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413" w:name="_Toc246996205"/>
      <w:bookmarkStart w:id="414" w:name="_Toc247085719"/>
      <w:bookmarkStart w:id="415" w:name="_Toc152042337"/>
      <w:bookmarkStart w:id="416" w:name="_Toc506107297"/>
      <w:bookmarkStart w:id="417" w:name="_Toc83301719"/>
      <w:bookmarkStart w:id="418" w:name="_Toc95223367"/>
      <w:bookmarkStart w:id="419" w:name="_Toc60061464"/>
      <w:bookmarkStart w:id="420" w:name="_Toc246996948"/>
      <w:bookmarkStart w:id="421" w:name="_Toc179632579"/>
      <w:bookmarkStart w:id="422" w:name="_Toc152045561"/>
      <w:bookmarkStart w:id="423" w:name="_Toc296602449"/>
      <w:bookmarkStart w:id="424" w:name="_Toc324404844"/>
      <w:bookmarkStart w:id="425" w:name="_Toc144974529"/>
      <w:bookmarkStart w:id="426" w:name="_Toc15058876"/>
      <w:r>
        <w:rPr>
          <w:rFonts w:hint="eastAsia" w:ascii="黑体" w:hAnsi="黑体" w:eastAsia="黑体" w:cs="黑体"/>
          <w:color w:val="auto"/>
          <w:sz w:val="21"/>
          <w:szCs w:val="21"/>
          <w:highlight w:val="none"/>
        </w:rPr>
        <w:t>5.2 开标程序</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14:paraId="7F2FD7EB">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主持人按下列程序进行开标：</w:t>
      </w:r>
    </w:p>
    <w:p w14:paraId="27718020">
      <w:pPr>
        <w:adjustRightInd w:val="0"/>
        <w:snapToGrid w:val="0"/>
        <w:spacing w:line="600" w:lineRule="exact"/>
        <w:ind w:firstLine="420" w:firstLineChars="200"/>
        <w:rPr>
          <w:rFonts w:hint="eastAsia" w:ascii="宋体" w:hAnsi="宋体" w:cs="宋体"/>
          <w:bCs/>
          <w:snapToGrid w:val="0"/>
          <w:color w:val="auto"/>
          <w:kern w:val="0"/>
          <w:szCs w:val="21"/>
          <w:highlight w:val="none"/>
        </w:rPr>
      </w:pPr>
      <w:r>
        <w:rPr>
          <w:rFonts w:hint="eastAsia" w:ascii="宋体" w:hAnsi="宋体" w:cs="宋体"/>
          <w:bCs/>
          <w:snapToGrid w:val="0"/>
          <w:color w:val="auto"/>
          <w:kern w:val="0"/>
          <w:szCs w:val="21"/>
          <w:highlight w:val="none"/>
        </w:rPr>
        <w:t>（1）公布在投标截止时间前通过电子交易系统完成投标文件递交的投标人名称；</w:t>
      </w:r>
    </w:p>
    <w:p w14:paraId="41A607C7">
      <w:pPr>
        <w:adjustRightInd w:val="0"/>
        <w:snapToGrid w:val="0"/>
        <w:spacing w:line="560" w:lineRule="exact"/>
        <w:rPr>
          <w:rFonts w:hint="eastAsia" w:ascii="宋体" w:hAnsi="宋体" w:cs="宋体"/>
          <w:color w:val="auto"/>
          <w:szCs w:val="21"/>
          <w:highlight w:val="none"/>
        </w:rPr>
      </w:pPr>
      <w:r>
        <w:rPr>
          <w:rFonts w:hint="eastAsia" w:ascii="宋体" w:hAnsi="宋体" w:cs="宋体"/>
          <w:color w:val="auto"/>
          <w:szCs w:val="21"/>
          <w:highlight w:val="none"/>
        </w:rPr>
        <w:t xml:space="preserve">    （2）投标人在投标截止时间后在投标人须知前附表规定的解密时间内完成投标文件的解密工作；</w:t>
      </w:r>
    </w:p>
    <w:p w14:paraId="393D0AA5">
      <w:pPr>
        <w:adjustRightInd w:val="0"/>
        <w:snapToGrid w:val="0"/>
        <w:spacing w:line="560" w:lineRule="exact"/>
        <w:rPr>
          <w:rFonts w:hint="eastAsia" w:ascii="宋体" w:hAnsi="宋体" w:cs="宋体"/>
          <w:color w:val="auto"/>
          <w:szCs w:val="21"/>
          <w:highlight w:val="none"/>
        </w:rPr>
      </w:pPr>
      <w:r>
        <w:rPr>
          <w:rFonts w:hint="eastAsia" w:ascii="宋体" w:hAnsi="宋体" w:cs="宋体"/>
          <w:color w:val="auto"/>
          <w:szCs w:val="21"/>
          <w:highlight w:val="none"/>
        </w:rPr>
        <w:t xml:space="preserve">    （3）</w:t>
      </w:r>
      <w:r>
        <w:rPr>
          <w:rFonts w:hint="eastAsia" w:ascii="宋体" w:hAnsi="宋体" w:cs="宋体"/>
          <w:bCs/>
          <w:snapToGrid w:val="0"/>
          <w:color w:val="auto"/>
          <w:kern w:val="0"/>
          <w:szCs w:val="21"/>
          <w:highlight w:val="none"/>
        </w:rPr>
        <w:t>招标人或招标代理机构完成解密工作，导入并读取所有成功解密的投标文件；</w:t>
      </w:r>
    </w:p>
    <w:p w14:paraId="36B5A0A4">
      <w:pPr>
        <w:adjustRightInd w:val="0"/>
        <w:snapToGrid w:val="0"/>
        <w:spacing w:line="560" w:lineRule="exact"/>
        <w:rPr>
          <w:rFonts w:hint="eastAsia" w:ascii="宋体" w:hAnsi="宋体" w:cs="宋体"/>
          <w:color w:val="auto"/>
          <w:szCs w:val="21"/>
          <w:highlight w:val="none"/>
        </w:rPr>
      </w:pPr>
      <w:r>
        <w:rPr>
          <w:rFonts w:hint="eastAsia" w:ascii="宋体" w:hAnsi="宋体" w:cs="宋体"/>
          <w:color w:val="auto"/>
          <w:szCs w:val="21"/>
          <w:highlight w:val="none"/>
        </w:rPr>
        <w:t xml:space="preserve">    （4）按投标人须知前附表规定公布投标人名称、标段名称、投标报价、质量目标、工期及其他内容；</w:t>
      </w:r>
    </w:p>
    <w:p w14:paraId="22A82760">
      <w:pPr>
        <w:adjustRightInd w:val="0"/>
        <w:snapToGrid w:val="0"/>
        <w:spacing w:line="560" w:lineRule="exact"/>
        <w:rPr>
          <w:rFonts w:hint="eastAsia" w:ascii="宋体" w:hAnsi="宋体" w:cs="宋体"/>
          <w:color w:val="auto"/>
          <w:szCs w:val="21"/>
          <w:highlight w:val="none"/>
        </w:rPr>
      </w:pPr>
      <w:r>
        <w:rPr>
          <w:rFonts w:hint="eastAsia" w:ascii="宋体" w:hAnsi="宋体" w:cs="宋体"/>
          <w:color w:val="auto"/>
          <w:szCs w:val="21"/>
          <w:highlight w:val="none"/>
        </w:rPr>
        <w:t xml:space="preserve">    （5）开标结束。</w:t>
      </w:r>
    </w:p>
    <w:bookmarkEnd w:id="327"/>
    <w:bookmarkEnd w:id="328"/>
    <w:bookmarkEnd w:id="329"/>
    <w:bookmarkEnd w:id="330"/>
    <w:bookmarkEnd w:id="331"/>
    <w:bookmarkEnd w:id="332"/>
    <w:bookmarkEnd w:id="333"/>
    <w:bookmarkEnd w:id="334"/>
    <w:p w14:paraId="4EB97047">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427" w:name="_Toc15058883"/>
      <w:bookmarkStart w:id="428" w:name="_Toc324404845"/>
      <w:bookmarkStart w:id="429" w:name="_Toc60061465"/>
      <w:bookmarkStart w:id="430" w:name="_Toc506107298"/>
      <w:bookmarkStart w:id="431" w:name="_Toc95223368"/>
      <w:bookmarkStart w:id="432" w:name="_Toc296602450"/>
      <w:bookmarkStart w:id="433" w:name="_Toc83301720"/>
      <w:r>
        <w:rPr>
          <w:rFonts w:hint="eastAsia" w:ascii="黑体" w:hAnsi="黑体" w:eastAsia="黑体" w:cs="黑体"/>
          <w:color w:val="auto"/>
          <w:sz w:val="21"/>
          <w:szCs w:val="21"/>
          <w:highlight w:val="none"/>
        </w:rPr>
        <w:t>5.3 开标异议</w:t>
      </w:r>
      <w:bookmarkEnd w:id="427"/>
      <w:bookmarkEnd w:id="428"/>
      <w:bookmarkEnd w:id="429"/>
      <w:bookmarkEnd w:id="430"/>
      <w:bookmarkEnd w:id="431"/>
      <w:bookmarkEnd w:id="432"/>
      <w:bookmarkEnd w:id="433"/>
    </w:p>
    <w:p w14:paraId="073425B4">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投标人对开标有异议的，应当在开标过程中提出，招标人在开标过程中作出答复，并制作记录。</w:t>
      </w:r>
      <w:r>
        <w:rPr>
          <w:color w:val="auto"/>
          <w:spacing w:val="-5"/>
          <w:highlight w:val="none"/>
        </w:rPr>
        <w:t>异议与答复应通过电子交易系统进行。</w:t>
      </w:r>
    </w:p>
    <w:p w14:paraId="5737AC99">
      <w:pPr>
        <w:pStyle w:val="3"/>
        <w:adjustRightInd w:val="0"/>
        <w:snapToGrid w:val="0"/>
        <w:spacing w:before="0" w:after="0" w:line="560" w:lineRule="exact"/>
        <w:ind w:firstLine="422" w:firstLineChars="200"/>
        <w:rPr>
          <w:rFonts w:hint="eastAsia" w:ascii="黑体" w:hAnsi="黑体" w:cs="黑体"/>
          <w:color w:val="auto"/>
          <w:sz w:val="21"/>
          <w:szCs w:val="21"/>
          <w:highlight w:val="none"/>
        </w:rPr>
      </w:pPr>
      <w:bookmarkStart w:id="434" w:name="_Toc95223369"/>
      <w:bookmarkStart w:id="435" w:name="_Toc152042338"/>
      <w:bookmarkStart w:id="436" w:name="_Toc83301721"/>
      <w:bookmarkStart w:id="437" w:name="_Toc152045562"/>
      <w:bookmarkStart w:id="438" w:name="_Toc144974530"/>
      <w:bookmarkStart w:id="439" w:name="_Toc324404846"/>
      <w:bookmarkStart w:id="440" w:name="_Toc506107299"/>
      <w:bookmarkStart w:id="441" w:name="_Toc179632580"/>
      <w:bookmarkStart w:id="442" w:name="_Toc15058884"/>
      <w:bookmarkStart w:id="443" w:name="_Toc60061466"/>
      <w:bookmarkStart w:id="444" w:name="_Toc247085720"/>
      <w:bookmarkStart w:id="445" w:name="_Toc246996949"/>
      <w:bookmarkStart w:id="446" w:name="_Toc246996206"/>
      <w:r>
        <w:rPr>
          <w:rFonts w:hint="eastAsia" w:ascii="黑体" w:hAnsi="黑体" w:cs="黑体"/>
          <w:color w:val="auto"/>
          <w:sz w:val="21"/>
          <w:szCs w:val="21"/>
          <w:highlight w:val="none"/>
        </w:rPr>
        <w:t>6. 评标</w:t>
      </w:r>
      <w:bookmarkEnd w:id="434"/>
      <w:bookmarkEnd w:id="435"/>
      <w:bookmarkEnd w:id="436"/>
      <w:bookmarkEnd w:id="437"/>
      <w:bookmarkEnd w:id="438"/>
      <w:bookmarkEnd w:id="439"/>
      <w:bookmarkEnd w:id="440"/>
      <w:bookmarkEnd w:id="441"/>
      <w:bookmarkEnd w:id="442"/>
      <w:bookmarkEnd w:id="443"/>
      <w:bookmarkEnd w:id="444"/>
      <w:bookmarkEnd w:id="445"/>
      <w:bookmarkEnd w:id="446"/>
    </w:p>
    <w:p w14:paraId="14F77FC8">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447" w:name="_Toc247085721"/>
      <w:bookmarkStart w:id="448" w:name="_Toc324404847"/>
      <w:bookmarkStart w:id="449" w:name="_Toc152045563"/>
      <w:bookmarkStart w:id="450" w:name="_Toc506107300"/>
      <w:bookmarkStart w:id="451" w:name="_Toc246996950"/>
      <w:bookmarkStart w:id="452" w:name="_Toc15058885"/>
      <w:bookmarkStart w:id="453" w:name="_Toc152042339"/>
      <w:bookmarkStart w:id="454" w:name="_Toc83301722"/>
      <w:bookmarkStart w:id="455" w:name="_Toc179632581"/>
      <w:bookmarkStart w:id="456" w:name="_Toc60061467"/>
      <w:bookmarkStart w:id="457" w:name="_Toc296602452"/>
      <w:bookmarkStart w:id="458" w:name="_Toc246996207"/>
      <w:bookmarkStart w:id="459" w:name="_Toc144974531"/>
      <w:bookmarkStart w:id="460" w:name="_Toc95223370"/>
      <w:r>
        <w:rPr>
          <w:rFonts w:hint="eastAsia" w:ascii="黑体" w:hAnsi="黑体" w:eastAsia="黑体" w:cs="黑体"/>
          <w:color w:val="auto"/>
          <w:sz w:val="21"/>
          <w:szCs w:val="21"/>
          <w:highlight w:val="none"/>
        </w:rPr>
        <w:t>6.1 评标委员会</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p w14:paraId="14C2E026">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6.1.1 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14:paraId="401B78A6">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6.1.2 评标委员会成员有下列情形之一的，应当回避：</w:t>
      </w:r>
    </w:p>
    <w:p w14:paraId="6A3933DA">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（1）项目主管部门或行政监督管理部门，项目属地的公共资源交易综合管理部门、交易中心的工作人员；</w:t>
      </w:r>
      <w:r>
        <w:rPr>
          <w:rFonts w:ascii="宋体" w:hAnsi="宋体" w:cs="宋体"/>
          <w:color w:val="auto"/>
          <w:szCs w:val="21"/>
          <w:highlight w:val="none"/>
        </w:rPr>
        <w:t xml:space="preserve"> </w:t>
      </w:r>
    </w:p>
    <w:p w14:paraId="635EF4A0">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（2）与竞争主体主要负责人或者授权参与交易的代理人有近亲属关系的人员；</w:t>
      </w:r>
      <w:r>
        <w:rPr>
          <w:rFonts w:ascii="宋体" w:hAnsi="宋体" w:cs="宋体"/>
          <w:color w:val="auto"/>
          <w:szCs w:val="21"/>
          <w:highlight w:val="none"/>
        </w:rPr>
        <w:t xml:space="preserve"> </w:t>
      </w:r>
    </w:p>
    <w:p w14:paraId="4A7A6BC0">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（3）竞争主体的工作人员或者退休人员；</w:t>
      </w:r>
      <w:r>
        <w:rPr>
          <w:rFonts w:ascii="宋体" w:hAnsi="宋体" w:cs="宋体"/>
          <w:color w:val="auto"/>
          <w:szCs w:val="21"/>
          <w:highlight w:val="none"/>
        </w:rPr>
        <w:t xml:space="preserve"> </w:t>
      </w:r>
    </w:p>
    <w:p w14:paraId="05EAF986">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（4）竞争主体的上级主管、控股或者被控股单位等相关利害关系的人员，或任职单位与竞争主体单位为同一法定代表人的；</w:t>
      </w:r>
      <w:r>
        <w:rPr>
          <w:rFonts w:ascii="宋体" w:hAnsi="宋体" w:cs="宋体"/>
          <w:color w:val="auto"/>
          <w:szCs w:val="21"/>
          <w:highlight w:val="none"/>
        </w:rPr>
        <w:t xml:space="preserve"> </w:t>
      </w:r>
    </w:p>
    <w:p w14:paraId="7B2D683C">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（5）存在其他法定回避情形的。</w:t>
      </w:r>
    </w:p>
    <w:p w14:paraId="56806CC0">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项目实施主体及其子公司、下属单位、上级主管部门或者控股公司的工作人员或者退休人员不得以专家身份参与本单位或者代理项目的评标评审。</w:t>
      </w:r>
      <w:r>
        <w:rPr>
          <w:rFonts w:ascii="宋体" w:hAnsi="宋体" w:cs="宋体"/>
          <w:color w:val="auto"/>
          <w:szCs w:val="21"/>
          <w:highlight w:val="none"/>
        </w:rPr>
        <w:t xml:space="preserve"> </w:t>
      </w:r>
    </w:p>
    <w:p w14:paraId="4C8CFB54">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评标委员会或评审机构成员有前两款规定情形的，应当主动提出回避；已经进入的应当更换，被更换的成员评标评审意见无效。</w:t>
      </w:r>
      <w:r>
        <w:rPr>
          <w:rFonts w:ascii="宋体" w:hAnsi="宋体" w:cs="宋体"/>
          <w:color w:val="auto"/>
          <w:szCs w:val="21"/>
          <w:highlight w:val="none"/>
        </w:rPr>
        <w:t xml:space="preserve"> </w:t>
      </w:r>
    </w:p>
    <w:p w14:paraId="1E7C003A">
      <w:pPr>
        <w:pStyle w:val="19"/>
        <w:adjustRightInd w:val="0"/>
        <w:snapToGrid w:val="0"/>
        <w:spacing w:after="0" w:line="560" w:lineRule="exact"/>
        <w:ind w:left="0" w:leftChars="0"/>
        <w:rPr>
          <w:rFonts w:hint="eastAsia"/>
          <w:color w:val="auto"/>
          <w:highlight w:val="none"/>
        </w:rPr>
      </w:pPr>
      <w:r>
        <w:rPr>
          <w:rFonts w:hint="eastAsia" w:ascii="宋体" w:hAnsi="宋体" w:cs="宋体"/>
          <w:color w:val="auto"/>
          <w:szCs w:val="21"/>
          <w:highlight w:val="none"/>
        </w:rPr>
        <w:t>6.1.3评标过程中，评标委员会成员有回避事由、擅离职守或因健康等原因不能继续评标的， 招标人有权更换。被更换的评标委员会成员作出的评审结论无效，由更换后的评标委员会成员重新进行评审。</w:t>
      </w:r>
    </w:p>
    <w:p w14:paraId="46725B03">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461" w:name="_Toc324404848"/>
      <w:bookmarkStart w:id="462" w:name="_Toc152042340"/>
      <w:bookmarkStart w:id="463" w:name="_Toc15058886"/>
      <w:bookmarkStart w:id="464" w:name="_Toc246996951"/>
      <w:bookmarkStart w:id="465" w:name="_Toc247085722"/>
      <w:bookmarkStart w:id="466" w:name="_Toc60061468"/>
      <w:bookmarkStart w:id="467" w:name="_Toc95223371"/>
      <w:bookmarkStart w:id="468" w:name="_Toc83301723"/>
      <w:bookmarkStart w:id="469" w:name="_Toc246996208"/>
      <w:bookmarkStart w:id="470" w:name="_Toc152045564"/>
      <w:bookmarkStart w:id="471" w:name="_Toc179632582"/>
      <w:bookmarkStart w:id="472" w:name="_Toc296602453"/>
      <w:bookmarkStart w:id="473" w:name="_Toc144974532"/>
      <w:bookmarkStart w:id="474" w:name="_Toc506107301"/>
      <w:r>
        <w:rPr>
          <w:rFonts w:hint="eastAsia" w:ascii="黑体" w:hAnsi="黑体" w:eastAsia="黑体" w:cs="黑体"/>
          <w:color w:val="auto"/>
          <w:sz w:val="21"/>
          <w:szCs w:val="21"/>
          <w:highlight w:val="none"/>
        </w:rPr>
        <w:t>6.2 评标原则</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14:paraId="3ED91576">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评标活动遵循公平、公正、科学和择优的原则。</w:t>
      </w:r>
    </w:p>
    <w:p w14:paraId="36B0AD25">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475" w:name="_Toc95223372"/>
      <w:bookmarkStart w:id="476" w:name="_Toc506107302"/>
      <w:bookmarkStart w:id="477" w:name="_Toc152042341"/>
      <w:bookmarkStart w:id="478" w:name="_Toc144974533"/>
      <w:bookmarkStart w:id="479" w:name="_Toc246996209"/>
      <w:bookmarkStart w:id="480" w:name="_Toc296602454"/>
      <w:bookmarkStart w:id="481" w:name="_Toc247085723"/>
      <w:bookmarkStart w:id="482" w:name="_Toc15058887"/>
      <w:bookmarkStart w:id="483" w:name="_Toc324404849"/>
      <w:bookmarkStart w:id="484" w:name="_Toc246996952"/>
      <w:bookmarkStart w:id="485" w:name="_Toc83301724"/>
      <w:bookmarkStart w:id="486" w:name="_Toc152045565"/>
      <w:bookmarkStart w:id="487" w:name="_Toc60061469"/>
      <w:bookmarkStart w:id="488" w:name="_Toc179632583"/>
      <w:r>
        <w:rPr>
          <w:rFonts w:hint="eastAsia" w:ascii="黑体" w:hAnsi="黑体" w:eastAsia="黑体" w:cs="黑体"/>
          <w:color w:val="auto"/>
          <w:sz w:val="21"/>
          <w:szCs w:val="21"/>
          <w:highlight w:val="none"/>
        </w:rPr>
        <w:t>6.3 评标</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Start w:id="489" w:name="_Toc15058888"/>
      <w:bookmarkStart w:id="490" w:name="_Toc247085724"/>
      <w:bookmarkStart w:id="491" w:name="_Toc144974534"/>
      <w:bookmarkStart w:id="492" w:name="_Toc152045566"/>
      <w:bookmarkStart w:id="493" w:name="_Toc246996210"/>
      <w:bookmarkStart w:id="494" w:name="_Toc246996953"/>
      <w:bookmarkStart w:id="495" w:name="_Toc179632584"/>
      <w:bookmarkStart w:id="496" w:name="_Toc324404850"/>
      <w:bookmarkStart w:id="497" w:name="_Toc506107303"/>
      <w:bookmarkStart w:id="498" w:name="_Toc60061470"/>
      <w:bookmarkStart w:id="499" w:name="_Toc152042342"/>
      <w:r>
        <w:rPr>
          <w:rFonts w:hint="eastAsia" w:ascii="黑体" w:hAnsi="黑体" w:eastAsia="黑体" w:cs="黑体"/>
          <w:color w:val="auto"/>
          <w:sz w:val="21"/>
          <w:szCs w:val="21"/>
          <w:highlight w:val="none"/>
        </w:rPr>
        <w:t xml:space="preserve">    </w:t>
      </w:r>
    </w:p>
    <w:p w14:paraId="092F87C6">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6.3.1评标委员会按照第四章“评标办法”规定的方法、评审因素、标准和程序对投标文件进行评审。第四章“评标办法”没有规定的方法、评审因素和标准，不作为评标依据。</w:t>
      </w:r>
    </w:p>
    <w:p w14:paraId="4EEBD143">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6.3.2评标完成后，评标委员会应向招标人提交书面评标报告和中标候选人名单。评标委员会推荐中标候选人的人数见投标人须知前附表。</w:t>
      </w:r>
    </w:p>
    <w:p w14:paraId="676AB3B8">
      <w:pPr>
        <w:pStyle w:val="3"/>
        <w:adjustRightInd w:val="0"/>
        <w:snapToGrid w:val="0"/>
        <w:spacing w:before="0" w:after="0" w:line="560" w:lineRule="exact"/>
        <w:ind w:firstLine="422" w:firstLineChars="200"/>
        <w:rPr>
          <w:rFonts w:hint="eastAsia" w:ascii="黑体" w:hAnsi="黑体" w:cs="黑体"/>
          <w:color w:val="auto"/>
          <w:sz w:val="21"/>
          <w:szCs w:val="21"/>
          <w:highlight w:val="none"/>
        </w:rPr>
      </w:pPr>
      <w:bookmarkStart w:id="500" w:name="_Toc95223373"/>
      <w:bookmarkStart w:id="501" w:name="_Toc83301725"/>
      <w:r>
        <w:rPr>
          <w:rFonts w:hint="eastAsia" w:ascii="黑体" w:hAnsi="黑体" w:cs="黑体"/>
          <w:color w:val="auto"/>
          <w:sz w:val="21"/>
          <w:szCs w:val="21"/>
          <w:highlight w:val="none"/>
        </w:rPr>
        <w:t>7. 合同授予</w:t>
      </w:r>
      <w:bookmarkEnd w:id="489"/>
      <w:bookmarkEnd w:id="490"/>
      <w:bookmarkEnd w:id="491"/>
      <w:bookmarkEnd w:id="492"/>
      <w:bookmarkEnd w:id="493"/>
      <w:bookmarkEnd w:id="494"/>
      <w:bookmarkEnd w:id="495"/>
      <w:bookmarkEnd w:id="496"/>
      <w:bookmarkEnd w:id="497"/>
      <w:bookmarkEnd w:id="498"/>
      <w:bookmarkEnd w:id="499"/>
      <w:bookmarkEnd w:id="500"/>
      <w:bookmarkEnd w:id="501"/>
    </w:p>
    <w:p w14:paraId="3CDEA676">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502" w:name="_Toc15058890"/>
      <w:bookmarkStart w:id="503" w:name="_Toc324404852"/>
      <w:bookmarkStart w:id="504" w:name="_Toc60061472"/>
      <w:bookmarkStart w:id="505" w:name="_Toc296602457"/>
      <w:bookmarkStart w:id="506" w:name="_Toc506107305"/>
      <w:bookmarkStart w:id="507" w:name="_Toc95223374"/>
      <w:bookmarkStart w:id="508" w:name="_Toc83301726"/>
      <w:r>
        <w:rPr>
          <w:rFonts w:hint="eastAsia" w:ascii="黑体" w:hAnsi="黑体" w:eastAsia="黑体" w:cs="黑体"/>
          <w:color w:val="auto"/>
          <w:sz w:val="21"/>
          <w:szCs w:val="21"/>
          <w:highlight w:val="none"/>
        </w:rPr>
        <w:t>7.1 中标候选人公示</w:t>
      </w:r>
      <w:bookmarkEnd w:id="502"/>
      <w:bookmarkEnd w:id="503"/>
      <w:bookmarkEnd w:id="504"/>
      <w:bookmarkEnd w:id="505"/>
      <w:bookmarkEnd w:id="506"/>
      <w:bookmarkEnd w:id="507"/>
      <w:bookmarkEnd w:id="508"/>
    </w:p>
    <w:p w14:paraId="3EC6858D">
      <w:pPr>
        <w:adjustRightInd w:val="0"/>
        <w:snapToGrid w:val="0"/>
        <w:spacing w:line="560" w:lineRule="exact"/>
        <w:ind w:firstLine="420" w:firstLineChars="200"/>
        <w:rPr>
          <w:rFonts w:hint="eastAsia" w:ascii="宋体" w:hAnsi="宋体" w:cs="宋体"/>
          <w:color w:val="auto"/>
          <w:szCs w:val="21"/>
          <w:highlight w:val="none"/>
        </w:rPr>
      </w:pPr>
      <w:bookmarkStart w:id="509" w:name="_Toc60061473"/>
      <w:bookmarkStart w:id="510" w:name="_Toc152045568"/>
      <w:bookmarkStart w:id="511" w:name="_Toc296602458"/>
      <w:bookmarkStart w:id="512" w:name="_Toc179632586"/>
      <w:bookmarkStart w:id="513" w:name="_Toc144974536"/>
      <w:bookmarkStart w:id="514" w:name="_Toc246996955"/>
      <w:bookmarkStart w:id="515" w:name="_Toc152042344"/>
      <w:bookmarkStart w:id="516" w:name="_Toc246996212"/>
      <w:bookmarkStart w:id="517" w:name="_Toc324404853"/>
      <w:bookmarkStart w:id="518" w:name="_Toc247085726"/>
      <w:r>
        <w:rPr>
          <w:rFonts w:hint="eastAsia" w:ascii="宋体" w:hAnsi="宋体" w:cs="宋体"/>
          <w:color w:val="auto"/>
          <w:szCs w:val="21"/>
          <w:highlight w:val="none"/>
        </w:rPr>
        <w:t>招标人在收到评标报告之日起3日内，按照投标人须知前附表规定的公示媒介和期限依法公示。中标候选人公示期不得少于3日。</w:t>
      </w:r>
    </w:p>
    <w:p w14:paraId="5A0EA1BC">
      <w:pPr>
        <w:adjustRightInd w:val="0"/>
        <w:snapToGrid w:val="0"/>
        <w:spacing w:line="560" w:lineRule="exact"/>
        <w:ind w:firstLine="422" w:firstLineChars="200"/>
        <w:rPr>
          <w:rFonts w:hint="eastAsia" w:ascii="黑体" w:hAnsi="黑体" w:eastAsia="黑体" w:cs="黑体"/>
          <w:bCs/>
          <w:color w:val="auto"/>
          <w:kern w:val="0"/>
          <w:szCs w:val="21"/>
          <w:highlight w:val="none"/>
        </w:rPr>
      </w:pPr>
      <w:r>
        <w:rPr>
          <w:rFonts w:hint="eastAsia" w:ascii="黑体" w:hAnsi="黑体" w:eastAsia="黑体" w:cs="黑体"/>
          <w:b/>
          <w:bCs/>
          <w:color w:val="auto"/>
          <w:kern w:val="0"/>
          <w:szCs w:val="21"/>
          <w:highlight w:val="none"/>
        </w:rPr>
        <w:t>7.2 评标结果异议</w:t>
      </w:r>
    </w:p>
    <w:p w14:paraId="5CD2697F">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投标人或其他利害关系人对评标结果有异议的，应在中标候选人公示期内提出。招标人将在收到异议之日起3日内作出答复；作出答复前，将暂停招标投标活动。</w:t>
      </w:r>
    </w:p>
    <w:p w14:paraId="3B275B5E">
      <w:pPr>
        <w:adjustRightInd w:val="0"/>
        <w:snapToGrid w:val="0"/>
        <w:spacing w:line="560" w:lineRule="exact"/>
        <w:ind w:firstLine="422" w:firstLineChars="200"/>
        <w:rPr>
          <w:rFonts w:hint="eastAsia" w:ascii="黑体" w:hAnsi="黑体" w:eastAsia="黑体" w:cs="黑体"/>
          <w:b/>
          <w:bCs/>
          <w:color w:val="auto"/>
          <w:kern w:val="0"/>
          <w:szCs w:val="21"/>
          <w:highlight w:val="none"/>
        </w:rPr>
      </w:pPr>
      <w:r>
        <w:rPr>
          <w:rFonts w:hint="eastAsia" w:ascii="黑体" w:hAnsi="黑体" w:eastAsia="黑体" w:cs="黑体"/>
          <w:b/>
          <w:bCs/>
          <w:color w:val="auto"/>
          <w:kern w:val="0"/>
          <w:szCs w:val="21"/>
          <w:highlight w:val="none"/>
        </w:rPr>
        <w:t>7.3 中标候选人履约能力审查</w:t>
      </w:r>
    </w:p>
    <w:p w14:paraId="6369A7CE">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中标候选人的经营、财务状况发生较大变化或者存在违法行为，招标人认为可能影响其履约能力的，应当在发出中标通知书前由原评标委员会按照招标文件规定的标准和方法审查确认。</w:t>
      </w:r>
    </w:p>
    <w:p w14:paraId="2070EC99">
      <w:pPr>
        <w:adjustRightInd w:val="0"/>
        <w:snapToGrid w:val="0"/>
        <w:spacing w:line="560" w:lineRule="exact"/>
        <w:ind w:firstLine="422" w:firstLineChars="200"/>
        <w:rPr>
          <w:rFonts w:hint="eastAsia" w:ascii="黑体" w:hAnsi="黑体" w:eastAsia="黑体" w:cs="黑体"/>
          <w:b/>
          <w:bCs/>
          <w:color w:val="auto"/>
          <w:kern w:val="0"/>
          <w:szCs w:val="21"/>
          <w:highlight w:val="none"/>
        </w:rPr>
      </w:pPr>
      <w:r>
        <w:rPr>
          <w:rFonts w:hint="eastAsia" w:ascii="黑体" w:hAnsi="黑体" w:eastAsia="黑体" w:cs="黑体"/>
          <w:b/>
          <w:bCs/>
          <w:color w:val="auto"/>
          <w:kern w:val="0"/>
          <w:szCs w:val="21"/>
          <w:highlight w:val="none"/>
        </w:rPr>
        <w:t>7.4 业绩奖项公示</w:t>
      </w:r>
      <w:bookmarkEnd w:id="509"/>
    </w:p>
    <w:p w14:paraId="5D122ECB">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招标人对中标候选人的得分业绩和奖项进行公示。</w:t>
      </w:r>
    </w:p>
    <w:p w14:paraId="69883523">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519" w:name="_Toc95223375"/>
      <w:bookmarkStart w:id="520" w:name="_Toc83301727"/>
      <w:bookmarkStart w:id="521" w:name="_Toc60061474"/>
      <w:bookmarkStart w:id="522" w:name="_Toc506107306"/>
      <w:bookmarkStart w:id="523" w:name="_Toc15058891"/>
      <w:r>
        <w:rPr>
          <w:rFonts w:hint="eastAsia" w:ascii="黑体" w:hAnsi="黑体" w:eastAsia="黑体" w:cs="黑体"/>
          <w:color w:val="auto"/>
          <w:sz w:val="21"/>
          <w:szCs w:val="21"/>
          <w:highlight w:val="none"/>
        </w:rPr>
        <w:t>7.5 定标</w:t>
      </w:r>
      <w:bookmarkEnd w:id="519"/>
      <w:bookmarkEnd w:id="520"/>
    </w:p>
    <w:p w14:paraId="42DDAC41">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7.5.1招标人应当自收到评标报告之日起5个工作日内召开定标会议（如因招标文件约定或异议或投诉或其他特殊原因，定标会议时间可以适当延期，但不得超过投标有效期。）。定标会议应当在公共资源交易中心召开</w:t>
      </w:r>
      <w:r>
        <w:rPr>
          <w:rFonts w:hint="eastAsia" w:ascii="宋体" w:hAnsi="宋体" w:cs="宋体"/>
          <w:color w:val="auto"/>
          <w:szCs w:val="21"/>
          <w:highlight w:val="none"/>
        </w:rPr>
        <w:t>。</w:t>
      </w:r>
    </w:p>
    <w:p w14:paraId="28952534">
      <w:pPr>
        <w:adjustRightInd w:val="0"/>
        <w:snapToGrid w:val="0"/>
        <w:spacing w:line="560" w:lineRule="exact"/>
        <w:ind w:firstLine="420" w:firstLineChars="200"/>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7.5.2定标委员会应当按照招标文件约定的定标方式客观、公正定标，确定中标人。具体定标方法详见投标人须知前附表。</w:t>
      </w:r>
    </w:p>
    <w:p w14:paraId="6D618D6E">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r>
        <w:rPr>
          <w:rFonts w:hint="eastAsia" w:ascii="黑体" w:hAnsi="黑体" w:eastAsia="黑体" w:cs="黑体"/>
          <w:color w:val="auto"/>
          <w:sz w:val="21"/>
          <w:szCs w:val="21"/>
          <w:highlight w:val="none"/>
        </w:rPr>
        <w:t xml:space="preserve"> </w:t>
      </w:r>
      <w:bookmarkStart w:id="524" w:name="_Toc95223376"/>
      <w:bookmarkStart w:id="525" w:name="_Toc83301728"/>
      <w:r>
        <w:rPr>
          <w:rFonts w:hint="eastAsia" w:ascii="黑体" w:hAnsi="黑体" w:eastAsia="黑体" w:cs="黑体"/>
          <w:color w:val="auto"/>
          <w:sz w:val="21"/>
          <w:szCs w:val="21"/>
          <w:highlight w:val="none"/>
        </w:rPr>
        <w:t>7.6 中标通知</w:t>
      </w:r>
      <w:bookmarkEnd w:id="510"/>
      <w:bookmarkEnd w:id="511"/>
      <w:bookmarkEnd w:id="512"/>
      <w:bookmarkEnd w:id="513"/>
      <w:bookmarkEnd w:id="514"/>
      <w:bookmarkEnd w:id="515"/>
      <w:bookmarkEnd w:id="516"/>
      <w:bookmarkEnd w:id="517"/>
      <w:bookmarkEnd w:id="518"/>
      <w:bookmarkEnd w:id="521"/>
      <w:bookmarkEnd w:id="522"/>
      <w:bookmarkEnd w:id="523"/>
      <w:bookmarkEnd w:id="524"/>
      <w:bookmarkEnd w:id="525"/>
    </w:p>
    <w:p w14:paraId="7E011691">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在本招标文件规定的投标有效期内，招标人以数据电文向中标人发出中标通知书，同时将中标结果通知未中标的投标人。</w:t>
      </w:r>
    </w:p>
    <w:p w14:paraId="039C28BA">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526" w:name="_Toc95223377"/>
      <w:r>
        <w:rPr>
          <w:rFonts w:hint="eastAsia" w:ascii="黑体" w:hAnsi="黑体" w:eastAsia="黑体" w:cs="黑体"/>
          <w:color w:val="auto"/>
          <w:sz w:val="21"/>
          <w:szCs w:val="21"/>
          <w:highlight w:val="none"/>
        </w:rPr>
        <w:t>7.7 中标结果公示</w:t>
      </w:r>
      <w:bookmarkEnd w:id="526"/>
    </w:p>
    <w:p w14:paraId="4FDFF244">
      <w:pPr>
        <w:adjustRightInd w:val="0"/>
        <w:snapToGrid w:val="0"/>
        <w:spacing w:line="600" w:lineRule="exact"/>
        <w:ind w:firstLine="420" w:firstLineChars="200"/>
        <w:rPr>
          <w:rFonts w:hint="eastAsia" w:ascii="宋体" w:hAnsi="宋体" w:cs="宋体"/>
          <w:bCs/>
          <w:snapToGrid w:val="0"/>
          <w:color w:val="auto"/>
          <w:kern w:val="0"/>
          <w:szCs w:val="21"/>
          <w:highlight w:val="none"/>
        </w:rPr>
      </w:pPr>
      <w:r>
        <w:rPr>
          <w:rFonts w:hint="eastAsia" w:ascii="宋体" w:hAnsi="宋体" w:cs="宋体"/>
          <w:bCs/>
          <w:snapToGrid w:val="0"/>
          <w:color w:val="auto"/>
          <w:kern w:val="0"/>
          <w:szCs w:val="21"/>
          <w:highlight w:val="none"/>
        </w:rPr>
        <w:t>招标人在确定中标人之日起3日内，按照投标人须知前附表规定的公示媒介和期限依法公示中标结果。</w:t>
      </w:r>
    </w:p>
    <w:p w14:paraId="13A2EFFB">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527" w:name="_Toc246996956"/>
      <w:bookmarkStart w:id="528" w:name="_Toc324404854"/>
      <w:bookmarkStart w:id="529" w:name="_Toc247085727"/>
      <w:bookmarkStart w:id="530" w:name="_Toc506107307"/>
      <w:bookmarkStart w:id="531" w:name="_Toc95223378"/>
      <w:bookmarkStart w:id="532" w:name="_Toc15058892"/>
      <w:bookmarkStart w:id="533" w:name="_Toc152042345"/>
      <w:bookmarkStart w:id="534" w:name="_Toc179632587"/>
      <w:bookmarkStart w:id="535" w:name="_Toc296602459"/>
      <w:bookmarkStart w:id="536" w:name="_Toc246996213"/>
      <w:bookmarkStart w:id="537" w:name="_Toc60061476"/>
      <w:bookmarkStart w:id="538" w:name="_Toc83301730"/>
      <w:bookmarkStart w:id="539" w:name="_Toc152045569"/>
      <w:bookmarkStart w:id="540" w:name="_Toc144974537"/>
      <w:r>
        <w:rPr>
          <w:rFonts w:hint="eastAsia" w:ascii="黑体" w:hAnsi="黑体" w:eastAsia="黑体" w:cs="黑体"/>
          <w:color w:val="auto"/>
          <w:sz w:val="21"/>
          <w:szCs w:val="21"/>
          <w:highlight w:val="none"/>
        </w:rPr>
        <w:t>7.8 履约担保</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14:paraId="60899953">
      <w:pPr>
        <w:adjustRightInd w:val="0"/>
        <w:snapToGrid w:val="0"/>
        <w:spacing w:line="560" w:lineRule="exact"/>
        <w:ind w:firstLine="420" w:firstLineChars="200"/>
        <w:rPr>
          <w:rFonts w:hint="eastAsia" w:ascii="宋体" w:hAnsi="宋体" w:cs="宋体"/>
          <w:b/>
          <w:color w:val="auto"/>
          <w:szCs w:val="21"/>
          <w:highlight w:val="none"/>
        </w:rPr>
      </w:pPr>
      <w:r>
        <w:rPr>
          <w:rFonts w:hint="eastAsia" w:ascii="宋体" w:hAnsi="宋体" w:cs="宋体"/>
          <w:color w:val="auto"/>
          <w:szCs w:val="21"/>
          <w:highlight w:val="none"/>
        </w:rPr>
        <w:t>7.8.1在签订合同前，中标人应按投标人须知前附表规定的担保形式和招标文件第五章“合同条款及格式”规定的或者事先经过招标人书面认可的履约担保格式向招标人提交履约担保。</w:t>
      </w:r>
      <w:r>
        <w:rPr>
          <w:rFonts w:hint="eastAsia"/>
          <w:color w:val="auto"/>
          <w:highlight w:val="none"/>
        </w:rPr>
        <w:t>联合体中标的，其履约担保应符合投标人须知前附表规定的金额、担保形式和招标文件第五章“合同条款及格式”规定的履约担保格式要求。</w:t>
      </w:r>
    </w:p>
    <w:p w14:paraId="77F592B5">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7.8.2 中标人不能按本章第7.8.1项要求提交履约担保的，视为放弃中标，其投标保证金不予退还，给招标人造成的损失超过投标保证金数额的，中标人还应当对超过部分予以赔偿。</w:t>
      </w:r>
    </w:p>
    <w:p w14:paraId="0AA385D9">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541" w:name="_Toc179632588"/>
      <w:bookmarkStart w:id="542" w:name="_Toc15058893"/>
      <w:bookmarkStart w:id="543" w:name="_Toc152042346"/>
      <w:bookmarkStart w:id="544" w:name="_Toc247085728"/>
      <w:bookmarkStart w:id="545" w:name="_Toc296602460"/>
      <w:bookmarkStart w:id="546" w:name="_Toc144974538"/>
      <w:bookmarkStart w:id="547" w:name="_Toc246996957"/>
      <w:bookmarkStart w:id="548" w:name="_Toc95223379"/>
      <w:bookmarkStart w:id="549" w:name="_Toc246996214"/>
      <w:bookmarkStart w:id="550" w:name="_Toc324404855"/>
      <w:bookmarkStart w:id="551" w:name="_Toc152045570"/>
      <w:bookmarkStart w:id="552" w:name="_Toc83301731"/>
      <w:bookmarkStart w:id="553" w:name="_Toc60061477"/>
      <w:bookmarkStart w:id="554" w:name="_Toc506107308"/>
      <w:r>
        <w:rPr>
          <w:rFonts w:hint="eastAsia" w:ascii="黑体" w:hAnsi="黑体" w:eastAsia="黑体" w:cs="黑体"/>
          <w:color w:val="auto"/>
          <w:sz w:val="21"/>
          <w:szCs w:val="21"/>
          <w:highlight w:val="none"/>
        </w:rPr>
        <w:t>7.9 签订合同</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14:paraId="5D2FC463">
      <w:pPr>
        <w:adjustRightInd w:val="0"/>
        <w:snapToGrid w:val="0"/>
        <w:spacing w:line="56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7.9.1本招标工程的施工合同将授予按本须知第7.6款规定所确定的中标人。</w:t>
      </w:r>
    </w:p>
    <w:p w14:paraId="2D4D0CC1">
      <w:pPr>
        <w:adjustRightInd w:val="0"/>
        <w:snapToGrid w:val="0"/>
        <w:spacing w:line="560" w:lineRule="exact"/>
        <w:ind w:firstLine="420" w:firstLineChars="200"/>
        <w:rPr>
          <w:rFonts w:hint="eastAsia" w:ascii="宋体" w:hAnsi="宋体" w:cs="宋体"/>
          <w:bCs/>
          <w:color w:val="auto"/>
          <w:szCs w:val="21"/>
          <w:highlight w:val="none"/>
        </w:rPr>
      </w:pPr>
      <w:r>
        <w:rPr>
          <w:rFonts w:hint="eastAsia" w:ascii="宋体" w:hAnsi="宋体" w:cs="宋体"/>
          <w:color w:val="auto"/>
          <w:szCs w:val="21"/>
          <w:highlight w:val="none"/>
        </w:rPr>
        <w:t>投标人所派出项目经理（建造师）须不得有在其他尚未完工（以竣工、交工、完工验收报告等手续为准）项目或已中标项目（以发放中标通知书为准）中担任项目经理（建造师）情形。如有，项目在滁州市区域内的，中标无效，记入不良行为记录；项目在滁州市区域外的，须在中标候选人公示期第一日起开始计算7日内，提供经行政主管部门备案的变更证明材料，否则视为弄虚作假材料骗取中标，中标无效，按有关规定进行处理</w:t>
      </w:r>
      <w:r>
        <w:rPr>
          <w:rFonts w:hint="eastAsia" w:ascii="宋体" w:hAnsi="宋体" w:cs="宋体"/>
          <w:bCs/>
          <w:color w:val="auto"/>
          <w:szCs w:val="21"/>
          <w:highlight w:val="none"/>
        </w:rPr>
        <w:t>。</w:t>
      </w:r>
    </w:p>
    <w:p w14:paraId="51637657">
      <w:pPr>
        <w:adjustRightInd w:val="0"/>
        <w:snapToGrid w:val="0"/>
        <w:spacing w:line="560" w:lineRule="exact"/>
        <w:ind w:firstLine="420" w:firstLineChars="200"/>
        <w:rPr>
          <w:rFonts w:hint="eastAsia" w:ascii="宋体" w:hAnsi="宋体" w:cs="宋体"/>
          <w:bCs/>
          <w:color w:val="auto"/>
          <w:szCs w:val="21"/>
          <w:highlight w:val="none"/>
        </w:rPr>
      </w:pPr>
      <w:bookmarkStart w:id="555" w:name="_Toc324404856"/>
      <w:r>
        <w:rPr>
          <w:rFonts w:hint="eastAsia" w:ascii="宋体" w:hAnsi="宋体" w:cs="宋体"/>
          <w:bCs/>
          <w:color w:val="auto"/>
          <w:szCs w:val="21"/>
          <w:highlight w:val="none"/>
        </w:rPr>
        <w:t>7.9.2招标人和中标人应当自中标通知书发出之日起30天内，根据招标文件和中标人的投标文件订立书面合同。中标人无正当理由拒签合同的，在签订合同时向招标人提出附加条件，或不按照招标文件要求提交履约保证金的，招标人取消其中标资格，其投标保证金不予退还；给招标人造成的损失超过投标保证金数额的，中标人还应当对超过部分予以赔偿。</w:t>
      </w:r>
    </w:p>
    <w:p w14:paraId="37586C65">
      <w:pPr>
        <w:adjustRightInd w:val="0"/>
        <w:snapToGrid w:val="0"/>
        <w:spacing w:line="56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7.9.3发出中标通知书后，招标人无正当理由拒签合同的，招标人向中标人退还投标保证金；给中标人造成损失的，还应当赔偿损失。</w:t>
      </w:r>
    </w:p>
    <w:p w14:paraId="05FA276F">
      <w:pPr>
        <w:adjustRightInd w:val="0"/>
        <w:snapToGrid w:val="0"/>
        <w:spacing w:line="56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7.9.4除法定情形外，建设工程合同履行期间项目经理（建造师）不得更换。项目经理（建造师）确需变更的，应根据招标文件要求，变更后的项目经理（建造师）不低于投标文件中拟派项目经理（建造师）的资格条件。</w:t>
      </w:r>
    </w:p>
    <w:p w14:paraId="63D4EB01">
      <w:pPr>
        <w:adjustRightInd w:val="0"/>
        <w:snapToGrid w:val="0"/>
        <w:spacing w:line="600" w:lineRule="exact"/>
        <w:ind w:firstLine="420" w:firstLineChars="200"/>
        <w:rPr>
          <w:rFonts w:hint="eastAsia" w:ascii="宋体" w:hAnsi="宋体" w:cs="宋体"/>
          <w:bCs/>
          <w:snapToGrid w:val="0"/>
          <w:color w:val="auto"/>
          <w:kern w:val="0"/>
          <w:szCs w:val="21"/>
          <w:highlight w:val="none"/>
        </w:rPr>
      </w:pPr>
      <w:r>
        <w:rPr>
          <w:rFonts w:hint="eastAsia" w:ascii="宋体" w:hAnsi="宋体" w:cs="宋体"/>
          <w:color w:val="auto"/>
          <w:highlight w:val="none"/>
        </w:rPr>
        <w:t>7.9.5</w:t>
      </w:r>
      <w:r>
        <w:rPr>
          <w:rFonts w:hint="eastAsia" w:ascii="宋体" w:hAnsi="宋体" w:cs="宋体"/>
          <w:bCs/>
          <w:snapToGrid w:val="0"/>
          <w:color w:val="auto"/>
          <w:kern w:val="0"/>
          <w:szCs w:val="21"/>
          <w:highlight w:val="none"/>
        </w:rPr>
        <w:t>联合体中标的，联合体各方应当共同与招标人签订合同，就中标项目向招标人承担连带责任。</w:t>
      </w:r>
    </w:p>
    <w:p w14:paraId="6B7AEA0D">
      <w:pPr>
        <w:pStyle w:val="3"/>
        <w:adjustRightInd w:val="0"/>
        <w:snapToGrid w:val="0"/>
        <w:spacing w:before="0" w:after="0" w:line="560" w:lineRule="exact"/>
        <w:ind w:firstLine="422" w:firstLineChars="200"/>
        <w:rPr>
          <w:rFonts w:hint="eastAsia"/>
          <w:color w:val="auto"/>
          <w:highlight w:val="none"/>
        </w:rPr>
      </w:pPr>
      <w:bookmarkStart w:id="556" w:name="_Toc179632589"/>
      <w:bookmarkStart w:id="557" w:name="_Toc152045571"/>
      <w:bookmarkStart w:id="558" w:name="_Toc95223381"/>
      <w:bookmarkStart w:id="559" w:name="_Toc60061478"/>
      <w:bookmarkStart w:id="560" w:name="_Toc83301732"/>
      <w:bookmarkStart w:id="561" w:name="_Toc144974539"/>
      <w:bookmarkStart w:id="562" w:name="_Toc152042347"/>
      <w:r>
        <w:rPr>
          <w:rFonts w:hint="eastAsia" w:ascii="黑体" w:hAnsi="黑体" w:cs="黑体"/>
          <w:color w:val="auto"/>
          <w:sz w:val="21"/>
          <w:szCs w:val="21"/>
          <w:highlight w:val="none"/>
        </w:rPr>
        <w:t>8.重新招标和不再招标</w:t>
      </w:r>
      <w:bookmarkEnd w:id="556"/>
      <w:bookmarkEnd w:id="557"/>
      <w:bookmarkEnd w:id="558"/>
      <w:bookmarkEnd w:id="559"/>
      <w:bookmarkEnd w:id="560"/>
      <w:bookmarkEnd w:id="561"/>
      <w:bookmarkEnd w:id="562"/>
    </w:p>
    <w:p w14:paraId="5990B0CE">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563" w:name="_Toc144974540"/>
      <w:bookmarkStart w:id="564" w:name="_Toc152042348"/>
      <w:bookmarkStart w:id="565" w:name="_Toc152045572"/>
      <w:bookmarkStart w:id="566" w:name="_Toc83301733"/>
      <w:bookmarkStart w:id="567" w:name="_Toc179632590"/>
      <w:bookmarkStart w:id="568" w:name="_Toc60061479"/>
      <w:bookmarkStart w:id="569" w:name="_Toc95223382"/>
      <w:r>
        <w:rPr>
          <w:rFonts w:hint="eastAsia" w:ascii="黑体" w:hAnsi="黑体" w:eastAsia="黑体" w:cs="黑体"/>
          <w:color w:val="auto"/>
          <w:sz w:val="21"/>
          <w:szCs w:val="21"/>
          <w:highlight w:val="none"/>
        </w:rPr>
        <w:t>8.1重新招标</w:t>
      </w:r>
      <w:bookmarkEnd w:id="563"/>
      <w:bookmarkEnd w:id="564"/>
      <w:bookmarkEnd w:id="565"/>
      <w:bookmarkEnd w:id="566"/>
      <w:bookmarkEnd w:id="567"/>
      <w:bookmarkEnd w:id="568"/>
      <w:bookmarkEnd w:id="569"/>
    </w:p>
    <w:p w14:paraId="321717DF">
      <w:pPr>
        <w:adjustRightInd w:val="0"/>
        <w:snapToGrid w:val="0"/>
        <w:spacing w:line="600" w:lineRule="exact"/>
        <w:ind w:firstLine="359" w:firstLineChars="171"/>
        <w:rPr>
          <w:rFonts w:hint="eastAsia" w:ascii="宋体" w:hAnsi="宋体" w:cs="宋体"/>
          <w:color w:val="auto"/>
          <w:highlight w:val="none"/>
        </w:rPr>
      </w:pPr>
      <w:r>
        <w:rPr>
          <w:rFonts w:hint="eastAsia" w:ascii="宋体" w:hAnsi="宋体" w:cs="宋体"/>
          <w:color w:val="auto"/>
          <w:highlight w:val="none"/>
        </w:rPr>
        <w:t>依法必须招标的项目有下列情形之一的，招标人将重新招标：</w:t>
      </w:r>
    </w:p>
    <w:p w14:paraId="3A57A34B">
      <w:pPr>
        <w:adjustRightInd w:val="0"/>
        <w:snapToGrid w:val="0"/>
        <w:spacing w:line="600" w:lineRule="exact"/>
        <w:ind w:firstLine="359" w:firstLineChars="171"/>
        <w:rPr>
          <w:rFonts w:hint="eastAsia" w:ascii="宋体" w:hAnsi="宋体" w:cs="宋体"/>
          <w:color w:val="auto"/>
          <w:highlight w:val="none"/>
        </w:rPr>
      </w:pPr>
      <w:r>
        <w:rPr>
          <w:rFonts w:hint="eastAsia" w:ascii="宋体" w:hAnsi="宋体" w:cs="宋体"/>
          <w:color w:val="auto"/>
          <w:highlight w:val="none"/>
        </w:rPr>
        <w:t>（1）投标截止时间止，投标人少于3个的；</w:t>
      </w:r>
    </w:p>
    <w:p w14:paraId="29C4E71E">
      <w:pPr>
        <w:adjustRightInd w:val="0"/>
        <w:snapToGrid w:val="0"/>
        <w:spacing w:line="600" w:lineRule="exact"/>
        <w:ind w:firstLine="359" w:firstLineChars="171"/>
        <w:rPr>
          <w:rFonts w:hint="eastAsia" w:ascii="宋体" w:hAnsi="宋体" w:cs="宋体"/>
          <w:color w:val="auto"/>
          <w:highlight w:val="none"/>
        </w:rPr>
      </w:pPr>
      <w:r>
        <w:rPr>
          <w:rFonts w:hint="eastAsia" w:ascii="宋体" w:hAnsi="宋体" w:cs="宋体"/>
          <w:color w:val="auto"/>
          <w:highlight w:val="none"/>
        </w:rPr>
        <w:t>（2）经评标委员会评审后否决所有投标的；</w:t>
      </w:r>
    </w:p>
    <w:p w14:paraId="5B903681">
      <w:pPr>
        <w:adjustRightInd w:val="0"/>
        <w:snapToGrid w:val="0"/>
        <w:spacing w:line="600" w:lineRule="exact"/>
        <w:ind w:firstLine="359" w:firstLineChars="171"/>
        <w:rPr>
          <w:rFonts w:hint="eastAsia" w:ascii="宋体" w:hAnsi="宋体" w:cs="宋体"/>
          <w:bCs/>
          <w:snapToGrid w:val="0"/>
          <w:color w:val="auto"/>
          <w:kern w:val="0"/>
          <w:szCs w:val="21"/>
          <w:highlight w:val="none"/>
        </w:rPr>
      </w:pPr>
      <w:r>
        <w:rPr>
          <w:rFonts w:hint="eastAsia" w:ascii="宋体" w:hAnsi="宋体" w:cs="宋体"/>
          <w:bCs/>
          <w:snapToGrid w:val="0"/>
          <w:color w:val="auto"/>
          <w:kern w:val="0"/>
          <w:szCs w:val="21"/>
          <w:highlight w:val="none"/>
        </w:rPr>
        <w:t>（3）中标候选人均未与招标人签订合同的；</w:t>
      </w:r>
    </w:p>
    <w:p w14:paraId="21B36112">
      <w:pPr>
        <w:adjustRightInd w:val="0"/>
        <w:snapToGrid w:val="0"/>
        <w:spacing w:line="600" w:lineRule="exact"/>
        <w:ind w:firstLine="359" w:firstLineChars="171"/>
        <w:rPr>
          <w:rFonts w:hint="eastAsia" w:ascii="宋体" w:hAnsi="宋体" w:cs="宋体"/>
          <w:bCs/>
          <w:snapToGrid w:val="0"/>
          <w:color w:val="auto"/>
          <w:kern w:val="0"/>
          <w:szCs w:val="21"/>
          <w:highlight w:val="none"/>
        </w:rPr>
      </w:pPr>
      <w:r>
        <w:rPr>
          <w:rFonts w:hint="eastAsia" w:ascii="宋体" w:hAnsi="宋体" w:cs="宋体"/>
          <w:bCs/>
          <w:snapToGrid w:val="0"/>
          <w:color w:val="auto"/>
          <w:kern w:val="0"/>
          <w:szCs w:val="21"/>
          <w:highlight w:val="none"/>
        </w:rPr>
        <w:t>（4）</w:t>
      </w:r>
      <w:r>
        <w:rPr>
          <w:rFonts w:hint="eastAsia" w:ascii="宋体" w:hAnsi="宋体" w:cs="宋体"/>
          <w:bCs/>
          <w:snapToGrid w:val="0"/>
          <w:color w:val="auto"/>
          <w:kern w:val="0"/>
          <w:szCs w:val="21"/>
          <w:highlight w:val="none"/>
          <w:lang w:val="en-US" w:eastAsia="zh-CN"/>
        </w:rPr>
        <w:t>招标文件及</w:t>
      </w:r>
      <w:r>
        <w:rPr>
          <w:rFonts w:hint="eastAsia" w:ascii="宋体" w:hAnsi="宋体" w:cs="宋体"/>
          <w:bCs/>
          <w:snapToGrid w:val="0"/>
          <w:color w:val="auto"/>
          <w:kern w:val="0"/>
          <w:szCs w:val="21"/>
          <w:highlight w:val="none"/>
        </w:rPr>
        <w:t>法律、法规规定的其他情形。</w:t>
      </w:r>
    </w:p>
    <w:p w14:paraId="482371A8">
      <w:pPr>
        <w:pStyle w:val="4"/>
        <w:adjustRightInd w:val="0"/>
        <w:snapToGrid w:val="0"/>
        <w:spacing w:before="0" w:after="0" w:line="560" w:lineRule="exact"/>
        <w:ind w:firstLine="422" w:firstLineChars="200"/>
        <w:rPr>
          <w:rFonts w:hint="eastAsia"/>
          <w:color w:val="auto"/>
          <w:highlight w:val="none"/>
        </w:rPr>
      </w:pPr>
      <w:bookmarkStart w:id="570" w:name="_Toc179632591"/>
      <w:bookmarkStart w:id="571" w:name="_Toc152042349"/>
      <w:bookmarkStart w:id="572" w:name="_Toc60061480"/>
      <w:bookmarkStart w:id="573" w:name="_Toc144974541"/>
      <w:bookmarkStart w:id="574" w:name="_Toc152045573"/>
      <w:bookmarkStart w:id="575" w:name="_Toc95223383"/>
      <w:bookmarkStart w:id="576" w:name="_Toc83301734"/>
      <w:r>
        <w:rPr>
          <w:rFonts w:hint="eastAsia" w:ascii="黑体" w:hAnsi="黑体" w:eastAsia="黑体" w:cs="黑体"/>
          <w:color w:val="auto"/>
          <w:sz w:val="21"/>
          <w:szCs w:val="21"/>
          <w:highlight w:val="none"/>
        </w:rPr>
        <w:t>8.2 不再招标</w:t>
      </w:r>
      <w:bookmarkEnd w:id="570"/>
      <w:bookmarkEnd w:id="571"/>
      <w:bookmarkEnd w:id="572"/>
      <w:bookmarkEnd w:id="573"/>
      <w:bookmarkEnd w:id="574"/>
      <w:bookmarkEnd w:id="575"/>
      <w:bookmarkEnd w:id="576"/>
    </w:p>
    <w:p w14:paraId="0463A615">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重新招标后投标人仍少于3个或者所有投标被否决的，属于必须审批或核准的工程建设项目，经原审批或核准部门批准后不再进行招标。</w:t>
      </w:r>
    </w:p>
    <w:p w14:paraId="4E2FF407">
      <w:pPr>
        <w:pStyle w:val="3"/>
        <w:adjustRightInd w:val="0"/>
        <w:snapToGrid w:val="0"/>
        <w:spacing w:before="0" w:after="0" w:line="560" w:lineRule="exact"/>
        <w:ind w:firstLine="422" w:firstLineChars="200"/>
        <w:rPr>
          <w:rFonts w:hint="eastAsia" w:ascii="黑体" w:hAnsi="黑体" w:cs="黑体"/>
          <w:color w:val="auto"/>
          <w:sz w:val="21"/>
          <w:szCs w:val="21"/>
          <w:highlight w:val="none"/>
        </w:rPr>
      </w:pPr>
      <w:bookmarkStart w:id="577" w:name="_Toc83301735"/>
      <w:bookmarkStart w:id="578" w:name="_Toc60061481"/>
      <w:bookmarkStart w:id="579" w:name="_Toc506107309"/>
      <w:bookmarkStart w:id="580" w:name="_Toc95223384"/>
      <w:bookmarkStart w:id="581" w:name="_Toc15058894"/>
      <w:r>
        <w:rPr>
          <w:rFonts w:hint="eastAsia" w:ascii="黑体" w:hAnsi="黑体" w:cs="黑体"/>
          <w:color w:val="auto"/>
          <w:sz w:val="21"/>
          <w:szCs w:val="21"/>
          <w:highlight w:val="none"/>
        </w:rPr>
        <w:t>9.纪律和监督</w:t>
      </w:r>
      <w:bookmarkEnd w:id="555"/>
      <w:bookmarkEnd w:id="577"/>
      <w:bookmarkEnd w:id="578"/>
      <w:bookmarkEnd w:id="579"/>
      <w:bookmarkEnd w:id="580"/>
      <w:bookmarkEnd w:id="581"/>
    </w:p>
    <w:p w14:paraId="448A1478">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582" w:name="_Toc506107310"/>
      <w:bookmarkStart w:id="583" w:name="_Toc247085733"/>
      <w:bookmarkStart w:id="584" w:name="_Toc246996219"/>
      <w:bookmarkStart w:id="585" w:name="_Toc246996962"/>
      <w:bookmarkStart w:id="586" w:name="_Toc296602462"/>
      <w:bookmarkStart w:id="587" w:name="_Toc324404857"/>
      <w:bookmarkStart w:id="588" w:name="_Toc179632593"/>
      <w:bookmarkStart w:id="589" w:name="_Toc152045575"/>
      <w:bookmarkStart w:id="590" w:name="_Toc144974543"/>
      <w:bookmarkStart w:id="591" w:name="_Toc15058895"/>
      <w:bookmarkStart w:id="592" w:name="_Toc296590983"/>
      <w:bookmarkStart w:id="593" w:name="_Toc60061482"/>
      <w:bookmarkStart w:id="594" w:name="_Toc152042351"/>
      <w:bookmarkStart w:id="595" w:name="_Toc95223385"/>
      <w:bookmarkStart w:id="596" w:name="_Toc83301736"/>
      <w:r>
        <w:rPr>
          <w:rFonts w:hint="eastAsia" w:ascii="黑体" w:hAnsi="黑体" w:eastAsia="黑体" w:cs="黑体"/>
          <w:color w:val="auto"/>
          <w:sz w:val="21"/>
          <w:szCs w:val="21"/>
          <w:highlight w:val="none"/>
        </w:rPr>
        <w:t>9.1对招标人的纪律要求</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14:paraId="6673B3B0">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招标人不得泄漏招标投标活动中应当保密的情况和资料，不得与投标人串通损害国家利益、社会公共利益或者他人合法权益。</w:t>
      </w:r>
    </w:p>
    <w:p w14:paraId="37C8840A">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597" w:name="_Toc152042352"/>
      <w:bookmarkStart w:id="598" w:name="_Toc179632594"/>
      <w:bookmarkStart w:id="599" w:name="_Toc15058896"/>
      <w:bookmarkStart w:id="600" w:name="_Toc144974544"/>
      <w:bookmarkStart w:id="601" w:name="_Toc83301737"/>
      <w:bookmarkStart w:id="602" w:name="_Toc60061483"/>
      <w:bookmarkStart w:id="603" w:name="_Toc324404858"/>
      <w:bookmarkStart w:id="604" w:name="_Toc247085734"/>
      <w:bookmarkStart w:id="605" w:name="_Toc152045576"/>
      <w:bookmarkStart w:id="606" w:name="_Toc95223386"/>
      <w:bookmarkStart w:id="607" w:name="_Toc506107311"/>
      <w:bookmarkStart w:id="608" w:name="_Toc246996220"/>
      <w:bookmarkStart w:id="609" w:name="_Toc296602463"/>
      <w:bookmarkStart w:id="610" w:name="_Toc246996963"/>
      <w:r>
        <w:rPr>
          <w:rFonts w:hint="eastAsia" w:ascii="黑体" w:hAnsi="黑体" w:eastAsia="黑体" w:cs="黑体"/>
          <w:color w:val="auto"/>
          <w:sz w:val="21"/>
          <w:szCs w:val="21"/>
          <w:highlight w:val="none"/>
        </w:rPr>
        <w:t>9.2对投标人的纪律要求</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p w14:paraId="1D3FFFC4">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072E2745">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611" w:name="_Toc324404859"/>
      <w:bookmarkStart w:id="612" w:name="_Toc95223387"/>
      <w:bookmarkStart w:id="613" w:name="_Toc144974545"/>
      <w:bookmarkStart w:id="614" w:name="_Toc152045577"/>
      <w:bookmarkStart w:id="615" w:name="_Toc60061484"/>
      <w:bookmarkStart w:id="616" w:name="_Toc152042353"/>
      <w:bookmarkStart w:id="617" w:name="_Toc179632595"/>
      <w:bookmarkStart w:id="618" w:name="_Toc296602464"/>
      <w:bookmarkStart w:id="619" w:name="_Toc506107312"/>
      <w:bookmarkStart w:id="620" w:name="_Toc83301738"/>
      <w:bookmarkStart w:id="621" w:name="_Toc246996221"/>
      <w:bookmarkStart w:id="622" w:name="_Toc15058897"/>
      <w:bookmarkStart w:id="623" w:name="_Toc247085735"/>
      <w:bookmarkStart w:id="624" w:name="_Toc246996964"/>
      <w:r>
        <w:rPr>
          <w:rFonts w:hint="eastAsia" w:ascii="黑体" w:hAnsi="黑体" w:eastAsia="黑体" w:cs="黑体"/>
          <w:color w:val="auto"/>
          <w:sz w:val="21"/>
          <w:szCs w:val="21"/>
          <w:highlight w:val="none"/>
        </w:rPr>
        <w:t>9.3对评标委员会成员的纪律要求</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p w14:paraId="05EA535B">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评标委员会成员不得收受他人的财物或者其他好处，不得向他人透漏对投标文件的评审和比较、中标候选人的推荐情况以及评标有关的其他情况。在评标活动中，评标委员会成员应当客观、公正地履行职责，遵守职业道德，不得擅离职守，影响评标程序正常进行，不得使用第四章“评标办法”没有规定的评审因素和标准进行评标。</w:t>
      </w:r>
    </w:p>
    <w:p w14:paraId="26981674">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625" w:name="_Toc246996965"/>
      <w:bookmarkStart w:id="626" w:name="_Toc60061485"/>
      <w:bookmarkStart w:id="627" w:name="_Toc83301739"/>
      <w:bookmarkStart w:id="628" w:name="_Toc247085736"/>
      <w:bookmarkStart w:id="629" w:name="_Toc179632596"/>
      <w:bookmarkStart w:id="630" w:name="_Toc296602465"/>
      <w:bookmarkStart w:id="631" w:name="_Toc15058898"/>
      <w:bookmarkStart w:id="632" w:name="_Toc95223388"/>
      <w:bookmarkStart w:id="633" w:name="_Toc246996222"/>
      <w:bookmarkStart w:id="634" w:name="_Toc506107313"/>
      <w:bookmarkStart w:id="635" w:name="_Toc152045578"/>
      <w:bookmarkStart w:id="636" w:name="_Toc152042354"/>
      <w:bookmarkStart w:id="637" w:name="_Toc324404860"/>
      <w:bookmarkStart w:id="638" w:name="_Toc144974546"/>
      <w:r>
        <w:rPr>
          <w:rFonts w:hint="eastAsia" w:ascii="黑体" w:hAnsi="黑体" w:eastAsia="黑体" w:cs="黑体"/>
          <w:color w:val="auto"/>
          <w:sz w:val="21"/>
          <w:szCs w:val="21"/>
          <w:highlight w:val="none"/>
        </w:rPr>
        <w:t>9.4对与评标活动有关的工作人员的纪律要求</w:t>
      </w:r>
      <w:bookmarkEnd w:id="625"/>
      <w:bookmarkEnd w:id="626"/>
      <w:bookmarkEnd w:id="627"/>
      <w:bookmarkEnd w:id="628"/>
      <w:bookmarkEnd w:id="629"/>
      <w:bookmarkEnd w:id="630"/>
      <w:bookmarkEnd w:id="631"/>
      <w:bookmarkEnd w:id="632"/>
      <w:bookmarkEnd w:id="633"/>
      <w:bookmarkEnd w:id="634"/>
      <w:bookmarkEnd w:id="635"/>
      <w:bookmarkEnd w:id="636"/>
      <w:bookmarkEnd w:id="637"/>
    </w:p>
    <w:p w14:paraId="220CFFF0">
      <w:pPr>
        <w:adjustRightInd w:val="0"/>
        <w:snapToGrid w:val="0"/>
        <w:spacing w:line="560" w:lineRule="exact"/>
        <w:ind w:firstLine="420" w:firstLineChars="200"/>
        <w:rPr>
          <w:rFonts w:hint="eastAsia" w:ascii="宋体" w:hAnsi="宋体" w:cs="宋体"/>
          <w:color w:val="auto"/>
          <w:szCs w:val="21"/>
          <w:highlight w:val="none"/>
        </w:rPr>
      </w:pPr>
      <w:bookmarkStart w:id="639" w:name="_Toc152042355"/>
      <w:r>
        <w:rPr>
          <w:rFonts w:hint="eastAsia" w:ascii="宋体" w:hAnsi="宋体" w:cs="宋体"/>
          <w:color w:val="auto"/>
          <w:szCs w:val="21"/>
          <w:highlight w:val="none"/>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bookmarkEnd w:id="639"/>
    </w:p>
    <w:p w14:paraId="44C54BD0">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640" w:name="_Toc506107314"/>
      <w:bookmarkStart w:id="641" w:name="_Toc179632597"/>
      <w:bookmarkStart w:id="642" w:name="_Toc152045579"/>
      <w:bookmarkStart w:id="643" w:name="_Toc246996966"/>
      <w:bookmarkStart w:id="644" w:name="_Toc247085737"/>
      <w:bookmarkStart w:id="645" w:name="_Toc246996223"/>
      <w:bookmarkStart w:id="646" w:name="_Toc60061486"/>
      <w:bookmarkStart w:id="647" w:name="_Toc324404861"/>
      <w:bookmarkStart w:id="648" w:name="_Toc152042356"/>
      <w:bookmarkStart w:id="649" w:name="_Toc296602466"/>
      <w:bookmarkStart w:id="650" w:name="_Toc83301740"/>
      <w:bookmarkStart w:id="651" w:name="_Toc15058899"/>
      <w:bookmarkStart w:id="652" w:name="_Toc95223389"/>
      <w:r>
        <w:rPr>
          <w:rFonts w:hint="eastAsia" w:ascii="黑体" w:hAnsi="黑体" w:eastAsia="黑体" w:cs="黑体"/>
          <w:color w:val="auto"/>
          <w:sz w:val="21"/>
          <w:szCs w:val="21"/>
          <w:highlight w:val="none"/>
        </w:rPr>
        <w:t>9.5投诉</w:t>
      </w:r>
      <w:bookmarkEnd w:id="638"/>
      <w:bookmarkEnd w:id="640"/>
      <w:bookmarkEnd w:id="641"/>
      <w:bookmarkEnd w:id="642"/>
      <w:bookmarkEnd w:id="643"/>
      <w:bookmarkEnd w:id="644"/>
      <w:bookmarkEnd w:id="645"/>
      <w:bookmarkEnd w:id="646"/>
      <w:bookmarkEnd w:id="647"/>
      <w:bookmarkEnd w:id="648"/>
      <w:bookmarkEnd w:id="649"/>
      <w:bookmarkEnd w:id="650"/>
      <w:bookmarkEnd w:id="651"/>
      <w:bookmarkEnd w:id="652"/>
    </w:p>
    <w:p w14:paraId="2133361E">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9.5.1投标人或者其他利害关系人认为招标投标活动违反法律、法规和规章规定的，有权向相关行政监督部门投诉。投诉应当有明确的请求和必要的证明材料。</w:t>
      </w:r>
    </w:p>
    <w:p w14:paraId="355A974C">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9.5.2投标人和其他利害关系人对招标文件、开标和评标结果事项投诉的，应当按照投标人须知的规定先向招标人提出异议。异议答复期间不计算在第9.5.1</w:t>
      </w:r>
      <w:r>
        <w:rPr>
          <w:rFonts w:hint="eastAsia"/>
          <w:color w:val="auto"/>
          <w:highlight w:val="none"/>
        </w:rPr>
        <w:t>项</w:t>
      </w:r>
      <w:r>
        <w:rPr>
          <w:rFonts w:hint="eastAsia" w:ascii="宋体" w:hAnsi="宋体" w:cs="宋体"/>
          <w:color w:val="auto"/>
          <w:szCs w:val="21"/>
          <w:highlight w:val="none"/>
        </w:rPr>
        <w:t>规定的期限内。</w:t>
      </w:r>
    </w:p>
    <w:p w14:paraId="5F5E1F61">
      <w:pPr>
        <w:pStyle w:val="3"/>
        <w:adjustRightInd w:val="0"/>
        <w:snapToGrid w:val="0"/>
        <w:spacing w:before="0" w:after="0" w:line="560" w:lineRule="exact"/>
        <w:ind w:firstLine="422" w:firstLineChars="200"/>
        <w:rPr>
          <w:rFonts w:hint="eastAsia" w:ascii="黑体" w:hAnsi="黑体" w:cs="黑体"/>
          <w:color w:val="auto"/>
          <w:sz w:val="21"/>
          <w:szCs w:val="21"/>
          <w:highlight w:val="none"/>
        </w:rPr>
      </w:pPr>
      <w:bookmarkStart w:id="653" w:name="_Toc246996224"/>
      <w:bookmarkStart w:id="654" w:name="_Toc179632598"/>
      <w:bookmarkStart w:id="655" w:name="_Toc15058900"/>
      <w:bookmarkStart w:id="656" w:name="_Toc246996967"/>
      <w:bookmarkStart w:id="657" w:name="_Toc152045580"/>
      <w:bookmarkStart w:id="658" w:name="_Toc60061487"/>
      <w:bookmarkStart w:id="659" w:name="_Toc324404862"/>
      <w:bookmarkStart w:id="660" w:name="_Toc152042357"/>
      <w:bookmarkStart w:id="661" w:name="_Toc95223390"/>
      <w:bookmarkStart w:id="662" w:name="_Toc247085738"/>
      <w:bookmarkStart w:id="663" w:name="_Toc144974547"/>
      <w:bookmarkStart w:id="664" w:name="_Toc83301741"/>
      <w:bookmarkStart w:id="665" w:name="_Toc506107315"/>
      <w:r>
        <w:rPr>
          <w:rFonts w:hint="eastAsia" w:ascii="黑体" w:hAnsi="黑体" w:cs="黑体"/>
          <w:color w:val="auto"/>
          <w:sz w:val="21"/>
          <w:szCs w:val="21"/>
          <w:highlight w:val="none"/>
        </w:rPr>
        <w:t>10.需要补充的其他内容</w:t>
      </w:r>
      <w:bookmarkEnd w:id="653"/>
      <w:bookmarkEnd w:id="654"/>
      <w:bookmarkEnd w:id="655"/>
      <w:bookmarkEnd w:id="656"/>
      <w:bookmarkEnd w:id="657"/>
      <w:bookmarkEnd w:id="658"/>
      <w:bookmarkEnd w:id="659"/>
      <w:bookmarkEnd w:id="660"/>
      <w:bookmarkEnd w:id="661"/>
      <w:bookmarkEnd w:id="662"/>
      <w:bookmarkEnd w:id="663"/>
      <w:bookmarkEnd w:id="664"/>
      <w:bookmarkEnd w:id="665"/>
      <w:bookmarkStart w:id="666" w:name="_Toc15058901"/>
      <w:bookmarkStart w:id="667" w:name="_Toc60061488"/>
    </w:p>
    <w:p w14:paraId="453D56ED">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需要补充的其他内容：见投标人须知前附表。</w:t>
      </w:r>
      <w:bookmarkEnd w:id="666"/>
      <w:bookmarkEnd w:id="667"/>
    </w:p>
    <w:p w14:paraId="42CE9289">
      <w:pPr>
        <w:rPr>
          <w:rFonts w:hint="eastAsia"/>
          <w:color w:val="auto"/>
          <w:highlight w:val="none"/>
        </w:rPr>
      </w:pPr>
      <w:bookmarkStart w:id="668" w:name="_Toc95223393"/>
      <w:bookmarkStart w:id="669" w:name="_Toc60061490"/>
      <w:bookmarkStart w:id="670" w:name="_Toc506107318"/>
      <w:bookmarkStart w:id="671" w:name="_Toc324404865"/>
      <w:bookmarkStart w:id="672" w:name="_Toc15058903"/>
      <w:bookmarkStart w:id="673" w:name="_Toc296602475"/>
    </w:p>
    <w:p w14:paraId="757FF37C">
      <w:pPr>
        <w:pStyle w:val="2"/>
        <w:spacing w:before="0" w:after="0" w:line="240" w:lineRule="auto"/>
        <w:jc w:val="center"/>
        <w:rPr>
          <w:rFonts w:hint="eastAsia"/>
          <w:color w:val="auto"/>
          <w:highlight w:val="none"/>
        </w:rPr>
      </w:pPr>
      <w:r>
        <w:rPr>
          <w:rFonts w:hint="eastAsia"/>
          <w:color w:val="auto"/>
          <w:highlight w:val="none"/>
        </w:rPr>
        <w:t>第三章 资格审查办法</w:t>
      </w:r>
    </w:p>
    <w:p w14:paraId="61979773">
      <w:pPr>
        <w:pStyle w:val="3"/>
        <w:tabs>
          <w:tab w:val="left" w:pos="2796"/>
          <w:tab w:val="center" w:pos="4479"/>
        </w:tabs>
        <w:adjustRightInd w:val="0"/>
        <w:snapToGrid w:val="0"/>
        <w:spacing w:before="0" w:after="0" w:line="560" w:lineRule="exact"/>
        <w:jc w:val="center"/>
        <w:rPr>
          <w:rFonts w:hint="eastAsia"/>
          <w:color w:val="auto"/>
          <w:sz w:val="28"/>
          <w:szCs w:val="28"/>
          <w:highlight w:val="none"/>
        </w:rPr>
      </w:pPr>
      <w:r>
        <w:rPr>
          <w:rFonts w:hint="eastAsia"/>
          <w:color w:val="auto"/>
          <w:sz w:val="28"/>
          <w:szCs w:val="28"/>
          <w:highlight w:val="none"/>
        </w:rPr>
        <w:t>资格审查办法前附表</w:t>
      </w:r>
    </w:p>
    <w:tbl>
      <w:tblPr>
        <w:tblStyle w:val="20"/>
        <w:tblW w:w="10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258"/>
        <w:gridCol w:w="6044"/>
        <w:gridCol w:w="1999"/>
      </w:tblGrid>
      <w:tr w14:paraId="254EB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023" w:type="dxa"/>
            <w:gridSpan w:val="2"/>
            <w:noWrap w:val="0"/>
            <w:vAlign w:val="center"/>
          </w:tcPr>
          <w:p w14:paraId="702BA8E4">
            <w:pPr>
              <w:adjustRightInd w:val="0"/>
              <w:snapToGrid w:val="0"/>
              <w:spacing w:line="560" w:lineRule="exact"/>
              <w:jc w:val="center"/>
              <w:rPr>
                <w:rFonts w:hint="eastAsia" w:ascii="黑体" w:hAnsi="黑体" w:eastAsia="黑体" w:cs="宋体"/>
                <w:b/>
                <w:bCs/>
                <w:color w:val="auto"/>
                <w:szCs w:val="21"/>
                <w:highlight w:val="none"/>
              </w:rPr>
            </w:pPr>
            <w:r>
              <w:rPr>
                <w:rFonts w:hint="eastAsia" w:ascii="黑体" w:hAnsi="黑体" w:eastAsia="黑体" w:cs="宋体"/>
                <w:b/>
                <w:bCs/>
                <w:color w:val="auto"/>
                <w:szCs w:val="21"/>
                <w:highlight w:val="none"/>
              </w:rPr>
              <w:t>条款号</w:t>
            </w:r>
          </w:p>
        </w:tc>
        <w:tc>
          <w:tcPr>
            <w:tcW w:w="6044" w:type="dxa"/>
            <w:noWrap w:val="0"/>
            <w:vAlign w:val="center"/>
          </w:tcPr>
          <w:p w14:paraId="57B3EF34">
            <w:pPr>
              <w:adjustRightInd w:val="0"/>
              <w:snapToGrid w:val="0"/>
              <w:spacing w:line="560" w:lineRule="exact"/>
              <w:jc w:val="center"/>
              <w:rPr>
                <w:rFonts w:hint="eastAsia" w:ascii="黑体" w:hAnsi="黑体" w:eastAsia="黑体" w:cs="宋体"/>
                <w:b/>
                <w:bCs/>
                <w:color w:val="auto"/>
                <w:szCs w:val="21"/>
                <w:highlight w:val="none"/>
              </w:rPr>
            </w:pPr>
            <w:r>
              <w:rPr>
                <w:rFonts w:hint="eastAsia" w:ascii="黑体" w:hAnsi="黑体" w:eastAsia="黑体" w:cs="宋体"/>
                <w:b/>
                <w:bCs/>
                <w:color w:val="auto"/>
                <w:szCs w:val="21"/>
                <w:highlight w:val="none"/>
              </w:rPr>
              <w:t>审查内容</w:t>
            </w:r>
          </w:p>
        </w:tc>
        <w:tc>
          <w:tcPr>
            <w:tcW w:w="1999" w:type="dxa"/>
            <w:noWrap w:val="0"/>
            <w:vAlign w:val="center"/>
          </w:tcPr>
          <w:p w14:paraId="61774E5F">
            <w:pPr>
              <w:adjustRightInd w:val="0"/>
              <w:snapToGrid w:val="0"/>
              <w:spacing w:line="560" w:lineRule="exact"/>
              <w:jc w:val="center"/>
              <w:rPr>
                <w:rFonts w:hint="eastAsia" w:ascii="黑体" w:hAnsi="黑体" w:eastAsia="黑体" w:cs="宋体"/>
                <w:b/>
                <w:bCs/>
                <w:color w:val="auto"/>
                <w:szCs w:val="21"/>
                <w:highlight w:val="none"/>
              </w:rPr>
            </w:pPr>
            <w:r>
              <w:rPr>
                <w:rFonts w:hint="eastAsia" w:ascii="黑体" w:hAnsi="黑体" w:eastAsia="黑体" w:cs="宋体"/>
                <w:b/>
                <w:bCs/>
                <w:color w:val="auto"/>
                <w:szCs w:val="21"/>
                <w:highlight w:val="none"/>
              </w:rPr>
              <w:t>评审标准</w:t>
            </w:r>
          </w:p>
        </w:tc>
      </w:tr>
      <w:tr w14:paraId="0FC3A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5" w:type="dxa"/>
            <w:vMerge w:val="restart"/>
            <w:noWrap w:val="0"/>
            <w:vAlign w:val="center"/>
          </w:tcPr>
          <w:p w14:paraId="23269D26">
            <w:pPr>
              <w:adjustRightInd w:val="0"/>
              <w:snapToGrid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1258" w:type="dxa"/>
            <w:vMerge w:val="restart"/>
            <w:noWrap w:val="0"/>
            <w:vAlign w:val="center"/>
          </w:tcPr>
          <w:p w14:paraId="4A3B6695">
            <w:pPr>
              <w:adjustRightInd w:val="0"/>
              <w:snapToGrid w:val="0"/>
              <w:spacing w:line="560" w:lineRule="exact"/>
              <w:jc w:val="center"/>
              <w:rPr>
                <w:rFonts w:hint="eastAsia" w:ascii="宋体" w:hAnsi="宋体" w:cs="宋体"/>
                <w:b/>
                <w:bCs/>
                <w:color w:val="auto"/>
                <w:szCs w:val="21"/>
                <w:highlight w:val="none"/>
              </w:rPr>
            </w:pPr>
            <w:r>
              <w:rPr>
                <w:rFonts w:hint="eastAsia" w:ascii="宋体" w:hAnsi="宋体" w:cs="宋体"/>
                <w:b/>
                <w:bCs/>
                <w:color w:val="auto"/>
                <w:szCs w:val="21"/>
                <w:highlight w:val="none"/>
              </w:rPr>
              <w:t>审查资料</w:t>
            </w:r>
          </w:p>
        </w:tc>
        <w:tc>
          <w:tcPr>
            <w:tcW w:w="6044" w:type="dxa"/>
            <w:noWrap w:val="0"/>
            <w:vAlign w:val="top"/>
          </w:tcPr>
          <w:p w14:paraId="117C6105">
            <w:pPr>
              <w:adjustRightInd w:val="0"/>
              <w:snapToGrid w:val="0"/>
              <w:spacing w:line="560" w:lineRule="exact"/>
              <w:rPr>
                <w:rFonts w:hint="default"/>
                <w:color w:val="auto"/>
                <w:highlight w:val="none"/>
                <w:lang w:val="en-US"/>
              </w:rPr>
            </w:pPr>
            <w:r>
              <w:rPr>
                <w:rFonts w:hint="eastAsia" w:ascii="宋体" w:hAnsi="宋体" w:cs="宋体"/>
                <w:color w:val="auto"/>
                <w:szCs w:val="21"/>
                <w:highlight w:val="none"/>
              </w:rPr>
              <w:t>法</w:t>
            </w:r>
            <w:r>
              <w:rPr>
                <w:rFonts w:hint="eastAsia" w:ascii="宋体" w:hAnsi="宋体" w:eastAsia="宋体" w:cs="宋体"/>
                <w:color w:val="auto"/>
                <w:szCs w:val="21"/>
                <w:highlight w:val="none"/>
              </w:rPr>
              <w:t>定代表人身份证明和本人有效身份证(或法定代表人授权委托书和委托代理人有效身份证)</w:t>
            </w:r>
          </w:p>
        </w:tc>
        <w:tc>
          <w:tcPr>
            <w:tcW w:w="1999" w:type="dxa"/>
            <w:vMerge w:val="restart"/>
            <w:noWrap w:val="0"/>
            <w:vAlign w:val="center"/>
          </w:tcPr>
          <w:p w14:paraId="2180D45D">
            <w:pPr>
              <w:adjustRightInd w:val="0"/>
              <w:snapToGrid w:val="0"/>
              <w:spacing w:line="560" w:lineRule="exact"/>
              <w:jc w:val="center"/>
              <w:rPr>
                <w:rFonts w:hint="eastAsia" w:ascii="宋体" w:hAnsi="宋体" w:cs="宋体"/>
                <w:b/>
                <w:color w:val="auto"/>
                <w:szCs w:val="21"/>
                <w:highlight w:val="none"/>
              </w:rPr>
            </w:pPr>
            <w:r>
              <w:rPr>
                <w:rFonts w:hint="eastAsia" w:ascii="宋体" w:hAnsi="宋体" w:cs="宋体"/>
                <w:b/>
                <w:color w:val="auto"/>
                <w:szCs w:val="21"/>
                <w:highlight w:val="none"/>
              </w:rPr>
              <w:t>检验电子标书</w:t>
            </w:r>
          </w:p>
        </w:tc>
      </w:tr>
      <w:tr w14:paraId="0641B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765" w:type="dxa"/>
            <w:vMerge w:val="continue"/>
            <w:noWrap w:val="0"/>
            <w:vAlign w:val="center"/>
          </w:tcPr>
          <w:p w14:paraId="466C40C0">
            <w:pPr>
              <w:adjustRightInd w:val="0"/>
              <w:snapToGrid w:val="0"/>
              <w:spacing w:line="560" w:lineRule="exact"/>
              <w:jc w:val="center"/>
              <w:rPr>
                <w:rFonts w:hint="eastAsia" w:ascii="宋体" w:hAnsi="宋体" w:cs="宋体"/>
                <w:color w:val="auto"/>
                <w:szCs w:val="21"/>
                <w:highlight w:val="none"/>
              </w:rPr>
            </w:pPr>
          </w:p>
        </w:tc>
        <w:tc>
          <w:tcPr>
            <w:tcW w:w="1258" w:type="dxa"/>
            <w:vMerge w:val="continue"/>
            <w:noWrap w:val="0"/>
            <w:vAlign w:val="center"/>
          </w:tcPr>
          <w:p w14:paraId="0EF21515">
            <w:pPr>
              <w:adjustRightInd w:val="0"/>
              <w:snapToGrid w:val="0"/>
              <w:spacing w:line="560" w:lineRule="exact"/>
              <w:jc w:val="center"/>
              <w:rPr>
                <w:rFonts w:hint="eastAsia" w:ascii="宋体" w:hAnsi="宋体" w:cs="宋体"/>
                <w:b/>
                <w:bCs/>
                <w:color w:val="auto"/>
                <w:szCs w:val="21"/>
                <w:highlight w:val="none"/>
              </w:rPr>
            </w:pPr>
          </w:p>
        </w:tc>
        <w:tc>
          <w:tcPr>
            <w:tcW w:w="6044" w:type="dxa"/>
            <w:noWrap w:val="0"/>
            <w:vAlign w:val="top"/>
          </w:tcPr>
          <w:p w14:paraId="684B7A54">
            <w:pPr>
              <w:adjustRightInd w:val="0"/>
              <w:snapToGrid w:val="0"/>
              <w:spacing w:line="560" w:lineRule="exac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诚信投标承诺书（或《</w:t>
            </w:r>
            <w:r>
              <w:rPr>
                <w:rFonts w:hint="eastAsia" w:ascii="宋体" w:hAnsi="宋体" w:cs="宋体"/>
                <w:color w:val="auto"/>
                <w:kern w:val="0"/>
                <w:szCs w:val="21"/>
                <w:highlight w:val="none"/>
              </w:rPr>
              <w:t>公共信用信息报告（无违法违规证明版或核查版）</w:t>
            </w:r>
            <w:r>
              <w:rPr>
                <w:rFonts w:hint="eastAsia" w:ascii="宋体" w:hAnsi="宋体" w:cs="宋体"/>
                <w:color w:val="auto"/>
                <w:szCs w:val="21"/>
                <w:highlight w:val="none"/>
              </w:rPr>
              <w:t>》）（联合体投标的，联合体各方均须提供）</w:t>
            </w:r>
          </w:p>
        </w:tc>
        <w:tc>
          <w:tcPr>
            <w:tcW w:w="1999" w:type="dxa"/>
            <w:vMerge w:val="continue"/>
            <w:noWrap w:val="0"/>
            <w:vAlign w:val="center"/>
          </w:tcPr>
          <w:p w14:paraId="7317FC6A">
            <w:pPr>
              <w:adjustRightInd w:val="0"/>
              <w:snapToGrid w:val="0"/>
              <w:spacing w:line="560" w:lineRule="exact"/>
              <w:jc w:val="center"/>
              <w:rPr>
                <w:rFonts w:hint="eastAsia" w:ascii="宋体" w:hAnsi="宋体" w:cs="宋体"/>
                <w:b/>
                <w:color w:val="auto"/>
                <w:szCs w:val="21"/>
                <w:highlight w:val="none"/>
              </w:rPr>
            </w:pPr>
          </w:p>
        </w:tc>
      </w:tr>
      <w:tr w14:paraId="6100F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765" w:type="dxa"/>
            <w:vMerge w:val="continue"/>
            <w:noWrap w:val="0"/>
            <w:vAlign w:val="center"/>
          </w:tcPr>
          <w:p w14:paraId="60A3536D">
            <w:pPr>
              <w:adjustRightInd w:val="0"/>
              <w:snapToGrid w:val="0"/>
              <w:spacing w:line="560" w:lineRule="exact"/>
              <w:jc w:val="center"/>
              <w:rPr>
                <w:rFonts w:hint="eastAsia" w:ascii="宋体" w:hAnsi="宋体" w:cs="宋体"/>
                <w:color w:val="auto"/>
                <w:szCs w:val="21"/>
                <w:highlight w:val="none"/>
              </w:rPr>
            </w:pPr>
          </w:p>
        </w:tc>
        <w:tc>
          <w:tcPr>
            <w:tcW w:w="1258" w:type="dxa"/>
            <w:vMerge w:val="continue"/>
            <w:noWrap w:val="0"/>
            <w:vAlign w:val="center"/>
          </w:tcPr>
          <w:p w14:paraId="55C5BE84">
            <w:pPr>
              <w:adjustRightInd w:val="0"/>
              <w:snapToGrid w:val="0"/>
              <w:spacing w:line="560" w:lineRule="exact"/>
              <w:jc w:val="center"/>
              <w:rPr>
                <w:rFonts w:hint="eastAsia" w:ascii="宋体" w:hAnsi="宋体" w:cs="宋体"/>
                <w:b/>
                <w:bCs/>
                <w:color w:val="auto"/>
                <w:szCs w:val="21"/>
                <w:highlight w:val="none"/>
              </w:rPr>
            </w:pPr>
          </w:p>
        </w:tc>
        <w:tc>
          <w:tcPr>
            <w:tcW w:w="6044" w:type="dxa"/>
            <w:noWrap w:val="0"/>
            <w:vAlign w:val="top"/>
          </w:tcPr>
          <w:p w14:paraId="7120172C">
            <w:pPr>
              <w:adjustRightInd w:val="0"/>
              <w:snapToGrid w:val="0"/>
              <w:spacing w:line="560" w:lineRule="exac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企业法人营业执照（联合体投标的，联合体各方均须提供）</w:t>
            </w:r>
            <w:r>
              <w:rPr>
                <w:rFonts w:hint="eastAsia" w:ascii="宋体" w:hAnsi="宋体" w:cs="宋体"/>
                <w:color w:val="auto"/>
                <w:szCs w:val="21"/>
                <w:highlight w:val="none"/>
                <w:lang w:val="en-US" w:eastAsia="zh-CN"/>
              </w:rPr>
              <w:t xml:space="preserve"> </w:t>
            </w:r>
          </w:p>
        </w:tc>
        <w:tc>
          <w:tcPr>
            <w:tcW w:w="1999" w:type="dxa"/>
            <w:vMerge w:val="continue"/>
            <w:noWrap w:val="0"/>
            <w:vAlign w:val="center"/>
          </w:tcPr>
          <w:p w14:paraId="1E3CF2AE">
            <w:pPr>
              <w:adjustRightInd w:val="0"/>
              <w:snapToGrid w:val="0"/>
              <w:spacing w:line="560" w:lineRule="exact"/>
              <w:jc w:val="center"/>
              <w:rPr>
                <w:rFonts w:hint="eastAsia" w:ascii="宋体" w:hAnsi="宋体" w:cs="宋体"/>
                <w:b/>
                <w:color w:val="auto"/>
                <w:szCs w:val="21"/>
                <w:highlight w:val="none"/>
              </w:rPr>
            </w:pPr>
          </w:p>
        </w:tc>
      </w:tr>
      <w:tr w14:paraId="4ADE0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65" w:type="dxa"/>
            <w:vMerge w:val="continue"/>
            <w:noWrap w:val="0"/>
            <w:vAlign w:val="center"/>
          </w:tcPr>
          <w:p w14:paraId="09B0DD6A">
            <w:pPr>
              <w:adjustRightInd w:val="0"/>
              <w:snapToGrid w:val="0"/>
              <w:spacing w:line="560" w:lineRule="exact"/>
              <w:jc w:val="center"/>
              <w:rPr>
                <w:rFonts w:hint="eastAsia" w:ascii="宋体" w:hAnsi="宋体" w:cs="宋体"/>
                <w:color w:val="auto"/>
                <w:szCs w:val="21"/>
                <w:highlight w:val="none"/>
              </w:rPr>
            </w:pPr>
          </w:p>
        </w:tc>
        <w:tc>
          <w:tcPr>
            <w:tcW w:w="1258" w:type="dxa"/>
            <w:vMerge w:val="continue"/>
            <w:noWrap w:val="0"/>
            <w:vAlign w:val="center"/>
          </w:tcPr>
          <w:p w14:paraId="014C85E1">
            <w:pPr>
              <w:adjustRightInd w:val="0"/>
              <w:snapToGrid w:val="0"/>
              <w:spacing w:line="560" w:lineRule="exact"/>
              <w:jc w:val="center"/>
              <w:rPr>
                <w:rFonts w:hint="eastAsia" w:ascii="宋体" w:hAnsi="宋体" w:cs="宋体"/>
                <w:b/>
                <w:bCs/>
                <w:color w:val="auto"/>
                <w:szCs w:val="21"/>
                <w:highlight w:val="none"/>
              </w:rPr>
            </w:pPr>
          </w:p>
        </w:tc>
        <w:tc>
          <w:tcPr>
            <w:tcW w:w="6044" w:type="dxa"/>
            <w:noWrap w:val="0"/>
            <w:vAlign w:val="top"/>
          </w:tcPr>
          <w:p w14:paraId="180B0245">
            <w:pPr>
              <w:adjustRightInd w:val="0"/>
              <w:snapToGrid w:val="0"/>
              <w:spacing w:line="560" w:lineRule="exac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企业资质证书</w:t>
            </w:r>
            <w:r>
              <w:rPr>
                <w:rFonts w:hint="eastAsia" w:ascii="宋体" w:hAnsi="宋体" w:cs="宋体"/>
                <w:color w:val="auto"/>
                <w:szCs w:val="21"/>
                <w:highlight w:val="none"/>
                <w:lang w:eastAsia="zh-CN"/>
              </w:rPr>
              <w:t>（</w:t>
            </w:r>
            <w:r>
              <w:rPr>
                <w:rFonts w:hint="eastAsia" w:ascii="宋体" w:hAnsi="宋体" w:cs="宋体"/>
                <w:color w:val="auto"/>
                <w:szCs w:val="21"/>
                <w:highlight w:val="none"/>
              </w:rPr>
              <w:t>（联合体投标的，联合体各方均须提供）</w:t>
            </w:r>
          </w:p>
        </w:tc>
        <w:tc>
          <w:tcPr>
            <w:tcW w:w="1999" w:type="dxa"/>
            <w:vMerge w:val="continue"/>
            <w:noWrap w:val="0"/>
            <w:vAlign w:val="center"/>
          </w:tcPr>
          <w:p w14:paraId="128EC198">
            <w:pPr>
              <w:adjustRightInd w:val="0"/>
              <w:snapToGrid w:val="0"/>
              <w:spacing w:line="560" w:lineRule="exact"/>
              <w:jc w:val="center"/>
              <w:rPr>
                <w:rFonts w:hint="eastAsia" w:ascii="宋体" w:hAnsi="宋体" w:cs="宋体"/>
                <w:color w:val="auto"/>
                <w:szCs w:val="21"/>
                <w:highlight w:val="none"/>
              </w:rPr>
            </w:pPr>
          </w:p>
        </w:tc>
      </w:tr>
      <w:tr w14:paraId="30406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765" w:type="dxa"/>
            <w:vMerge w:val="continue"/>
            <w:noWrap w:val="0"/>
            <w:vAlign w:val="center"/>
          </w:tcPr>
          <w:p w14:paraId="3F789B35">
            <w:pPr>
              <w:adjustRightInd w:val="0"/>
              <w:snapToGrid w:val="0"/>
              <w:spacing w:line="560" w:lineRule="exact"/>
              <w:jc w:val="center"/>
              <w:rPr>
                <w:rFonts w:hint="eastAsia" w:ascii="宋体" w:hAnsi="宋体" w:cs="宋体"/>
                <w:color w:val="auto"/>
                <w:szCs w:val="21"/>
                <w:highlight w:val="none"/>
              </w:rPr>
            </w:pPr>
          </w:p>
        </w:tc>
        <w:tc>
          <w:tcPr>
            <w:tcW w:w="1258" w:type="dxa"/>
            <w:vMerge w:val="continue"/>
            <w:noWrap w:val="0"/>
            <w:vAlign w:val="center"/>
          </w:tcPr>
          <w:p w14:paraId="25D86A50">
            <w:pPr>
              <w:adjustRightInd w:val="0"/>
              <w:snapToGrid w:val="0"/>
              <w:spacing w:line="560" w:lineRule="exact"/>
              <w:jc w:val="center"/>
              <w:rPr>
                <w:rFonts w:hint="eastAsia" w:ascii="宋体" w:hAnsi="宋体" w:cs="宋体"/>
                <w:b/>
                <w:bCs/>
                <w:color w:val="auto"/>
                <w:szCs w:val="21"/>
                <w:highlight w:val="none"/>
              </w:rPr>
            </w:pPr>
          </w:p>
        </w:tc>
        <w:tc>
          <w:tcPr>
            <w:tcW w:w="6044" w:type="dxa"/>
            <w:noWrap w:val="0"/>
            <w:vAlign w:val="top"/>
          </w:tcPr>
          <w:p w14:paraId="056A55B4">
            <w:pPr>
              <w:adjustRightInd w:val="0"/>
              <w:snapToGrid w:val="0"/>
              <w:spacing w:line="560" w:lineRule="exac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企业安全生产许可证（联合体投标的，联合体各方均须提供）</w:t>
            </w:r>
          </w:p>
        </w:tc>
        <w:tc>
          <w:tcPr>
            <w:tcW w:w="1999" w:type="dxa"/>
            <w:vMerge w:val="continue"/>
            <w:noWrap w:val="0"/>
            <w:vAlign w:val="center"/>
          </w:tcPr>
          <w:p w14:paraId="6D5DDF41">
            <w:pPr>
              <w:adjustRightInd w:val="0"/>
              <w:snapToGrid w:val="0"/>
              <w:spacing w:line="560" w:lineRule="exact"/>
              <w:jc w:val="center"/>
              <w:rPr>
                <w:rFonts w:hint="eastAsia" w:ascii="宋体" w:hAnsi="宋体" w:cs="宋体"/>
                <w:color w:val="auto"/>
                <w:szCs w:val="21"/>
                <w:highlight w:val="none"/>
              </w:rPr>
            </w:pPr>
          </w:p>
        </w:tc>
      </w:tr>
      <w:tr w14:paraId="6FFC2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65" w:type="dxa"/>
            <w:vMerge w:val="continue"/>
            <w:noWrap w:val="0"/>
            <w:vAlign w:val="center"/>
          </w:tcPr>
          <w:p w14:paraId="33ED9A5B">
            <w:pPr>
              <w:adjustRightInd w:val="0"/>
              <w:snapToGrid w:val="0"/>
              <w:spacing w:line="560" w:lineRule="exact"/>
              <w:jc w:val="center"/>
              <w:rPr>
                <w:rFonts w:hint="eastAsia" w:ascii="宋体" w:hAnsi="宋体" w:cs="宋体"/>
                <w:color w:val="auto"/>
                <w:szCs w:val="21"/>
                <w:highlight w:val="none"/>
              </w:rPr>
            </w:pPr>
          </w:p>
        </w:tc>
        <w:tc>
          <w:tcPr>
            <w:tcW w:w="1258" w:type="dxa"/>
            <w:vMerge w:val="continue"/>
            <w:noWrap w:val="0"/>
            <w:vAlign w:val="center"/>
          </w:tcPr>
          <w:p w14:paraId="1BF15E89">
            <w:pPr>
              <w:adjustRightInd w:val="0"/>
              <w:snapToGrid w:val="0"/>
              <w:spacing w:line="560" w:lineRule="exact"/>
              <w:jc w:val="center"/>
              <w:rPr>
                <w:rFonts w:hint="eastAsia" w:ascii="宋体" w:hAnsi="宋体" w:cs="宋体"/>
                <w:b/>
                <w:bCs/>
                <w:color w:val="auto"/>
                <w:szCs w:val="21"/>
                <w:highlight w:val="none"/>
              </w:rPr>
            </w:pPr>
          </w:p>
        </w:tc>
        <w:tc>
          <w:tcPr>
            <w:tcW w:w="6044" w:type="dxa"/>
            <w:noWrap w:val="0"/>
            <w:vAlign w:val="top"/>
          </w:tcPr>
          <w:p w14:paraId="3B80D3F6">
            <w:pPr>
              <w:adjustRightInd w:val="0"/>
              <w:snapToGrid w:val="0"/>
              <w:spacing w:line="560" w:lineRule="exac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项目经理（建造师）有效身份证、注册证书以及安全生产考核合格证书（B证）</w:t>
            </w:r>
            <w:r>
              <w:rPr>
                <w:rFonts w:hint="eastAsia" w:ascii="宋体" w:hAnsi="宋体" w:cs="宋体"/>
                <w:color w:val="auto"/>
                <w:szCs w:val="21"/>
                <w:highlight w:val="none"/>
                <w:lang w:val="en-US" w:eastAsia="zh-CN"/>
              </w:rPr>
              <w:t xml:space="preserve"> </w:t>
            </w:r>
          </w:p>
        </w:tc>
        <w:tc>
          <w:tcPr>
            <w:tcW w:w="1999" w:type="dxa"/>
            <w:vMerge w:val="continue"/>
            <w:noWrap w:val="0"/>
            <w:vAlign w:val="center"/>
          </w:tcPr>
          <w:p w14:paraId="66ECF39F">
            <w:pPr>
              <w:adjustRightInd w:val="0"/>
              <w:snapToGrid w:val="0"/>
              <w:spacing w:line="560" w:lineRule="exact"/>
              <w:jc w:val="center"/>
              <w:rPr>
                <w:rFonts w:hint="eastAsia" w:ascii="宋体" w:hAnsi="宋体" w:cs="宋体"/>
                <w:color w:val="auto"/>
                <w:szCs w:val="21"/>
                <w:highlight w:val="none"/>
              </w:rPr>
            </w:pPr>
          </w:p>
        </w:tc>
      </w:tr>
      <w:tr w14:paraId="3B7C9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65" w:type="dxa"/>
            <w:vMerge w:val="continue"/>
            <w:noWrap w:val="0"/>
            <w:vAlign w:val="center"/>
          </w:tcPr>
          <w:p w14:paraId="5A09430A">
            <w:pPr>
              <w:adjustRightInd w:val="0"/>
              <w:snapToGrid w:val="0"/>
              <w:spacing w:line="560" w:lineRule="exact"/>
              <w:jc w:val="center"/>
              <w:rPr>
                <w:rFonts w:hint="eastAsia" w:ascii="宋体" w:hAnsi="宋体" w:cs="宋体"/>
                <w:color w:val="auto"/>
                <w:szCs w:val="21"/>
                <w:highlight w:val="none"/>
              </w:rPr>
            </w:pPr>
          </w:p>
        </w:tc>
        <w:tc>
          <w:tcPr>
            <w:tcW w:w="1258" w:type="dxa"/>
            <w:vMerge w:val="continue"/>
            <w:noWrap w:val="0"/>
            <w:vAlign w:val="center"/>
          </w:tcPr>
          <w:p w14:paraId="43237743">
            <w:pPr>
              <w:adjustRightInd w:val="0"/>
              <w:snapToGrid w:val="0"/>
              <w:spacing w:line="560" w:lineRule="exact"/>
              <w:jc w:val="center"/>
              <w:rPr>
                <w:rFonts w:hint="eastAsia" w:ascii="宋体" w:hAnsi="宋体" w:cs="宋体"/>
                <w:b/>
                <w:bCs/>
                <w:color w:val="auto"/>
                <w:szCs w:val="21"/>
                <w:highlight w:val="none"/>
              </w:rPr>
            </w:pPr>
          </w:p>
        </w:tc>
        <w:tc>
          <w:tcPr>
            <w:tcW w:w="6044" w:type="dxa"/>
            <w:noWrap w:val="0"/>
            <w:vAlign w:val="top"/>
          </w:tcPr>
          <w:p w14:paraId="08D073D9">
            <w:pPr>
              <w:adjustRightInd w:val="0"/>
              <w:snapToGrid w:val="0"/>
              <w:spacing w:line="560" w:lineRule="exac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投标人的法定代表人(或委托代理人)和拟任项目经理（建造师）须持有社保部门出具的本单位为其缴纳的投标前近三个月连续的养老保险证明（证明文件两个月内有效）（同一人担任不同公司法定代表人的，该法定代表人参加本项目投标时须提供本人在其他公司任法定代表人的营业执照及为其缴纳养老保险证明材料），投标人是事业单位的，暂未缴纳养老保险的，须由其主管部门出具证明</w:t>
            </w:r>
            <w:r>
              <w:rPr>
                <w:rFonts w:hint="eastAsia" w:ascii="宋体" w:hAnsi="宋体" w:cs="宋体"/>
                <w:color w:val="auto"/>
                <w:szCs w:val="21"/>
                <w:highlight w:val="none"/>
                <w:lang w:eastAsia="zh-CN"/>
              </w:rPr>
              <w:t>。</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lang w:val="en-US" w:eastAsia="zh-CN"/>
              </w:rPr>
              <w:t xml:space="preserve">联合体投标，如提供项目经理（建造师）B岗的，还须提供项目经理（建造师）B岗的养老保险证明（要求同上）。） </w:t>
            </w:r>
            <w:r>
              <w:rPr>
                <w:rFonts w:hint="eastAsia" w:ascii="宋体" w:hAnsi="宋体" w:cs="宋体"/>
                <w:color w:val="auto"/>
                <w:szCs w:val="21"/>
                <w:highlight w:val="none"/>
                <w:lang w:val="en-US" w:eastAsia="zh-CN"/>
              </w:rPr>
              <w:t xml:space="preserve">  </w:t>
            </w:r>
          </w:p>
        </w:tc>
        <w:tc>
          <w:tcPr>
            <w:tcW w:w="1999" w:type="dxa"/>
            <w:vMerge w:val="continue"/>
            <w:noWrap w:val="0"/>
            <w:vAlign w:val="center"/>
          </w:tcPr>
          <w:p w14:paraId="726205FE">
            <w:pPr>
              <w:adjustRightInd w:val="0"/>
              <w:snapToGrid w:val="0"/>
              <w:spacing w:line="560" w:lineRule="exact"/>
              <w:jc w:val="center"/>
              <w:rPr>
                <w:rFonts w:hint="eastAsia" w:ascii="宋体" w:hAnsi="宋体" w:cs="宋体"/>
                <w:color w:val="auto"/>
                <w:szCs w:val="21"/>
                <w:highlight w:val="none"/>
              </w:rPr>
            </w:pPr>
          </w:p>
        </w:tc>
      </w:tr>
      <w:tr w14:paraId="50CE5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5" w:type="dxa"/>
            <w:vMerge w:val="continue"/>
            <w:noWrap w:val="0"/>
            <w:vAlign w:val="center"/>
          </w:tcPr>
          <w:p w14:paraId="1CF48DC3">
            <w:pPr>
              <w:adjustRightInd w:val="0"/>
              <w:snapToGrid w:val="0"/>
              <w:spacing w:line="560" w:lineRule="exact"/>
              <w:jc w:val="center"/>
              <w:rPr>
                <w:rFonts w:hint="eastAsia" w:ascii="宋体" w:hAnsi="宋体" w:cs="宋体"/>
                <w:color w:val="auto"/>
                <w:szCs w:val="21"/>
                <w:highlight w:val="none"/>
              </w:rPr>
            </w:pPr>
          </w:p>
        </w:tc>
        <w:tc>
          <w:tcPr>
            <w:tcW w:w="1258" w:type="dxa"/>
            <w:vMerge w:val="continue"/>
            <w:noWrap w:val="0"/>
            <w:vAlign w:val="center"/>
          </w:tcPr>
          <w:p w14:paraId="1D632611">
            <w:pPr>
              <w:adjustRightInd w:val="0"/>
              <w:snapToGrid w:val="0"/>
              <w:spacing w:line="560" w:lineRule="exact"/>
              <w:jc w:val="center"/>
              <w:rPr>
                <w:rFonts w:hint="eastAsia" w:ascii="宋体" w:hAnsi="宋体" w:cs="宋体"/>
                <w:b/>
                <w:bCs/>
                <w:color w:val="auto"/>
                <w:szCs w:val="21"/>
                <w:highlight w:val="none"/>
              </w:rPr>
            </w:pPr>
          </w:p>
        </w:tc>
        <w:tc>
          <w:tcPr>
            <w:tcW w:w="6044" w:type="dxa"/>
            <w:noWrap w:val="0"/>
            <w:vAlign w:val="top"/>
          </w:tcPr>
          <w:p w14:paraId="0BDE6120">
            <w:pPr>
              <w:adjustRightInd w:val="0"/>
              <w:snapToGrid w:val="0"/>
              <w:spacing w:line="560" w:lineRule="exact"/>
              <w:rPr>
                <w:rFonts w:hint="eastAsia" w:ascii="宋体" w:hAnsi="宋体" w:cs="宋体"/>
                <w:color w:val="auto"/>
                <w:szCs w:val="21"/>
                <w:highlight w:val="none"/>
              </w:rPr>
            </w:pPr>
            <w:r>
              <w:rPr>
                <w:rFonts w:hint="eastAsia" w:ascii="宋体" w:hAnsi="宋体" w:cs="宋体"/>
                <w:color w:val="auto"/>
                <w:szCs w:val="21"/>
                <w:highlight w:val="none"/>
              </w:rPr>
              <w:t>项目管理机构。查看项目管理机构主要人员组成表</w:t>
            </w:r>
          </w:p>
        </w:tc>
        <w:tc>
          <w:tcPr>
            <w:tcW w:w="1999" w:type="dxa"/>
            <w:vMerge w:val="continue"/>
            <w:noWrap w:val="0"/>
            <w:vAlign w:val="center"/>
          </w:tcPr>
          <w:p w14:paraId="1C4520B3">
            <w:pPr>
              <w:adjustRightInd w:val="0"/>
              <w:snapToGrid w:val="0"/>
              <w:spacing w:line="560" w:lineRule="exact"/>
              <w:jc w:val="center"/>
              <w:rPr>
                <w:rFonts w:hint="eastAsia" w:ascii="宋体" w:hAnsi="宋体" w:cs="宋体"/>
                <w:b/>
                <w:color w:val="auto"/>
                <w:szCs w:val="21"/>
                <w:highlight w:val="none"/>
              </w:rPr>
            </w:pPr>
          </w:p>
        </w:tc>
      </w:tr>
      <w:tr w14:paraId="2F58F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5" w:type="dxa"/>
            <w:vMerge w:val="continue"/>
            <w:noWrap w:val="0"/>
            <w:vAlign w:val="center"/>
          </w:tcPr>
          <w:p w14:paraId="65225A59">
            <w:pPr>
              <w:adjustRightInd w:val="0"/>
              <w:snapToGrid w:val="0"/>
              <w:spacing w:line="560" w:lineRule="exact"/>
              <w:jc w:val="center"/>
              <w:rPr>
                <w:rFonts w:hint="eastAsia" w:ascii="宋体" w:hAnsi="宋体" w:cs="宋体"/>
                <w:color w:val="auto"/>
                <w:szCs w:val="21"/>
                <w:highlight w:val="none"/>
              </w:rPr>
            </w:pPr>
          </w:p>
        </w:tc>
        <w:tc>
          <w:tcPr>
            <w:tcW w:w="1258" w:type="dxa"/>
            <w:vMerge w:val="continue"/>
            <w:noWrap w:val="0"/>
            <w:vAlign w:val="center"/>
          </w:tcPr>
          <w:p w14:paraId="1C3574A5">
            <w:pPr>
              <w:adjustRightInd w:val="0"/>
              <w:snapToGrid w:val="0"/>
              <w:spacing w:line="560" w:lineRule="exact"/>
              <w:jc w:val="center"/>
              <w:rPr>
                <w:rFonts w:hint="eastAsia" w:ascii="宋体" w:hAnsi="宋体" w:cs="宋体"/>
                <w:b/>
                <w:bCs/>
                <w:color w:val="auto"/>
                <w:szCs w:val="21"/>
                <w:highlight w:val="none"/>
              </w:rPr>
            </w:pPr>
          </w:p>
        </w:tc>
        <w:tc>
          <w:tcPr>
            <w:tcW w:w="6044" w:type="dxa"/>
            <w:noWrap w:val="0"/>
            <w:vAlign w:val="top"/>
          </w:tcPr>
          <w:p w14:paraId="7C2F099E">
            <w:pPr>
              <w:adjustRightInd w:val="0"/>
              <w:snapToGrid w:val="0"/>
              <w:spacing w:line="560" w:lineRule="exact"/>
              <w:rPr>
                <w:rFonts w:hint="eastAsia" w:ascii="宋体" w:hAnsi="宋体" w:cs="宋体"/>
                <w:color w:val="auto"/>
                <w:szCs w:val="21"/>
                <w:highlight w:val="none"/>
              </w:rPr>
            </w:pPr>
            <w:r>
              <w:rPr>
                <w:rFonts w:hint="eastAsia" w:ascii="宋体" w:hAnsi="宋体" w:cs="宋体"/>
                <w:color w:val="auto"/>
                <w:szCs w:val="21"/>
                <w:highlight w:val="none"/>
              </w:rPr>
              <w:t>联合体协议书（如有）</w:t>
            </w:r>
          </w:p>
        </w:tc>
        <w:tc>
          <w:tcPr>
            <w:tcW w:w="1999" w:type="dxa"/>
            <w:vMerge w:val="continue"/>
            <w:noWrap w:val="0"/>
            <w:vAlign w:val="center"/>
          </w:tcPr>
          <w:p w14:paraId="012B3584">
            <w:pPr>
              <w:adjustRightInd w:val="0"/>
              <w:snapToGrid w:val="0"/>
              <w:spacing w:line="560" w:lineRule="exact"/>
              <w:jc w:val="center"/>
              <w:rPr>
                <w:rFonts w:hint="eastAsia" w:ascii="宋体" w:hAnsi="宋体" w:cs="宋体"/>
                <w:b/>
                <w:color w:val="auto"/>
                <w:szCs w:val="21"/>
                <w:highlight w:val="none"/>
              </w:rPr>
            </w:pPr>
          </w:p>
        </w:tc>
      </w:tr>
    </w:tbl>
    <w:p w14:paraId="313DE3F9">
      <w:pPr>
        <w:adjustRightInd w:val="0"/>
        <w:snapToGrid w:val="0"/>
        <w:spacing w:line="560" w:lineRule="exact"/>
        <w:ind w:firstLine="422" w:firstLineChars="200"/>
        <w:jc w:val="left"/>
        <w:rPr>
          <w:rFonts w:hint="eastAsia" w:ascii="黑体" w:hAnsi="黑体" w:eastAsia="黑体" w:cs="黑体"/>
          <w:b/>
          <w:bCs/>
          <w:color w:val="auto"/>
          <w:szCs w:val="21"/>
          <w:highlight w:val="none"/>
        </w:rPr>
      </w:pPr>
      <w:r>
        <w:rPr>
          <w:rFonts w:hint="eastAsia" w:ascii="黑体" w:hAnsi="黑体" w:eastAsia="黑体" w:cs="黑体"/>
          <w:b/>
          <w:bCs/>
          <w:color w:val="auto"/>
          <w:szCs w:val="21"/>
          <w:highlight w:val="none"/>
        </w:rPr>
        <w:t>重要提示：</w:t>
      </w:r>
    </w:p>
    <w:p w14:paraId="19C0973A">
      <w:pPr>
        <w:adjustRightInd w:val="0"/>
        <w:snapToGrid w:val="0"/>
        <w:spacing w:line="560" w:lineRule="exact"/>
        <w:ind w:firstLine="422" w:firstLineChars="200"/>
        <w:jc w:val="left"/>
        <w:rPr>
          <w:rFonts w:hint="eastAsia" w:ascii="黑体" w:hAnsi="黑体" w:eastAsia="黑体" w:cs="黑体"/>
          <w:b/>
          <w:bCs/>
          <w:color w:val="auto"/>
          <w:szCs w:val="21"/>
          <w:highlight w:val="none"/>
        </w:rPr>
      </w:pPr>
      <w:r>
        <w:rPr>
          <w:rFonts w:hint="eastAsia" w:ascii="黑体" w:hAnsi="黑体" w:eastAsia="黑体" w:cs="黑体"/>
          <w:b/>
          <w:bCs/>
          <w:color w:val="auto"/>
          <w:szCs w:val="21"/>
          <w:highlight w:val="none"/>
        </w:rPr>
        <w:t>（1）资格审查材料可以选择①上传到安徽省公共资源交易市场主体库中，制作投标文件时插上CA数字证书，从安徽省公共资源交易市场主体库中挑选相关材料，或按招标文件要求上传至指定位置；若所需材料无对应栏目，则将该材料上传至“其他所需材料”里，做电子投标文件时从“其他所需材料”里获取。请各投标人自行完善安徽省公共资源交易市场主体库中的单位信息，保证信息最新且有效。②或使用国家企业信用信息公示系统和全国建筑市场监管公共服务平台接口获取营业执照、建设工程相关证书等政务数据，投标人自行核验政务数据的准确性，对引用的政务数据承担责任。</w:t>
      </w:r>
    </w:p>
    <w:p w14:paraId="561703B7">
      <w:pPr>
        <w:adjustRightInd w:val="0"/>
        <w:snapToGrid w:val="0"/>
        <w:spacing w:line="560" w:lineRule="exact"/>
        <w:ind w:firstLine="422" w:firstLineChars="200"/>
        <w:jc w:val="left"/>
        <w:rPr>
          <w:rFonts w:hint="eastAsia" w:ascii="黑体" w:hAnsi="黑体" w:eastAsia="黑体" w:cs="黑体"/>
          <w:b/>
          <w:bCs/>
          <w:color w:val="auto"/>
          <w:szCs w:val="21"/>
          <w:highlight w:val="none"/>
        </w:rPr>
      </w:pPr>
      <w:r>
        <w:rPr>
          <w:rFonts w:hint="eastAsia" w:ascii="黑体" w:hAnsi="黑体" w:eastAsia="黑体" w:cs="黑体"/>
          <w:b/>
          <w:bCs/>
          <w:color w:val="auto"/>
          <w:szCs w:val="21"/>
          <w:highlight w:val="none"/>
        </w:rPr>
        <w:t>（2）评标专家在检验电子投标文件过程中，如果由于投标人自身原因导致评标专家无法查看并检验电子投标文件中相关资料的，视为无效标处理。即使投标人将原件携带至现场的，同样按无效标处理。</w:t>
      </w:r>
    </w:p>
    <w:p w14:paraId="27DB78FE">
      <w:pPr>
        <w:spacing w:line="560" w:lineRule="exact"/>
        <w:ind w:firstLine="422" w:firstLineChars="200"/>
        <w:rPr>
          <w:rFonts w:hint="eastAsia" w:ascii="黑体" w:hAnsi="黑体" w:eastAsia="黑体" w:cs="黑体"/>
          <w:b/>
          <w:bCs/>
          <w:color w:val="auto"/>
          <w:szCs w:val="21"/>
          <w:highlight w:val="none"/>
        </w:rPr>
      </w:pPr>
      <w:r>
        <w:rPr>
          <w:rFonts w:hint="eastAsia" w:ascii="黑体" w:hAnsi="黑体" w:eastAsia="黑体" w:cs="黑体"/>
          <w:b/>
          <w:bCs/>
          <w:color w:val="auto"/>
          <w:szCs w:val="21"/>
          <w:highlight w:val="none"/>
        </w:rPr>
        <w:t>（3）投标人拟委任项目经理为注册建造师（含一级、二级）的，须提供在电子证书使用有效期内的纸质版电子证书。</w:t>
      </w:r>
      <w:r>
        <w:rPr>
          <w:rFonts w:ascii="黑体" w:hAnsi="黑体" w:eastAsia="黑体" w:cs="黑体"/>
          <w:b/>
          <w:bCs/>
          <w:color w:val="auto"/>
          <w:szCs w:val="21"/>
          <w:highlight w:val="none"/>
        </w:rPr>
        <w:t>一级建造师打印电子证书后，应在个人签名处手写本人签名，未手写签名或与签名图像笔迹不一致的，该电子证书无效。</w:t>
      </w:r>
    </w:p>
    <w:p w14:paraId="31D1D10F">
      <w:pPr>
        <w:spacing w:line="560" w:lineRule="exact"/>
        <w:ind w:firstLine="422" w:firstLineChars="200"/>
        <w:jc w:val="left"/>
        <w:rPr>
          <w:rFonts w:hint="eastAsia" w:ascii="黑体" w:hAnsi="黑体" w:eastAsia="黑体" w:cs="黑体"/>
          <w:b/>
          <w:bCs/>
          <w:color w:val="auto"/>
          <w:szCs w:val="21"/>
          <w:highlight w:val="none"/>
        </w:rPr>
      </w:pPr>
      <w:r>
        <w:rPr>
          <w:rFonts w:hint="eastAsia" w:ascii="黑体" w:hAnsi="黑体" w:eastAsia="黑体" w:cs="黑体"/>
          <w:b/>
          <w:bCs/>
          <w:color w:val="auto"/>
          <w:szCs w:val="21"/>
          <w:highlight w:val="none"/>
        </w:rPr>
        <w:t>投标人提供的安徽省新版二级建造师电子注册证书纸质版需在安徽省住房和城乡建设执业资格注册管理系统中打印，打印后应由二级建造师本人在证书的个人签名处手写本人签名，或在新版二级建造师电子注册证书纸质版后附其本人知情承诺（视为个人签名处的手写本人签名），格式自拟。未手写个人签名或未提供二级建造师本人知情承诺的，个人签名或知情承诺签字与签名图片笔迹不一致，此证书无效。其他省份按各省相关规定执行。</w:t>
      </w:r>
    </w:p>
    <w:p w14:paraId="241AE507">
      <w:pPr>
        <w:pStyle w:val="3"/>
        <w:adjustRightInd w:val="0"/>
        <w:snapToGrid w:val="0"/>
        <w:spacing w:before="0" w:after="0" w:line="560" w:lineRule="exact"/>
        <w:ind w:firstLine="422" w:firstLineChars="200"/>
        <w:rPr>
          <w:rFonts w:hint="eastAsia" w:ascii="黑体" w:hAnsi="黑体" w:cs="黑体"/>
          <w:color w:val="auto"/>
          <w:sz w:val="21"/>
          <w:szCs w:val="21"/>
          <w:highlight w:val="none"/>
        </w:rPr>
      </w:pPr>
      <w:r>
        <w:rPr>
          <w:rFonts w:hint="eastAsia" w:ascii="黑体" w:hAnsi="黑体" w:cs="黑体"/>
          <w:color w:val="auto"/>
          <w:sz w:val="21"/>
          <w:szCs w:val="21"/>
          <w:highlight w:val="none"/>
        </w:rPr>
        <w:t>1.审查资料</w:t>
      </w:r>
    </w:p>
    <w:p w14:paraId="51452B9A">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（1）法定代表人身份证明和本人有效身份证(或法定代表人授权委托书和委托代理人有效身份证)</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p>
    <w:p w14:paraId="7B13975E">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（2）诚信投标承诺书（或《</w:t>
      </w:r>
      <w:r>
        <w:rPr>
          <w:rFonts w:hint="eastAsia" w:ascii="宋体" w:hAnsi="宋体" w:cs="宋体"/>
          <w:color w:val="auto"/>
          <w:kern w:val="0"/>
          <w:szCs w:val="21"/>
          <w:highlight w:val="none"/>
        </w:rPr>
        <w:t>公共信用信息报告（无违法违规证明版或核查版）</w:t>
      </w:r>
      <w:r>
        <w:rPr>
          <w:rFonts w:hint="eastAsia" w:ascii="宋体" w:hAnsi="宋体" w:cs="宋体"/>
          <w:color w:val="auto"/>
          <w:szCs w:val="21"/>
          <w:highlight w:val="none"/>
        </w:rPr>
        <w:t>》）（联合体投标的，联合体各方均须提供）；</w:t>
      </w:r>
    </w:p>
    <w:p w14:paraId="439ABF19">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（3）企业法人营业执照</w:t>
      </w:r>
      <w:r>
        <w:rPr>
          <w:rFonts w:hint="eastAsia" w:ascii="宋体" w:hAnsi="宋体" w:cs="宋体"/>
          <w:color w:val="auto"/>
          <w:szCs w:val="21"/>
          <w:highlight w:val="none"/>
          <w:lang w:eastAsia="zh-CN"/>
        </w:rPr>
        <w:t>（</w:t>
      </w:r>
      <w:r>
        <w:rPr>
          <w:rFonts w:hint="eastAsia" w:ascii="宋体" w:hAnsi="宋体" w:cs="宋体"/>
          <w:color w:val="auto"/>
          <w:szCs w:val="21"/>
          <w:highlight w:val="none"/>
        </w:rPr>
        <w:t>联合体投标的，联合体各方均须提供）；</w:t>
      </w:r>
    </w:p>
    <w:p w14:paraId="5A83D218">
      <w:pPr>
        <w:adjustRightInd w:val="0"/>
        <w:snapToGrid w:val="0"/>
        <w:spacing w:line="560" w:lineRule="exact"/>
        <w:ind w:firstLine="420" w:firstLineChars="200"/>
        <w:rPr>
          <w:rFonts w:hint="eastAsia"/>
          <w:color w:val="auto"/>
          <w:highlight w:val="none"/>
        </w:rPr>
      </w:pPr>
      <w:r>
        <w:rPr>
          <w:rFonts w:hint="eastAsia" w:ascii="宋体" w:hAnsi="宋体" w:cs="宋体"/>
          <w:color w:val="auto"/>
          <w:szCs w:val="21"/>
          <w:highlight w:val="none"/>
        </w:rPr>
        <w:t>（4）企业资质证书（联合体投标的，联合体各方均须提供）；</w:t>
      </w:r>
    </w:p>
    <w:p w14:paraId="327B46AC">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（5）企业安全生产许可证（联合体投标的，联合体各方均须提供）；</w:t>
      </w:r>
    </w:p>
    <w:p w14:paraId="4221FE2E">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（6）项目经理（建造师）有效身份证、注册证书以及安全生产考核合格证书（B证）；</w:t>
      </w:r>
    </w:p>
    <w:p w14:paraId="0FAC7AB2">
      <w:pPr>
        <w:widowControl/>
        <w:adjustRightInd w:val="0"/>
        <w:snapToGrid w:val="0"/>
        <w:spacing w:line="56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7）投标人的法定代表人(或委托代理人)和项目经理（建造师）须持有社保部门出具的本单位为其缴纳的投标前近三个月连续的养老保险证明（证明文件两个月内有效）（同一人担任不同公司法定代表人的，该法定代表人参加本项目投标时须提供本人在其他公司任法定代表人的营业执照及为其缴纳养老保险证明材料），投标人是事业单位的，暂未缴纳养老保险的，须由其主管部门出具证明；</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lang w:val="en-US" w:eastAsia="zh-CN"/>
        </w:rPr>
        <w:t xml:space="preserve">联合体投标，如提供项目经理（建造师）B岗的，还须提供项目经理（建造师）B岗的养老保险证明（要求同上）。） </w:t>
      </w:r>
      <w:r>
        <w:rPr>
          <w:rFonts w:hint="eastAsia" w:ascii="宋体" w:hAnsi="宋体" w:cs="宋体"/>
          <w:color w:val="auto"/>
          <w:szCs w:val="21"/>
          <w:highlight w:val="none"/>
          <w:lang w:val="en-US" w:eastAsia="zh-CN"/>
        </w:rPr>
        <w:t xml:space="preserve">  </w:t>
      </w:r>
      <w:r>
        <w:rPr>
          <w:rFonts w:hint="eastAsia" w:ascii="宋体" w:hAnsi="宋体" w:cs="宋体"/>
          <w:b/>
          <w:bCs/>
          <w:color w:val="auto"/>
          <w:szCs w:val="21"/>
          <w:highlight w:val="none"/>
          <w:lang w:val="en-US" w:eastAsia="zh-CN"/>
        </w:rPr>
        <w:t xml:space="preserve"> </w:t>
      </w:r>
      <w:r>
        <w:rPr>
          <w:rFonts w:hint="eastAsia" w:ascii="宋体" w:hAnsi="宋体" w:cs="宋体"/>
          <w:color w:val="auto"/>
          <w:szCs w:val="21"/>
          <w:highlight w:val="none"/>
          <w:lang w:val="en-US" w:eastAsia="zh-CN"/>
        </w:rPr>
        <w:t xml:space="preserve">  </w:t>
      </w:r>
    </w:p>
    <w:p w14:paraId="3AEF9F54">
      <w:pPr>
        <w:widowControl/>
        <w:adjustRightInd w:val="0"/>
        <w:snapToGrid w:val="0"/>
        <w:spacing w:line="56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（8）项目管理机构。查看项目管理机构主要人员组成表；</w:t>
      </w:r>
    </w:p>
    <w:p w14:paraId="20362445">
      <w:pPr>
        <w:widowControl/>
        <w:adjustRightInd w:val="0"/>
        <w:snapToGrid w:val="0"/>
        <w:spacing w:line="56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（9）联合体协议书（如有）。</w:t>
      </w:r>
    </w:p>
    <w:p w14:paraId="209A5494">
      <w:pPr>
        <w:adjustRightInd w:val="0"/>
        <w:snapToGrid w:val="0"/>
        <w:spacing w:line="560" w:lineRule="exact"/>
        <w:ind w:firstLine="422" w:firstLineChars="200"/>
        <w:jc w:val="left"/>
        <w:rPr>
          <w:rFonts w:hint="eastAsia" w:ascii="黑体" w:hAnsi="黑体" w:eastAsia="黑体" w:cs="黑体"/>
          <w:b/>
          <w:color w:val="auto"/>
          <w:szCs w:val="21"/>
          <w:highlight w:val="none"/>
        </w:rPr>
      </w:pPr>
      <w:r>
        <w:rPr>
          <w:rFonts w:hint="eastAsia" w:ascii="黑体" w:hAnsi="黑体" w:eastAsia="黑体" w:cs="黑体"/>
          <w:b/>
          <w:color w:val="auto"/>
          <w:szCs w:val="21"/>
          <w:highlight w:val="none"/>
        </w:rPr>
        <w:t>温馨提示：</w:t>
      </w:r>
    </w:p>
    <w:p w14:paraId="6A185AE4">
      <w:pPr>
        <w:adjustRightInd w:val="0"/>
        <w:snapToGrid w:val="0"/>
        <w:spacing w:line="560" w:lineRule="exact"/>
        <w:ind w:firstLine="422" w:firstLineChars="200"/>
        <w:jc w:val="left"/>
        <w:rPr>
          <w:rFonts w:hint="eastAsia" w:ascii="黑体" w:hAnsi="黑体" w:eastAsia="黑体" w:cs="黑体"/>
          <w:b/>
          <w:color w:val="auto"/>
          <w:szCs w:val="21"/>
          <w:highlight w:val="none"/>
        </w:rPr>
      </w:pPr>
      <w:r>
        <w:rPr>
          <w:rFonts w:hint="eastAsia" w:ascii="黑体" w:hAnsi="黑体" w:eastAsia="黑体" w:cs="黑体"/>
          <w:b/>
          <w:color w:val="auto"/>
          <w:szCs w:val="21"/>
          <w:highlight w:val="none"/>
        </w:rPr>
        <w:t>（1）请各投标人自行完善安徽省公共资源交易市场主体库中的单位基本信息，保证信息最新且有效。</w:t>
      </w:r>
    </w:p>
    <w:p w14:paraId="7B127B3E">
      <w:pPr>
        <w:adjustRightInd w:val="0"/>
        <w:snapToGrid w:val="0"/>
        <w:spacing w:line="560" w:lineRule="exact"/>
        <w:ind w:firstLine="422" w:firstLineChars="200"/>
        <w:jc w:val="left"/>
        <w:rPr>
          <w:rFonts w:hint="eastAsia" w:ascii="黑体" w:hAnsi="黑体" w:eastAsia="黑体" w:cs="黑体"/>
          <w:b/>
          <w:color w:val="auto"/>
          <w:szCs w:val="21"/>
          <w:highlight w:val="none"/>
        </w:rPr>
      </w:pPr>
      <w:r>
        <w:rPr>
          <w:rFonts w:hint="eastAsia" w:ascii="黑体" w:hAnsi="黑体" w:eastAsia="黑体" w:cs="黑体"/>
          <w:b/>
          <w:color w:val="auto"/>
          <w:szCs w:val="21"/>
          <w:highlight w:val="none"/>
        </w:rPr>
        <w:t>（2）请投标人认真准备投标文件资格审查资料,如评标专家在检验电子标书过程中，如果由于投标人自身原因导致评标专家无法查看并检验电子标书中相关资料的，视为无效标处理。即使投标人将原件携带至现场的，同样按无效标处理。</w:t>
      </w:r>
    </w:p>
    <w:p w14:paraId="14D8F2A0">
      <w:pPr>
        <w:pStyle w:val="3"/>
        <w:adjustRightInd w:val="0"/>
        <w:snapToGrid w:val="0"/>
        <w:spacing w:before="0" w:after="0" w:line="560" w:lineRule="exact"/>
        <w:ind w:firstLine="422" w:firstLineChars="200"/>
        <w:rPr>
          <w:rFonts w:hint="eastAsia" w:ascii="黑体" w:hAnsi="黑体" w:cs="黑体"/>
          <w:color w:val="auto"/>
          <w:sz w:val="21"/>
          <w:szCs w:val="21"/>
          <w:highlight w:val="none"/>
        </w:rPr>
      </w:pPr>
      <w:r>
        <w:rPr>
          <w:rFonts w:hint="eastAsia" w:ascii="黑体" w:hAnsi="黑体" w:cs="黑体"/>
          <w:color w:val="auto"/>
          <w:sz w:val="21"/>
          <w:szCs w:val="21"/>
          <w:highlight w:val="none"/>
        </w:rPr>
        <w:t>2.审查办法</w:t>
      </w:r>
    </w:p>
    <w:p w14:paraId="29E96AC9">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由资格审查委员会（评标委员会）按资格审查办法前附表中资格审查必要合格条件评审表要求对投标人审查资料进行核验。</w:t>
      </w:r>
    </w:p>
    <w:p w14:paraId="56EFA842">
      <w:pPr>
        <w:pStyle w:val="3"/>
        <w:adjustRightInd w:val="0"/>
        <w:snapToGrid w:val="0"/>
        <w:spacing w:before="0" w:after="0" w:line="560" w:lineRule="exact"/>
        <w:ind w:firstLine="422" w:firstLineChars="200"/>
        <w:rPr>
          <w:rFonts w:hint="eastAsia" w:ascii="黑体" w:hAnsi="黑体" w:cs="黑体"/>
          <w:color w:val="auto"/>
          <w:sz w:val="21"/>
          <w:szCs w:val="21"/>
          <w:highlight w:val="none"/>
        </w:rPr>
      </w:pPr>
      <w:r>
        <w:rPr>
          <w:rFonts w:hint="eastAsia" w:ascii="黑体" w:hAnsi="黑体" w:cs="黑体"/>
          <w:color w:val="auto"/>
          <w:sz w:val="21"/>
          <w:szCs w:val="21"/>
          <w:highlight w:val="none"/>
        </w:rPr>
        <w:t>3.资格审查委员会和审查标准</w:t>
      </w:r>
    </w:p>
    <w:p w14:paraId="7A4D3984">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3.1资格审查由招标人依法组建的资格审查委员会（或评标委员会）负责。审查标准见资格审查办法前附表。</w:t>
      </w:r>
    </w:p>
    <w:p w14:paraId="4F968AA3">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3.2由资格审查委员会（评标委员会）按资格审查办法前附表要求对投标人的审查资料进行核验。投标申请人有下列情形之一的，其资格审查为不合格： </w:t>
      </w:r>
    </w:p>
    <w:p w14:paraId="0309D00F">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（1）未上传电子标书或电子标书经审查不合格；</w:t>
      </w:r>
    </w:p>
    <w:p w14:paraId="78A0532F">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（2）联合体投标人没有提交联合体协议书；</w:t>
      </w:r>
    </w:p>
    <w:p w14:paraId="3E414140">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（3）保证金不按第二章“投标人须知”及其前附表要求提交投标保证金的； </w:t>
      </w:r>
    </w:p>
    <w:p w14:paraId="714102D4">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（4）投标人未办理省主体库登记入库手续的；</w:t>
      </w:r>
    </w:p>
    <w:p w14:paraId="65804417">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（5）投标人投标 MAC 地址一致的；</w:t>
      </w:r>
    </w:p>
    <w:p w14:paraId="766428ED">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（6）投标人申请开具电子保函 MAC 地址一致的；</w:t>
      </w:r>
    </w:p>
    <w:p w14:paraId="75F35919">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（7）投标人投标文件制作机器码、文件创建标识码及造价软件加密锁号信息雷同的；</w:t>
      </w:r>
    </w:p>
    <w:p w14:paraId="0CD9B3F3">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（8）法律、法规规定的其他情形。</w:t>
      </w:r>
    </w:p>
    <w:p w14:paraId="5542D31C">
      <w:pPr>
        <w:pStyle w:val="3"/>
        <w:adjustRightInd w:val="0"/>
        <w:snapToGrid w:val="0"/>
        <w:spacing w:before="0" w:after="0" w:line="560" w:lineRule="exact"/>
        <w:ind w:firstLine="422" w:firstLineChars="200"/>
        <w:rPr>
          <w:rFonts w:hint="eastAsia" w:ascii="黑体" w:hAnsi="黑体" w:cs="黑体"/>
          <w:color w:val="auto"/>
          <w:sz w:val="21"/>
          <w:szCs w:val="21"/>
          <w:highlight w:val="none"/>
        </w:rPr>
      </w:pPr>
      <w:r>
        <w:rPr>
          <w:rFonts w:hint="eastAsia" w:ascii="黑体" w:hAnsi="黑体" w:cs="黑体"/>
          <w:color w:val="auto"/>
          <w:sz w:val="21"/>
          <w:szCs w:val="21"/>
          <w:highlight w:val="none"/>
        </w:rPr>
        <w:t>4.审查结果</w:t>
      </w:r>
    </w:p>
    <w:p w14:paraId="4671AD63">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只有通过资格审查的投标人才能进入下一步的评标程序。</w:t>
      </w:r>
    </w:p>
    <w:bookmarkEnd w:id="668"/>
    <w:bookmarkEnd w:id="669"/>
    <w:bookmarkEnd w:id="670"/>
    <w:bookmarkEnd w:id="671"/>
    <w:bookmarkEnd w:id="672"/>
    <w:p w14:paraId="259B9059">
      <w:pPr>
        <w:rPr>
          <w:rFonts w:hint="eastAsia"/>
          <w:color w:val="auto"/>
          <w:highlight w:val="none"/>
        </w:rPr>
      </w:pPr>
      <w:bookmarkStart w:id="674" w:name="_Toc506107323"/>
      <w:bookmarkStart w:id="675" w:name="_Toc95223398"/>
      <w:bookmarkStart w:id="676" w:name="_Toc15058912"/>
      <w:bookmarkStart w:id="677" w:name="_Toc60061495"/>
    </w:p>
    <w:p w14:paraId="0AD14C99">
      <w:pPr>
        <w:pStyle w:val="19"/>
        <w:rPr>
          <w:rFonts w:hint="eastAsia"/>
          <w:color w:val="auto"/>
          <w:highlight w:val="none"/>
        </w:rPr>
      </w:pPr>
    </w:p>
    <w:p w14:paraId="1E61CB5D">
      <w:pPr>
        <w:rPr>
          <w:rFonts w:hint="eastAsia"/>
          <w:color w:val="auto"/>
          <w:highlight w:val="none"/>
        </w:rPr>
      </w:pPr>
    </w:p>
    <w:p w14:paraId="066E1B95">
      <w:pPr>
        <w:pStyle w:val="19"/>
        <w:rPr>
          <w:rFonts w:hint="eastAsia"/>
          <w:color w:val="auto"/>
          <w:highlight w:val="none"/>
        </w:rPr>
      </w:pPr>
    </w:p>
    <w:p w14:paraId="5762B0CD">
      <w:pPr>
        <w:rPr>
          <w:rFonts w:hint="eastAsia"/>
          <w:color w:val="auto"/>
          <w:highlight w:val="none"/>
        </w:rPr>
      </w:pPr>
    </w:p>
    <w:p w14:paraId="2B5B6810">
      <w:pPr>
        <w:pStyle w:val="19"/>
        <w:rPr>
          <w:rFonts w:hint="eastAsia"/>
          <w:color w:val="auto"/>
          <w:highlight w:val="none"/>
        </w:rPr>
      </w:pPr>
    </w:p>
    <w:p w14:paraId="39B5E560">
      <w:pPr>
        <w:rPr>
          <w:rFonts w:hint="eastAsia"/>
          <w:color w:val="auto"/>
          <w:highlight w:val="none"/>
        </w:rPr>
      </w:pPr>
    </w:p>
    <w:p w14:paraId="6E5E311C">
      <w:pPr>
        <w:pStyle w:val="19"/>
        <w:rPr>
          <w:rFonts w:hint="eastAsia"/>
          <w:color w:val="auto"/>
          <w:highlight w:val="none"/>
        </w:rPr>
      </w:pPr>
    </w:p>
    <w:p w14:paraId="2E997AA5">
      <w:pPr>
        <w:pStyle w:val="19"/>
        <w:ind w:left="0" w:leftChars="0" w:firstLine="0" w:firstLineChars="0"/>
        <w:rPr>
          <w:rFonts w:hint="eastAsia"/>
          <w:color w:val="auto"/>
          <w:highlight w:val="none"/>
        </w:rPr>
      </w:pPr>
    </w:p>
    <w:bookmarkEnd w:id="673"/>
    <w:bookmarkEnd w:id="674"/>
    <w:bookmarkEnd w:id="675"/>
    <w:bookmarkEnd w:id="676"/>
    <w:bookmarkEnd w:id="677"/>
    <w:p w14:paraId="17925A94">
      <w:pPr>
        <w:rPr>
          <w:rFonts w:hint="eastAsia"/>
          <w:color w:val="auto"/>
          <w:highlight w:val="none"/>
        </w:rPr>
      </w:pPr>
      <w:bookmarkStart w:id="678" w:name="_Toc95223428"/>
    </w:p>
    <w:p w14:paraId="52D09DF8">
      <w:pPr>
        <w:rPr>
          <w:rFonts w:hint="eastAsia"/>
          <w:color w:val="auto"/>
          <w:highlight w:val="none"/>
        </w:rPr>
      </w:pPr>
      <w:r>
        <w:rPr>
          <w:rFonts w:hint="eastAsia"/>
          <w:color w:val="auto"/>
          <w:highlight w:val="none"/>
        </w:rPr>
        <w:br w:type="page"/>
      </w:r>
    </w:p>
    <w:p w14:paraId="59A288B1">
      <w:pPr>
        <w:pStyle w:val="2"/>
        <w:adjustRightInd w:val="0"/>
        <w:snapToGrid w:val="0"/>
        <w:spacing w:before="0" w:after="0" w:line="560" w:lineRule="exact"/>
        <w:jc w:val="center"/>
        <w:rPr>
          <w:rFonts w:hint="eastAsia"/>
          <w:color w:val="auto"/>
          <w:highlight w:val="none"/>
        </w:rPr>
      </w:pPr>
      <w:r>
        <w:rPr>
          <w:rFonts w:hint="eastAsia"/>
          <w:color w:val="auto"/>
          <w:highlight w:val="none"/>
        </w:rPr>
        <w:t>第四章 评标办法（综合评估法</w:t>
      </w:r>
      <w:r>
        <w:rPr>
          <w:rFonts w:hint="eastAsia"/>
          <w:color w:val="auto"/>
          <w:highlight w:val="none"/>
          <w:lang w:val="en-US" w:eastAsia="zh-CN"/>
        </w:rPr>
        <w:t>-评定分离</w:t>
      </w:r>
      <w:r>
        <w:rPr>
          <w:rFonts w:hint="eastAsia"/>
          <w:color w:val="auto"/>
          <w:highlight w:val="none"/>
        </w:rPr>
        <w:t>）</w:t>
      </w:r>
      <w:bookmarkEnd w:id="678"/>
    </w:p>
    <w:p w14:paraId="63BB65DD">
      <w:pPr>
        <w:numPr>
          <w:ilvl w:val="0"/>
          <w:numId w:val="2"/>
        </w:numPr>
        <w:spacing w:line="560" w:lineRule="exact"/>
        <w:ind w:left="0"/>
        <w:jc w:val="center"/>
        <w:rPr>
          <w:rFonts w:hint="eastAsia"/>
          <w:color w:val="auto"/>
          <w:highlight w:val="none"/>
        </w:rPr>
      </w:pPr>
      <w:r>
        <w:rPr>
          <w:rFonts w:hint="eastAsia"/>
          <w:b/>
          <w:color w:val="auto"/>
          <w:sz w:val="28"/>
          <w:szCs w:val="21"/>
          <w:highlight w:val="none"/>
        </w:rPr>
        <w:t>中标候选人的确定</w:t>
      </w:r>
    </w:p>
    <w:p w14:paraId="1E6043B3">
      <w:pPr>
        <w:pStyle w:val="19"/>
        <w:spacing w:after="0" w:line="560" w:lineRule="exact"/>
        <w:ind w:left="0" w:leftChars="0"/>
        <w:rPr>
          <w:color w:val="auto"/>
          <w:highlight w:val="none"/>
        </w:rPr>
      </w:pPr>
      <w:r>
        <w:rPr>
          <w:rFonts w:hint="eastAsia"/>
          <w:color w:val="auto"/>
          <w:highlight w:val="none"/>
        </w:rPr>
        <w:t>第一阶段，评标委员会对投标人依次进行资信、技术文件审查，对均满足要求的投标人先进行除投标报价之外的评审因素打分，汇总后的得分按照从高到低进行排序（得分相同的并列，下一个排名顺延。如2个投标人并列第一，则第3个排名为第三名），选择总得分排前N名的投标人进入第二阶段评标，N取值为</w:t>
      </w:r>
      <w:r>
        <w:rPr>
          <w:rFonts w:hint="eastAsia"/>
          <w:color w:val="auto"/>
          <w:highlight w:val="none"/>
          <w:u w:val="single"/>
          <w:lang w:val="en-US" w:eastAsia="zh-CN"/>
        </w:rPr>
        <w:t>7</w:t>
      </w:r>
      <w:r>
        <w:rPr>
          <w:rFonts w:hint="eastAsia"/>
          <w:color w:val="auto"/>
          <w:highlight w:val="none"/>
        </w:rPr>
        <w:t>，与第N个得分相同的一并进入第二阶段评标。不少于3个但不足N个的，全部进入第二阶段评标；不足3个的，本项目流标。</w:t>
      </w:r>
    </w:p>
    <w:p w14:paraId="4BD53EED">
      <w:pPr>
        <w:pStyle w:val="19"/>
        <w:spacing w:after="0" w:line="560" w:lineRule="exact"/>
        <w:ind w:left="0" w:leftChars="0"/>
        <w:rPr>
          <w:rFonts w:hint="eastAsia"/>
          <w:b/>
          <w:color w:val="auto"/>
          <w:sz w:val="28"/>
          <w:szCs w:val="21"/>
          <w:highlight w:val="none"/>
        </w:rPr>
      </w:pPr>
      <w:r>
        <w:rPr>
          <w:rFonts w:hint="eastAsia"/>
          <w:color w:val="auto"/>
          <w:highlight w:val="none"/>
        </w:rPr>
        <w:t>第二阶段，投标报价评审。评标委员会仅针对进入第二阶段的投标人商务标文件进行评审，评审过程中如出现无效投标，将替补至N个投标人，剩余投标人不足替补至N个的，至少替补至3个，否则本项目流标。以进入第二阶段的有效投标报价作为评标基准价计算范围。根据投标报价评审规则计算投标报价得分。确定中标候选人时，按照各项评审因素的总得分从高到低推荐</w:t>
      </w:r>
      <w:r>
        <w:rPr>
          <w:rFonts w:hint="eastAsia"/>
          <w:color w:val="auto"/>
          <w:highlight w:val="none"/>
          <w:lang w:val="en-US" w:eastAsia="zh-CN"/>
        </w:rPr>
        <w:t>3名</w:t>
      </w:r>
      <w:r>
        <w:rPr>
          <w:rFonts w:hint="eastAsia"/>
          <w:color w:val="auto"/>
          <w:highlight w:val="none"/>
        </w:rPr>
        <w:t>中标候选人</w:t>
      </w:r>
      <w:r>
        <w:rPr>
          <w:rFonts w:hint="eastAsia"/>
          <w:color w:val="auto"/>
          <w:highlight w:val="none"/>
          <w:lang w:eastAsia="zh-CN"/>
        </w:rPr>
        <w:t>（</w:t>
      </w:r>
      <w:r>
        <w:rPr>
          <w:rFonts w:hint="eastAsia"/>
          <w:color w:val="auto"/>
          <w:highlight w:val="none"/>
          <w:lang w:val="en-US" w:eastAsia="zh-CN"/>
        </w:rPr>
        <w:t>不排序）</w:t>
      </w:r>
      <w:r>
        <w:rPr>
          <w:rFonts w:hint="eastAsia"/>
          <w:color w:val="auto"/>
          <w:highlight w:val="none"/>
        </w:rPr>
        <w:t>。如总得分相等，以投标报价低的优先，投标报价仍相等，由评标委员会主任委员或招标人随机抽取确定。</w:t>
      </w:r>
    </w:p>
    <w:p w14:paraId="40993610">
      <w:pPr>
        <w:pStyle w:val="19"/>
        <w:adjustRightInd w:val="0"/>
        <w:snapToGrid w:val="0"/>
        <w:spacing w:after="0" w:line="560" w:lineRule="exact"/>
        <w:ind w:left="0" w:leftChars="0" w:firstLine="0" w:firstLineChars="0"/>
        <w:jc w:val="center"/>
        <w:rPr>
          <w:b/>
          <w:color w:val="auto"/>
          <w:sz w:val="36"/>
          <w:highlight w:val="none"/>
        </w:rPr>
      </w:pPr>
      <w:r>
        <w:rPr>
          <w:rFonts w:hint="eastAsia"/>
          <w:b/>
          <w:color w:val="auto"/>
          <w:sz w:val="28"/>
          <w:szCs w:val="21"/>
          <w:highlight w:val="none"/>
        </w:rPr>
        <w:t>（二）资信标评审</w:t>
      </w:r>
    </w:p>
    <w:tbl>
      <w:tblPr>
        <w:tblStyle w:val="20"/>
        <w:tblW w:w="10199" w:type="dxa"/>
        <w:tblInd w:w="-9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6"/>
        <w:gridCol w:w="1325"/>
        <w:gridCol w:w="852"/>
        <w:gridCol w:w="7216"/>
      </w:tblGrid>
      <w:tr w14:paraId="17C1F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06" w:type="dxa"/>
            <w:noWrap w:val="0"/>
            <w:vAlign w:val="top"/>
          </w:tcPr>
          <w:p w14:paraId="6A4DD5ED">
            <w:pPr>
              <w:adjustRightInd w:val="0"/>
              <w:snapToGrid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325" w:type="dxa"/>
            <w:noWrap w:val="0"/>
            <w:vAlign w:val="top"/>
          </w:tcPr>
          <w:p w14:paraId="56413D47">
            <w:pPr>
              <w:adjustRightInd w:val="0"/>
              <w:snapToGrid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评审因素</w:t>
            </w:r>
          </w:p>
        </w:tc>
        <w:tc>
          <w:tcPr>
            <w:tcW w:w="852" w:type="dxa"/>
            <w:noWrap w:val="0"/>
            <w:vAlign w:val="top"/>
          </w:tcPr>
          <w:p w14:paraId="1E7AF0DD">
            <w:pPr>
              <w:adjustRightInd w:val="0"/>
              <w:snapToGrid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分值设置</w:t>
            </w:r>
          </w:p>
        </w:tc>
        <w:tc>
          <w:tcPr>
            <w:tcW w:w="7216" w:type="dxa"/>
            <w:noWrap w:val="0"/>
            <w:vAlign w:val="top"/>
          </w:tcPr>
          <w:p w14:paraId="3498488B">
            <w:pPr>
              <w:adjustRightInd w:val="0"/>
              <w:snapToGrid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评审标准</w:t>
            </w:r>
          </w:p>
        </w:tc>
      </w:tr>
      <w:tr w14:paraId="46D4A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06" w:type="dxa"/>
            <w:noWrap w:val="0"/>
            <w:vAlign w:val="center"/>
          </w:tcPr>
          <w:p w14:paraId="5EC0923D">
            <w:pPr>
              <w:adjustRightInd w:val="0"/>
              <w:snapToGrid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1325" w:type="dxa"/>
            <w:noWrap w:val="0"/>
            <w:vAlign w:val="center"/>
          </w:tcPr>
          <w:p w14:paraId="7E4A1048">
            <w:pPr>
              <w:adjustRightInd w:val="0"/>
              <w:snapToGrid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业绩、奖项</w:t>
            </w:r>
          </w:p>
        </w:tc>
        <w:tc>
          <w:tcPr>
            <w:tcW w:w="852" w:type="dxa"/>
            <w:noWrap w:val="0"/>
            <w:vAlign w:val="center"/>
          </w:tcPr>
          <w:p w14:paraId="1395D3CE">
            <w:pPr>
              <w:adjustRightInd w:val="0"/>
              <w:snapToGrid w:val="0"/>
              <w:spacing w:line="560" w:lineRule="exact"/>
              <w:jc w:val="center"/>
              <w:rPr>
                <w:rFonts w:hint="default" w:ascii="宋体" w:hAnsi="宋体" w:cs="宋体"/>
                <w:color w:val="auto"/>
                <w:szCs w:val="21"/>
                <w:highlight w:val="none"/>
                <w:lang w:val="en-US"/>
              </w:rPr>
            </w:pPr>
            <w:r>
              <w:rPr>
                <w:rFonts w:hint="eastAsia" w:ascii="宋体" w:hAnsi="宋体" w:cs="宋体"/>
                <w:color w:val="auto"/>
                <w:szCs w:val="21"/>
                <w:highlight w:val="none"/>
                <w:lang w:val="en-US" w:eastAsia="zh-CN"/>
              </w:rPr>
              <w:t xml:space="preserve">  5 分</w:t>
            </w:r>
          </w:p>
        </w:tc>
        <w:tc>
          <w:tcPr>
            <w:tcW w:w="7216" w:type="dxa"/>
            <w:noWrap w:val="0"/>
            <w:vAlign w:val="top"/>
          </w:tcPr>
          <w:p w14:paraId="7EC2F5D4">
            <w:pPr>
              <w:numPr>
                <w:ilvl w:val="0"/>
                <w:numId w:val="0"/>
              </w:numPr>
              <w:spacing w:line="500" w:lineRule="exact"/>
              <w:jc w:val="left"/>
              <w:rPr>
                <w:rFonts w:hint="default" w:ascii="Times New Roman" w:hAnsi="Times New Roman" w:cs="Times New Roman"/>
                <w:b/>
                <w:bCs/>
                <w:color w:val="auto"/>
                <w:highlight w:val="none"/>
                <w:lang w:val="en-US" w:eastAsia="zh-CN"/>
              </w:rPr>
            </w:pPr>
            <w:r>
              <w:rPr>
                <w:rFonts w:hint="eastAsia" w:ascii="宋体" w:hAnsi="宋体" w:eastAsia="宋体" w:cs="宋体"/>
                <w:color w:val="auto"/>
                <w:highlight w:val="none"/>
                <w:u w:val="none"/>
                <w:lang w:val="en-US" w:eastAsia="zh-CN"/>
              </w:rPr>
              <w:t>一、项目经理业绩（2.5分）</w:t>
            </w:r>
            <w:r>
              <w:rPr>
                <w:rFonts w:hint="eastAsia" w:ascii="Times New Roman" w:hAnsi="Times New Roman" w:cs="Times New Roman"/>
                <w:b/>
                <w:bCs/>
                <w:color w:val="auto"/>
                <w:highlight w:val="none"/>
                <w:lang w:val="en-US" w:eastAsia="zh-CN"/>
              </w:rPr>
              <w:t>（注：若为联合体投标，项目经理A岗或项目经理B岗提供的业绩均予以认可。）</w:t>
            </w:r>
          </w:p>
          <w:p w14:paraId="134BE315">
            <w:pPr>
              <w:numPr>
                <w:ilvl w:val="0"/>
                <w:numId w:val="0"/>
              </w:numPr>
              <w:spacing w:line="500" w:lineRule="exact"/>
              <w:jc w:val="left"/>
              <w:rPr>
                <w:rFonts w:hint="eastAsia"/>
                <w:color w:val="auto"/>
                <w:highlight w:val="none"/>
                <w:lang w:val="en-US" w:eastAsia="zh-CN"/>
              </w:rPr>
            </w:pPr>
            <w:r>
              <w:rPr>
                <w:rFonts w:hint="eastAsia"/>
                <w:color w:val="auto"/>
                <w:highlight w:val="none"/>
                <w:lang w:val="en-US" w:eastAsia="zh-CN"/>
              </w:rPr>
              <w:t>自2021年1月1日至投标截止时间，投标人拟派项目经理具有单项合同金额不低于2500万元的工业厂房机电安装工程业绩的得2.5分。</w:t>
            </w:r>
          </w:p>
          <w:p w14:paraId="2C2B2E14">
            <w:pPr>
              <w:numPr>
                <w:ilvl w:val="0"/>
                <w:numId w:val="0"/>
              </w:numPr>
              <w:spacing w:line="500" w:lineRule="exact"/>
              <w:jc w:val="left"/>
              <w:rPr>
                <w:rFonts w:hint="eastAsia"/>
                <w:color w:val="auto"/>
                <w:highlight w:val="none"/>
                <w:lang w:val="en-US" w:eastAsia="zh-CN"/>
              </w:rPr>
            </w:pPr>
            <w:r>
              <w:rPr>
                <w:rFonts w:hint="eastAsia"/>
                <w:color w:val="auto"/>
                <w:highlight w:val="none"/>
                <w:lang w:val="en-US" w:eastAsia="zh-CN"/>
              </w:rPr>
              <w:t>注:</w:t>
            </w:r>
          </w:p>
          <w:p w14:paraId="6A669F9E">
            <w:pPr>
              <w:numPr>
                <w:ilvl w:val="0"/>
                <w:numId w:val="0"/>
              </w:numPr>
              <w:spacing w:line="500" w:lineRule="exact"/>
              <w:jc w:val="left"/>
              <w:rPr>
                <w:rFonts w:hint="eastAsia"/>
                <w:b/>
                <w:bCs/>
                <w:color w:val="auto"/>
                <w:highlight w:val="none"/>
                <w:lang w:val="en-US" w:eastAsia="zh-CN"/>
              </w:rPr>
            </w:pPr>
            <w:r>
              <w:rPr>
                <w:rFonts w:hint="eastAsia"/>
                <w:color w:val="auto"/>
                <w:highlight w:val="none"/>
                <w:lang w:val="en-US" w:eastAsia="zh-CN"/>
              </w:rPr>
              <w:t>1.具体业绩金额以合同内容为准；</w:t>
            </w:r>
            <w:r>
              <w:rPr>
                <w:rFonts w:hint="eastAsia"/>
                <w:b/>
                <w:bCs/>
                <w:color w:val="auto"/>
                <w:highlight w:val="none"/>
                <w:lang w:val="en-US" w:eastAsia="zh-CN"/>
              </w:rPr>
              <w:t>企业业绩和项目经理业绩不重复。</w:t>
            </w:r>
          </w:p>
          <w:p w14:paraId="622B08F6">
            <w:pPr>
              <w:numPr>
                <w:ilvl w:val="0"/>
                <w:numId w:val="0"/>
              </w:numPr>
              <w:spacing w:line="500" w:lineRule="exact"/>
              <w:jc w:val="left"/>
              <w:rPr>
                <w:rFonts w:hint="eastAsia"/>
                <w:color w:val="auto"/>
                <w:highlight w:val="none"/>
                <w:lang w:val="en-US" w:eastAsia="zh-CN"/>
              </w:rPr>
            </w:pPr>
            <w:r>
              <w:rPr>
                <w:rFonts w:hint="eastAsia"/>
                <w:color w:val="auto"/>
                <w:highlight w:val="none"/>
                <w:lang w:val="en-US" w:eastAsia="zh-CN"/>
              </w:rPr>
              <w:t>2.业绩有效时间以竣工验收报告或竣工验收证书或竣工验收证明书中的竣工验收通过日期为准。</w:t>
            </w:r>
          </w:p>
          <w:p w14:paraId="54B32B61">
            <w:pPr>
              <w:numPr>
                <w:ilvl w:val="0"/>
                <w:numId w:val="0"/>
              </w:numPr>
              <w:spacing w:line="500" w:lineRule="exact"/>
              <w:jc w:val="left"/>
              <w:rPr>
                <w:rFonts w:hint="eastAsia"/>
                <w:color w:val="auto"/>
                <w:highlight w:val="none"/>
                <w:lang w:val="en-US" w:eastAsia="zh-CN"/>
              </w:rPr>
            </w:pPr>
            <w:r>
              <w:rPr>
                <w:rFonts w:hint="eastAsia"/>
                <w:color w:val="auto"/>
                <w:highlight w:val="none"/>
                <w:lang w:val="en-US" w:eastAsia="zh-CN"/>
              </w:rPr>
              <w:t>3.项目经理发生变更的，须提供经建设行政主管部门或招投标行政主管部门备案的项目经理变更证明材料（或同时提供网上变更申请截图、网站公示截图及查询链接）扫描件。</w:t>
            </w:r>
          </w:p>
          <w:p w14:paraId="766C84B2">
            <w:pPr>
              <w:numPr>
                <w:ilvl w:val="0"/>
                <w:numId w:val="0"/>
              </w:numPr>
              <w:spacing w:line="500" w:lineRule="exact"/>
              <w:jc w:val="left"/>
              <w:rPr>
                <w:rFonts w:hint="eastAsia"/>
                <w:color w:val="auto"/>
                <w:highlight w:val="none"/>
                <w:lang w:val="en-US" w:eastAsia="zh-CN"/>
              </w:rPr>
            </w:pPr>
            <w:r>
              <w:rPr>
                <w:rFonts w:hint="eastAsia"/>
                <w:color w:val="auto"/>
                <w:highlight w:val="none"/>
                <w:lang w:val="en-US" w:eastAsia="zh-CN"/>
              </w:rPr>
              <w:t>4.项目经理业绩必须是以项目经理身份参与的业绩，以其他管理人员身份参与的无效。</w:t>
            </w:r>
          </w:p>
          <w:p w14:paraId="4AAA5A7A">
            <w:pPr>
              <w:numPr>
                <w:ilvl w:val="0"/>
                <w:numId w:val="0"/>
              </w:numPr>
              <w:spacing w:line="500" w:lineRule="exact"/>
              <w:jc w:val="left"/>
              <w:rPr>
                <w:rFonts w:hint="eastAsia"/>
                <w:color w:val="auto"/>
                <w:highlight w:val="none"/>
                <w:lang w:val="en-US" w:eastAsia="zh-CN"/>
              </w:rPr>
            </w:pPr>
            <w:r>
              <w:rPr>
                <w:rFonts w:hint="eastAsia"/>
                <w:color w:val="auto"/>
                <w:highlight w:val="none"/>
                <w:lang w:val="en-US" w:eastAsia="zh-CN"/>
              </w:rPr>
              <w:t>5.投标人所提供的业绩可以为联合体业绩；投标人所提供的业绩为联合体业绩的，联合体牵头方或成员方均认可，且该业绩的机电安装工程须由投标人承担施工建设，同时联合体协议须体现上述内容。若体现不出投标人承担机电安装工程施工内容的，须由该业绩的建设单位出具证明材料，证明其由投标人承担建设。</w:t>
            </w:r>
          </w:p>
          <w:p w14:paraId="697A3950">
            <w:pPr>
              <w:numPr>
                <w:ilvl w:val="0"/>
                <w:numId w:val="0"/>
              </w:numPr>
              <w:spacing w:line="500" w:lineRule="exact"/>
              <w:jc w:val="left"/>
              <w:rPr>
                <w:rFonts w:hint="eastAsia"/>
                <w:b/>
                <w:bCs/>
                <w:color w:val="auto"/>
                <w:highlight w:val="none"/>
                <w:lang w:val="en-US" w:eastAsia="zh-CN"/>
              </w:rPr>
            </w:pPr>
            <w:r>
              <w:rPr>
                <w:rFonts w:hint="eastAsia"/>
                <w:b/>
                <w:bCs/>
                <w:color w:val="auto"/>
                <w:highlight w:val="none"/>
                <w:lang w:val="en-US" w:eastAsia="zh-CN"/>
              </w:rPr>
              <w:t>投标文件中须同时提供下列材料扫描件：</w:t>
            </w:r>
          </w:p>
          <w:p w14:paraId="3F2AD7E2">
            <w:pPr>
              <w:numPr>
                <w:ilvl w:val="0"/>
                <w:numId w:val="0"/>
              </w:numPr>
              <w:spacing w:line="500" w:lineRule="exact"/>
              <w:jc w:val="left"/>
              <w:rPr>
                <w:rFonts w:hint="eastAsia"/>
                <w:b/>
                <w:bCs/>
                <w:color w:val="auto"/>
                <w:highlight w:val="none"/>
                <w:lang w:val="en-US" w:eastAsia="zh-CN"/>
              </w:rPr>
            </w:pPr>
            <w:r>
              <w:rPr>
                <w:rFonts w:hint="eastAsia"/>
                <w:b/>
                <w:bCs/>
                <w:color w:val="auto"/>
                <w:highlight w:val="none"/>
                <w:lang w:val="en-US" w:eastAsia="zh-CN"/>
              </w:rPr>
              <w:t>①中标通知书；</w:t>
            </w:r>
          </w:p>
          <w:p w14:paraId="2EA9C6C2">
            <w:pPr>
              <w:numPr>
                <w:ilvl w:val="0"/>
                <w:numId w:val="0"/>
              </w:numPr>
              <w:spacing w:line="500" w:lineRule="exact"/>
              <w:jc w:val="left"/>
              <w:rPr>
                <w:rFonts w:hint="eastAsia"/>
                <w:b/>
                <w:bCs/>
                <w:color w:val="auto"/>
                <w:highlight w:val="none"/>
                <w:lang w:val="en-US" w:eastAsia="zh-CN"/>
              </w:rPr>
            </w:pPr>
            <w:r>
              <w:rPr>
                <w:rFonts w:hint="eastAsia"/>
                <w:b/>
                <w:bCs/>
                <w:color w:val="auto"/>
                <w:highlight w:val="none"/>
                <w:lang w:val="en-US" w:eastAsia="zh-CN"/>
              </w:rPr>
              <w:t>②合同；</w:t>
            </w:r>
          </w:p>
          <w:p w14:paraId="4B465775">
            <w:pPr>
              <w:numPr>
                <w:ilvl w:val="0"/>
                <w:numId w:val="0"/>
              </w:numPr>
              <w:spacing w:line="500" w:lineRule="exact"/>
              <w:jc w:val="left"/>
              <w:rPr>
                <w:rFonts w:hint="eastAsia"/>
                <w:b/>
                <w:bCs/>
                <w:color w:val="auto"/>
                <w:highlight w:val="none"/>
                <w:lang w:val="en-US" w:eastAsia="zh-CN"/>
              </w:rPr>
            </w:pPr>
            <w:r>
              <w:rPr>
                <w:rFonts w:hint="eastAsia"/>
                <w:b/>
                <w:bCs/>
                <w:color w:val="auto"/>
                <w:highlight w:val="none"/>
                <w:lang w:val="en-US" w:eastAsia="zh-CN"/>
              </w:rPr>
              <w:t>③竣工验收报告或竣工验收证书或竣工验收证明书；</w:t>
            </w:r>
          </w:p>
          <w:p w14:paraId="206EAB3C">
            <w:pPr>
              <w:numPr>
                <w:ilvl w:val="0"/>
                <w:numId w:val="0"/>
              </w:numPr>
              <w:spacing w:line="500" w:lineRule="exact"/>
              <w:jc w:val="left"/>
              <w:rPr>
                <w:rFonts w:hint="eastAsia"/>
                <w:b/>
                <w:bCs/>
                <w:color w:val="auto"/>
                <w:highlight w:val="none"/>
                <w:lang w:val="en-US" w:eastAsia="zh-CN"/>
              </w:rPr>
            </w:pPr>
            <w:r>
              <w:rPr>
                <w:rFonts w:hint="eastAsia"/>
                <w:b/>
                <w:bCs/>
                <w:color w:val="auto"/>
                <w:highlight w:val="none"/>
                <w:lang w:val="en-US" w:eastAsia="zh-CN"/>
              </w:rPr>
              <w:t>④提供该业绩在全国建筑市场监管公共服务平台或全国公共资源交易平台(包括各省市平台，如全国公共资源交易平台（安徽省滁州市）可查)截图及网址，其中全国建筑市场监管公共服务平台的截图中须显示数据等级为A级或B级或C级；</w:t>
            </w:r>
          </w:p>
          <w:p w14:paraId="16A2591E">
            <w:pPr>
              <w:numPr>
                <w:ilvl w:val="0"/>
                <w:numId w:val="0"/>
              </w:numPr>
              <w:spacing w:line="500" w:lineRule="exact"/>
              <w:jc w:val="left"/>
              <w:rPr>
                <w:rFonts w:hint="eastAsia"/>
                <w:b/>
                <w:bCs/>
                <w:color w:val="auto"/>
                <w:highlight w:val="none"/>
                <w:lang w:val="en-US" w:eastAsia="zh-CN"/>
              </w:rPr>
            </w:pPr>
            <w:r>
              <w:rPr>
                <w:rFonts w:hint="eastAsia"/>
                <w:b/>
                <w:bCs/>
                <w:color w:val="auto"/>
                <w:highlight w:val="none"/>
                <w:lang w:val="en-US" w:eastAsia="zh-CN"/>
              </w:rPr>
              <w:t>⑤联合体协议（第⑤项材料仅针对联合体形式承接的业绩）。</w:t>
            </w:r>
          </w:p>
          <w:p w14:paraId="19F1FDC3">
            <w:pPr>
              <w:numPr>
                <w:ilvl w:val="0"/>
                <w:numId w:val="0"/>
              </w:numPr>
              <w:spacing w:line="500" w:lineRule="exact"/>
              <w:jc w:val="left"/>
              <w:rPr>
                <w:rFonts w:hint="eastAsia"/>
                <w:b/>
                <w:bCs/>
                <w:color w:val="auto"/>
                <w:highlight w:val="none"/>
                <w:lang w:val="en-US" w:eastAsia="zh-CN"/>
              </w:rPr>
            </w:pPr>
            <w:r>
              <w:rPr>
                <w:rFonts w:hint="eastAsia"/>
                <w:b/>
                <w:bCs/>
                <w:color w:val="auto"/>
                <w:highlight w:val="none"/>
                <w:lang w:val="en-US" w:eastAsia="zh-CN"/>
              </w:rPr>
              <w:t>上述①至④项材料缺一不可（若为联合体形式承接业绩的，上述①至⑤项材料缺一不可），如上述材料未能够充分有效证明该工程业绩的规模、业绩金额、工程类型、项目经理姓名等评审因素，则另须提供项目业绩建设单位出具的加盖建设单位公章的证明材料。</w:t>
            </w:r>
          </w:p>
          <w:p w14:paraId="48FEEE04">
            <w:pPr>
              <w:numPr>
                <w:ilvl w:val="0"/>
                <w:numId w:val="0"/>
              </w:numPr>
              <w:spacing w:line="500" w:lineRule="exact"/>
              <w:jc w:val="left"/>
              <w:rPr>
                <w:rFonts w:hint="eastAsia"/>
                <w:b/>
                <w:bCs/>
                <w:color w:val="auto"/>
                <w:highlight w:val="none"/>
                <w:lang w:val="en-US" w:eastAsia="zh-CN"/>
              </w:rPr>
            </w:pPr>
            <w:r>
              <w:rPr>
                <w:rFonts w:hint="eastAsia"/>
                <w:color w:val="auto"/>
                <w:highlight w:val="none"/>
                <w:lang w:val="en-US" w:eastAsia="zh-CN"/>
              </w:rPr>
              <w:t>二、企业业绩（2.5分）</w:t>
            </w:r>
            <w:r>
              <w:rPr>
                <w:rFonts w:hint="eastAsia"/>
                <w:b/>
                <w:bCs/>
                <w:color w:val="auto"/>
                <w:highlight w:val="none"/>
                <w:lang w:val="en-US" w:eastAsia="zh-CN"/>
              </w:rPr>
              <w:t>（注：若为联合体投标，联合体任意一方提供的业绩均予以认可。）</w:t>
            </w:r>
          </w:p>
          <w:p w14:paraId="29E22B45">
            <w:pPr>
              <w:numPr>
                <w:ilvl w:val="0"/>
                <w:numId w:val="0"/>
              </w:numPr>
              <w:spacing w:line="500" w:lineRule="exact"/>
              <w:jc w:val="left"/>
              <w:rPr>
                <w:rFonts w:hint="eastAsia"/>
                <w:color w:val="auto"/>
                <w:highlight w:val="none"/>
                <w:lang w:val="en-US" w:eastAsia="zh-CN"/>
              </w:rPr>
            </w:pPr>
            <w:r>
              <w:rPr>
                <w:rFonts w:hint="eastAsia"/>
                <w:color w:val="auto"/>
                <w:highlight w:val="none"/>
                <w:lang w:val="en-US" w:eastAsia="zh-CN"/>
              </w:rPr>
              <w:t>自2021年1月1日至投标截止时间，投标人具有单项合同金额不低于3000万元的工业厂房工程施工业绩的得2.5分。</w:t>
            </w:r>
          </w:p>
          <w:p w14:paraId="4A992EB9">
            <w:pPr>
              <w:numPr>
                <w:ilvl w:val="0"/>
                <w:numId w:val="0"/>
              </w:numPr>
              <w:spacing w:line="500" w:lineRule="exact"/>
              <w:jc w:val="left"/>
              <w:rPr>
                <w:rFonts w:hint="eastAsia"/>
                <w:color w:val="auto"/>
                <w:highlight w:val="none"/>
                <w:lang w:val="en-US" w:eastAsia="zh-CN"/>
              </w:rPr>
            </w:pPr>
            <w:r>
              <w:rPr>
                <w:rFonts w:hint="eastAsia"/>
                <w:color w:val="auto"/>
                <w:highlight w:val="none"/>
                <w:lang w:val="en-US" w:eastAsia="zh-CN"/>
              </w:rPr>
              <w:t>注:</w:t>
            </w:r>
          </w:p>
          <w:p w14:paraId="3E7C8603">
            <w:pPr>
              <w:numPr>
                <w:ilvl w:val="0"/>
                <w:numId w:val="0"/>
              </w:numPr>
              <w:spacing w:line="500" w:lineRule="exact"/>
              <w:jc w:val="left"/>
              <w:rPr>
                <w:rFonts w:hint="eastAsia"/>
                <w:b/>
                <w:bCs/>
                <w:color w:val="auto"/>
                <w:highlight w:val="none"/>
                <w:lang w:val="en-US" w:eastAsia="zh-CN"/>
              </w:rPr>
            </w:pPr>
            <w:r>
              <w:rPr>
                <w:rFonts w:hint="eastAsia"/>
                <w:color w:val="auto"/>
                <w:highlight w:val="none"/>
                <w:lang w:val="en-US" w:eastAsia="zh-CN"/>
              </w:rPr>
              <w:t>1.具体业绩金额以合同内容为准；</w:t>
            </w:r>
            <w:r>
              <w:rPr>
                <w:rFonts w:hint="eastAsia"/>
                <w:b/>
                <w:bCs/>
                <w:color w:val="auto"/>
                <w:highlight w:val="none"/>
                <w:lang w:val="en-US" w:eastAsia="zh-CN"/>
              </w:rPr>
              <w:t>企业业绩和项目经理业绩不重复。</w:t>
            </w:r>
          </w:p>
          <w:p w14:paraId="374B10BB">
            <w:pPr>
              <w:numPr>
                <w:ilvl w:val="0"/>
                <w:numId w:val="0"/>
              </w:numPr>
              <w:spacing w:line="500" w:lineRule="exact"/>
              <w:jc w:val="left"/>
              <w:rPr>
                <w:rFonts w:hint="eastAsia"/>
                <w:color w:val="auto"/>
                <w:highlight w:val="none"/>
                <w:lang w:val="en-US" w:eastAsia="zh-CN"/>
              </w:rPr>
            </w:pPr>
            <w:r>
              <w:rPr>
                <w:rFonts w:hint="eastAsia"/>
                <w:color w:val="auto"/>
                <w:highlight w:val="none"/>
                <w:lang w:val="en-US" w:eastAsia="zh-CN"/>
              </w:rPr>
              <w:t>2.业绩有效时间以竣工验收报告或竣工验收证书或竣工验收证明书中的竣工验收通过日期为准。</w:t>
            </w:r>
          </w:p>
          <w:p w14:paraId="20B0679A">
            <w:pPr>
              <w:numPr>
                <w:ilvl w:val="0"/>
                <w:numId w:val="0"/>
              </w:numPr>
              <w:spacing w:line="500" w:lineRule="exact"/>
              <w:jc w:val="left"/>
              <w:rPr>
                <w:rFonts w:hint="eastAsia"/>
                <w:color w:val="auto"/>
                <w:highlight w:val="none"/>
                <w:lang w:val="en-US" w:eastAsia="zh-CN"/>
              </w:rPr>
            </w:pPr>
            <w:r>
              <w:rPr>
                <w:rFonts w:hint="eastAsia"/>
                <w:color w:val="auto"/>
                <w:highlight w:val="none"/>
                <w:lang w:val="en-US" w:eastAsia="zh-CN"/>
              </w:rPr>
              <w:t>3.投标人所提供的业绩为联合体业绩的，联合体牵头方或成员方均认可，且该业绩的主体结构须由投标人承担施工建设，同时联合体协议须体现上述内容。若体现不出投标人承担主体结构建设施工内容的，须由该业绩的建设单位出具证明材料，证明其由投标人承担建设。</w:t>
            </w:r>
          </w:p>
          <w:p w14:paraId="23533B9F">
            <w:pPr>
              <w:numPr>
                <w:ilvl w:val="0"/>
                <w:numId w:val="0"/>
              </w:numPr>
              <w:spacing w:line="500" w:lineRule="exact"/>
              <w:jc w:val="left"/>
              <w:rPr>
                <w:rFonts w:hint="eastAsia"/>
                <w:b/>
                <w:bCs/>
                <w:color w:val="auto"/>
                <w:highlight w:val="none"/>
                <w:lang w:val="en-US" w:eastAsia="zh-CN"/>
              </w:rPr>
            </w:pPr>
            <w:r>
              <w:rPr>
                <w:rFonts w:hint="eastAsia"/>
                <w:b/>
                <w:bCs/>
                <w:color w:val="auto"/>
                <w:highlight w:val="none"/>
                <w:lang w:val="en-US" w:eastAsia="zh-CN"/>
              </w:rPr>
              <w:t>投标文件中须同时提供下列材料扫描件：</w:t>
            </w:r>
          </w:p>
          <w:p w14:paraId="04C0268B">
            <w:pPr>
              <w:numPr>
                <w:ilvl w:val="0"/>
                <w:numId w:val="0"/>
              </w:numPr>
              <w:spacing w:line="500" w:lineRule="exact"/>
              <w:jc w:val="left"/>
              <w:rPr>
                <w:rFonts w:hint="eastAsia"/>
                <w:b/>
                <w:bCs/>
                <w:color w:val="auto"/>
                <w:highlight w:val="none"/>
                <w:lang w:val="en-US" w:eastAsia="zh-CN"/>
              </w:rPr>
            </w:pPr>
            <w:r>
              <w:rPr>
                <w:rFonts w:hint="eastAsia"/>
                <w:b/>
                <w:bCs/>
                <w:color w:val="auto"/>
                <w:highlight w:val="none"/>
                <w:lang w:val="en-US" w:eastAsia="zh-CN"/>
              </w:rPr>
              <w:t>①中标通知书；</w:t>
            </w:r>
          </w:p>
          <w:p w14:paraId="254D79BF">
            <w:pPr>
              <w:numPr>
                <w:ilvl w:val="0"/>
                <w:numId w:val="0"/>
              </w:numPr>
              <w:spacing w:line="500" w:lineRule="exact"/>
              <w:jc w:val="left"/>
              <w:rPr>
                <w:rFonts w:hint="eastAsia"/>
                <w:b/>
                <w:bCs/>
                <w:color w:val="auto"/>
                <w:highlight w:val="none"/>
                <w:lang w:val="en-US" w:eastAsia="zh-CN"/>
              </w:rPr>
            </w:pPr>
            <w:r>
              <w:rPr>
                <w:rFonts w:hint="eastAsia"/>
                <w:b/>
                <w:bCs/>
                <w:color w:val="auto"/>
                <w:highlight w:val="none"/>
                <w:lang w:val="en-US" w:eastAsia="zh-CN"/>
              </w:rPr>
              <w:t>②合同；</w:t>
            </w:r>
          </w:p>
          <w:p w14:paraId="2BAD0FA6">
            <w:pPr>
              <w:numPr>
                <w:ilvl w:val="0"/>
                <w:numId w:val="0"/>
              </w:numPr>
              <w:spacing w:line="500" w:lineRule="exact"/>
              <w:jc w:val="left"/>
              <w:rPr>
                <w:rFonts w:hint="eastAsia"/>
                <w:b/>
                <w:bCs/>
                <w:color w:val="auto"/>
                <w:highlight w:val="none"/>
                <w:lang w:val="en-US" w:eastAsia="zh-CN"/>
              </w:rPr>
            </w:pPr>
            <w:r>
              <w:rPr>
                <w:rFonts w:hint="eastAsia"/>
                <w:b/>
                <w:bCs/>
                <w:color w:val="auto"/>
                <w:highlight w:val="none"/>
                <w:lang w:val="en-US" w:eastAsia="zh-CN"/>
              </w:rPr>
              <w:t>③竣工验收报告或竣工验收证书或竣工验收证明书；</w:t>
            </w:r>
          </w:p>
          <w:p w14:paraId="00F12403">
            <w:pPr>
              <w:numPr>
                <w:ilvl w:val="0"/>
                <w:numId w:val="0"/>
              </w:numPr>
              <w:spacing w:line="500" w:lineRule="exact"/>
              <w:jc w:val="left"/>
              <w:rPr>
                <w:rFonts w:hint="eastAsia"/>
                <w:b/>
                <w:bCs/>
                <w:color w:val="auto"/>
                <w:highlight w:val="none"/>
                <w:lang w:val="en-US" w:eastAsia="zh-CN"/>
              </w:rPr>
            </w:pPr>
            <w:r>
              <w:rPr>
                <w:rFonts w:hint="eastAsia"/>
                <w:b/>
                <w:bCs/>
                <w:color w:val="auto"/>
                <w:highlight w:val="none"/>
                <w:lang w:val="en-US" w:eastAsia="zh-CN"/>
              </w:rPr>
              <w:t>④提供该业绩在全国建筑市场监管公共服务平台或全国公共资源交易平台(包括各省市平台，如全国公共资源交易平台（安徽省滁州市）可查)截图及网址，其中全国建筑市场监管公共服务平台的截图中须显示数据等级为A级或B级或C级；</w:t>
            </w:r>
          </w:p>
          <w:p w14:paraId="2EB0C172">
            <w:pPr>
              <w:numPr>
                <w:ilvl w:val="0"/>
                <w:numId w:val="0"/>
              </w:numPr>
              <w:spacing w:line="500" w:lineRule="exact"/>
              <w:jc w:val="left"/>
              <w:rPr>
                <w:rFonts w:hint="eastAsia"/>
                <w:b/>
                <w:bCs/>
                <w:color w:val="auto"/>
                <w:highlight w:val="none"/>
                <w:lang w:val="en-US" w:eastAsia="zh-CN"/>
              </w:rPr>
            </w:pPr>
            <w:r>
              <w:rPr>
                <w:rFonts w:hint="eastAsia"/>
                <w:b/>
                <w:bCs/>
                <w:color w:val="auto"/>
                <w:highlight w:val="none"/>
                <w:lang w:val="en-US" w:eastAsia="zh-CN"/>
              </w:rPr>
              <w:t>⑤联合体协议（第⑤项材料仅针对联合体形式承接的业绩）。</w:t>
            </w:r>
          </w:p>
          <w:p w14:paraId="3AAB28C7">
            <w:pPr>
              <w:numPr>
                <w:ilvl w:val="0"/>
                <w:numId w:val="0"/>
              </w:numPr>
              <w:spacing w:line="500" w:lineRule="exact"/>
              <w:jc w:val="left"/>
              <w:rPr>
                <w:rFonts w:hint="eastAsia" w:ascii="宋体" w:hAnsi="宋体" w:cs="宋体"/>
                <w:color w:val="auto"/>
                <w:szCs w:val="21"/>
                <w:highlight w:val="none"/>
              </w:rPr>
            </w:pPr>
            <w:r>
              <w:rPr>
                <w:rFonts w:hint="eastAsia"/>
                <w:b/>
                <w:bCs/>
                <w:color w:val="auto"/>
                <w:highlight w:val="none"/>
                <w:lang w:val="en-US" w:eastAsia="zh-CN"/>
              </w:rPr>
              <w:t>上述①至④项材料缺一不可（若为联合体形式承接业绩的，上述①至⑤项材料缺一不可），如上述材料未能够充分有效证明该工程业绩的规模、业绩金额、工程类型、项目经理姓名等评审因素，则另须提供项目业绩建设单位出具的加盖建设单位公章的证明材料。</w:t>
            </w:r>
          </w:p>
        </w:tc>
      </w:tr>
      <w:tr w14:paraId="63B02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806" w:type="dxa"/>
            <w:noWrap w:val="0"/>
            <w:vAlign w:val="center"/>
          </w:tcPr>
          <w:p w14:paraId="4B70B679">
            <w:pPr>
              <w:adjustRightInd w:val="0"/>
              <w:snapToGrid w:val="0"/>
              <w:spacing w:line="560" w:lineRule="exact"/>
              <w:jc w:val="center"/>
              <w:rPr>
                <w:rFonts w:hint="eastAsia" w:ascii="宋体" w:hAnsi="宋体" w:cs="宋体"/>
                <w:color w:val="auto"/>
                <w:szCs w:val="21"/>
                <w:highlight w:val="none"/>
              </w:rPr>
            </w:pPr>
            <w:r>
              <w:rPr>
                <w:rFonts w:hint="eastAsia" w:ascii="宋体" w:hAnsi="宋体"/>
                <w:color w:val="auto"/>
                <w:szCs w:val="21"/>
                <w:highlight w:val="none"/>
              </w:rPr>
              <w:t>2</w:t>
            </w:r>
          </w:p>
        </w:tc>
        <w:tc>
          <w:tcPr>
            <w:tcW w:w="1325" w:type="dxa"/>
            <w:noWrap w:val="0"/>
            <w:vAlign w:val="center"/>
          </w:tcPr>
          <w:p w14:paraId="2909B76D">
            <w:pPr>
              <w:adjustRightInd w:val="0"/>
              <w:snapToGrid w:val="0"/>
              <w:spacing w:line="560" w:lineRule="exact"/>
              <w:jc w:val="center"/>
              <w:rPr>
                <w:rFonts w:hint="eastAsia" w:ascii="宋体" w:hAnsi="宋体" w:cs="宋体"/>
                <w:color w:val="auto"/>
                <w:szCs w:val="21"/>
                <w:highlight w:val="none"/>
              </w:rPr>
            </w:pPr>
            <w:r>
              <w:rPr>
                <w:rFonts w:hint="eastAsia" w:ascii="宋体" w:hAnsi="宋体"/>
                <w:color w:val="auto"/>
                <w:szCs w:val="21"/>
                <w:highlight w:val="none"/>
              </w:rPr>
              <w:t>联合体协议</w:t>
            </w:r>
          </w:p>
        </w:tc>
        <w:tc>
          <w:tcPr>
            <w:tcW w:w="852" w:type="dxa"/>
            <w:noWrap w:val="0"/>
            <w:vAlign w:val="center"/>
          </w:tcPr>
          <w:p w14:paraId="67115713">
            <w:pPr>
              <w:adjustRightInd w:val="0"/>
              <w:snapToGrid w:val="0"/>
              <w:spacing w:line="560" w:lineRule="exact"/>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分</w:t>
            </w:r>
          </w:p>
        </w:tc>
        <w:tc>
          <w:tcPr>
            <w:tcW w:w="7216" w:type="dxa"/>
            <w:noWrap w:val="0"/>
            <w:vAlign w:val="center"/>
          </w:tcPr>
          <w:p w14:paraId="5CF9CD46">
            <w:pPr>
              <w:adjustRightInd w:val="0"/>
              <w:snapToGrid w:val="0"/>
              <w:spacing w:line="560" w:lineRule="exact"/>
              <w:rPr>
                <w:rFonts w:hint="eastAsia"/>
                <w:color w:val="auto"/>
                <w:highlight w:val="none"/>
                <w:lang w:val="en-US" w:eastAsia="zh-CN"/>
              </w:rPr>
            </w:pPr>
            <w:r>
              <w:rPr>
                <w:rFonts w:hint="eastAsia" w:eastAsia="宋体"/>
                <w:color w:val="auto"/>
                <w:highlight w:val="none"/>
                <w:lang w:val="en-US" w:eastAsia="zh-CN"/>
              </w:rPr>
              <w:t>联合体投标的，提供的联合体协议明确各方权责分工等内容的得2分；提供联合体协议但内容不明确的得1分</w:t>
            </w:r>
            <w:r>
              <w:rPr>
                <w:rFonts w:hint="eastAsia"/>
                <w:color w:val="auto"/>
                <w:highlight w:val="none"/>
                <w:lang w:val="en-US" w:eastAsia="zh-CN"/>
              </w:rPr>
              <w:t>；</w:t>
            </w:r>
          </w:p>
          <w:p w14:paraId="1FEB97AC">
            <w:pPr>
              <w:adjustRightInd w:val="0"/>
              <w:snapToGrid w:val="0"/>
              <w:spacing w:line="560" w:lineRule="exact"/>
              <w:rPr>
                <w:rFonts w:hint="eastAsia"/>
                <w:color w:val="auto"/>
                <w:highlight w:val="none"/>
                <w:lang w:val="en-US" w:eastAsia="zh-CN"/>
              </w:rPr>
            </w:pPr>
            <w:r>
              <w:rPr>
                <w:rFonts w:hint="eastAsia" w:ascii="宋体" w:hAnsi="宋体"/>
                <w:color w:val="000000"/>
                <w:szCs w:val="21"/>
              </w:rPr>
              <w:t>非联合体投标的，该项得2分。</w:t>
            </w:r>
            <w:bookmarkStart w:id="1591" w:name="_GoBack"/>
            <w:bookmarkEnd w:id="1591"/>
          </w:p>
        </w:tc>
      </w:tr>
      <w:tr w14:paraId="117F5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806" w:type="dxa"/>
            <w:noWrap w:val="0"/>
            <w:vAlign w:val="center"/>
          </w:tcPr>
          <w:p w14:paraId="3BC15DF5">
            <w:pPr>
              <w:adjustRightInd w:val="0"/>
              <w:snapToGrid w:val="0"/>
              <w:spacing w:line="560" w:lineRule="exact"/>
              <w:jc w:val="center"/>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3</w:t>
            </w:r>
          </w:p>
        </w:tc>
        <w:tc>
          <w:tcPr>
            <w:tcW w:w="1325" w:type="dxa"/>
            <w:shd w:val="clear" w:color="auto" w:fill="auto"/>
            <w:noWrap w:val="0"/>
            <w:vAlign w:val="center"/>
          </w:tcPr>
          <w:p w14:paraId="458E4E8A">
            <w:pPr>
              <w:adjustRightInd w:val="0"/>
              <w:snapToGrid w:val="0"/>
              <w:spacing w:line="560" w:lineRule="exact"/>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信用分</w:t>
            </w:r>
          </w:p>
        </w:tc>
        <w:tc>
          <w:tcPr>
            <w:tcW w:w="852" w:type="dxa"/>
            <w:shd w:val="clear" w:color="auto" w:fill="auto"/>
            <w:noWrap w:val="0"/>
            <w:vAlign w:val="center"/>
          </w:tcPr>
          <w:p w14:paraId="2CB6D1C7">
            <w:pPr>
              <w:adjustRightInd w:val="0"/>
              <w:snapToGrid w:val="0"/>
              <w:spacing w:line="56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10分</w:t>
            </w:r>
          </w:p>
        </w:tc>
        <w:tc>
          <w:tcPr>
            <w:tcW w:w="7216" w:type="dxa"/>
            <w:shd w:val="clear" w:color="auto" w:fill="auto"/>
            <w:noWrap w:val="0"/>
            <w:vAlign w:val="center"/>
          </w:tcPr>
          <w:p w14:paraId="66B94F04">
            <w:pPr>
              <w:adjustRightInd w:val="0"/>
              <w:snapToGrid w:val="0"/>
              <w:spacing w:line="520" w:lineRule="exac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信用分评分划为3档</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投标人企业信用分达到60分及以上的得满分10分</w:t>
            </w:r>
            <w:r>
              <w:rPr>
                <w:rFonts w:hint="eastAsia" w:ascii="宋体" w:hAnsi="宋体" w:eastAsia="宋体" w:cs="宋体"/>
                <w:color w:val="auto"/>
                <w:szCs w:val="21"/>
                <w:highlight w:val="none"/>
                <w:lang w:eastAsia="zh-CN"/>
              </w:rPr>
              <w:t>，每降低5分，扣0.5分。</w:t>
            </w:r>
          </w:p>
          <w:p w14:paraId="790EE78A">
            <w:pPr>
              <w:adjustRightInd w:val="0"/>
              <w:snapToGrid w:val="0"/>
              <w:spacing w:line="520" w:lineRule="exac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举例说明如下：</w:t>
            </w:r>
            <w:r>
              <w:rPr>
                <w:rFonts w:hint="eastAsia" w:ascii="宋体" w:hAnsi="宋体" w:eastAsia="宋体" w:cs="宋体"/>
                <w:color w:val="auto"/>
                <w:szCs w:val="21"/>
                <w:highlight w:val="none"/>
                <w:lang w:val="en-US" w:eastAsia="zh-CN"/>
              </w:rPr>
              <w:t>1档：</w:t>
            </w:r>
            <w:r>
              <w:rPr>
                <w:rFonts w:hint="eastAsia" w:ascii="宋体" w:hAnsi="宋体" w:eastAsia="宋体" w:cs="宋体"/>
                <w:color w:val="auto"/>
                <w:szCs w:val="21"/>
                <w:highlight w:val="none"/>
                <w:lang w:eastAsia="zh-CN"/>
              </w:rPr>
              <w:t>投标企业信用分≥60分的，得</w:t>
            </w: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lang w:eastAsia="zh-CN"/>
              </w:rPr>
              <w:t>分；</w:t>
            </w:r>
          </w:p>
          <w:p w14:paraId="1FED9A46">
            <w:pPr>
              <w:adjustRightInd w:val="0"/>
              <w:snapToGrid w:val="0"/>
              <w:spacing w:line="520" w:lineRule="exac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2档：</w:t>
            </w:r>
            <w:r>
              <w:rPr>
                <w:rFonts w:hint="eastAsia" w:ascii="宋体" w:hAnsi="宋体" w:eastAsia="宋体" w:cs="宋体"/>
                <w:color w:val="auto"/>
                <w:szCs w:val="21"/>
                <w:highlight w:val="none"/>
                <w:lang w:eastAsia="zh-CN"/>
              </w:rPr>
              <w:t>60分&gt;投标企业信用分≥55分，得</w:t>
            </w:r>
            <w:r>
              <w:rPr>
                <w:rFonts w:hint="eastAsia" w:ascii="宋体" w:hAnsi="宋体" w:eastAsia="宋体" w:cs="宋体"/>
                <w:color w:val="auto"/>
                <w:szCs w:val="21"/>
                <w:highlight w:val="none"/>
                <w:lang w:val="en-US" w:eastAsia="zh-CN"/>
              </w:rPr>
              <w:t>9.5</w:t>
            </w:r>
            <w:r>
              <w:rPr>
                <w:rFonts w:hint="eastAsia" w:ascii="宋体" w:hAnsi="宋体" w:eastAsia="宋体" w:cs="宋体"/>
                <w:color w:val="auto"/>
                <w:szCs w:val="21"/>
                <w:highlight w:val="none"/>
                <w:lang w:eastAsia="zh-CN"/>
              </w:rPr>
              <w:t>分；</w:t>
            </w:r>
          </w:p>
          <w:p w14:paraId="6DC02DEE">
            <w:pPr>
              <w:adjustRightInd w:val="0"/>
              <w:snapToGrid w:val="0"/>
              <w:spacing w:line="520" w:lineRule="exac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3档：</w:t>
            </w:r>
            <w:r>
              <w:rPr>
                <w:rFonts w:hint="eastAsia" w:ascii="宋体" w:hAnsi="宋体" w:eastAsia="宋体" w:cs="宋体"/>
                <w:color w:val="auto"/>
                <w:szCs w:val="21"/>
                <w:highlight w:val="none"/>
                <w:lang w:eastAsia="zh-CN"/>
              </w:rPr>
              <w:t>投标企业信用分＜55分的，得</w:t>
            </w: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lang w:eastAsia="zh-CN"/>
              </w:rPr>
              <w:t>分。</w:t>
            </w:r>
          </w:p>
          <w:p w14:paraId="614EA2A6">
            <w:pPr>
              <w:adjustRightInd w:val="0"/>
              <w:snapToGrid w:val="0"/>
              <w:spacing w:line="520" w:lineRule="exac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备注：1.以投标截止时间后开标现场查询的结果为准，如查不到该企业信用分，本项按最低档得分。投标企业的滁州市建筑业企业试点信用评价结果，以投标截止时间后在开评标现场通过滁州市住建局“建筑市场信用管理系统”（https://zfcxjsj.chuzhou.gov.cn/ent/entryType?id=1&amp;type=1）查询的结果为准。</w:t>
            </w:r>
          </w:p>
          <w:p w14:paraId="7AD5AAB2">
            <w:pPr>
              <w:adjustRightInd w:val="0"/>
              <w:snapToGrid w:val="0"/>
              <w:spacing w:line="520" w:lineRule="exac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eastAsia="zh-CN"/>
              </w:rPr>
              <w:t>投标人没有信用分的，本项按最低档得分。</w:t>
            </w:r>
          </w:p>
          <w:p w14:paraId="72A0BB40">
            <w:pPr>
              <w:adjustRightInd w:val="0"/>
              <w:snapToGrid w:val="0"/>
              <w:spacing w:line="52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lang w:eastAsia="zh-CN"/>
              </w:rPr>
              <w:t>接受联合体投标的，投标人信用分以联合体成员中的最高分计算。</w:t>
            </w:r>
          </w:p>
        </w:tc>
      </w:tr>
    </w:tbl>
    <w:p w14:paraId="31504E4C">
      <w:pPr>
        <w:pStyle w:val="19"/>
        <w:adjustRightInd w:val="0"/>
        <w:snapToGrid w:val="0"/>
        <w:spacing w:after="0" w:line="560" w:lineRule="exact"/>
        <w:ind w:left="0" w:leftChars="0" w:firstLine="0" w:firstLineChars="0"/>
        <w:jc w:val="center"/>
        <w:rPr>
          <w:rFonts w:hint="eastAsia"/>
          <w:b/>
          <w:color w:val="auto"/>
          <w:sz w:val="28"/>
          <w:szCs w:val="21"/>
          <w:highlight w:val="none"/>
        </w:rPr>
      </w:pPr>
      <w:r>
        <w:rPr>
          <w:rFonts w:hint="eastAsia"/>
          <w:b/>
          <w:color w:val="auto"/>
          <w:sz w:val="28"/>
          <w:szCs w:val="21"/>
          <w:highlight w:val="none"/>
        </w:rPr>
        <w:t>（三）技术标评审</w:t>
      </w:r>
    </w:p>
    <w:tbl>
      <w:tblPr>
        <w:tblStyle w:val="20"/>
        <w:tblW w:w="99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145"/>
        <w:gridCol w:w="1276"/>
        <w:gridCol w:w="859"/>
        <w:gridCol w:w="1260"/>
        <w:gridCol w:w="1236"/>
        <w:gridCol w:w="4452"/>
      </w:tblGrid>
      <w:tr w14:paraId="77BB7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2184" w:type="dxa"/>
            <w:gridSpan w:val="3"/>
            <w:noWrap w:val="0"/>
            <w:vAlign w:val="center"/>
          </w:tcPr>
          <w:p w14:paraId="283E7A15">
            <w:pPr>
              <w:adjustRightInd w:val="0"/>
              <w:snapToGrid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条款号</w:t>
            </w:r>
          </w:p>
        </w:tc>
        <w:tc>
          <w:tcPr>
            <w:tcW w:w="3355" w:type="dxa"/>
            <w:gridSpan w:val="3"/>
            <w:noWrap w:val="0"/>
            <w:vAlign w:val="center"/>
          </w:tcPr>
          <w:p w14:paraId="4316D6B2">
            <w:pPr>
              <w:adjustRightInd w:val="0"/>
              <w:snapToGrid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评审因素</w:t>
            </w:r>
          </w:p>
        </w:tc>
        <w:tc>
          <w:tcPr>
            <w:tcW w:w="4452" w:type="dxa"/>
            <w:noWrap w:val="0"/>
            <w:vAlign w:val="center"/>
          </w:tcPr>
          <w:p w14:paraId="5D6C35E5">
            <w:pPr>
              <w:adjustRightInd w:val="0"/>
              <w:snapToGrid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评审标准</w:t>
            </w:r>
          </w:p>
        </w:tc>
      </w:tr>
      <w:tr w14:paraId="119A1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8" w:type="dxa"/>
            <w:gridSpan w:val="2"/>
            <w:noWrap w:val="0"/>
            <w:vAlign w:val="center"/>
          </w:tcPr>
          <w:p w14:paraId="3E595D64">
            <w:pPr>
              <w:adjustRightInd w:val="0"/>
              <w:snapToGrid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4.1.1</w:t>
            </w:r>
          </w:p>
        </w:tc>
        <w:tc>
          <w:tcPr>
            <w:tcW w:w="1276" w:type="dxa"/>
            <w:noWrap w:val="0"/>
            <w:vAlign w:val="center"/>
          </w:tcPr>
          <w:p w14:paraId="5B81B715">
            <w:pPr>
              <w:adjustRightInd w:val="0"/>
              <w:snapToGrid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形式评审标准</w:t>
            </w:r>
          </w:p>
        </w:tc>
        <w:tc>
          <w:tcPr>
            <w:tcW w:w="3355" w:type="dxa"/>
            <w:gridSpan w:val="3"/>
            <w:noWrap w:val="0"/>
            <w:vAlign w:val="center"/>
          </w:tcPr>
          <w:p w14:paraId="5BF7B544">
            <w:pPr>
              <w:adjustRightInd w:val="0"/>
              <w:snapToGrid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投标文件格式</w:t>
            </w:r>
          </w:p>
        </w:tc>
        <w:tc>
          <w:tcPr>
            <w:tcW w:w="4452" w:type="dxa"/>
            <w:noWrap w:val="0"/>
            <w:vAlign w:val="center"/>
          </w:tcPr>
          <w:p w14:paraId="7CCBD3D0">
            <w:pPr>
              <w:adjustRightInd w:val="0"/>
              <w:snapToGrid w:val="0"/>
              <w:spacing w:line="560" w:lineRule="exact"/>
              <w:rPr>
                <w:rFonts w:hint="eastAsia" w:ascii="宋体" w:hAnsi="宋体" w:cs="宋体"/>
                <w:color w:val="auto"/>
                <w:szCs w:val="21"/>
                <w:highlight w:val="none"/>
              </w:rPr>
            </w:pPr>
            <w:r>
              <w:rPr>
                <w:rFonts w:hint="eastAsia" w:ascii="宋体" w:hAnsi="宋体" w:cs="宋体"/>
                <w:color w:val="auto"/>
                <w:szCs w:val="21"/>
                <w:highlight w:val="none"/>
              </w:rPr>
              <w:t>符合第九章“投标文件格式”的要求，</w:t>
            </w:r>
          </w:p>
          <w:p w14:paraId="75E53A2F">
            <w:pPr>
              <w:adjustRightInd w:val="0"/>
              <w:snapToGrid w:val="0"/>
              <w:spacing w:line="560" w:lineRule="exact"/>
              <w:rPr>
                <w:rFonts w:hint="eastAsia" w:ascii="宋体" w:hAnsi="宋体" w:cs="宋体"/>
                <w:b/>
                <w:color w:val="auto"/>
                <w:spacing w:val="-6"/>
                <w:szCs w:val="21"/>
                <w:highlight w:val="none"/>
              </w:rPr>
            </w:pPr>
            <w:r>
              <w:rPr>
                <w:rFonts w:hint="eastAsia" w:ascii="宋体" w:hAnsi="宋体" w:cs="宋体"/>
                <w:color w:val="auto"/>
                <w:szCs w:val="21"/>
                <w:highlight w:val="none"/>
              </w:rPr>
              <w:t>否则经评委会一致认定后,按照无效投标处理。</w:t>
            </w:r>
          </w:p>
        </w:tc>
      </w:tr>
      <w:tr w14:paraId="6473D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8" w:type="dxa"/>
            <w:gridSpan w:val="2"/>
            <w:vMerge w:val="restart"/>
            <w:noWrap w:val="0"/>
            <w:vAlign w:val="center"/>
          </w:tcPr>
          <w:p w14:paraId="5CC967B5">
            <w:pPr>
              <w:adjustRightInd w:val="0"/>
              <w:snapToGrid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4.1.2</w:t>
            </w:r>
          </w:p>
        </w:tc>
        <w:tc>
          <w:tcPr>
            <w:tcW w:w="1276" w:type="dxa"/>
            <w:vMerge w:val="restart"/>
            <w:noWrap w:val="0"/>
            <w:vAlign w:val="center"/>
          </w:tcPr>
          <w:p w14:paraId="1ABC88AE">
            <w:pPr>
              <w:adjustRightInd w:val="0"/>
              <w:snapToGrid w:val="0"/>
              <w:spacing w:line="560" w:lineRule="exact"/>
              <w:jc w:val="center"/>
              <w:rPr>
                <w:rFonts w:ascii="宋体" w:hAnsi="宋体" w:cs="宋体"/>
                <w:color w:val="auto"/>
                <w:szCs w:val="21"/>
                <w:highlight w:val="none"/>
              </w:rPr>
            </w:pPr>
            <w:r>
              <w:rPr>
                <w:rFonts w:hint="eastAsia" w:ascii="宋体" w:hAnsi="宋体" w:cs="宋体"/>
                <w:color w:val="auto"/>
                <w:szCs w:val="21"/>
                <w:highlight w:val="none"/>
              </w:rPr>
              <w:t>响应性评审标准（初步评审）</w:t>
            </w:r>
          </w:p>
        </w:tc>
        <w:tc>
          <w:tcPr>
            <w:tcW w:w="3355" w:type="dxa"/>
            <w:gridSpan w:val="3"/>
            <w:noWrap w:val="0"/>
            <w:vAlign w:val="center"/>
          </w:tcPr>
          <w:p w14:paraId="6DAE5C23">
            <w:pPr>
              <w:adjustRightInd w:val="0"/>
              <w:snapToGrid w:val="0"/>
              <w:spacing w:line="560" w:lineRule="exact"/>
              <w:jc w:val="center"/>
              <w:textAlignment w:val="baseline"/>
              <w:rPr>
                <w:color w:val="auto"/>
                <w:szCs w:val="21"/>
                <w:highlight w:val="none"/>
              </w:rPr>
            </w:pPr>
            <w:r>
              <w:rPr>
                <w:color w:val="auto"/>
                <w:szCs w:val="21"/>
                <w:highlight w:val="none"/>
              </w:rPr>
              <w:t>投标内容</w:t>
            </w:r>
          </w:p>
        </w:tc>
        <w:tc>
          <w:tcPr>
            <w:tcW w:w="4452" w:type="dxa"/>
            <w:noWrap w:val="0"/>
            <w:vAlign w:val="center"/>
          </w:tcPr>
          <w:p w14:paraId="50AC48B4">
            <w:pPr>
              <w:adjustRightInd w:val="0"/>
              <w:snapToGrid w:val="0"/>
              <w:spacing w:line="560" w:lineRule="exact"/>
              <w:rPr>
                <w:rFonts w:hint="eastAsia" w:ascii="宋体" w:hAnsi="宋体" w:cs="宋体"/>
                <w:color w:val="auto"/>
                <w:szCs w:val="21"/>
                <w:highlight w:val="none"/>
              </w:rPr>
            </w:pPr>
            <w:r>
              <w:rPr>
                <w:rFonts w:hint="eastAsia" w:ascii="宋体" w:hAnsi="宋体" w:cs="宋体"/>
                <w:color w:val="auto"/>
                <w:szCs w:val="21"/>
                <w:highlight w:val="none"/>
              </w:rPr>
              <w:t>符合第二章“投标人须知”规定。</w:t>
            </w:r>
          </w:p>
        </w:tc>
      </w:tr>
      <w:tr w14:paraId="2A8FF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8" w:type="dxa"/>
            <w:gridSpan w:val="2"/>
            <w:vMerge w:val="continue"/>
            <w:noWrap w:val="0"/>
            <w:vAlign w:val="top"/>
          </w:tcPr>
          <w:p w14:paraId="58D91111">
            <w:pPr>
              <w:adjustRightInd w:val="0"/>
              <w:snapToGrid w:val="0"/>
              <w:spacing w:line="560" w:lineRule="exact"/>
              <w:jc w:val="center"/>
              <w:rPr>
                <w:rFonts w:hint="eastAsia" w:ascii="宋体" w:hAnsi="宋体" w:cs="宋体"/>
                <w:color w:val="auto"/>
                <w:szCs w:val="21"/>
                <w:highlight w:val="none"/>
              </w:rPr>
            </w:pPr>
          </w:p>
        </w:tc>
        <w:tc>
          <w:tcPr>
            <w:tcW w:w="1276" w:type="dxa"/>
            <w:vMerge w:val="continue"/>
            <w:noWrap w:val="0"/>
            <w:vAlign w:val="top"/>
          </w:tcPr>
          <w:p w14:paraId="7F68C3BC">
            <w:pPr>
              <w:adjustRightInd w:val="0"/>
              <w:snapToGrid w:val="0"/>
              <w:spacing w:line="560" w:lineRule="exact"/>
              <w:jc w:val="center"/>
              <w:rPr>
                <w:rFonts w:hint="eastAsia" w:ascii="宋体" w:hAnsi="宋体" w:cs="宋体"/>
                <w:color w:val="auto"/>
                <w:szCs w:val="21"/>
                <w:highlight w:val="none"/>
              </w:rPr>
            </w:pPr>
          </w:p>
        </w:tc>
        <w:tc>
          <w:tcPr>
            <w:tcW w:w="3355" w:type="dxa"/>
            <w:gridSpan w:val="3"/>
            <w:noWrap w:val="0"/>
            <w:vAlign w:val="center"/>
          </w:tcPr>
          <w:p w14:paraId="29BE357D">
            <w:pPr>
              <w:adjustRightInd w:val="0"/>
              <w:snapToGrid w:val="0"/>
              <w:spacing w:line="560" w:lineRule="exact"/>
              <w:jc w:val="center"/>
              <w:textAlignment w:val="baseline"/>
              <w:rPr>
                <w:color w:val="auto"/>
                <w:szCs w:val="21"/>
                <w:highlight w:val="none"/>
              </w:rPr>
            </w:pPr>
            <w:r>
              <w:rPr>
                <w:color w:val="auto"/>
                <w:szCs w:val="21"/>
                <w:highlight w:val="none"/>
              </w:rPr>
              <w:t>权利义务</w:t>
            </w:r>
          </w:p>
        </w:tc>
        <w:tc>
          <w:tcPr>
            <w:tcW w:w="4452" w:type="dxa"/>
            <w:noWrap w:val="0"/>
            <w:vAlign w:val="center"/>
          </w:tcPr>
          <w:p w14:paraId="0FA49CCE">
            <w:pPr>
              <w:adjustRightInd w:val="0"/>
              <w:snapToGrid w:val="0"/>
              <w:spacing w:line="560" w:lineRule="exact"/>
              <w:rPr>
                <w:rFonts w:hint="eastAsia" w:ascii="宋体" w:hAnsi="宋体" w:cs="宋体"/>
                <w:color w:val="auto"/>
                <w:szCs w:val="21"/>
                <w:highlight w:val="none"/>
              </w:rPr>
            </w:pPr>
            <w:r>
              <w:rPr>
                <w:rFonts w:hint="eastAsia" w:ascii="宋体" w:hAnsi="宋体" w:cs="宋体"/>
                <w:color w:val="auto"/>
                <w:szCs w:val="21"/>
                <w:highlight w:val="none"/>
              </w:rPr>
              <w:t>符合第五章“合同条款及格式”规定。</w:t>
            </w:r>
          </w:p>
        </w:tc>
      </w:tr>
      <w:tr w14:paraId="6BCCF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08" w:type="dxa"/>
            <w:gridSpan w:val="2"/>
            <w:vMerge w:val="continue"/>
            <w:noWrap w:val="0"/>
            <w:vAlign w:val="top"/>
          </w:tcPr>
          <w:p w14:paraId="5FC4D7A3">
            <w:pPr>
              <w:adjustRightInd w:val="0"/>
              <w:snapToGrid w:val="0"/>
              <w:spacing w:line="560" w:lineRule="exact"/>
              <w:jc w:val="center"/>
              <w:rPr>
                <w:rFonts w:hint="eastAsia" w:ascii="宋体" w:hAnsi="宋体" w:cs="宋体"/>
                <w:color w:val="auto"/>
                <w:szCs w:val="21"/>
                <w:highlight w:val="none"/>
              </w:rPr>
            </w:pPr>
          </w:p>
        </w:tc>
        <w:tc>
          <w:tcPr>
            <w:tcW w:w="1276" w:type="dxa"/>
            <w:vMerge w:val="continue"/>
            <w:noWrap w:val="0"/>
            <w:vAlign w:val="top"/>
          </w:tcPr>
          <w:p w14:paraId="50F05678">
            <w:pPr>
              <w:adjustRightInd w:val="0"/>
              <w:snapToGrid w:val="0"/>
              <w:spacing w:line="560" w:lineRule="exact"/>
              <w:jc w:val="center"/>
              <w:rPr>
                <w:rFonts w:hint="eastAsia" w:ascii="宋体" w:hAnsi="宋体" w:cs="宋体"/>
                <w:color w:val="auto"/>
                <w:szCs w:val="21"/>
                <w:highlight w:val="none"/>
              </w:rPr>
            </w:pPr>
          </w:p>
        </w:tc>
        <w:tc>
          <w:tcPr>
            <w:tcW w:w="3355" w:type="dxa"/>
            <w:gridSpan w:val="3"/>
            <w:noWrap w:val="0"/>
            <w:vAlign w:val="center"/>
          </w:tcPr>
          <w:p w14:paraId="2843185B">
            <w:pPr>
              <w:adjustRightInd w:val="0"/>
              <w:snapToGrid w:val="0"/>
              <w:spacing w:line="560" w:lineRule="exact"/>
              <w:jc w:val="center"/>
              <w:textAlignment w:val="baseline"/>
              <w:rPr>
                <w:color w:val="auto"/>
                <w:szCs w:val="21"/>
                <w:highlight w:val="none"/>
              </w:rPr>
            </w:pPr>
            <w:r>
              <w:rPr>
                <w:rFonts w:hint="eastAsia"/>
                <w:color w:val="auto"/>
                <w:szCs w:val="21"/>
                <w:highlight w:val="none"/>
              </w:rPr>
              <w:t>技术标准和要求</w:t>
            </w:r>
          </w:p>
        </w:tc>
        <w:tc>
          <w:tcPr>
            <w:tcW w:w="4452" w:type="dxa"/>
            <w:noWrap w:val="0"/>
            <w:vAlign w:val="center"/>
          </w:tcPr>
          <w:p w14:paraId="6DEC001C">
            <w:pPr>
              <w:adjustRightInd w:val="0"/>
              <w:snapToGrid w:val="0"/>
              <w:spacing w:line="560" w:lineRule="exact"/>
              <w:rPr>
                <w:rFonts w:hint="eastAsia" w:ascii="宋体" w:hAnsi="宋体" w:cs="宋体"/>
                <w:color w:val="auto"/>
                <w:szCs w:val="21"/>
                <w:highlight w:val="none"/>
              </w:rPr>
            </w:pPr>
            <w:r>
              <w:rPr>
                <w:rFonts w:hint="eastAsia" w:ascii="宋体" w:hAnsi="宋体" w:cs="宋体"/>
                <w:color w:val="auto"/>
                <w:szCs w:val="21"/>
                <w:highlight w:val="none"/>
              </w:rPr>
              <w:t>符合第八章“技术标准和要求”规定。</w:t>
            </w:r>
          </w:p>
        </w:tc>
      </w:tr>
      <w:tr w14:paraId="77A87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9991" w:type="dxa"/>
            <w:gridSpan w:val="7"/>
            <w:noWrap w:val="0"/>
            <w:vAlign w:val="top"/>
          </w:tcPr>
          <w:p w14:paraId="50B347B5">
            <w:pPr>
              <w:adjustRightInd w:val="0"/>
              <w:snapToGrid w:val="0"/>
              <w:spacing w:line="560" w:lineRule="exact"/>
              <w:jc w:val="center"/>
              <w:rPr>
                <w:rFonts w:ascii="宋体" w:hAnsi="宋体" w:cs="宋体"/>
                <w:color w:val="auto"/>
                <w:szCs w:val="21"/>
                <w:highlight w:val="none"/>
              </w:rPr>
            </w:pPr>
            <w:r>
              <w:rPr>
                <w:rFonts w:hint="eastAsia" w:ascii="宋体" w:hAnsi="宋体" w:cs="宋体"/>
                <w:color w:val="auto"/>
                <w:szCs w:val="21"/>
                <w:highlight w:val="none"/>
              </w:rPr>
              <w:t>技术标评分细则</w:t>
            </w:r>
          </w:p>
        </w:tc>
      </w:tr>
      <w:tr w14:paraId="4E5F4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63" w:type="dxa"/>
            <w:noWrap w:val="0"/>
            <w:vAlign w:val="top"/>
          </w:tcPr>
          <w:p w14:paraId="20639D0A">
            <w:pPr>
              <w:adjustRightInd w:val="0"/>
              <w:snapToGrid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2280" w:type="dxa"/>
            <w:gridSpan w:val="3"/>
            <w:noWrap w:val="0"/>
            <w:vAlign w:val="top"/>
          </w:tcPr>
          <w:p w14:paraId="60088C6E">
            <w:pPr>
              <w:adjustRightInd w:val="0"/>
              <w:snapToGrid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评审因素</w:t>
            </w:r>
          </w:p>
        </w:tc>
        <w:tc>
          <w:tcPr>
            <w:tcW w:w="1260" w:type="dxa"/>
            <w:noWrap w:val="0"/>
            <w:vAlign w:val="top"/>
          </w:tcPr>
          <w:p w14:paraId="4357EF4F">
            <w:pPr>
              <w:adjustRightInd w:val="0"/>
              <w:snapToGrid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分值设置</w:t>
            </w:r>
          </w:p>
        </w:tc>
        <w:tc>
          <w:tcPr>
            <w:tcW w:w="5688" w:type="dxa"/>
            <w:gridSpan w:val="2"/>
            <w:noWrap w:val="0"/>
            <w:vAlign w:val="top"/>
          </w:tcPr>
          <w:p w14:paraId="59F5E8FE">
            <w:pPr>
              <w:adjustRightInd w:val="0"/>
              <w:snapToGrid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评审标准</w:t>
            </w:r>
          </w:p>
        </w:tc>
      </w:tr>
      <w:tr w14:paraId="298E5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63" w:type="dxa"/>
            <w:noWrap w:val="0"/>
            <w:vAlign w:val="center"/>
          </w:tcPr>
          <w:p w14:paraId="6B534464">
            <w:pPr>
              <w:adjustRightInd w:val="0"/>
              <w:snapToGrid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2280" w:type="dxa"/>
            <w:gridSpan w:val="3"/>
            <w:noWrap w:val="0"/>
            <w:vAlign w:val="center"/>
          </w:tcPr>
          <w:p w14:paraId="72C107A8">
            <w:pPr>
              <w:adjustRightInd w:val="0"/>
              <w:snapToGrid w:val="0"/>
              <w:spacing w:line="560" w:lineRule="exact"/>
              <w:jc w:val="center"/>
              <w:rPr>
                <w:rFonts w:ascii="宋体" w:hAnsi="宋体" w:cs="宋体"/>
                <w:color w:val="auto"/>
                <w:szCs w:val="21"/>
                <w:highlight w:val="none"/>
              </w:rPr>
            </w:pPr>
            <w:r>
              <w:rPr>
                <w:rFonts w:hint="eastAsia" w:ascii="宋体" w:hAnsi="宋体" w:cs="宋体"/>
                <w:color w:val="auto"/>
                <w:szCs w:val="21"/>
                <w:highlight w:val="none"/>
              </w:rPr>
              <w:t>施工组织设计</w:t>
            </w:r>
          </w:p>
        </w:tc>
        <w:tc>
          <w:tcPr>
            <w:tcW w:w="1260" w:type="dxa"/>
            <w:noWrap w:val="0"/>
            <w:vAlign w:val="center"/>
          </w:tcPr>
          <w:p w14:paraId="098BA292">
            <w:pPr>
              <w:adjustRightInd w:val="0"/>
              <w:snapToGrid w:val="0"/>
              <w:spacing w:line="560" w:lineRule="exact"/>
              <w:jc w:val="center"/>
              <w:rPr>
                <w:rFonts w:ascii="宋体" w:hAnsi="宋体" w:cs="宋体"/>
                <w:color w:val="auto"/>
                <w:szCs w:val="21"/>
                <w:highlight w:val="none"/>
              </w:rPr>
            </w:pPr>
            <w:r>
              <w:rPr>
                <w:rFonts w:hint="eastAsia" w:ascii="宋体" w:hAnsi="宋体" w:cs="宋体"/>
                <w:color w:val="auto"/>
                <w:szCs w:val="21"/>
                <w:highlight w:val="none"/>
              </w:rPr>
              <w:t>10分</w:t>
            </w:r>
          </w:p>
        </w:tc>
        <w:tc>
          <w:tcPr>
            <w:tcW w:w="5688" w:type="dxa"/>
            <w:gridSpan w:val="2"/>
            <w:noWrap w:val="0"/>
            <w:vAlign w:val="top"/>
          </w:tcPr>
          <w:p w14:paraId="72098F70">
            <w:pPr>
              <w:adjustRightInd w:val="0"/>
              <w:snapToGrid w:val="0"/>
              <w:spacing w:line="560" w:lineRule="exact"/>
              <w:jc w:val="left"/>
              <w:rPr>
                <w:rFonts w:hint="eastAsia" w:ascii="宋体" w:hAnsi="宋体" w:cs="宋体"/>
                <w:color w:val="auto"/>
                <w:szCs w:val="21"/>
                <w:highlight w:val="none"/>
              </w:rPr>
            </w:pPr>
            <w:r>
              <w:rPr>
                <w:rFonts w:hint="eastAsia" w:ascii="宋体" w:hAnsi="宋体" w:cs="宋体"/>
                <w:color w:val="auto"/>
                <w:szCs w:val="21"/>
                <w:highlight w:val="none"/>
              </w:rPr>
              <w:t>包括①总体筹划与总平面布置；②工程进度计划与措施及施工网络图；③主要施工方案和技术措施；④主要物资供应计划；⑤劳动力安排计划，主要施工机械、设备进场计划；⑥确保工程质量的管理体系与措施；⑦确保安全生产的管理体系与措施；⑧确保文明施工的管理体系与措施；⑨工程重难点及对应保证措施；⑩危大工程安全管理与新技术、新产品、新工艺、新材料应用等。每项分值范围为1分</w:t>
            </w:r>
            <w:r>
              <w:rPr>
                <w:rFonts w:hint="eastAsia" w:ascii="宋体" w:hAnsi="宋体" w:cs="宋体"/>
                <w:color w:val="auto"/>
                <w:szCs w:val="21"/>
                <w:highlight w:val="none"/>
                <w:lang w:eastAsia="zh-CN"/>
              </w:rPr>
              <w:t>。</w:t>
            </w:r>
            <w:r>
              <w:rPr>
                <w:rFonts w:hint="eastAsia" w:ascii="宋体" w:hAnsi="宋体" w:cs="宋体"/>
                <w:color w:val="auto"/>
                <w:szCs w:val="21"/>
                <w:highlight w:val="none"/>
              </w:rPr>
              <w:t>优秀得1分，良好得0.9分，一般得0.8分，合格得0.7分，不合格或缺项的不得分。</w:t>
            </w:r>
          </w:p>
        </w:tc>
      </w:tr>
    </w:tbl>
    <w:p w14:paraId="7BC77F89">
      <w:pPr>
        <w:pStyle w:val="19"/>
        <w:spacing w:after="0" w:line="560" w:lineRule="exact"/>
        <w:ind w:left="0" w:leftChars="0" w:firstLine="422"/>
        <w:jc w:val="left"/>
        <w:rPr>
          <w:rFonts w:hint="eastAsia" w:ascii="宋体" w:hAnsi="宋体" w:cs="宋体"/>
          <w:b/>
          <w:bCs/>
          <w:color w:val="auto"/>
          <w:highlight w:val="none"/>
        </w:rPr>
      </w:pPr>
      <w:r>
        <w:rPr>
          <w:rFonts w:hint="eastAsia" w:ascii="宋体" w:hAnsi="宋体" w:cs="宋体"/>
          <w:b/>
          <w:bCs/>
          <w:color w:val="auto"/>
          <w:highlight w:val="none"/>
        </w:rPr>
        <w:t>注：1、该项由专家评委评审打分，取所有评委评分中分别去掉一个最高和最低评分后的平均值为最终得分，保留两位小数点，第三位四舍五入。</w:t>
      </w:r>
    </w:p>
    <w:p w14:paraId="7D7AE25D">
      <w:pPr>
        <w:pStyle w:val="19"/>
        <w:spacing w:after="0" w:line="560" w:lineRule="exact"/>
        <w:ind w:left="0" w:leftChars="0" w:firstLine="422"/>
        <w:jc w:val="left"/>
        <w:rPr>
          <w:rFonts w:hint="eastAsia" w:ascii="宋体" w:hAnsi="宋体" w:cs="宋体"/>
          <w:b/>
          <w:bCs/>
          <w:color w:val="auto"/>
          <w:highlight w:val="none"/>
        </w:rPr>
      </w:pPr>
      <w:r>
        <w:rPr>
          <w:rFonts w:hint="eastAsia" w:ascii="宋体" w:hAnsi="宋体" w:cs="宋体"/>
          <w:b/>
          <w:bCs/>
          <w:color w:val="auto"/>
          <w:highlight w:val="none"/>
        </w:rPr>
        <w:t>2、该项目技术标为暗标横向评审，暗标横向评审技术标不设目录，评审前系统自动对所有投标人的技术标及各评分点分别进行编号；投标企业制作的技术标部分不得出现可能泄露投标人单位及个人信息的文字、图片、图表（技术标部分不得签章）等有关表述，否则该评分点作零分处理。</w:t>
      </w:r>
    </w:p>
    <w:p w14:paraId="17E99117">
      <w:pPr>
        <w:pStyle w:val="19"/>
        <w:spacing w:line="560" w:lineRule="exact"/>
        <w:ind w:left="0" w:leftChars="0" w:firstLine="413" w:firstLineChars="196"/>
        <w:jc w:val="left"/>
        <w:rPr>
          <w:rFonts w:hint="eastAsia" w:ascii="宋体" w:hAnsi="宋体" w:cs="宋体"/>
          <w:b/>
          <w:bCs/>
          <w:color w:val="auto"/>
          <w:highlight w:val="none"/>
        </w:rPr>
      </w:pPr>
      <w:r>
        <w:rPr>
          <w:rFonts w:hint="eastAsia" w:ascii="宋体" w:hAnsi="宋体" w:cs="宋体"/>
          <w:b/>
          <w:bCs/>
          <w:color w:val="auto"/>
          <w:highlight w:val="none"/>
        </w:rPr>
        <w:t>2.1 技术标暗标不设空白页。技术标投标文件封面不出现投标人、法定代表人签章内容，格式以系统设置为准。正文必须按招标文件要求的顺序进行排版；</w:t>
      </w:r>
    </w:p>
    <w:p w14:paraId="6CF39EDA">
      <w:pPr>
        <w:pStyle w:val="19"/>
        <w:spacing w:after="0" w:line="560" w:lineRule="exact"/>
        <w:ind w:left="0" w:leftChars="0" w:firstLine="422"/>
        <w:jc w:val="left"/>
        <w:rPr>
          <w:rFonts w:hint="eastAsia" w:ascii="宋体" w:hAnsi="宋体" w:cs="宋体"/>
          <w:b/>
          <w:bCs/>
          <w:color w:val="auto"/>
          <w:highlight w:val="none"/>
        </w:rPr>
      </w:pPr>
      <w:r>
        <w:rPr>
          <w:rFonts w:hint="eastAsia" w:ascii="宋体" w:hAnsi="宋体" w:cs="宋体"/>
          <w:b/>
          <w:bCs/>
          <w:color w:val="auto"/>
          <w:highlight w:val="none"/>
        </w:rPr>
        <w:t>2.2技术标暗标正文文字排版统一使用中文宋体字体，文字为白底黑色，图表采用黑白灰色（不得采用彩色）；文字部分不得插入任何图表（可以用“见附图x”或“见附表x”说明）。所有附图、附表必须依次附在各章对应评分点内容的文末，计算在页数要求内；</w:t>
      </w:r>
    </w:p>
    <w:p w14:paraId="7EC6316A">
      <w:pPr>
        <w:pStyle w:val="19"/>
        <w:spacing w:after="0" w:line="560" w:lineRule="exact"/>
        <w:ind w:left="0" w:leftChars="0" w:firstLine="422"/>
        <w:jc w:val="left"/>
        <w:rPr>
          <w:rFonts w:hint="eastAsia" w:ascii="宋体" w:hAnsi="宋体" w:cs="宋体"/>
          <w:b/>
          <w:bCs/>
          <w:color w:val="auto"/>
          <w:highlight w:val="none"/>
        </w:rPr>
      </w:pPr>
      <w:r>
        <w:rPr>
          <w:rFonts w:hint="eastAsia" w:ascii="宋体" w:hAnsi="宋体" w:cs="宋体"/>
          <w:b/>
          <w:bCs/>
          <w:color w:val="auto"/>
          <w:highlight w:val="none"/>
        </w:rPr>
        <w:t>2.3 正文采用宋体四号常规字，字符间距设为标准值，行距为单倍行距，不勾选“如果定义了文档网格，则对齐到网格”；正文统一设为左对齐，章、节标题、及段落首行缩进2个汉字，段落前后不设空行；正文版面不加页眉、页脚、边框、下划线等标志，正文页码用小五号阿拉伯数字，居中。单位符号中有上下角标要求的，必须在相应位置做角标；</w:t>
      </w:r>
    </w:p>
    <w:p w14:paraId="0380B6CB">
      <w:pPr>
        <w:spacing w:line="560" w:lineRule="exact"/>
        <w:ind w:firstLine="413" w:firstLineChars="196"/>
        <w:rPr>
          <w:rFonts w:hint="eastAsia" w:ascii="宋体" w:hAnsi="宋体" w:cs="宋体"/>
          <w:b/>
          <w:bCs/>
          <w:color w:val="auto"/>
          <w:highlight w:val="none"/>
        </w:rPr>
      </w:pPr>
      <w:r>
        <w:rPr>
          <w:rFonts w:hint="eastAsia" w:ascii="宋体" w:hAnsi="宋体" w:cs="宋体"/>
          <w:b/>
          <w:bCs/>
          <w:color w:val="auto"/>
          <w:highlight w:val="none"/>
        </w:rPr>
        <w:t>3、技术标暗标文件的格式、制作不符合上述要求的，每一分项扣</w:t>
      </w:r>
      <w:r>
        <w:rPr>
          <w:rFonts w:hint="eastAsia" w:ascii="宋体" w:hAnsi="宋体" w:cs="宋体"/>
          <w:b/>
          <w:bCs/>
          <w:color w:val="auto"/>
          <w:highlight w:val="none"/>
          <w:u w:val="single"/>
        </w:rPr>
        <w:t xml:space="preserve"> </w:t>
      </w:r>
      <w:r>
        <w:rPr>
          <w:rFonts w:hint="eastAsia" w:ascii="宋体" w:hAnsi="宋体" w:cs="宋体"/>
          <w:b/>
          <w:bCs/>
          <w:color w:val="auto"/>
          <w:highlight w:val="none"/>
          <w:u w:val="single"/>
          <w:lang w:val="en-US" w:eastAsia="zh-CN"/>
        </w:rPr>
        <w:t>0.2</w:t>
      </w:r>
      <w:r>
        <w:rPr>
          <w:rFonts w:hint="eastAsia" w:ascii="宋体" w:hAnsi="宋体" w:cs="宋体"/>
          <w:b/>
          <w:bCs/>
          <w:color w:val="auto"/>
          <w:highlight w:val="none"/>
        </w:rPr>
        <w:t>分。技术标实行暗标的，对技术标（暗标）部分不予澄清、说明或者补正。</w:t>
      </w:r>
    </w:p>
    <w:p w14:paraId="40FA6324">
      <w:pPr>
        <w:adjustRightInd w:val="0"/>
        <w:snapToGrid w:val="0"/>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4、招标人应根据招标项目实际，在招标文件中明确招标中施工组织设计的评审要点。其中施工组织设计评审要点主要包括：</w:t>
      </w:r>
    </w:p>
    <w:p w14:paraId="2D0A415F">
      <w:pPr>
        <w:adjustRightInd w:val="0"/>
        <w:snapToGrid w:val="0"/>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①总体筹划与总平面布置（页数不多于4页）；</w:t>
      </w:r>
    </w:p>
    <w:p w14:paraId="64A96041">
      <w:pPr>
        <w:adjustRightInd w:val="0"/>
        <w:snapToGrid w:val="0"/>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②工程进度计划与措施及施工网络图（页数不多于10页）；</w:t>
      </w:r>
    </w:p>
    <w:p w14:paraId="33F5EB97">
      <w:pPr>
        <w:adjustRightInd w:val="0"/>
        <w:snapToGrid w:val="0"/>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③主要施工方案和技术措施（页数不多于15页）；</w:t>
      </w:r>
    </w:p>
    <w:p w14:paraId="241BBC90">
      <w:pPr>
        <w:adjustRightInd w:val="0"/>
        <w:snapToGrid w:val="0"/>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④主要物资供应计划（页数不多于4页）；</w:t>
      </w:r>
    </w:p>
    <w:p w14:paraId="11FF9695">
      <w:pPr>
        <w:adjustRightInd w:val="0"/>
        <w:snapToGrid w:val="0"/>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⑤劳动力安排计划，主要施工机械、设备进场计划（页数不多于12页）；</w:t>
      </w:r>
    </w:p>
    <w:p w14:paraId="278700C8">
      <w:pPr>
        <w:adjustRightInd w:val="0"/>
        <w:snapToGrid w:val="0"/>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⑥确保工程质量的管理体系与措施（页数不多于7页）；</w:t>
      </w:r>
    </w:p>
    <w:p w14:paraId="55BB9AE2">
      <w:pPr>
        <w:adjustRightInd w:val="0"/>
        <w:snapToGrid w:val="0"/>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⑦确保安全生产的管理体系与措施（页数不多于7页）；</w:t>
      </w:r>
    </w:p>
    <w:p w14:paraId="06DF9623">
      <w:pPr>
        <w:adjustRightInd w:val="0"/>
        <w:snapToGrid w:val="0"/>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⑧确保文明施工的管理体系与措施（页数不多于7页）；</w:t>
      </w:r>
    </w:p>
    <w:p w14:paraId="3BDFAFD4">
      <w:pPr>
        <w:adjustRightInd w:val="0"/>
        <w:snapToGrid w:val="0"/>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⑨工程重难点及对应保证措施（页数不多于7页）；</w:t>
      </w:r>
    </w:p>
    <w:p w14:paraId="024B5F60">
      <w:pPr>
        <w:adjustRightInd w:val="0"/>
        <w:snapToGrid w:val="0"/>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⑩危大工程安全管理与新技术、新产品、新工艺、新材料应用（如有，页数不多于15页）；</w:t>
      </w:r>
    </w:p>
    <w:p w14:paraId="33E655A1">
      <w:pPr>
        <w:adjustRightInd w:val="0"/>
        <w:snapToGrid w:val="0"/>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具体篇幅(字数)要求及扣分标准（扣分值为0.2分）。未做要求的，投标人可根据实际需要进行编制投标文件，但不得出现泄漏投标人信息的任何表述。偏离规定标准的，评标委员会应酌情扣分。</w:t>
      </w:r>
    </w:p>
    <w:p w14:paraId="46FC360E">
      <w:pPr>
        <w:adjustRightInd w:val="0"/>
        <w:snapToGrid w:val="0"/>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暗标评审仅限评标环节。评标结束后，如出现质疑、投诉、举报等，经认定评标错误的，由评标委员会纠正错误或重新评分，此时不再受暗标评审约束，但在纠正错误或重新评分中发现投标企业技术标出现可能泄露投标人单位及个人信息的文字、图片、图表（技术标不得签章）等有关表述的，对应技术标评分点仍按零分处理。</w:t>
      </w:r>
    </w:p>
    <w:p w14:paraId="6D8D6ECE">
      <w:pPr>
        <w:adjustRightInd w:val="0"/>
        <w:snapToGrid w:val="0"/>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6、如所有投标企业技术标都出现能反映企业信息等相关内容的，该项目流标。</w:t>
      </w:r>
    </w:p>
    <w:p w14:paraId="710D0AF9">
      <w:pPr>
        <w:pStyle w:val="19"/>
        <w:adjustRightInd w:val="0"/>
        <w:snapToGrid w:val="0"/>
        <w:spacing w:after="0" w:line="560" w:lineRule="exact"/>
        <w:ind w:left="0" w:leftChars="0" w:firstLine="0" w:firstLineChars="0"/>
        <w:jc w:val="center"/>
        <w:rPr>
          <w:rFonts w:hint="eastAsia"/>
          <w:b/>
          <w:color w:val="auto"/>
          <w:sz w:val="28"/>
          <w:szCs w:val="21"/>
          <w:highlight w:val="none"/>
        </w:rPr>
      </w:pPr>
      <w:r>
        <w:rPr>
          <w:rFonts w:hint="eastAsia"/>
          <w:b/>
          <w:color w:val="auto"/>
          <w:sz w:val="28"/>
          <w:szCs w:val="21"/>
          <w:highlight w:val="none"/>
        </w:rPr>
        <w:t>（四）商务标评审</w:t>
      </w:r>
    </w:p>
    <w:tbl>
      <w:tblPr>
        <w:tblStyle w:val="20"/>
        <w:tblW w:w="10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780"/>
        <w:gridCol w:w="846"/>
        <w:gridCol w:w="1985"/>
        <w:gridCol w:w="5794"/>
      </w:tblGrid>
      <w:tr w14:paraId="675B4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61" w:type="dxa"/>
            <w:gridSpan w:val="2"/>
            <w:noWrap w:val="0"/>
            <w:vAlign w:val="center"/>
          </w:tcPr>
          <w:p w14:paraId="5F4EDCDE">
            <w:pPr>
              <w:adjustRightInd w:val="0"/>
              <w:snapToGrid w:val="0"/>
              <w:spacing w:line="560" w:lineRule="exact"/>
              <w:jc w:val="center"/>
              <w:rPr>
                <w:rFonts w:ascii="宋体" w:hAnsi="宋体"/>
                <w:color w:val="auto"/>
                <w:szCs w:val="21"/>
                <w:highlight w:val="none"/>
              </w:rPr>
            </w:pPr>
            <w:r>
              <w:rPr>
                <w:rFonts w:hint="eastAsia" w:ascii="宋体" w:hAnsi="宋体"/>
                <w:color w:val="auto"/>
                <w:szCs w:val="21"/>
                <w:highlight w:val="none"/>
              </w:rPr>
              <w:t>条款号</w:t>
            </w:r>
          </w:p>
        </w:tc>
        <w:tc>
          <w:tcPr>
            <w:tcW w:w="2831" w:type="dxa"/>
            <w:gridSpan w:val="2"/>
            <w:noWrap w:val="0"/>
            <w:vAlign w:val="center"/>
          </w:tcPr>
          <w:p w14:paraId="7B86259D">
            <w:pPr>
              <w:adjustRightInd w:val="0"/>
              <w:snapToGrid w:val="0"/>
              <w:spacing w:line="560" w:lineRule="exact"/>
              <w:jc w:val="center"/>
              <w:rPr>
                <w:rFonts w:ascii="宋体" w:hAnsi="宋体"/>
                <w:color w:val="auto"/>
                <w:szCs w:val="21"/>
                <w:highlight w:val="none"/>
              </w:rPr>
            </w:pPr>
            <w:r>
              <w:rPr>
                <w:rFonts w:hint="eastAsia" w:ascii="宋体" w:hAnsi="宋体"/>
                <w:color w:val="auto"/>
                <w:szCs w:val="21"/>
                <w:highlight w:val="none"/>
              </w:rPr>
              <w:t>评审因素</w:t>
            </w:r>
          </w:p>
        </w:tc>
        <w:tc>
          <w:tcPr>
            <w:tcW w:w="5794" w:type="dxa"/>
            <w:noWrap w:val="0"/>
            <w:vAlign w:val="center"/>
          </w:tcPr>
          <w:p w14:paraId="1E7BB799">
            <w:pPr>
              <w:adjustRightInd w:val="0"/>
              <w:snapToGrid w:val="0"/>
              <w:spacing w:line="560" w:lineRule="exact"/>
              <w:jc w:val="center"/>
              <w:rPr>
                <w:rFonts w:ascii="宋体" w:hAnsi="宋体"/>
                <w:color w:val="auto"/>
                <w:szCs w:val="21"/>
                <w:highlight w:val="none"/>
              </w:rPr>
            </w:pPr>
            <w:r>
              <w:rPr>
                <w:rFonts w:hint="eastAsia" w:ascii="宋体" w:hAnsi="宋体"/>
                <w:color w:val="auto"/>
                <w:szCs w:val="21"/>
                <w:highlight w:val="none"/>
              </w:rPr>
              <w:t>评审标准</w:t>
            </w:r>
          </w:p>
        </w:tc>
      </w:tr>
      <w:tr w14:paraId="1B601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81" w:type="dxa"/>
            <w:vMerge w:val="restart"/>
            <w:noWrap w:val="0"/>
            <w:vAlign w:val="center"/>
          </w:tcPr>
          <w:p w14:paraId="2B38C2C8">
            <w:pPr>
              <w:adjustRightInd w:val="0"/>
              <w:snapToGrid w:val="0"/>
              <w:spacing w:line="560" w:lineRule="exact"/>
              <w:jc w:val="center"/>
              <w:rPr>
                <w:rFonts w:ascii="宋体" w:hAnsi="宋体"/>
                <w:color w:val="auto"/>
                <w:szCs w:val="21"/>
                <w:highlight w:val="none"/>
              </w:rPr>
            </w:pPr>
            <w:r>
              <w:rPr>
                <w:rFonts w:ascii="宋体" w:hAnsi="宋体"/>
                <w:color w:val="auto"/>
                <w:szCs w:val="21"/>
                <w:highlight w:val="none"/>
              </w:rPr>
              <w:t>4.2.1</w:t>
            </w:r>
          </w:p>
        </w:tc>
        <w:tc>
          <w:tcPr>
            <w:tcW w:w="780" w:type="dxa"/>
            <w:vMerge w:val="restart"/>
            <w:noWrap w:val="0"/>
            <w:vAlign w:val="center"/>
          </w:tcPr>
          <w:p w14:paraId="51A24C8E">
            <w:pPr>
              <w:adjustRightInd w:val="0"/>
              <w:snapToGrid w:val="0"/>
              <w:spacing w:line="560" w:lineRule="exact"/>
              <w:jc w:val="center"/>
              <w:rPr>
                <w:rFonts w:ascii="宋体" w:hAnsi="宋体"/>
                <w:color w:val="auto"/>
                <w:szCs w:val="21"/>
                <w:highlight w:val="none"/>
              </w:rPr>
            </w:pPr>
            <w:r>
              <w:rPr>
                <w:rFonts w:hint="eastAsia" w:ascii="宋体" w:hAnsi="宋体"/>
                <w:color w:val="auto"/>
                <w:szCs w:val="21"/>
                <w:highlight w:val="none"/>
              </w:rPr>
              <w:t>形式评审标准</w:t>
            </w:r>
          </w:p>
        </w:tc>
        <w:tc>
          <w:tcPr>
            <w:tcW w:w="2831" w:type="dxa"/>
            <w:gridSpan w:val="2"/>
            <w:noWrap w:val="0"/>
            <w:vAlign w:val="center"/>
          </w:tcPr>
          <w:p w14:paraId="10DA262E">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投标函签字盖章</w:t>
            </w:r>
          </w:p>
        </w:tc>
        <w:tc>
          <w:tcPr>
            <w:tcW w:w="5794" w:type="dxa"/>
            <w:noWrap w:val="0"/>
            <w:vAlign w:val="center"/>
          </w:tcPr>
          <w:p w14:paraId="07EA701B">
            <w:pPr>
              <w:adjustRightInd w:val="0"/>
              <w:snapToGrid w:val="0"/>
              <w:spacing w:line="560" w:lineRule="exact"/>
              <w:jc w:val="left"/>
              <w:rPr>
                <w:rFonts w:ascii="宋体" w:hAnsi="宋体"/>
                <w:color w:val="auto"/>
                <w:szCs w:val="21"/>
                <w:highlight w:val="none"/>
              </w:rPr>
            </w:pPr>
            <w:r>
              <w:rPr>
                <w:rFonts w:hint="eastAsia" w:ascii="宋体" w:hAnsi="宋体"/>
                <w:color w:val="auto"/>
                <w:szCs w:val="21"/>
                <w:highlight w:val="none"/>
              </w:rPr>
              <w:t>有投标人及其法定代表人签章。</w:t>
            </w:r>
          </w:p>
        </w:tc>
      </w:tr>
      <w:tr w14:paraId="379CE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881" w:type="dxa"/>
            <w:vMerge w:val="continue"/>
            <w:noWrap w:val="0"/>
            <w:vAlign w:val="center"/>
          </w:tcPr>
          <w:p w14:paraId="273F486A">
            <w:pPr>
              <w:widowControl/>
              <w:adjustRightInd w:val="0"/>
              <w:snapToGrid w:val="0"/>
              <w:spacing w:line="560" w:lineRule="exact"/>
              <w:jc w:val="left"/>
              <w:rPr>
                <w:rFonts w:ascii="宋体" w:hAnsi="宋体"/>
                <w:color w:val="auto"/>
                <w:szCs w:val="21"/>
                <w:highlight w:val="none"/>
              </w:rPr>
            </w:pPr>
          </w:p>
        </w:tc>
        <w:tc>
          <w:tcPr>
            <w:tcW w:w="780" w:type="dxa"/>
            <w:vMerge w:val="continue"/>
            <w:noWrap w:val="0"/>
            <w:vAlign w:val="center"/>
          </w:tcPr>
          <w:p w14:paraId="1FA335FA">
            <w:pPr>
              <w:widowControl/>
              <w:adjustRightInd w:val="0"/>
              <w:snapToGrid w:val="0"/>
              <w:spacing w:line="560" w:lineRule="exact"/>
              <w:jc w:val="left"/>
              <w:rPr>
                <w:rFonts w:ascii="宋体" w:hAnsi="宋体"/>
                <w:color w:val="auto"/>
                <w:szCs w:val="21"/>
                <w:highlight w:val="none"/>
              </w:rPr>
            </w:pPr>
          </w:p>
        </w:tc>
        <w:tc>
          <w:tcPr>
            <w:tcW w:w="2831" w:type="dxa"/>
            <w:gridSpan w:val="2"/>
            <w:noWrap w:val="0"/>
            <w:vAlign w:val="center"/>
          </w:tcPr>
          <w:p w14:paraId="34D5283D">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投标文件格式</w:t>
            </w:r>
          </w:p>
        </w:tc>
        <w:tc>
          <w:tcPr>
            <w:tcW w:w="5794" w:type="dxa"/>
            <w:noWrap w:val="0"/>
            <w:vAlign w:val="center"/>
          </w:tcPr>
          <w:p w14:paraId="34BA7400">
            <w:pPr>
              <w:adjustRightInd w:val="0"/>
              <w:snapToGrid w:val="0"/>
              <w:spacing w:line="560" w:lineRule="exact"/>
              <w:jc w:val="left"/>
              <w:rPr>
                <w:rFonts w:ascii="宋体" w:hAnsi="宋体"/>
                <w:color w:val="auto"/>
                <w:szCs w:val="21"/>
                <w:highlight w:val="none"/>
              </w:rPr>
            </w:pPr>
            <w:r>
              <w:rPr>
                <w:rFonts w:hint="eastAsia" w:ascii="宋体" w:hAnsi="宋体"/>
                <w:color w:val="auto"/>
                <w:szCs w:val="21"/>
                <w:highlight w:val="none"/>
              </w:rPr>
              <w:t>符合第九章“投标文件格式”的要求。</w:t>
            </w:r>
          </w:p>
        </w:tc>
      </w:tr>
      <w:tr w14:paraId="2454C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881" w:type="dxa"/>
            <w:vMerge w:val="continue"/>
            <w:noWrap w:val="0"/>
            <w:vAlign w:val="center"/>
          </w:tcPr>
          <w:p w14:paraId="581AE3EE">
            <w:pPr>
              <w:widowControl/>
              <w:adjustRightInd w:val="0"/>
              <w:snapToGrid w:val="0"/>
              <w:spacing w:line="560" w:lineRule="exact"/>
              <w:jc w:val="left"/>
              <w:rPr>
                <w:rFonts w:ascii="宋体" w:hAnsi="宋体"/>
                <w:color w:val="auto"/>
                <w:szCs w:val="21"/>
                <w:highlight w:val="none"/>
              </w:rPr>
            </w:pPr>
          </w:p>
        </w:tc>
        <w:tc>
          <w:tcPr>
            <w:tcW w:w="780" w:type="dxa"/>
            <w:vMerge w:val="continue"/>
            <w:noWrap w:val="0"/>
            <w:vAlign w:val="center"/>
          </w:tcPr>
          <w:p w14:paraId="6FAE6EAC">
            <w:pPr>
              <w:widowControl/>
              <w:adjustRightInd w:val="0"/>
              <w:snapToGrid w:val="0"/>
              <w:spacing w:line="560" w:lineRule="exact"/>
              <w:jc w:val="left"/>
              <w:rPr>
                <w:rFonts w:ascii="宋体" w:hAnsi="宋体"/>
                <w:color w:val="auto"/>
                <w:szCs w:val="21"/>
                <w:highlight w:val="none"/>
              </w:rPr>
            </w:pPr>
          </w:p>
        </w:tc>
        <w:tc>
          <w:tcPr>
            <w:tcW w:w="2831" w:type="dxa"/>
            <w:gridSpan w:val="2"/>
            <w:noWrap w:val="0"/>
            <w:vAlign w:val="center"/>
          </w:tcPr>
          <w:p w14:paraId="748A2021">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商务标签字盖章</w:t>
            </w:r>
          </w:p>
        </w:tc>
        <w:tc>
          <w:tcPr>
            <w:tcW w:w="5794" w:type="dxa"/>
            <w:noWrap w:val="0"/>
            <w:vAlign w:val="center"/>
          </w:tcPr>
          <w:p w14:paraId="0DCB79EA">
            <w:pPr>
              <w:adjustRightInd w:val="0"/>
              <w:snapToGrid w:val="0"/>
              <w:spacing w:line="560" w:lineRule="exact"/>
              <w:jc w:val="left"/>
              <w:rPr>
                <w:rFonts w:ascii="宋体" w:hAnsi="宋体"/>
                <w:color w:val="auto"/>
                <w:szCs w:val="21"/>
                <w:highlight w:val="none"/>
              </w:rPr>
            </w:pPr>
            <w:r>
              <w:rPr>
                <w:rFonts w:hint="eastAsia" w:ascii="宋体" w:hAnsi="宋体"/>
                <w:color w:val="auto"/>
                <w:szCs w:val="21"/>
                <w:highlight w:val="none"/>
              </w:rPr>
              <w:t>按投标文件格式要求签章。</w:t>
            </w:r>
          </w:p>
        </w:tc>
      </w:tr>
      <w:tr w14:paraId="6FD7B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881" w:type="dxa"/>
            <w:vMerge w:val="continue"/>
            <w:noWrap w:val="0"/>
            <w:vAlign w:val="center"/>
          </w:tcPr>
          <w:p w14:paraId="63D65FA5">
            <w:pPr>
              <w:widowControl/>
              <w:adjustRightInd w:val="0"/>
              <w:snapToGrid w:val="0"/>
              <w:spacing w:line="560" w:lineRule="exact"/>
              <w:jc w:val="left"/>
              <w:rPr>
                <w:rFonts w:ascii="宋体" w:hAnsi="宋体"/>
                <w:color w:val="auto"/>
                <w:szCs w:val="21"/>
                <w:highlight w:val="none"/>
              </w:rPr>
            </w:pPr>
          </w:p>
        </w:tc>
        <w:tc>
          <w:tcPr>
            <w:tcW w:w="780" w:type="dxa"/>
            <w:vMerge w:val="continue"/>
            <w:noWrap w:val="0"/>
            <w:vAlign w:val="center"/>
          </w:tcPr>
          <w:p w14:paraId="12249D2E">
            <w:pPr>
              <w:widowControl/>
              <w:adjustRightInd w:val="0"/>
              <w:snapToGrid w:val="0"/>
              <w:spacing w:line="560" w:lineRule="exact"/>
              <w:jc w:val="left"/>
              <w:rPr>
                <w:rFonts w:ascii="宋体" w:hAnsi="宋体"/>
                <w:color w:val="auto"/>
                <w:szCs w:val="21"/>
                <w:highlight w:val="none"/>
              </w:rPr>
            </w:pPr>
          </w:p>
        </w:tc>
        <w:tc>
          <w:tcPr>
            <w:tcW w:w="2831" w:type="dxa"/>
            <w:gridSpan w:val="2"/>
            <w:noWrap w:val="0"/>
            <w:vAlign w:val="center"/>
          </w:tcPr>
          <w:p w14:paraId="3D479A46">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报价唯一</w:t>
            </w:r>
          </w:p>
        </w:tc>
        <w:tc>
          <w:tcPr>
            <w:tcW w:w="5794" w:type="dxa"/>
            <w:noWrap w:val="0"/>
            <w:vAlign w:val="center"/>
          </w:tcPr>
          <w:p w14:paraId="4DF1EFC5">
            <w:pPr>
              <w:adjustRightInd w:val="0"/>
              <w:snapToGrid w:val="0"/>
              <w:spacing w:line="560" w:lineRule="exact"/>
              <w:jc w:val="left"/>
              <w:rPr>
                <w:rFonts w:ascii="宋体" w:hAnsi="宋体"/>
                <w:color w:val="auto"/>
                <w:szCs w:val="21"/>
                <w:highlight w:val="none"/>
              </w:rPr>
            </w:pPr>
            <w:r>
              <w:rPr>
                <w:rFonts w:hint="eastAsia" w:ascii="宋体" w:hAnsi="宋体"/>
                <w:color w:val="auto"/>
                <w:szCs w:val="21"/>
                <w:highlight w:val="none"/>
              </w:rPr>
              <w:t>只能有一个报价。</w:t>
            </w:r>
          </w:p>
        </w:tc>
      </w:tr>
      <w:tr w14:paraId="29BA6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81" w:type="dxa"/>
            <w:vMerge w:val="restart"/>
            <w:noWrap w:val="0"/>
            <w:vAlign w:val="center"/>
          </w:tcPr>
          <w:p w14:paraId="24976511">
            <w:pPr>
              <w:adjustRightInd w:val="0"/>
              <w:snapToGrid w:val="0"/>
              <w:spacing w:line="560" w:lineRule="exact"/>
              <w:jc w:val="center"/>
              <w:rPr>
                <w:rFonts w:ascii="宋体" w:hAnsi="宋体"/>
                <w:color w:val="auto"/>
                <w:szCs w:val="21"/>
                <w:highlight w:val="none"/>
              </w:rPr>
            </w:pPr>
            <w:r>
              <w:rPr>
                <w:rFonts w:ascii="宋体" w:hAnsi="宋体"/>
                <w:color w:val="auto"/>
                <w:szCs w:val="21"/>
                <w:highlight w:val="none"/>
              </w:rPr>
              <w:t>4.2.2</w:t>
            </w:r>
          </w:p>
        </w:tc>
        <w:tc>
          <w:tcPr>
            <w:tcW w:w="780" w:type="dxa"/>
            <w:vMerge w:val="restart"/>
            <w:noWrap w:val="0"/>
            <w:vAlign w:val="center"/>
          </w:tcPr>
          <w:p w14:paraId="3244C754">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响应性评审标准</w:t>
            </w:r>
          </w:p>
          <w:p w14:paraId="1F105439">
            <w:pPr>
              <w:adjustRightInd w:val="0"/>
              <w:snapToGrid w:val="0"/>
              <w:spacing w:line="560" w:lineRule="exact"/>
              <w:jc w:val="center"/>
              <w:rPr>
                <w:rFonts w:ascii="宋体" w:hAnsi="宋体"/>
                <w:color w:val="auto"/>
                <w:szCs w:val="21"/>
                <w:highlight w:val="none"/>
              </w:rPr>
            </w:pPr>
          </w:p>
        </w:tc>
        <w:tc>
          <w:tcPr>
            <w:tcW w:w="2831" w:type="dxa"/>
            <w:gridSpan w:val="2"/>
            <w:noWrap w:val="0"/>
            <w:vAlign w:val="center"/>
          </w:tcPr>
          <w:p w14:paraId="70799F9F">
            <w:pPr>
              <w:adjustRightInd w:val="0"/>
              <w:snapToGrid w:val="0"/>
              <w:spacing w:line="560" w:lineRule="exact"/>
              <w:jc w:val="left"/>
              <w:rPr>
                <w:rFonts w:ascii="宋体" w:hAnsi="宋体"/>
                <w:color w:val="auto"/>
                <w:szCs w:val="21"/>
                <w:highlight w:val="none"/>
              </w:rPr>
            </w:pPr>
            <w:r>
              <w:rPr>
                <w:rFonts w:hint="eastAsia" w:ascii="宋体" w:hAnsi="宋体"/>
                <w:color w:val="auto"/>
                <w:szCs w:val="21"/>
                <w:highlight w:val="none"/>
              </w:rPr>
              <w:t>工期</w:t>
            </w:r>
          </w:p>
        </w:tc>
        <w:tc>
          <w:tcPr>
            <w:tcW w:w="5794" w:type="dxa"/>
            <w:noWrap w:val="0"/>
            <w:vAlign w:val="center"/>
          </w:tcPr>
          <w:p w14:paraId="507E5663">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符合投标须知前附表规定。</w:t>
            </w:r>
          </w:p>
        </w:tc>
      </w:tr>
      <w:tr w14:paraId="02763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81" w:type="dxa"/>
            <w:vMerge w:val="continue"/>
            <w:noWrap w:val="0"/>
            <w:vAlign w:val="center"/>
          </w:tcPr>
          <w:p w14:paraId="635FBAA8">
            <w:pPr>
              <w:widowControl/>
              <w:adjustRightInd w:val="0"/>
              <w:snapToGrid w:val="0"/>
              <w:spacing w:line="560" w:lineRule="exact"/>
              <w:jc w:val="left"/>
              <w:rPr>
                <w:rFonts w:ascii="宋体" w:hAnsi="宋体"/>
                <w:color w:val="auto"/>
                <w:szCs w:val="21"/>
                <w:highlight w:val="none"/>
              </w:rPr>
            </w:pPr>
          </w:p>
        </w:tc>
        <w:tc>
          <w:tcPr>
            <w:tcW w:w="780" w:type="dxa"/>
            <w:vMerge w:val="continue"/>
            <w:noWrap w:val="0"/>
            <w:vAlign w:val="center"/>
          </w:tcPr>
          <w:p w14:paraId="7D5788B2">
            <w:pPr>
              <w:widowControl/>
              <w:adjustRightInd w:val="0"/>
              <w:snapToGrid w:val="0"/>
              <w:spacing w:line="560" w:lineRule="exact"/>
              <w:jc w:val="left"/>
              <w:rPr>
                <w:rFonts w:ascii="宋体" w:hAnsi="宋体"/>
                <w:color w:val="auto"/>
                <w:szCs w:val="21"/>
                <w:highlight w:val="none"/>
              </w:rPr>
            </w:pPr>
          </w:p>
        </w:tc>
        <w:tc>
          <w:tcPr>
            <w:tcW w:w="2831" w:type="dxa"/>
            <w:gridSpan w:val="2"/>
            <w:noWrap w:val="0"/>
            <w:vAlign w:val="center"/>
          </w:tcPr>
          <w:p w14:paraId="588879E4">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工程质量</w:t>
            </w:r>
          </w:p>
        </w:tc>
        <w:tc>
          <w:tcPr>
            <w:tcW w:w="5794" w:type="dxa"/>
            <w:noWrap w:val="0"/>
            <w:vAlign w:val="center"/>
          </w:tcPr>
          <w:p w14:paraId="44DDC9ED">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符合投标须知前附表规定。</w:t>
            </w:r>
          </w:p>
        </w:tc>
      </w:tr>
      <w:tr w14:paraId="0797A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81" w:type="dxa"/>
            <w:vMerge w:val="continue"/>
            <w:noWrap w:val="0"/>
            <w:vAlign w:val="center"/>
          </w:tcPr>
          <w:p w14:paraId="6E5295D7">
            <w:pPr>
              <w:widowControl/>
              <w:adjustRightInd w:val="0"/>
              <w:snapToGrid w:val="0"/>
              <w:spacing w:line="560" w:lineRule="exact"/>
              <w:jc w:val="left"/>
              <w:rPr>
                <w:rFonts w:ascii="宋体" w:hAnsi="宋体"/>
                <w:color w:val="auto"/>
                <w:szCs w:val="21"/>
                <w:highlight w:val="none"/>
              </w:rPr>
            </w:pPr>
          </w:p>
        </w:tc>
        <w:tc>
          <w:tcPr>
            <w:tcW w:w="780" w:type="dxa"/>
            <w:vMerge w:val="continue"/>
            <w:noWrap w:val="0"/>
            <w:vAlign w:val="center"/>
          </w:tcPr>
          <w:p w14:paraId="270678C1">
            <w:pPr>
              <w:widowControl/>
              <w:adjustRightInd w:val="0"/>
              <w:snapToGrid w:val="0"/>
              <w:spacing w:line="560" w:lineRule="exact"/>
              <w:jc w:val="left"/>
              <w:rPr>
                <w:rFonts w:ascii="宋体" w:hAnsi="宋体"/>
                <w:color w:val="auto"/>
                <w:szCs w:val="21"/>
                <w:highlight w:val="none"/>
              </w:rPr>
            </w:pPr>
          </w:p>
        </w:tc>
        <w:tc>
          <w:tcPr>
            <w:tcW w:w="2831" w:type="dxa"/>
            <w:gridSpan w:val="2"/>
            <w:noWrap w:val="0"/>
            <w:vAlign w:val="center"/>
          </w:tcPr>
          <w:p w14:paraId="2F797183">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投标有效期</w:t>
            </w:r>
          </w:p>
        </w:tc>
        <w:tc>
          <w:tcPr>
            <w:tcW w:w="5794" w:type="dxa"/>
            <w:noWrap w:val="0"/>
            <w:vAlign w:val="center"/>
          </w:tcPr>
          <w:p w14:paraId="406DC302">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符合投标须知前附表规定。</w:t>
            </w:r>
          </w:p>
        </w:tc>
      </w:tr>
      <w:tr w14:paraId="6C364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881" w:type="dxa"/>
            <w:vMerge w:val="continue"/>
            <w:noWrap w:val="0"/>
            <w:vAlign w:val="center"/>
          </w:tcPr>
          <w:p w14:paraId="3A863D15">
            <w:pPr>
              <w:widowControl/>
              <w:adjustRightInd w:val="0"/>
              <w:snapToGrid w:val="0"/>
              <w:spacing w:line="560" w:lineRule="exact"/>
              <w:jc w:val="left"/>
              <w:rPr>
                <w:rFonts w:ascii="宋体" w:hAnsi="宋体"/>
                <w:color w:val="auto"/>
                <w:szCs w:val="21"/>
                <w:highlight w:val="none"/>
              </w:rPr>
            </w:pPr>
          </w:p>
        </w:tc>
        <w:tc>
          <w:tcPr>
            <w:tcW w:w="780" w:type="dxa"/>
            <w:vMerge w:val="continue"/>
            <w:noWrap w:val="0"/>
            <w:vAlign w:val="center"/>
          </w:tcPr>
          <w:p w14:paraId="100C67F4">
            <w:pPr>
              <w:widowControl/>
              <w:adjustRightInd w:val="0"/>
              <w:snapToGrid w:val="0"/>
              <w:spacing w:line="560" w:lineRule="exact"/>
              <w:jc w:val="left"/>
              <w:rPr>
                <w:rFonts w:ascii="宋体" w:hAnsi="宋体"/>
                <w:color w:val="auto"/>
                <w:szCs w:val="21"/>
                <w:highlight w:val="none"/>
              </w:rPr>
            </w:pPr>
          </w:p>
        </w:tc>
        <w:tc>
          <w:tcPr>
            <w:tcW w:w="2831" w:type="dxa"/>
            <w:gridSpan w:val="2"/>
            <w:noWrap w:val="0"/>
            <w:vAlign w:val="center"/>
          </w:tcPr>
          <w:p w14:paraId="671D40B9">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已标价工程量清单</w:t>
            </w:r>
          </w:p>
        </w:tc>
        <w:tc>
          <w:tcPr>
            <w:tcW w:w="5794" w:type="dxa"/>
            <w:noWrap w:val="0"/>
            <w:vAlign w:val="center"/>
          </w:tcPr>
          <w:p w14:paraId="159BBF7F">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与招标人发布的招标工程量清单（含需评审材料清单）排序一致。</w:t>
            </w:r>
          </w:p>
        </w:tc>
      </w:tr>
      <w:tr w14:paraId="5AAFA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881" w:type="dxa"/>
            <w:vMerge w:val="continue"/>
            <w:noWrap w:val="0"/>
            <w:vAlign w:val="center"/>
          </w:tcPr>
          <w:p w14:paraId="277C1CB5">
            <w:pPr>
              <w:widowControl/>
              <w:adjustRightInd w:val="0"/>
              <w:snapToGrid w:val="0"/>
              <w:spacing w:line="560" w:lineRule="exact"/>
              <w:jc w:val="left"/>
              <w:rPr>
                <w:rFonts w:ascii="宋体" w:hAnsi="宋体"/>
                <w:color w:val="auto"/>
                <w:szCs w:val="21"/>
                <w:highlight w:val="none"/>
              </w:rPr>
            </w:pPr>
          </w:p>
        </w:tc>
        <w:tc>
          <w:tcPr>
            <w:tcW w:w="780" w:type="dxa"/>
            <w:vMerge w:val="continue"/>
            <w:noWrap w:val="0"/>
            <w:vAlign w:val="center"/>
          </w:tcPr>
          <w:p w14:paraId="360C4725">
            <w:pPr>
              <w:widowControl/>
              <w:adjustRightInd w:val="0"/>
              <w:snapToGrid w:val="0"/>
              <w:spacing w:line="560" w:lineRule="exact"/>
              <w:jc w:val="left"/>
              <w:rPr>
                <w:rFonts w:ascii="宋体" w:hAnsi="宋体"/>
                <w:color w:val="auto"/>
                <w:szCs w:val="21"/>
                <w:highlight w:val="none"/>
              </w:rPr>
            </w:pPr>
          </w:p>
        </w:tc>
        <w:tc>
          <w:tcPr>
            <w:tcW w:w="2831" w:type="dxa"/>
            <w:gridSpan w:val="2"/>
            <w:noWrap w:val="0"/>
            <w:vAlign w:val="center"/>
          </w:tcPr>
          <w:p w14:paraId="0E3ABDF5">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投标总价评审</w:t>
            </w:r>
          </w:p>
        </w:tc>
        <w:tc>
          <w:tcPr>
            <w:tcW w:w="5794" w:type="dxa"/>
            <w:noWrap w:val="0"/>
            <w:vAlign w:val="center"/>
          </w:tcPr>
          <w:p w14:paraId="04DEA159">
            <w:pPr>
              <w:adjustRightInd w:val="0"/>
              <w:snapToGrid w:val="0"/>
              <w:spacing w:line="560" w:lineRule="exact"/>
              <w:rPr>
                <w:rFonts w:ascii="宋体" w:hAnsi="宋体"/>
                <w:color w:val="auto"/>
                <w:spacing w:val="-6"/>
                <w:szCs w:val="21"/>
                <w:highlight w:val="none"/>
              </w:rPr>
            </w:pPr>
            <w:r>
              <w:rPr>
                <w:rFonts w:hint="eastAsia" w:ascii="宋体" w:hAnsi="宋体"/>
                <w:color w:val="auto"/>
                <w:spacing w:val="-6"/>
                <w:szCs w:val="21"/>
                <w:highlight w:val="none"/>
              </w:rPr>
              <w:t>不得高于最高投标限价，也不得低于工程成本价。</w:t>
            </w:r>
          </w:p>
        </w:tc>
      </w:tr>
      <w:tr w14:paraId="6D6D8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881" w:type="dxa"/>
            <w:vMerge w:val="continue"/>
            <w:noWrap w:val="0"/>
            <w:vAlign w:val="center"/>
          </w:tcPr>
          <w:p w14:paraId="6BFDFBB9">
            <w:pPr>
              <w:widowControl/>
              <w:adjustRightInd w:val="0"/>
              <w:snapToGrid w:val="0"/>
              <w:spacing w:line="560" w:lineRule="exact"/>
              <w:jc w:val="left"/>
              <w:rPr>
                <w:rFonts w:ascii="宋体" w:hAnsi="宋体"/>
                <w:color w:val="auto"/>
                <w:szCs w:val="21"/>
                <w:highlight w:val="none"/>
              </w:rPr>
            </w:pPr>
          </w:p>
        </w:tc>
        <w:tc>
          <w:tcPr>
            <w:tcW w:w="780" w:type="dxa"/>
            <w:vMerge w:val="continue"/>
            <w:noWrap w:val="0"/>
            <w:vAlign w:val="center"/>
          </w:tcPr>
          <w:p w14:paraId="30074B01">
            <w:pPr>
              <w:widowControl/>
              <w:adjustRightInd w:val="0"/>
              <w:snapToGrid w:val="0"/>
              <w:spacing w:line="560" w:lineRule="exact"/>
              <w:jc w:val="left"/>
              <w:rPr>
                <w:rFonts w:ascii="宋体" w:hAnsi="宋体"/>
                <w:color w:val="auto"/>
                <w:szCs w:val="21"/>
                <w:highlight w:val="none"/>
              </w:rPr>
            </w:pPr>
          </w:p>
        </w:tc>
        <w:tc>
          <w:tcPr>
            <w:tcW w:w="2831" w:type="dxa"/>
            <w:gridSpan w:val="2"/>
            <w:noWrap w:val="0"/>
            <w:vAlign w:val="center"/>
          </w:tcPr>
          <w:p w14:paraId="4D02E788">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暂列金额、专业工程暂估价、分部分项工程材料及设备暂估价</w:t>
            </w:r>
          </w:p>
        </w:tc>
        <w:tc>
          <w:tcPr>
            <w:tcW w:w="5794" w:type="dxa"/>
            <w:noWrap w:val="0"/>
            <w:vAlign w:val="center"/>
          </w:tcPr>
          <w:p w14:paraId="293CAD8A">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与招标人发布的招标工程量清单一致。</w:t>
            </w:r>
          </w:p>
        </w:tc>
      </w:tr>
      <w:tr w14:paraId="0A939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881" w:type="dxa"/>
            <w:vMerge w:val="restart"/>
            <w:noWrap w:val="0"/>
            <w:vAlign w:val="center"/>
          </w:tcPr>
          <w:p w14:paraId="42469ED9">
            <w:pPr>
              <w:adjustRightInd w:val="0"/>
              <w:snapToGrid w:val="0"/>
              <w:spacing w:line="560" w:lineRule="exact"/>
              <w:rPr>
                <w:rFonts w:ascii="宋体" w:hAnsi="宋体"/>
                <w:color w:val="auto"/>
                <w:szCs w:val="21"/>
                <w:highlight w:val="none"/>
              </w:rPr>
            </w:pPr>
            <w:r>
              <w:rPr>
                <w:rFonts w:ascii="宋体" w:hAnsi="宋体"/>
                <w:color w:val="auto"/>
                <w:szCs w:val="21"/>
                <w:highlight w:val="none"/>
              </w:rPr>
              <w:t>4.2.3</w:t>
            </w:r>
          </w:p>
        </w:tc>
        <w:tc>
          <w:tcPr>
            <w:tcW w:w="780" w:type="dxa"/>
            <w:vMerge w:val="restart"/>
            <w:noWrap w:val="0"/>
            <w:vAlign w:val="center"/>
          </w:tcPr>
          <w:p w14:paraId="125D3B6D">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详细评审标准</w:t>
            </w:r>
          </w:p>
        </w:tc>
        <w:tc>
          <w:tcPr>
            <w:tcW w:w="846" w:type="dxa"/>
            <w:vMerge w:val="restart"/>
            <w:noWrap w:val="0"/>
            <w:vAlign w:val="center"/>
          </w:tcPr>
          <w:p w14:paraId="4D32DBA8">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工程成本评审</w:t>
            </w:r>
          </w:p>
        </w:tc>
        <w:tc>
          <w:tcPr>
            <w:tcW w:w="7779" w:type="dxa"/>
            <w:gridSpan w:val="2"/>
            <w:noWrap w:val="0"/>
            <w:vAlign w:val="center"/>
          </w:tcPr>
          <w:p w14:paraId="52A421AF">
            <w:pPr>
              <w:adjustRightInd w:val="0"/>
              <w:snapToGrid w:val="0"/>
              <w:spacing w:line="560" w:lineRule="exact"/>
              <w:rPr>
                <w:rFonts w:ascii="宋体" w:hAnsi="宋体"/>
                <w:color w:val="auto"/>
                <w:spacing w:val="-6"/>
                <w:szCs w:val="21"/>
                <w:highlight w:val="none"/>
              </w:rPr>
            </w:pPr>
            <w:r>
              <w:rPr>
                <w:rFonts w:hint="eastAsia" w:ascii="宋体" w:hAnsi="宋体"/>
                <w:color w:val="auto"/>
                <w:szCs w:val="21"/>
                <w:highlight w:val="none"/>
              </w:rPr>
              <w:t>投标报价出现下列情形之一的，由评标委员会重点评审后界定其报价是否低于工程成本：</w:t>
            </w:r>
          </w:p>
        </w:tc>
      </w:tr>
      <w:tr w14:paraId="13E7A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881" w:type="dxa"/>
            <w:vMerge w:val="continue"/>
            <w:noWrap w:val="0"/>
            <w:vAlign w:val="center"/>
          </w:tcPr>
          <w:p w14:paraId="2AFD93B5">
            <w:pPr>
              <w:widowControl/>
              <w:adjustRightInd w:val="0"/>
              <w:snapToGrid w:val="0"/>
              <w:spacing w:line="560" w:lineRule="exact"/>
              <w:jc w:val="left"/>
              <w:rPr>
                <w:rFonts w:ascii="宋体" w:hAnsi="宋体"/>
                <w:color w:val="auto"/>
                <w:szCs w:val="21"/>
                <w:highlight w:val="none"/>
              </w:rPr>
            </w:pPr>
          </w:p>
        </w:tc>
        <w:tc>
          <w:tcPr>
            <w:tcW w:w="780" w:type="dxa"/>
            <w:vMerge w:val="continue"/>
            <w:noWrap w:val="0"/>
            <w:vAlign w:val="center"/>
          </w:tcPr>
          <w:p w14:paraId="252359CA">
            <w:pPr>
              <w:widowControl/>
              <w:adjustRightInd w:val="0"/>
              <w:snapToGrid w:val="0"/>
              <w:spacing w:line="560" w:lineRule="exact"/>
              <w:jc w:val="left"/>
              <w:rPr>
                <w:rFonts w:ascii="宋体" w:hAnsi="宋体"/>
                <w:color w:val="auto"/>
                <w:szCs w:val="21"/>
                <w:highlight w:val="none"/>
              </w:rPr>
            </w:pPr>
          </w:p>
        </w:tc>
        <w:tc>
          <w:tcPr>
            <w:tcW w:w="846" w:type="dxa"/>
            <w:vMerge w:val="continue"/>
            <w:noWrap w:val="0"/>
            <w:vAlign w:val="center"/>
          </w:tcPr>
          <w:p w14:paraId="3D01EFFA">
            <w:pPr>
              <w:adjustRightInd w:val="0"/>
              <w:snapToGrid w:val="0"/>
              <w:spacing w:line="560" w:lineRule="exact"/>
              <w:rPr>
                <w:rFonts w:ascii="宋体" w:hAnsi="宋体"/>
                <w:color w:val="auto"/>
                <w:szCs w:val="21"/>
                <w:highlight w:val="none"/>
              </w:rPr>
            </w:pPr>
          </w:p>
        </w:tc>
        <w:tc>
          <w:tcPr>
            <w:tcW w:w="1985" w:type="dxa"/>
            <w:noWrap w:val="0"/>
            <w:vAlign w:val="center"/>
          </w:tcPr>
          <w:p w14:paraId="6A56EF82">
            <w:pPr>
              <w:adjustRightInd w:val="0"/>
              <w:snapToGrid w:val="0"/>
              <w:spacing w:line="560" w:lineRule="exact"/>
              <w:rPr>
                <w:rFonts w:hint="eastAsia" w:ascii="宋体" w:hAnsi="宋体"/>
                <w:color w:val="auto"/>
                <w:szCs w:val="21"/>
                <w:highlight w:val="none"/>
              </w:rPr>
            </w:pPr>
            <w:r>
              <w:rPr>
                <w:rFonts w:hint="eastAsia" w:ascii="宋体" w:hAnsi="宋体"/>
                <w:color w:val="auto"/>
                <w:szCs w:val="21"/>
                <w:highlight w:val="none"/>
              </w:rPr>
              <w:t>投标报价</w:t>
            </w:r>
          </w:p>
        </w:tc>
        <w:tc>
          <w:tcPr>
            <w:tcW w:w="5794" w:type="dxa"/>
            <w:noWrap w:val="0"/>
            <w:vAlign w:val="center"/>
          </w:tcPr>
          <w:p w14:paraId="64B3DF83">
            <w:pPr>
              <w:adjustRightInd w:val="0"/>
              <w:snapToGrid w:val="0"/>
              <w:spacing w:line="560" w:lineRule="exact"/>
              <w:rPr>
                <w:rFonts w:hint="eastAsia" w:ascii="宋体" w:hAnsi="宋体"/>
                <w:color w:val="auto"/>
                <w:szCs w:val="21"/>
                <w:highlight w:val="none"/>
              </w:rPr>
            </w:pPr>
            <w:r>
              <w:rPr>
                <w:rFonts w:hint="eastAsia" w:ascii="宋体" w:hAnsi="宋体"/>
                <w:color w:val="auto"/>
                <w:szCs w:val="21"/>
                <w:highlight w:val="none"/>
              </w:rPr>
              <w:t>投标报价低于本项目通过资信、技术评审且商务标初步评审合格的有效投标报价平均值10%以上。</w:t>
            </w:r>
          </w:p>
        </w:tc>
      </w:tr>
      <w:tr w14:paraId="2DBE3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881" w:type="dxa"/>
            <w:vMerge w:val="continue"/>
            <w:noWrap w:val="0"/>
            <w:vAlign w:val="center"/>
          </w:tcPr>
          <w:p w14:paraId="7A7D32FE">
            <w:pPr>
              <w:widowControl/>
              <w:adjustRightInd w:val="0"/>
              <w:snapToGrid w:val="0"/>
              <w:spacing w:line="560" w:lineRule="exact"/>
              <w:jc w:val="left"/>
              <w:rPr>
                <w:rFonts w:ascii="宋体" w:hAnsi="宋体"/>
                <w:color w:val="auto"/>
                <w:szCs w:val="21"/>
                <w:highlight w:val="none"/>
              </w:rPr>
            </w:pPr>
          </w:p>
        </w:tc>
        <w:tc>
          <w:tcPr>
            <w:tcW w:w="780" w:type="dxa"/>
            <w:vMerge w:val="continue"/>
            <w:noWrap w:val="0"/>
            <w:vAlign w:val="center"/>
          </w:tcPr>
          <w:p w14:paraId="76C85F6D">
            <w:pPr>
              <w:widowControl/>
              <w:adjustRightInd w:val="0"/>
              <w:snapToGrid w:val="0"/>
              <w:spacing w:line="560" w:lineRule="exact"/>
              <w:jc w:val="left"/>
              <w:rPr>
                <w:rFonts w:ascii="宋体" w:hAnsi="宋体"/>
                <w:color w:val="auto"/>
                <w:szCs w:val="21"/>
                <w:highlight w:val="none"/>
              </w:rPr>
            </w:pPr>
          </w:p>
        </w:tc>
        <w:tc>
          <w:tcPr>
            <w:tcW w:w="846" w:type="dxa"/>
            <w:vMerge w:val="continue"/>
            <w:noWrap w:val="0"/>
            <w:vAlign w:val="center"/>
          </w:tcPr>
          <w:p w14:paraId="38696F1E">
            <w:pPr>
              <w:adjustRightInd w:val="0"/>
              <w:snapToGrid w:val="0"/>
              <w:spacing w:line="560" w:lineRule="exact"/>
              <w:rPr>
                <w:rFonts w:ascii="宋体" w:hAnsi="宋体"/>
                <w:color w:val="auto"/>
                <w:szCs w:val="21"/>
                <w:highlight w:val="none"/>
              </w:rPr>
            </w:pPr>
          </w:p>
        </w:tc>
        <w:tc>
          <w:tcPr>
            <w:tcW w:w="1985" w:type="dxa"/>
            <w:noWrap w:val="0"/>
            <w:vAlign w:val="center"/>
          </w:tcPr>
          <w:p w14:paraId="3172D194">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报价内容完整性</w:t>
            </w:r>
          </w:p>
        </w:tc>
        <w:tc>
          <w:tcPr>
            <w:tcW w:w="5794" w:type="dxa"/>
            <w:noWrap w:val="0"/>
            <w:vAlign w:val="center"/>
          </w:tcPr>
          <w:p w14:paraId="7F5BD897">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因投标人原因造成投标报价清单缺漏，缺漏项总额（多算或多报总额不得抵消缺漏项目总额）累计占本项目通过资信、技术评审且商务标初步评审合格</w:t>
            </w:r>
            <w:r>
              <w:rPr>
                <w:rFonts w:hint="eastAsia" w:ascii="宋体" w:hAnsi="宋体"/>
                <w:color w:val="auto"/>
                <w:spacing w:val="-6"/>
                <w:szCs w:val="21"/>
                <w:highlight w:val="none"/>
              </w:rPr>
              <w:t>有效投标总报价平均值</w:t>
            </w:r>
            <w:r>
              <w:rPr>
                <w:rFonts w:ascii="宋体" w:hAnsi="宋体"/>
                <w:color w:val="auto"/>
                <w:spacing w:val="-6"/>
                <w:szCs w:val="21"/>
                <w:highlight w:val="none"/>
              </w:rPr>
              <w:t>5%</w:t>
            </w:r>
            <w:r>
              <w:rPr>
                <w:rFonts w:hint="eastAsia" w:ascii="宋体" w:hAnsi="宋体"/>
                <w:color w:val="auto"/>
                <w:spacing w:val="-6"/>
                <w:szCs w:val="21"/>
                <w:highlight w:val="none"/>
              </w:rPr>
              <w:t>以上。</w:t>
            </w:r>
          </w:p>
        </w:tc>
      </w:tr>
      <w:tr w14:paraId="7E270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81" w:type="dxa"/>
            <w:vMerge w:val="continue"/>
            <w:noWrap w:val="0"/>
            <w:vAlign w:val="center"/>
          </w:tcPr>
          <w:p w14:paraId="21FA7B1D">
            <w:pPr>
              <w:widowControl/>
              <w:adjustRightInd w:val="0"/>
              <w:snapToGrid w:val="0"/>
              <w:spacing w:line="560" w:lineRule="exact"/>
              <w:jc w:val="left"/>
              <w:rPr>
                <w:rFonts w:ascii="宋体" w:hAnsi="宋体"/>
                <w:color w:val="auto"/>
                <w:szCs w:val="21"/>
                <w:highlight w:val="none"/>
              </w:rPr>
            </w:pPr>
          </w:p>
        </w:tc>
        <w:tc>
          <w:tcPr>
            <w:tcW w:w="780" w:type="dxa"/>
            <w:vMerge w:val="continue"/>
            <w:noWrap w:val="0"/>
            <w:vAlign w:val="center"/>
          </w:tcPr>
          <w:p w14:paraId="3470A370">
            <w:pPr>
              <w:widowControl/>
              <w:adjustRightInd w:val="0"/>
              <w:snapToGrid w:val="0"/>
              <w:spacing w:line="560" w:lineRule="exact"/>
              <w:jc w:val="left"/>
              <w:rPr>
                <w:rFonts w:ascii="宋体" w:hAnsi="宋体"/>
                <w:color w:val="auto"/>
                <w:szCs w:val="21"/>
                <w:highlight w:val="none"/>
              </w:rPr>
            </w:pPr>
          </w:p>
        </w:tc>
        <w:tc>
          <w:tcPr>
            <w:tcW w:w="846" w:type="dxa"/>
            <w:vMerge w:val="continue"/>
            <w:noWrap w:val="0"/>
            <w:vAlign w:val="center"/>
          </w:tcPr>
          <w:p w14:paraId="25B0F054">
            <w:pPr>
              <w:adjustRightInd w:val="0"/>
              <w:snapToGrid w:val="0"/>
              <w:spacing w:line="560" w:lineRule="exact"/>
              <w:rPr>
                <w:rFonts w:hint="eastAsia" w:ascii="宋体" w:hAnsi="宋体"/>
                <w:color w:val="auto"/>
                <w:szCs w:val="21"/>
                <w:highlight w:val="none"/>
              </w:rPr>
            </w:pPr>
          </w:p>
        </w:tc>
        <w:tc>
          <w:tcPr>
            <w:tcW w:w="1985" w:type="dxa"/>
            <w:noWrap w:val="0"/>
            <w:vAlign w:val="center"/>
          </w:tcPr>
          <w:p w14:paraId="224D0B30">
            <w:pPr>
              <w:adjustRightInd w:val="0"/>
              <w:snapToGrid w:val="0"/>
              <w:spacing w:line="560" w:lineRule="exact"/>
              <w:rPr>
                <w:rFonts w:hint="eastAsia" w:ascii="宋体" w:hAnsi="宋体"/>
                <w:color w:val="auto"/>
                <w:szCs w:val="21"/>
                <w:highlight w:val="none"/>
              </w:rPr>
            </w:pPr>
            <w:r>
              <w:rPr>
                <w:rFonts w:hint="eastAsia" w:ascii="宋体" w:hAnsi="宋体"/>
                <w:color w:val="auto"/>
                <w:szCs w:val="21"/>
                <w:highlight w:val="none"/>
              </w:rPr>
              <w:t>人工工日单价</w:t>
            </w:r>
          </w:p>
        </w:tc>
        <w:tc>
          <w:tcPr>
            <w:tcW w:w="5794" w:type="dxa"/>
            <w:noWrap w:val="0"/>
            <w:vAlign w:val="center"/>
          </w:tcPr>
          <w:p w14:paraId="6081B17D">
            <w:pPr>
              <w:adjustRightInd w:val="0"/>
              <w:snapToGrid w:val="0"/>
              <w:spacing w:line="560" w:lineRule="exact"/>
              <w:rPr>
                <w:rFonts w:hint="eastAsia" w:ascii="宋体" w:hAnsi="宋体"/>
                <w:color w:val="auto"/>
                <w:szCs w:val="21"/>
                <w:highlight w:val="none"/>
              </w:rPr>
            </w:pPr>
            <w:r>
              <w:rPr>
                <w:rFonts w:hint="eastAsia" w:ascii="宋体" w:hAnsi="宋体"/>
                <w:color w:val="auto"/>
                <w:szCs w:val="21"/>
                <w:highlight w:val="none"/>
              </w:rPr>
              <w:t>不得低于招标人发布的最高投标限价中的人工工日单价</w:t>
            </w:r>
          </w:p>
        </w:tc>
      </w:tr>
      <w:tr w14:paraId="3FA19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81" w:type="dxa"/>
            <w:vMerge w:val="continue"/>
            <w:noWrap w:val="0"/>
            <w:vAlign w:val="center"/>
          </w:tcPr>
          <w:p w14:paraId="399D58F3">
            <w:pPr>
              <w:widowControl/>
              <w:adjustRightInd w:val="0"/>
              <w:snapToGrid w:val="0"/>
              <w:spacing w:line="560" w:lineRule="exact"/>
              <w:jc w:val="left"/>
              <w:rPr>
                <w:rFonts w:ascii="宋体" w:hAnsi="宋体"/>
                <w:color w:val="auto"/>
                <w:szCs w:val="21"/>
                <w:highlight w:val="none"/>
              </w:rPr>
            </w:pPr>
          </w:p>
        </w:tc>
        <w:tc>
          <w:tcPr>
            <w:tcW w:w="780" w:type="dxa"/>
            <w:vMerge w:val="continue"/>
            <w:noWrap w:val="0"/>
            <w:vAlign w:val="center"/>
          </w:tcPr>
          <w:p w14:paraId="21D72951">
            <w:pPr>
              <w:widowControl/>
              <w:adjustRightInd w:val="0"/>
              <w:snapToGrid w:val="0"/>
              <w:spacing w:line="560" w:lineRule="exact"/>
              <w:jc w:val="left"/>
              <w:rPr>
                <w:rFonts w:ascii="宋体" w:hAnsi="宋体"/>
                <w:color w:val="auto"/>
                <w:szCs w:val="21"/>
                <w:highlight w:val="none"/>
              </w:rPr>
            </w:pPr>
          </w:p>
        </w:tc>
        <w:tc>
          <w:tcPr>
            <w:tcW w:w="846" w:type="dxa"/>
            <w:vMerge w:val="continue"/>
            <w:noWrap w:val="0"/>
            <w:vAlign w:val="center"/>
          </w:tcPr>
          <w:p w14:paraId="08C179EE">
            <w:pPr>
              <w:adjustRightInd w:val="0"/>
              <w:snapToGrid w:val="0"/>
              <w:spacing w:line="560" w:lineRule="exact"/>
              <w:rPr>
                <w:rFonts w:ascii="宋体" w:hAnsi="宋体"/>
                <w:color w:val="auto"/>
                <w:szCs w:val="21"/>
                <w:highlight w:val="none"/>
              </w:rPr>
            </w:pPr>
          </w:p>
        </w:tc>
        <w:tc>
          <w:tcPr>
            <w:tcW w:w="1985" w:type="dxa"/>
            <w:noWrap w:val="0"/>
            <w:vAlign w:val="center"/>
          </w:tcPr>
          <w:p w14:paraId="60D9F3CC">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需评审材料数量</w:t>
            </w:r>
          </w:p>
        </w:tc>
        <w:tc>
          <w:tcPr>
            <w:tcW w:w="5794" w:type="dxa"/>
            <w:noWrap w:val="0"/>
            <w:vAlign w:val="center"/>
          </w:tcPr>
          <w:p w14:paraId="7319C891">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需评审的主要材料消耗量低于最高投标限价相应材料数量的5</w:t>
            </w:r>
            <w:r>
              <w:rPr>
                <w:rFonts w:ascii="宋体" w:hAnsi="宋体"/>
                <w:color w:val="auto"/>
                <w:szCs w:val="21"/>
                <w:highlight w:val="none"/>
              </w:rPr>
              <w:t>%</w:t>
            </w:r>
            <w:r>
              <w:rPr>
                <w:rFonts w:hint="eastAsia" w:ascii="宋体" w:hAnsi="宋体"/>
                <w:color w:val="auto"/>
                <w:szCs w:val="21"/>
                <w:highlight w:val="none"/>
              </w:rPr>
              <w:t>以上，且低于本项目通过资信、技术评审且商务标初步评审合格有效投标报价相应材料消耗量平均值的</w:t>
            </w:r>
            <w:r>
              <w:rPr>
                <w:rFonts w:ascii="宋体" w:hAnsi="宋体"/>
                <w:color w:val="auto"/>
                <w:szCs w:val="21"/>
                <w:highlight w:val="none"/>
              </w:rPr>
              <w:t>3%</w:t>
            </w:r>
            <w:r>
              <w:rPr>
                <w:rFonts w:hint="eastAsia" w:ascii="宋体" w:hAnsi="宋体"/>
                <w:color w:val="auto"/>
                <w:szCs w:val="21"/>
                <w:highlight w:val="none"/>
              </w:rPr>
              <w:t>以上。</w:t>
            </w:r>
          </w:p>
        </w:tc>
      </w:tr>
      <w:tr w14:paraId="6F5F6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881" w:type="dxa"/>
            <w:vMerge w:val="continue"/>
            <w:noWrap w:val="0"/>
            <w:vAlign w:val="center"/>
          </w:tcPr>
          <w:p w14:paraId="1C4FAD33">
            <w:pPr>
              <w:widowControl/>
              <w:adjustRightInd w:val="0"/>
              <w:snapToGrid w:val="0"/>
              <w:spacing w:line="560" w:lineRule="exact"/>
              <w:jc w:val="left"/>
              <w:rPr>
                <w:rFonts w:ascii="宋体" w:hAnsi="宋体"/>
                <w:color w:val="auto"/>
                <w:szCs w:val="21"/>
                <w:highlight w:val="none"/>
              </w:rPr>
            </w:pPr>
          </w:p>
        </w:tc>
        <w:tc>
          <w:tcPr>
            <w:tcW w:w="780" w:type="dxa"/>
            <w:vMerge w:val="continue"/>
            <w:noWrap w:val="0"/>
            <w:vAlign w:val="center"/>
          </w:tcPr>
          <w:p w14:paraId="33E76510">
            <w:pPr>
              <w:widowControl/>
              <w:adjustRightInd w:val="0"/>
              <w:snapToGrid w:val="0"/>
              <w:spacing w:line="560" w:lineRule="exact"/>
              <w:jc w:val="left"/>
              <w:rPr>
                <w:rFonts w:ascii="宋体" w:hAnsi="宋体"/>
                <w:color w:val="auto"/>
                <w:szCs w:val="21"/>
                <w:highlight w:val="none"/>
              </w:rPr>
            </w:pPr>
          </w:p>
        </w:tc>
        <w:tc>
          <w:tcPr>
            <w:tcW w:w="846" w:type="dxa"/>
            <w:vMerge w:val="continue"/>
            <w:noWrap w:val="0"/>
            <w:vAlign w:val="center"/>
          </w:tcPr>
          <w:p w14:paraId="02B0D288">
            <w:pPr>
              <w:adjustRightInd w:val="0"/>
              <w:snapToGrid w:val="0"/>
              <w:spacing w:line="560" w:lineRule="exact"/>
              <w:rPr>
                <w:rFonts w:ascii="宋体" w:hAnsi="宋体"/>
                <w:color w:val="auto"/>
                <w:szCs w:val="21"/>
                <w:highlight w:val="none"/>
              </w:rPr>
            </w:pPr>
          </w:p>
        </w:tc>
        <w:tc>
          <w:tcPr>
            <w:tcW w:w="1985" w:type="dxa"/>
            <w:noWrap w:val="0"/>
            <w:vAlign w:val="center"/>
          </w:tcPr>
          <w:p w14:paraId="1F17A34F">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施工机具使用费</w:t>
            </w:r>
          </w:p>
        </w:tc>
        <w:tc>
          <w:tcPr>
            <w:tcW w:w="5794" w:type="dxa"/>
            <w:noWrap w:val="0"/>
            <w:vAlign w:val="center"/>
          </w:tcPr>
          <w:p w14:paraId="26705D15">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施工机具使用费低于本项目通过资信、技术评审且商务标初步评审合格有效投标报价施工机具使用费平均值的</w:t>
            </w:r>
            <w:r>
              <w:rPr>
                <w:rFonts w:ascii="宋体" w:hAnsi="宋体"/>
                <w:color w:val="auto"/>
                <w:szCs w:val="21"/>
                <w:highlight w:val="none"/>
              </w:rPr>
              <w:t>10%</w:t>
            </w:r>
            <w:r>
              <w:rPr>
                <w:rFonts w:hint="eastAsia" w:ascii="宋体" w:hAnsi="宋体"/>
                <w:color w:val="auto"/>
                <w:szCs w:val="21"/>
                <w:highlight w:val="none"/>
              </w:rPr>
              <w:t>以上。</w:t>
            </w:r>
          </w:p>
        </w:tc>
      </w:tr>
      <w:tr w14:paraId="3C042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881" w:type="dxa"/>
            <w:vMerge w:val="continue"/>
            <w:noWrap w:val="0"/>
            <w:vAlign w:val="center"/>
          </w:tcPr>
          <w:p w14:paraId="7583FC65">
            <w:pPr>
              <w:widowControl/>
              <w:adjustRightInd w:val="0"/>
              <w:snapToGrid w:val="0"/>
              <w:spacing w:line="560" w:lineRule="exact"/>
              <w:jc w:val="left"/>
              <w:rPr>
                <w:rFonts w:ascii="宋体" w:hAnsi="宋体"/>
                <w:color w:val="auto"/>
                <w:szCs w:val="21"/>
                <w:highlight w:val="none"/>
              </w:rPr>
            </w:pPr>
          </w:p>
        </w:tc>
        <w:tc>
          <w:tcPr>
            <w:tcW w:w="780" w:type="dxa"/>
            <w:vMerge w:val="continue"/>
            <w:noWrap w:val="0"/>
            <w:vAlign w:val="center"/>
          </w:tcPr>
          <w:p w14:paraId="5CD4987E">
            <w:pPr>
              <w:widowControl/>
              <w:adjustRightInd w:val="0"/>
              <w:snapToGrid w:val="0"/>
              <w:spacing w:line="560" w:lineRule="exact"/>
              <w:jc w:val="left"/>
              <w:rPr>
                <w:rFonts w:ascii="宋体" w:hAnsi="宋体"/>
                <w:color w:val="auto"/>
                <w:szCs w:val="21"/>
                <w:highlight w:val="none"/>
              </w:rPr>
            </w:pPr>
          </w:p>
        </w:tc>
        <w:tc>
          <w:tcPr>
            <w:tcW w:w="846" w:type="dxa"/>
            <w:vMerge w:val="continue"/>
            <w:noWrap w:val="0"/>
            <w:vAlign w:val="center"/>
          </w:tcPr>
          <w:p w14:paraId="6B62A15A">
            <w:pPr>
              <w:adjustRightInd w:val="0"/>
              <w:snapToGrid w:val="0"/>
              <w:spacing w:line="560" w:lineRule="exact"/>
              <w:rPr>
                <w:rFonts w:ascii="宋体" w:hAnsi="宋体"/>
                <w:color w:val="auto"/>
                <w:szCs w:val="21"/>
                <w:highlight w:val="none"/>
              </w:rPr>
            </w:pPr>
          </w:p>
        </w:tc>
        <w:tc>
          <w:tcPr>
            <w:tcW w:w="1985" w:type="dxa"/>
            <w:noWrap w:val="0"/>
            <w:vAlign w:val="center"/>
          </w:tcPr>
          <w:p w14:paraId="52778F32">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管理费和利润费率</w:t>
            </w:r>
          </w:p>
        </w:tc>
        <w:tc>
          <w:tcPr>
            <w:tcW w:w="5794" w:type="dxa"/>
            <w:noWrap w:val="0"/>
            <w:vAlign w:val="center"/>
          </w:tcPr>
          <w:p w14:paraId="53AC0ADF">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管理费、利润投标费率低于</w:t>
            </w:r>
            <w:r>
              <w:rPr>
                <w:rFonts w:ascii="宋体" w:hAnsi="宋体"/>
                <w:color w:val="auto"/>
                <w:szCs w:val="21"/>
                <w:highlight w:val="none"/>
              </w:rPr>
              <w:t>0%</w:t>
            </w:r>
            <w:r>
              <w:rPr>
                <w:rFonts w:hint="eastAsia" w:ascii="宋体" w:hAnsi="宋体"/>
                <w:color w:val="auto"/>
                <w:szCs w:val="21"/>
                <w:highlight w:val="none"/>
              </w:rPr>
              <w:t>。</w:t>
            </w:r>
          </w:p>
        </w:tc>
      </w:tr>
      <w:tr w14:paraId="3F165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81" w:type="dxa"/>
            <w:vMerge w:val="continue"/>
            <w:noWrap w:val="0"/>
            <w:vAlign w:val="center"/>
          </w:tcPr>
          <w:p w14:paraId="3736C603">
            <w:pPr>
              <w:widowControl/>
              <w:adjustRightInd w:val="0"/>
              <w:snapToGrid w:val="0"/>
              <w:spacing w:line="560" w:lineRule="exact"/>
              <w:jc w:val="left"/>
              <w:rPr>
                <w:rFonts w:ascii="宋体" w:hAnsi="宋体"/>
                <w:color w:val="auto"/>
                <w:szCs w:val="21"/>
                <w:highlight w:val="none"/>
              </w:rPr>
            </w:pPr>
          </w:p>
        </w:tc>
        <w:tc>
          <w:tcPr>
            <w:tcW w:w="780" w:type="dxa"/>
            <w:vMerge w:val="continue"/>
            <w:noWrap w:val="0"/>
            <w:vAlign w:val="center"/>
          </w:tcPr>
          <w:p w14:paraId="7B8C704B">
            <w:pPr>
              <w:widowControl/>
              <w:adjustRightInd w:val="0"/>
              <w:snapToGrid w:val="0"/>
              <w:spacing w:line="560" w:lineRule="exact"/>
              <w:jc w:val="left"/>
              <w:rPr>
                <w:rFonts w:ascii="宋体" w:hAnsi="宋体"/>
                <w:color w:val="auto"/>
                <w:szCs w:val="21"/>
                <w:highlight w:val="none"/>
              </w:rPr>
            </w:pPr>
          </w:p>
        </w:tc>
        <w:tc>
          <w:tcPr>
            <w:tcW w:w="846" w:type="dxa"/>
            <w:vMerge w:val="restart"/>
            <w:noWrap w:val="0"/>
            <w:vAlign w:val="center"/>
          </w:tcPr>
          <w:p w14:paraId="5E75D3D4">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无效报价</w:t>
            </w:r>
          </w:p>
        </w:tc>
        <w:tc>
          <w:tcPr>
            <w:tcW w:w="1985" w:type="dxa"/>
            <w:noWrap w:val="0"/>
            <w:vAlign w:val="center"/>
          </w:tcPr>
          <w:p w14:paraId="4C1A33E3">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暂估价材料、设备</w:t>
            </w:r>
          </w:p>
        </w:tc>
        <w:tc>
          <w:tcPr>
            <w:tcW w:w="5794" w:type="dxa"/>
            <w:noWrap w:val="0"/>
            <w:vAlign w:val="center"/>
          </w:tcPr>
          <w:p w14:paraId="72CC1E60">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材料、设备暂估价未按要求计入分部分项工程费。</w:t>
            </w:r>
          </w:p>
        </w:tc>
      </w:tr>
      <w:tr w14:paraId="53A32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881" w:type="dxa"/>
            <w:vMerge w:val="continue"/>
            <w:noWrap w:val="0"/>
            <w:vAlign w:val="center"/>
          </w:tcPr>
          <w:p w14:paraId="2450B08A">
            <w:pPr>
              <w:widowControl/>
              <w:adjustRightInd w:val="0"/>
              <w:snapToGrid w:val="0"/>
              <w:spacing w:line="560" w:lineRule="exact"/>
              <w:jc w:val="left"/>
              <w:rPr>
                <w:rFonts w:ascii="宋体" w:hAnsi="宋体"/>
                <w:color w:val="auto"/>
                <w:szCs w:val="21"/>
                <w:highlight w:val="none"/>
              </w:rPr>
            </w:pPr>
          </w:p>
        </w:tc>
        <w:tc>
          <w:tcPr>
            <w:tcW w:w="780" w:type="dxa"/>
            <w:vMerge w:val="continue"/>
            <w:noWrap w:val="0"/>
            <w:vAlign w:val="center"/>
          </w:tcPr>
          <w:p w14:paraId="7BAEB199">
            <w:pPr>
              <w:widowControl/>
              <w:adjustRightInd w:val="0"/>
              <w:snapToGrid w:val="0"/>
              <w:spacing w:line="560" w:lineRule="exact"/>
              <w:jc w:val="left"/>
              <w:rPr>
                <w:rFonts w:ascii="宋体" w:hAnsi="宋体"/>
                <w:color w:val="auto"/>
                <w:szCs w:val="21"/>
                <w:highlight w:val="none"/>
              </w:rPr>
            </w:pPr>
          </w:p>
        </w:tc>
        <w:tc>
          <w:tcPr>
            <w:tcW w:w="846" w:type="dxa"/>
            <w:vMerge w:val="continue"/>
            <w:noWrap w:val="0"/>
            <w:vAlign w:val="center"/>
          </w:tcPr>
          <w:p w14:paraId="5CE583D6">
            <w:pPr>
              <w:adjustRightInd w:val="0"/>
              <w:snapToGrid w:val="0"/>
              <w:spacing w:line="560" w:lineRule="exact"/>
              <w:rPr>
                <w:rFonts w:ascii="宋体" w:hAnsi="宋体"/>
                <w:color w:val="auto"/>
                <w:szCs w:val="21"/>
                <w:highlight w:val="none"/>
              </w:rPr>
            </w:pPr>
          </w:p>
        </w:tc>
        <w:tc>
          <w:tcPr>
            <w:tcW w:w="1985" w:type="dxa"/>
            <w:noWrap w:val="0"/>
            <w:vAlign w:val="center"/>
          </w:tcPr>
          <w:p w14:paraId="692B7931">
            <w:pPr>
              <w:adjustRightInd w:val="0"/>
              <w:snapToGrid w:val="0"/>
              <w:spacing w:line="560" w:lineRule="exact"/>
              <w:jc w:val="center"/>
              <w:rPr>
                <w:rFonts w:ascii="宋体" w:hAnsi="宋体"/>
                <w:color w:val="auto"/>
                <w:szCs w:val="21"/>
                <w:highlight w:val="none"/>
              </w:rPr>
            </w:pPr>
            <w:r>
              <w:rPr>
                <w:rFonts w:hint="eastAsia" w:ascii="宋体" w:hAnsi="宋体"/>
                <w:color w:val="auto"/>
                <w:szCs w:val="21"/>
                <w:highlight w:val="none"/>
              </w:rPr>
              <w:t>不可竞争项目费费率</w:t>
            </w:r>
          </w:p>
        </w:tc>
        <w:tc>
          <w:tcPr>
            <w:tcW w:w="5794" w:type="dxa"/>
            <w:noWrap w:val="0"/>
            <w:vAlign w:val="center"/>
          </w:tcPr>
          <w:p w14:paraId="738A9CD1">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低于建标〔2021〕42号文规定的费率。</w:t>
            </w:r>
          </w:p>
        </w:tc>
      </w:tr>
      <w:tr w14:paraId="3F8B8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881" w:type="dxa"/>
            <w:vMerge w:val="continue"/>
            <w:noWrap w:val="0"/>
            <w:vAlign w:val="center"/>
          </w:tcPr>
          <w:p w14:paraId="0EE10A85">
            <w:pPr>
              <w:widowControl/>
              <w:adjustRightInd w:val="0"/>
              <w:snapToGrid w:val="0"/>
              <w:spacing w:line="560" w:lineRule="exact"/>
              <w:jc w:val="left"/>
              <w:rPr>
                <w:rFonts w:ascii="宋体" w:hAnsi="宋体"/>
                <w:color w:val="auto"/>
                <w:szCs w:val="21"/>
                <w:highlight w:val="none"/>
              </w:rPr>
            </w:pPr>
          </w:p>
        </w:tc>
        <w:tc>
          <w:tcPr>
            <w:tcW w:w="780" w:type="dxa"/>
            <w:vMerge w:val="continue"/>
            <w:noWrap w:val="0"/>
            <w:vAlign w:val="center"/>
          </w:tcPr>
          <w:p w14:paraId="20740E2A">
            <w:pPr>
              <w:widowControl/>
              <w:adjustRightInd w:val="0"/>
              <w:snapToGrid w:val="0"/>
              <w:spacing w:line="560" w:lineRule="exact"/>
              <w:jc w:val="left"/>
              <w:rPr>
                <w:rFonts w:ascii="宋体" w:hAnsi="宋体"/>
                <w:color w:val="auto"/>
                <w:szCs w:val="21"/>
                <w:highlight w:val="none"/>
              </w:rPr>
            </w:pPr>
          </w:p>
        </w:tc>
        <w:tc>
          <w:tcPr>
            <w:tcW w:w="846" w:type="dxa"/>
            <w:vMerge w:val="continue"/>
            <w:noWrap w:val="0"/>
            <w:vAlign w:val="center"/>
          </w:tcPr>
          <w:p w14:paraId="6C14F996">
            <w:pPr>
              <w:adjustRightInd w:val="0"/>
              <w:snapToGrid w:val="0"/>
              <w:spacing w:line="560" w:lineRule="exact"/>
              <w:rPr>
                <w:rFonts w:ascii="宋体" w:hAnsi="宋体"/>
                <w:color w:val="auto"/>
                <w:szCs w:val="21"/>
                <w:highlight w:val="none"/>
              </w:rPr>
            </w:pPr>
          </w:p>
        </w:tc>
        <w:tc>
          <w:tcPr>
            <w:tcW w:w="1985" w:type="dxa"/>
            <w:noWrap w:val="0"/>
            <w:vAlign w:val="center"/>
          </w:tcPr>
          <w:p w14:paraId="0FB71951">
            <w:pPr>
              <w:adjustRightInd w:val="0"/>
              <w:snapToGrid w:val="0"/>
              <w:spacing w:line="560" w:lineRule="exact"/>
              <w:jc w:val="center"/>
              <w:rPr>
                <w:rFonts w:ascii="宋体" w:hAnsi="宋体"/>
                <w:color w:val="auto"/>
                <w:szCs w:val="21"/>
                <w:highlight w:val="none"/>
              </w:rPr>
            </w:pPr>
            <w:r>
              <w:rPr>
                <w:rFonts w:hint="eastAsia" w:ascii="宋体" w:hAnsi="宋体"/>
                <w:color w:val="auto"/>
                <w:szCs w:val="21"/>
                <w:highlight w:val="none"/>
              </w:rPr>
              <w:t>税率</w:t>
            </w:r>
          </w:p>
        </w:tc>
        <w:tc>
          <w:tcPr>
            <w:tcW w:w="5794" w:type="dxa"/>
            <w:noWrap w:val="0"/>
            <w:vAlign w:val="center"/>
          </w:tcPr>
          <w:p w14:paraId="7E75A917">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低于《关于调整我省现行建设工程计价依据增值税税率的通知》（皖造价〔2019〕7号）规定的费率。</w:t>
            </w:r>
          </w:p>
        </w:tc>
      </w:tr>
      <w:tr w14:paraId="114D4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1" w:type="dxa"/>
            <w:noWrap w:val="0"/>
            <w:vAlign w:val="center"/>
          </w:tcPr>
          <w:p w14:paraId="2290C7CE">
            <w:pPr>
              <w:adjustRightInd w:val="0"/>
              <w:snapToGrid w:val="0"/>
              <w:spacing w:line="560" w:lineRule="exact"/>
              <w:jc w:val="center"/>
              <w:rPr>
                <w:rFonts w:ascii="宋体" w:hAnsi="宋体"/>
                <w:color w:val="auto"/>
                <w:szCs w:val="21"/>
                <w:highlight w:val="none"/>
              </w:rPr>
            </w:pPr>
            <w:r>
              <w:rPr>
                <w:rFonts w:ascii="宋体" w:hAnsi="宋体"/>
                <w:color w:val="auto"/>
                <w:szCs w:val="21"/>
                <w:highlight w:val="none"/>
              </w:rPr>
              <w:t>7</w:t>
            </w:r>
            <w:r>
              <w:rPr>
                <w:rFonts w:hint="eastAsia" w:ascii="宋体" w:hAnsi="宋体"/>
                <w:color w:val="auto"/>
                <w:szCs w:val="21"/>
                <w:highlight w:val="none"/>
              </w:rPr>
              <w:t>.1</w:t>
            </w:r>
          </w:p>
        </w:tc>
        <w:tc>
          <w:tcPr>
            <w:tcW w:w="780" w:type="dxa"/>
            <w:noWrap w:val="0"/>
            <w:vAlign w:val="center"/>
          </w:tcPr>
          <w:p w14:paraId="047B69BD">
            <w:pPr>
              <w:adjustRightInd w:val="0"/>
              <w:snapToGrid w:val="0"/>
              <w:spacing w:line="560" w:lineRule="exact"/>
              <w:jc w:val="center"/>
              <w:rPr>
                <w:rFonts w:ascii="宋体" w:hAnsi="宋体"/>
                <w:color w:val="auto"/>
                <w:szCs w:val="21"/>
                <w:highlight w:val="none"/>
              </w:rPr>
            </w:pPr>
            <w:r>
              <w:rPr>
                <w:rFonts w:hint="eastAsia" w:ascii="宋体" w:hAnsi="宋体"/>
                <w:color w:val="auto"/>
                <w:szCs w:val="21"/>
                <w:highlight w:val="none"/>
                <w:lang w:val="en-US" w:eastAsia="zh-CN"/>
              </w:rPr>
              <w:t>商务得分（73分）</w:t>
            </w:r>
          </w:p>
        </w:tc>
        <w:tc>
          <w:tcPr>
            <w:tcW w:w="8625" w:type="dxa"/>
            <w:gridSpan w:val="3"/>
            <w:noWrap w:val="0"/>
            <w:vAlign w:val="center"/>
          </w:tcPr>
          <w:p w14:paraId="62567A2A">
            <w:pPr>
              <w:spacing w:line="560" w:lineRule="exact"/>
              <w:rPr>
                <w:rFonts w:hint="eastAsia" w:ascii="宋体" w:hAnsi="宋体" w:cs="宋体"/>
                <w:color w:val="auto"/>
                <w:highlight w:val="none"/>
              </w:rPr>
            </w:pPr>
            <w:r>
              <w:rPr>
                <w:rFonts w:hint="eastAsia" w:ascii="宋体" w:hAnsi="宋体" w:cs="宋体"/>
                <w:color w:val="auto"/>
                <w:highlight w:val="none"/>
              </w:rPr>
              <w:t>商务标评分按下列步骤计算：</w:t>
            </w:r>
          </w:p>
          <w:p w14:paraId="78BEA0CA">
            <w:pPr>
              <w:spacing w:line="560" w:lineRule="exact"/>
              <w:rPr>
                <w:rFonts w:hint="eastAsia" w:ascii="宋体" w:hAnsi="宋体" w:cs="宋体"/>
                <w:color w:val="auto"/>
                <w:highlight w:val="none"/>
              </w:rPr>
            </w:pPr>
            <w:r>
              <w:rPr>
                <w:rFonts w:hint="eastAsia" w:ascii="宋体" w:hAnsi="宋体" w:cs="宋体"/>
                <w:color w:val="auto"/>
                <w:highlight w:val="none"/>
              </w:rPr>
              <w:t>第一步：计算B值。</w:t>
            </w:r>
          </w:p>
          <w:p w14:paraId="70D83014">
            <w:pPr>
              <w:spacing w:line="560" w:lineRule="exact"/>
              <w:rPr>
                <w:rFonts w:hint="eastAsia" w:ascii="宋体" w:hAnsi="宋体" w:cs="宋体"/>
                <w:color w:val="auto"/>
                <w:szCs w:val="21"/>
                <w:highlight w:val="none"/>
              </w:rPr>
            </w:pPr>
            <w:r>
              <w:rPr>
                <w:rFonts w:hint="eastAsia" w:ascii="宋体" w:hAnsi="宋体" w:cs="宋体"/>
                <w:color w:val="auto"/>
                <w:szCs w:val="21"/>
                <w:highlight w:val="none"/>
              </w:rPr>
              <w:t>①B值为入围第二阶段的投标人的有效投标报价的算术平均值。</w:t>
            </w:r>
          </w:p>
          <w:p w14:paraId="3D9C4F9A">
            <w:pPr>
              <w:spacing w:line="560" w:lineRule="exact"/>
              <w:rPr>
                <w:rFonts w:hint="eastAsia" w:ascii="宋体" w:hAnsi="宋体" w:cs="宋体"/>
                <w:color w:val="auto"/>
                <w:szCs w:val="21"/>
                <w:highlight w:val="none"/>
              </w:rPr>
            </w:pPr>
            <w:r>
              <w:rPr>
                <w:rFonts w:hint="eastAsia" w:ascii="宋体" w:hAnsi="宋体" w:cs="宋体"/>
                <w:color w:val="auto"/>
                <w:szCs w:val="21"/>
                <w:highlight w:val="none"/>
              </w:rPr>
              <w:t>第二步：计算评标基准价F值。</w:t>
            </w:r>
          </w:p>
          <w:p w14:paraId="795A46FD">
            <w:pPr>
              <w:spacing w:line="560" w:lineRule="exact"/>
              <w:rPr>
                <w:rFonts w:hint="eastAsia" w:ascii="宋体" w:hAnsi="宋体" w:cs="宋体"/>
                <w:color w:val="auto"/>
                <w:szCs w:val="21"/>
                <w:highlight w:val="none"/>
              </w:rPr>
            </w:pPr>
            <w:r>
              <w:rPr>
                <w:rFonts w:hint="eastAsia" w:ascii="宋体" w:hAnsi="宋体" w:cs="宋体"/>
                <w:color w:val="auto"/>
                <w:szCs w:val="21"/>
                <w:highlight w:val="none"/>
              </w:rPr>
              <w:t>①F=B×（1-K），其中K为调整系数，K的取值为-0.5%（1号），0%（2号），0.5%（3号），1.0%（4号），1.5%（5号）。</w:t>
            </w:r>
          </w:p>
          <w:p w14:paraId="34FE9901">
            <w:pPr>
              <w:spacing w:line="560" w:lineRule="exact"/>
              <w:rPr>
                <w:rFonts w:hint="eastAsia" w:ascii="宋体" w:hAnsi="宋体" w:cs="宋体"/>
                <w:color w:val="auto"/>
                <w:szCs w:val="21"/>
                <w:highlight w:val="none"/>
              </w:rPr>
            </w:pPr>
            <w:r>
              <w:rPr>
                <w:rFonts w:hint="eastAsia" w:ascii="宋体" w:hAnsi="宋体" w:cs="宋体"/>
                <w:color w:val="auto"/>
                <w:szCs w:val="21"/>
                <w:highlight w:val="none"/>
              </w:rPr>
              <w:t>第三步：计算报价偏差率。</w:t>
            </w:r>
          </w:p>
          <w:p w14:paraId="1417DF87">
            <w:pPr>
              <w:spacing w:line="560" w:lineRule="exact"/>
              <w:rPr>
                <w:rFonts w:hint="eastAsia" w:ascii="宋体" w:hAnsi="宋体" w:cs="宋体"/>
                <w:color w:val="auto"/>
                <w:szCs w:val="21"/>
                <w:highlight w:val="none"/>
              </w:rPr>
            </w:pPr>
            <w:r>
              <w:rPr>
                <w:rFonts w:hint="eastAsia" w:ascii="宋体" w:hAnsi="宋体" w:cs="宋体"/>
                <w:color w:val="auto"/>
                <w:szCs w:val="21"/>
                <w:highlight w:val="none"/>
              </w:rPr>
              <w:t>①偏差率=|（投标报价-评标基准价）/评标基准价|×100%</w:t>
            </w:r>
          </w:p>
          <w:p w14:paraId="3CC1317F">
            <w:pPr>
              <w:spacing w:line="560" w:lineRule="exact"/>
              <w:rPr>
                <w:rFonts w:hint="eastAsia" w:ascii="宋体" w:hAnsi="宋体" w:cs="宋体"/>
                <w:color w:val="auto"/>
                <w:szCs w:val="21"/>
                <w:highlight w:val="none"/>
              </w:rPr>
            </w:pPr>
            <w:r>
              <w:rPr>
                <w:rFonts w:hint="eastAsia" w:ascii="宋体" w:hAnsi="宋体" w:cs="宋体"/>
                <w:color w:val="auto"/>
                <w:szCs w:val="21"/>
                <w:highlight w:val="none"/>
              </w:rPr>
              <w:t>第四步：计算报价得分</w:t>
            </w:r>
          </w:p>
          <w:p w14:paraId="3C4E9251">
            <w:pPr>
              <w:spacing w:line="560" w:lineRule="exact"/>
              <w:rPr>
                <w:rFonts w:hint="eastAsia" w:ascii="宋体" w:hAnsi="宋体" w:cs="宋体"/>
                <w:color w:val="auto"/>
                <w:szCs w:val="21"/>
                <w:highlight w:val="none"/>
              </w:rPr>
            </w:pPr>
            <w:r>
              <w:rPr>
                <w:rFonts w:hint="eastAsia" w:ascii="宋体" w:hAnsi="宋体" w:cs="宋体"/>
                <w:color w:val="auto"/>
                <w:szCs w:val="21"/>
                <w:highlight w:val="none"/>
              </w:rPr>
              <w:t>①投标报价等于评标基准价的得满分。</w:t>
            </w:r>
          </w:p>
          <w:p w14:paraId="42E28878">
            <w:pPr>
              <w:spacing w:line="560" w:lineRule="exact"/>
              <w:rPr>
                <w:rFonts w:hint="eastAsia" w:ascii="宋体" w:hAnsi="宋体" w:cs="宋体"/>
                <w:color w:val="auto"/>
                <w:szCs w:val="21"/>
                <w:highlight w:val="none"/>
              </w:rPr>
            </w:pPr>
            <w:r>
              <w:rPr>
                <w:rFonts w:hint="eastAsia" w:ascii="宋体" w:hAnsi="宋体" w:cs="宋体"/>
                <w:color w:val="auto"/>
                <w:szCs w:val="21"/>
                <w:highlight w:val="none"/>
              </w:rPr>
              <w:t>②投标报价高于评标基准价的，投标报价得分=报价满分值-偏差率×100×1</w:t>
            </w:r>
          </w:p>
          <w:p w14:paraId="17DDF29D">
            <w:pPr>
              <w:spacing w:line="560" w:lineRule="exact"/>
              <w:rPr>
                <w:rFonts w:hint="eastAsia" w:ascii="宋体" w:hAnsi="宋体" w:cs="宋体"/>
                <w:color w:val="auto"/>
                <w:szCs w:val="21"/>
                <w:highlight w:val="none"/>
              </w:rPr>
            </w:pPr>
            <w:r>
              <w:rPr>
                <w:rFonts w:hint="eastAsia" w:ascii="宋体" w:hAnsi="宋体" w:cs="宋体"/>
                <w:color w:val="auto"/>
                <w:szCs w:val="21"/>
                <w:highlight w:val="none"/>
              </w:rPr>
              <w:t>③投标报价低于评标基准价的，投标报价得分=报价满分值-偏差率×100×0.5</w:t>
            </w:r>
          </w:p>
          <w:p w14:paraId="1D528715">
            <w:pPr>
              <w:pStyle w:val="19"/>
              <w:adjustRightInd w:val="0"/>
              <w:snapToGrid w:val="0"/>
              <w:spacing w:after="0" w:line="560" w:lineRule="exact"/>
              <w:ind w:left="0" w:leftChars="0" w:firstLine="0" w:firstLineChars="0"/>
              <w:jc w:val="left"/>
              <w:rPr>
                <w:rFonts w:ascii="宋体" w:hAnsi="宋体" w:cs="宋体"/>
                <w:color w:val="auto"/>
                <w:szCs w:val="21"/>
                <w:highlight w:val="none"/>
              </w:rPr>
            </w:pPr>
            <w:r>
              <w:rPr>
                <w:rFonts w:hint="eastAsia" w:ascii="宋体" w:hAnsi="宋体" w:cs="宋体"/>
                <w:b/>
                <w:color w:val="auto"/>
                <w:szCs w:val="21"/>
                <w:highlight w:val="none"/>
              </w:rPr>
              <w:t>注：计算过程中，B值、评标基准价F值、偏差率、报价得分均保留两位小数，小数点后第三位四舍五入。</w:t>
            </w:r>
          </w:p>
        </w:tc>
      </w:tr>
    </w:tbl>
    <w:p w14:paraId="134F8503">
      <w:pPr>
        <w:adjustRightInd w:val="0"/>
        <w:snapToGrid w:val="0"/>
        <w:spacing w:line="560" w:lineRule="exact"/>
        <w:ind w:firstLine="316" w:firstLineChars="150"/>
        <w:rPr>
          <w:rFonts w:hint="eastAsia" w:ascii="黑体" w:hAnsi="黑体" w:eastAsia="黑体" w:cs="黑体"/>
          <w:b/>
          <w:color w:val="auto"/>
          <w:szCs w:val="21"/>
          <w:highlight w:val="none"/>
        </w:rPr>
      </w:pPr>
      <w:r>
        <w:rPr>
          <w:rFonts w:hint="eastAsia" w:ascii="黑体" w:hAnsi="黑体" w:eastAsia="黑体" w:cs="黑体"/>
          <w:b/>
          <w:color w:val="auto"/>
          <w:szCs w:val="21"/>
          <w:highlight w:val="none"/>
        </w:rPr>
        <w:t>商务标评审表注：</w:t>
      </w:r>
    </w:p>
    <w:p w14:paraId="7A314285">
      <w:pPr>
        <w:adjustRightInd w:val="0"/>
        <w:snapToGrid w:val="0"/>
        <w:spacing w:line="560" w:lineRule="exact"/>
        <w:ind w:firstLine="422" w:firstLineChars="200"/>
        <w:rPr>
          <w:rFonts w:hint="eastAsia" w:ascii="黑体" w:hAnsi="黑体" w:eastAsia="黑体" w:cs="黑体"/>
          <w:b/>
          <w:bCs/>
          <w:color w:val="auto"/>
          <w:szCs w:val="21"/>
          <w:highlight w:val="none"/>
          <w:u w:val="none"/>
        </w:rPr>
      </w:pPr>
      <w:r>
        <w:rPr>
          <w:rFonts w:hint="eastAsia" w:ascii="黑体" w:hAnsi="黑体" w:eastAsia="黑体" w:cs="黑体"/>
          <w:b/>
          <w:color w:val="auto"/>
          <w:szCs w:val="21"/>
          <w:highlight w:val="none"/>
        </w:rPr>
        <w:t>1、</w:t>
      </w:r>
      <w:r>
        <w:rPr>
          <w:rFonts w:hint="eastAsia" w:ascii="黑体" w:hAnsi="黑体" w:eastAsia="黑体" w:cs="黑体"/>
          <w:b/>
          <w:bCs/>
          <w:color w:val="auto"/>
          <w:szCs w:val="21"/>
          <w:highlight w:val="none"/>
        </w:rPr>
        <w:t>投标人总报价如超过A值，A值</w:t>
      </w:r>
      <w:r>
        <w:rPr>
          <w:rFonts w:hint="eastAsia" w:ascii="黑体" w:hAnsi="黑体" w:eastAsia="黑体" w:cs="黑体"/>
          <w:b/>
          <w:bCs/>
          <w:color w:val="auto"/>
          <w:szCs w:val="21"/>
          <w:highlight w:val="none"/>
          <w:u w:val="none"/>
        </w:rPr>
        <w:t xml:space="preserve">=最高投标限价×（1-J） +（暂列金额+暂估价）×1.09×J（其中J= </w:t>
      </w:r>
      <w:r>
        <w:rPr>
          <w:rFonts w:hint="eastAsia" w:ascii="黑体" w:hAnsi="黑体" w:eastAsia="黑体" w:cs="黑体"/>
          <w:b/>
          <w:bCs/>
          <w:color w:val="auto"/>
          <w:szCs w:val="21"/>
          <w:highlight w:val="none"/>
          <w:u w:val="none"/>
          <w:lang w:val="en-US" w:eastAsia="zh-CN"/>
        </w:rPr>
        <w:t>10</w:t>
      </w:r>
      <w:r>
        <w:rPr>
          <w:rFonts w:hint="eastAsia" w:ascii="黑体" w:hAnsi="黑体" w:eastAsia="黑体" w:cs="黑体"/>
          <w:b/>
          <w:bCs/>
          <w:color w:val="auto"/>
          <w:szCs w:val="21"/>
          <w:highlight w:val="none"/>
          <w:u w:val="none"/>
        </w:rPr>
        <w:t>%），该投标报价不参与B值计算。</w:t>
      </w:r>
      <w:r>
        <w:rPr>
          <w:rFonts w:hint="eastAsia" w:ascii="宋体" w:hAnsi="宋体" w:cs="宋体"/>
          <w:color w:val="auto"/>
          <w:szCs w:val="21"/>
          <w:highlight w:val="none"/>
        </w:rPr>
        <w:t>保留两位小数，小数点后第三位四舍五入。</w:t>
      </w:r>
      <w:r>
        <w:rPr>
          <w:rFonts w:hint="eastAsia" w:ascii="黑体" w:hAnsi="黑体" w:eastAsia="黑体" w:cs="黑体"/>
          <w:b/>
          <w:bCs/>
          <w:color w:val="auto"/>
          <w:szCs w:val="21"/>
          <w:highlight w:val="none"/>
          <w:u w:val="none"/>
        </w:rPr>
        <w:t xml:space="preserve"> </w:t>
      </w:r>
    </w:p>
    <w:p w14:paraId="2289AE4D">
      <w:pPr>
        <w:adjustRightInd w:val="0"/>
        <w:snapToGrid w:val="0"/>
        <w:spacing w:line="560" w:lineRule="exact"/>
        <w:ind w:firstLine="420" w:firstLineChars="200"/>
        <w:rPr>
          <w:rFonts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、只有评审通过的投标人才能参加</w:t>
      </w:r>
      <w:r>
        <w:rPr>
          <w:rFonts w:hint="eastAsia" w:ascii="宋体" w:hAnsi="宋体" w:cs="宋体"/>
          <w:color w:val="auto"/>
          <w:szCs w:val="21"/>
          <w:highlight w:val="none"/>
          <w:lang w:val="en-US" w:eastAsia="zh-CN"/>
        </w:rPr>
        <w:t>商务得分的计算</w:t>
      </w:r>
      <w:r>
        <w:rPr>
          <w:rFonts w:hint="eastAsia" w:ascii="宋体" w:hAnsi="宋体" w:cs="宋体"/>
          <w:color w:val="auto"/>
          <w:szCs w:val="21"/>
          <w:highlight w:val="none"/>
        </w:rPr>
        <w:t>。</w:t>
      </w:r>
    </w:p>
    <w:p w14:paraId="5B230EB1">
      <w:pPr>
        <w:adjustRightInd w:val="0"/>
        <w:snapToGrid w:val="0"/>
        <w:spacing w:line="560" w:lineRule="exact"/>
        <w:ind w:firstLine="420" w:firstLineChars="200"/>
        <w:rPr>
          <w:rFonts w:hint="eastAsia" w:ascii="宋体" w:hAnsi="宋体" w:eastAsia="宋体" w:cs="宋体"/>
          <w:color w:val="auto"/>
          <w:szCs w:val="21"/>
          <w:highlight w:val="none"/>
          <w:lang w:eastAsia="zh-CN"/>
        </w:rPr>
      </w:pPr>
      <w:r>
        <w:rPr>
          <w:rFonts w:ascii="宋体" w:hAnsi="宋体" w:cs="宋体"/>
          <w:color w:val="auto"/>
          <w:szCs w:val="21"/>
          <w:highlight w:val="none"/>
        </w:rPr>
        <w:t>3</w:t>
      </w:r>
      <w:r>
        <w:rPr>
          <w:rFonts w:hint="eastAsia" w:ascii="宋体" w:hAnsi="宋体" w:cs="宋体"/>
          <w:color w:val="auto"/>
          <w:szCs w:val="21"/>
          <w:highlight w:val="none"/>
        </w:rPr>
        <w:t>、本表所称投标报价是指按招标文件规定修正后的投标总报价（多算投标报价、多报费用不扣减）</w:t>
      </w:r>
      <w:r>
        <w:rPr>
          <w:rFonts w:hint="eastAsia" w:ascii="宋体" w:hAnsi="宋体" w:cs="宋体"/>
          <w:color w:val="auto"/>
          <w:szCs w:val="21"/>
          <w:highlight w:val="none"/>
          <w:lang w:val="en-US" w:eastAsia="zh-CN"/>
        </w:rPr>
        <w:t>,报价以元为单位，保留两位小数，小数点后第三位四舍五入。</w:t>
      </w:r>
    </w:p>
    <w:p w14:paraId="7561CD12">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4、B值计算方法：</w:t>
      </w:r>
    </w:p>
    <w:p w14:paraId="49D01D93">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B值为</w:t>
      </w:r>
      <w:r>
        <w:rPr>
          <w:rFonts w:hint="eastAsia" w:ascii="宋体" w:hAnsi="宋体" w:cs="宋体"/>
          <w:color w:val="auto"/>
          <w:szCs w:val="21"/>
          <w:highlight w:val="none"/>
          <w:lang w:val="en-US" w:eastAsia="zh-CN"/>
        </w:rPr>
        <w:t>入围第二阶段的</w:t>
      </w:r>
      <w:r>
        <w:rPr>
          <w:rFonts w:hint="eastAsia" w:ascii="宋体" w:hAnsi="宋体" w:cs="宋体"/>
          <w:color w:val="auto"/>
          <w:szCs w:val="21"/>
          <w:highlight w:val="none"/>
        </w:rPr>
        <w:t>投标人的有效投标报价的算术平均值。</w:t>
      </w:r>
    </w:p>
    <w:p w14:paraId="55934995">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、K值（评标基准价系数）的抽取：资信标、技术标、商务标评审完成后，招标人在线抽取K值，并根据抽取的K值计算F值，评标办法中的评标基准价计算出来后，除数字计算错误外，其他情况均不再调整。</w:t>
      </w:r>
    </w:p>
    <w:p w14:paraId="398346F4">
      <w:pPr>
        <w:adjustRightInd w:val="0"/>
        <w:snapToGrid w:val="0"/>
        <w:spacing w:line="560" w:lineRule="exact"/>
        <w:ind w:firstLine="420" w:firstLineChars="200"/>
        <w:rPr>
          <w:rFonts w:hint="eastAsia" w:ascii="宋体" w:hAnsi="宋体" w:cs="宋体"/>
          <w:b/>
          <w:color w:val="auto"/>
          <w:szCs w:val="21"/>
          <w:highlight w:val="none"/>
          <w:u w:val="single"/>
        </w:rPr>
      </w:pPr>
      <w:r>
        <w:rPr>
          <w:rFonts w:hint="eastAsia"/>
          <w:color w:val="auto"/>
          <w:highlight w:val="none"/>
        </w:rPr>
        <w:t>4、</w:t>
      </w:r>
      <w:r>
        <w:rPr>
          <w:rFonts w:hint="eastAsia" w:ascii="宋体" w:hAnsi="宋体" w:eastAsia="宋体" w:cs="宋体"/>
          <w:color w:val="auto"/>
          <w:szCs w:val="21"/>
          <w:highlight w:val="none"/>
          <w:lang w:val="en-US" w:eastAsia="zh-CN"/>
        </w:rPr>
        <w:t>投标人（如投标人为联合体，联合体各方均需提供）的注册建造师必须满足相应建筑业企业资质标准要求，评标委员会在评审时，将对此进行评审。投标单位（如投标人为联合体，联合体各方均需提供）应在商务标文件中提供全国建筑市场监管公共服务平台 (四库一平台)企业注册人员网页截图，并在投标函中承诺，承诺本单位现有注册建造师专业、数量满足《建筑业企业资质标准》及有关文件中对应资质等级标准要求等内容，未提供相关截图或承诺的，按无效标处理。</w:t>
      </w:r>
    </w:p>
    <w:p w14:paraId="2AFC1A3A">
      <w:pPr>
        <w:pStyle w:val="3"/>
        <w:adjustRightInd w:val="0"/>
        <w:snapToGrid w:val="0"/>
        <w:spacing w:before="0" w:after="0" w:line="560" w:lineRule="exact"/>
        <w:ind w:firstLine="422" w:firstLineChars="200"/>
        <w:rPr>
          <w:rFonts w:hint="eastAsia" w:ascii="黑体" w:hAnsi="黑体" w:cs="黑体"/>
          <w:color w:val="auto"/>
          <w:sz w:val="21"/>
          <w:szCs w:val="21"/>
          <w:highlight w:val="none"/>
        </w:rPr>
      </w:pPr>
      <w:bookmarkStart w:id="679" w:name="_Toc95223429"/>
      <w:r>
        <w:rPr>
          <w:rFonts w:hint="eastAsia" w:ascii="黑体" w:hAnsi="黑体" w:cs="黑体"/>
          <w:color w:val="auto"/>
          <w:sz w:val="21"/>
          <w:szCs w:val="21"/>
          <w:highlight w:val="none"/>
        </w:rPr>
        <w:t>1. 评标方法</w:t>
      </w:r>
      <w:bookmarkEnd w:id="679"/>
    </w:p>
    <w:p w14:paraId="7254637D">
      <w:pPr>
        <w:adjustRightInd w:val="0"/>
        <w:snapToGrid w:val="0"/>
        <w:spacing w:line="56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本次评标采用综合评估法</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评定分离）</w:t>
      </w:r>
      <w:r>
        <w:rPr>
          <w:rFonts w:hint="eastAsia" w:ascii="宋体" w:hAnsi="宋体" w:cs="宋体"/>
          <w:color w:val="auto"/>
          <w:szCs w:val="21"/>
          <w:highlight w:val="none"/>
        </w:rPr>
        <w:t>。评标委员会对满足招标文件实质性要求的投标文件，按照本章规定的评分标准计算得分，按照各项评审因素的总得分从高到低推荐</w:t>
      </w:r>
      <w:r>
        <w:rPr>
          <w:rFonts w:hint="eastAsia" w:ascii="宋体" w:hAnsi="宋体" w:cs="宋体"/>
          <w:color w:val="auto"/>
          <w:szCs w:val="21"/>
          <w:highlight w:val="none"/>
          <w:lang w:val="en-US" w:eastAsia="zh-CN"/>
        </w:rPr>
        <w:t>3名</w:t>
      </w:r>
      <w:r>
        <w:rPr>
          <w:rFonts w:hint="eastAsia" w:ascii="宋体" w:hAnsi="宋体" w:cs="宋体"/>
          <w:color w:val="auto"/>
          <w:szCs w:val="21"/>
          <w:highlight w:val="none"/>
        </w:rPr>
        <w:t>中标候选人</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不排序）</w:t>
      </w:r>
      <w:r>
        <w:rPr>
          <w:rFonts w:hint="eastAsia" w:ascii="宋体" w:hAnsi="宋体" w:cs="宋体"/>
          <w:color w:val="auto"/>
          <w:szCs w:val="21"/>
          <w:highlight w:val="none"/>
        </w:rPr>
        <w:t>。如总得分相等，以投标报价低的优先，投标报价仍相等，由评标委员会主任委员或招标人随机抽取确定。</w:t>
      </w:r>
    </w:p>
    <w:p w14:paraId="505EEE5D">
      <w:pPr>
        <w:widowControl/>
        <w:adjustRightInd w:val="0"/>
        <w:snapToGrid w:val="0"/>
        <w:spacing w:line="56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根据评标委员会评审初步结论，项目单位（代理机构）对预中标候选人、法定代表人及其项目经理（建造师）是否存在招标文件要求查询的失信行为进行网上核查后，提交网站截图等查询记录给评标委员会复核。若核查结果不符合招标文件规定的投标人资格条件信誉要求，由评标委员会取消其预中标候选人资格，并依次替补，再次对替补单位进行核查。如评标现场未发现问题但标后质疑（异议）、投诉发现中标候选人存在信誉问题，则组织评标委员会重新启动复核程序。核查结果不改变原评标基准价。</w:t>
      </w:r>
    </w:p>
    <w:p w14:paraId="0695C48F">
      <w:pPr>
        <w:wordWrap w:val="0"/>
        <w:adjustRightInd w:val="0"/>
        <w:snapToGrid w:val="0"/>
        <w:spacing w:line="56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（2）评标委员会需登录全国建筑市场监管公共服务平台( 四库一平台)https://jzsc.mohurd.gov.cn/home 进行实时查询，并结合《住房城乡建设部关于进一步加强建设工程企业资质审批管理工作的通知》（建市规〔2023〕3 号）、《住房和城乡建设部办公厅关于建设工程企业资质有关事项的通知》（建办市函〔2022〕361 号）和安徽省住建厅《关于建设工程企业资质有关事宜的通知》（建市函〔2022〕748 号），对中标候选人的关系企业履约能力的建造师数量进行评审。</w:t>
      </w:r>
    </w:p>
    <w:p w14:paraId="6D9558D8">
      <w:pPr>
        <w:widowControl/>
        <w:adjustRightInd w:val="0"/>
        <w:snapToGrid w:val="0"/>
        <w:spacing w:line="560" w:lineRule="exact"/>
        <w:ind w:firstLine="420" w:firstLineChars="200"/>
        <w:jc w:val="left"/>
        <w:rPr>
          <w:rFonts w:hint="eastAsia" w:ascii="宋体" w:hAnsi="宋体" w:cs="宋体"/>
          <w:color w:val="auto"/>
          <w:szCs w:val="21"/>
          <w:highlight w:val="none"/>
        </w:rPr>
      </w:pPr>
      <w:r>
        <w:rPr>
          <w:rFonts w:hint="eastAsia" w:ascii="仿宋_GB2312" w:hAnsi="宋体" w:eastAsia="仿宋_GB2312" w:cs="宋体"/>
          <w:color w:val="auto"/>
          <w:szCs w:val="21"/>
          <w:highlight w:val="none"/>
        </w:rPr>
        <w:t>①</w:t>
      </w:r>
      <w:r>
        <w:rPr>
          <w:rFonts w:hint="eastAsia" w:ascii="宋体" w:hAnsi="宋体" w:cs="宋体"/>
          <w:color w:val="auto"/>
          <w:szCs w:val="21"/>
          <w:highlight w:val="none"/>
        </w:rPr>
        <w:t>建筑工程施工总承包特级资质企业：注册一级建造师50人以上。</w:t>
      </w:r>
    </w:p>
    <w:p w14:paraId="7FF38BD0">
      <w:pPr>
        <w:widowControl/>
        <w:adjustRightInd w:val="0"/>
        <w:snapToGrid w:val="0"/>
        <w:spacing w:line="560" w:lineRule="exact"/>
        <w:ind w:firstLine="420" w:firstLineChars="200"/>
        <w:jc w:val="left"/>
        <w:rPr>
          <w:rFonts w:hint="eastAsia" w:ascii="宋体" w:hAnsi="宋体" w:cs="宋体"/>
          <w:color w:val="auto"/>
          <w:szCs w:val="21"/>
          <w:highlight w:val="none"/>
        </w:rPr>
      </w:pPr>
      <w:r>
        <w:rPr>
          <w:rFonts w:hint="eastAsia" w:ascii="仿宋_GB2312" w:hAnsi="宋体" w:eastAsia="仿宋_GB2312" w:cs="宋体"/>
          <w:color w:val="auto"/>
          <w:szCs w:val="21"/>
          <w:highlight w:val="none"/>
        </w:rPr>
        <w:t>②</w:t>
      </w:r>
      <w:r>
        <w:rPr>
          <w:rFonts w:hint="eastAsia" w:ascii="宋体" w:hAnsi="宋体" w:cs="宋体"/>
          <w:color w:val="auto"/>
          <w:szCs w:val="21"/>
          <w:highlight w:val="none"/>
        </w:rPr>
        <w:t>建筑工程施工总承包壹级资质企业：建筑工程、机电工程专业一级注册建造师合计不少于12人，其中建筑工程专业一级注册建造师不少于9人。</w:t>
      </w:r>
    </w:p>
    <w:p w14:paraId="153DB01A">
      <w:pPr>
        <w:widowControl/>
        <w:adjustRightInd w:val="0"/>
        <w:snapToGrid w:val="0"/>
        <w:spacing w:line="560" w:lineRule="exact"/>
        <w:ind w:firstLine="420" w:firstLineChars="200"/>
        <w:jc w:val="left"/>
        <w:rPr>
          <w:rFonts w:hint="eastAsia" w:ascii="宋体" w:hAnsi="宋体" w:cs="宋体"/>
          <w:color w:val="auto"/>
          <w:szCs w:val="21"/>
          <w:highlight w:val="none"/>
        </w:rPr>
      </w:pPr>
      <w:r>
        <w:rPr>
          <w:rFonts w:hint="eastAsia" w:ascii="仿宋_GB2312" w:hAnsi="宋体" w:eastAsia="仿宋_GB2312" w:cs="宋体"/>
          <w:color w:val="auto"/>
          <w:szCs w:val="21"/>
          <w:highlight w:val="none"/>
        </w:rPr>
        <w:t>③</w:t>
      </w:r>
      <w:r>
        <w:rPr>
          <w:rFonts w:hint="eastAsia" w:ascii="宋体" w:hAnsi="宋体" w:cs="宋体"/>
          <w:color w:val="auto"/>
          <w:szCs w:val="21"/>
          <w:highlight w:val="none"/>
        </w:rPr>
        <w:t>建筑工程施工总承包贰级、叁级资质企业：建筑工程、机电工程专业注册建造师合计不少于5人，其中建筑工程专业注册建造师不少于4人。</w:t>
      </w:r>
    </w:p>
    <w:p w14:paraId="603797D3">
      <w:pPr>
        <w:widowControl/>
        <w:adjustRightInd w:val="0"/>
        <w:snapToGrid w:val="0"/>
        <w:spacing w:line="560" w:lineRule="exact"/>
        <w:ind w:firstLine="420" w:firstLineChars="200"/>
        <w:jc w:val="left"/>
        <w:rPr>
          <w:rFonts w:hint="eastAsia" w:ascii="宋体" w:hAnsi="宋体" w:eastAsia="宋体" w:cs="宋体"/>
          <w:color w:val="auto"/>
          <w:szCs w:val="21"/>
          <w:highlight w:val="none"/>
        </w:rPr>
      </w:pPr>
      <w:bookmarkStart w:id="680" w:name="_Toc95223430"/>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 4 \* GB3 \* MERGEFORMAT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④</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lang w:val="en-US" w:eastAsia="zh-CN"/>
        </w:rPr>
        <w:t>机电工程施工总承包壹级资质企业：机电工程、建筑工程专业一级注册建造师合计不少于12人，其中机电工程专业一级注册建造师不少于9人</w:t>
      </w:r>
      <w:r>
        <w:rPr>
          <w:rFonts w:hint="eastAsia" w:ascii="宋体" w:hAnsi="宋体" w:eastAsia="宋体" w:cs="宋体"/>
          <w:color w:val="auto"/>
          <w:szCs w:val="21"/>
          <w:highlight w:val="none"/>
        </w:rPr>
        <w:t>。</w:t>
      </w:r>
    </w:p>
    <w:p w14:paraId="571EF64B">
      <w:pPr>
        <w:widowControl/>
        <w:adjustRightInd w:val="0"/>
        <w:snapToGrid w:val="0"/>
        <w:spacing w:line="560" w:lineRule="exact"/>
        <w:ind w:firstLine="420" w:firstLineChars="20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 5 \* GB3 \* MERGEFORMAT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⑤</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lang w:val="en-US" w:eastAsia="zh-CN"/>
        </w:rPr>
        <w:t>机电</w:t>
      </w:r>
      <w:r>
        <w:rPr>
          <w:rFonts w:hint="eastAsia" w:ascii="宋体" w:hAnsi="宋体" w:eastAsia="宋体" w:cs="宋体"/>
          <w:color w:val="auto"/>
          <w:szCs w:val="21"/>
          <w:highlight w:val="none"/>
        </w:rPr>
        <w:t>工程施工总承包贰级、叁级资质企业：</w:t>
      </w:r>
      <w:r>
        <w:rPr>
          <w:rFonts w:hint="eastAsia" w:ascii="宋体" w:hAnsi="宋体" w:eastAsia="宋体" w:cs="宋体"/>
          <w:color w:val="auto"/>
          <w:szCs w:val="21"/>
          <w:highlight w:val="none"/>
          <w:lang w:val="en-US" w:eastAsia="zh-CN"/>
        </w:rPr>
        <w:t>机电工程、建筑工程专业注册建造师合计不少于5人。</w:t>
      </w:r>
    </w:p>
    <w:p w14:paraId="347026D8">
      <w:pPr>
        <w:pStyle w:val="3"/>
        <w:adjustRightInd w:val="0"/>
        <w:snapToGrid w:val="0"/>
        <w:spacing w:before="0" w:after="0" w:line="560" w:lineRule="exact"/>
        <w:ind w:firstLine="420" w:firstLineChars="2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中标候选人的注册建造师数量人数，不符合招标文件明确的资格条件或法律法规要求，或者影响其履约能力的，评标委员会对其投标可以不予认可，并将该情形报送相关行政主管部门。中标候选人依次替补，评标委员会再次对替补单位进行核查。</w:t>
      </w:r>
    </w:p>
    <w:p w14:paraId="3030D302">
      <w:pPr>
        <w:pStyle w:val="3"/>
        <w:adjustRightInd w:val="0"/>
        <w:snapToGrid w:val="0"/>
        <w:spacing w:before="0" w:after="0" w:line="560" w:lineRule="exact"/>
        <w:ind w:firstLine="422" w:firstLineChars="200"/>
        <w:rPr>
          <w:rFonts w:hint="eastAsia" w:ascii="黑体" w:hAnsi="黑体" w:cs="黑体"/>
          <w:color w:val="auto"/>
          <w:sz w:val="21"/>
          <w:szCs w:val="21"/>
          <w:highlight w:val="none"/>
        </w:rPr>
      </w:pPr>
      <w:r>
        <w:rPr>
          <w:rFonts w:hint="eastAsia" w:ascii="黑体" w:hAnsi="黑体" w:cs="黑体"/>
          <w:color w:val="auto"/>
          <w:sz w:val="21"/>
          <w:szCs w:val="21"/>
          <w:highlight w:val="none"/>
        </w:rPr>
        <w:t>2.评标委员会的职责</w:t>
      </w:r>
      <w:bookmarkEnd w:id="680"/>
    </w:p>
    <w:p w14:paraId="247386A2">
      <w:pPr>
        <w:adjustRightInd w:val="0"/>
        <w:snapToGrid w:val="0"/>
        <w:spacing w:line="560" w:lineRule="exact"/>
        <w:ind w:firstLine="420" w:firstLineChars="200"/>
        <w:rPr>
          <w:rFonts w:hint="eastAsia" w:ascii="宋体" w:hAnsi="宋体" w:cs="宋体"/>
          <w:color w:val="auto"/>
          <w:szCs w:val="21"/>
          <w:highlight w:val="none"/>
        </w:rPr>
      </w:pPr>
      <w:bookmarkStart w:id="681" w:name="_Toc95223431"/>
      <w:r>
        <w:rPr>
          <w:rFonts w:hint="eastAsia" w:ascii="宋体" w:hAnsi="宋体" w:cs="宋体"/>
          <w:color w:val="auto"/>
          <w:szCs w:val="21"/>
          <w:highlight w:val="none"/>
        </w:rPr>
        <w:t>评标委员会应当根据本评标办法，应进行系统地评审和比较，向招标人推荐中标候选人或根据招标人的授权直接确定中标人。各评委必须独立评审，提出评审意见，不受任何单位或者个人的干预。各评委对其各自评审结果负责，并在评标报告上签字确认。对评标结论持有异议的评标委员会成员可以书面方式阐述其不同意见和理由。评标委员会成员拒绝在评标报告上签字且不陈述其不同意见和理由的，视为同意评标结论。评标委员会应当对此作出书面说明并记录在案。</w:t>
      </w:r>
    </w:p>
    <w:p w14:paraId="63612F76">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评标委员会应加强对报价合理性审查。评标评审委员会认为拟推荐的中标候选人的报价明显低于其他通过符合性审查投标人的报价，存在异常低价，有可能影响项目质量或者不能诚信履约的，应当要求投标人在评标现场合理的时间内提供书面说明，必要时提交相关证明材料；投标人不能证明其报价合理性的，或评标委员会认定其存在履约及质量安全风险的，评标评审委员会应当将其作为无效投标处理。</w:t>
      </w:r>
    </w:p>
    <w:p w14:paraId="38408061">
      <w:pPr>
        <w:pStyle w:val="3"/>
        <w:adjustRightInd w:val="0"/>
        <w:snapToGrid w:val="0"/>
        <w:spacing w:before="0" w:after="0" w:line="560" w:lineRule="exact"/>
        <w:ind w:firstLine="422" w:firstLineChars="200"/>
        <w:rPr>
          <w:rFonts w:hint="eastAsia" w:ascii="黑体" w:hAnsi="黑体" w:cs="黑体"/>
          <w:color w:val="auto"/>
          <w:sz w:val="21"/>
          <w:szCs w:val="21"/>
          <w:highlight w:val="none"/>
        </w:rPr>
      </w:pPr>
      <w:r>
        <w:rPr>
          <w:rFonts w:hint="eastAsia" w:ascii="黑体" w:hAnsi="黑体" w:cs="黑体"/>
          <w:color w:val="auto"/>
          <w:sz w:val="21"/>
          <w:szCs w:val="21"/>
          <w:highlight w:val="none"/>
        </w:rPr>
        <w:t>3.评标程序</w:t>
      </w:r>
      <w:bookmarkEnd w:id="681"/>
    </w:p>
    <w:p w14:paraId="378A2697">
      <w:pPr>
        <w:adjustRightInd w:val="0"/>
        <w:snapToGrid w:val="0"/>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评标先做准备工作，再进行资格、技术标评审，然后进行商务标评审。</w:t>
      </w:r>
    </w:p>
    <w:p w14:paraId="7B76EBF8">
      <w:pPr>
        <w:pStyle w:val="3"/>
        <w:adjustRightInd w:val="0"/>
        <w:snapToGrid w:val="0"/>
        <w:spacing w:before="0" w:after="0" w:line="560" w:lineRule="exact"/>
        <w:ind w:firstLine="422" w:firstLineChars="200"/>
        <w:rPr>
          <w:rFonts w:hint="eastAsia" w:ascii="黑体" w:hAnsi="黑体" w:cs="黑体"/>
          <w:color w:val="auto"/>
          <w:sz w:val="21"/>
          <w:szCs w:val="21"/>
          <w:highlight w:val="none"/>
        </w:rPr>
      </w:pPr>
      <w:bookmarkStart w:id="682" w:name="_Toc95223432"/>
      <w:r>
        <w:rPr>
          <w:rFonts w:hint="eastAsia" w:ascii="黑体" w:hAnsi="黑体" w:cs="黑体"/>
          <w:color w:val="auto"/>
          <w:sz w:val="21"/>
          <w:szCs w:val="21"/>
          <w:highlight w:val="none"/>
        </w:rPr>
        <w:t>3.1评标准备工作</w:t>
      </w:r>
      <w:bookmarkEnd w:id="682"/>
    </w:p>
    <w:p w14:paraId="1BE0B11B">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评标委员会熟悉评标工作情况：</w:t>
      </w:r>
    </w:p>
    <w:p w14:paraId="2FB8689E">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（1）阅读由招标人或者其委托的工程代理机构编制的招标项目情况材料。</w:t>
      </w:r>
    </w:p>
    <w:p w14:paraId="7946A542">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（2）阅读、研究招标文件和相关评标资料，获取评标所需要的重要信息和数据，至少应了解和熟悉以下内容：招标项目的范围和性质，招标文件规定的主要技术要求、标准和商务条款。</w:t>
      </w:r>
    </w:p>
    <w:p w14:paraId="4F22F37B">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（3）熟悉招标文件规定的评标标准和评标方法及在评标过程中需要考虑的相关因素。</w:t>
      </w:r>
    </w:p>
    <w:p w14:paraId="507426BC">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（4）核对评标工作用表。</w:t>
      </w:r>
    </w:p>
    <w:p w14:paraId="034B4720">
      <w:pPr>
        <w:pStyle w:val="3"/>
        <w:adjustRightInd w:val="0"/>
        <w:snapToGrid w:val="0"/>
        <w:spacing w:before="0" w:after="0" w:line="560" w:lineRule="exact"/>
        <w:ind w:firstLine="422" w:firstLineChars="200"/>
        <w:rPr>
          <w:rFonts w:hint="eastAsia" w:ascii="黑体" w:hAnsi="黑体" w:cs="黑体"/>
          <w:color w:val="auto"/>
          <w:sz w:val="21"/>
          <w:szCs w:val="21"/>
          <w:highlight w:val="none"/>
        </w:rPr>
      </w:pPr>
      <w:bookmarkStart w:id="683" w:name="_Toc95223433"/>
      <w:r>
        <w:rPr>
          <w:rFonts w:hint="eastAsia" w:ascii="黑体" w:hAnsi="黑体" w:cs="黑体"/>
          <w:color w:val="auto"/>
          <w:sz w:val="21"/>
          <w:szCs w:val="21"/>
          <w:highlight w:val="none"/>
        </w:rPr>
        <w:t>3.2技术标评审</w:t>
      </w:r>
      <w:bookmarkEnd w:id="683"/>
    </w:p>
    <w:p w14:paraId="1432BAE3">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详见技术标评审表。</w:t>
      </w:r>
    </w:p>
    <w:p w14:paraId="61DAC63B">
      <w:pPr>
        <w:pStyle w:val="3"/>
        <w:adjustRightInd w:val="0"/>
        <w:snapToGrid w:val="0"/>
        <w:spacing w:before="0" w:after="0" w:line="560" w:lineRule="exact"/>
        <w:ind w:firstLine="422" w:firstLineChars="200"/>
        <w:rPr>
          <w:rFonts w:hint="eastAsia" w:ascii="黑体" w:hAnsi="黑体" w:cs="黑体"/>
          <w:color w:val="auto"/>
          <w:sz w:val="21"/>
          <w:szCs w:val="21"/>
          <w:highlight w:val="none"/>
        </w:rPr>
      </w:pPr>
      <w:bookmarkStart w:id="684" w:name="_Toc95223434"/>
      <w:r>
        <w:rPr>
          <w:rFonts w:hint="eastAsia" w:ascii="黑体" w:hAnsi="黑体" w:cs="黑体"/>
          <w:color w:val="auto"/>
          <w:sz w:val="21"/>
          <w:szCs w:val="21"/>
          <w:highlight w:val="none"/>
        </w:rPr>
        <w:t>3.3商务标评审</w:t>
      </w:r>
      <w:bookmarkEnd w:id="684"/>
    </w:p>
    <w:p w14:paraId="5B89D347">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详见商务标评审表。</w:t>
      </w:r>
    </w:p>
    <w:p w14:paraId="2BB1A00E">
      <w:pPr>
        <w:pStyle w:val="3"/>
        <w:adjustRightInd w:val="0"/>
        <w:snapToGrid w:val="0"/>
        <w:spacing w:before="0" w:after="0" w:line="560" w:lineRule="exact"/>
        <w:ind w:firstLine="422" w:firstLineChars="200"/>
        <w:rPr>
          <w:rFonts w:hint="eastAsia" w:ascii="黑体" w:hAnsi="黑体" w:cs="黑体"/>
          <w:color w:val="auto"/>
          <w:sz w:val="21"/>
          <w:szCs w:val="21"/>
          <w:highlight w:val="none"/>
        </w:rPr>
      </w:pPr>
      <w:r>
        <w:rPr>
          <w:rFonts w:hint="eastAsia" w:ascii="黑体" w:hAnsi="黑体" w:cs="黑体"/>
          <w:color w:val="auto"/>
          <w:sz w:val="21"/>
          <w:szCs w:val="21"/>
          <w:highlight w:val="none"/>
        </w:rPr>
        <w:t>3.4推荐中标候选人</w:t>
      </w:r>
    </w:p>
    <w:p w14:paraId="7397888E">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资信评审、技术标评审、商务标评审后，推荐</w:t>
      </w:r>
      <w:r>
        <w:rPr>
          <w:rFonts w:hint="eastAsia" w:ascii="宋体" w:hAnsi="宋体" w:cs="宋体"/>
          <w:color w:val="auto"/>
          <w:szCs w:val="21"/>
          <w:highlight w:val="none"/>
          <w:lang w:val="en-US" w:eastAsia="zh-CN"/>
        </w:rPr>
        <w:t>3名</w:t>
      </w:r>
      <w:r>
        <w:rPr>
          <w:rFonts w:hint="eastAsia" w:ascii="宋体" w:hAnsi="宋体" w:cs="宋体"/>
          <w:color w:val="auto"/>
          <w:szCs w:val="21"/>
          <w:highlight w:val="none"/>
        </w:rPr>
        <w:t>中标候选</w:t>
      </w:r>
      <w:r>
        <w:rPr>
          <w:rFonts w:hint="eastAsia" w:ascii="宋体" w:hAnsi="宋体" w:cs="宋体"/>
          <w:color w:val="auto"/>
          <w:szCs w:val="21"/>
          <w:highlight w:val="none"/>
          <w:lang w:val="en-US" w:eastAsia="zh-CN"/>
        </w:rPr>
        <w:t>人（不排序）</w:t>
      </w:r>
      <w:r>
        <w:rPr>
          <w:rFonts w:hint="eastAsia" w:ascii="宋体" w:hAnsi="宋体" w:cs="宋体"/>
          <w:color w:val="auto"/>
          <w:szCs w:val="21"/>
          <w:highlight w:val="none"/>
        </w:rPr>
        <w:t>。</w:t>
      </w:r>
    </w:p>
    <w:p w14:paraId="1EF297B0">
      <w:pPr>
        <w:pStyle w:val="3"/>
        <w:adjustRightInd w:val="0"/>
        <w:snapToGrid w:val="0"/>
        <w:spacing w:before="0" w:after="0" w:line="560" w:lineRule="exact"/>
        <w:ind w:firstLine="422" w:firstLineChars="200"/>
        <w:rPr>
          <w:rFonts w:hint="eastAsia" w:ascii="黑体" w:hAnsi="黑体" w:cs="黑体"/>
          <w:color w:val="auto"/>
          <w:sz w:val="21"/>
          <w:szCs w:val="21"/>
          <w:highlight w:val="none"/>
        </w:rPr>
      </w:pPr>
      <w:bookmarkStart w:id="685" w:name="_Toc95223435"/>
      <w:r>
        <w:rPr>
          <w:rFonts w:hint="eastAsia" w:ascii="黑体" w:hAnsi="黑体" w:cs="黑体"/>
          <w:color w:val="auto"/>
          <w:sz w:val="21"/>
          <w:szCs w:val="21"/>
          <w:highlight w:val="none"/>
        </w:rPr>
        <w:t>4.评审内容</w:t>
      </w:r>
      <w:bookmarkEnd w:id="685"/>
    </w:p>
    <w:p w14:paraId="71DD15F0">
      <w:pPr>
        <w:pStyle w:val="3"/>
        <w:adjustRightInd w:val="0"/>
        <w:snapToGrid w:val="0"/>
        <w:spacing w:before="0" w:after="0" w:line="560" w:lineRule="exact"/>
        <w:ind w:firstLine="422" w:firstLineChars="200"/>
        <w:rPr>
          <w:rFonts w:hint="eastAsia" w:ascii="黑体" w:hAnsi="黑体" w:cs="黑体"/>
          <w:color w:val="auto"/>
          <w:sz w:val="21"/>
          <w:szCs w:val="21"/>
          <w:highlight w:val="none"/>
        </w:rPr>
      </w:pPr>
      <w:bookmarkStart w:id="686" w:name="_Toc95223436"/>
      <w:r>
        <w:rPr>
          <w:rFonts w:hint="eastAsia" w:ascii="黑体" w:hAnsi="黑体" w:cs="黑体"/>
          <w:color w:val="auto"/>
          <w:sz w:val="21"/>
          <w:szCs w:val="21"/>
          <w:highlight w:val="none"/>
        </w:rPr>
        <w:t>4.1技术标评审</w:t>
      </w:r>
      <w:bookmarkEnd w:id="686"/>
    </w:p>
    <w:p w14:paraId="3E074C83">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4.1.1形式性评审标准：见技术标评审表。</w:t>
      </w:r>
    </w:p>
    <w:p w14:paraId="07C75CE7">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4.1.2响应性评审标准：见技术标评审表。</w:t>
      </w:r>
    </w:p>
    <w:p w14:paraId="23D101BC">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评标委员会依据上述标准对投标文件进行形式性评审和响应性评审。有一项不符合评审标准的，作无效投标处理。对否定的技术标，评标委员会要提出充足的否定理由，并填写在技术标评标记录上。</w:t>
      </w:r>
    </w:p>
    <w:p w14:paraId="5A954176">
      <w:pPr>
        <w:pStyle w:val="3"/>
        <w:adjustRightInd w:val="0"/>
        <w:snapToGrid w:val="0"/>
        <w:spacing w:before="0" w:after="0" w:line="560" w:lineRule="exact"/>
        <w:ind w:firstLine="422" w:firstLineChars="200"/>
        <w:rPr>
          <w:rFonts w:hint="eastAsia" w:ascii="黑体" w:hAnsi="黑体" w:cs="黑体"/>
          <w:color w:val="auto"/>
          <w:sz w:val="21"/>
          <w:szCs w:val="21"/>
          <w:highlight w:val="none"/>
        </w:rPr>
      </w:pPr>
      <w:bookmarkStart w:id="687" w:name="_Toc95223437"/>
      <w:r>
        <w:rPr>
          <w:rFonts w:hint="eastAsia" w:ascii="黑体" w:hAnsi="黑体" w:cs="黑体"/>
          <w:color w:val="auto"/>
          <w:sz w:val="21"/>
          <w:szCs w:val="21"/>
          <w:highlight w:val="none"/>
        </w:rPr>
        <w:t>4.2商务标评审</w:t>
      </w:r>
      <w:bookmarkEnd w:id="687"/>
    </w:p>
    <w:p w14:paraId="7455FD22">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只有通过技术标评审的投标才能够进入本阶段评审。</w:t>
      </w:r>
    </w:p>
    <w:p w14:paraId="7D0E2215">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4.2.1形式性评审标准：见商务标评审表。</w:t>
      </w:r>
    </w:p>
    <w:p w14:paraId="2F524023">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4.2.2响应性评审标准：见商务标评审表。</w:t>
      </w:r>
    </w:p>
    <w:p w14:paraId="7BE97BEA">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评标委员会依据上述标准对投标文件进行初步评审。有一项不符合评审标准的，作无效投标处理。</w:t>
      </w:r>
    </w:p>
    <w:p w14:paraId="2B79E6DD">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4.2.3详细评审标准：见商务标评审表。</w:t>
      </w:r>
    </w:p>
    <w:p w14:paraId="3128583F">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4.2.3.1投标报价清标：</w:t>
      </w:r>
    </w:p>
    <w:p w14:paraId="5FC8540E">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（1）清标是指通过对需要评审的工程量清单投标报价采用核对、比较、筛选等方法，对基础性数据进行分析和整理。其目的是找出投标文件中可能存在疑义或者显著异常的数据，为评审中的质疑工作提供基础。</w:t>
      </w:r>
    </w:p>
    <w:p w14:paraId="5933CDEE">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（2）清标工作应当使用计算机辅助评标系统，由计算机完成。</w:t>
      </w:r>
    </w:p>
    <w:p w14:paraId="118E7CA3">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（3）清标的内容和步骤：</w:t>
      </w:r>
    </w:p>
    <w:p w14:paraId="37AC89EF">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① 投标文件在符合性、响应性等方面存在的偏差。</w:t>
      </w:r>
    </w:p>
    <w:p w14:paraId="180646D0">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② 投标文件存在的算术计算错误和修正结果。</w:t>
      </w:r>
    </w:p>
    <w:p w14:paraId="5435624F">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③ 在列出的所有偏差中，属于重大偏差的情形和相关依据；在列出的所有偏差中、属于细微偏差的情形。</w:t>
      </w:r>
    </w:p>
    <w:p w14:paraId="63EFABED">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④ 列出投标价格过高或过低等的清单项目的序号、项目编码、项目名称、项目特征、与招标文件规定的标准之间存在的偏差幅度和产生原因的摘录。</w:t>
      </w:r>
    </w:p>
    <w:p w14:paraId="091777A5">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4.2.4评标委员会审查投标文件，审核并确认</w:t>
      </w:r>
      <w:r>
        <w:rPr>
          <w:rFonts w:hint="eastAsia" w:ascii="宋体" w:hAnsi="宋体" w:cs="宋体"/>
          <w:color w:val="auto"/>
          <w:szCs w:val="21"/>
          <w:highlight w:val="none"/>
          <w:lang w:val="en-US" w:eastAsia="zh-CN"/>
        </w:rPr>
        <w:t>评审</w:t>
      </w:r>
      <w:r>
        <w:rPr>
          <w:rFonts w:hint="eastAsia" w:ascii="宋体" w:hAnsi="宋体" w:cs="宋体"/>
          <w:color w:val="auto"/>
          <w:szCs w:val="21"/>
          <w:highlight w:val="none"/>
        </w:rPr>
        <w:t>结果，投标报价有错误的，评标委员会按以下原则对投标报价进行修正。</w:t>
      </w:r>
    </w:p>
    <w:p w14:paraId="6E6E5DC1">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（1）投标文件中的大写金额与小写金额不一致的，以大写金额为准。</w:t>
      </w:r>
    </w:p>
    <w:p w14:paraId="636F67B4">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（2）总价金额与依据单价计算出的结果不一致的，以单价金额为准修正总价，但单价金额小数点有明显错误的除外。</w:t>
      </w:r>
    </w:p>
    <w:p w14:paraId="2AA7B856">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（3）工程量清单报价表中综合单价与工程量清单项目价格分析表相对应综合单价不一致时，以工程量清单项目价格分析表中标出的综合单价为准。</w:t>
      </w:r>
    </w:p>
    <w:p w14:paraId="43A87935">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按上述修正错误的原则及方法调整或修正投标文件的投标报价，调整或修正的价格经投标人书面确认后具有约束力。中标价原则上以调整或修正后的价格为准，调整或修正后的价格与投标报价相比，价格低的为中标价。投标人不接受的，其投标将被拒绝。</w:t>
      </w:r>
    </w:p>
    <w:p w14:paraId="418669CE">
      <w:pPr>
        <w:pStyle w:val="3"/>
        <w:adjustRightInd w:val="0"/>
        <w:snapToGrid w:val="0"/>
        <w:spacing w:before="0" w:after="0" w:line="560" w:lineRule="exact"/>
        <w:ind w:firstLine="422" w:firstLineChars="200"/>
        <w:rPr>
          <w:rFonts w:hint="eastAsia" w:ascii="黑体" w:hAnsi="黑体" w:cs="黑体"/>
          <w:color w:val="auto"/>
          <w:sz w:val="21"/>
          <w:szCs w:val="21"/>
          <w:highlight w:val="none"/>
        </w:rPr>
      </w:pPr>
      <w:bookmarkStart w:id="688" w:name="_Toc95223438"/>
      <w:r>
        <w:rPr>
          <w:rFonts w:hint="eastAsia" w:ascii="黑体" w:hAnsi="黑体" w:cs="黑体"/>
          <w:color w:val="auto"/>
          <w:sz w:val="21"/>
          <w:szCs w:val="21"/>
          <w:highlight w:val="none"/>
        </w:rPr>
        <w:t>5.无效投标条款</w:t>
      </w:r>
      <w:bookmarkEnd w:id="688"/>
    </w:p>
    <w:p w14:paraId="697C33DB">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5.1投标人存在下列情形的招标人将拒收投标文件：</w:t>
      </w:r>
    </w:p>
    <w:p w14:paraId="2866FC04">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 未在投标截止时间前通过网上招标投标系统递交有效电子投标文件的，开标系统不予接收，投标将被拒绝。</w:t>
      </w:r>
    </w:p>
    <w:p w14:paraId="6FE9F599">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所有投标人应在规定时间里完成投标文件的解密工作（投标企业接到远程解密指令后，须在规定时间内解密（以网上开评标系统解密倒计时为准）。因投标人自身原因导致投标文件在规定时间内未能解密、解密失败或解密超时，投标文件无效；因招标人或代理公司原因或网上平台发生故障，导致无法按时完成投标文件解密的，经代理公司申请后可延迟解密时间）。</w:t>
      </w:r>
    </w:p>
    <w:p w14:paraId="14FE8B95">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5.2投标人有下列情形的，经评审后其投标作无效投标处理：</w:t>
      </w:r>
    </w:p>
    <w:p w14:paraId="7D8A90FF">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5.2.1技术标评审</w:t>
      </w:r>
    </w:p>
    <w:p w14:paraId="40B6FB65">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评标委员会依据《技术标评审表》进行形式性评审和响应性评审。有一项不符合评审标准的，做无效投标处理；对否定的技术标，评标委员会要提出充足的否定理由，并填写在技术标评标记录上。</w:t>
      </w:r>
    </w:p>
    <w:p w14:paraId="1C3D282C">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5.2.2商务标评审</w:t>
      </w:r>
    </w:p>
    <w:p w14:paraId="2EF21089">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(1)评标委员会依据《商务标评审表》进行形式性评审和响应性评审。有一项不符合评审标准的，做无效投标处理；</w:t>
      </w:r>
    </w:p>
    <w:p w14:paraId="67507A00">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（2）商务标详细评审标准中有任何一项不能通过评审的，作无效投标处理。</w:t>
      </w:r>
    </w:p>
    <w:p w14:paraId="07002900">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5.3其他无效投标情况：</w:t>
      </w:r>
    </w:p>
    <w:p w14:paraId="521E6682">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评标委员会发现投标人的投标报价明显低于其他投标报价，使得其投标报价可能低于其成本的，应当要求该投标人作出书面说明并提供相应的证明材料。投标人不能合理说明或者不能提供相应证明材料的，由评标委员会认定该投标人以低于成本报价竞标，其投标作无效投标处理。</w:t>
      </w:r>
    </w:p>
    <w:p w14:paraId="50418D23">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（2）按第四章“评标方法”4.2.4项修正错误的原则及方法调整或修正投标文件的投标报价，调整或修正的价格经投标人书面确认后具有约束力。投标人不接受修正价格的，其投标将被拒绝。</w:t>
      </w:r>
    </w:p>
    <w:p w14:paraId="54281624">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（3）第二章“投标人须知”第1.4.3项规定的任何一种情形的。</w:t>
      </w:r>
    </w:p>
    <w:p w14:paraId="51973303">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（4）投标人有串通投标、视为串通投标、弄虚作假、行贿等违法行为。</w:t>
      </w:r>
    </w:p>
    <w:p w14:paraId="16C9A18E">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（5）投标文件没有对招标文件的实质性要求和条件作出响应。</w:t>
      </w:r>
    </w:p>
    <w:p w14:paraId="38CABD6E">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（6）未按规定的格式填写导致实质性内容不全以及实质上不响应，或者关键字迹模糊、无法辨认；经公共资源交易监督部门核准的。</w:t>
      </w:r>
    </w:p>
    <w:p w14:paraId="04499541">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（7）同一投标人提交两个以上不同的投标文件或者投标报价，但招标文件规定提交备选投标的除外。</w:t>
      </w:r>
    </w:p>
    <w:p w14:paraId="006DF3CE">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（8）投标文件中存在招标人不能接受的其他实质性条件。</w:t>
      </w:r>
    </w:p>
    <w:p w14:paraId="2C05852F">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（9）投标文件中填报的拟任项目经理（建造师）与资格审查通过的项目经理（建造师）（或注册建造师）前后不一致的。</w:t>
      </w:r>
    </w:p>
    <w:p w14:paraId="46D59D7B">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（10）投标人拒不按照要求对投标文件进行澄清、说明、补正的，或评标委员会根据招标文件的规定对招标文件的计算错误进行修正后，投标人不接受修正的投标报价的。</w:t>
      </w:r>
    </w:p>
    <w:p w14:paraId="4FE13365">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（11）投标人投标MAC地址一致。</w:t>
      </w:r>
    </w:p>
    <w:p w14:paraId="4BC8721E">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（12）投标人单方面出现其他投标人材料。</w:t>
      </w:r>
    </w:p>
    <w:p w14:paraId="46837DB4">
      <w:pPr>
        <w:adjustRightInd w:val="0"/>
        <w:snapToGrid w:val="0"/>
        <w:spacing w:line="560" w:lineRule="exact"/>
        <w:ind w:firstLine="420" w:firstLineChars="200"/>
        <w:rPr>
          <w:rFonts w:ascii="宋体" w:hAnsi="宋体" w:cs="宋体"/>
          <w:strike/>
          <w:color w:val="auto"/>
          <w:szCs w:val="21"/>
          <w:highlight w:val="none"/>
        </w:rPr>
      </w:pPr>
      <w:r>
        <w:rPr>
          <w:rFonts w:hint="eastAsia" w:ascii="宋体" w:hAnsi="宋体" w:cs="宋体"/>
          <w:color w:val="auto"/>
          <w:szCs w:val="21"/>
          <w:highlight w:val="none"/>
        </w:rPr>
        <w:t>（13）</w:t>
      </w:r>
      <w:r>
        <w:rPr>
          <w:rFonts w:hint="eastAsia" w:ascii="宋体" w:hAnsi="宋体" w:cs="宋体"/>
          <w:bCs/>
          <w:color w:val="auto"/>
          <w:szCs w:val="21"/>
          <w:highlight w:val="none"/>
        </w:rPr>
        <w:t>评标时查询投标文件制作机器码、文件创建标识码及造价软件加密锁号。若存在投标文件制作机器码或创建标识码或造价软件加密锁号信息与其他投标人雷同的，投标无效。</w:t>
      </w:r>
    </w:p>
    <w:p w14:paraId="2B9F70CF">
      <w:pPr>
        <w:adjustRightInd w:val="0"/>
        <w:snapToGrid w:val="0"/>
        <w:spacing w:line="560" w:lineRule="exact"/>
        <w:ind w:firstLine="420" w:firstLineChars="200"/>
        <w:rPr>
          <w:rFonts w:ascii="宋体" w:hAnsi="宋体" w:cs="宋体"/>
          <w:strike/>
          <w:color w:val="auto"/>
          <w:szCs w:val="21"/>
          <w:highlight w:val="none"/>
        </w:rPr>
      </w:pPr>
      <w:r>
        <w:rPr>
          <w:rFonts w:hint="eastAsia" w:ascii="宋体" w:hAnsi="宋体" w:cs="宋体"/>
          <w:bCs/>
          <w:color w:val="auto"/>
          <w:szCs w:val="21"/>
          <w:highlight w:val="none"/>
        </w:rPr>
        <w:t>（14）</w:t>
      </w:r>
      <w:r>
        <w:rPr>
          <w:rFonts w:hint="eastAsia" w:ascii="宋体" w:hAnsi="宋体" w:cs="宋体"/>
          <w:color w:val="auto"/>
          <w:szCs w:val="21"/>
          <w:highlight w:val="none"/>
          <w:lang w:bidi="ar"/>
        </w:rPr>
        <w:t>投标人申请开具电子保函MAC地址一致。</w:t>
      </w:r>
    </w:p>
    <w:p w14:paraId="262B5371">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（15）投标人联系人或联系电话相同的。</w:t>
      </w:r>
    </w:p>
    <w:p w14:paraId="103BDECD">
      <w:pPr>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（16）法律、法规规定的其他情形。</w:t>
      </w:r>
    </w:p>
    <w:p w14:paraId="1523B782">
      <w:pPr>
        <w:pStyle w:val="3"/>
        <w:adjustRightInd w:val="0"/>
        <w:snapToGrid w:val="0"/>
        <w:spacing w:before="0" w:after="0" w:line="560" w:lineRule="exact"/>
        <w:ind w:firstLine="422" w:firstLineChars="200"/>
        <w:rPr>
          <w:rFonts w:hint="eastAsia" w:ascii="黑体" w:hAnsi="黑体" w:cs="黑体"/>
          <w:color w:val="auto"/>
          <w:sz w:val="21"/>
          <w:szCs w:val="21"/>
          <w:highlight w:val="none"/>
        </w:rPr>
      </w:pPr>
      <w:bookmarkStart w:id="689" w:name="_Toc95223439"/>
      <w:r>
        <w:rPr>
          <w:rFonts w:hint="eastAsia" w:ascii="黑体" w:hAnsi="黑体" w:cs="黑体"/>
          <w:color w:val="auto"/>
          <w:sz w:val="21"/>
          <w:szCs w:val="21"/>
          <w:highlight w:val="none"/>
        </w:rPr>
        <w:t>6.投标文件的澄清和补正</w:t>
      </w:r>
      <w:bookmarkEnd w:id="689"/>
    </w:p>
    <w:p w14:paraId="3225FEBC">
      <w:pPr>
        <w:adjustRightInd w:val="0"/>
        <w:snapToGrid w:val="0"/>
        <w:spacing w:line="560" w:lineRule="exact"/>
        <w:ind w:firstLine="420" w:firstLineChars="200"/>
        <w:rPr>
          <w:rFonts w:hint="eastAsia" w:ascii="宋体" w:hAnsi="宋体" w:cs="宋体"/>
          <w:color w:val="auto"/>
          <w:szCs w:val="21"/>
          <w:highlight w:val="none"/>
        </w:rPr>
      </w:pPr>
      <w:bookmarkStart w:id="690" w:name="_Toc95223440"/>
      <w:r>
        <w:rPr>
          <w:rFonts w:hint="eastAsia" w:ascii="宋体" w:hAnsi="宋体" w:cs="宋体"/>
          <w:color w:val="auto"/>
          <w:szCs w:val="21"/>
          <w:highlight w:val="none"/>
        </w:rPr>
        <w:t>6.1在评标过程中，评标委员会可以书面形式要求投标人对所提交的投标文件中含义不明确、对同类问题表述不一致或者有明显文字和计算错误”，其他评标办法请一并修改的内容进行书面澄清或说明，或者对细微偏差进行补正。评标委员会不接受投标人主动提出的澄清、说明或补正。</w:t>
      </w:r>
    </w:p>
    <w:p w14:paraId="68F77092">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6.2澄清、说明和补正不得改变投标文件的实质性内容（算术性错误修正的除外）。投标人的书面澄清、说明和补正属于投标文件的组成部分。</w:t>
      </w:r>
    </w:p>
    <w:p w14:paraId="525D2930">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6.3评标委员会对投标人提交的澄清、说明和补正有疑问的，可以要求投标人进一步澄清、说明或补正、直至满足评标委员会的要求。</w:t>
      </w:r>
    </w:p>
    <w:p w14:paraId="07E4E81B">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按照投标文件规定进行澄清、补正后的投标报价经投标人的法定代表人或其委托代理人确认后即为该投标人的最终投标报价。投标人一旦中标，此报价即为中标价。</w:t>
      </w:r>
    </w:p>
    <w:p w14:paraId="08CC8548">
      <w:pPr>
        <w:pStyle w:val="3"/>
        <w:adjustRightInd w:val="0"/>
        <w:snapToGrid w:val="0"/>
        <w:spacing w:before="0" w:after="0" w:line="560" w:lineRule="exact"/>
        <w:ind w:firstLine="422" w:firstLineChars="200"/>
        <w:rPr>
          <w:rFonts w:hint="eastAsia" w:ascii="黑体" w:hAnsi="黑体" w:cs="黑体"/>
          <w:color w:val="auto"/>
          <w:sz w:val="21"/>
          <w:szCs w:val="21"/>
          <w:highlight w:val="none"/>
        </w:rPr>
      </w:pPr>
      <w:r>
        <w:rPr>
          <w:rFonts w:hint="eastAsia" w:ascii="黑体" w:hAnsi="黑体" w:cs="黑体"/>
          <w:color w:val="auto"/>
          <w:sz w:val="21"/>
          <w:szCs w:val="21"/>
          <w:highlight w:val="none"/>
        </w:rPr>
        <w:t>7.评分标准</w:t>
      </w:r>
      <w:bookmarkEnd w:id="690"/>
    </w:p>
    <w:p w14:paraId="41E47A29">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7.1评分标准：见评分表。</w:t>
      </w:r>
    </w:p>
    <w:p w14:paraId="2D7FEF72">
      <w:pPr>
        <w:pStyle w:val="3"/>
        <w:adjustRightInd w:val="0"/>
        <w:snapToGrid w:val="0"/>
        <w:spacing w:before="0" w:after="0" w:line="560" w:lineRule="exact"/>
        <w:ind w:firstLine="422" w:firstLineChars="200"/>
        <w:rPr>
          <w:rFonts w:hint="eastAsia" w:ascii="黑体" w:hAnsi="黑体" w:cs="黑体"/>
          <w:color w:val="auto"/>
          <w:sz w:val="21"/>
          <w:szCs w:val="21"/>
          <w:highlight w:val="none"/>
        </w:rPr>
      </w:pPr>
      <w:bookmarkStart w:id="691" w:name="_Toc95223441"/>
      <w:r>
        <w:rPr>
          <w:rFonts w:hint="eastAsia" w:ascii="黑体" w:hAnsi="黑体" w:cs="黑体"/>
          <w:color w:val="auto"/>
          <w:sz w:val="21"/>
          <w:szCs w:val="21"/>
          <w:highlight w:val="none"/>
        </w:rPr>
        <w:t>8.评审结果</w:t>
      </w:r>
      <w:bookmarkEnd w:id="691"/>
    </w:p>
    <w:p w14:paraId="3397601A">
      <w:pPr>
        <w:adjustRightInd w:val="0"/>
        <w:snapToGrid w:val="0"/>
        <w:spacing w:line="56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8.1评标委员会按照各项评审因素的总得分从高到低推荐</w:t>
      </w:r>
      <w:r>
        <w:rPr>
          <w:rFonts w:hint="eastAsia" w:ascii="宋体" w:hAnsi="宋体" w:cs="宋体"/>
          <w:color w:val="auto"/>
          <w:szCs w:val="21"/>
          <w:highlight w:val="none"/>
          <w:lang w:val="en-US" w:eastAsia="zh-CN"/>
        </w:rPr>
        <w:t>3名</w:t>
      </w:r>
      <w:r>
        <w:rPr>
          <w:rFonts w:hint="eastAsia" w:ascii="宋体" w:hAnsi="宋体" w:cs="宋体"/>
          <w:color w:val="auto"/>
          <w:szCs w:val="21"/>
          <w:highlight w:val="none"/>
        </w:rPr>
        <w:t>中标候选人</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不排序）</w:t>
      </w:r>
      <w:r>
        <w:rPr>
          <w:rFonts w:hint="eastAsia" w:ascii="宋体" w:hAnsi="宋体" w:cs="宋体"/>
          <w:color w:val="auto"/>
          <w:szCs w:val="21"/>
          <w:highlight w:val="none"/>
        </w:rPr>
        <w:t>。如总得分相等，以投标报价低的优先，投标报价仍相等，由评标委员会主任委员或招标人随机抽取确定。</w:t>
      </w:r>
    </w:p>
    <w:p w14:paraId="43A630FF">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8.2评标委员会完成评标后，应当向招标人提交书面评标报告。评标报告应当如实记载以下内容：</w:t>
      </w:r>
    </w:p>
    <w:p w14:paraId="31CB659B">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（1）基本情况和数据表。</w:t>
      </w:r>
    </w:p>
    <w:p w14:paraId="0AF552D5">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（2）评标委员会成员名单。</w:t>
      </w:r>
    </w:p>
    <w:p w14:paraId="21C1AA2E">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（3）开标记录。</w:t>
      </w:r>
    </w:p>
    <w:p w14:paraId="30215671">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（4）符合要求的投标人一览表。</w:t>
      </w:r>
    </w:p>
    <w:p w14:paraId="6379E6E6">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（5）否决投标情况说明。</w:t>
      </w:r>
    </w:p>
    <w:p w14:paraId="76C3616B">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（6）评标标准、评标方法或者评标因素。</w:t>
      </w:r>
    </w:p>
    <w:p w14:paraId="5B9B3538">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（7）评标情况一览表。</w:t>
      </w:r>
    </w:p>
    <w:p w14:paraId="7A42E887">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（8）经评审的投标人</w:t>
      </w:r>
      <w:r>
        <w:rPr>
          <w:rFonts w:hint="eastAsia" w:ascii="宋体" w:hAnsi="宋体" w:cs="宋体"/>
          <w:color w:val="auto"/>
          <w:szCs w:val="21"/>
          <w:highlight w:val="none"/>
          <w:lang w:val="en-US" w:eastAsia="zh-CN"/>
        </w:rPr>
        <w:t>情况表</w:t>
      </w:r>
      <w:r>
        <w:rPr>
          <w:rFonts w:hint="eastAsia" w:ascii="宋体" w:hAnsi="宋体" w:cs="宋体"/>
          <w:color w:val="auto"/>
          <w:szCs w:val="21"/>
          <w:highlight w:val="none"/>
        </w:rPr>
        <w:t>。</w:t>
      </w:r>
    </w:p>
    <w:p w14:paraId="4EF03C58">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（9）推荐的中标候选人名单与签订合同前要处理的事宜。</w:t>
      </w:r>
    </w:p>
    <w:p w14:paraId="5FE5C6BC">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（10）澄清、说明、补正事项纪要。</w:t>
      </w:r>
    </w:p>
    <w:p w14:paraId="2A6B9670">
      <w:pPr>
        <w:pStyle w:val="3"/>
        <w:adjustRightInd w:val="0"/>
        <w:snapToGrid w:val="0"/>
        <w:spacing w:before="0" w:after="0" w:line="520" w:lineRule="exact"/>
        <w:ind w:firstLine="422" w:firstLineChars="200"/>
        <w:rPr>
          <w:rFonts w:hint="eastAsia" w:ascii="黑体" w:hAnsi="黑体" w:cs="黑体"/>
          <w:color w:val="auto"/>
          <w:sz w:val="21"/>
          <w:szCs w:val="21"/>
          <w:highlight w:val="none"/>
        </w:rPr>
      </w:pPr>
      <w:bookmarkStart w:id="692" w:name="_Toc95223442"/>
      <w:r>
        <w:rPr>
          <w:rFonts w:hint="eastAsia" w:ascii="黑体" w:hAnsi="黑体" w:cs="黑体"/>
          <w:color w:val="auto"/>
          <w:sz w:val="21"/>
          <w:szCs w:val="21"/>
          <w:highlight w:val="none"/>
        </w:rPr>
        <w:t>9.其他</w:t>
      </w:r>
      <w:bookmarkEnd w:id="692"/>
    </w:p>
    <w:p w14:paraId="62D41B16">
      <w:pPr>
        <w:adjustRightInd w:val="0"/>
        <w:snapToGrid w:val="0"/>
        <w:spacing w:line="520" w:lineRule="exact"/>
        <w:ind w:firstLine="420" w:firstLineChars="200"/>
        <w:rPr>
          <w:rFonts w:hint="eastAsia"/>
          <w:color w:val="auto"/>
          <w:highlight w:val="none"/>
        </w:rPr>
      </w:pPr>
      <w:r>
        <w:rPr>
          <w:rFonts w:hint="eastAsia" w:ascii="宋体" w:hAnsi="宋体" w:cs="宋体"/>
          <w:color w:val="auto"/>
          <w:szCs w:val="21"/>
          <w:highlight w:val="none"/>
        </w:rPr>
        <w:t>投标人提供的与投标文件有关的各类证书、证明、文件、资料等的真实性、合法性由投标人负全责。</w:t>
      </w:r>
    </w:p>
    <w:p w14:paraId="747A7C11">
      <w:pPr>
        <w:pStyle w:val="2"/>
        <w:adjustRightInd w:val="0"/>
        <w:snapToGrid w:val="0"/>
        <w:spacing w:before="0" w:after="0" w:line="560" w:lineRule="exact"/>
        <w:jc w:val="center"/>
        <w:rPr>
          <w:color w:val="auto"/>
          <w:highlight w:val="none"/>
        </w:rPr>
        <w:sectPr>
          <w:footerReference r:id="rId4" w:type="default"/>
          <w:footnotePr>
            <w:numFmt w:val="decimalEnclosedCircleChinese"/>
            <w:numRestart w:val="eachPage"/>
          </w:footnotePr>
          <w:pgSz w:w="11907" w:h="16840"/>
          <w:pgMar w:top="1474" w:right="1474" w:bottom="1474" w:left="1474" w:header="799" w:footer="907" w:gutter="0"/>
          <w:pgNumType w:fmt="numberInDash" w:start="1"/>
          <w:cols w:space="720" w:num="1"/>
          <w:docGrid w:linePitch="271" w:charSpace="0"/>
        </w:sectPr>
      </w:pPr>
      <w:bookmarkStart w:id="693" w:name="_Toc95223458"/>
    </w:p>
    <w:p w14:paraId="4EF329B7">
      <w:pPr>
        <w:pStyle w:val="2"/>
        <w:adjustRightInd w:val="0"/>
        <w:snapToGrid w:val="0"/>
        <w:spacing w:before="0" w:after="0" w:line="560" w:lineRule="exact"/>
        <w:jc w:val="center"/>
        <w:rPr>
          <w:rFonts w:hint="eastAsia"/>
          <w:color w:val="auto"/>
          <w:highlight w:val="none"/>
        </w:rPr>
      </w:pPr>
      <w:r>
        <w:rPr>
          <w:rFonts w:hint="eastAsia"/>
          <w:color w:val="auto"/>
          <w:highlight w:val="none"/>
        </w:rPr>
        <w:t>第五章 合同条款及格式</w:t>
      </w:r>
      <w:bookmarkEnd w:id="693"/>
    </w:p>
    <w:p w14:paraId="70969860">
      <w:pPr>
        <w:adjustRightInd w:val="0"/>
        <w:snapToGrid w:val="0"/>
        <w:spacing w:line="560" w:lineRule="exact"/>
        <w:jc w:val="center"/>
        <w:rPr>
          <w:rFonts w:hint="eastAsia" w:eastAsia="仿宋_GB2312"/>
          <w:bCs/>
          <w:color w:val="auto"/>
          <w:sz w:val="32"/>
          <w:szCs w:val="32"/>
          <w:highlight w:val="none"/>
        </w:rPr>
      </w:pPr>
    </w:p>
    <w:p w14:paraId="162C574F">
      <w:pPr>
        <w:adjustRightInd w:val="0"/>
        <w:snapToGrid w:val="0"/>
        <w:spacing w:line="560" w:lineRule="exact"/>
        <w:jc w:val="center"/>
        <w:rPr>
          <w:rFonts w:hint="eastAsia" w:eastAsia="仿宋_GB2312"/>
          <w:bCs/>
          <w:color w:val="auto"/>
          <w:sz w:val="32"/>
          <w:szCs w:val="32"/>
          <w:highlight w:val="none"/>
        </w:rPr>
      </w:pPr>
    </w:p>
    <w:p w14:paraId="7C84B557">
      <w:pPr>
        <w:adjustRightInd w:val="0"/>
        <w:snapToGrid w:val="0"/>
        <w:spacing w:line="560" w:lineRule="exact"/>
        <w:jc w:val="center"/>
        <w:rPr>
          <w:rFonts w:hint="eastAsia" w:eastAsia="仿宋_GB2312"/>
          <w:bCs/>
          <w:color w:val="auto"/>
          <w:sz w:val="32"/>
          <w:szCs w:val="32"/>
          <w:highlight w:val="none"/>
        </w:rPr>
      </w:pPr>
    </w:p>
    <w:p w14:paraId="7AC01A2E">
      <w:pPr>
        <w:adjustRightInd w:val="0"/>
        <w:snapToGrid w:val="0"/>
        <w:spacing w:line="560" w:lineRule="exact"/>
        <w:jc w:val="center"/>
        <w:rPr>
          <w:rFonts w:eastAsia="仿宋_GB2312"/>
          <w:bCs/>
          <w:color w:val="auto"/>
          <w:sz w:val="32"/>
          <w:szCs w:val="32"/>
          <w:highlight w:val="none"/>
          <w:u w:val="single"/>
        </w:rPr>
      </w:pPr>
      <w:r>
        <w:rPr>
          <w:rFonts w:hint="eastAsia" w:eastAsia="仿宋_GB2312"/>
          <w:bCs/>
          <w:color w:val="auto"/>
          <w:sz w:val="32"/>
          <w:szCs w:val="32"/>
          <w:highlight w:val="none"/>
        </w:rPr>
        <w:t>合同编号：</w:t>
      </w:r>
      <w:r>
        <w:rPr>
          <w:rFonts w:hint="eastAsia" w:eastAsia="仿宋_GB2312"/>
          <w:bCs/>
          <w:color w:val="auto"/>
          <w:sz w:val="32"/>
          <w:szCs w:val="32"/>
          <w:highlight w:val="none"/>
          <w:u w:val="single"/>
        </w:rPr>
        <w:t>（HT-YL- ）</w:t>
      </w:r>
    </w:p>
    <w:p w14:paraId="4B125FE2">
      <w:pPr>
        <w:adjustRightInd w:val="0"/>
        <w:snapToGrid w:val="0"/>
        <w:spacing w:line="560" w:lineRule="exact"/>
        <w:jc w:val="center"/>
        <w:rPr>
          <w:rFonts w:eastAsia="华文中宋"/>
          <w:b/>
          <w:color w:val="auto"/>
          <w:sz w:val="52"/>
          <w:szCs w:val="52"/>
          <w:highlight w:val="none"/>
        </w:rPr>
      </w:pPr>
    </w:p>
    <w:p w14:paraId="24D77297">
      <w:pPr>
        <w:adjustRightInd w:val="0"/>
        <w:snapToGrid w:val="0"/>
        <w:jc w:val="center"/>
        <w:rPr>
          <w:rFonts w:eastAsia="华文中宋"/>
          <w:b/>
          <w:color w:val="auto"/>
          <w:sz w:val="52"/>
          <w:szCs w:val="52"/>
          <w:highlight w:val="none"/>
        </w:rPr>
      </w:pPr>
      <w:r>
        <w:rPr>
          <w:rFonts w:hint="eastAsia" w:ascii="宋体" w:hAnsi="宋体" w:cs="宋体"/>
          <w:b/>
          <w:color w:val="auto"/>
          <w:sz w:val="72"/>
          <w:szCs w:val="52"/>
          <w:highlight w:val="none"/>
          <w:u w:val="single"/>
          <w:lang w:eastAsia="zh-CN"/>
        </w:rPr>
        <w:t>隆基乐叶光伏组件厂房改扩建项目一期工程</w:t>
      </w:r>
      <w:r>
        <w:rPr>
          <w:rFonts w:hint="eastAsia" w:ascii="宋体" w:hAnsi="宋体" w:cs="宋体"/>
          <w:b/>
          <w:color w:val="auto"/>
          <w:sz w:val="72"/>
          <w:szCs w:val="52"/>
          <w:highlight w:val="none"/>
        </w:rPr>
        <w:t>施工合同</w:t>
      </w:r>
      <w:r>
        <w:rPr>
          <w:rFonts w:eastAsia="华文中宋"/>
          <w:b/>
          <w:color w:val="auto"/>
          <w:sz w:val="52"/>
          <w:szCs w:val="52"/>
          <w:highlight w:val="none"/>
        </w:rPr>
        <w:br w:type="textWrapping"/>
      </w:r>
      <w:bookmarkStart w:id="694" w:name="_Toc15058927"/>
      <w:bookmarkStart w:id="695" w:name="_Toc60061567"/>
      <w:bookmarkStart w:id="696" w:name="_Toc506107333"/>
    </w:p>
    <w:p w14:paraId="443341BD">
      <w:pPr>
        <w:adjustRightInd w:val="0"/>
        <w:snapToGrid w:val="0"/>
        <w:spacing w:line="560" w:lineRule="exact"/>
        <w:jc w:val="center"/>
        <w:rPr>
          <w:rFonts w:eastAsia="华文中宋"/>
          <w:b/>
          <w:color w:val="auto"/>
          <w:sz w:val="52"/>
          <w:szCs w:val="52"/>
          <w:highlight w:val="none"/>
        </w:rPr>
      </w:pPr>
    </w:p>
    <w:p w14:paraId="5380AFCD">
      <w:pPr>
        <w:adjustRightInd w:val="0"/>
        <w:snapToGrid w:val="0"/>
        <w:spacing w:line="560" w:lineRule="exact"/>
        <w:jc w:val="center"/>
        <w:rPr>
          <w:rFonts w:eastAsia="黑体"/>
          <w:b/>
          <w:color w:val="auto"/>
          <w:sz w:val="72"/>
          <w:szCs w:val="72"/>
          <w:highlight w:val="none"/>
        </w:rPr>
      </w:pPr>
    </w:p>
    <w:p w14:paraId="5467E4AA">
      <w:pPr>
        <w:adjustRightInd w:val="0"/>
        <w:snapToGrid w:val="0"/>
        <w:spacing w:line="560" w:lineRule="exact"/>
        <w:jc w:val="center"/>
        <w:rPr>
          <w:rFonts w:hint="eastAsia" w:ascii="宋体" w:hAnsi="宋体" w:cs="宋体"/>
          <w:b/>
          <w:color w:val="auto"/>
          <w:sz w:val="54"/>
          <w:szCs w:val="72"/>
          <w:highlight w:val="none"/>
        </w:rPr>
      </w:pPr>
    </w:p>
    <w:p w14:paraId="74B4E1D4">
      <w:pPr>
        <w:pStyle w:val="19"/>
        <w:rPr>
          <w:color w:val="auto"/>
          <w:highlight w:val="none"/>
        </w:rPr>
      </w:pPr>
    </w:p>
    <w:p w14:paraId="552F8D64">
      <w:pPr>
        <w:adjustRightInd w:val="0"/>
        <w:snapToGrid w:val="0"/>
        <w:spacing w:line="560" w:lineRule="exact"/>
        <w:jc w:val="center"/>
        <w:rPr>
          <w:rFonts w:eastAsia="黑体"/>
          <w:b/>
          <w:color w:val="auto"/>
          <w:sz w:val="52"/>
          <w:szCs w:val="52"/>
          <w:highlight w:val="none"/>
        </w:rPr>
      </w:pPr>
    </w:p>
    <w:p w14:paraId="21CCC458">
      <w:pPr>
        <w:adjustRightInd w:val="0"/>
        <w:snapToGrid w:val="0"/>
        <w:spacing w:line="560" w:lineRule="exact"/>
        <w:rPr>
          <w:b/>
          <w:color w:val="auto"/>
          <w:sz w:val="28"/>
          <w:szCs w:val="28"/>
          <w:highlight w:val="none"/>
        </w:rPr>
      </w:pPr>
    </w:p>
    <w:p w14:paraId="618EC64A">
      <w:pPr>
        <w:adjustRightInd w:val="0"/>
        <w:snapToGrid w:val="0"/>
        <w:spacing w:line="560" w:lineRule="exact"/>
        <w:rPr>
          <w:b/>
          <w:color w:val="auto"/>
          <w:sz w:val="28"/>
          <w:szCs w:val="28"/>
          <w:highlight w:val="none"/>
        </w:rPr>
      </w:pPr>
    </w:p>
    <w:p w14:paraId="718D8304">
      <w:pPr>
        <w:adjustRightInd w:val="0"/>
        <w:snapToGrid w:val="0"/>
        <w:spacing w:line="560" w:lineRule="exact"/>
        <w:rPr>
          <w:b/>
          <w:color w:val="auto"/>
          <w:sz w:val="28"/>
          <w:szCs w:val="28"/>
          <w:highlight w:val="none"/>
        </w:rPr>
      </w:pPr>
    </w:p>
    <w:p w14:paraId="4FC94145">
      <w:pPr>
        <w:adjustRightInd w:val="0"/>
        <w:snapToGrid w:val="0"/>
        <w:spacing w:line="560" w:lineRule="exact"/>
        <w:rPr>
          <w:b/>
          <w:color w:val="auto"/>
          <w:sz w:val="28"/>
          <w:szCs w:val="28"/>
          <w:highlight w:val="none"/>
        </w:rPr>
      </w:pPr>
    </w:p>
    <w:p w14:paraId="43B0CF55">
      <w:pPr>
        <w:adjustRightInd w:val="0"/>
        <w:snapToGrid w:val="0"/>
        <w:spacing w:line="560" w:lineRule="exact"/>
        <w:jc w:val="center"/>
        <w:rPr>
          <w:b/>
          <w:color w:val="auto"/>
          <w:sz w:val="28"/>
          <w:szCs w:val="28"/>
          <w:highlight w:val="none"/>
        </w:rPr>
      </w:pPr>
    </w:p>
    <w:p w14:paraId="173AD1B0">
      <w:pPr>
        <w:adjustRightInd w:val="0"/>
        <w:snapToGrid w:val="0"/>
        <w:spacing w:line="560" w:lineRule="exact"/>
        <w:jc w:val="center"/>
        <w:rPr>
          <w:b/>
          <w:color w:val="auto"/>
          <w:sz w:val="32"/>
          <w:szCs w:val="28"/>
          <w:highlight w:val="none"/>
        </w:rPr>
      </w:pPr>
      <w:r>
        <w:rPr>
          <w:color w:val="auto"/>
          <w:szCs w:val="22"/>
          <w:highlight w:val="none"/>
        </w:rPr>
        <mc:AlternateContent>
          <mc:Choice Requires="wps">
            <w:drawing>
              <wp:anchor distT="0" distB="0" distL="114300" distR="114300" simplePos="0" relativeHeight="251660288" behindDoc="0" locked="0" layoutInCell="1" allowOverlap="1">
                <wp:simplePos x="0" y="0"/>
                <wp:positionH relativeFrom="column">
                  <wp:posOffset>4495800</wp:posOffset>
                </wp:positionH>
                <wp:positionV relativeFrom="paragraph">
                  <wp:posOffset>213360</wp:posOffset>
                </wp:positionV>
                <wp:extent cx="723900" cy="457200"/>
                <wp:effectExtent l="4445" t="4445" r="18415" b="10795"/>
                <wp:wrapNone/>
                <wp:docPr id="1" name="文本框 1"/>
                <wp:cNvGraphicFramePr/>
                <a:graphic xmlns:a="http://schemas.openxmlformats.org/drawingml/2006/main">
                  <a:graphicData uri="http://schemas.microsoft.com/office/word/2010/wordprocessingShape">
                    <wps:wsp>
                      <wps:cNvSpPr txBox="1"/>
                      <wps:spPr>
                        <a:xfrm>
                          <a:off x="0" y="0"/>
                          <a:ext cx="723900" cy="457200"/>
                        </a:xfrm>
                        <a:prstGeom prst="rect">
                          <a:avLst/>
                        </a:prstGeom>
                        <a:noFill/>
                        <a:ln w="9525" cap="flat" cmpd="sng">
                          <a:solidFill>
                            <a:srgbClr val="FFFFFF"/>
                          </a:solidFill>
                          <a:prstDash val="solid"/>
                          <a:miter/>
                          <a:headEnd type="none" w="med" len="med"/>
                          <a:tailEnd type="none" w="med" len="med"/>
                        </a:ln>
                      </wps:spPr>
                      <wps:txbx>
                        <w:txbxContent>
                          <w:p w14:paraId="3C2DE9C8"/>
                        </w:txbxContent>
                      </wps:txbx>
                      <wps:bodyPr upright="1"/>
                    </wps:wsp>
                  </a:graphicData>
                </a:graphic>
              </wp:anchor>
            </w:drawing>
          </mc:Choice>
          <mc:Fallback>
            <w:pict>
              <v:shape id="_x0000_s1026" o:spid="_x0000_s1026" o:spt="202" type="#_x0000_t202" style="position:absolute;left:0pt;margin-left:354pt;margin-top:16.8pt;height:36pt;width:57pt;z-index:251660288;mso-width-relative:page;mso-height-relative:page;" filled="f" stroked="t" coordsize="21600,21600" o:gfxdata="UEsDBAoAAAAAAIdO4kAAAAAAAAAAAAAAAAAEAAAAZHJzL1BLAwQUAAAACACHTuJAu3MqatkAAAAK&#10;AQAADwAAAGRycy9kb3ducmV2LnhtbE2PQU7DMBBF90jcwRokNhW1m0IahThdILFgUaClB3BjNw7Y&#10;4yh2knJ7hhUsZ+bpz/vV9uIdm8wQu4ASVksBzGATdIethOPH810BLCaFWrmARsK3ibCtr68qVeow&#10;495Mh9QyCsFYKgk2pb7kPDbWeBWXoTdIt3MYvEo0Di3Xg5op3DueCZFzrzqkD1b15sma5uswegn7&#10;F/u+wPvdzmk+5Z/H1/FtLhZS3t6sxCOwZC7pD4ZffVKHmpxOYUQdmZOwEQV1SRLW6xwYAUWW0eJE&#10;pHjIgdcV/1+h/gFQSwMEFAAAAAgAh07iQO0earoEAgAADAQAAA4AAABkcnMvZTJvRG9jLnhtbK1T&#10;zY7TMBC+I/EOlu80baEsGzVdCUq5IEBa9gGmjpNY8p88bpO+ALwBJy7cea4+x46d0l2WSw/kkExm&#10;Pn+e7/N4eTMYzfYyoHK24rPJlDNphauVbSt+93Xz4g1nGMHWoJ2VFT9I5Der58+WvS/l3HVO1zIw&#10;IrFY9r7iXYy+LAoUnTSAE+elpWLjgoFIv6Et6gA9sRtdzKfT10XvQu2DExKRsuuxyE+M4RJC1zRK&#10;yLUTOyNtHFmD1BBJEnbKI1/lbptGivi5aVBGpitOSmN+0yYUb9O7WC2hbAP4TolTC3BJC080GVCW&#10;Nj1TrSEC2wX1D5VRIjh0TZwIZ4pRSHaEVMymT7y57cDLrIWsRn82Hf8frfi0/xKYqmkSOLNg6MCP&#10;P74ff/4+/vrGZsme3mNJqFtPuDi8dUOCnvJIyaR6aIJJX9LDqE7mHs7myiEyQcmr+cvrKVUElV4t&#10;rmgUEkvxsNgHjB+kMywFFQ90dtlS2H/EOEL/QNJe1m2U1pSHUlvWV/x6MV8QPdBMNjQLFBpPutC2&#10;mQadVnVaklZgaLfvdGB7oLnY5OfUzV+wtN8asBtxuZRgUBoVZchRJ6F+b2sWD568s3RleGrGyJoz&#10;LemGpSgjIyh9CZIs0ZacScaPBqcoDtuBaFK4dfWBDmPng2o7ciofR4bTkGRLTwOdpvDxfyZ9uMSr&#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tzKmrZAAAACgEAAA8AAAAAAAAAAQAgAAAAIgAAAGRy&#10;cy9kb3ducmV2LnhtbFBLAQIUABQAAAAIAIdO4kDtHmq6BAIAAAwEAAAOAAAAAAAAAAEAIAAAACgB&#10;AABkcnMvZTJvRG9jLnhtbFBLBQYAAAAABgAGAFkBAACeBQAAAAA=&#10;">
                <v:fill on="f" focussize="0,0"/>
                <v:stroke color="#FFFFFF" joinstyle="miter"/>
                <v:imagedata o:title=""/>
                <o:lock v:ext="edit" aspectratio="f"/>
                <v:textbox>
                  <w:txbxContent>
                    <w:p w14:paraId="3C2DE9C8"/>
                  </w:txbxContent>
                </v:textbox>
              </v:shape>
            </w:pict>
          </mc:Fallback>
        </mc:AlternateContent>
      </w:r>
      <w:bookmarkEnd w:id="694"/>
      <w:bookmarkEnd w:id="695"/>
      <w:bookmarkEnd w:id="696"/>
      <w:r>
        <w:rPr>
          <w:rFonts w:hint="eastAsia"/>
          <w:b/>
          <w:color w:val="auto"/>
          <w:sz w:val="32"/>
          <w:szCs w:val="28"/>
          <w:highlight w:val="none"/>
        </w:rPr>
        <w:t>住房和城乡建设部</w:t>
      </w:r>
    </w:p>
    <w:p w14:paraId="126E2899">
      <w:pPr>
        <w:adjustRightInd w:val="0"/>
        <w:snapToGrid w:val="0"/>
        <w:spacing w:line="560" w:lineRule="exact"/>
        <w:jc w:val="center"/>
        <w:rPr>
          <w:b/>
          <w:color w:val="auto"/>
          <w:sz w:val="32"/>
          <w:szCs w:val="28"/>
          <w:highlight w:val="none"/>
        </w:rPr>
      </w:pPr>
      <w:r>
        <w:rPr>
          <w:rFonts w:hint="eastAsia"/>
          <w:b/>
          <w:color w:val="auto"/>
          <w:sz w:val="32"/>
          <w:szCs w:val="28"/>
          <w:highlight w:val="none"/>
        </w:rPr>
        <w:t>国家工商行政管理总局</w:t>
      </w:r>
    </w:p>
    <w:p w14:paraId="1751214E">
      <w:pPr>
        <w:adjustRightInd w:val="0"/>
        <w:snapToGrid w:val="0"/>
        <w:spacing w:line="560" w:lineRule="exact"/>
        <w:rPr>
          <w:rFonts w:hint="eastAsia" w:ascii="仿宋_GB2312" w:eastAsia="仿宋_GB2312"/>
          <w:color w:val="auto"/>
          <w:szCs w:val="21"/>
          <w:highlight w:val="none"/>
          <w:u w:val="single"/>
        </w:rPr>
      </w:pPr>
    </w:p>
    <w:p w14:paraId="5E2C2ADA">
      <w:pPr>
        <w:keepNext/>
        <w:keepLines/>
        <w:spacing w:line="360" w:lineRule="auto"/>
        <w:jc w:val="both"/>
        <w:outlineLvl w:val="1"/>
        <w:rPr>
          <w:rFonts w:ascii="宋体" w:hAnsi="宋体" w:cs="宋体"/>
          <w:b/>
          <w:bCs/>
          <w:color w:val="auto"/>
          <w:sz w:val="32"/>
          <w:szCs w:val="32"/>
          <w:highlight w:val="none"/>
        </w:rPr>
        <w:sectPr>
          <w:footnotePr>
            <w:numFmt w:val="decimalEnclosedCircleChinese"/>
            <w:numRestart w:val="eachPage"/>
          </w:footnotePr>
          <w:pgSz w:w="11907" w:h="16840"/>
          <w:pgMar w:top="1474" w:right="1474" w:bottom="1474" w:left="1474" w:header="799" w:footer="907" w:gutter="0"/>
          <w:pgNumType w:fmt="numberInDash"/>
          <w:cols w:space="720" w:num="1"/>
          <w:docGrid w:linePitch="271" w:charSpace="0"/>
        </w:sectPr>
      </w:pPr>
      <w:bookmarkStart w:id="697" w:name="_Toc95223459"/>
      <w:bookmarkStart w:id="698" w:name="_Toc28799376"/>
      <w:bookmarkStart w:id="699" w:name="_Toc3977"/>
    </w:p>
    <w:p w14:paraId="3F60C2C3">
      <w:pPr>
        <w:keepNext/>
        <w:keepLines/>
        <w:spacing w:line="360" w:lineRule="auto"/>
        <w:jc w:val="center"/>
        <w:outlineLvl w:val="1"/>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第一节  合同协议书</w:t>
      </w:r>
      <w:bookmarkEnd w:id="697"/>
      <w:bookmarkEnd w:id="698"/>
      <w:bookmarkEnd w:id="699"/>
    </w:p>
    <w:p w14:paraId="2BFC21DC">
      <w:pPr>
        <w:spacing w:line="360" w:lineRule="auto"/>
        <w:rPr>
          <w:rFonts w:hint="eastAsia" w:ascii="宋体" w:hAnsi="宋体" w:cs="宋体"/>
          <w:b/>
          <w:color w:val="auto"/>
          <w:sz w:val="24"/>
          <w:highlight w:val="none"/>
          <w:u w:val="single"/>
        </w:rPr>
      </w:pPr>
      <w:r>
        <w:rPr>
          <w:rFonts w:hint="eastAsia" w:ascii="宋体" w:hAnsi="宋体" w:cs="宋体"/>
          <w:b/>
          <w:color w:val="auto"/>
          <w:sz w:val="24"/>
          <w:highlight w:val="none"/>
        </w:rPr>
        <w:t>发包人（全</w:t>
      </w:r>
      <w:r>
        <w:rPr>
          <w:rFonts w:hint="eastAsia" w:ascii="宋体" w:hAnsi="宋体" w:cs="宋体"/>
          <w:b/>
          <w:color w:val="auto"/>
          <w:sz w:val="24"/>
          <w:highlight w:val="none"/>
          <w:u w:val="none"/>
        </w:rPr>
        <w:t>称）：</w:t>
      </w:r>
      <w:r>
        <w:rPr>
          <w:rFonts w:hint="eastAsia" w:ascii="宋体" w:hAnsi="宋体" w:cs="宋体"/>
          <w:b/>
          <w:color w:val="auto"/>
          <w:sz w:val="24"/>
          <w:highlight w:val="none"/>
          <w:u w:val="single"/>
        </w:rPr>
        <w:t></w:t>
      </w:r>
      <w:r>
        <w:rPr>
          <w:rFonts w:hint="eastAsia" w:ascii="宋体" w:hAnsi="宋体" w:cs="宋体"/>
          <w:b/>
          <w:color w:val="auto"/>
          <w:sz w:val="24"/>
          <w:highlight w:val="none"/>
          <w:u w:val="single"/>
          <w:lang w:val="en-US" w:eastAsia="zh-CN"/>
        </w:rPr>
        <w:t>滁州市同创建设投资有限责任公司</w:t>
      </w:r>
      <w:r>
        <w:rPr>
          <w:rFonts w:hint="eastAsia" w:ascii="宋体" w:hAnsi="宋体" w:cs="宋体"/>
          <w:b/>
          <w:color w:val="auto"/>
          <w:sz w:val="24"/>
          <w:highlight w:val="none"/>
          <w:u w:val="single"/>
        </w:rPr>
        <w:t></w:t>
      </w:r>
    </w:p>
    <w:p w14:paraId="0D13AA84">
      <w:pPr>
        <w:spacing w:line="360" w:lineRule="auto"/>
        <w:rPr>
          <w:rFonts w:hint="eastAsia" w:ascii="宋体" w:hAnsi="宋体" w:cs="宋体"/>
          <w:color w:val="auto"/>
          <w:szCs w:val="21"/>
          <w:highlight w:val="none"/>
          <w:u w:val="single"/>
        </w:rPr>
      </w:pPr>
      <w:r>
        <w:rPr>
          <w:rFonts w:hint="eastAsia" w:ascii="宋体" w:hAnsi="宋体" w:cs="宋体"/>
          <w:b/>
          <w:color w:val="auto"/>
          <w:sz w:val="24"/>
          <w:highlight w:val="none"/>
          <w:u w:val="none"/>
        </w:rPr>
        <w:t>承包人（全称）：</w:t>
      </w:r>
      <w:r>
        <w:rPr>
          <w:rFonts w:hint="eastAsia" w:ascii="宋体" w:hAnsi="宋体" w:cs="宋体"/>
          <w:b/>
          <w:color w:val="auto"/>
          <w:sz w:val="24"/>
          <w:highlight w:val="none"/>
          <w:u w:val="single"/>
        </w:rPr>
        <w:t>                </w:t>
      </w:r>
    </w:p>
    <w:p w14:paraId="12961906">
      <w:pPr>
        <w:spacing w:line="360"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u w:val="single"/>
        </w:rPr>
        <w:t xml:space="preserve">根据《中华人民共和国民法典》《中华人民共和国建筑法》及有关法律规定，遵循平等、自愿、公平和诚实信用的原则，双方就 </w:t>
      </w:r>
      <w:r>
        <w:rPr>
          <w:rFonts w:hint="eastAsia" w:ascii="宋体" w:hAnsi="宋体" w:cs="宋体"/>
          <w:color w:val="auto"/>
          <w:szCs w:val="21"/>
          <w:highlight w:val="none"/>
          <w:u w:val="single"/>
          <w:lang w:eastAsia="zh-CN"/>
        </w:rPr>
        <w:t>隆基乐叶光伏组件厂房改扩建项目一期工程</w:t>
      </w:r>
      <w:r>
        <w:rPr>
          <w:rFonts w:hint="eastAsia" w:ascii="宋体" w:hAnsi="宋体" w:cs="宋体"/>
          <w:color w:val="auto"/>
          <w:szCs w:val="21"/>
          <w:highlight w:val="none"/>
          <w:u w:val="single"/>
        </w:rPr>
        <w:t xml:space="preserve"> 工程施工及有关事项协商一致，共同达成如下协议：</w:t>
      </w:r>
      <w:bookmarkStart w:id="700" w:name="_Toc351203481"/>
    </w:p>
    <w:p w14:paraId="779381D1">
      <w:pPr>
        <w:spacing w:line="360" w:lineRule="auto"/>
        <w:ind w:firstLine="422" w:firstLineChars="200"/>
        <w:rPr>
          <w:rFonts w:hint="eastAsia" w:ascii="宋体" w:hAnsi="宋体" w:cs="宋体"/>
          <w:color w:val="auto"/>
          <w:szCs w:val="21"/>
          <w:highlight w:val="none"/>
          <w:u w:val="single"/>
        </w:rPr>
      </w:pPr>
      <w:r>
        <w:rPr>
          <w:rFonts w:hint="eastAsia" w:ascii="宋体" w:hAnsi="宋体" w:cs="宋体"/>
          <w:b/>
          <w:color w:val="auto"/>
          <w:szCs w:val="21"/>
          <w:highlight w:val="none"/>
          <w:u w:val="single"/>
        </w:rPr>
        <w:t>一、工程概况</w:t>
      </w:r>
      <w:bookmarkEnd w:id="700"/>
    </w:p>
    <w:p w14:paraId="53AB6347">
      <w:pPr>
        <w:spacing w:line="360" w:lineRule="auto"/>
        <w:ind w:firstLine="411" w:firstLineChars="196"/>
        <w:rPr>
          <w:rFonts w:hint="eastAsia" w:ascii="宋体" w:hAnsi="宋体" w:eastAsia="宋体" w:cs="宋体"/>
          <w:color w:val="auto"/>
          <w:szCs w:val="21"/>
          <w:highlight w:val="none"/>
          <w:u w:val="single"/>
          <w:lang w:eastAsia="zh-CN"/>
        </w:rPr>
      </w:pPr>
      <w:r>
        <w:rPr>
          <w:rFonts w:hint="eastAsia" w:ascii="宋体" w:hAnsi="宋体" w:cs="宋体"/>
          <w:bCs/>
          <w:color w:val="auto"/>
          <w:szCs w:val="21"/>
          <w:highlight w:val="none"/>
          <w:u w:val="single"/>
        </w:rPr>
        <w:t>1. 工程名称</w:t>
      </w:r>
      <w:r>
        <w:rPr>
          <w:rFonts w:hint="eastAsia" w:ascii="宋体" w:hAnsi="宋体" w:cs="宋体"/>
          <w:color w:val="auto"/>
          <w:szCs w:val="21"/>
          <w:highlight w:val="none"/>
          <w:u w:val="single"/>
        </w:rPr>
        <w:t>：</w:t>
      </w:r>
      <w:r>
        <w:rPr>
          <w:rFonts w:hint="eastAsia" w:ascii="宋体" w:hAnsi="宋体" w:cs="宋体"/>
          <w:color w:val="auto"/>
          <w:szCs w:val="21"/>
          <w:highlight w:val="none"/>
          <w:u w:val="single"/>
          <w:lang w:eastAsia="zh-CN"/>
        </w:rPr>
        <w:t>隆基乐叶光伏组件厂房改扩建项目一期工程</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p>
    <w:p w14:paraId="6C6143BD">
      <w:pPr>
        <w:spacing w:line="360" w:lineRule="auto"/>
        <w:ind w:firstLine="411" w:firstLineChars="196"/>
        <w:rPr>
          <w:rFonts w:hint="default" w:ascii="宋体" w:hAnsi="宋体" w:eastAsia="宋体" w:cs="宋体"/>
          <w:bCs/>
          <w:color w:val="auto"/>
          <w:szCs w:val="21"/>
          <w:highlight w:val="none"/>
          <w:u w:val="single"/>
          <w:lang w:eastAsia="zh-CN"/>
        </w:rPr>
      </w:pPr>
      <w:r>
        <w:rPr>
          <w:rFonts w:hint="eastAsia" w:ascii="宋体" w:hAnsi="宋体" w:cs="宋体"/>
          <w:bCs/>
          <w:color w:val="auto"/>
          <w:szCs w:val="21"/>
          <w:highlight w:val="none"/>
          <w:u w:val="single"/>
        </w:rPr>
        <w:t>2. 工程地点：</w:t>
      </w:r>
      <w:r>
        <w:rPr>
          <w:rFonts w:hint="default" w:ascii="宋体" w:hAnsi="宋体" w:cs="宋体"/>
          <w:bCs/>
          <w:color w:val="auto"/>
          <w:szCs w:val="21"/>
          <w:highlight w:val="none"/>
          <w:u w:val="single"/>
        </w:rPr>
        <w:t xml:space="preserve"> </w:t>
      </w:r>
    </w:p>
    <w:p w14:paraId="13361059">
      <w:pPr>
        <w:spacing w:line="360" w:lineRule="auto"/>
        <w:ind w:firstLine="411" w:firstLineChars="196"/>
        <w:rPr>
          <w:rFonts w:hint="eastAsia" w:ascii="宋体" w:hAnsi="宋体" w:eastAsia="宋体" w:cs="宋体"/>
          <w:bCs/>
          <w:color w:val="auto"/>
          <w:szCs w:val="21"/>
          <w:highlight w:val="none"/>
          <w:u w:val="single"/>
          <w:lang w:eastAsia="zh-CN"/>
        </w:rPr>
      </w:pPr>
      <w:r>
        <w:rPr>
          <w:rFonts w:hint="eastAsia" w:ascii="宋体" w:hAnsi="宋体" w:cs="宋体"/>
          <w:bCs/>
          <w:color w:val="auto"/>
          <w:szCs w:val="21"/>
          <w:highlight w:val="none"/>
          <w:u w:val="single"/>
        </w:rPr>
        <w:t xml:space="preserve">3. 工程立项批准文号：                            </w:t>
      </w:r>
      <w:r>
        <w:rPr>
          <w:rFonts w:hint="eastAsia" w:ascii="宋体" w:hAnsi="宋体" w:cs="宋体"/>
          <w:color w:val="auto"/>
          <w:szCs w:val="21"/>
          <w:highlight w:val="none"/>
          <w:u w:val="single"/>
        </w:rPr>
        <w:t xml:space="preserve"> </w:t>
      </w:r>
      <w:r>
        <w:rPr>
          <w:rFonts w:hint="eastAsia" w:ascii="宋体" w:hAnsi="宋体" w:cs="宋体"/>
          <w:bCs/>
          <w:color w:val="auto"/>
          <w:szCs w:val="21"/>
          <w:highlight w:val="none"/>
          <w:u w:val="single"/>
          <w:lang w:val="en-US" w:eastAsia="zh-CN"/>
        </w:rPr>
        <w:t xml:space="preserve"> </w:t>
      </w:r>
    </w:p>
    <w:p w14:paraId="171B304B">
      <w:pPr>
        <w:spacing w:line="360" w:lineRule="auto"/>
        <w:ind w:firstLine="411" w:firstLineChars="196"/>
        <w:rPr>
          <w:rFonts w:hint="eastAsia" w:ascii="宋体" w:hAnsi="宋体" w:eastAsia="宋体" w:cs="宋体"/>
          <w:bCs/>
          <w:color w:val="auto"/>
          <w:szCs w:val="21"/>
          <w:highlight w:val="none"/>
          <w:u w:val="single"/>
          <w:lang w:eastAsia="zh-CN"/>
        </w:rPr>
      </w:pPr>
      <w:r>
        <w:rPr>
          <w:rFonts w:hint="eastAsia" w:ascii="宋体" w:hAnsi="宋体" w:cs="宋体"/>
          <w:bCs/>
          <w:color w:val="auto"/>
          <w:szCs w:val="21"/>
          <w:highlight w:val="none"/>
          <w:u w:val="single"/>
        </w:rPr>
        <w:t xml:space="preserve">4. 资金来源：  </w:t>
      </w:r>
      <w:r>
        <w:rPr>
          <w:rFonts w:hint="eastAsia" w:ascii="宋体" w:hAnsi="宋体" w:cs="宋体"/>
          <w:bCs/>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p>
    <w:p w14:paraId="7F2EE4DC">
      <w:pPr>
        <w:spacing w:line="360" w:lineRule="auto"/>
        <w:ind w:firstLine="411" w:firstLineChars="196"/>
        <w:rPr>
          <w:rFonts w:hint="eastAsia" w:ascii="宋体" w:hAnsi="宋体" w:eastAsia="宋体" w:cs="宋体"/>
          <w:bCs/>
          <w:color w:val="auto"/>
          <w:szCs w:val="21"/>
          <w:highlight w:val="none"/>
          <w:u w:val="single"/>
          <w:lang w:eastAsia="zh-CN"/>
        </w:rPr>
      </w:pPr>
      <w:r>
        <w:rPr>
          <w:rFonts w:hint="eastAsia" w:ascii="宋体" w:hAnsi="宋体" w:cs="宋体"/>
          <w:bCs/>
          <w:color w:val="auto"/>
          <w:szCs w:val="21"/>
          <w:highlight w:val="none"/>
          <w:u w:val="single"/>
        </w:rPr>
        <w:t xml:space="preserve">5. 工程内容： </w:t>
      </w:r>
      <w:r>
        <w:rPr>
          <w:rFonts w:hint="eastAsia" w:ascii="宋体" w:hAnsi="宋体" w:cs="宋体"/>
          <w:bCs/>
          <w:color w:val="auto"/>
          <w:szCs w:val="21"/>
          <w:highlight w:val="none"/>
          <w:u w:val="single"/>
          <w:lang w:val="en-US" w:eastAsia="zh-CN"/>
        </w:rPr>
        <w:t xml:space="preserve">                                    </w:t>
      </w:r>
      <w:r>
        <w:rPr>
          <w:rFonts w:hint="eastAsia" w:ascii="宋体" w:hAnsi="宋体" w:cs="宋体"/>
          <w:color w:val="auto"/>
          <w:szCs w:val="21"/>
          <w:highlight w:val="none"/>
          <w:u w:val="single"/>
          <w:lang w:val="en-US" w:eastAsia="zh-CN"/>
        </w:rPr>
        <w:t xml:space="preserve"> </w:t>
      </w:r>
    </w:p>
    <w:p w14:paraId="16E92EDD">
      <w:pPr>
        <w:spacing w:line="360" w:lineRule="auto"/>
        <w:ind w:firstLine="411" w:firstLineChars="196"/>
        <w:rPr>
          <w:rFonts w:hint="eastAsia" w:ascii="宋体" w:hAnsi="宋体" w:cs="宋体"/>
          <w:bCs/>
          <w:color w:val="auto"/>
          <w:szCs w:val="21"/>
          <w:highlight w:val="none"/>
          <w:u w:val="single"/>
        </w:rPr>
      </w:pPr>
      <w:r>
        <w:rPr>
          <w:rFonts w:hint="eastAsia" w:ascii="宋体" w:hAnsi="宋体" w:cs="宋体"/>
          <w:color w:val="auto"/>
          <w:szCs w:val="21"/>
          <w:highlight w:val="none"/>
          <w:u w:val="single"/>
        </w:rPr>
        <w:t>群体工程应附《承包人承揽工程项目一览表》（附件1）。</w:t>
      </w:r>
    </w:p>
    <w:p w14:paraId="69D995EA">
      <w:pPr>
        <w:spacing w:line="360" w:lineRule="auto"/>
        <w:ind w:firstLine="411" w:firstLineChars="196"/>
        <w:rPr>
          <w:rFonts w:hint="eastAsia" w:ascii="宋体" w:hAnsi="宋体" w:cs="宋体"/>
          <w:color w:val="auto"/>
          <w:szCs w:val="21"/>
          <w:highlight w:val="none"/>
          <w:u w:val="single"/>
        </w:rPr>
      </w:pPr>
      <w:r>
        <w:rPr>
          <w:rFonts w:hint="eastAsia" w:ascii="宋体" w:hAnsi="宋体" w:cs="宋体"/>
          <w:bCs/>
          <w:color w:val="auto"/>
          <w:szCs w:val="21"/>
          <w:highlight w:val="none"/>
          <w:u w:val="single"/>
        </w:rPr>
        <w:t>6. 工程承包范围：</w:t>
      </w:r>
      <w:r>
        <w:rPr>
          <w:rFonts w:hint="eastAsia" w:ascii="宋体" w:hAnsi="宋体" w:cs="宋体"/>
          <w:color w:val="auto"/>
          <w:szCs w:val="21"/>
          <w:highlight w:val="none"/>
          <w:u w:val="single"/>
        </w:rPr>
        <w:t xml:space="preserve"> </w:t>
      </w:r>
      <w:r>
        <w:rPr>
          <w:rFonts w:hint="eastAsia" w:ascii="宋体" w:hAnsi="宋体" w:cs="宋体"/>
          <w:bCs/>
          <w:color w:val="auto"/>
          <w:szCs w:val="21"/>
          <w:highlight w:val="none"/>
          <w:u w:val="single"/>
        </w:rPr>
        <w:t>本工程施工图纸和工程量清单中的所有内容</w:t>
      </w:r>
      <w:r>
        <w:rPr>
          <w:rFonts w:hint="eastAsia" w:ascii="宋体" w:hAnsi="宋体" w:cs="宋体"/>
          <w:color w:val="auto"/>
          <w:szCs w:val="21"/>
          <w:highlight w:val="none"/>
          <w:u w:val="single"/>
        </w:rPr>
        <w:t xml:space="preserve"> 。</w:t>
      </w:r>
    </w:p>
    <w:p w14:paraId="776C1DF6">
      <w:pPr>
        <w:spacing w:line="360" w:lineRule="auto"/>
        <w:ind w:firstLine="422" w:firstLineChars="200"/>
        <w:rPr>
          <w:rFonts w:hint="eastAsia" w:ascii="宋体" w:hAnsi="宋体" w:cs="宋体"/>
          <w:b/>
          <w:color w:val="auto"/>
          <w:szCs w:val="21"/>
          <w:highlight w:val="none"/>
          <w:u w:val="single"/>
        </w:rPr>
      </w:pPr>
      <w:bookmarkStart w:id="701" w:name="_Toc351203482"/>
      <w:r>
        <w:rPr>
          <w:rFonts w:hint="eastAsia" w:ascii="宋体" w:hAnsi="宋体" w:cs="宋体"/>
          <w:b/>
          <w:color w:val="auto"/>
          <w:szCs w:val="21"/>
          <w:highlight w:val="none"/>
          <w:u w:val="single"/>
        </w:rPr>
        <w:t>二、合同工期</w:t>
      </w:r>
      <w:bookmarkEnd w:id="701"/>
    </w:p>
    <w:p w14:paraId="401BE5DA">
      <w:pPr>
        <w:spacing w:line="360" w:lineRule="auto"/>
        <w:ind w:firstLine="459"/>
        <w:rPr>
          <w:rFonts w:hint="eastAsia" w:ascii="宋体" w:hAnsi="宋体" w:cs="宋体"/>
          <w:color w:val="auto"/>
          <w:szCs w:val="21"/>
          <w:highlight w:val="none"/>
          <w:u w:val="single"/>
        </w:rPr>
      </w:pPr>
      <w:r>
        <w:rPr>
          <w:rFonts w:hint="eastAsia" w:ascii="宋体" w:hAnsi="宋体" w:cs="宋体"/>
          <w:color w:val="auto"/>
          <w:szCs w:val="21"/>
          <w:highlight w:val="none"/>
          <w:u w:val="single"/>
        </w:rPr>
        <w:t>计划开工日期：          年      月      日。</w:t>
      </w:r>
    </w:p>
    <w:p w14:paraId="3D8A9EB5">
      <w:pPr>
        <w:spacing w:line="360" w:lineRule="auto"/>
        <w:ind w:firstLine="459"/>
        <w:rPr>
          <w:rFonts w:hint="eastAsia" w:ascii="宋体" w:hAnsi="宋体" w:cs="宋体"/>
          <w:color w:val="auto"/>
          <w:szCs w:val="21"/>
          <w:highlight w:val="none"/>
          <w:u w:val="single"/>
        </w:rPr>
      </w:pPr>
      <w:r>
        <w:rPr>
          <w:rFonts w:hint="eastAsia" w:ascii="宋体" w:hAnsi="宋体" w:cs="宋体"/>
          <w:color w:val="auto"/>
          <w:szCs w:val="21"/>
          <w:highlight w:val="none"/>
          <w:u w:val="single"/>
        </w:rPr>
        <w:t>计划竣工日期：          年      月      日。</w:t>
      </w:r>
    </w:p>
    <w:p w14:paraId="1E457112">
      <w:pPr>
        <w:spacing w:line="360" w:lineRule="auto"/>
        <w:ind w:firstLine="459"/>
        <w:rPr>
          <w:rFonts w:hint="default" w:ascii="宋体" w:hAnsi="宋体" w:eastAsia="宋体" w:cs="宋体"/>
          <w:color w:val="auto"/>
          <w:szCs w:val="21"/>
          <w:highlight w:val="none"/>
          <w:u w:val="single"/>
          <w:lang w:val="en-US" w:eastAsia="zh-CN"/>
        </w:rPr>
      </w:pPr>
      <w:r>
        <w:rPr>
          <w:rFonts w:hint="eastAsia" w:ascii="宋体" w:hAnsi="宋体" w:cs="宋体"/>
          <w:color w:val="auto"/>
          <w:szCs w:val="21"/>
          <w:highlight w:val="none"/>
          <w:u w:val="single"/>
        </w:rPr>
        <w:t xml:space="preserve">工期总日历天数：       </w:t>
      </w:r>
      <w:r>
        <w:rPr>
          <w:rFonts w:hint="eastAsia" w:ascii="宋体" w:hAnsi="宋体" w:cs="宋体"/>
          <w:color w:val="auto"/>
          <w:szCs w:val="21"/>
          <w:highlight w:val="none"/>
          <w:u w:val="single"/>
          <w:lang w:val="en-US" w:eastAsia="zh-CN"/>
        </w:rPr>
        <w:t>其中:</w:t>
      </w:r>
    </w:p>
    <w:p w14:paraId="0F7904DB">
      <w:pPr>
        <w:spacing w:line="360" w:lineRule="auto"/>
        <w:ind w:firstLine="459"/>
        <w:rPr>
          <w:rFonts w:hint="eastAsia" w:ascii="宋体" w:hAnsi="宋体" w:eastAsia="宋体" w:cs="宋体"/>
          <w:bCs/>
          <w:color w:val="auto"/>
          <w:szCs w:val="21"/>
          <w:highlight w:val="none"/>
          <w:u w:val="single"/>
          <w:lang w:val="en-US" w:eastAsia="zh-CN"/>
        </w:rPr>
      </w:pPr>
      <w:r>
        <w:rPr>
          <w:rFonts w:hint="eastAsia" w:ascii="宋体" w:hAnsi="宋体" w:eastAsia="宋体" w:cs="宋体"/>
          <w:bCs/>
          <w:color w:val="auto"/>
          <w:szCs w:val="21"/>
          <w:highlight w:val="none"/>
          <w:u w:val="single"/>
          <w:lang w:val="en-US" w:eastAsia="zh-CN"/>
        </w:rPr>
        <w:t>注：因承包方原因造成的工期延误，每延期一天向招标人支付10000元/天的违约金，工期提前不奖励。</w:t>
      </w:r>
    </w:p>
    <w:p w14:paraId="07CC5A5E">
      <w:pPr>
        <w:spacing w:line="360" w:lineRule="auto"/>
        <w:ind w:firstLine="459"/>
        <w:rPr>
          <w:rFonts w:hint="eastAsia" w:ascii="宋体" w:hAnsi="宋体" w:cs="宋体"/>
          <w:color w:val="auto"/>
          <w:szCs w:val="21"/>
          <w:highlight w:val="none"/>
          <w:u w:val="single"/>
        </w:rPr>
      </w:pPr>
      <w:r>
        <w:rPr>
          <w:rFonts w:hint="eastAsia" w:ascii="宋体" w:hAnsi="宋体" w:cs="宋体"/>
          <w:color w:val="auto"/>
          <w:szCs w:val="21"/>
          <w:highlight w:val="none"/>
          <w:u w:val="single"/>
        </w:rPr>
        <w:t>工期总日历天数与根据前述计划开竣工日期计算的工期天数不一致的，以工期总日历天数为准。</w:t>
      </w:r>
    </w:p>
    <w:p w14:paraId="096A2B09">
      <w:pPr>
        <w:spacing w:line="360" w:lineRule="auto"/>
        <w:ind w:firstLine="422" w:firstLineChars="200"/>
        <w:rPr>
          <w:rFonts w:hint="eastAsia" w:ascii="宋体" w:hAnsi="宋体" w:cs="宋体"/>
          <w:b/>
          <w:color w:val="auto"/>
          <w:szCs w:val="21"/>
          <w:highlight w:val="none"/>
          <w:u w:val="single"/>
        </w:rPr>
      </w:pPr>
      <w:bookmarkStart w:id="702" w:name="_Toc351203483"/>
      <w:r>
        <w:rPr>
          <w:rFonts w:hint="eastAsia" w:ascii="宋体" w:hAnsi="宋体" w:cs="宋体"/>
          <w:b/>
          <w:color w:val="auto"/>
          <w:szCs w:val="21"/>
          <w:highlight w:val="none"/>
          <w:u w:val="single"/>
        </w:rPr>
        <w:t>三、质量标准</w:t>
      </w:r>
      <w:bookmarkEnd w:id="702"/>
    </w:p>
    <w:p w14:paraId="29D979C4">
      <w:pPr>
        <w:spacing w:line="360" w:lineRule="auto"/>
        <w:ind w:firstLine="459"/>
        <w:rPr>
          <w:rFonts w:hint="eastAsia" w:ascii="宋体" w:hAnsi="宋体" w:cs="宋体"/>
          <w:color w:val="auto"/>
          <w:szCs w:val="21"/>
          <w:highlight w:val="none"/>
          <w:u w:val="single"/>
        </w:rPr>
      </w:pPr>
      <w:r>
        <w:rPr>
          <w:rFonts w:hint="eastAsia" w:ascii="宋体" w:hAnsi="宋体" w:cs="宋体"/>
          <w:color w:val="auto"/>
          <w:szCs w:val="21"/>
          <w:highlight w:val="none"/>
          <w:u w:val="single"/>
        </w:rPr>
        <w:t>工程质量符合  国家工程施工质量验收</w:t>
      </w:r>
      <w:r>
        <w:rPr>
          <w:rFonts w:hint="eastAsia" w:ascii="宋体" w:hAnsi="宋体" w:cs="宋体"/>
          <w:color w:val="auto"/>
          <w:szCs w:val="21"/>
          <w:highlight w:val="none"/>
          <w:u w:val="single"/>
          <w:lang w:val="en-US" w:eastAsia="zh-CN"/>
        </w:rPr>
        <w:t>合格</w:t>
      </w:r>
      <w:r>
        <w:rPr>
          <w:rFonts w:hint="eastAsia" w:ascii="宋体" w:hAnsi="宋体" w:cs="宋体"/>
          <w:color w:val="auto"/>
          <w:szCs w:val="21"/>
          <w:highlight w:val="none"/>
          <w:u w:val="single"/>
        </w:rPr>
        <w:t xml:space="preserve">   标准。</w:t>
      </w:r>
    </w:p>
    <w:p w14:paraId="3B1A03D4">
      <w:pPr>
        <w:spacing w:line="360" w:lineRule="auto"/>
        <w:ind w:firstLine="422" w:firstLineChars="200"/>
        <w:rPr>
          <w:rFonts w:hint="eastAsia" w:ascii="宋体" w:hAnsi="宋体" w:cs="宋体"/>
          <w:b/>
          <w:color w:val="auto"/>
          <w:szCs w:val="21"/>
          <w:highlight w:val="none"/>
          <w:u w:val="single"/>
        </w:rPr>
      </w:pPr>
      <w:bookmarkStart w:id="703" w:name="_Toc351203484"/>
      <w:r>
        <w:rPr>
          <w:rFonts w:hint="eastAsia" w:ascii="宋体" w:hAnsi="宋体" w:cs="宋体"/>
          <w:b/>
          <w:color w:val="auto"/>
          <w:szCs w:val="21"/>
          <w:highlight w:val="none"/>
          <w:u w:val="single"/>
        </w:rPr>
        <w:t>四、签约合同价与合同价格形式</w:t>
      </w:r>
      <w:bookmarkEnd w:id="703"/>
    </w:p>
    <w:p w14:paraId="6E1C0A0E">
      <w:pPr>
        <w:spacing w:line="360"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u w:val="single"/>
        </w:rPr>
        <w:t>1. 签约合同价为：</w:t>
      </w:r>
    </w:p>
    <w:p w14:paraId="540B08EE">
      <w:pPr>
        <w:spacing w:line="360" w:lineRule="auto"/>
        <w:ind w:firstLine="525" w:firstLineChars="250"/>
        <w:rPr>
          <w:rFonts w:hint="eastAsia" w:ascii="宋体" w:hAnsi="宋体" w:cs="宋体"/>
          <w:color w:val="auto"/>
          <w:szCs w:val="21"/>
          <w:highlight w:val="none"/>
          <w:u w:val="single"/>
        </w:rPr>
      </w:pPr>
      <w:bookmarkStart w:id="704" w:name="_Toc351203485"/>
      <w:r>
        <w:rPr>
          <w:rFonts w:hint="eastAsia" w:ascii="宋体" w:hAnsi="宋体" w:cs="宋体"/>
          <w:color w:val="auto"/>
          <w:szCs w:val="21"/>
          <w:highlight w:val="none"/>
          <w:u w:val="single"/>
        </w:rPr>
        <w:t>人民币（大写）                 (¥          元)；</w:t>
      </w:r>
    </w:p>
    <w:p w14:paraId="494B7C4B">
      <w:pPr>
        <w:spacing w:line="360"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u w:val="single"/>
        </w:rPr>
        <w:t>其中：</w:t>
      </w:r>
    </w:p>
    <w:p w14:paraId="3096E675">
      <w:pPr>
        <w:spacing w:line="360"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u w:val="single"/>
        </w:rPr>
        <w:t>（1）安全文明施工费：</w:t>
      </w:r>
    </w:p>
    <w:p w14:paraId="763CEE52">
      <w:pPr>
        <w:spacing w:line="360" w:lineRule="auto"/>
        <w:ind w:firstLine="945" w:firstLineChars="450"/>
        <w:rPr>
          <w:rFonts w:hint="eastAsia" w:ascii="宋体" w:hAnsi="宋体" w:cs="宋体"/>
          <w:color w:val="auto"/>
          <w:szCs w:val="21"/>
          <w:highlight w:val="none"/>
          <w:u w:val="single"/>
        </w:rPr>
      </w:pPr>
      <w:r>
        <w:rPr>
          <w:rFonts w:hint="eastAsia" w:ascii="宋体" w:hAnsi="宋体" w:cs="宋体"/>
          <w:color w:val="auto"/>
          <w:szCs w:val="21"/>
          <w:highlight w:val="none"/>
          <w:u w:val="single"/>
        </w:rPr>
        <w:t>人民币（大写）               (¥          元)；</w:t>
      </w:r>
    </w:p>
    <w:p w14:paraId="7351634F">
      <w:pPr>
        <w:spacing w:line="360"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u w:val="single"/>
        </w:rPr>
        <w:t>（2）材料和工程设备暂估价金额：</w:t>
      </w:r>
    </w:p>
    <w:p w14:paraId="0CA08798">
      <w:pPr>
        <w:spacing w:line="360" w:lineRule="auto"/>
        <w:ind w:firstLine="945" w:firstLineChars="450"/>
        <w:rPr>
          <w:rFonts w:hint="eastAsia" w:ascii="宋体" w:hAnsi="宋体" w:cs="宋体"/>
          <w:color w:val="auto"/>
          <w:szCs w:val="21"/>
          <w:highlight w:val="none"/>
          <w:u w:val="single"/>
        </w:rPr>
      </w:pPr>
      <w:r>
        <w:rPr>
          <w:rFonts w:hint="eastAsia" w:ascii="宋体" w:hAnsi="宋体" w:cs="宋体"/>
          <w:color w:val="auto"/>
          <w:szCs w:val="21"/>
          <w:highlight w:val="none"/>
          <w:u w:val="single"/>
        </w:rPr>
        <w:t>人民币（大写）               (¥          元)；</w:t>
      </w:r>
    </w:p>
    <w:p w14:paraId="7E0C36C5">
      <w:pPr>
        <w:spacing w:line="360"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u w:val="single"/>
        </w:rPr>
        <w:t>（3）专业工程暂估价金额：</w:t>
      </w:r>
    </w:p>
    <w:p w14:paraId="23F0A5AB">
      <w:pPr>
        <w:spacing w:line="360" w:lineRule="auto"/>
        <w:ind w:firstLine="945" w:firstLineChars="450"/>
        <w:rPr>
          <w:rFonts w:hint="eastAsia" w:ascii="宋体" w:hAnsi="宋体" w:cs="宋体"/>
          <w:color w:val="auto"/>
          <w:szCs w:val="21"/>
          <w:highlight w:val="none"/>
          <w:u w:val="single"/>
        </w:rPr>
      </w:pPr>
      <w:r>
        <w:rPr>
          <w:rFonts w:hint="eastAsia" w:ascii="宋体" w:hAnsi="宋体" w:cs="宋体"/>
          <w:color w:val="auto"/>
          <w:szCs w:val="21"/>
          <w:highlight w:val="none"/>
          <w:u w:val="single"/>
        </w:rPr>
        <w:t>人民币（大写）               (¥          元)；；</w:t>
      </w:r>
    </w:p>
    <w:p w14:paraId="44C4FB1F">
      <w:pPr>
        <w:spacing w:line="360"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u w:val="single"/>
        </w:rPr>
        <w:t>（4）暂列金额：</w:t>
      </w:r>
    </w:p>
    <w:p w14:paraId="4C92C162">
      <w:pPr>
        <w:spacing w:line="360" w:lineRule="auto"/>
        <w:ind w:firstLine="945" w:firstLineChars="450"/>
        <w:rPr>
          <w:rFonts w:hint="eastAsia"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s="宋体"/>
          <w:color w:val="auto"/>
          <w:szCs w:val="21"/>
          <w:highlight w:val="none"/>
          <w:u w:val="single"/>
        </w:rPr>
        <w:t xml:space="preserve">               (¥          元)；</w:t>
      </w:r>
      <w:r>
        <w:rPr>
          <w:rFonts w:hint="eastAsia" w:ascii="宋体" w:hAnsi="宋体" w:cs="宋体"/>
          <w:color w:val="auto"/>
          <w:szCs w:val="21"/>
          <w:highlight w:val="none"/>
        </w:rPr>
        <w:t>。</w:t>
      </w:r>
    </w:p>
    <w:p w14:paraId="05133E7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 合同价格形式：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单价合同</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281424EE">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五、</w:t>
      </w:r>
      <w:bookmarkEnd w:id="704"/>
      <w:r>
        <w:rPr>
          <w:rFonts w:hint="eastAsia" w:ascii="宋体" w:hAnsi="宋体" w:cs="宋体"/>
          <w:b/>
          <w:color w:val="auto"/>
          <w:szCs w:val="21"/>
          <w:highlight w:val="none"/>
        </w:rPr>
        <w:t>项目经理</w:t>
      </w:r>
    </w:p>
    <w:p w14:paraId="6F0165A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承包人项目经理： </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0FD56DB4">
      <w:pPr>
        <w:spacing w:line="360" w:lineRule="auto"/>
        <w:ind w:firstLine="422" w:firstLineChars="200"/>
        <w:rPr>
          <w:rFonts w:hint="eastAsia" w:ascii="宋体" w:hAnsi="宋体" w:cs="宋体"/>
          <w:b/>
          <w:color w:val="auto"/>
          <w:szCs w:val="21"/>
          <w:highlight w:val="none"/>
        </w:rPr>
      </w:pPr>
      <w:bookmarkStart w:id="705" w:name="_Toc351203486"/>
      <w:r>
        <w:rPr>
          <w:rFonts w:hint="eastAsia" w:ascii="宋体" w:hAnsi="宋体" w:cs="宋体"/>
          <w:b/>
          <w:color w:val="auto"/>
          <w:szCs w:val="21"/>
          <w:highlight w:val="none"/>
        </w:rPr>
        <w:t>六、合同文件构成</w:t>
      </w:r>
      <w:bookmarkEnd w:id="705"/>
    </w:p>
    <w:p w14:paraId="4CCD3002">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本协议书与下列文件一起构成合同文件：</w:t>
      </w:r>
    </w:p>
    <w:p w14:paraId="1A76F948">
      <w:pPr>
        <w:autoSpaceDE w:val="0"/>
        <w:autoSpaceDN w:val="0"/>
        <w:adjustRightIn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（1）中标通知书（如果有）；</w:t>
      </w:r>
    </w:p>
    <w:p w14:paraId="38308183">
      <w:pPr>
        <w:autoSpaceDE w:val="0"/>
        <w:autoSpaceDN w:val="0"/>
        <w:adjustRightIn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 xml:space="preserve">（2）投标函及其附录（如果有）； </w:t>
      </w:r>
    </w:p>
    <w:p w14:paraId="45351A5E">
      <w:pPr>
        <w:autoSpaceDE w:val="0"/>
        <w:autoSpaceDN w:val="0"/>
        <w:adjustRightIn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（3）专用合同条款及其附件；</w:t>
      </w:r>
    </w:p>
    <w:p w14:paraId="21C34C05">
      <w:pPr>
        <w:autoSpaceDE w:val="0"/>
        <w:autoSpaceDN w:val="0"/>
        <w:adjustRightIn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（4）通用合同条款；</w:t>
      </w:r>
    </w:p>
    <w:p w14:paraId="65110C0B">
      <w:pPr>
        <w:autoSpaceDE w:val="0"/>
        <w:autoSpaceDN w:val="0"/>
        <w:adjustRightIn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（5）技术标准和要求；</w:t>
      </w:r>
    </w:p>
    <w:p w14:paraId="1F88FF93">
      <w:pPr>
        <w:autoSpaceDE w:val="0"/>
        <w:autoSpaceDN w:val="0"/>
        <w:adjustRightIn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（6）图纸；</w:t>
      </w:r>
    </w:p>
    <w:p w14:paraId="6FE16075">
      <w:pPr>
        <w:autoSpaceDE w:val="0"/>
        <w:autoSpaceDN w:val="0"/>
        <w:adjustRightIn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（7）已标价工程量清单或预算书；</w:t>
      </w:r>
    </w:p>
    <w:p w14:paraId="1AB8C63A">
      <w:pPr>
        <w:autoSpaceDE w:val="0"/>
        <w:autoSpaceDN w:val="0"/>
        <w:adjustRightIn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（8）其他合同文件。</w:t>
      </w:r>
    </w:p>
    <w:p w14:paraId="4E8CD245">
      <w:pPr>
        <w:autoSpaceDE w:val="0"/>
        <w:autoSpaceDN w:val="0"/>
        <w:adjustRightIn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在合同订立及履行过程中形成的与合同有关的文件均构成合同文件组成部分。</w:t>
      </w:r>
    </w:p>
    <w:p w14:paraId="78E3986E">
      <w:pPr>
        <w:autoSpaceDE w:val="0"/>
        <w:autoSpaceDN w:val="0"/>
        <w:adjustRightIn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上述各项合同文件包括合同当事人就该项合同文件所作出的补充和修改，属于同一类内容的文件，应以最新签署的为准。专用合同条款及其附件须经合同当事人签字或盖章。</w:t>
      </w:r>
    </w:p>
    <w:p w14:paraId="38398D21">
      <w:pPr>
        <w:spacing w:line="360" w:lineRule="auto"/>
        <w:ind w:firstLine="422" w:firstLineChars="200"/>
        <w:rPr>
          <w:rFonts w:hint="eastAsia" w:ascii="宋体" w:hAnsi="宋体" w:cs="宋体"/>
          <w:b/>
          <w:color w:val="auto"/>
          <w:szCs w:val="21"/>
          <w:highlight w:val="none"/>
        </w:rPr>
      </w:pPr>
      <w:bookmarkStart w:id="706" w:name="_Toc351203487"/>
      <w:r>
        <w:rPr>
          <w:rFonts w:hint="eastAsia" w:ascii="宋体" w:hAnsi="宋体" w:cs="宋体"/>
          <w:b/>
          <w:color w:val="auto"/>
          <w:szCs w:val="21"/>
          <w:highlight w:val="none"/>
        </w:rPr>
        <w:t>七、承诺</w:t>
      </w:r>
      <w:bookmarkEnd w:id="706"/>
    </w:p>
    <w:p w14:paraId="7FE27C80">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1. 发包人承诺按照法律规定履行项目审批手续、筹集工程建设资金并按照合同约定的期限和方式支付合同价款。</w:t>
      </w:r>
    </w:p>
    <w:p w14:paraId="2570912D">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2. 承包人承诺按照法律规定及合同约定组织完成工程施工，确保工程质量和安全，不进行转包及违法分包，并在缺陷责任期及保修期内承担相应的工程维修责任。</w:t>
      </w:r>
    </w:p>
    <w:p w14:paraId="5397B8ED">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3. 发包人和承包人通过招投标形式签订合同的，双方理解并承诺不再就本项目通过资信、技术评审且商务标初步评审合格另行签订与合同实质性内容相背离的协议。</w:t>
      </w:r>
    </w:p>
    <w:p w14:paraId="5C372019">
      <w:pPr>
        <w:spacing w:line="360" w:lineRule="auto"/>
        <w:ind w:firstLine="422" w:firstLineChars="200"/>
        <w:rPr>
          <w:rFonts w:hint="eastAsia" w:ascii="宋体" w:hAnsi="宋体" w:cs="宋体"/>
          <w:b/>
          <w:color w:val="auto"/>
          <w:szCs w:val="21"/>
          <w:highlight w:val="none"/>
        </w:rPr>
      </w:pPr>
      <w:bookmarkStart w:id="707" w:name="_Toc351203488"/>
      <w:r>
        <w:rPr>
          <w:rFonts w:hint="eastAsia" w:ascii="宋体" w:hAnsi="宋体" w:cs="宋体"/>
          <w:b/>
          <w:color w:val="auto"/>
          <w:szCs w:val="21"/>
          <w:highlight w:val="none"/>
        </w:rPr>
        <w:t>八、词语含义</w:t>
      </w:r>
      <w:bookmarkEnd w:id="707"/>
    </w:p>
    <w:p w14:paraId="33A557B9">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本协议书中词语含义与第二部分通用合同条款中赋予的含义相同。</w:t>
      </w:r>
    </w:p>
    <w:p w14:paraId="3FA6EFE6">
      <w:pPr>
        <w:spacing w:line="360" w:lineRule="auto"/>
        <w:ind w:firstLine="422" w:firstLineChars="200"/>
        <w:rPr>
          <w:rFonts w:hint="eastAsia" w:ascii="宋体" w:hAnsi="宋体" w:cs="宋体"/>
          <w:b/>
          <w:color w:val="auto"/>
          <w:szCs w:val="21"/>
          <w:highlight w:val="none"/>
        </w:rPr>
      </w:pPr>
      <w:bookmarkStart w:id="708" w:name="_Toc351203489"/>
      <w:r>
        <w:rPr>
          <w:rFonts w:hint="eastAsia" w:ascii="宋体" w:hAnsi="宋体" w:cs="宋体"/>
          <w:b/>
          <w:color w:val="auto"/>
          <w:szCs w:val="21"/>
          <w:highlight w:val="none"/>
        </w:rPr>
        <w:t>九、签订时间</w:t>
      </w:r>
      <w:bookmarkEnd w:id="708"/>
    </w:p>
    <w:p w14:paraId="338C2E11">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本合同于</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年</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月</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日签订。</w:t>
      </w:r>
    </w:p>
    <w:p w14:paraId="23634B7F">
      <w:pPr>
        <w:spacing w:line="360" w:lineRule="auto"/>
        <w:ind w:firstLine="422" w:firstLineChars="200"/>
        <w:rPr>
          <w:rFonts w:hint="eastAsia" w:ascii="宋体" w:hAnsi="宋体" w:cs="宋体"/>
          <w:b/>
          <w:color w:val="auto"/>
          <w:szCs w:val="21"/>
          <w:highlight w:val="none"/>
        </w:rPr>
      </w:pPr>
      <w:bookmarkStart w:id="709" w:name="_Toc351203490"/>
      <w:r>
        <w:rPr>
          <w:rFonts w:hint="eastAsia" w:ascii="宋体" w:hAnsi="宋体" w:cs="宋体"/>
          <w:b/>
          <w:color w:val="auto"/>
          <w:szCs w:val="21"/>
          <w:highlight w:val="none"/>
        </w:rPr>
        <w:t>十、签订地点</w:t>
      </w:r>
      <w:bookmarkEnd w:id="709"/>
    </w:p>
    <w:p w14:paraId="116D85FF">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本合同在</w:t>
      </w:r>
      <w:r>
        <w:rPr>
          <w:rFonts w:hint="eastAsia" w:ascii="宋体" w:hAnsi="宋体" w:cs="宋体"/>
          <w:bCs/>
          <w:color w:val="auto"/>
          <w:szCs w:val="21"/>
          <w:highlight w:val="none"/>
          <w:u w:val="single"/>
        </w:rPr>
        <w:t xml:space="preserve">    </w:t>
      </w:r>
      <w:r>
        <w:rPr>
          <w:rFonts w:hint="eastAsia" w:ascii="宋体" w:cs="宋体"/>
          <w:bCs/>
          <w:color w:val="auto"/>
          <w:szCs w:val="21"/>
          <w:highlight w:val="none"/>
          <w:u w:val="single"/>
          <w:lang w:val="en-US" w:eastAsia="zh-CN"/>
        </w:rPr>
        <w:t>中新苏滁高新区</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签订。</w:t>
      </w:r>
    </w:p>
    <w:p w14:paraId="43BF6E96">
      <w:pPr>
        <w:spacing w:line="360" w:lineRule="auto"/>
        <w:ind w:firstLine="422" w:firstLineChars="200"/>
        <w:rPr>
          <w:rFonts w:hint="eastAsia" w:ascii="宋体" w:hAnsi="宋体" w:cs="宋体"/>
          <w:b/>
          <w:color w:val="auto"/>
          <w:szCs w:val="21"/>
          <w:highlight w:val="none"/>
        </w:rPr>
      </w:pPr>
      <w:bookmarkStart w:id="710" w:name="_Toc351203491"/>
      <w:r>
        <w:rPr>
          <w:rFonts w:hint="eastAsia" w:ascii="宋体" w:hAnsi="宋体" w:cs="宋体"/>
          <w:b/>
          <w:color w:val="auto"/>
          <w:szCs w:val="21"/>
          <w:highlight w:val="none"/>
        </w:rPr>
        <w:t>十一、补充协议</w:t>
      </w:r>
      <w:bookmarkEnd w:id="710"/>
    </w:p>
    <w:p w14:paraId="4041224F">
      <w:pPr>
        <w:spacing w:line="360" w:lineRule="auto"/>
        <w:ind w:firstLine="420" w:firstLineChars="200"/>
        <w:rPr>
          <w:rFonts w:hint="eastAsia" w:ascii="宋体" w:hAnsi="宋体" w:cs="宋体"/>
          <w:b/>
          <w:bCs/>
          <w:color w:val="auto"/>
          <w:szCs w:val="21"/>
          <w:highlight w:val="none"/>
        </w:rPr>
      </w:pPr>
      <w:r>
        <w:rPr>
          <w:rFonts w:hint="eastAsia" w:ascii="宋体" w:hAnsi="宋体" w:cs="宋体"/>
          <w:bCs/>
          <w:color w:val="auto"/>
          <w:szCs w:val="21"/>
          <w:highlight w:val="none"/>
        </w:rPr>
        <w:t>合同未尽事宜，合同当事人另行签订补充协议，补充协议是合同的组成部分。</w:t>
      </w:r>
    </w:p>
    <w:p w14:paraId="2E55F9A2">
      <w:pPr>
        <w:spacing w:line="360" w:lineRule="auto"/>
        <w:ind w:firstLine="422" w:firstLineChars="200"/>
        <w:rPr>
          <w:rFonts w:hint="eastAsia" w:ascii="宋体" w:hAnsi="宋体" w:cs="宋体"/>
          <w:b/>
          <w:color w:val="auto"/>
          <w:szCs w:val="21"/>
          <w:highlight w:val="none"/>
        </w:rPr>
      </w:pPr>
      <w:bookmarkStart w:id="711" w:name="_Toc351203492"/>
      <w:r>
        <w:rPr>
          <w:rFonts w:hint="eastAsia" w:ascii="宋体" w:hAnsi="宋体" w:cs="宋体"/>
          <w:b/>
          <w:color w:val="auto"/>
          <w:szCs w:val="21"/>
          <w:highlight w:val="none"/>
        </w:rPr>
        <w:t>十二、合同生效</w:t>
      </w:r>
      <w:bookmarkEnd w:id="711"/>
    </w:p>
    <w:p w14:paraId="7AECE35E">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本合同自</w:t>
      </w:r>
      <w:r>
        <w:rPr>
          <w:rFonts w:hint="eastAsia" w:ascii="宋体" w:hAnsi="宋体" w:cs="宋体"/>
          <w:bCs/>
          <w:color w:val="auto"/>
          <w:szCs w:val="21"/>
          <w:highlight w:val="none"/>
          <w:u w:val="single"/>
        </w:rPr>
        <w:t xml:space="preserve">   </w:t>
      </w:r>
      <w:r>
        <w:rPr>
          <w:rFonts w:hint="eastAsia" w:ascii="宋体" w:cs="宋体"/>
          <w:bCs/>
          <w:color w:val="auto"/>
          <w:szCs w:val="21"/>
          <w:highlight w:val="none"/>
          <w:u w:val="single"/>
        </w:rPr>
        <w:t>双方签字</w:t>
      </w:r>
      <w:r>
        <w:rPr>
          <w:rFonts w:hint="eastAsia" w:ascii="宋体" w:cs="宋体"/>
          <w:bCs/>
          <w:color w:val="auto"/>
          <w:szCs w:val="21"/>
          <w:highlight w:val="none"/>
          <w:u w:val="single"/>
          <w:lang w:val="en-US" w:eastAsia="zh-CN"/>
        </w:rPr>
        <w:t>盖</w:t>
      </w:r>
      <w:r>
        <w:rPr>
          <w:rFonts w:hint="eastAsia" w:ascii="宋体" w:cs="宋体"/>
          <w:bCs/>
          <w:color w:val="auto"/>
          <w:szCs w:val="21"/>
          <w:highlight w:val="none"/>
          <w:u w:val="single"/>
        </w:rPr>
        <w:t>章后</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生效。</w:t>
      </w:r>
    </w:p>
    <w:p w14:paraId="31181A7E">
      <w:pPr>
        <w:spacing w:line="360" w:lineRule="auto"/>
        <w:ind w:firstLine="422" w:firstLineChars="200"/>
        <w:rPr>
          <w:rFonts w:hint="eastAsia" w:ascii="宋体" w:hAnsi="宋体" w:cs="宋体"/>
          <w:b/>
          <w:color w:val="auto"/>
          <w:szCs w:val="21"/>
          <w:highlight w:val="none"/>
        </w:rPr>
      </w:pPr>
      <w:bookmarkStart w:id="712" w:name="_Toc351203493"/>
      <w:r>
        <w:rPr>
          <w:rFonts w:hint="eastAsia" w:ascii="宋体" w:hAnsi="宋体" w:cs="宋体"/>
          <w:b/>
          <w:color w:val="auto"/>
          <w:szCs w:val="21"/>
          <w:highlight w:val="none"/>
        </w:rPr>
        <w:t>十三、合同份数</w:t>
      </w:r>
      <w:bookmarkEnd w:id="712"/>
    </w:p>
    <w:p w14:paraId="58697888">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本合同一式</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份，均具有同等法律效力，发包人执</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份，承包人执</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份。</w:t>
      </w:r>
    </w:p>
    <w:p w14:paraId="7C77CE70">
      <w:pPr>
        <w:spacing w:line="360" w:lineRule="auto"/>
        <w:rPr>
          <w:rFonts w:hint="eastAsia" w:ascii="宋体" w:hAnsi="宋体" w:cs="宋体"/>
          <w:bCs/>
          <w:color w:val="auto"/>
          <w:szCs w:val="21"/>
          <w:highlight w:val="none"/>
        </w:rPr>
      </w:pPr>
    </w:p>
    <w:p w14:paraId="2583CCD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发包人：</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(公章)          承包人：</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 xml:space="preserve"> (公章)</w:t>
      </w:r>
    </w:p>
    <w:p w14:paraId="4D5D95C2">
      <w:pPr>
        <w:spacing w:line="360" w:lineRule="auto"/>
        <w:rPr>
          <w:rFonts w:hint="eastAsia" w:ascii="宋体" w:hAnsi="宋体" w:cs="宋体"/>
          <w:color w:val="auto"/>
          <w:szCs w:val="21"/>
          <w:highlight w:val="none"/>
          <w:u w:val="single"/>
        </w:rPr>
      </w:pPr>
      <w:r>
        <w:rPr>
          <w:rFonts w:hint="eastAsia" w:ascii="宋体" w:hAnsi="宋体" w:cs="宋体"/>
          <w:color w:val="auto"/>
          <w:szCs w:val="21"/>
          <w:highlight w:val="none"/>
        </w:rPr>
        <w:t xml:space="preserve">                                 </w:t>
      </w:r>
    </w:p>
    <w:p w14:paraId="50F59CF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法定代表人或其委托代理人：              法定代表人或其委托代理人：</w:t>
      </w:r>
    </w:p>
    <w:p w14:paraId="1E5A34E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（签字）</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（签字）</w:t>
      </w:r>
      <w:r>
        <w:rPr>
          <w:rFonts w:hint="eastAsia" w:ascii="宋体" w:hAnsi="宋体" w:cs="宋体"/>
          <w:color w:val="auto"/>
          <w:szCs w:val="21"/>
          <w:highlight w:val="none"/>
          <w:u w:val="single"/>
        </w:rPr>
        <w:t xml:space="preserve">                  </w:t>
      </w:r>
    </w:p>
    <w:p w14:paraId="442D2347">
      <w:pPr>
        <w:spacing w:line="360" w:lineRule="auto"/>
        <w:rPr>
          <w:rFonts w:hint="eastAsia" w:ascii="宋体" w:hAnsi="宋体" w:cs="宋体"/>
          <w:color w:val="auto"/>
          <w:szCs w:val="21"/>
          <w:highlight w:val="none"/>
          <w:u w:val="single"/>
        </w:rPr>
      </w:pPr>
    </w:p>
    <w:p w14:paraId="2CDC668B">
      <w:pPr>
        <w:tabs>
          <w:tab w:val="left" w:pos="4410"/>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组织机构代码：</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组织机构代码：</w:t>
      </w:r>
      <w:r>
        <w:rPr>
          <w:rFonts w:hint="eastAsia" w:ascii="宋体" w:hAnsi="宋体" w:cs="宋体"/>
          <w:color w:val="auto"/>
          <w:szCs w:val="21"/>
          <w:highlight w:val="none"/>
          <w:u w:val="single"/>
        </w:rPr>
        <w:t>             </w:t>
      </w:r>
      <w:r>
        <w:rPr>
          <w:rFonts w:hint="eastAsia" w:ascii="宋体" w:hAnsi="宋体" w:cs="宋体"/>
          <w:color w:val="auto"/>
          <w:szCs w:val="21"/>
          <w:highlight w:val="none"/>
        </w:rPr>
        <w:t xml:space="preserve"> </w:t>
      </w:r>
    </w:p>
    <w:p w14:paraId="666B1D5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地  址：</w:t>
      </w:r>
      <w:r>
        <w:rPr>
          <w:rFonts w:hint="eastAsia" w:ascii="宋体" w:hAnsi="宋体" w:cs="宋体"/>
          <w:color w:val="auto"/>
          <w:szCs w:val="21"/>
          <w:highlight w:val="none"/>
          <w:u w:val="single"/>
        </w:rPr>
        <w:t xml:space="preserve">                     </w:t>
      </w:r>
    </w:p>
    <w:p w14:paraId="2728772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 xml:space="preserve">              邮政编码：</w:t>
      </w:r>
      <w:r>
        <w:rPr>
          <w:rFonts w:hint="eastAsia" w:ascii="宋体" w:hAnsi="宋体" w:cs="宋体"/>
          <w:color w:val="auto"/>
          <w:szCs w:val="21"/>
          <w:highlight w:val="none"/>
          <w:u w:val="single"/>
        </w:rPr>
        <w:t xml:space="preserve">                     </w:t>
      </w:r>
    </w:p>
    <w:p w14:paraId="735D37C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法定代表人：</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 xml:space="preserve">              法定代表人：</w:t>
      </w:r>
      <w:r>
        <w:rPr>
          <w:rFonts w:hint="eastAsia" w:ascii="宋体" w:hAnsi="宋体" w:cs="宋体"/>
          <w:color w:val="auto"/>
          <w:szCs w:val="21"/>
          <w:highlight w:val="none"/>
          <w:u w:val="single"/>
        </w:rPr>
        <w:t xml:space="preserve">               </w:t>
      </w:r>
    </w:p>
    <w:p w14:paraId="5BA5A2E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委托代理人：</w:t>
      </w:r>
      <w:r>
        <w:rPr>
          <w:rFonts w:hint="eastAsia" w:ascii="宋体" w:hAnsi="宋体" w:cs="宋体"/>
          <w:color w:val="auto"/>
          <w:szCs w:val="21"/>
          <w:highlight w:val="none"/>
          <w:u w:val="single"/>
        </w:rPr>
        <w:t xml:space="preserve">                   </w:t>
      </w:r>
    </w:p>
    <w:p w14:paraId="495E350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电  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电  话：</w:t>
      </w:r>
      <w:r>
        <w:rPr>
          <w:rFonts w:hint="eastAsia" w:ascii="宋体" w:hAnsi="宋体" w:cs="宋体"/>
          <w:color w:val="auto"/>
          <w:szCs w:val="21"/>
          <w:highlight w:val="none"/>
          <w:u w:val="single"/>
        </w:rPr>
        <w:t xml:space="preserve">                       </w:t>
      </w:r>
    </w:p>
    <w:p w14:paraId="0A20306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传  真：</w:t>
      </w:r>
      <w:r>
        <w:rPr>
          <w:rFonts w:hint="eastAsia" w:ascii="宋体" w:hAnsi="宋体" w:cs="宋体"/>
          <w:color w:val="auto"/>
          <w:szCs w:val="21"/>
          <w:highlight w:val="none"/>
          <w:u w:val="single"/>
        </w:rPr>
        <w:t xml:space="preserve">                     </w:t>
      </w:r>
    </w:p>
    <w:p w14:paraId="531D87D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电子信箱：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电子信箱：</w:t>
      </w:r>
      <w:r>
        <w:rPr>
          <w:rFonts w:hint="eastAsia" w:ascii="宋体" w:hAnsi="宋体" w:cs="宋体"/>
          <w:color w:val="auto"/>
          <w:szCs w:val="21"/>
          <w:highlight w:val="none"/>
          <w:u w:val="single"/>
        </w:rPr>
        <w:t xml:space="preserve">                     </w:t>
      </w:r>
    </w:p>
    <w:p w14:paraId="2409DAD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开户银行：</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开户银行：</w:t>
      </w:r>
      <w:r>
        <w:rPr>
          <w:rFonts w:hint="eastAsia" w:ascii="宋体" w:hAnsi="宋体" w:cs="宋体"/>
          <w:color w:val="auto"/>
          <w:szCs w:val="21"/>
          <w:highlight w:val="none"/>
          <w:u w:val="single"/>
        </w:rPr>
        <w:t xml:space="preserve">                   </w:t>
      </w:r>
    </w:p>
    <w:p w14:paraId="039A78E6">
      <w:pPr>
        <w:ind w:firstLine="420" w:firstLineChars="200"/>
        <w:rPr>
          <w:rFonts w:hint="eastAsia" w:ascii="宋体" w:hAnsi="宋体" w:cs="宋体"/>
          <w:color w:val="auto"/>
          <w:highlight w:val="none"/>
        </w:rPr>
      </w:pPr>
      <w:r>
        <w:rPr>
          <w:rFonts w:hint="eastAsia" w:ascii="宋体" w:hAnsi="宋体" w:cs="宋体"/>
          <w:color w:val="auto"/>
          <w:szCs w:val="21"/>
          <w:highlight w:val="none"/>
        </w:rPr>
        <w:t>账  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账  号：</w:t>
      </w:r>
      <w:r>
        <w:rPr>
          <w:rFonts w:hint="eastAsia" w:ascii="宋体" w:hAnsi="宋体" w:cs="宋体"/>
          <w:color w:val="auto"/>
          <w:szCs w:val="21"/>
          <w:highlight w:val="none"/>
          <w:u w:val="single"/>
        </w:rPr>
        <w:t xml:space="preserve">                     </w:t>
      </w:r>
    </w:p>
    <w:p w14:paraId="1D0EDE72">
      <w:pPr>
        <w:pStyle w:val="19"/>
        <w:rPr>
          <w:rFonts w:hint="eastAsia"/>
          <w:color w:val="auto"/>
          <w:highlight w:val="none"/>
        </w:rPr>
      </w:pPr>
      <w:bookmarkStart w:id="713" w:name="_Toc28799377"/>
    </w:p>
    <w:p w14:paraId="50CD43FF">
      <w:pPr>
        <w:rPr>
          <w:rFonts w:hint="eastAsia"/>
          <w:color w:val="auto"/>
          <w:highlight w:val="none"/>
        </w:rPr>
      </w:pPr>
    </w:p>
    <w:p w14:paraId="1EDAA43E">
      <w:pPr>
        <w:pStyle w:val="19"/>
        <w:rPr>
          <w:rFonts w:hint="eastAsia"/>
          <w:color w:val="auto"/>
          <w:highlight w:val="none"/>
        </w:rPr>
      </w:pPr>
    </w:p>
    <w:p w14:paraId="26A87948">
      <w:pPr>
        <w:rPr>
          <w:rFonts w:hint="eastAsia"/>
          <w:color w:val="auto"/>
          <w:highlight w:val="none"/>
        </w:rPr>
      </w:pPr>
    </w:p>
    <w:p w14:paraId="1E7D5E3A">
      <w:pPr>
        <w:pStyle w:val="19"/>
        <w:rPr>
          <w:rFonts w:hint="eastAsia"/>
          <w:color w:val="auto"/>
          <w:highlight w:val="none"/>
        </w:rPr>
      </w:pPr>
    </w:p>
    <w:p w14:paraId="553185DD">
      <w:pPr>
        <w:rPr>
          <w:rFonts w:hint="eastAsia"/>
          <w:color w:val="auto"/>
          <w:highlight w:val="none"/>
        </w:rPr>
      </w:pPr>
    </w:p>
    <w:p w14:paraId="6081507D">
      <w:pPr>
        <w:pStyle w:val="19"/>
        <w:rPr>
          <w:rFonts w:hint="eastAsia"/>
          <w:color w:val="auto"/>
          <w:highlight w:val="none"/>
        </w:rPr>
      </w:pPr>
    </w:p>
    <w:p w14:paraId="60373ABF">
      <w:pPr>
        <w:pStyle w:val="19"/>
        <w:ind w:left="0" w:leftChars="0" w:firstLine="0" w:firstLineChars="0"/>
        <w:rPr>
          <w:rFonts w:hint="eastAsia"/>
          <w:color w:val="auto"/>
          <w:highlight w:val="none"/>
        </w:rPr>
      </w:pPr>
    </w:p>
    <w:p w14:paraId="6BA4B03D">
      <w:pPr>
        <w:rPr>
          <w:rFonts w:hint="eastAsia"/>
          <w:color w:val="auto"/>
          <w:highlight w:val="none"/>
        </w:rPr>
      </w:pPr>
    </w:p>
    <w:p w14:paraId="1738CDE7">
      <w:pPr>
        <w:pStyle w:val="19"/>
        <w:rPr>
          <w:rFonts w:hint="eastAsia"/>
          <w:color w:val="auto"/>
          <w:highlight w:val="none"/>
        </w:rPr>
      </w:pPr>
    </w:p>
    <w:p w14:paraId="670EED1E">
      <w:pPr>
        <w:keepNext/>
        <w:keepLines/>
        <w:spacing w:line="360" w:lineRule="auto"/>
        <w:jc w:val="center"/>
        <w:outlineLvl w:val="1"/>
        <w:rPr>
          <w:rFonts w:ascii="宋体" w:hAnsi="宋体" w:cs="宋体"/>
          <w:b/>
          <w:bCs/>
          <w:color w:val="auto"/>
          <w:sz w:val="32"/>
          <w:szCs w:val="32"/>
          <w:highlight w:val="none"/>
        </w:rPr>
        <w:sectPr>
          <w:footnotePr>
            <w:numFmt w:val="decimalEnclosedCircleChinese"/>
            <w:numRestart w:val="eachPage"/>
          </w:footnotePr>
          <w:pgSz w:w="11907" w:h="16840"/>
          <w:pgMar w:top="1474" w:right="1474" w:bottom="1474" w:left="1474" w:header="799" w:footer="907" w:gutter="0"/>
          <w:pgNumType w:fmt="numberInDash"/>
          <w:cols w:space="720" w:num="1"/>
          <w:docGrid w:linePitch="271" w:charSpace="0"/>
        </w:sectPr>
      </w:pPr>
      <w:bookmarkStart w:id="714" w:name="_Toc95223460"/>
      <w:bookmarkStart w:id="715" w:name="_Toc15494"/>
    </w:p>
    <w:p w14:paraId="5C45EABF">
      <w:pPr>
        <w:keepNext/>
        <w:keepLines/>
        <w:spacing w:line="360" w:lineRule="auto"/>
        <w:jc w:val="center"/>
        <w:outlineLvl w:val="1"/>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第二节  通用合同条款</w:t>
      </w:r>
      <w:bookmarkEnd w:id="713"/>
      <w:bookmarkEnd w:id="714"/>
      <w:bookmarkEnd w:id="715"/>
    </w:p>
    <w:p w14:paraId="77716CD4">
      <w:pPr>
        <w:ind w:firstLine="560" w:firstLineChars="200"/>
        <w:rPr>
          <w:rFonts w:hint="eastAsia" w:ascii="宋体" w:hAnsi="宋体" w:cs="宋体"/>
          <w:snapToGrid w:val="0"/>
          <w:color w:val="auto"/>
          <w:kern w:val="0"/>
          <w:sz w:val="28"/>
          <w:highlight w:val="none"/>
        </w:rPr>
      </w:pPr>
    </w:p>
    <w:p w14:paraId="1529C22D">
      <w:pPr>
        <w:adjustRightInd w:val="0"/>
        <w:snapToGrid w:val="0"/>
        <w:spacing w:line="480" w:lineRule="auto"/>
        <w:ind w:firstLine="562" w:firstLineChars="200"/>
        <w:rPr>
          <w:rFonts w:hint="eastAsia" w:ascii="宋体" w:hAnsi="宋体" w:cs="宋体"/>
          <w:b/>
          <w:bCs/>
          <w:snapToGrid w:val="0"/>
          <w:color w:val="auto"/>
          <w:kern w:val="0"/>
          <w:sz w:val="28"/>
          <w:highlight w:val="none"/>
        </w:rPr>
      </w:pPr>
      <w:r>
        <w:rPr>
          <w:rFonts w:hint="eastAsia" w:ascii="宋体" w:hAnsi="宋体" w:cs="宋体"/>
          <w:b/>
          <w:bCs/>
          <w:snapToGrid w:val="0"/>
          <w:color w:val="auto"/>
          <w:kern w:val="0"/>
          <w:sz w:val="28"/>
          <w:highlight w:val="none"/>
        </w:rPr>
        <w:t>采用《建设工程施工合同(示范文本)》（GF-2017-0201）中通用合同条款。上述资料由投标人自行准备。</w:t>
      </w:r>
    </w:p>
    <w:p w14:paraId="32860CFB">
      <w:pPr>
        <w:keepNext/>
        <w:keepLines/>
        <w:adjustRightInd w:val="0"/>
        <w:snapToGrid w:val="0"/>
        <w:spacing w:line="360" w:lineRule="auto"/>
        <w:jc w:val="center"/>
        <w:outlineLvl w:val="1"/>
        <w:rPr>
          <w:rFonts w:hint="eastAsia" w:ascii="宋体" w:hAnsi="宋体" w:cs="宋体"/>
          <w:bCs/>
          <w:color w:val="auto"/>
          <w:sz w:val="32"/>
          <w:szCs w:val="32"/>
          <w:highlight w:val="none"/>
        </w:rPr>
      </w:pPr>
      <w:r>
        <w:rPr>
          <w:rFonts w:hint="eastAsia" w:ascii="宋体" w:hAnsi="宋体" w:cs="宋体"/>
          <w:b/>
          <w:bCs/>
          <w:color w:val="auto"/>
          <w:sz w:val="24"/>
          <w:szCs w:val="32"/>
          <w:highlight w:val="none"/>
        </w:rPr>
        <w:br w:type="page"/>
      </w:r>
      <w:bookmarkStart w:id="716" w:name="_Toc28799378"/>
      <w:bookmarkStart w:id="717" w:name="_Toc8192"/>
      <w:bookmarkStart w:id="718" w:name="_Toc95223461"/>
      <w:r>
        <w:rPr>
          <w:rFonts w:hint="eastAsia" w:ascii="宋体" w:hAnsi="宋体" w:cs="宋体"/>
          <w:b/>
          <w:bCs/>
          <w:color w:val="auto"/>
          <w:sz w:val="32"/>
          <w:szCs w:val="32"/>
          <w:highlight w:val="none"/>
        </w:rPr>
        <w:t>第三节  专用合同条款</w:t>
      </w:r>
      <w:bookmarkEnd w:id="716"/>
      <w:bookmarkEnd w:id="717"/>
      <w:bookmarkEnd w:id="718"/>
    </w:p>
    <w:p w14:paraId="4B07B534">
      <w:pPr>
        <w:keepNext/>
        <w:keepLines/>
        <w:adjustRightInd w:val="0"/>
        <w:snapToGrid w:val="0"/>
        <w:spacing w:line="384" w:lineRule="auto"/>
        <w:jc w:val="left"/>
        <w:outlineLvl w:val="2"/>
        <w:rPr>
          <w:rFonts w:hint="eastAsia" w:ascii="宋体" w:hAnsi="宋体" w:cs="宋体"/>
          <w:bCs/>
          <w:color w:val="auto"/>
          <w:sz w:val="24"/>
          <w:highlight w:val="none"/>
        </w:rPr>
      </w:pPr>
      <w:bookmarkStart w:id="719" w:name="_Toc351203633"/>
      <w:bookmarkStart w:id="720" w:name="_Toc95223462"/>
      <w:r>
        <w:rPr>
          <w:rFonts w:hint="eastAsia" w:ascii="宋体" w:hAnsi="宋体" w:cs="宋体"/>
          <w:bCs/>
          <w:color w:val="auto"/>
          <w:sz w:val="24"/>
          <w:highlight w:val="none"/>
        </w:rPr>
        <w:t>1</w:t>
      </w:r>
      <w:bookmarkStart w:id="721" w:name="_Toc296944495"/>
      <w:bookmarkStart w:id="722" w:name="_Toc297120456"/>
      <w:bookmarkStart w:id="723" w:name="_Toc296891196"/>
      <w:bookmarkStart w:id="724" w:name="_Toc297048342"/>
      <w:bookmarkStart w:id="725" w:name="_Toc296346657"/>
      <w:bookmarkStart w:id="726" w:name="_Toc292559866"/>
      <w:bookmarkStart w:id="727" w:name="_Toc296503156"/>
      <w:bookmarkStart w:id="728" w:name="_Toc292559361"/>
      <w:bookmarkStart w:id="729" w:name="_Toc296890984"/>
      <w:bookmarkStart w:id="730" w:name="_Toc296347155"/>
      <w:r>
        <w:rPr>
          <w:rFonts w:hint="eastAsia" w:ascii="宋体" w:hAnsi="宋体" w:cs="宋体"/>
          <w:bCs/>
          <w:color w:val="auto"/>
          <w:sz w:val="24"/>
          <w:highlight w:val="none"/>
        </w:rPr>
        <w:t>. 一般约定</w:t>
      </w:r>
      <w:bookmarkEnd w:id="719"/>
      <w:bookmarkEnd w:id="720"/>
    </w:p>
    <w:bookmarkEnd w:id="721"/>
    <w:bookmarkEnd w:id="722"/>
    <w:bookmarkEnd w:id="723"/>
    <w:bookmarkEnd w:id="724"/>
    <w:bookmarkEnd w:id="725"/>
    <w:bookmarkEnd w:id="726"/>
    <w:bookmarkEnd w:id="727"/>
    <w:bookmarkEnd w:id="728"/>
    <w:bookmarkEnd w:id="729"/>
    <w:bookmarkEnd w:id="730"/>
    <w:p w14:paraId="1683456F">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1.1 词语定义与解释</w:t>
      </w:r>
    </w:p>
    <w:p w14:paraId="795968FB">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1.1.1 合同</w:t>
      </w:r>
    </w:p>
    <w:p w14:paraId="116D5BBD">
      <w:pPr>
        <w:adjustRightInd w:val="0"/>
        <w:snapToGrid w:val="0"/>
        <w:spacing w:line="384" w:lineRule="auto"/>
        <w:ind w:firstLine="420" w:firstLineChars="200"/>
        <w:rPr>
          <w:rFonts w:hint="eastAsia" w:ascii="宋体" w:hAnsi="宋体" w:cs="宋体"/>
          <w:color w:val="auto"/>
          <w:kern w:val="0"/>
          <w:highlight w:val="none"/>
          <w:u w:val="single"/>
        </w:rPr>
      </w:pPr>
      <w:r>
        <w:rPr>
          <w:rFonts w:hint="eastAsia" w:ascii="宋体" w:hAnsi="宋体" w:cs="宋体"/>
          <w:color w:val="auto"/>
          <w:kern w:val="0"/>
          <w:highlight w:val="none"/>
        </w:rPr>
        <w:t>1.1.1.10 其他合同文件包括：</w:t>
      </w:r>
      <w:r>
        <w:rPr>
          <w:rFonts w:hint="eastAsia" w:ascii="宋体" w:hAnsi="宋体" w:cs="宋体"/>
          <w:color w:val="auto"/>
          <w:kern w:val="0"/>
          <w:szCs w:val="21"/>
          <w:highlight w:val="none"/>
          <w:u w:val="single"/>
        </w:rPr>
        <w:t>本项目招标文件、在合同订立及履行过程中形成的与合同有关的文件均构成合同文件组成部分，若上述文件有不明确或不一致之处，以招标文件为准</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w:t>
      </w:r>
    </w:p>
    <w:p w14:paraId="2FF0CCD2">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1.1.2 合同当事人及其他相关方</w:t>
      </w:r>
    </w:p>
    <w:p w14:paraId="3877CF9E">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1.1.2.4 监理人：</w:t>
      </w:r>
    </w:p>
    <w:p w14:paraId="0B2A0378">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名    称：</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030FF22F">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资质类别和等级：</w:t>
      </w:r>
      <w:r>
        <w:rPr>
          <w:rFonts w:hint="eastAsia" w:ascii="宋体" w:hAnsi="宋体" w:cs="宋体"/>
          <w:color w:val="auto"/>
          <w:highlight w:val="none"/>
          <w:u w:val="single"/>
        </w:rPr>
        <w:t xml:space="preserve">                                 </w:t>
      </w:r>
      <w:r>
        <w:rPr>
          <w:rFonts w:hint="eastAsia" w:ascii="宋体" w:hAnsi="宋体" w:cs="宋体"/>
          <w:color w:val="auto"/>
          <w:highlight w:val="none"/>
        </w:rPr>
        <w:t>；</w:t>
      </w:r>
    </w:p>
    <w:p w14:paraId="313AACB3">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联系电话：</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D02C542">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电子信箱：</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7FB51536">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通信地址：</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4EFDC018">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1.1.2.5 设计人：</w:t>
      </w:r>
    </w:p>
    <w:p w14:paraId="4D7699F5">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名    称：</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2177703">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资质类别和等级：</w:t>
      </w:r>
      <w:r>
        <w:rPr>
          <w:rFonts w:hint="eastAsia" w:ascii="宋体" w:hAnsi="宋体" w:cs="宋体"/>
          <w:color w:val="auto"/>
          <w:highlight w:val="none"/>
          <w:u w:val="single"/>
        </w:rPr>
        <w:t>                                   </w:t>
      </w:r>
      <w:r>
        <w:rPr>
          <w:rFonts w:hint="eastAsia" w:ascii="宋体" w:hAnsi="宋体" w:cs="宋体"/>
          <w:color w:val="auto"/>
          <w:highlight w:val="none"/>
        </w:rPr>
        <w:t>；</w:t>
      </w:r>
    </w:p>
    <w:p w14:paraId="5F6E034C">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联系电话：</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3FDBC396">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电子信箱：</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47B3D8D1">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通信地址：</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465DC782">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1.1.3 工程和设备</w:t>
      </w:r>
    </w:p>
    <w:p w14:paraId="48BBE027">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1.1.3.7 作为施工现场组成部分的其他场所包括：</w:t>
      </w:r>
      <w:r>
        <w:rPr>
          <w:rFonts w:hint="eastAsia" w:ascii="宋体" w:hAnsi="宋体" w:cs="宋体"/>
          <w:color w:val="auto"/>
          <w:highlight w:val="none"/>
          <w:u w:val="single"/>
        </w:rPr>
        <w:t xml:space="preserve"> </w:t>
      </w:r>
      <w:r>
        <w:rPr>
          <w:rFonts w:hint="eastAsia" w:ascii="宋体" w:hAnsi="宋体" w:cs="宋体"/>
          <w:color w:val="auto"/>
          <w:szCs w:val="21"/>
          <w:highlight w:val="none"/>
          <w:u w:val="single"/>
        </w:rPr>
        <w:t>见施工图纸并现场确定</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373AE58">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1.1.3.9 永久占地包括：</w:t>
      </w:r>
      <w:r>
        <w:rPr>
          <w:rFonts w:hint="eastAsia" w:ascii="宋体" w:hAnsi="宋体" w:cs="宋体"/>
          <w:color w:val="auto"/>
          <w:highlight w:val="none"/>
          <w:u w:val="single"/>
        </w:rPr>
        <w:t xml:space="preserve">  </w:t>
      </w:r>
      <w:r>
        <w:rPr>
          <w:rFonts w:hint="eastAsia" w:ascii="宋体" w:hAnsi="宋体" w:eastAsia="宋体" w:cs="宋体"/>
          <w:color w:val="auto"/>
          <w:szCs w:val="21"/>
          <w:highlight w:val="none"/>
          <w:u w:val="single"/>
        </w:rPr>
        <w:t>见施工图纸</w:t>
      </w:r>
      <w:r>
        <w:rPr>
          <w:rFonts w:hint="eastAsia" w:ascii="宋体" w:hAnsi="宋体" w:cs="宋体"/>
          <w:color w:val="auto"/>
          <w:highlight w:val="none"/>
          <w:u w:val="single"/>
        </w:rPr>
        <w:t xml:space="preserve">  </w:t>
      </w:r>
      <w:r>
        <w:rPr>
          <w:rFonts w:hint="eastAsia" w:ascii="宋体" w:hAnsi="宋体" w:cs="宋体"/>
          <w:color w:val="auto"/>
          <w:kern w:val="0"/>
          <w:highlight w:val="none"/>
        </w:rPr>
        <w:t>。</w:t>
      </w:r>
    </w:p>
    <w:p w14:paraId="6CA6F799">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kern w:val="0"/>
          <w:highlight w:val="none"/>
        </w:rPr>
        <w:t>1.1.3.10 临时占地包括：</w:t>
      </w:r>
      <w:r>
        <w:rPr>
          <w:rFonts w:hint="eastAsia" w:ascii="宋体" w:hAnsi="宋体" w:cs="宋体"/>
          <w:color w:val="auto"/>
          <w:highlight w:val="none"/>
          <w:u w:val="single"/>
        </w:rPr>
        <w:t xml:space="preserve">  </w:t>
      </w:r>
      <w:r>
        <w:rPr>
          <w:rFonts w:hint="eastAsia" w:ascii="宋体" w:hAnsi="宋体" w:cs="宋体"/>
          <w:color w:val="auto"/>
          <w:szCs w:val="21"/>
          <w:highlight w:val="none"/>
          <w:u w:val="single"/>
        </w:rPr>
        <w:t xml:space="preserve"> 现场确定</w:t>
      </w:r>
      <w:r>
        <w:rPr>
          <w:rFonts w:hint="eastAsia" w:ascii="宋体" w:hAnsi="宋体" w:cs="宋体"/>
          <w:color w:val="auto"/>
          <w:highlight w:val="none"/>
          <w:u w:val="single"/>
        </w:rPr>
        <w:t></w:t>
      </w:r>
      <w:r>
        <w:rPr>
          <w:rFonts w:hint="eastAsia" w:ascii="宋体" w:hAnsi="宋体" w:cs="宋体"/>
          <w:color w:val="auto"/>
          <w:kern w:val="0"/>
          <w:highlight w:val="none"/>
        </w:rPr>
        <w:t>。</w:t>
      </w:r>
    </w:p>
    <w:p w14:paraId="32922D60">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 xml:space="preserve">1.3 法律 </w:t>
      </w:r>
    </w:p>
    <w:p w14:paraId="1F650ADB">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适用于合同的其他规范性文件：</w:t>
      </w:r>
      <w:r>
        <w:rPr>
          <w:rFonts w:hint="eastAsia" w:ascii="宋体" w:hAnsi="宋体" w:cs="宋体"/>
          <w:color w:val="auto"/>
          <w:highlight w:val="none"/>
          <w:lang w:val="en-US" w:eastAsia="zh-CN"/>
        </w:rPr>
        <w:t xml:space="preserve"> </w:t>
      </w:r>
      <w:r>
        <w:rPr>
          <w:rFonts w:hint="eastAsia" w:ascii="宋体" w:hAnsi="宋体" w:cs="宋体"/>
          <w:color w:val="auto"/>
          <w:szCs w:val="21"/>
          <w:highlight w:val="none"/>
          <w:u w:val="single"/>
        </w:rPr>
        <w:t xml:space="preserve">《中华人民共和国民法典》、《中华人民共和国建筑法》、《中华人民共和国招标投标法》、《建设工程质量管理条例》、《建设工程安全生产管理条例》等国家及工程所在地现行有效的法律法规和规章 </w:t>
      </w:r>
      <w:r>
        <w:rPr>
          <w:rFonts w:hint="eastAsia" w:ascii="宋体" w:hAnsi="宋体" w:cs="宋体"/>
          <w:color w:val="auto"/>
          <w:szCs w:val="21"/>
          <w:highlight w:val="none"/>
        </w:rPr>
        <w:t>。</w:t>
      </w:r>
    </w:p>
    <w:p w14:paraId="4207E77D">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1.4 标准和规范</w:t>
      </w:r>
    </w:p>
    <w:p w14:paraId="505FC0CF">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1.4.1 适用于工程的标准规范包括：</w:t>
      </w:r>
      <w:r>
        <w:rPr>
          <w:rFonts w:hint="eastAsia" w:ascii="宋体" w:hAnsi="宋体" w:cs="宋体"/>
          <w:color w:val="auto"/>
          <w:szCs w:val="21"/>
          <w:highlight w:val="none"/>
          <w:u w:val="single"/>
        </w:rPr>
        <w:t xml:space="preserve"> 中华人民共和国建设部颁发的现行的有关标准、规范及省、市有关规定  </w:t>
      </w:r>
      <w:r>
        <w:rPr>
          <w:rFonts w:hint="eastAsia" w:ascii="宋体" w:hAnsi="宋体" w:cs="宋体"/>
          <w:color w:val="auto"/>
          <w:szCs w:val="21"/>
          <w:highlight w:val="none"/>
        </w:rPr>
        <w:t>。</w:t>
      </w:r>
    </w:p>
    <w:p w14:paraId="7A7D81F6">
      <w:pPr>
        <w:adjustRightInd w:val="0"/>
        <w:snapToGrid w:val="0"/>
        <w:spacing w:line="384" w:lineRule="auto"/>
        <w:ind w:firstLine="420" w:firstLineChars="200"/>
        <w:rPr>
          <w:rFonts w:hint="eastAsia" w:ascii="宋体" w:hAnsi="宋体" w:cs="宋体"/>
          <w:color w:val="auto"/>
          <w:kern w:val="0"/>
          <w:highlight w:val="none"/>
          <w:u w:val="single"/>
        </w:rPr>
      </w:pPr>
      <w:r>
        <w:rPr>
          <w:rFonts w:hint="eastAsia" w:ascii="宋体" w:hAnsi="宋体" w:cs="宋体"/>
          <w:color w:val="auto"/>
          <w:kern w:val="0"/>
          <w:highlight w:val="none"/>
        </w:rPr>
        <w:t>1.4.2 发包人提供国外标准、规范的名称：</w:t>
      </w:r>
      <w:r>
        <w:rPr>
          <w:rFonts w:hint="eastAsia" w:ascii="宋体" w:hAnsi="宋体" w:cs="宋体"/>
          <w:color w:val="auto"/>
          <w:kern w:val="0"/>
          <w:highlight w:val="none"/>
          <w:u w:val="single"/>
        </w:rPr>
        <w:t xml:space="preserve"> </w:t>
      </w:r>
      <w:r>
        <w:rPr>
          <w:rFonts w:hint="eastAsia" w:ascii="宋体" w:hAnsi="宋体" w:cs="宋体"/>
          <w:color w:val="auto"/>
          <w:kern w:val="0"/>
          <w:szCs w:val="21"/>
          <w:highlight w:val="none"/>
          <w:u w:val="single"/>
        </w:rPr>
        <w:t>承包人自备国内现行适用的标准、规范</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w:t>
      </w:r>
    </w:p>
    <w:p w14:paraId="421BCC68">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发包人提供国外标准、规范的份数：</w:t>
      </w:r>
      <w:r>
        <w:rPr>
          <w:rFonts w:hint="eastAsia" w:ascii="宋体" w:hAnsi="宋体" w:cs="宋体"/>
          <w:color w:val="auto"/>
          <w:kern w:val="0"/>
          <w:highlight w:val="none"/>
          <w:u w:val="single"/>
        </w:rPr>
        <w:t xml:space="preserve">  </w:t>
      </w:r>
      <w:r>
        <w:rPr>
          <w:rFonts w:hint="eastAsia" w:ascii="宋体" w:hAnsi="宋体" w:eastAsia="宋体" w:cs="宋体"/>
          <w:color w:val="auto"/>
          <w:kern w:val="0"/>
          <w:szCs w:val="21"/>
          <w:highlight w:val="none"/>
          <w:u w:val="single"/>
          <w:lang w:val="en-US" w:eastAsia="zh-CN"/>
        </w:rPr>
        <w:t>无</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w:t>
      </w:r>
    </w:p>
    <w:p w14:paraId="5E4B65E5">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kern w:val="0"/>
          <w:highlight w:val="none"/>
        </w:rPr>
        <w:t>发包人提供国外标准、规范的时间：</w:t>
      </w:r>
      <w:r>
        <w:rPr>
          <w:rFonts w:hint="eastAsia" w:ascii="宋体" w:hAnsi="宋体" w:cs="宋体"/>
          <w:color w:val="auto"/>
          <w:kern w:val="0"/>
          <w:highlight w:val="none"/>
          <w:u w:val="single"/>
        </w:rPr>
        <w:t xml:space="preserve">  </w:t>
      </w:r>
      <w:r>
        <w:rPr>
          <w:rFonts w:hint="eastAsia" w:ascii="宋体" w:hAnsi="宋体" w:eastAsia="宋体" w:cs="宋体"/>
          <w:color w:val="auto"/>
          <w:kern w:val="0"/>
          <w:szCs w:val="21"/>
          <w:highlight w:val="none"/>
          <w:u w:val="single"/>
          <w:lang w:val="en-US" w:eastAsia="zh-CN"/>
        </w:rPr>
        <w:t>无</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w:t>
      </w:r>
    </w:p>
    <w:p w14:paraId="473B1693">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1.4.3 发包人对工程的技术标准和功能要求的特殊要求：</w:t>
      </w:r>
      <w:r>
        <w:rPr>
          <w:rFonts w:hint="eastAsia" w:ascii="宋体" w:hAnsi="宋体" w:cs="宋体"/>
          <w:color w:val="auto"/>
          <w:highlight w:val="none"/>
          <w:u w:val="single"/>
        </w:rPr>
        <w:t xml:space="preserve"> </w:t>
      </w:r>
      <w:r>
        <w:rPr>
          <w:rFonts w:hint="eastAsia" w:ascii="宋体" w:hAnsi="宋体" w:eastAsia="宋体" w:cs="宋体"/>
          <w:color w:val="auto"/>
          <w:kern w:val="0"/>
          <w:szCs w:val="21"/>
          <w:highlight w:val="none"/>
          <w:u w:val="single"/>
          <w:lang w:val="en-US" w:eastAsia="zh-CN"/>
        </w:rPr>
        <w:t>按现行规范执行</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53D0B04">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1.5 合同文件的优先顺序</w:t>
      </w:r>
    </w:p>
    <w:p w14:paraId="6DA872AC">
      <w:pPr>
        <w:adjustRightInd w:val="0"/>
        <w:snapToGrid w:val="0"/>
        <w:spacing w:line="384" w:lineRule="auto"/>
        <w:ind w:firstLine="420" w:firstLineChars="200"/>
        <w:rPr>
          <w:rFonts w:hint="eastAsia" w:ascii="宋体" w:hAnsi="宋体" w:eastAsia="宋体" w:cs="宋体"/>
          <w:b/>
          <w:color w:val="auto"/>
          <w:highlight w:val="none"/>
          <w:u w:val="single"/>
          <w:lang w:eastAsia="zh-CN"/>
        </w:rPr>
      </w:pPr>
      <w:r>
        <w:rPr>
          <w:rFonts w:hint="eastAsia" w:ascii="宋体" w:hAnsi="宋体" w:cs="宋体"/>
          <w:color w:val="auto"/>
          <w:kern w:val="0"/>
          <w:highlight w:val="none"/>
        </w:rPr>
        <w:t>合同文件组成及优先顺序为：</w:t>
      </w:r>
      <w:r>
        <w:rPr>
          <w:rFonts w:hint="eastAsia" w:ascii="宋体" w:hAnsi="宋体" w:cs="宋体"/>
          <w:color w:val="auto"/>
          <w:highlight w:val="none"/>
          <w:u w:val="single"/>
        </w:rPr>
        <w:t xml:space="preserve"> （1）合同协议书；（2）中标通知书；（3）确认函及其附录；</w:t>
      </w:r>
      <w:r>
        <w:rPr>
          <w:rFonts w:hint="eastAsia" w:ascii="宋体" w:hAnsi="宋体" w:cs="宋体"/>
          <w:color w:val="auto"/>
          <w:highlight w:val="none"/>
          <w:u w:val="single"/>
        </w:rPr>
        <w:tab/>
      </w:r>
      <w:r>
        <w:rPr>
          <w:rFonts w:hint="eastAsia" w:ascii="宋体" w:hAnsi="宋体" w:cs="宋体"/>
          <w:color w:val="auto"/>
          <w:highlight w:val="none"/>
          <w:u w:val="single"/>
        </w:rPr>
        <w:t xml:space="preserve">（4）招标文件；（5）专用合同条款及其附件；（6）通用合同条款；（7）技术标准和要求；（8）图纸；（9） 已标价工程量清单或预算书；（10）其他合同文件 </w:t>
      </w:r>
      <w:r>
        <w:rPr>
          <w:rFonts w:hint="eastAsia" w:ascii="宋体" w:hAnsi="宋体" w:cs="宋体"/>
          <w:color w:val="auto"/>
          <w:highlight w:val="none"/>
          <w:u w:val="single"/>
          <w:lang w:eastAsia="zh-CN"/>
        </w:rPr>
        <w:t>。</w:t>
      </w:r>
    </w:p>
    <w:p w14:paraId="2DBDF74B">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1.6 图纸和承包人文件</w:t>
      </w:r>
      <w:r>
        <w:rPr>
          <w:rFonts w:hint="eastAsia" w:ascii="宋体" w:hAnsi="宋体" w:cs="宋体"/>
          <w:bCs/>
          <w:color w:val="auto"/>
          <w:szCs w:val="28"/>
          <w:highlight w:val="none"/>
        </w:rPr>
        <w:tab/>
      </w:r>
    </w:p>
    <w:p w14:paraId="5EE29D04">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1.6.1 图纸的提供和交底</w:t>
      </w:r>
    </w:p>
    <w:p w14:paraId="1E04F832">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发包人向承包人提供图纸的期限：</w:t>
      </w:r>
      <w:r>
        <w:rPr>
          <w:rFonts w:hint="eastAsia" w:ascii="宋体" w:hAnsi="宋体" w:cs="宋体"/>
          <w:color w:val="auto"/>
          <w:highlight w:val="none"/>
          <w:u w:val="single"/>
        </w:rPr>
        <w:t xml:space="preserve">   开工通知前</w:t>
      </w:r>
      <w:r>
        <w:rPr>
          <w:rFonts w:hint="eastAsia" w:ascii="宋体" w:hAnsi="宋体" w:cs="宋体"/>
          <w:color w:val="auto"/>
          <w:highlight w:val="none"/>
        </w:rPr>
        <w:t>；</w:t>
      </w:r>
    </w:p>
    <w:p w14:paraId="7B106EA4">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发包人向承包人提供图纸的数量：</w:t>
      </w:r>
      <w:r>
        <w:rPr>
          <w:rFonts w:hint="eastAsia" w:ascii="宋体" w:hAnsi="宋体" w:cs="宋体"/>
          <w:color w:val="auto"/>
          <w:szCs w:val="21"/>
          <w:highlight w:val="none"/>
          <w:u w:val="single"/>
        </w:rPr>
        <w:t xml:space="preserve">提供 </w:t>
      </w:r>
      <w:r>
        <w:rPr>
          <w:rFonts w:hint="eastAsia" w:ascii="宋体" w:hAnsi="宋体" w:cs="宋体"/>
          <w:color w:val="auto"/>
          <w:szCs w:val="21"/>
          <w:highlight w:val="none"/>
          <w:u w:val="single"/>
          <w:lang w:val="en-US" w:eastAsia="zh-CN"/>
        </w:rPr>
        <w:t>1</w:t>
      </w:r>
      <w:r>
        <w:rPr>
          <w:rFonts w:hint="eastAsia" w:ascii="宋体" w:hAnsi="宋体" w:cs="宋体"/>
          <w:color w:val="auto"/>
          <w:szCs w:val="21"/>
          <w:highlight w:val="none"/>
          <w:u w:val="single"/>
        </w:rPr>
        <w:t xml:space="preserve">套（含竣工图 </w:t>
      </w:r>
      <w:r>
        <w:rPr>
          <w:rFonts w:hint="eastAsia" w:ascii="宋体" w:hAnsi="宋体" w:cs="宋体"/>
          <w:color w:val="auto"/>
          <w:szCs w:val="21"/>
          <w:highlight w:val="none"/>
          <w:u w:val="single"/>
          <w:lang w:val="en-US" w:eastAsia="zh-CN"/>
        </w:rPr>
        <w:t>1</w:t>
      </w:r>
      <w:r>
        <w:rPr>
          <w:rFonts w:hint="eastAsia" w:ascii="宋体" w:hAnsi="宋体" w:cs="宋体"/>
          <w:color w:val="auto"/>
          <w:szCs w:val="21"/>
          <w:highlight w:val="none"/>
          <w:u w:val="single"/>
        </w:rPr>
        <w:t xml:space="preserve"> 套），不足的由承包人自行复制，费用自理；</w:t>
      </w:r>
    </w:p>
    <w:p w14:paraId="056455BB">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发包人向承包人提供图纸的内容：</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6D718089">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1.6.4 承包人文件</w:t>
      </w:r>
    </w:p>
    <w:p w14:paraId="75EE2E43">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需要由承包人提供的文件，包括：</w:t>
      </w:r>
      <w:r>
        <w:rPr>
          <w:rFonts w:hint="eastAsia" w:ascii="宋体" w:hAnsi="宋体" w:cs="宋体"/>
          <w:color w:val="auto"/>
          <w:highlight w:val="none"/>
          <w:u w:val="single"/>
        </w:rPr>
        <w:t xml:space="preserve">  </w:t>
      </w:r>
      <w:r>
        <w:rPr>
          <w:rFonts w:hint="eastAsia" w:ascii="宋体" w:hAnsi="宋体" w:eastAsia="宋体" w:cs="宋体"/>
          <w:color w:val="auto"/>
          <w:highlight w:val="none"/>
          <w:u w:val="single"/>
        </w:rPr>
        <w:t>另行约定</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006588CC">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承包人提供的文件的期限为：</w:t>
      </w:r>
      <w:r>
        <w:rPr>
          <w:rFonts w:hint="eastAsia" w:ascii="宋体" w:hAnsi="宋体" w:cs="宋体"/>
          <w:color w:val="auto"/>
          <w:highlight w:val="none"/>
          <w:u w:val="single"/>
        </w:rPr>
        <w:t xml:space="preserve">  </w:t>
      </w:r>
      <w:r>
        <w:rPr>
          <w:rFonts w:hint="eastAsia" w:ascii="宋体" w:hAnsi="宋体" w:eastAsia="宋体" w:cs="宋体"/>
          <w:color w:val="auto"/>
          <w:highlight w:val="none"/>
          <w:u w:val="single"/>
        </w:rPr>
        <w:t>另行约定</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6AAAC276">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承包人提供的文件的数量为：</w:t>
      </w:r>
      <w:r>
        <w:rPr>
          <w:rFonts w:hint="eastAsia" w:ascii="宋体" w:hAnsi="宋体" w:cs="宋体"/>
          <w:color w:val="auto"/>
          <w:highlight w:val="none"/>
          <w:u w:val="single"/>
        </w:rPr>
        <w:t xml:space="preserve">  </w:t>
      </w:r>
      <w:r>
        <w:rPr>
          <w:rFonts w:hint="eastAsia" w:ascii="宋体" w:hAnsi="宋体" w:eastAsia="宋体" w:cs="宋体"/>
          <w:color w:val="auto"/>
          <w:highlight w:val="none"/>
          <w:u w:val="single"/>
        </w:rPr>
        <w:t>另行约定</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139B1F3C">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承包人提供的文件的形式为：</w:t>
      </w:r>
      <w:r>
        <w:rPr>
          <w:rFonts w:hint="eastAsia" w:ascii="宋体" w:hAnsi="宋体" w:cs="宋体"/>
          <w:color w:val="auto"/>
          <w:highlight w:val="none"/>
          <w:u w:val="single"/>
        </w:rPr>
        <w:t xml:space="preserve">  </w:t>
      </w:r>
      <w:r>
        <w:rPr>
          <w:rFonts w:hint="eastAsia" w:ascii="宋体" w:hAnsi="宋体" w:eastAsia="宋体" w:cs="宋体"/>
          <w:color w:val="auto"/>
          <w:highlight w:val="none"/>
          <w:u w:val="single"/>
        </w:rPr>
        <w:t>另行约定</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275FB3E0">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发包人审批承包人文件的期限：</w:t>
      </w:r>
      <w:r>
        <w:rPr>
          <w:rFonts w:hint="eastAsia" w:ascii="宋体" w:hAnsi="宋体" w:cs="宋体"/>
          <w:color w:val="auto"/>
          <w:highlight w:val="none"/>
          <w:u w:val="single"/>
        </w:rPr>
        <w:t xml:space="preserve">  </w:t>
      </w:r>
      <w:r>
        <w:rPr>
          <w:rFonts w:hint="eastAsia" w:ascii="宋体" w:hAnsi="宋体" w:eastAsia="宋体" w:cs="宋体"/>
          <w:color w:val="auto"/>
          <w:highlight w:val="none"/>
          <w:u w:val="single"/>
        </w:rPr>
        <w:t>另行约定</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3DAFF40A">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1.6.5 图纸和承包人文件的保管</w:t>
      </w:r>
    </w:p>
    <w:p w14:paraId="683BB8AB">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关于图纸和承包人文件保管的约定：</w:t>
      </w:r>
      <w:r>
        <w:rPr>
          <w:rFonts w:hint="eastAsia" w:ascii="宋体" w:hAnsi="宋体" w:cs="宋体"/>
          <w:color w:val="auto"/>
          <w:szCs w:val="21"/>
          <w:highlight w:val="none"/>
          <w:u w:val="single"/>
        </w:rPr>
        <w:t xml:space="preserve">除专用合同条款另有约定外，承包人应在施工现场另外保存一套完整的图纸和承包人文件，供发包人、监理人及有关人员进行工程检查时使用  </w:t>
      </w:r>
      <w:r>
        <w:rPr>
          <w:rFonts w:hint="eastAsia" w:ascii="宋体" w:hAnsi="宋体" w:cs="宋体"/>
          <w:color w:val="auto"/>
          <w:highlight w:val="none"/>
        </w:rPr>
        <w:t>。</w:t>
      </w:r>
    </w:p>
    <w:p w14:paraId="60A22747">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1.7 联络</w:t>
      </w:r>
    </w:p>
    <w:p w14:paraId="081DC5B1">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1.7.1 发包人和承包人应当在</w:t>
      </w:r>
      <w:r>
        <w:rPr>
          <w:rFonts w:hint="eastAsia" w:ascii="宋体" w:hAnsi="宋体" w:cs="宋体"/>
          <w:color w:val="auto"/>
          <w:highlight w:val="none"/>
          <w:u w:val="single"/>
        </w:rPr>
        <w:t>7</w:t>
      </w:r>
      <w:r>
        <w:rPr>
          <w:rFonts w:hint="eastAsia" w:ascii="宋体" w:hAnsi="宋体" w:cs="宋体"/>
          <w:color w:val="auto"/>
          <w:kern w:val="0"/>
          <w:highlight w:val="none"/>
        </w:rPr>
        <w:t>天内将与合同有关的通知、批准、证明、证书、指示、指令、要求、请求、同意、意见、确定和决定等书面函件送达对方当事人。</w:t>
      </w:r>
    </w:p>
    <w:p w14:paraId="3B2D7F94">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1.7.2 发包人接收文件的地点：</w:t>
      </w:r>
      <w:r>
        <w:rPr>
          <w:rFonts w:hint="eastAsia" w:ascii="宋体" w:hAnsi="宋体" w:cs="宋体"/>
          <w:color w:val="auto"/>
          <w:highlight w:val="none"/>
          <w:u w:val="single"/>
        </w:rPr>
        <w:t xml:space="preserve">  </w:t>
      </w:r>
      <w:r>
        <w:rPr>
          <w:rFonts w:hint="eastAsia" w:ascii="宋体" w:hAnsi="宋体" w:eastAsia="宋体" w:cs="宋体"/>
          <w:color w:val="auto"/>
          <w:szCs w:val="21"/>
          <w:highlight w:val="none"/>
          <w:u w:val="single"/>
          <w:lang w:val="en-US" w:eastAsia="zh-CN"/>
        </w:rPr>
        <w:t>发包人办公室</w:t>
      </w:r>
      <w:r>
        <w:rPr>
          <w:rFonts w:hint="eastAsia" w:ascii="宋体" w:hAnsi="宋体" w:cs="宋体"/>
          <w:color w:val="auto"/>
          <w:highlight w:val="none"/>
          <w:u w:val="single"/>
        </w:rPr>
        <w:t></w:t>
      </w:r>
      <w:r>
        <w:rPr>
          <w:rFonts w:hint="eastAsia" w:ascii="宋体" w:hAnsi="宋体" w:cs="宋体"/>
          <w:color w:val="auto"/>
          <w:kern w:val="0"/>
          <w:highlight w:val="none"/>
        </w:rPr>
        <w:t>；</w:t>
      </w:r>
    </w:p>
    <w:p w14:paraId="17D885EF">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发包人指定的接收人为：</w:t>
      </w:r>
      <w:r>
        <w:rPr>
          <w:rFonts w:hint="eastAsia" w:ascii="宋体" w:hAnsi="宋体" w:cs="宋体"/>
          <w:color w:val="auto"/>
          <w:highlight w:val="none"/>
          <w:u w:val="single"/>
        </w:rPr>
        <w:t xml:space="preserve">   发包人代表</w:t>
      </w:r>
      <w:r>
        <w:rPr>
          <w:rFonts w:hint="eastAsia" w:ascii="宋体" w:hAnsi="宋体" w:cs="宋体"/>
          <w:color w:val="auto"/>
          <w:kern w:val="0"/>
          <w:highlight w:val="none"/>
        </w:rPr>
        <w:t>。</w:t>
      </w:r>
    </w:p>
    <w:p w14:paraId="7D88FCA4">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承包人接收文件的地点：</w:t>
      </w:r>
      <w:r>
        <w:rPr>
          <w:rFonts w:hint="eastAsia" w:ascii="宋体" w:hAnsi="宋体" w:cs="宋体"/>
          <w:color w:val="auto"/>
          <w:highlight w:val="none"/>
          <w:u w:val="single"/>
        </w:rPr>
        <w:t xml:space="preserve">   项目部   </w:t>
      </w:r>
      <w:r>
        <w:rPr>
          <w:rFonts w:hint="eastAsia" w:ascii="宋体" w:hAnsi="宋体" w:cs="宋体"/>
          <w:color w:val="auto"/>
          <w:kern w:val="0"/>
          <w:highlight w:val="none"/>
        </w:rPr>
        <w:t>；</w:t>
      </w:r>
    </w:p>
    <w:p w14:paraId="156976D2">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承包人指定的接收人为：</w:t>
      </w:r>
      <w:r>
        <w:rPr>
          <w:rFonts w:hint="eastAsia" w:ascii="宋体" w:hAnsi="宋体" w:cs="宋体"/>
          <w:color w:val="auto"/>
          <w:highlight w:val="none"/>
          <w:u w:val="single"/>
        </w:rPr>
        <w:t xml:space="preserve">    项目负责人   </w:t>
      </w:r>
      <w:r>
        <w:rPr>
          <w:rFonts w:hint="eastAsia" w:ascii="宋体" w:hAnsi="宋体" w:cs="宋体"/>
          <w:color w:val="auto"/>
          <w:kern w:val="0"/>
          <w:highlight w:val="none"/>
        </w:rPr>
        <w:t>。</w:t>
      </w:r>
    </w:p>
    <w:p w14:paraId="7946DA33">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监理人接收文件的地点：</w:t>
      </w:r>
      <w:r>
        <w:rPr>
          <w:rFonts w:hint="eastAsia" w:ascii="宋体" w:hAnsi="宋体" w:cs="宋体"/>
          <w:color w:val="auto"/>
          <w:highlight w:val="none"/>
          <w:u w:val="single"/>
        </w:rPr>
        <w:t xml:space="preserve">   监理部 </w:t>
      </w:r>
      <w:r>
        <w:rPr>
          <w:rFonts w:hint="eastAsia" w:ascii="宋体" w:hAnsi="宋体" w:cs="宋体"/>
          <w:color w:val="auto"/>
          <w:kern w:val="0"/>
          <w:highlight w:val="none"/>
        </w:rPr>
        <w:t>；</w:t>
      </w:r>
    </w:p>
    <w:p w14:paraId="5A0EAB92">
      <w:pPr>
        <w:keepNext/>
        <w:keepLines/>
        <w:adjustRightInd w:val="0"/>
        <w:snapToGrid w:val="0"/>
        <w:spacing w:line="384" w:lineRule="auto"/>
        <w:ind w:firstLine="420" w:firstLineChars="200"/>
        <w:outlineLvl w:val="3"/>
        <w:rPr>
          <w:rFonts w:hint="eastAsia" w:ascii="宋体" w:hAnsi="宋体" w:cs="宋体"/>
          <w:color w:val="auto"/>
          <w:kern w:val="0"/>
          <w:highlight w:val="none"/>
        </w:rPr>
      </w:pPr>
      <w:r>
        <w:rPr>
          <w:rFonts w:hint="eastAsia" w:ascii="宋体" w:hAnsi="宋体" w:cs="宋体"/>
          <w:color w:val="auto"/>
          <w:kern w:val="0"/>
          <w:highlight w:val="none"/>
        </w:rPr>
        <w:t>监理人指定的接收人为：</w:t>
      </w:r>
      <w:r>
        <w:rPr>
          <w:rFonts w:hint="eastAsia" w:ascii="宋体" w:hAnsi="宋体" w:cs="宋体"/>
          <w:color w:val="auto"/>
          <w:highlight w:val="none"/>
          <w:u w:val="single"/>
        </w:rPr>
        <w:t xml:space="preserve">  总监理工程师或总监代表</w:t>
      </w:r>
      <w:r>
        <w:rPr>
          <w:rFonts w:hint="eastAsia" w:ascii="宋体" w:hAnsi="宋体" w:cs="宋体"/>
          <w:color w:val="auto"/>
          <w:kern w:val="0"/>
          <w:highlight w:val="none"/>
        </w:rPr>
        <w:t>。</w:t>
      </w:r>
    </w:p>
    <w:p w14:paraId="5C87DA17">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1.10 交通运输</w:t>
      </w:r>
    </w:p>
    <w:p w14:paraId="60B2608B">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w:t>
      </w:r>
      <w:bookmarkStart w:id="731" w:name="_Toc304295521"/>
      <w:bookmarkStart w:id="732" w:name="_Toc318581155"/>
      <w:bookmarkStart w:id="733" w:name="_Toc303539100"/>
      <w:bookmarkStart w:id="734" w:name="_Toc312677986"/>
      <w:bookmarkStart w:id="735" w:name="_Toc300934943"/>
      <w:r>
        <w:rPr>
          <w:rFonts w:hint="eastAsia" w:ascii="宋体" w:hAnsi="宋体" w:cs="宋体"/>
          <w:color w:val="auto"/>
          <w:highlight w:val="none"/>
        </w:rPr>
        <w:t>.10.1 出入现场的权利</w:t>
      </w:r>
    </w:p>
    <w:p w14:paraId="5D182190">
      <w:pPr>
        <w:adjustRightInd w:val="0"/>
        <w:snapToGrid w:val="0"/>
        <w:spacing w:line="384"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cs="宋体"/>
          <w:color w:val="auto"/>
          <w:highlight w:val="none"/>
        </w:rPr>
        <w:t>关于出入现场的权利的约定：</w:t>
      </w:r>
      <w:r>
        <w:rPr>
          <w:rFonts w:hint="eastAsia" w:ascii="宋体" w:hAnsi="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按有关规定办理有关施工场地交通、环卫和施工噪音管理等手续，费用由承包人负责。施工中建筑垃圾需运出施工现场外时，承包人需到城管部门办理相关手续并按城管部门指定地点放置。承包人违反城管、环卫等有关管理的规定，被处以罚款的，由承包人承担。</w:t>
      </w:r>
    </w:p>
    <w:p w14:paraId="7684A32A">
      <w:pPr>
        <w:adjustRightInd w:val="0"/>
        <w:snapToGrid w:val="0"/>
        <w:spacing w:line="384"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u w:val="single"/>
          <w:lang w:val="en-US" w:eastAsia="zh-CN"/>
        </w:rPr>
        <w:t>施工前应开设1-2个固定施工通道，通道位置由发包人和承包人现场共同确认，确定后不得移动并采取有效硬化措施。不得损坏道路路面路侧石、人行道板、雨水井、雨水篦、绿化带、通信光缆、燃气管道、供电等公共设施，如因工程需要，确需损坏少量公共设施的，施工方应办理相关手续，在完工后必须恢复原状或按照有关部门核定的价格赔偿。以上均为工程验收内容，若施工方有损毁不及时修复，发包人有权委托其他施工方进行维修，发生的费用从承包人工程款中直接扣除，并在每阶段付款节点顺延三个月支付。施工过程中，应办理渣土运输证件，保持开发区道路清洁，如有抛撒滴漏，应及时清扫。否则发包人对承包人进行处罚。施工方应确保施工安全,若施工过程中出现工伤事故及由此产生的所有经济赔偿由施工方负责,与发包人无关。</w:t>
      </w:r>
    </w:p>
    <w:p w14:paraId="646DFA7B">
      <w:pPr>
        <w:adjustRightInd w:val="0"/>
        <w:snapToGrid w:val="0"/>
        <w:spacing w:line="384"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u w:val="single"/>
          <w:lang w:val="en-US" w:eastAsia="zh-CN"/>
        </w:rPr>
        <w:t>在本工程施工期间，施工单位使用的运输车辆须满足公安、市容城管、交通管理部门等的规定并按要求依法遵照有关规定办理运输许可证，严禁使用无牌无证车辆进行施工，若因以上原因造成的各种行政罚款等费用，由施工单位自行承担，发包人不具有协调等责任义务。如由此造成影响导致业主声誉受损，发包人将向承包人收取违约金5000元/次。</w:t>
      </w:r>
      <w:r>
        <w:rPr>
          <w:rFonts w:hint="eastAsia" w:ascii="宋体" w:hAnsi="宋体" w:cs="宋体"/>
          <w:color w:val="auto"/>
          <w:szCs w:val="21"/>
          <w:highlight w:val="none"/>
          <w:u w:val="single"/>
        </w:rPr>
        <w:t xml:space="preserve">  </w:t>
      </w:r>
    </w:p>
    <w:bookmarkEnd w:id="731"/>
    <w:bookmarkEnd w:id="732"/>
    <w:bookmarkEnd w:id="733"/>
    <w:bookmarkEnd w:id="734"/>
    <w:bookmarkEnd w:id="735"/>
    <w:p w14:paraId="30FA4632">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w:t>
      </w:r>
      <w:bookmarkStart w:id="736" w:name="_Toc300934944"/>
      <w:bookmarkStart w:id="737" w:name="_Toc304295522"/>
      <w:bookmarkStart w:id="738" w:name="_Toc318581156"/>
      <w:bookmarkStart w:id="739" w:name="_Toc303539101"/>
      <w:bookmarkStart w:id="740" w:name="_Toc312677987"/>
      <w:r>
        <w:rPr>
          <w:rFonts w:hint="eastAsia" w:ascii="宋体" w:hAnsi="宋体" w:cs="宋体"/>
          <w:color w:val="auto"/>
          <w:highlight w:val="none"/>
        </w:rPr>
        <w:t>.10.3 场内交通</w:t>
      </w:r>
    </w:p>
    <w:p w14:paraId="124BACB9">
      <w:pPr>
        <w:adjustRightInd w:val="0"/>
        <w:snapToGrid w:val="0"/>
        <w:spacing w:line="384"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cs="宋体"/>
          <w:color w:val="auto"/>
          <w:kern w:val="0"/>
          <w:highlight w:val="none"/>
        </w:rPr>
        <w:t>关于场外交通和场内交通的边界的约定：</w:t>
      </w:r>
      <w:r>
        <w:rPr>
          <w:rFonts w:hint="eastAsia" w:ascii="宋体" w:hAnsi="宋体" w:eastAsia="宋体" w:cs="宋体"/>
          <w:color w:val="auto"/>
          <w:szCs w:val="21"/>
          <w:highlight w:val="none"/>
          <w:u w:val="single"/>
          <w:lang w:val="en-US" w:eastAsia="zh-CN"/>
        </w:rPr>
        <w:t>场内交通设施和道路由承包人负责建设，发包人不另支付费用，场内交通边界现场确定。</w:t>
      </w:r>
    </w:p>
    <w:p w14:paraId="51ADA0A0">
      <w:pPr>
        <w:adjustRightInd w:val="0"/>
        <w:snapToGrid w:val="0"/>
        <w:spacing w:line="384"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cs="宋体"/>
          <w:color w:val="auto"/>
          <w:highlight w:val="none"/>
        </w:rPr>
        <w:t>关于发包人向承包人免费提供满足工程施工需要的场内道路和交通设施的约定：</w:t>
      </w:r>
      <w:r>
        <w:rPr>
          <w:rFonts w:hint="eastAsia" w:ascii="宋体" w:hAnsi="宋体" w:eastAsia="宋体" w:cs="宋体"/>
          <w:color w:val="auto"/>
          <w:szCs w:val="21"/>
          <w:highlight w:val="none"/>
          <w:u w:val="single"/>
          <w:lang w:val="en-US" w:eastAsia="zh-CN"/>
        </w:rPr>
        <w:t>承包人自行踏勘，自行解决。</w:t>
      </w:r>
    </w:p>
    <w:bookmarkEnd w:id="736"/>
    <w:bookmarkEnd w:id="737"/>
    <w:bookmarkEnd w:id="738"/>
    <w:bookmarkEnd w:id="739"/>
    <w:bookmarkEnd w:id="740"/>
    <w:p w14:paraId="327E6121">
      <w:pPr>
        <w:adjustRightInd w:val="0"/>
        <w:snapToGrid w:val="0"/>
        <w:spacing w:line="384" w:lineRule="auto"/>
        <w:ind w:firstLine="420" w:firstLineChars="200"/>
        <w:rPr>
          <w:rFonts w:hint="eastAsia" w:ascii="宋体" w:hAnsi="宋体" w:cs="宋体"/>
          <w:color w:val="auto"/>
          <w:highlight w:val="none"/>
        </w:rPr>
      </w:pPr>
      <w:bookmarkStart w:id="741" w:name="_Toc318581157"/>
      <w:r>
        <w:rPr>
          <w:rFonts w:hint="eastAsia" w:ascii="宋体" w:hAnsi="宋体" w:cs="宋体"/>
          <w:color w:val="auto"/>
          <w:highlight w:val="none"/>
        </w:rPr>
        <w:t>1.10.4 超大件和超重件的运输</w:t>
      </w:r>
    </w:p>
    <w:p w14:paraId="7575DADE">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运输超大件或超重件所需的道路和桥梁临时加固改造费用和其他有关费用由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承包人</w:t>
      </w:r>
      <w:r>
        <w:rPr>
          <w:rFonts w:hint="eastAsia" w:ascii="宋体" w:hAnsi="宋体" w:cs="宋体"/>
          <w:color w:val="auto"/>
          <w:szCs w:val="21"/>
          <w:highlight w:val="none"/>
          <w:u w:val="single"/>
        </w:rPr>
        <w:t xml:space="preserve">  </w:t>
      </w:r>
      <w:r>
        <w:rPr>
          <w:rFonts w:hint="eastAsia" w:ascii="宋体" w:hAnsi="宋体" w:cs="宋体"/>
          <w:color w:val="auto"/>
          <w:highlight w:val="none"/>
        </w:rPr>
        <w:t>承担。</w:t>
      </w:r>
    </w:p>
    <w:bookmarkEnd w:id="741"/>
    <w:p w14:paraId="13C36EA8">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1.11 知识产权</w:t>
      </w:r>
    </w:p>
    <w:p w14:paraId="330F3C06">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1.11.1 关于发包人提供给承包人的图纸、发包人为实施工程自行编制或委托编制的技术规范以及反映发包人关于合同要求或其他类似性质的文件的著作权的归属：</w:t>
      </w:r>
      <w:r>
        <w:rPr>
          <w:rFonts w:hint="eastAsia" w:ascii="宋体" w:hAnsi="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发包人</w:t>
      </w:r>
      <w:r>
        <w:rPr>
          <w:rFonts w:hint="eastAsia" w:ascii="宋体" w:hAnsi="宋体" w:cs="宋体"/>
          <w:color w:val="auto"/>
          <w:szCs w:val="21"/>
          <w:highlight w:val="none"/>
          <w:u w:val="single"/>
        </w:rPr>
        <w:t xml:space="preserve">   </w:t>
      </w:r>
      <w:r>
        <w:rPr>
          <w:rFonts w:hint="eastAsia" w:ascii="宋体" w:hAnsi="宋体" w:cs="宋体"/>
          <w:color w:val="auto"/>
          <w:highlight w:val="none"/>
        </w:rPr>
        <w:t>。</w:t>
      </w:r>
    </w:p>
    <w:p w14:paraId="5847B1E4">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关于发包人提供的上述文件的使用限制的要求：</w:t>
      </w:r>
      <w:r>
        <w:rPr>
          <w:rFonts w:hint="eastAsia" w:ascii="宋体" w:hAnsi="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未经发包人同意不得复制，不得向承包人以外的人员泄漏有关图纸内容，工程竣工后，原图全部收回</w:t>
      </w:r>
      <w:r>
        <w:rPr>
          <w:rFonts w:hint="eastAsia" w:ascii="宋体" w:hAnsi="宋体" w:cs="宋体"/>
          <w:color w:val="auto"/>
          <w:szCs w:val="21"/>
          <w:highlight w:val="none"/>
          <w:u w:val="single"/>
        </w:rPr>
        <w:t xml:space="preserve">  </w:t>
      </w:r>
      <w:r>
        <w:rPr>
          <w:rFonts w:hint="eastAsia" w:ascii="宋体" w:hAnsi="宋体" w:cs="宋体"/>
          <w:color w:val="auto"/>
          <w:highlight w:val="none"/>
        </w:rPr>
        <w:t>。</w:t>
      </w:r>
    </w:p>
    <w:p w14:paraId="417982CC">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1.11.2 关于承包人为实施工程所编制文件的著作权的归属：</w:t>
      </w:r>
      <w:r>
        <w:rPr>
          <w:rFonts w:hint="eastAsia" w:ascii="宋体" w:hAnsi="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执行通用条款</w:t>
      </w:r>
      <w:r>
        <w:rPr>
          <w:rFonts w:hint="eastAsia" w:ascii="宋体" w:hAnsi="宋体" w:cs="宋体"/>
          <w:color w:val="auto"/>
          <w:szCs w:val="21"/>
          <w:highlight w:val="none"/>
          <w:u w:val="single"/>
        </w:rPr>
        <w:t xml:space="preserve">  </w:t>
      </w:r>
      <w:r>
        <w:rPr>
          <w:rFonts w:hint="eastAsia" w:ascii="宋体" w:hAnsi="宋体" w:cs="宋体"/>
          <w:color w:val="auto"/>
          <w:highlight w:val="none"/>
        </w:rPr>
        <w:t>。</w:t>
      </w:r>
    </w:p>
    <w:p w14:paraId="5DCC88E8">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关于承包人提供的上述文件的使用限制的要求：</w:t>
      </w:r>
      <w:r>
        <w:rPr>
          <w:rFonts w:hint="eastAsia" w:ascii="宋体" w:hAnsi="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执行通用条款</w:t>
      </w:r>
      <w:r>
        <w:rPr>
          <w:rFonts w:hint="eastAsia" w:ascii="宋体" w:hAnsi="宋体" w:cs="宋体"/>
          <w:color w:val="auto"/>
          <w:szCs w:val="21"/>
          <w:highlight w:val="none"/>
          <w:u w:val="single"/>
        </w:rPr>
        <w:t xml:space="preserve">  </w:t>
      </w:r>
      <w:r>
        <w:rPr>
          <w:rFonts w:hint="eastAsia" w:ascii="宋体" w:hAnsi="宋体" w:cs="宋体"/>
          <w:color w:val="auto"/>
          <w:highlight w:val="none"/>
        </w:rPr>
        <w:t>。</w:t>
      </w:r>
    </w:p>
    <w:p w14:paraId="237D36B3">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1.11.4 承包人在施工过程中所采用的专利、专有技术、技术秘密的使用费的承担方式：</w:t>
      </w:r>
      <w:r>
        <w:rPr>
          <w:rFonts w:hint="eastAsia" w:ascii="宋体" w:hAnsi="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执行通用条款</w:t>
      </w:r>
      <w:r>
        <w:rPr>
          <w:rFonts w:hint="eastAsia" w:ascii="宋体" w:hAnsi="宋体" w:cs="宋体"/>
          <w:color w:val="auto"/>
          <w:szCs w:val="21"/>
          <w:highlight w:val="none"/>
          <w:u w:val="single"/>
        </w:rPr>
        <w:t xml:space="preserve"> </w:t>
      </w:r>
      <w:r>
        <w:rPr>
          <w:rFonts w:hint="eastAsia" w:ascii="宋体" w:hAnsi="宋体" w:cs="宋体"/>
          <w:color w:val="auto"/>
          <w:highlight w:val="none"/>
        </w:rPr>
        <w:t>。</w:t>
      </w:r>
    </w:p>
    <w:p w14:paraId="4980E1A5">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1.13 工程量清单错误的修正</w:t>
      </w:r>
    </w:p>
    <w:p w14:paraId="00801E85">
      <w:pPr>
        <w:adjustRightInd w:val="0"/>
        <w:snapToGrid w:val="0"/>
        <w:spacing w:line="384" w:lineRule="auto"/>
        <w:ind w:firstLine="420" w:firstLineChars="200"/>
        <w:rPr>
          <w:rFonts w:hint="eastAsia" w:ascii="宋体" w:hAnsi="宋体" w:cs="宋体"/>
          <w:b/>
          <w:color w:val="auto"/>
          <w:highlight w:val="none"/>
          <w:u w:val="single"/>
        </w:rPr>
      </w:pPr>
      <w:r>
        <w:rPr>
          <w:rFonts w:hint="eastAsia" w:ascii="宋体" w:hAnsi="宋体" w:cs="宋体"/>
          <w:color w:val="auto"/>
          <w:highlight w:val="none"/>
        </w:rPr>
        <w:t>出现工程量清单错误时，是否调整合同价格：</w:t>
      </w:r>
      <w:r>
        <w:rPr>
          <w:rFonts w:hint="eastAsia" w:ascii="宋体" w:hAnsi="宋体" w:cs="宋体"/>
          <w:b/>
          <w:color w:val="auto"/>
          <w:highlight w:val="none"/>
          <w:u w:val="single"/>
        </w:rPr>
        <w:t xml:space="preserve"> 是，具体调整方式见下款  </w:t>
      </w:r>
      <w:r>
        <w:rPr>
          <w:rFonts w:hint="eastAsia" w:ascii="宋体" w:hAnsi="宋体" w:cs="宋体"/>
          <w:bCs/>
          <w:color w:val="auto"/>
          <w:highlight w:val="none"/>
        </w:rPr>
        <w:t xml:space="preserve"> 。</w:t>
      </w:r>
    </w:p>
    <w:p w14:paraId="2976F1DD">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允许调整合同价格的工程量偏差范围：</w:t>
      </w:r>
      <w:r>
        <w:rPr>
          <w:rFonts w:hint="eastAsia" w:ascii="宋体" w:hAnsi="宋体" w:cs="宋体"/>
          <w:color w:val="auto"/>
          <w:highlight w:val="none"/>
          <w:u w:val="single"/>
        </w:rPr>
        <w:t>工程量按实计量，结算工程量减少 0-100%或增加 15%以内部分，执行中标单价；超出 15％以外部分的，若中标综合单价高于（最高投标限价中综合单价×投标让利幅度）时，按（最高投标限价中综合单价×投标让利幅度）计算；若中标综合单价低于（最高投标限价中综合单价×投标让利幅度）时，执行中标单价(组价明显错误的予以纠正） 。新增项目单价按照最高投标限价的编制原则重新组价×投标让利幅度，重新组价价格最终以审计部门审核结算价为准。注：投标让利幅度为中标价/最高投标限价，其中中标价和最高投标限价均扣除暂定金额、暂估价。</w:t>
      </w:r>
    </w:p>
    <w:p w14:paraId="537B78F8">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u w:val="single"/>
        </w:rPr>
        <w:t>技术措施费调整：由于承包人改变施工技术措施，造成的价格变动，措施费不予调整。因发包人要求或工程量的增减必须改变原来施工技术措施，造成价格变动的，应扣减相应的原施工技术措施费后，按新增项目组价方式，进行措施费调整。由于分部分项清单工程量增减导致措施费用变化的，按实调整。</w:t>
      </w:r>
    </w:p>
    <w:p w14:paraId="34EF6C1B">
      <w:pPr>
        <w:adjustRightInd w:val="0"/>
        <w:snapToGrid w:val="0"/>
        <w:spacing w:line="384" w:lineRule="auto"/>
        <w:ind w:firstLine="420" w:firstLineChars="200"/>
        <w:rPr>
          <w:rFonts w:hint="eastAsia"/>
          <w:color w:val="auto"/>
          <w:highlight w:val="none"/>
          <w:lang w:val="en-US" w:eastAsia="zh-CN"/>
        </w:rPr>
      </w:pPr>
      <w:r>
        <w:rPr>
          <w:rFonts w:hint="eastAsia" w:ascii="宋体" w:hAnsi="宋体" w:cs="宋体"/>
          <w:color w:val="auto"/>
          <w:highlight w:val="none"/>
          <w:u w:val="single"/>
        </w:rPr>
        <w:tab/>
      </w:r>
      <w:r>
        <w:rPr>
          <w:rFonts w:hint="eastAsia" w:ascii="宋体" w:hAnsi="宋体" w:cs="宋体"/>
          <w:color w:val="auto"/>
          <w:highlight w:val="none"/>
          <w:u w:val="single"/>
        </w:rPr>
        <w:t xml:space="preserve">组织措施费调整： 由于分部分项清单工程量增减导致措施费用变化的，按实调整 </w:t>
      </w:r>
    </w:p>
    <w:p w14:paraId="7952BFDF">
      <w:pPr>
        <w:keepNext/>
        <w:keepLines/>
        <w:adjustRightInd w:val="0"/>
        <w:snapToGrid w:val="0"/>
        <w:spacing w:line="384" w:lineRule="auto"/>
        <w:jc w:val="left"/>
        <w:outlineLvl w:val="2"/>
        <w:rPr>
          <w:rFonts w:hint="eastAsia" w:ascii="宋体" w:hAnsi="宋体" w:cs="宋体"/>
          <w:bCs/>
          <w:color w:val="auto"/>
          <w:sz w:val="24"/>
          <w:highlight w:val="none"/>
        </w:rPr>
      </w:pPr>
      <w:bookmarkStart w:id="742" w:name="_Toc351203634"/>
      <w:bookmarkStart w:id="743" w:name="_Toc95223463"/>
      <w:r>
        <w:rPr>
          <w:rFonts w:hint="eastAsia" w:ascii="宋体" w:hAnsi="宋体" w:cs="宋体"/>
          <w:bCs/>
          <w:color w:val="auto"/>
          <w:sz w:val="24"/>
          <w:highlight w:val="none"/>
        </w:rPr>
        <w:t>2</w:t>
      </w:r>
      <w:bookmarkStart w:id="744" w:name="_Toc296347156"/>
      <w:bookmarkStart w:id="745" w:name="_Toc296503157"/>
      <w:bookmarkStart w:id="746" w:name="_Toc297048343"/>
      <w:bookmarkStart w:id="747" w:name="_Toc296346658"/>
      <w:bookmarkStart w:id="748" w:name="_Toc296890985"/>
      <w:bookmarkStart w:id="749" w:name="_Toc297120457"/>
      <w:bookmarkStart w:id="750" w:name="_Toc296891197"/>
      <w:bookmarkStart w:id="751" w:name="_Toc292559867"/>
      <w:bookmarkStart w:id="752" w:name="_Toc292559362"/>
      <w:bookmarkStart w:id="753" w:name="_Toc296944496"/>
      <w:r>
        <w:rPr>
          <w:rFonts w:hint="eastAsia" w:ascii="宋体" w:hAnsi="宋体" w:cs="宋体"/>
          <w:bCs/>
          <w:color w:val="auto"/>
          <w:sz w:val="24"/>
          <w:highlight w:val="none"/>
        </w:rPr>
        <w:t>. 发包人</w:t>
      </w:r>
      <w:bookmarkEnd w:id="742"/>
      <w:bookmarkEnd w:id="743"/>
    </w:p>
    <w:bookmarkEnd w:id="744"/>
    <w:bookmarkEnd w:id="745"/>
    <w:bookmarkEnd w:id="746"/>
    <w:bookmarkEnd w:id="747"/>
    <w:bookmarkEnd w:id="748"/>
    <w:bookmarkEnd w:id="749"/>
    <w:bookmarkEnd w:id="750"/>
    <w:bookmarkEnd w:id="751"/>
    <w:bookmarkEnd w:id="752"/>
    <w:bookmarkEnd w:id="753"/>
    <w:p w14:paraId="54738092">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2.2 发包人代表</w:t>
      </w:r>
    </w:p>
    <w:p w14:paraId="23D003DC">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发包人代表：</w:t>
      </w:r>
    </w:p>
    <w:p w14:paraId="69C05F9F">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姓    名：</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1A20AA3D">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身份证号：</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4E6747AA">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职    务：</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single"/>
        </w:rPr>
        <w:t> </w:t>
      </w:r>
      <w:r>
        <w:rPr>
          <w:rFonts w:hint="eastAsia" w:ascii="宋体" w:hAnsi="宋体" w:cs="宋体"/>
          <w:color w:val="auto"/>
          <w:highlight w:val="none"/>
        </w:rPr>
        <w:t>；</w:t>
      </w:r>
    </w:p>
    <w:p w14:paraId="05DCDB9A">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联系电话：</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7DFE833F">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电子信箱：</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CB228CD">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通信地址：</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040C15B6">
      <w:pPr>
        <w:adjustRightInd w:val="0"/>
        <w:snapToGrid w:val="0"/>
        <w:spacing w:line="384" w:lineRule="auto"/>
        <w:ind w:firstLine="420" w:firstLineChars="200"/>
        <w:rPr>
          <w:rFonts w:hint="eastAsia" w:ascii="宋体" w:hAnsi="宋体" w:cs="宋体"/>
          <w:b/>
          <w:color w:val="auto"/>
          <w:highlight w:val="none"/>
        </w:rPr>
      </w:pPr>
      <w:r>
        <w:rPr>
          <w:rFonts w:hint="eastAsia" w:ascii="宋体" w:hAnsi="宋体" w:cs="宋体"/>
          <w:color w:val="auto"/>
          <w:highlight w:val="none"/>
        </w:rPr>
        <w:t>发包人对发包人代表的授权范围如下：</w:t>
      </w:r>
      <w:r>
        <w:rPr>
          <w:rFonts w:hint="eastAsia" w:ascii="宋体" w:hAnsi="宋体" w:eastAsia="宋体" w:cs="宋体"/>
          <w:color w:val="auto"/>
          <w:szCs w:val="21"/>
          <w:highlight w:val="none"/>
          <w:u w:val="single"/>
        </w:rPr>
        <w:t>施工组织设计和总进度计划的审批权和调整权；人员在岗、工程进度、质量、安全、环保的监督检查权和建议处罚权；工程款的初步审查权；第三方检测的委托权；主要材料的质量否决权；工程量的确认权；工程变更签证的审核权；可调价格材料的价格确认权；工程结算的审核权；合同的解释；等等</w:t>
      </w:r>
    </w:p>
    <w:p w14:paraId="478E9AC3">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2.4 施工现场、施工条件和基础资料的提供</w:t>
      </w:r>
    </w:p>
    <w:p w14:paraId="1924BFD8">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2.4.1 提供施工现场</w:t>
      </w:r>
    </w:p>
    <w:p w14:paraId="667BAE3B">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关于发包人移交施工现场的期限要求：</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开工前</w:t>
      </w:r>
      <w:r>
        <w:rPr>
          <w:rFonts w:hint="eastAsia" w:ascii="宋体" w:hAnsi="宋体" w:cs="宋体"/>
          <w:color w:val="auto"/>
          <w:szCs w:val="21"/>
          <w:highlight w:val="none"/>
          <w:u w:val="single"/>
        </w:rPr>
        <w:t xml:space="preserve">   </w:t>
      </w:r>
      <w:r>
        <w:rPr>
          <w:rFonts w:hint="eastAsia" w:ascii="宋体" w:hAnsi="宋体" w:cs="宋体"/>
          <w:color w:val="auto"/>
          <w:highlight w:val="none"/>
        </w:rPr>
        <w:t>。</w:t>
      </w:r>
    </w:p>
    <w:p w14:paraId="7C40FF59">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2.4.2 提供施工条件</w:t>
      </w:r>
    </w:p>
    <w:p w14:paraId="3EC07D34">
      <w:pPr>
        <w:adjustRightInd w:val="0"/>
        <w:snapToGrid w:val="0"/>
        <w:spacing w:line="384" w:lineRule="auto"/>
        <w:ind w:firstLine="420" w:firstLineChars="200"/>
        <w:rPr>
          <w:rFonts w:hint="eastAsia" w:ascii="宋体" w:hAnsi="宋体" w:eastAsia="宋体" w:cs="宋体"/>
          <w:color w:val="auto"/>
          <w:kern w:val="0"/>
          <w:szCs w:val="21"/>
          <w:highlight w:val="none"/>
          <w:u w:val="single"/>
          <w:lang w:val="en-US" w:eastAsia="zh-CN"/>
        </w:rPr>
      </w:pPr>
      <w:r>
        <w:rPr>
          <w:rFonts w:hint="eastAsia" w:ascii="宋体" w:hAnsi="宋体" w:cs="宋体"/>
          <w:color w:val="auto"/>
          <w:highlight w:val="none"/>
        </w:rPr>
        <w:t>关于发包人应负责提供施工所需要的条件，包括</w:t>
      </w:r>
      <w:r>
        <w:rPr>
          <w:rFonts w:hint="eastAsia" w:ascii="宋体" w:hAnsi="宋体" w:eastAsia="宋体" w:cs="宋体"/>
          <w:color w:val="auto"/>
          <w:szCs w:val="21"/>
          <w:highlight w:val="none"/>
          <w:u w:val="single"/>
        </w:rPr>
        <w:t>（1）将施工用水、电力、通讯线路等施工所必需的条件接至施工现场内；（2）保证向承包人提供正常施工所需要的进入施工现场的交通条件；（3）协调处理施工现场周围地下管线和邻近建筑物、构筑物、古树名木的保护工作，并承担相关费用。若上述费用已包含在本项目发包范围，则由承包人自行解决并承担费用</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u w:val="single"/>
          <w:lang w:val="en-US" w:eastAsia="zh-CN"/>
        </w:rPr>
        <w:t>.</w:t>
      </w:r>
    </w:p>
    <w:p w14:paraId="50EF4E32">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2.5 资金来源证明及支付担保</w:t>
      </w:r>
    </w:p>
    <w:p w14:paraId="63D0172D">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发包人提供资金来源证明及资金安排的期限要求：在取得施工许可证的</w:t>
      </w:r>
      <w:r>
        <w:rPr>
          <w:rFonts w:hint="eastAsia" w:ascii="宋体" w:hAnsi="宋体" w:cs="宋体"/>
          <w:color w:val="auto"/>
          <w:highlight w:val="none"/>
          <w:lang w:val="en-US" w:eastAsia="zh-CN"/>
        </w:rPr>
        <w:t>3</w:t>
      </w:r>
      <w:r>
        <w:rPr>
          <w:rFonts w:hint="eastAsia" w:ascii="宋体" w:hAnsi="宋体" w:cs="宋体"/>
          <w:color w:val="auto"/>
          <w:highlight w:val="none"/>
        </w:rPr>
        <w:t>个月内办结工程款支付担保。施工单位在收到工程款支付担保后</w:t>
      </w:r>
      <w:r>
        <w:rPr>
          <w:rFonts w:hint="eastAsia" w:ascii="宋体" w:hAnsi="宋体" w:cs="宋体"/>
          <w:color w:val="auto"/>
          <w:highlight w:val="none"/>
          <w:lang w:val="en-US" w:eastAsia="zh-CN"/>
        </w:rPr>
        <w:t>3</w:t>
      </w:r>
      <w:r>
        <w:rPr>
          <w:rFonts w:hint="eastAsia" w:ascii="宋体" w:hAnsi="宋体" w:cs="宋体"/>
          <w:color w:val="auto"/>
          <w:highlight w:val="none"/>
        </w:rPr>
        <w:t>日内将相关资料上传至至项目所在地农民工工资支付监管平台，未按时按承诺提交工程款支付担保的工程建设项目，将视作建设资金未落实。</w:t>
      </w:r>
    </w:p>
    <w:p w14:paraId="11E8626D">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发包人是否提供支付担保：</w:t>
      </w:r>
      <w:r>
        <w:rPr>
          <w:rFonts w:hint="eastAsia" w:ascii="宋体" w:hAnsi="宋体" w:cs="宋体"/>
          <w:b/>
          <w:color w:val="auto"/>
          <w:highlight w:val="none"/>
        </w:rPr>
        <w:t>提供支付担保</w:t>
      </w:r>
      <w:r>
        <w:rPr>
          <w:rFonts w:hint="eastAsia" w:ascii="宋体" w:hAnsi="宋体" w:cs="宋体"/>
          <w:color w:val="auto"/>
          <w:highlight w:val="none"/>
        </w:rPr>
        <w:t>。</w:t>
      </w:r>
    </w:p>
    <w:p w14:paraId="50761BCF">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发包人提供支付担保的形式：工程款支付担保可以采用银行保函、保证保险、工程担保公司担保等方式。银行保函、保证保险和工程担保保单应当为不可撤销的保证。发包人应当向承包人提供签约合同价8%的工程款支付担保。</w:t>
      </w:r>
    </w:p>
    <w:p w14:paraId="7BF25535">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对于政府投资的工程建设项目，发包人可以提供财政等政府有权部门出具的落实项目建设资金保障证明作为工程款支付担保凭证。工程款支付担保保证期限原则上应与施工合同约定的期限保持一致（采用分阶段担保的，建设单位支付相应的工程款后，当期工程款支付担保解除，进入下一阶段工程款支付担保）。施工工期延期的，建设单位应在保证期限到期前 30 天，办理保函、保单延期手续。</w:t>
      </w:r>
    </w:p>
    <w:p w14:paraId="3DFBBAFF">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工程款支付担保保证有效期内，建设单位未按照规定向农民工工资专用账户拨付工资性工程款或者未按照合同约定支付施工进度款的，施工总承包企业（包括专业承包企业，下同）可以要求保证人履行保证责任，同时将拖欠信息报送工程所在地住房城乡建设主管部门和人力资源社会保障主管部门。</w:t>
      </w:r>
    </w:p>
    <w:p w14:paraId="35AF919B">
      <w:pPr>
        <w:pStyle w:val="19"/>
        <w:ind w:left="0" w:leftChars="0"/>
        <w:rPr>
          <w:rFonts w:hint="eastAsia"/>
          <w:color w:val="auto"/>
          <w:highlight w:val="none"/>
        </w:rPr>
      </w:pPr>
      <w:r>
        <w:rPr>
          <w:rFonts w:hint="eastAsia"/>
          <w:color w:val="auto"/>
          <w:highlight w:val="none"/>
        </w:rPr>
        <w:t>在我省开展工程款支付担保业务的保证人应向有关主管部门提供担保凭证网络验证途径。</w:t>
      </w:r>
    </w:p>
    <w:p w14:paraId="0BF4655B">
      <w:pPr>
        <w:keepNext/>
        <w:keepLines/>
        <w:adjustRightInd w:val="0"/>
        <w:snapToGrid w:val="0"/>
        <w:spacing w:line="384" w:lineRule="auto"/>
        <w:jc w:val="left"/>
        <w:outlineLvl w:val="2"/>
        <w:rPr>
          <w:rFonts w:hint="eastAsia" w:ascii="宋体" w:hAnsi="宋体" w:cs="宋体"/>
          <w:bCs/>
          <w:color w:val="auto"/>
          <w:sz w:val="24"/>
          <w:highlight w:val="none"/>
        </w:rPr>
      </w:pPr>
      <w:bookmarkStart w:id="754" w:name="_Toc351203635"/>
      <w:bookmarkStart w:id="755" w:name="_Toc95223464"/>
      <w:r>
        <w:rPr>
          <w:rFonts w:hint="eastAsia" w:ascii="宋体" w:hAnsi="宋体" w:cs="宋体"/>
          <w:bCs/>
          <w:color w:val="auto"/>
          <w:sz w:val="24"/>
          <w:highlight w:val="none"/>
        </w:rPr>
        <w:t>3</w:t>
      </w:r>
      <w:bookmarkStart w:id="756" w:name="_Toc292559363"/>
      <w:bookmarkStart w:id="757" w:name="_Toc296944497"/>
      <w:bookmarkStart w:id="758" w:name="_Toc296890986"/>
      <w:bookmarkStart w:id="759" w:name="_Toc292559868"/>
      <w:bookmarkStart w:id="760" w:name="_Toc296503158"/>
      <w:bookmarkStart w:id="761" w:name="_Toc297048344"/>
      <w:bookmarkStart w:id="762" w:name="_Toc296347157"/>
      <w:bookmarkStart w:id="763" w:name="_Toc296891198"/>
      <w:bookmarkStart w:id="764" w:name="_Toc297120458"/>
      <w:bookmarkStart w:id="765" w:name="_Toc296346659"/>
      <w:r>
        <w:rPr>
          <w:rFonts w:hint="eastAsia" w:ascii="宋体" w:hAnsi="宋体" w:cs="宋体"/>
          <w:bCs/>
          <w:color w:val="auto"/>
          <w:sz w:val="24"/>
          <w:highlight w:val="none"/>
        </w:rPr>
        <w:t>. 承包人</w:t>
      </w:r>
      <w:bookmarkEnd w:id="754"/>
      <w:bookmarkEnd w:id="755"/>
    </w:p>
    <w:bookmarkEnd w:id="756"/>
    <w:bookmarkEnd w:id="757"/>
    <w:bookmarkEnd w:id="758"/>
    <w:bookmarkEnd w:id="759"/>
    <w:bookmarkEnd w:id="760"/>
    <w:bookmarkEnd w:id="761"/>
    <w:bookmarkEnd w:id="762"/>
    <w:bookmarkEnd w:id="763"/>
    <w:bookmarkEnd w:id="764"/>
    <w:bookmarkEnd w:id="765"/>
    <w:p w14:paraId="5536FCEB">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3.1 承包人的一般义务</w:t>
      </w:r>
    </w:p>
    <w:p w14:paraId="4EE39833">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kern w:val="0"/>
          <w:highlight w:val="none"/>
        </w:rPr>
        <w:t>（9）</w:t>
      </w:r>
      <w:r>
        <w:rPr>
          <w:rFonts w:hint="eastAsia" w:ascii="宋体" w:hAnsi="宋体" w:cs="宋体"/>
          <w:color w:val="auto"/>
          <w:highlight w:val="none"/>
        </w:rPr>
        <w:t>承包人提交的竣工资料的内容：</w:t>
      </w:r>
      <w:r>
        <w:rPr>
          <w:rFonts w:hint="eastAsia" w:ascii="宋体" w:hAnsi="宋体" w:cs="宋体"/>
          <w:color w:val="auto"/>
          <w:szCs w:val="21"/>
          <w:highlight w:val="none"/>
          <w:u w:val="single"/>
        </w:rPr>
        <w:t>承包人提供全套竣工图，所有竣工图应为新图纸</w:t>
      </w:r>
      <w:r>
        <w:rPr>
          <w:rFonts w:hint="eastAsia" w:ascii="宋体" w:hAnsi="宋体" w:cs="宋体"/>
          <w:color w:val="auto"/>
          <w:highlight w:val="none"/>
        </w:rPr>
        <w:t>。</w:t>
      </w:r>
    </w:p>
    <w:p w14:paraId="078C8615">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承包人需要提交的竣工资料套数：</w:t>
      </w:r>
      <w:r>
        <w:rPr>
          <w:rFonts w:hint="eastAsia" w:ascii="宋体" w:hAnsi="宋体" w:cs="宋体"/>
          <w:color w:val="auto"/>
          <w:szCs w:val="21"/>
          <w:highlight w:val="none"/>
          <w:u w:val="single"/>
        </w:rPr>
        <w:t xml:space="preserve"> 按市档案馆要求执行  </w:t>
      </w:r>
      <w:r>
        <w:rPr>
          <w:rFonts w:hint="eastAsia" w:ascii="宋体" w:hAnsi="宋体" w:cs="宋体"/>
          <w:color w:val="auto"/>
          <w:highlight w:val="none"/>
        </w:rPr>
        <w:t>。</w:t>
      </w:r>
    </w:p>
    <w:p w14:paraId="3454766E">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承包人提交的竣工资料的费用承担：</w:t>
      </w:r>
      <w:r>
        <w:rPr>
          <w:rFonts w:hint="eastAsia" w:ascii="宋体" w:hAnsi="宋体" w:cs="宋体"/>
          <w:color w:val="auto"/>
          <w:szCs w:val="21"/>
          <w:highlight w:val="none"/>
          <w:u w:val="single"/>
        </w:rPr>
        <w:t xml:space="preserve">承包人承担           </w:t>
      </w:r>
      <w:r>
        <w:rPr>
          <w:rFonts w:hint="eastAsia" w:ascii="宋体" w:hAnsi="宋体" w:cs="宋体"/>
          <w:color w:val="auto"/>
          <w:highlight w:val="none"/>
        </w:rPr>
        <w:t>。</w:t>
      </w:r>
    </w:p>
    <w:p w14:paraId="47444B0E">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承包人提交的竣工资料移交时间：</w:t>
      </w:r>
      <w:r>
        <w:rPr>
          <w:rFonts w:hint="eastAsia" w:ascii="宋体" w:hAnsi="宋体" w:cs="宋体"/>
          <w:color w:val="auto"/>
          <w:highlight w:val="none"/>
          <w:u w:val="single"/>
        </w:rPr>
        <w:t xml:space="preserve"> </w:t>
      </w:r>
      <w:r>
        <w:rPr>
          <w:rFonts w:hint="eastAsia" w:ascii="宋体" w:hAnsi="宋体" w:cs="宋体"/>
          <w:color w:val="auto"/>
          <w:szCs w:val="21"/>
          <w:highlight w:val="none"/>
          <w:u w:val="single"/>
        </w:rPr>
        <w:t>工程竣工验收合格后</w:t>
      </w:r>
      <w:r>
        <w:rPr>
          <w:rFonts w:hint="eastAsia" w:ascii="宋体" w:hAnsi="宋体" w:cs="宋体"/>
          <w:color w:val="auto"/>
          <w:szCs w:val="21"/>
          <w:highlight w:val="none"/>
          <w:u w:val="single"/>
          <w:lang w:val="en-US" w:eastAsia="zh-CN"/>
        </w:rPr>
        <w:t>3</w:t>
      </w:r>
      <w:r>
        <w:rPr>
          <w:rFonts w:hint="eastAsia" w:ascii="宋体" w:hAnsi="宋体" w:cs="宋体"/>
          <w:color w:val="auto"/>
          <w:szCs w:val="21"/>
          <w:highlight w:val="none"/>
          <w:u w:val="single"/>
        </w:rPr>
        <w:t>个月内</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74B62EA4">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承包人提交的竣工资料形式要求：</w:t>
      </w:r>
      <w:r>
        <w:rPr>
          <w:rFonts w:hint="eastAsia" w:ascii="宋体" w:hAnsi="宋体" w:cs="宋体"/>
          <w:color w:val="auto"/>
          <w:highlight w:val="none"/>
          <w:u w:val="single"/>
        </w:rPr>
        <w:t xml:space="preserve">   </w:t>
      </w:r>
      <w:r>
        <w:rPr>
          <w:rFonts w:hint="eastAsia" w:ascii="宋体" w:hAnsi="宋体" w:cs="宋体"/>
          <w:color w:val="auto"/>
          <w:szCs w:val="21"/>
          <w:highlight w:val="none"/>
          <w:u w:val="single"/>
        </w:rPr>
        <w:t>按市档案馆要求执行</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0F96F24E">
      <w:pPr>
        <w:adjustRightInd w:val="0"/>
        <w:snapToGrid w:val="0"/>
        <w:spacing w:line="384" w:lineRule="auto"/>
        <w:ind w:firstLine="420" w:firstLineChars="200"/>
        <w:rPr>
          <w:rFonts w:hint="eastAsia" w:ascii="宋体" w:hAnsi="宋体" w:cs="宋体"/>
          <w:color w:val="auto"/>
          <w:szCs w:val="21"/>
          <w:highlight w:val="none"/>
          <w:u w:val="single"/>
        </w:rPr>
      </w:pPr>
      <w:r>
        <w:rPr>
          <w:rFonts w:hint="eastAsia" w:ascii="宋体" w:hAnsi="宋体" w:cs="宋体"/>
          <w:color w:val="auto"/>
          <w:kern w:val="0"/>
          <w:highlight w:val="none"/>
        </w:rPr>
        <w:t>（10）承包人应履行的其他义务：</w:t>
      </w:r>
      <w:r>
        <w:rPr>
          <w:rFonts w:hint="eastAsia" w:ascii="宋体" w:hAnsi="宋体" w:cs="宋体"/>
          <w:color w:val="auto"/>
          <w:szCs w:val="21"/>
          <w:highlight w:val="none"/>
          <w:u w:val="single"/>
        </w:rPr>
        <w:t xml:space="preserve"> a.包括但不限于场地三通一平（或五通一平，如需），费用由承包人承担。  </w:t>
      </w:r>
    </w:p>
    <w:p w14:paraId="53DDF80A">
      <w:pPr>
        <w:adjustRightInd w:val="0"/>
        <w:snapToGrid w:val="0"/>
        <w:spacing w:line="384"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u w:val="single"/>
        </w:rPr>
        <w:t>b.承包人在各自施工区域围挡自成系统。公共道路及冲洗平台由承包人提供，承包人不得因其他人使用公共道路及冲洗平台而收取任何费用。</w:t>
      </w:r>
    </w:p>
    <w:p w14:paraId="359B73D7">
      <w:pPr>
        <w:adjustRightInd w:val="0"/>
        <w:snapToGrid w:val="0"/>
        <w:spacing w:line="384"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u w:val="single"/>
        </w:rPr>
        <w:t>c.若施工过程中根据发包人需要调整施工供水管线走向，承包人须按发包人指令更改供水管线走向，由此产生的费用已包含在合同价款中，发包人不另行支付。</w:t>
      </w:r>
    </w:p>
    <w:p w14:paraId="71891BD4">
      <w:pPr>
        <w:adjustRightInd w:val="0"/>
        <w:snapToGrid w:val="0"/>
        <w:spacing w:line="384"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u w:val="single"/>
        </w:rPr>
        <w:t xml:space="preserve">d.发包人代表有权就其他未尽事宜或临时发生的计划发出指令，承包人须积极配合执行，除有设计变更增加费用外，其他费用不予增加。  </w:t>
      </w:r>
    </w:p>
    <w:p w14:paraId="7E1AAC64">
      <w:pPr>
        <w:adjustRightInd w:val="0"/>
        <w:snapToGrid w:val="0"/>
        <w:spacing w:line="384"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u w:val="single"/>
        </w:rPr>
        <w:t>e.承包人在领取中标通知书后必须配合办理相关报建手续、施工许可证；因承包人原因导致报建手续、施工许可证办理拖延，每拖延一天处以</w:t>
      </w:r>
      <w:r>
        <w:rPr>
          <w:rFonts w:hint="eastAsia" w:ascii="宋体" w:hAnsi="宋体" w:cs="宋体"/>
          <w:color w:val="auto"/>
          <w:szCs w:val="21"/>
          <w:highlight w:val="none"/>
          <w:u w:val="single"/>
          <w:lang w:val="en-US" w:eastAsia="zh-CN"/>
        </w:rPr>
        <w:t>5000</w:t>
      </w:r>
      <w:r>
        <w:rPr>
          <w:rFonts w:hint="eastAsia" w:ascii="宋体" w:hAnsi="宋体" w:cs="宋体"/>
          <w:color w:val="auto"/>
          <w:szCs w:val="21"/>
          <w:highlight w:val="none"/>
          <w:u w:val="single"/>
        </w:rPr>
        <w:t>元违约金。</w:t>
      </w:r>
    </w:p>
    <w:p w14:paraId="3A6A5FB0">
      <w:pPr>
        <w:adjustRightInd w:val="0"/>
        <w:snapToGrid w:val="0"/>
        <w:spacing w:line="384"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u w:val="single"/>
        </w:rPr>
        <w:t xml:space="preserve">f.承包人应按要求建立电子脸谱考勤系统，并接入行业主管部门或项目单位的监管系统。  </w:t>
      </w:r>
    </w:p>
    <w:p w14:paraId="0A234AC6">
      <w:pPr>
        <w:adjustRightInd w:val="0"/>
        <w:snapToGrid w:val="0"/>
        <w:spacing w:line="384"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u w:val="single"/>
        </w:rPr>
        <w:t xml:space="preserve">g.承包人应做好施工现场突发事件、公共事件的应急处置工作，并承担相应费用；若因承包人自身原因造成的相关损失及法律责任均由承包人承担。  </w:t>
      </w:r>
    </w:p>
    <w:p w14:paraId="2BAE268E">
      <w:pPr>
        <w:adjustRightInd w:val="0"/>
        <w:snapToGrid w:val="0"/>
        <w:spacing w:line="384" w:lineRule="auto"/>
        <w:ind w:firstLine="420" w:firstLineChars="200"/>
        <w:rPr>
          <w:rFonts w:hint="eastAsia" w:ascii="宋体" w:hAnsi="宋体" w:eastAsia="宋体" w:cs="宋体"/>
          <w:color w:val="auto"/>
          <w:szCs w:val="21"/>
          <w:highlight w:val="none"/>
          <w:u w:val="single"/>
        </w:rPr>
      </w:pPr>
      <w:r>
        <w:rPr>
          <w:rFonts w:hint="eastAsia" w:ascii="宋体" w:hAnsi="宋体" w:cs="宋体"/>
          <w:color w:val="auto"/>
          <w:szCs w:val="21"/>
          <w:highlight w:val="none"/>
          <w:u w:val="single"/>
        </w:rPr>
        <w:t xml:space="preserve">h.施工过程中，承包人应做好施工现场与小区住户、物业等的沟通协调工作，保障工程按期推进  </w:t>
      </w:r>
      <w:r>
        <w:rPr>
          <w:rFonts w:hint="eastAsia" w:ascii="宋体" w:hAnsi="宋体" w:cs="宋体"/>
          <w:color w:val="auto"/>
          <w:szCs w:val="21"/>
          <w:highlight w:val="none"/>
        </w:rPr>
        <w:t>。</w:t>
      </w:r>
    </w:p>
    <w:p w14:paraId="34849369">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3.2 项目经理</w:t>
      </w:r>
    </w:p>
    <w:p w14:paraId="3127D592">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kern w:val="0"/>
          <w:highlight w:val="none"/>
        </w:rPr>
        <w:t xml:space="preserve">3.2.1 </w:t>
      </w:r>
      <w:r>
        <w:rPr>
          <w:rFonts w:hint="eastAsia" w:ascii="宋体" w:hAnsi="宋体" w:cs="宋体"/>
          <w:color w:val="auto"/>
          <w:highlight w:val="none"/>
        </w:rPr>
        <w:t>项目经理：</w:t>
      </w:r>
    </w:p>
    <w:p w14:paraId="75464B45">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姓    名：</w:t>
      </w:r>
      <w:r>
        <w:rPr>
          <w:rFonts w:hint="eastAsia" w:ascii="宋体" w:hAnsi="宋体" w:cs="宋体"/>
          <w:color w:val="auto"/>
          <w:highlight w:val="none"/>
          <w:u w:val="single"/>
        </w:rPr>
        <w:t>                                 </w:t>
      </w:r>
      <w:r>
        <w:rPr>
          <w:rFonts w:hint="eastAsia" w:ascii="宋体" w:hAnsi="宋体" w:cs="宋体"/>
          <w:color w:val="auto"/>
          <w:highlight w:val="none"/>
        </w:rPr>
        <w:t>；</w:t>
      </w:r>
    </w:p>
    <w:p w14:paraId="4A817502">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身份证号：</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162DE9BD">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建造师执业资格等级：</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1AA0659E">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建造师注册证书号：</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04B73A94">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建造师执业印章号：</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1E4FA106">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安全生产考核合格证书号：</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5CCAD56">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联系电话：</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9400057">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电子信箱：</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321C8747">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通信地址：</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1B1A0AF1">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承包人对项目经理的授权范围如下：</w:t>
      </w:r>
      <w:r>
        <w:rPr>
          <w:rFonts w:hint="eastAsia" w:ascii="宋体" w:hAnsi="宋体" w:cs="宋体"/>
          <w:color w:val="auto"/>
          <w:highlight w:val="none"/>
          <w:u w:val="single"/>
        </w:rPr>
        <w:t xml:space="preserve"> 代表承包人履行本合同项下各项权利和义务，具体范围由承包人在签订合同时以书面授权并提供给发包人</w:t>
      </w:r>
      <w:r>
        <w:rPr>
          <w:rFonts w:hint="eastAsia" w:ascii="宋体" w:hAnsi="宋体" w:cs="宋体"/>
          <w:color w:val="auto"/>
          <w:highlight w:val="none"/>
        </w:rPr>
        <w:t>。</w:t>
      </w:r>
    </w:p>
    <w:p w14:paraId="5936106F">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关于项目经理每月在施工现场的时间要求：</w:t>
      </w:r>
      <w:r>
        <w:rPr>
          <w:rFonts w:hint="eastAsia" w:ascii="宋体" w:hAnsi="宋体" w:eastAsia="宋体" w:cs="宋体"/>
          <w:color w:val="auto"/>
          <w:szCs w:val="21"/>
          <w:highlight w:val="none"/>
          <w:u w:val="single"/>
        </w:rPr>
        <w:t>项目</w:t>
      </w:r>
      <w:r>
        <w:rPr>
          <w:rFonts w:hint="eastAsia" w:ascii="宋体" w:hAnsi="宋体" w:eastAsia="宋体" w:cs="宋体"/>
          <w:color w:val="auto"/>
          <w:szCs w:val="21"/>
          <w:highlight w:val="none"/>
          <w:u w:val="single"/>
          <w:lang w:val="en-US" w:eastAsia="zh-CN"/>
        </w:rPr>
        <w:t>经理</w:t>
      </w:r>
      <w:r>
        <w:rPr>
          <w:rFonts w:hint="eastAsia" w:ascii="宋体" w:hAnsi="宋体" w:eastAsia="宋体" w:cs="宋体"/>
          <w:color w:val="auto"/>
          <w:szCs w:val="21"/>
          <w:highlight w:val="none"/>
          <w:u w:val="single"/>
        </w:rPr>
        <w:t>每月在岗时间不得少于</w:t>
      </w:r>
      <w:r>
        <w:rPr>
          <w:rFonts w:hint="eastAsia" w:ascii="宋体" w:hAnsi="宋体" w:cs="宋体"/>
          <w:color w:val="auto"/>
          <w:szCs w:val="21"/>
          <w:highlight w:val="none"/>
          <w:u w:val="single"/>
          <w:lang w:val="en-US" w:eastAsia="zh-CN"/>
        </w:rPr>
        <w:t>22</w:t>
      </w:r>
      <w:r>
        <w:rPr>
          <w:rFonts w:hint="eastAsia" w:ascii="宋体" w:hAnsi="宋体" w:eastAsia="宋体" w:cs="宋体"/>
          <w:color w:val="auto"/>
          <w:szCs w:val="21"/>
          <w:highlight w:val="none"/>
          <w:u w:val="single"/>
        </w:rPr>
        <w:t>天，每天不少于8小时</w:t>
      </w:r>
      <w:r>
        <w:rPr>
          <w:rFonts w:hint="eastAsia" w:ascii="宋体" w:hAnsi="宋体" w:cs="宋体"/>
          <w:color w:val="auto"/>
          <w:szCs w:val="21"/>
          <w:highlight w:val="none"/>
        </w:rPr>
        <w:t>。</w:t>
      </w:r>
      <w:r>
        <w:rPr>
          <w:rFonts w:hint="eastAsia" w:ascii="宋体" w:hAnsi="宋体" w:cs="宋体"/>
          <w:color w:val="auto"/>
          <w:highlight w:val="none"/>
        </w:rPr>
        <w:t xml:space="preserve"> </w:t>
      </w:r>
    </w:p>
    <w:p w14:paraId="63BB8C25">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承包人未提交劳动合同，以及没有为项目经理缴纳社会保险证明的违约责任：</w:t>
      </w:r>
      <w:r>
        <w:rPr>
          <w:rFonts w:hint="eastAsia" w:ascii="宋体" w:hAnsi="宋体" w:cs="宋体"/>
          <w:color w:val="auto"/>
          <w:highlight w:val="none"/>
          <w:u w:val="single"/>
        </w:rPr>
        <w:t xml:space="preserve"> 承包人未按要求递交项目经理劳动合同及提供社保证明，视同为允许他人以承包人名义承揽工程。发包人将依法上报有关部门追究承包人法律责任，发包人有权处以承包人违约金30万元。承包人需一次性向发包人现金转账支付违约金，否则发包人有权在进度款支付中扣除  </w:t>
      </w:r>
    </w:p>
    <w:p w14:paraId="4C0E7F25">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kern w:val="0"/>
          <w:highlight w:val="none"/>
        </w:rPr>
        <w:t>项目经理未经批准，擅自离开施工现场的违约责任：</w:t>
      </w:r>
      <w:r>
        <w:rPr>
          <w:rFonts w:hint="eastAsia" w:ascii="宋体" w:hAnsi="宋体" w:cs="宋体"/>
          <w:color w:val="auto"/>
          <w:szCs w:val="21"/>
          <w:highlight w:val="none"/>
          <w:u w:val="single"/>
        </w:rPr>
        <w:t>承包人未能按照承诺到岗尽职的，发包人将视情况严重程度对其作出相应处理，给予警告并发出整改通知。如仍未及时整改，发包人有权责令其停工整改、直至解除合同。发包人还将停止支付工程款项，扣留任何未付的工程进度款项补偿发包人的有关损失或工期延误的损失，并就此向承包人索赔。</w:t>
      </w:r>
    </w:p>
    <w:p w14:paraId="5B043EA0">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3.2.3 承包人擅自更换项目经理的违约责任：</w:t>
      </w:r>
    </w:p>
    <w:p w14:paraId="30035F9A">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szCs w:val="21"/>
          <w:highlight w:val="none"/>
          <w:u w:val="single"/>
        </w:rPr>
        <w:t>承包人不得擅自更换投标时所报项目经理,否则发包人有权解除合同，由此造成的损失由承包人自行承担，承包人还应赔偿由此造成发包人的全部损失。确需更换的须在签订合同后，报经发包人同意后按相关规定办理，</w:t>
      </w:r>
      <w:r>
        <w:rPr>
          <w:rFonts w:hint="eastAsia" w:ascii="宋体" w:hAnsi="宋体" w:cs="宋体"/>
          <w:b/>
          <w:bCs/>
          <w:color w:val="auto"/>
          <w:szCs w:val="21"/>
          <w:highlight w:val="none"/>
          <w:u w:val="single"/>
        </w:rPr>
        <w:t>并支付</w:t>
      </w:r>
      <w:r>
        <w:rPr>
          <w:rFonts w:hint="eastAsia" w:ascii="宋体" w:hAnsi="宋体" w:cs="宋体"/>
          <w:b/>
          <w:bCs/>
          <w:color w:val="auto"/>
          <w:szCs w:val="21"/>
          <w:highlight w:val="none"/>
          <w:u w:val="single"/>
          <w:lang w:val="en-US" w:eastAsia="zh-CN"/>
        </w:rPr>
        <w:t>30</w:t>
      </w:r>
      <w:r>
        <w:rPr>
          <w:rFonts w:hint="eastAsia" w:ascii="宋体" w:hAnsi="宋体" w:cs="宋体"/>
          <w:b/>
          <w:bCs/>
          <w:color w:val="auto"/>
          <w:szCs w:val="21"/>
          <w:highlight w:val="none"/>
          <w:u w:val="single"/>
        </w:rPr>
        <w:t>万元的违约金</w:t>
      </w:r>
      <w:r>
        <w:rPr>
          <w:rFonts w:hint="eastAsia" w:ascii="宋体" w:hAnsi="宋体" w:cs="宋体"/>
          <w:color w:val="auto"/>
          <w:szCs w:val="21"/>
          <w:highlight w:val="none"/>
          <w:u w:val="single"/>
        </w:rPr>
        <w:t>，更换后的人员不得低于承包人投标时所报人员资质和技术水平。</w:t>
      </w:r>
    </w:p>
    <w:p w14:paraId="30A790EF">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3.2.4 承包人无正当理由拒绝更换项目经理的违约责任：</w:t>
      </w:r>
      <w:r>
        <w:rPr>
          <w:rFonts w:hint="eastAsia" w:ascii="宋体" w:hAnsi="宋体" w:cs="宋体"/>
          <w:color w:val="auto"/>
          <w:highlight w:val="none"/>
          <w:u w:val="single"/>
        </w:rPr>
        <w:t>承包方项目经理（建造师）不满足岗位管理水平及技术水平等原因要求时，发包人和监理人可要求承包方更换，更换后人员不得低</w:t>
      </w:r>
      <w:r>
        <w:rPr>
          <w:rFonts w:hint="eastAsia" w:ascii="宋体" w:hAnsi="宋体" w:cs="宋体"/>
          <w:color w:val="auto"/>
          <w:highlight w:val="none"/>
          <w:u w:val="single"/>
          <w:lang w:val="en-US" w:eastAsia="zh-CN"/>
        </w:rPr>
        <w:t>于承包人投标时所报人员资质和技术水平，并经发包人书面认可，同时发包人对承包人处以人民币30万元违约金/人·次。如承包人拒不更换项目经理（建造师），发包人有权要求承包人退场 。</w:t>
      </w:r>
    </w:p>
    <w:p w14:paraId="1EB0B137">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3.3 承包人人员</w:t>
      </w:r>
    </w:p>
    <w:p w14:paraId="238E45ED">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3.3.1 承包人提交项目管理机构及施工现场管理人员安排报告的期限：</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签订合同时</w:t>
      </w:r>
      <w:r>
        <w:rPr>
          <w:rFonts w:hint="eastAsia" w:ascii="宋体" w:hAnsi="宋体" w:cs="宋体"/>
          <w:color w:val="auto"/>
          <w:szCs w:val="21"/>
          <w:highlight w:val="none"/>
          <w:u w:val="single"/>
        </w:rPr>
        <w:t xml:space="preserve">  </w:t>
      </w:r>
      <w:r>
        <w:rPr>
          <w:rFonts w:hint="eastAsia" w:ascii="宋体" w:hAnsi="宋体" w:cs="宋体"/>
          <w:color w:val="auto"/>
          <w:highlight w:val="none"/>
        </w:rPr>
        <w:t>。</w:t>
      </w:r>
    </w:p>
    <w:p w14:paraId="53C0D26B">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3.3.3 承包人无正当理由拒绝撤换主要施工管理人员的违约责任：</w:t>
      </w:r>
      <w:r>
        <w:rPr>
          <w:rFonts w:hint="eastAsia" w:ascii="宋体" w:hAnsi="宋体" w:cs="宋体"/>
          <w:color w:val="auto"/>
          <w:highlight w:val="none"/>
          <w:u w:val="single"/>
        </w:rPr>
        <w:t>发包人将组织对人员进行业务能力考核，对未按投标文件配备或经考核不合格要求更换人员的，承包人7日内必须整</w:t>
      </w:r>
      <w:r>
        <w:rPr>
          <w:rFonts w:hint="eastAsia" w:ascii="宋体" w:hAnsi="宋体" w:cs="宋体"/>
          <w:color w:val="auto"/>
          <w:highlight w:val="none"/>
          <w:u w:val="single"/>
          <w:lang w:val="en-US" w:eastAsia="zh-CN"/>
        </w:rPr>
        <w:t>改调整到位。对项目经理（建造师）和技术负责人处以5000元/人·天的违约金，对项目经理（建造师）和技术负责人以外的其他管理人员处以3000元/人 ·天的违约金。28日内未整改调整到位的，发包人有权终止合同，并提请相关行政主管部门对企业和人员进行“黑名单 ”处罚。发包人在施工进场第一个月或施工过程中发现承包人转包、挂靠等行为的，发包人立即解除合同，清退出场，承包人已完合格工程量按合同价款 60%进行结算</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A338651">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3.3.4 承包人主要施工管理人员离开施工现场的批准要求：</w:t>
      </w:r>
      <w:r>
        <w:rPr>
          <w:rFonts w:hint="eastAsia" w:ascii="宋体" w:hAnsi="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需离开时必须事先征得发包人和监理人同意后方可离开。</w:t>
      </w:r>
    </w:p>
    <w:p w14:paraId="5E6C902B">
      <w:pPr>
        <w:adjustRightInd w:val="0"/>
        <w:snapToGrid w:val="0"/>
        <w:spacing w:line="384" w:lineRule="auto"/>
        <w:ind w:firstLine="424" w:firstLineChars="202"/>
        <w:rPr>
          <w:rFonts w:hint="eastAsia"/>
          <w:color w:val="auto"/>
          <w:highlight w:val="none"/>
        </w:rPr>
      </w:pPr>
      <w:r>
        <w:rPr>
          <w:rFonts w:hint="eastAsia" w:ascii="宋体" w:hAnsi="宋体" w:cs="宋体"/>
          <w:color w:val="auto"/>
          <w:highlight w:val="none"/>
        </w:rPr>
        <w:t>3.3.5 承包人擅自更换主要施工管理人员的违约责任：</w:t>
      </w:r>
      <w:r>
        <w:rPr>
          <w:rFonts w:hint="eastAsia" w:ascii="宋体" w:hAnsi="宋体" w:cs="宋体"/>
          <w:color w:val="auto"/>
          <w:szCs w:val="21"/>
          <w:highlight w:val="none"/>
          <w:u w:val="single"/>
        </w:rPr>
        <w:t>承包人不得擅自更换主要管理人员,否则发包人有权解除合同，由此造成的损失由承包人自行承担，承包人还应赔偿由此造成发包人的全部损失。确需更换的须在签订合同后，报经发包人同意后按相关规定办理，</w:t>
      </w:r>
      <w:r>
        <w:rPr>
          <w:rFonts w:hint="eastAsia" w:ascii="宋体" w:hAnsi="宋体" w:cs="宋体"/>
          <w:b/>
          <w:bCs/>
          <w:color w:val="auto"/>
          <w:szCs w:val="21"/>
          <w:highlight w:val="none"/>
          <w:u w:val="single"/>
        </w:rPr>
        <w:t>并支付</w:t>
      </w:r>
      <w:r>
        <w:rPr>
          <w:rFonts w:hint="eastAsia" w:ascii="宋体" w:hAnsi="宋体" w:cs="宋体"/>
          <w:b/>
          <w:bCs/>
          <w:color w:val="auto"/>
          <w:szCs w:val="21"/>
          <w:highlight w:val="none"/>
          <w:u w:val="single"/>
          <w:lang w:val="en-US" w:eastAsia="zh-CN"/>
        </w:rPr>
        <w:t>20</w:t>
      </w:r>
      <w:r>
        <w:rPr>
          <w:rFonts w:hint="eastAsia" w:ascii="宋体" w:hAnsi="宋体" w:cs="宋体"/>
          <w:b/>
          <w:bCs/>
          <w:color w:val="auto"/>
          <w:szCs w:val="21"/>
          <w:highlight w:val="none"/>
          <w:u w:val="single"/>
        </w:rPr>
        <w:t>万元/人的违约金，</w:t>
      </w:r>
      <w:r>
        <w:rPr>
          <w:rFonts w:hint="eastAsia" w:ascii="宋体" w:hAnsi="宋体" w:cs="宋体"/>
          <w:color w:val="auto"/>
          <w:szCs w:val="21"/>
          <w:highlight w:val="none"/>
          <w:u w:val="single"/>
        </w:rPr>
        <w:t>更换后的人员不得低于承包人投标时所报人员资质和技术水平。发包人如认为有必要，可要求对上述人员中的部分人员作出更好的调整。</w:t>
      </w:r>
    </w:p>
    <w:p w14:paraId="0CC75C6B">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承包人主要施工管理人员擅自离开施工现场的违约责任：</w:t>
      </w:r>
      <w:r>
        <w:rPr>
          <w:rFonts w:hint="eastAsia" w:ascii="宋体" w:hAnsi="宋体" w:cs="宋体"/>
          <w:color w:val="auto"/>
          <w:highlight w:val="none"/>
          <w:u w:val="single"/>
        </w:rPr>
        <w:t>未按规定在岗履责的，对项目经理（建造师）和技术负责人处以</w:t>
      </w:r>
      <w:r>
        <w:rPr>
          <w:rFonts w:hint="eastAsia" w:ascii="宋体" w:hAnsi="宋体" w:cs="宋体"/>
          <w:color w:val="auto"/>
          <w:highlight w:val="none"/>
          <w:u w:val="single"/>
          <w:lang w:val="en-US" w:eastAsia="zh-CN"/>
        </w:rPr>
        <w:t>5000</w:t>
      </w:r>
      <w:r>
        <w:rPr>
          <w:rFonts w:hint="eastAsia" w:ascii="宋体" w:hAnsi="宋体" w:cs="宋体"/>
          <w:color w:val="auto"/>
          <w:highlight w:val="none"/>
          <w:u w:val="single"/>
        </w:rPr>
        <w:t>元/人·天的违约金，对项目经理（建造师）和技术负责外</w:t>
      </w:r>
      <w:r>
        <w:rPr>
          <w:rFonts w:hint="eastAsia" w:ascii="宋体" w:hAnsi="宋体" w:cs="宋体"/>
          <w:color w:val="auto"/>
          <w:highlight w:val="none"/>
          <w:u w:val="single"/>
          <w:lang w:val="en-US" w:eastAsia="zh-CN"/>
        </w:rPr>
        <w:t>以外的其他管理人员处以3000元/人·天的违约金</w:t>
      </w:r>
      <w:r>
        <w:rPr>
          <w:rFonts w:hint="eastAsia" w:ascii="宋体" w:hAnsi="宋体" w:cs="宋体"/>
          <w:color w:val="auto"/>
          <w:highlight w:val="none"/>
          <w:u w:val="single"/>
        </w:rPr>
        <w:t xml:space="preserve"> </w:t>
      </w:r>
    </w:p>
    <w:p w14:paraId="5FC017AF">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3</w:t>
      </w:r>
      <w:bookmarkStart w:id="766" w:name="_Toc303539102"/>
      <w:bookmarkStart w:id="767" w:name="_Toc297123492"/>
      <w:bookmarkStart w:id="768" w:name="_Toc296890987"/>
      <w:bookmarkStart w:id="769" w:name="_Toc296347158"/>
      <w:bookmarkStart w:id="770" w:name="_Toc297048345"/>
      <w:bookmarkStart w:id="771" w:name="_Toc296503159"/>
      <w:bookmarkStart w:id="772" w:name="_Toc296891199"/>
      <w:bookmarkStart w:id="773" w:name="_Toc300934945"/>
      <w:bookmarkStart w:id="774" w:name="_Toc304295523"/>
      <w:bookmarkStart w:id="775" w:name="_Toc292559869"/>
      <w:bookmarkStart w:id="776" w:name="_Toc296944498"/>
      <w:bookmarkStart w:id="777" w:name="_Toc292559364"/>
      <w:bookmarkStart w:id="778" w:name="_Toc297120459"/>
      <w:bookmarkStart w:id="779" w:name="_Toc296346660"/>
      <w:bookmarkStart w:id="780" w:name="_Toc297216151"/>
      <w:bookmarkStart w:id="781" w:name="_Toc312677988"/>
      <w:r>
        <w:rPr>
          <w:rFonts w:hint="eastAsia" w:ascii="宋体" w:hAnsi="宋体" w:cs="宋体"/>
          <w:bCs/>
          <w:color w:val="auto"/>
          <w:szCs w:val="28"/>
          <w:highlight w:val="none"/>
        </w:rPr>
        <w:t>.5 分包</w:t>
      </w:r>
    </w:p>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p w14:paraId="265E5863">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3</w:t>
      </w:r>
      <w:bookmarkStart w:id="782" w:name="_Toc304295524"/>
      <w:bookmarkStart w:id="783" w:name="_Toc296346661"/>
      <w:bookmarkStart w:id="784" w:name="_Toc292559870"/>
      <w:bookmarkStart w:id="785" w:name="_Toc296891200"/>
      <w:bookmarkStart w:id="786" w:name="_Toc292559365"/>
      <w:bookmarkStart w:id="787" w:name="_Toc297123493"/>
      <w:bookmarkStart w:id="788" w:name="_Toc297120460"/>
      <w:bookmarkStart w:id="789" w:name="_Toc300934946"/>
      <w:bookmarkStart w:id="790" w:name="_Toc296890988"/>
      <w:bookmarkStart w:id="791" w:name="_Toc297048346"/>
      <w:bookmarkStart w:id="792" w:name="_Toc296503160"/>
      <w:bookmarkStart w:id="793" w:name="_Toc303539103"/>
      <w:bookmarkStart w:id="794" w:name="_Toc297216152"/>
      <w:bookmarkStart w:id="795" w:name="_Toc296944499"/>
      <w:bookmarkStart w:id="796" w:name="_Toc296347159"/>
      <w:bookmarkStart w:id="797" w:name="_Toc318581158"/>
      <w:bookmarkStart w:id="798" w:name="_Toc312677989"/>
      <w:r>
        <w:rPr>
          <w:rFonts w:hint="eastAsia" w:ascii="宋体" w:hAnsi="宋体" w:cs="宋体"/>
          <w:color w:val="auto"/>
          <w:highlight w:val="none"/>
        </w:rPr>
        <w:t>.5.1 分包的一般约定</w:t>
      </w:r>
    </w:p>
    <w:p w14:paraId="712FFA46">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禁止分包的工程包括：</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 xml:space="preserve">    </w:t>
      </w:r>
      <w:r>
        <w:rPr>
          <w:rFonts w:hint="eastAsia" w:ascii="宋体" w:hAnsi="宋体" w:eastAsia="宋体" w:cs="宋体"/>
          <w:color w:val="auto"/>
          <w:szCs w:val="21"/>
          <w:highlight w:val="none"/>
          <w:u w:val="single"/>
          <w:lang w:val="en-US" w:eastAsia="zh-CN"/>
        </w:rPr>
        <w:t>按国家规定</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4A81DAF4">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主体结构、关键性工作的范围：</w:t>
      </w:r>
      <w:r>
        <w:rPr>
          <w:rFonts w:hint="eastAsia" w:ascii="宋体" w:hAnsi="宋体" w:eastAsia="宋体" w:cs="宋体"/>
          <w:color w:val="auto"/>
          <w:szCs w:val="21"/>
          <w:highlight w:val="none"/>
          <w:u w:val="single"/>
          <w:lang w:val="en-US" w:eastAsia="zh-CN"/>
        </w:rPr>
        <w:t>房建、水利工程为主体结构；市政工程为道路基层、面层；园林景观工程为绿化采购、栽植、养护。</w:t>
      </w:r>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Start w:id="799" w:name="_Toc297048347"/>
      <w:bookmarkStart w:id="800" w:name="_Toc296944500"/>
      <w:bookmarkStart w:id="801" w:name="_Toc296890989"/>
      <w:bookmarkStart w:id="802" w:name="_Toc303539104"/>
      <w:bookmarkStart w:id="803" w:name="_Toc296346662"/>
      <w:bookmarkStart w:id="804" w:name="_Toc296503161"/>
      <w:bookmarkStart w:id="805" w:name="_Toc297120461"/>
      <w:bookmarkStart w:id="806" w:name="_Toc304295525"/>
      <w:bookmarkStart w:id="807" w:name="_Toc296891201"/>
      <w:bookmarkStart w:id="808" w:name="_Toc297123494"/>
      <w:bookmarkStart w:id="809" w:name="_Toc300934947"/>
      <w:bookmarkStart w:id="810" w:name="_Toc297216153"/>
      <w:bookmarkStart w:id="811" w:name="_Toc296347160"/>
    </w:p>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p w14:paraId="06B20AC3">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3</w:t>
      </w:r>
      <w:bookmarkStart w:id="812" w:name="_Toc312677990"/>
      <w:bookmarkStart w:id="813" w:name="_Toc318581159"/>
      <w:r>
        <w:rPr>
          <w:rFonts w:hint="eastAsia" w:ascii="宋体" w:hAnsi="宋体" w:cs="宋体"/>
          <w:color w:val="auto"/>
          <w:highlight w:val="none"/>
        </w:rPr>
        <w:t>.5.2 分包的确定</w:t>
      </w:r>
    </w:p>
    <w:p w14:paraId="5DF228EF">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允许分包的专业工程包括：</w:t>
      </w:r>
      <w:r>
        <w:rPr>
          <w:rFonts w:hint="eastAsia" w:ascii="宋体" w:hAnsi="宋体" w:eastAsia="宋体" w:cs="宋体"/>
          <w:color w:val="auto"/>
          <w:szCs w:val="21"/>
          <w:highlight w:val="none"/>
          <w:u w:val="single"/>
          <w:lang w:val="en-US" w:eastAsia="zh-CN"/>
        </w:rPr>
        <w:t>主体结构、关键性工作的范围以外的专业工程</w:t>
      </w:r>
      <w:r>
        <w:rPr>
          <w:rFonts w:hint="eastAsia" w:ascii="宋体" w:hAnsi="宋体" w:cs="宋体"/>
          <w:color w:val="auto"/>
          <w:szCs w:val="21"/>
          <w:highlight w:val="none"/>
          <w:u w:val="single"/>
        </w:rPr>
        <w:t xml:space="preserve">  </w:t>
      </w:r>
      <w:r>
        <w:rPr>
          <w:rFonts w:hint="eastAsia" w:ascii="宋体" w:hAnsi="宋体" w:cs="宋体"/>
          <w:color w:val="auto"/>
          <w:highlight w:val="none"/>
        </w:rPr>
        <w:t>。</w:t>
      </w:r>
    </w:p>
    <w:p w14:paraId="44C05859">
      <w:pPr>
        <w:adjustRightInd w:val="0"/>
        <w:snapToGrid w:val="0"/>
        <w:spacing w:line="384" w:lineRule="auto"/>
        <w:ind w:firstLine="420" w:firstLineChars="200"/>
        <w:rPr>
          <w:rFonts w:hint="eastAsia" w:ascii="宋体" w:hAnsi="宋体" w:eastAsia="宋体" w:cs="宋体"/>
          <w:color w:val="auto"/>
          <w:highlight w:val="none"/>
          <w:u w:val="single"/>
          <w:lang w:val="en-US" w:eastAsia="zh-CN"/>
        </w:rPr>
      </w:pPr>
      <w:r>
        <w:rPr>
          <w:rFonts w:hint="eastAsia" w:ascii="宋体" w:hAnsi="宋体" w:cs="宋体"/>
          <w:color w:val="auto"/>
          <w:highlight w:val="none"/>
        </w:rPr>
        <w:t>其他关于分包的约定：</w:t>
      </w:r>
      <w:r>
        <w:rPr>
          <w:rFonts w:hint="eastAsia" w:ascii="宋体" w:hAnsi="宋体" w:cs="宋体"/>
          <w:color w:val="auto"/>
          <w:highlight w:val="none"/>
          <w:u w:val="single"/>
        </w:rPr>
        <w:t>承包人不得以劳务分包的名义转包或违法分包工程。发包人在施工进场第一个月或施工过程中发现承包人转包、挂靠等行为的，发包人立即解除合同，清退出场，承包人已完合格工程量按合同价款 60%进行结算</w:t>
      </w:r>
      <w:r>
        <w:rPr>
          <w:rFonts w:hint="eastAsia" w:ascii="宋体" w:hAnsi="宋体" w:cs="宋体"/>
          <w:color w:val="auto"/>
          <w:highlight w:val="none"/>
          <w:u w:val="single"/>
          <w:lang w:eastAsia="zh-CN"/>
        </w:rPr>
        <w:t>。</w:t>
      </w:r>
    </w:p>
    <w:p w14:paraId="5DD90193">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3.5.4 分包合同价款</w:t>
      </w:r>
    </w:p>
    <w:p w14:paraId="2DA08227">
      <w:pPr>
        <w:adjustRightInd w:val="0"/>
        <w:snapToGrid w:val="0"/>
        <w:spacing w:line="384" w:lineRule="auto"/>
        <w:ind w:firstLine="420" w:firstLineChars="200"/>
        <w:rPr>
          <w:rFonts w:hint="eastAsia" w:ascii="宋体" w:hAnsi="宋体" w:eastAsia="宋体" w:cs="宋体"/>
          <w:color w:val="auto"/>
          <w:highlight w:val="none"/>
          <w:lang w:eastAsia="zh-CN"/>
        </w:rPr>
      </w:pPr>
      <w:r>
        <w:rPr>
          <w:rFonts w:hint="eastAsia" w:ascii="宋体" w:hAnsi="宋体" w:cs="宋体"/>
          <w:color w:val="auto"/>
          <w:highlight w:val="none"/>
        </w:rPr>
        <w:t>关于分包合同价款支付的约定：</w:t>
      </w:r>
      <w:r>
        <w:rPr>
          <w:rFonts w:hint="eastAsia" w:ascii="宋体" w:hAnsi="宋体" w:cs="宋体"/>
          <w:color w:val="auto"/>
          <w:szCs w:val="21"/>
          <w:highlight w:val="none"/>
          <w:u w:val="single"/>
        </w:rPr>
        <w:t>（1）除本项第（2）和（3）条约定的情况外，分包合同价款由承包人与分包人结算，未经承包人同意，发包人不得向分包人支付分包工程价款；（2）生效法律文书要求发包人向分包人支付分包合同价款的，发包人有权从应付承包人工程款中扣除该部分款项 ；（3）恶意拖欠农民工工资，并经人力资源和社会保障部门核实的，发包人有权从应付承包人工程款中代付</w:t>
      </w:r>
      <w:r>
        <w:rPr>
          <w:rFonts w:hint="eastAsia" w:ascii="宋体" w:hAnsi="宋体" w:cs="宋体"/>
          <w:color w:val="auto"/>
          <w:szCs w:val="21"/>
          <w:highlight w:val="none"/>
          <w:u w:val="single"/>
          <w:lang w:eastAsia="zh-CN"/>
        </w:rPr>
        <w:t>。</w:t>
      </w:r>
    </w:p>
    <w:bookmarkEnd w:id="812"/>
    <w:bookmarkEnd w:id="813"/>
    <w:p w14:paraId="0DB1C049">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3.6 工程照管与成品、半成品保护</w:t>
      </w:r>
    </w:p>
    <w:p w14:paraId="12D76F91">
      <w:pPr>
        <w:adjustRightInd w:val="0"/>
        <w:snapToGrid w:val="0"/>
        <w:spacing w:line="384" w:lineRule="auto"/>
        <w:ind w:firstLine="420" w:firstLineChars="200"/>
        <w:rPr>
          <w:rFonts w:hint="eastAsia" w:ascii="宋体" w:hAnsi="宋体" w:cs="宋体"/>
          <w:color w:val="auto"/>
          <w:kern w:val="0"/>
          <w:highlight w:val="none"/>
          <w:u w:val="single"/>
        </w:rPr>
      </w:pPr>
      <w:r>
        <w:rPr>
          <w:rFonts w:hint="eastAsia" w:ascii="宋体" w:hAnsi="宋体" w:cs="宋体"/>
          <w:color w:val="auto"/>
          <w:kern w:val="0"/>
          <w:highlight w:val="none"/>
        </w:rPr>
        <w:t>承包人负责照管工程及工程相关的材料、工程设备的起始时间：</w:t>
      </w:r>
      <w:r>
        <w:rPr>
          <w:rFonts w:hint="eastAsia" w:ascii="宋体" w:hAnsi="宋体" w:cs="宋体"/>
          <w:color w:val="auto"/>
          <w:szCs w:val="21"/>
          <w:highlight w:val="none"/>
          <w:u w:val="single"/>
        </w:rPr>
        <w:t>自发包人向承包人移交施工现场之日起，承包人应负责照管工程及工程相关的材料、工程设备，直到颁发工程接收证书之日止。</w:t>
      </w:r>
    </w:p>
    <w:p w14:paraId="108CE07D">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3.7 履约保证金</w:t>
      </w:r>
    </w:p>
    <w:p w14:paraId="387DB75E">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 xml:space="preserve">承包人是否提供履约保证金： </w:t>
      </w:r>
      <w:r>
        <w:rPr>
          <w:rFonts w:hint="eastAsia" w:ascii="宋体" w:hAnsi="宋体" w:cs="宋体"/>
          <w:color w:val="auto"/>
          <w:szCs w:val="21"/>
          <w:highlight w:val="none"/>
          <w:u w:val="single"/>
        </w:rPr>
        <w:t>提供</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highlight w:val="none"/>
        </w:rPr>
        <w:t>。</w:t>
      </w:r>
    </w:p>
    <w:p w14:paraId="5196C216">
      <w:pPr>
        <w:adjustRightInd w:val="0"/>
        <w:snapToGrid w:val="0"/>
        <w:spacing w:line="384" w:lineRule="auto"/>
        <w:ind w:firstLine="420" w:firstLineChars="200"/>
        <w:rPr>
          <w:rFonts w:hint="eastAsia" w:ascii="宋体" w:hAnsi="宋体" w:cs="宋体"/>
          <w:bCs/>
          <w:snapToGrid w:val="0"/>
          <w:color w:val="auto"/>
          <w:kern w:val="0"/>
          <w:szCs w:val="21"/>
          <w:highlight w:val="none"/>
        </w:rPr>
      </w:pPr>
      <w:r>
        <w:rPr>
          <w:rFonts w:hint="eastAsia" w:ascii="宋体" w:hAnsi="宋体" w:cs="宋体"/>
          <w:color w:val="auto"/>
          <w:highlight w:val="none"/>
        </w:rPr>
        <w:t>承包人提供履约保证金的形式：支持银行转账、银行电汇、银行保函、担保机构担保、保证保险使用。</w:t>
      </w:r>
    </w:p>
    <w:p w14:paraId="57C1D5BF">
      <w:pPr>
        <w:adjustRightInd w:val="0"/>
        <w:snapToGrid w:val="0"/>
        <w:spacing w:line="384" w:lineRule="auto"/>
        <w:ind w:left="-73" w:leftChars="-35" w:firstLine="497" w:firstLineChars="237"/>
        <w:rPr>
          <w:rFonts w:hint="eastAsia" w:ascii="宋体" w:hAnsi="宋体" w:cs="宋体"/>
          <w:bCs/>
          <w:snapToGrid w:val="0"/>
          <w:color w:val="auto"/>
          <w:kern w:val="0"/>
          <w:szCs w:val="21"/>
          <w:highlight w:val="none"/>
        </w:rPr>
      </w:pPr>
      <w:r>
        <w:rPr>
          <w:rFonts w:hint="eastAsia" w:ascii="宋体" w:hAnsi="宋体" w:cs="宋体"/>
          <w:bCs/>
          <w:snapToGrid w:val="0"/>
          <w:color w:val="auto"/>
          <w:kern w:val="0"/>
          <w:szCs w:val="21"/>
          <w:highlight w:val="none"/>
        </w:rPr>
        <w:t>注：</w:t>
      </w:r>
      <w:r>
        <w:rPr>
          <w:rFonts w:hint="eastAsia" w:ascii="宋体" w:hAnsi="宋体" w:cs="宋体"/>
          <w:color w:val="auto"/>
          <w:highlight w:val="none"/>
        </w:rPr>
        <w:t>履约保证金的金额：</w:t>
      </w:r>
      <w:r>
        <w:rPr>
          <w:rFonts w:hint="eastAsia" w:ascii="宋体" w:hAnsi="宋体" w:cs="宋体"/>
          <w:color w:val="auto"/>
          <w:szCs w:val="21"/>
          <w:highlight w:val="none"/>
        </w:rPr>
        <w:t>中标合同金额×</w:t>
      </w:r>
      <w:r>
        <w:rPr>
          <w:rFonts w:hint="eastAsia" w:ascii="宋体" w:hAnsi="宋体" w:cs="宋体"/>
          <w:color w:val="auto"/>
          <w:highlight w:val="none"/>
        </w:rPr>
        <w:t>2％。</w:t>
      </w:r>
    </w:p>
    <w:p w14:paraId="463DA0C8">
      <w:pPr>
        <w:adjustRightInd w:val="0"/>
        <w:snapToGrid w:val="0"/>
        <w:spacing w:line="384" w:lineRule="auto"/>
        <w:ind w:firstLine="840" w:firstLineChars="400"/>
        <w:rPr>
          <w:rFonts w:hint="eastAsia" w:ascii="宋体" w:hAnsi="宋体" w:cs="宋体"/>
          <w:color w:val="auto"/>
          <w:highlight w:val="none"/>
        </w:rPr>
      </w:pPr>
      <w:r>
        <w:rPr>
          <w:rFonts w:hint="eastAsia" w:ascii="宋体" w:hAnsi="宋体" w:cs="宋体"/>
          <w:color w:val="auto"/>
          <w:highlight w:val="none"/>
        </w:rPr>
        <w:t>履约保证金提交期限的要求：</w:t>
      </w:r>
      <w:r>
        <w:rPr>
          <w:rFonts w:hint="eastAsia" w:ascii="宋体" w:hAnsi="宋体" w:cs="宋体"/>
          <w:color w:val="auto"/>
          <w:szCs w:val="21"/>
          <w:highlight w:val="none"/>
          <w:u w:val="none"/>
        </w:rPr>
        <w:t>签订合同前</w:t>
      </w:r>
    </w:p>
    <w:p w14:paraId="08D2923B">
      <w:pPr>
        <w:adjustRightInd w:val="0"/>
        <w:snapToGrid w:val="0"/>
        <w:spacing w:line="384" w:lineRule="auto"/>
        <w:ind w:firstLine="840" w:firstLineChars="400"/>
        <w:rPr>
          <w:rFonts w:hint="eastAsia" w:ascii="宋体" w:hAnsi="宋体" w:cs="宋体"/>
          <w:color w:val="auto"/>
          <w:highlight w:val="none"/>
        </w:rPr>
      </w:pPr>
      <w:r>
        <w:rPr>
          <w:rFonts w:hint="eastAsia" w:ascii="宋体" w:hAnsi="宋体" w:cs="宋体"/>
          <w:bCs/>
          <w:snapToGrid w:val="0"/>
          <w:color w:val="auto"/>
          <w:kern w:val="0"/>
          <w:szCs w:val="21"/>
          <w:highlight w:val="none"/>
        </w:rPr>
        <w:t>履约保证金退还时限：履约保证金有效期满7日内</w:t>
      </w:r>
    </w:p>
    <w:p w14:paraId="4D11E699">
      <w:pPr>
        <w:keepNext/>
        <w:keepLines/>
        <w:adjustRightInd w:val="0"/>
        <w:snapToGrid w:val="0"/>
        <w:spacing w:line="384" w:lineRule="auto"/>
        <w:jc w:val="left"/>
        <w:outlineLvl w:val="2"/>
        <w:rPr>
          <w:rFonts w:hint="eastAsia" w:ascii="宋体" w:hAnsi="宋体" w:cs="宋体"/>
          <w:bCs/>
          <w:color w:val="auto"/>
          <w:sz w:val="24"/>
          <w:highlight w:val="none"/>
        </w:rPr>
      </w:pPr>
      <w:bookmarkStart w:id="814" w:name="_Toc351203636"/>
      <w:bookmarkStart w:id="815" w:name="_Toc95223465"/>
      <w:r>
        <w:rPr>
          <w:rFonts w:hint="eastAsia" w:ascii="宋体" w:hAnsi="宋体" w:cs="宋体"/>
          <w:bCs/>
          <w:color w:val="auto"/>
          <w:sz w:val="24"/>
          <w:highlight w:val="none"/>
        </w:rPr>
        <w:t>4</w:t>
      </w:r>
      <w:bookmarkStart w:id="816" w:name="_Toc297120462"/>
      <w:bookmarkStart w:id="817" w:name="_Toc296503162"/>
      <w:bookmarkStart w:id="818" w:name="_Toc296890990"/>
      <w:bookmarkStart w:id="819" w:name="_Toc296944501"/>
      <w:bookmarkStart w:id="820" w:name="_Toc296347161"/>
      <w:bookmarkStart w:id="821" w:name="_Toc292559871"/>
      <w:bookmarkStart w:id="822" w:name="_Toc292559366"/>
      <w:bookmarkStart w:id="823" w:name="_Toc297048348"/>
      <w:bookmarkStart w:id="824" w:name="_Toc267251413"/>
      <w:bookmarkStart w:id="825" w:name="_Toc296346663"/>
      <w:bookmarkStart w:id="826" w:name="_Toc296891202"/>
      <w:r>
        <w:rPr>
          <w:rFonts w:hint="eastAsia" w:ascii="宋体" w:hAnsi="宋体" w:cs="宋体"/>
          <w:bCs/>
          <w:color w:val="auto"/>
          <w:sz w:val="24"/>
          <w:highlight w:val="none"/>
        </w:rPr>
        <w:t>. 监</w:t>
      </w:r>
      <w:bookmarkEnd w:id="816"/>
      <w:bookmarkEnd w:id="817"/>
      <w:bookmarkEnd w:id="818"/>
      <w:bookmarkEnd w:id="819"/>
      <w:bookmarkEnd w:id="820"/>
      <w:bookmarkEnd w:id="821"/>
      <w:bookmarkEnd w:id="822"/>
      <w:bookmarkEnd w:id="823"/>
      <w:bookmarkEnd w:id="824"/>
      <w:bookmarkEnd w:id="825"/>
      <w:bookmarkEnd w:id="826"/>
      <w:r>
        <w:rPr>
          <w:rFonts w:hint="eastAsia" w:ascii="宋体" w:hAnsi="宋体" w:cs="宋体"/>
          <w:bCs/>
          <w:color w:val="auto"/>
          <w:sz w:val="24"/>
          <w:highlight w:val="none"/>
        </w:rPr>
        <w:t>理人</w:t>
      </w:r>
      <w:bookmarkEnd w:id="814"/>
      <w:bookmarkEnd w:id="815"/>
    </w:p>
    <w:p w14:paraId="4A802A1D">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4.1 监理人的一般规定</w:t>
      </w:r>
    </w:p>
    <w:p w14:paraId="345B1842">
      <w:pPr>
        <w:adjustRightInd w:val="0"/>
        <w:snapToGrid w:val="0"/>
        <w:spacing w:line="384" w:lineRule="auto"/>
        <w:ind w:firstLine="420" w:firstLineChars="200"/>
        <w:rPr>
          <w:rFonts w:hint="eastAsia" w:ascii="宋体" w:hAnsi="宋体" w:cs="宋体"/>
          <w:b/>
          <w:color w:val="auto"/>
          <w:highlight w:val="none"/>
          <w:u w:val="single"/>
        </w:rPr>
      </w:pPr>
      <w:r>
        <w:rPr>
          <w:rFonts w:hint="eastAsia" w:ascii="宋体" w:hAnsi="宋体" w:cs="宋体"/>
          <w:color w:val="auto"/>
          <w:highlight w:val="none"/>
        </w:rPr>
        <w:t>关于监理人的监理内容：</w:t>
      </w:r>
      <w:r>
        <w:rPr>
          <w:rFonts w:hint="eastAsia" w:ascii="宋体" w:hAnsi="宋体" w:cs="宋体"/>
          <w:color w:val="auto"/>
          <w:highlight w:val="none"/>
          <w:u w:val="single"/>
          <w:lang w:val="en-US" w:eastAsia="zh-CN"/>
        </w:rPr>
        <w:t xml:space="preserve">                           </w:t>
      </w:r>
      <w:r>
        <w:rPr>
          <w:rFonts w:hint="eastAsia" w:ascii="宋体" w:hAnsi="宋体" w:cs="宋体"/>
          <w:color w:val="auto"/>
          <w:szCs w:val="21"/>
          <w:highlight w:val="none"/>
        </w:rPr>
        <w:t>。</w:t>
      </w:r>
    </w:p>
    <w:p w14:paraId="6913674C">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关于监理人的监理权限：</w:t>
      </w:r>
      <w:r>
        <w:rPr>
          <w:rFonts w:hint="eastAsia" w:ascii="宋体" w:hAnsi="宋体" w:cs="宋体"/>
          <w:color w:val="auto"/>
          <w:highlight w:val="none"/>
          <w:u w:val="single"/>
          <w:lang w:val="en-US" w:eastAsia="zh-CN"/>
        </w:rPr>
        <w:t xml:space="preserve">                            </w:t>
      </w:r>
      <w:r>
        <w:rPr>
          <w:rFonts w:hint="eastAsia" w:ascii="宋体" w:hAnsi="宋体" w:cs="宋体"/>
          <w:color w:val="auto"/>
          <w:szCs w:val="21"/>
          <w:highlight w:val="none"/>
        </w:rPr>
        <w:t>。</w:t>
      </w:r>
      <w:r>
        <w:rPr>
          <w:rFonts w:hint="eastAsia" w:ascii="宋体" w:hAnsi="宋体" w:cs="宋体"/>
          <w:color w:val="auto"/>
          <w:highlight w:val="none"/>
        </w:rPr>
        <w:t xml:space="preserve"> </w:t>
      </w:r>
    </w:p>
    <w:p w14:paraId="1848231C">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关于监理人在施工现场的办公场所、生活场所的提供和费用承担的约定：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执行监理合同</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1791F62">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4.2 监理人员</w:t>
      </w:r>
    </w:p>
    <w:p w14:paraId="1B286843">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总监理工程师：</w:t>
      </w:r>
    </w:p>
    <w:p w14:paraId="53D9F7B5">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姓    名：</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1F5A8801">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职    务：</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4D65D8CD">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监理工程师执业资格证书号：</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2489465D">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联系电话：</w:t>
      </w:r>
      <w:r>
        <w:rPr>
          <w:rFonts w:hint="eastAsia" w:ascii="宋体" w:hAnsi="宋体" w:cs="宋体"/>
          <w:color w:val="auto"/>
          <w:highlight w:val="none"/>
          <w:u w:val="single"/>
        </w:rPr>
        <w:t>                           </w:t>
      </w:r>
      <w:r>
        <w:rPr>
          <w:rFonts w:hint="eastAsia" w:ascii="宋体" w:hAnsi="宋体" w:cs="宋体"/>
          <w:color w:val="auto"/>
          <w:highlight w:val="none"/>
        </w:rPr>
        <w:t>；</w:t>
      </w:r>
    </w:p>
    <w:p w14:paraId="690DEADF">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电子信箱：</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07DA4660">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通信地址：</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7E6353B7">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关于监理人的其他约定：</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3B102F32">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4.4 商定或确定</w:t>
      </w:r>
    </w:p>
    <w:p w14:paraId="249D1007">
      <w:pPr>
        <w:adjustRightInd w:val="0"/>
        <w:snapToGrid w:val="0"/>
        <w:spacing w:line="384" w:lineRule="auto"/>
        <w:ind w:firstLine="420" w:firstLineChars="200"/>
        <w:rPr>
          <w:rFonts w:hint="eastAsia" w:ascii="宋体" w:hAnsi="宋体" w:cs="宋体"/>
          <w:color w:val="auto"/>
          <w:highlight w:val="none"/>
        </w:rPr>
      </w:pPr>
      <w:bookmarkStart w:id="827" w:name="_Toc267251418"/>
      <w:r>
        <w:rPr>
          <w:rFonts w:hint="eastAsia" w:ascii="宋体" w:hAnsi="宋体" w:cs="宋体"/>
          <w:color w:val="auto"/>
          <w:highlight w:val="none"/>
        </w:rPr>
        <w:t>在发包人和承包人不能通过协商达成一致意见时，发包人授权监理人对以下事项进行确定：</w:t>
      </w:r>
    </w:p>
    <w:p w14:paraId="0F53C9BD">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（1）</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12172673">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708660DE">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（3）</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733FBD4">
      <w:pPr>
        <w:keepNext/>
        <w:keepLines/>
        <w:adjustRightInd w:val="0"/>
        <w:snapToGrid w:val="0"/>
        <w:spacing w:line="384" w:lineRule="auto"/>
        <w:jc w:val="left"/>
        <w:outlineLvl w:val="2"/>
        <w:rPr>
          <w:rFonts w:hint="eastAsia" w:ascii="宋体" w:hAnsi="宋体" w:cs="宋体"/>
          <w:bCs/>
          <w:color w:val="auto"/>
          <w:sz w:val="24"/>
          <w:highlight w:val="none"/>
        </w:rPr>
      </w:pPr>
      <w:bookmarkStart w:id="828" w:name="_Toc95223466"/>
      <w:bookmarkStart w:id="829" w:name="_Toc351203637"/>
      <w:r>
        <w:rPr>
          <w:rFonts w:hint="eastAsia" w:ascii="宋体" w:hAnsi="宋体" w:cs="宋体"/>
          <w:bCs/>
          <w:color w:val="auto"/>
          <w:sz w:val="24"/>
          <w:highlight w:val="none"/>
        </w:rPr>
        <w:t>5</w:t>
      </w:r>
      <w:bookmarkEnd w:id="827"/>
      <w:bookmarkStart w:id="830" w:name="_Toc292559872"/>
      <w:bookmarkStart w:id="831" w:name="_Toc296346664"/>
      <w:bookmarkStart w:id="832" w:name="_Toc297120463"/>
      <w:bookmarkStart w:id="833" w:name="_Toc296503163"/>
      <w:bookmarkStart w:id="834" w:name="_Toc296944502"/>
      <w:bookmarkStart w:id="835" w:name="_Toc297048349"/>
      <w:bookmarkStart w:id="836" w:name="_Toc296890991"/>
      <w:bookmarkStart w:id="837" w:name="_Toc296891203"/>
      <w:bookmarkStart w:id="838" w:name="_Toc292559367"/>
      <w:bookmarkStart w:id="839" w:name="_Toc296347162"/>
      <w:r>
        <w:rPr>
          <w:rFonts w:hint="eastAsia" w:ascii="宋体" w:hAnsi="宋体" w:cs="宋体"/>
          <w:bCs/>
          <w:color w:val="auto"/>
          <w:sz w:val="24"/>
          <w:highlight w:val="none"/>
        </w:rPr>
        <w:t>. 工程质量</w:t>
      </w:r>
      <w:bookmarkEnd w:id="828"/>
      <w:bookmarkEnd w:id="829"/>
    </w:p>
    <w:p w14:paraId="1E07862B">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5.1 质量要求</w:t>
      </w:r>
    </w:p>
    <w:p w14:paraId="15A19534">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5</w:t>
      </w:r>
      <w:bookmarkStart w:id="840" w:name="_Toc297123496"/>
      <w:bookmarkStart w:id="841" w:name="_Toc304295527"/>
      <w:bookmarkStart w:id="842" w:name="_Toc303539106"/>
      <w:bookmarkStart w:id="843" w:name="_Toc312677997"/>
      <w:bookmarkStart w:id="844" w:name="_Toc297216155"/>
      <w:bookmarkStart w:id="845" w:name="_Toc300934949"/>
      <w:bookmarkStart w:id="846" w:name="_Toc318581164"/>
      <w:r>
        <w:rPr>
          <w:rFonts w:hint="eastAsia" w:ascii="宋体" w:hAnsi="宋体" w:cs="宋体"/>
          <w:color w:val="auto"/>
          <w:highlight w:val="none"/>
        </w:rPr>
        <w:t>.1.1 特殊质量标准和要求：</w:t>
      </w:r>
      <w:r>
        <w:rPr>
          <w:rFonts w:hint="eastAsia" w:ascii="宋体" w:hAnsi="宋体" w:cs="宋体"/>
          <w:color w:val="auto"/>
          <w:szCs w:val="21"/>
          <w:highlight w:val="none"/>
          <w:u w:val="single"/>
        </w:rPr>
        <w:t>本工程应达到招标文件规定的质量合格标准。</w:t>
      </w:r>
      <w:r>
        <w:rPr>
          <w:rFonts w:hint="eastAsia" w:ascii="宋体" w:hAnsi="宋体" w:eastAsia="宋体" w:cs="宋体"/>
          <w:color w:val="auto"/>
          <w:szCs w:val="21"/>
          <w:highlight w:val="none"/>
          <w:u w:val="single"/>
        </w:rPr>
        <w:t>承包人应按照现行的国家施工验收规范和资料评定标准施工；预验收不合格须整改</w:t>
      </w:r>
      <w:r>
        <w:rPr>
          <w:rFonts w:hint="eastAsia" w:ascii="宋体" w:hAnsi="宋体" w:cs="宋体"/>
          <w:color w:val="auto"/>
          <w:szCs w:val="21"/>
          <w:highlight w:val="none"/>
          <w:u w:val="single"/>
        </w:rPr>
        <w:t>合格，并处以10万元违约金；竣工验收必须合格，否则发包人将处以20万元违约金</w:t>
      </w:r>
      <w:r>
        <w:rPr>
          <w:rFonts w:hint="eastAsia" w:ascii="宋体" w:hAnsi="宋体" w:cs="宋体"/>
          <w:color w:val="auto"/>
          <w:szCs w:val="21"/>
          <w:highlight w:val="none"/>
          <w:u w:val="single"/>
          <w:lang w:eastAsia="zh-CN"/>
        </w:rPr>
        <w:t>，</w:t>
      </w:r>
      <w:r>
        <w:rPr>
          <w:rFonts w:hint="eastAsia" w:ascii="宋体" w:hAnsi="宋体" w:cs="宋体"/>
          <w:color w:val="auto"/>
          <w:szCs w:val="21"/>
          <w:highlight w:val="none"/>
          <w:u w:val="single"/>
        </w:rPr>
        <w:t>承包人同意终止施工合同并不再支付剩余工程款，承包人并应当另行承担因此给发包人造成的全部损</w:t>
      </w:r>
      <w:r>
        <w:rPr>
          <w:rFonts w:hint="eastAsia" w:ascii="宋体" w:hAnsi="宋体" w:cs="宋体"/>
          <w:color w:val="auto"/>
          <w:szCs w:val="21"/>
          <w:highlight w:val="none"/>
          <w:u w:val="single"/>
          <w:lang w:eastAsia="zh-CN"/>
        </w:rPr>
        <w:t>。</w:t>
      </w:r>
    </w:p>
    <w:p w14:paraId="0C1A065A">
      <w:pPr>
        <w:adjustRightInd w:val="0"/>
        <w:snapToGrid w:val="0"/>
        <w:spacing w:line="384"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cs="宋体"/>
          <w:color w:val="auto"/>
          <w:highlight w:val="none"/>
        </w:rPr>
        <w:t>关于工程奖项的约定：</w:t>
      </w:r>
      <w:r>
        <w:rPr>
          <w:rFonts w:hint="eastAsia" w:ascii="宋体" w:hAnsi="宋体" w:cs="宋体"/>
          <w:color w:val="auto"/>
          <w:szCs w:val="21"/>
          <w:highlight w:val="none"/>
          <w:u w:val="single"/>
          <w:lang w:val="en-US" w:eastAsia="zh-CN"/>
        </w:rPr>
        <w:t xml:space="preserve">  无  </w:t>
      </w:r>
      <w:r>
        <w:rPr>
          <w:rFonts w:hint="eastAsia" w:ascii="宋体" w:hAnsi="宋体" w:eastAsia="宋体" w:cs="宋体"/>
          <w:color w:val="auto"/>
          <w:szCs w:val="21"/>
          <w:highlight w:val="none"/>
          <w:u w:val="single"/>
          <w:lang w:val="en-US" w:eastAsia="zh-CN"/>
        </w:rPr>
        <w:t>。</w:t>
      </w:r>
    </w:p>
    <w:p w14:paraId="2E8B9F7E">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5.3 隐蔽工程检查</w:t>
      </w:r>
    </w:p>
    <w:p w14:paraId="0B3344DD">
      <w:pPr>
        <w:adjustRightInd w:val="0"/>
        <w:snapToGrid w:val="0"/>
        <w:spacing w:line="384"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cs="宋体"/>
          <w:color w:val="auto"/>
          <w:highlight w:val="none"/>
        </w:rPr>
        <w:t>5.3.2 承包人提前通知监理人隐蔽工程检查的期限的约定：</w:t>
      </w:r>
      <w:r>
        <w:rPr>
          <w:rFonts w:hint="eastAsia" w:ascii="宋体" w:hAnsi="宋体" w:eastAsia="宋体" w:cs="宋体"/>
          <w:color w:val="auto"/>
          <w:szCs w:val="21"/>
          <w:highlight w:val="none"/>
          <w:u w:val="single"/>
          <w:lang w:val="en-US" w:eastAsia="zh-CN"/>
        </w:rPr>
        <w:t>工程具备隐蔽条件或达到中间验收部位时，承包人自检合格后，在隐蔽和中间验收48小时前书面通知发包人代表和监理工程师参加。通知应包含承包人自检记录、隐蔽和中间验收的内容、时间和地点。承包人准备验收记录，验收合格，发包人代表及监理工程师在验收记录上签字后，方可进行隐蔽和继续施工。验收不合格，承包人在限定时间内重新验收。承包人不服从质量管理的，发包人有权清退其出场，并赔偿因此而造成的一切损失。</w:t>
      </w:r>
    </w:p>
    <w:p w14:paraId="1E1D349B">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监理人不能按时进行检查时，应提前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24</w:t>
      </w:r>
      <w:r>
        <w:rPr>
          <w:rFonts w:hint="eastAsia" w:ascii="宋体" w:hAnsi="宋体" w:cs="宋体"/>
          <w:color w:val="auto"/>
          <w:szCs w:val="21"/>
          <w:highlight w:val="none"/>
          <w:u w:val="single"/>
        </w:rPr>
        <w:t xml:space="preserve"> </w:t>
      </w:r>
      <w:r>
        <w:rPr>
          <w:rFonts w:hint="eastAsia" w:ascii="宋体" w:hAnsi="宋体" w:cs="宋体"/>
          <w:color w:val="auto"/>
          <w:highlight w:val="none"/>
        </w:rPr>
        <w:t>小时提交书面延期要求。</w:t>
      </w:r>
    </w:p>
    <w:p w14:paraId="7FA650FB">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关于延期最长不得超过：</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48</w:t>
      </w:r>
      <w:r>
        <w:rPr>
          <w:rFonts w:hint="eastAsia" w:ascii="宋体" w:hAnsi="宋体" w:cs="宋体"/>
          <w:color w:val="auto"/>
          <w:szCs w:val="21"/>
          <w:highlight w:val="none"/>
          <w:u w:val="single"/>
        </w:rPr>
        <w:t xml:space="preserve"> </w:t>
      </w:r>
      <w:r>
        <w:rPr>
          <w:rFonts w:hint="eastAsia" w:ascii="宋体" w:hAnsi="宋体" w:cs="宋体"/>
          <w:color w:val="auto"/>
          <w:highlight w:val="none"/>
        </w:rPr>
        <w:t>小时。</w:t>
      </w:r>
    </w:p>
    <w:p w14:paraId="23910782">
      <w:pPr>
        <w:keepNext/>
        <w:keepLines/>
        <w:adjustRightInd w:val="0"/>
        <w:snapToGrid w:val="0"/>
        <w:spacing w:line="384" w:lineRule="auto"/>
        <w:jc w:val="left"/>
        <w:outlineLvl w:val="2"/>
        <w:rPr>
          <w:rFonts w:hint="eastAsia" w:ascii="宋体" w:hAnsi="宋体" w:cs="宋体"/>
          <w:bCs/>
          <w:color w:val="auto"/>
          <w:sz w:val="24"/>
          <w:highlight w:val="none"/>
        </w:rPr>
      </w:pPr>
      <w:bookmarkStart w:id="847" w:name="_Toc351203638"/>
      <w:bookmarkStart w:id="848" w:name="_Toc95223467"/>
      <w:r>
        <w:rPr>
          <w:rFonts w:hint="eastAsia" w:ascii="宋体" w:hAnsi="宋体" w:cs="宋体"/>
          <w:bCs/>
          <w:color w:val="auto"/>
          <w:sz w:val="24"/>
          <w:highlight w:val="none"/>
        </w:rPr>
        <w:t>6. 安全文明施工与环境保护</w:t>
      </w:r>
      <w:bookmarkEnd w:id="847"/>
      <w:bookmarkEnd w:id="848"/>
    </w:p>
    <w:p w14:paraId="48E00AE8">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6.1 安全文明施工</w:t>
      </w:r>
    </w:p>
    <w:p w14:paraId="380D9569">
      <w:pPr>
        <w:adjustRightInd w:val="0"/>
        <w:snapToGrid w:val="0"/>
        <w:spacing w:line="384" w:lineRule="auto"/>
        <w:ind w:firstLine="420" w:firstLineChars="200"/>
        <w:rPr>
          <w:rFonts w:hint="eastAsia" w:ascii="宋体" w:hAnsi="宋体" w:eastAsia="宋体" w:cs="宋体"/>
          <w:color w:val="auto"/>
          <w:highlight w:val="none"/>
          <w:u w:val="single"/>
          <w:lang w:eastAsia="zh-CN"/>
        </w:rPr>
      </w:pPr>
      <w:r>
        <w:rPr>
          <w:rFonts w:hint="eastAsia" w:ascii="宋体" w:hAnsi="宋体" w:cs="宋体"/>
          <w:color w:val="auto"/>
          <w:highlight w:val="none"/>
        </w:rPr>
        <w:t>6.1.1 项目安全生产的达标目标及相应事项的约定：</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3A408E7B">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6.1.4 关于治安保卫的特别约定：</w:t>
      </w:r>
      <w:r>
        <w:rPr>
          <w:rFonts w:hint="eastAsia" w:ascii="宋体" w:hAnsi="宋体" w:cs="宋体"/>
          <w:color w:val="auto"/>
          <w:szCs w:val="21"/>
          <w:highlight w:val="none"/>
          <w:u w:val="single"/>
        </w:rPr>
        <w:t xml:space="preserve"> 执行通用条款  </w:t>
      </w:r>
      <w:r>
        <w:rPr>
          <w:rFonts w:hint="eastAsia" w:ascii="宋体" w:hAnsi="宋体" w:cs="宋体"/>
          <w:color w:val="auto"/>
          <w:highlight w:val="none"/>
        </w:rPr>
        <w:t>。</w:t>
      </w:r>
    </w:p>
    <w:p w14:paraId="44FF2B5A">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关于编制施工场地治安管理计划的约定：</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281FA0B1">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6.1.5 文明施工</w:t>
      </w:r>
    </w:p>
    <w:p w14:paraId="452BD56A">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合同当事人对文明施工的要求：</w:t>
      </w:r>
      <w:r>
        <w:rPr>
          <w:rFonts w:hint="eastAsia" w:ascii="宋体" w:hAnsi="宋体" w:cs="宋体"/>
          <w:color w:val="auto"/>
          <w:highlight w:val="none"/>
          <w:u w:val="single"/>
        </w:rPr>
        <w:t xml:space="preserve"> (1）符合项目建设地文明施工要求；</w:t>
      </w:r>
    </w:p>
    <w:p w14:paraId="43297776">
      <w:pPr>
        <w:adjustRightInd w:val="0"/>
        <w:snapToGrid w:val="0"/>
        <w:spacing w:line="384" w:lineRule="auto"/>
        <w:ind w:firstLine="420" w:firstLineChars="200"/>
        <w:rPr>
          <w:rFonts w:hint="eastAsia" w:ascii="宋体" w:hAnsi="宋体" w:cs="宋体"/>
          <w:color w:val="auto"/>
          <w:highlight w:val="none"/>
          <w:u w:val="single"/>
          <w:lang w:val="en-US" w:eastAsia="zh-CN"/>
        </w:rPr>
      </w:pPr>
      <w:r>
        <w:rPr>
          <w:rFonts w:hint="eastAsia" w:ascii="宋体" w:hAnsi="宋体" w:cs="宋体"/>
          <w:color w:val="auto"/>
          <w:highlight w:val="none"/>
          <w:u w:val="single"/>
        </w:rPr>
        <w:t>（2）发生安全事故，承包人应按照有关规定立即上报有关部门并通知发包人，同时按照政府有关要求处理，由事故责任</w:t>
      </w:r>
      <w:r>
        <w:rPr>
          <w:rFonts w:hint="eastAsia" w:ascii="宋体" w:hAnsi="宋体" w:cs="宋体"/>
          <w:color w:val="auto"/>
          <w:highlight w:val="none"/>
          <w:u w:val="single"/>
          <w:lang w:val="en-US" w:eastAsia="zh-CN"/>
        </w:rPr>
        <w:t>方承担发生的费用。发包人根据事故的分类对承包人进行处以违约：</w:t>
      </w:r>
    </w:p>
    <w:p w14:paraId="087CA917">
      <w:pPr>
        <w:adjustRightInd w:val="0"/>
        <w:snapToGrid w:val="0"/>
        <w:spacing w:line="384" w:lineRule="auto"/>
        <w:ind w:firstLine="420" w:firstLineChars="200"/>
        <w:rPr>
          <w:rFonts w:hint="eastAsia" w:ascii="宋体" w:hAnsi="宋体" w:cs="宋体"/>
          <w:color w:val="auto"/>
          <w:highlight w:val="none"/>
          <w:u w:val="single"/>
          <w:lang w:val="en-US" w:eastAsia="zh-CN"/>
        </w:rPr>
      </w:pPr>
      <w:r>
        <w:rPr>
          <w:rFonts w:hint="eastAsia" w:ascii="宋体" w:hAnsi="宋体" w:cs="宋体"/>
          <w:color w:val="auto"/>
          <w:highlight w:val="none"/>
          <w:u w:val="single"/>
          <w:lang w:val="en-US" w:eastAsia="zh-CN"/>
        </w:rPr>
        <w:t xml:space="preserve">1）特别重大事故，发包人对承包人处以 50万元的人民币违约金，并承担因施工安全事故给本工程建设单位、项目管理单位和监理人带来的经济损失；  </w:t>
      </w:r>
    </w:p>
    <w:p w14:paraId="338296CE">
      <w:pPr>
        <w:adjustRightInd w:val="0"/>
        <w:snapToGrid w:val="0"/>
        <w:spacing w:line="384" w:lineRule="auto"/>
        <w:ind w:firstLine="420" w:firstLineChars="200"/>
        <w:rPr>
          <w:rFonts w:hint="eastAsia" w:ascii="宋体" w:hAnsi="宋体" w:cs="宋体"/>
          <w:color w:val="auto"/>
          <w:highlight w:val="none"/>
          <w:u w:val="single"/>
          <w:lang w:val="en-US" w:eastAsia="zh-CN"/>
        </w:rPr>
      </w:pPr>
      <w:r>
        <w:rPr>
          <w:rFonts w:hint="eastAsia" w:ascii="宋体" w:hAnsi="宋体" w:cs="宋体"/>
          <w:color w:val="auto"/>
          <w:highlight w:val="none"/>
          <w:u w:val="single"/>
          <w:lang w:val="en-US" w:eastAsia="zh-CN"/>
        </w:rPr>
        <w:t xml:space="preserve">2）重大事故，发包人对承包人处以30万元的人民币违约金，并承担因施工安全事故给本工程建设单位、项目管理单位和监理人带来的经济损失；  </w:t>
      </w:r>
    </w:p>
    <w:p w14:paraId="164397B7">
      <w:pPr>
        <w:adjustRightInd w:val="0"/>
        <w:snapToGrid w:val="0"/>
        <w:spacing w:line="384" w:lineRule="auto"/>
        <w:ind w:firstLine="420" w:firstLineChars="200"/>
        <w:rPr>
          <w:rFonts w:hint="eastAsia" w:ascii="宋体" w:hAnsi="宋体" w:cs="宋体"/>
          <w:color w:val="auto"/>
          <w:highlight w:val="none"/>
          <w:u w:val="single"/>
          <w:lang w:val="en-US" w:eastAsia="zh-CN"/>
        </w:rPr>
      </w:pPr>
      <w:r>
        <w:rPr>
          <w:rFonts w:hint="eastAsia" w:ascii="宋体" w:hAnsi="宋体" w:cs="宋体"/>
          <w:color w:val="auto"/>
          <w:highlight w:val="none"/>
          <w:u w:val="single"/>
          <w:lang w:val="en-US" w:eastAsia="zh-CN"/>
        </w:rPr>
        <w:t xml:space="preserve">3）较大事故，发包人对承包人处以20万元的人民币违约金，并承担因施工安全事故给本工程建设单位、项目管理单位和监理人带来的经济损失；  </w:t>
      </w:r>
    </w:p>
    <w:p w14:paraId="28511B6A">
      <w:pPr>
        <w:adjustRightInd w:val="0"/>
        <w:snapToGrid w:val="0"/>
        <w:spacing w:line="384" w:lineRule="auto"/>
        <w:ind w:firstLine="420" w:firstLineChars="200"/>
        <w:rPr>
          <w:rFonts w:hint="eastAsia" w:ascii="宋体" w:hAnsi="宋体" w:cs="宋体"/>
          <w:color w:val="auto"/>
          <w:highlight w:val="none"/>
          <w:u w:val="single"/>
          <w:lang w:val="en-US" w:eastAsia="zh-CN"/>
        </w:rPr>
      </w:pPr>
      <w:r>
        <w:rPr>
          <w:rFonts w:hint="eastAsia" w:ascii="宋体" w:hAnsi="宋体" w:cs="宋体"/>
          <w:color w:val="auto"/>
          <w:highlight w:val="none"/>
          <w:u w:val="single"/>
          <w:lang w:val="en-US" w:eastAsia="zh-CN"/>
        </w:rPr>
        <w:t>4）一般事故，发包人对承包人处以 10 万元的人民币违约金，并承担因施工安全事故给本工程建设单位、项目管理单位和监理人带来的经济损失。</w:t>
      </w:r>
    </w:p>
    <w:p w14:paraId="5E79571F">
      <w:pPr>
        <w:adjustRightInd w:val="0"/>
        <w:snapToGrid w:val="0"/>
        <w:spacing w:line="384" w:lineRule="auto"/>
        <w:ind w:firstLine="420" w:firstLineChars="200"/>
        <w:rPr>
          <w:rFonts w:hint="eastAsia" w:ascii="宋体" w:hAnsi="宋体" w:cs="宋体"/>
          <w:color w:val="auto"/>
          <w:highlight w:val="none"/>
          <w:u w:val="single"/>
          <w:lang w:val="en-US" w:eastAsia="zh-CN"/>
        </w:rPr>
      </w:pPr>
      <w:r>
        <w:rPr>
          <w:rFonts w:hint="eastAsia" w:ascii="宋体" w:hAnsi="宋体" w:cs="宋体"/>
          <w:color w:val="auto"/>
          <w:highlight w:val="none"/>
          <w:u w:val="single"/>
          <w:lang w:val="en-US" w:eastAsia="zh-CN"/>
        </w:rPr>
        <w:t>（3）发生质量事故，承包人应按照有关规定立即上报有关部门并通知发包人，同时按照政府有关要求处理，由事故责任方承担发生的费用。发包人根据事故的分类对承包人进行处以违约：1）特别重大质量事故，发包人对承包人处以50万元的人民币违约金，并承担因施工质量事故给本工程建设单位、项目管理单位和监理人带来的经济损失；2）重大质量事故，发包人对承包人处以30万元的人民币违约金，并承担因施工质量事故给本工程建设单位、项目管理单位和监理人带来的经济损失；3）严重质量事故，发包人对承包人处以20万元的人民币违约金，并承担因施工质量事故给本工程建设单位、项目管理单位和监理人带来的经济损失；4）一般质量事故，发包人对承包人处以10万元的人民币违约金，并承担因施工质量事故给本工程建设单位、项目管理单位和监理人带来的经济损失。</w:t>
      </w:r>
    </w:p>
    <w:p w14:paraId="20BBCAFA">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u w:val="single"/>
          <w:lang w:val="en-US" w:eastAsia="zh-CN"/>
        </w:rPr>
        <w:t>（4）进场道路绿化开口协调等安全文明施工相关工作及所需费用均由承包人</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0D79117">
      <w:pPr>
        <w:adjustRightInd w:val="0"/>
        <w:snapToGrid w:val="0"/>
        <w:spacing w:line="384"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cs="宋体"/>
          <w:color w:val="auto"/>
          <w:highlight w:val="none"/>
        </w:rPr>
        <w:t>6.1.6 关于安全文明施工费支付比例和支付期限的约定：</w:t>
      </w:r>
      <w:r>
        <w:rPr>
          <w:rFonts w:hint="eastAsia" w:ascii="宋体" w:hAnsi="宋体" w:cs="宋体"/>
          <w:color w:val="auto"/>
          <w:highlight w:val="none"/>
          <w:u w:val="single"/>
        </w:rPr>
        <w:t xml:space="preserve"> 执行通用条款</w:t>
      </w:r>
      <w:r>
        <w:rPr>
          <w:rFonts w:hint="eastAsia" w:ascii="宋体" w:hAnsi="宋体" w:cs="宋体"/>
          <w:color w:val="auto"/>
          <w:highlight w:val="none"/>
          <w:u w:val="single"/>
          <w:lang w:eastAsia="zh-CN"/>
        </w:rPr>
        <w:t>。</w:t>
      </w:r>
    </w:p>
    <w:bookmarkEnd w:id="840"/>
    <w:bookmarkEnd w:id="841"/>
    <w:bookmarkEnd w:id="842"/>
    <w:bookmarkEnd w:id="843"/>
    <w:bookmarkEnd w:id="844"/>
    <w:bookmarkEnd w:id="845"/>
    <w:bookmarkEnd w:id="846"/>
    <w:p w14:paraId="165E467E">
      <w:pPr>
        <w:adjustRightInd w:val="0"/>
        <w:snapToGrid w:val="0"/>
        <w:spacing w:line="384" w:lineRule="auto"/>
        <w:rPr>
          <w:rFonts w:hint="eastAsia" w:ascii="宋体" w:hAnsi="宋体" w:cs="宋体"/>
          <w:bCs/>
          <w:color w:val="auto"/>
          <w:sz w:val="24"/>
          <w:highlight w:val="none"/>
        </w:rPr>
      </w:pPr>
      <w:bookmarkStart w:id="849" w:name="_Toc95223468"/>
      <w:bookmarkStart w:id="850" w:name="_Toc351203639"/>
      <w:r>
        <w:rPr>
          <w:rFonts w:hint="eastAsia" w:ascii="宋体" w:hAnsi="宋体" w:cs="宋体"/>
          <w:bCs/>
          <w:color w:val="auto"/>
          <w:sz w:val="24"/>
          <w:highlight w:val="none"/>
        </w:rPr>
        <w:t>7. 工期和进度</w:t>
      </w:r>
      <w:bookmarkEnd w:id="849"/>
      <w:bookmarkEnd w:id="850"/>
    </w:p>
    <w:p w14:paraId="4338D87D">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7.1 施工组织设计</w:t>
      </w:r>
    </w:p>
    <w:p w14:paraId="22ADBF1B">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7.1.1 合</w:t>
      </w:r>
      <w:r>
        <w:rPr>
          <w:rFonts w:hint="eastAsia" w:ascii="宋体" w:hAnsi="宋体" w:cs="宋体"/>
          <w:color w:val="auto"/>
          <w:kern w:val="0"/>
          <w:highlight w:val="none"/>
        </w:rPr>
        <w:t>同当事人约定的施工组织设计应包括的其他内容：</w:t>
      </w:r>
      <w:r>
        <w:rPr>
          <w:rFonts w:hint="eastAsia" w:ascii="宋体" w:hAnsi="宋体" w:eastAsia="宋体" w:cs="宋体"/>
          <w:color w:val="auto"/>
          <w:szCs w:val="21"/>
          <w:highlight w:val="none"/>
          <w:u w:val="single"/>
          <w:lang w:val="en-US" w:eastAsia="zh-CN"/>
        </w:rPr>
        <w:t>本工程需编制每月施工进度计划，经监理、发包人审批后作为进度款支付和考核进度完成的指标</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4F722E61">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highlight w:val="none"/>
        </w:rPr>
        <w:t xml:space="preserve">7.1.2 </w:t>
      </w:r>
      <w:r>
        <w:rPr>
          <w:rFonts w:hint="eastAsia" w:ascii="宋体" w:hAnsi="宋体" w:cs="宋体"/>
          <w:color w:val="auto"/>
          <w:kern w:val="0"/>
          <w:highlight w:val="none"/>
        </w:rPr>
        <w:t>施工组织设计的提交和修改</w:t>
      </w:r>
    </w:p>
    <w:p w14:paraId="0BA3DBD3">
      <w:pPr>
        <w:adjustRightInd w:val="0"/>
        <w:snapToGrid w:val="0"/>
        <w:spacing w:line="384"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cs="宋体"/>
          <w:color w:val="auto"/>
          <w:kern w:val="0"/>
          <w:highlight w:val="none"/>
        </w:rPr>
        <w:t>承包人提交详细施工组织设计的期限的约定：</w:t>
      </w:r>
      <w:r>
        <w:rPr>
          <w:rFonts w:hint="eastAsia" w:ascii="宋体" w:hAnsi="宋体" w:eastAsia="宋体" w:cs="宋体"/>
          <w:color w:val="auto"/>
          <w:szCs w:val="21"/>
          <w:highlight w:val="none"/>
          <w:u w:val="single"/>
          <w:lang w:val="en-US" w:eastAsia="zh-CN"/>
        </w:rPr>
        <w:t>图纸会审及设计交底后一周内提供标后施工组织设计。</w:t>
      </w:r>
    </w:p>
    <w:p w14:paraId="0CE44DE2">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发包人和监理人在收到详细的施工组织设计后确认或提出修改意见的期限：</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7日内</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highlight w:val="none"/>
        </w:rPr>
        <w:t>。</w:t>
      </w:r>
    </w:p>
    <w:p w14:paraId="2E0E1098">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7</w:t>
      </w:r>
      <w:bookmarkStart w:id="851" w:name="_Toc304295541"/>
      <w:bookmarkStart w:id="852" w:name="_Toc300934966"/>
      <w:bookmarkStart w:id="853" w:name="_Toc297216173"/>
      <w:bookmarkStart w:id="854" w:name="_Toc312677479"/>
      <w:bookmarkStart w:id="855" w:name="_Toc297123514"/>
      <w:bookmarkStart w:id="856" w:name="_Toc312678005"/>
      <w:bookmarkStart w:id="857" w:name="_Toc303539123"/>
      <w:r>
        <w:rPr>
          <w:rFonts w:hint="eastAsia" w:ascii="宋体" w:hAnsi="宋体" w:cs="宋体"/>
          <w:bCs/>
          <w:color w:val="auto"/>
          <w:szCs w:val="28"/>
          <w:highlight w:val="none"/>
        </w:rPr>
        <w:t>.2 施工进度计划</w:t>
      </w:r>
    </w:p>
    <w:p w14:paraId="58C5294A">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7.2.2 施工进度计划的修订</w:t>
      </w:r>
    </w:p>
    <w:p w14:paraId="3B8B1B79">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发包人和监理人在收到修订的施工进度计划后确认或提出修改意见的期限：</w:t>
      </w:r>
      <w:r>
        <w:rPr>
          <w:rFonts w:hint="eastAsia" w:ascii="宋体" w:hAnsi="宋体" w:cs="宋体"/>
          <w:color w:val="auto"/>
          <w:szCs w:val="21"/>
          <w:highlight w:val="none"/>
          <w:u w:val="single"/>
        </w:rPr>
        <w:t xml:space="preserve"> 7日内</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p>
    <w:p w14:paraId="5B57EC1C">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7.3 开工</w:t>
      </w:r>
    </w:p>
    <w:p w14:paraId="05376C80">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7.3.1 开工准备</w:t>
      </w:r>
    </w:p>
    <w:p w14:paraId="2A0B2850">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关于承包人提交</w:t>
      </w:r>
      <w:r>
        <w:rPr>
          <w:rFonts w:hint="eastAsia" w:ascii="宋体" w:hAnsi="宋体" w:cs="宋体"/>
          <w:color w:val="auto"/>
          <w:kern w:val="0"/>
          <w:highlight w:val="none"/>
        </w:rPr>
        <w:t>工程开工报审表的期限：</w:t>
      </w:r>
      <w:r>
        <w:rPr>
          <w:rFonts w:hint="eastAsia" w:ascii="宋体" w:hAnsi="宋体" w:cs="宋体"/>
          <w:color w:val="auto"/>
          <w:szCs w:val="21"/>
          <w:highlight w:val="none"/>
          <w:u w:val="single"/>
        </w:rPr>
        <w:t xml:space="preserve"> 执行通用条款    </w:t>
      </w:r>
    </w:p>
    <w:p w14:paraId="0FEABCD7">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关于发包人应完成的其他开工准备工作及期限：</w:t>
      </w:r>
      <w:r>
        <w:rPr>
          <w:rFonts w:hint="eastAsia" w:ascii="宋体" w:hAnsi="宋体" w:cs="宋体"/>
          <w:color w:val="auto"/>
          <w:szCs w:val="21"/>
          <w:highlight w:val="none"/>
          <w:u w:val="single"/>
        </w:rPr>
        <w:t xml:space="preserve"> 执行通用条款  </w:t>
      </w:r>
      <w:r>
        <w:rPr>
          <w:rFonts w:hint="eastAsia" w:ascii="宋体" w:hAnsi="宋体" w:cs="宋体"/>
          <w:color w:val="auto"/>
          <w:highlight w:val="none"/>
        </w:rPr>
        <w:t>。</w:t>
      </w:r>
    </w:p>
    <w:p w14:paraId="57D416E3">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关于承包人应完成的其他开工准备工作及期限：</w:t>
      </w:r>
      <w:r>
        <w:rPr>
          <w:rFonts w:hint="eastAsia" w:ascii="宋体" w:hAnsi="宋体" w:cs="宋体"/>
          <w:color w:val="auto"/>
          <w:szCs w:val="21"/>
          <w:highlight w:val="none"/>
          <w:u w:val="single"/>
        </w:rPr>
        <w:t xml:space="preserve"> 执行通用条款    </w:t>
      </w:r>
      <w:r>
        <w:rPr>
          <w:rFonts w:hint="eastAsia" w:ascii="宋体" w:hAnsi="宋体" w:cs="宋体"/>
          <w:color w:val="auto"/>
          <w:highlight w:val="none"/>
        </w:rPr>
        <w:t>。</w:t>
      </w:r>
    </w:p>
    <w:p w14:paraId="7D7F91DB">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7.3.2 开工通知</w:t>
      </w:r>
    </w:p>
    <w:p w14:paraId="27BC17C8">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因发包人原因造成监理人未能在计划开工日期之日起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90 </w:t>
      </w:r>
      <w:r>
        <w:rPr>
          <w:rFonts w:hint="eastAsia" w:ascii="宋体" w:hAnsi="宋体" w:cs="宋体"/>
          <w:color w:val="auto"/>
          <w:szCs w:val="21"/>
          <w:highlight w:val="none"/>
          <w:u w:val="single"/>
        </w:rPr>
        <w:t xml:space="preserve"> </w:t>
      </w:r>
      <w:r>
        <w:rPr>
          <w:rFonts w:hint="eastAsia" w:ascii="宋体" w:hAnsi="宋体" w:cs="宋体"/>
          <w:color w:val="auto"/>
          <w:highlight w:val="none"/>
        </w:rPr>
        <w:t>天内发出开工通知的，承包人有权提出价格调整要求，或者解除合同。</w:t>
      </w:r>
    </w:p>
    <w:bookmarkEnd w:id="851"/>
    <w:bookmarkEnd w:id="852"/>
    <w:bookmarkEnd w:id="853"/>
    <w:bookmarkEnd w:id="854"/>
    <w:bookmarkEnd w:id="855"/>
    <w:bookmarkEnd w:id="856"/>
    <w:bookmarkEnd w:id="857"/>
    <w:p w14:paraId="53267DBD">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7.4 测量放线</w:t>
      </w:r>
    </w:p>
    <w:p w14:paraId="65D3E086">
      <w:pPr>
        <w:adjustRightInd w:val="0"/>
        <w:snapToGrid w:val="0"/>
        <w:spacing w:line="384"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cs="宋体"/>
          <w:color w:val="auto"/>
          <w:highlight w:val="none"/>
        </w:rPr>
        <w:t>7.4.1 发包人通过监理人向承包人提供测量基准点、基准线和水准点及其书面资料的期限：</w:t>
      </w:r>
      <w:r>
        <w:rPr>
          <w:rFonts w:hint="eastAsia" w:ascii="宋体" w:hAnsi="宋体" w:cs="宋体"/>
          <w:color w:val="auto"/>
          <w:szCs w:val="21"/>
          <w:highlight w:val="none"/>
          <w:u w:val="single"/>
        </w:rPr>
        <w:t xml:space="preserve"> </w:t>
      </w:r>
      <w:bookmarkStart w:id="858" w:name="EBce06c504456746f28786ccb2e7cc12c8"/>
      <w:r>
        <w:rPr>
          <w:rFonts w:hint="eastAsia" w:ascii="宋体" w:hAnsi="宋体" w:eastAsia="宋体" w:cs="宋体"/>
          <w:color w:val="auto"/>
          <w:szCs w:val="21"/>
          <w:highlight w:val="none"/>
          <w:u w:val="single"/>
          <w:lang w:val="en-US" w:eastAsia="zh-CN"/>
        </w:rPr>
        <w:t>开工前提供</w:t>
      </w:r>
      <w:bookmarkEnd w:id="858"/>
      <w:r>
        <w:rPr>
          <w:rFonts w:hint="eastAsia" w:ascii="宋体" w:hAnsi="宋体" w:eastAsia="宋体" w:cs="宋体"/>
          <w:color w:val="auto"/>
          <w:szCs w:val="21"/>
          <w:highlight w:val="none"/>
          <w:u w:val="single"/>
          <w:lang w:val="en-US" w:eastAsia="zh-CN"/>
        </w:rPr>
        <w:t>水准点与坐标控制点，按施工图由发包人、承包人、监理现场交验，交验后，承包人应妥善保护场内水准点与控制点，任意破坏或遗失应由承包人负责恢复的费用。</w:t>
      </w:r>
    </w:p>
    <w:p w14:paraId="7AB36986">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7</w:t>
      </w:r>
      <w:bookmarkStart w:id="859" w:name="_Toc297216175"/>
      <w:bookmarkStart w:id="860" w:name="_Toc312677484"/>
      <w:bookmarkStart w:id="861" w:name="_Toc312678010"/>
      <w:bookmarkStart w:id="862" w:name="_Toc300934968"/>
      <w:bookmarkStart w:id="863" w:name="_Toc297123516"/>
      <w:bookmarkStart w:id="864" w:name="_Toc303539125"/>
      <w:bookmarkStart w:id="865" w:name="_Toc304295546"/>
      <w:r>
        <w:rPr>
          <w:rFonts w:hint="eastAsia" w:ascii="宋体" w:hAnsi="宋体" w:cs="宋体"/>
          <w:bCs/>
          <w:color w:val="auto"/>
          <w:szCs w:val="28"/>
          <w:highlight w:val="none"/>
        </w:rPr>
        <w:t>.5 工期延误</w:t>
      </w:r>
    </w:p>
    <w:bookmarkEnd w:id="859"/>
    <w:bookmarkEnd w:id="860"/>
    <w:bookmarkEnd w:id="861"/>
    <w:bookmarkEnd w:id="862"/>
    <w:bookmarkEnd w:id="863"/>
    <w:bookmarkEnd w:id="864"/>
    <w:bookmarkEnd w:id="865"/>
    <w:p w14:paraId="4CF43726">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7.5.1 因发包人原因导致工期延误</w:t>
      </w:r>
    </w:p>
    <w:p w14:paraId="28AE7C69">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（7）因发包人原因导致工期延误的其他情形：</w:t>
      </w:r>
      <w:r>
        <w:rPr>
          <w:rFonts w:hint="eastAsia" w:ascii="宋体" w:hAnsi="宋体" w:cs="宋体"/>
          <w:color w:val="auto"/>
          <w:highlight w:val="none"/>
          <w:u w:val="single"/>
        </w:rPr>
        <w:t xml:space="preserve"> </w:t>
      </w:r>
      <w:r>
        <w:rPr>
          <w:rFonts w:hint="eastAsia" w:ascii="宋体" w:hAnsi="宋体" w:eastAsia="宋体" w:cs="宋体"/>
          <w:color w:val="auto"/>
          <w:szCs w:val="21"/>
          <w:highlight w:val="none"/>
          <w:u w:val="single"/>
          <w:lang w:val="en-US" w:eastAsia="zh-CN"/>
        </w:rPr>
        <w:t>由于发包人的原因和非承包人的责任停工的，工期顺延</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7D30A0BD">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7</w:t>
      </w:r>
      <w:bookmarkStart w:id="866" w:name="_Toc312677486"/>
      <w:bookmarkStart w:id="867" w:name="_Toc312678012"/>
      <w:bookmarkStart w:id="868" w:name="_Toc318581169"/>
      <w:bookmarkStart w:id="869" w:name="_Toc297123518"/>
      <w:bookmarkStart w:id="870" w:name="_Toc304295548"/>
      <w:bookmarkStart w:id="871" w:name="_Toc303539127"/>
      <w:bookmarkStart w:id="872" w:name="_Toc297216177"/>
      <w:bookmarkStart w:id="873" w:name="_Toc300934970"/>
      <w:r>
        <w:rPr>
          <w:rFonts w:hint="eastAsia" w:ascii="宋体" w:hAnsi="宋体" w:cs="宋体"/>
          <w:color w:val="auto"/>
          <w:highlight w:val="none"/>
        </w:rPr>
        <w:t>.5.2 因承包人原因导致工期延误</w:t>
      </w:r>
    </w:p>
    <w:bookmarkEnd w:id="866"/>
    <w:bookmarkEnd w:id="867"/>
    <w:bookmarkEnd w:id="868"/>
    <w:p w14:paraId="7A711565">
      <w:pPr>
        <w:adjustRightInd w:val="0"/>
        <w:snapToGrid w:val="0"/>
        <w:spacing w:line="384" w:lineRule="auto"/>
        <w:ind w:firstLine="420" w:firstLineChars="200"/>
        <w:rPr>
          <w:rFonts w:hint="eastAsia" w:ascii="宋体" w:hAnsi="宋体" w:eastAsia="宋体" w:cs="宋体"/>
          <w:color w:val="auto"/>
          <w:highlight w:val="none"/>
          <w:u w:val="single"/>
        </w:rPr>
      </w:pPr>
      <w:r>
        <w:rPr>
          <w:rFonts w:hint="eastAsia" w:ascii="宋体" w:hAnsi="宋体" w:cs="宋体"/>
          <w:color w:val="auto"/>
          <w:highlight w:val="none"/>
        </w:rPr>
        <w:t>因</w:t>
      </w:r>
      <w:bookmarkStart w:id="874" w:name="_Toc312678013"/>
      <w:bookmarkStart w:id="875" w:name="_Toc312677487"/>
      <w:bookmarkStart w:id="876" w:name="_Toc318581170"/>
      <w:r>
        <w:rPr>
          <w:rFonts w:hint="eastAsia" w:ascii="宋体" w:hAnsi="宋体" w:cs="宋体"/>
          <w:color w:val="auto"/>
          <w:highlight w:val="none"/>
        </w:rPr>
        <w:t>承包人原因造成工期延误，逾期竣工违约金的计算方法为：</w:t>
      </w:r>
      <w:bookmarkEnd w:id="869"/>
      <w:bookmarkEnd w:id="870"/>
      <w:bookmarkEnd w:id="871"/>
      <w:bookmarkEnd w:id="872"/>
      <w:bookmarkEnd w:id="873"/>
      <w:bookmarkEnd w:id="874"/>
      <w:bookmarkEnd w:id="875"/>
      <w:r>
        <w:rPr>
          <w:rFonts w:hint="eastAsia" w:ascii="宋体" w:hAnsi="宋体" w:eastAsia="宋体" w:cs="宋体"/>
          <w:color w:val="auto"/>
          <w:highlight w:val="none"/>
          <w:u w:val="single"/>
          <w:lang w:val="en-US" w:eastAsia="zh-CN"/>
        </w:rPr>
        <w:t>因承包人原因造成合同工期延误，每延误一天，处以</w:t>
      </w:r>
      <w:r>
        <w:rPr>
          <w:rFonts w:hint="eastAsia" w:ascii="宋体" w:hAnsi="宋体" w:cs="宋体"/>
          <w:color w:val="auto"/>
          <w:highlight w:val="none"/>
          <w:u w:val="single"/>
          <w:lang w:val="en-US" w:eastAsia="zh-CN"/>
        </w:rPr>
        <w:t>10000</w:t>
      </w:r>
      <w:r>
        <w:rPr>
          <w:rFonts w:hint="eastAsia" w:ascii="宋体" w:hAnsi="宋体" w:eastAsia="宋体" w:cs="宋体"/>
          <w:color w:val="auto"/>
          <w:highlight w:val="none"/>
          <w:u w:val="single"/>
          <w:lang w:val="en-US" w:eastAsia="zh-CN"/>
        </w:rPr>
        <w:t>元违约金。月工程量未完成的当期不得请款，当月未完成的工程量纳入下月一并完成，完不成的仍不予请款，依次类推。</w:t>
      </w:r>
      <w:r>
        <w:rPr>
          <w:rFonts w:hint="eastAsia" w:ascii="宋体" w:hAnsi="宋体" w:eastAsia="宋体" w:cs="宋体"/>
          <w:color w:val="auto"/>
          <w:highlight w:val="none"/>
          <w:u w:val="single"/>
        </w:rPr>
        <w:t>因承包人原因造成工期延误后，仍无法在业主要求的时间内完成本项目全部工程量的，除履行支付违约金外，按照已完成工程量的 80%结算工程款的方式进行结算，扣除已完成工程量 20%的结算工程款。</w:t>
      </w:r>
    </w:p>
    <w:bookmarkEnd w:id="876"/>
    <w:p w14:paraId="36D3054E">
      <w:pPr>
        <w:adjustRightInd w:val="0"/>
        <w:snapToGrid w:val="0"/>
        <w:spacing w:line="384" w:lineRule="auto"/>
        <w:ind w:firstLine="420" w:firstLineChars="200"/>
        <w:rPr>
          <w:rFonts w:hint="eastAsia" w:ascii="宋体" w:hAnsi="宋体" w:cs="宋体"/>
          <w:b/>
          <w:color w:val="auto"/>
          <w:highlight w:val="none"/>
          <w:u w:val="single"/>
        </w:rPr>
      </w:pPr>
      <w:r>
        <w:rPr>
          <w:rFonts w:hint="eastAsia" w:ascii="宋体" w:hAnsi="宋体" w:cs="宋体"/>
          <w:color w:val="auto"/>
          <w:highlight w:val="none"/>
        </w:rPr>
        <w:t>因承包人原因造成工期延误，逾</w:t>
      </w:r>
      <w:bookmarkStart w:id="877" w:name="_Toc312678014"/>
      <w:bookmarkStart w:id="878" w:name="_Toc318581171"/>
      <w:r>
        <w:rPr>
          <w:rFonts w:hint="eastAsia" w:ascii="宋体" w:hAnsi="宋体" w:cs="宋体"/>
          <w:color w:val="auto"/>
          <w:highlight w:val="none"/>
        </w:rPr>
        <w:t>期竣工违约金的上限：</w:t>
      </w:r>
      <w:r>
        <w:rPr>
          <w:rFonts w:hint="eastAsia" w:ascii="宋体" w:hAnsi="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中标价*2%</w:t>
      </w:r>
      <w:r>
        <w:rPr>
          <w:rFonts w:hint="eastAsia" w:ascii="宋体" w:hAnsi="宋体" w:cs="宋体"/>
          <w:color w:val="auto"/>
          <w:szCs w:val="21"/>
          <w:highlight w:val="none"/>
          <w:u w:val="single"/>
        </w:rPr>
        <w:t xml:space="preserve">   </w:t>
      </w:r>
      <w:r>
        <w:rPr>
          <w:rFonts w:hint="eastAsia" w:ascii="宋体" w:hAnsi="宋体" w:cs="宋体"/>
          <w:color w:val="auto"/>
          <w:highlight w:val="none"/>
        </w:rPr>
        <w:t>。</w:t>
      </w:r>
    </w:p>
    <w:bookmarkEnd w:id="877"/>
    <w:bookmarkEnd w:id="878"/>
    <w:p w14:paraId="6C3C51A1">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7</w:t>
      </w:r>
      <w:bookmarkStart w:id="879" w:name="_Toc297216178"/>
      <w:bookmarkStart w:id="880" w:name="_Toc303539128"/>
      <w:bookmarkStart w:id="881" w:name="_Toc304295549"/>
      <w:bookmarkStart w:id="882" w:name="_Toc312678015"/>
      <w:bookmarkStart w:id="883" w:name="_Toc300934971"/>
      <w:bookmarkStart w:id="884" w:name="_Toc297123519"/>
      <w:r>
        <w:rPr>
          <w:rFonts w:hint="eastAsia" w:ascii="宋体" w:hAnsi="宋体" w:cs="宋体"/>
          <w:bCs/>
          <w:color w:val="auto"/>
          <w:szCs w:val="28"/>
          <w:highlight w:val="none"/>
        </w:rPr>
        <w:t>.6 不</w:t>
      </w:r>
      <w:bookmarkEnd w:id="879"/>
      <w:bookmarkEnd w:id="880"/>
      <w:bookmarkEnd w:id="881"/>
      <w:bookmarkEnd w:id="882"/>
      <w:bookmarkEnd w:id="883"/>
      <w:bookmarkEnd w:id="884"/>
      <w:r>
        <w:rPr>
          <w:rFonts w:hint="eastAsia" w:ascii="宋体" w:hAnsi="宋体" w:cs="宋体"/>
          <w:bCs/>
          <w:color w:val="auto"/>
          <w:szCs w:val="28"/>
          <w:highlight w:val="none"/>
        </w:rPr>
        <w:t>利物质条件</w:t>
      </w:r>
    </w:p>
    <w:p w14:paraId="5EB340F4">
      <w:pPr>
        <w:adjustRightInd w:val="0"/>
        <w:snapToGrid w:val="0"/>
        <w:spacing w:line="384" w:lineRule="auto"/>
        <w:ind w:firstLine="420" w:firstLineChars="200"/>
        <w:rPr>
          <w:rFonts w:hint="eastAsia" w:ascii="宋体" w:hAnsi="宋体" w:cs="宋体"/>
          <w:b/>
          <w:color w:val="auto"/>
          <w:highlight w:val="none"/>
          <w:u w:val="single"/>
        </w:rPr>
      </w:pPr>
      <w:bookmarkStart w:id="885" w:name="_Toc318581172"/>
      <w:bookmarkStart w:id="886" w:name="_Toc312678016"/>
      <w:bookmarkStart w:id="887" w:name="_Toc303539129"/>
      <w:bookmarkStart w:id="888" w:name="_Toc304295550"/>
      <w:bookmarkStart w:id="889" w:name="_Toc297216179"/>
      <w:bookmarkStart w:id="890" w:name="_Toc297123520"/>
      <w:bookmarkStart w:id="891" w:name="_Toc300934972"/>
      <w:r>
        <w:rPr>
          <w:rFonts w:hint="eastAsia" w:ascii="宋体" w:hAnsi="宋体" w:cs="宋体"/>
          <w:color w:val="auto"/>
          <w:highlight w:val="none"/>
        </w:rPr>
        <w:t>不利物质条件的其他情形和有关约定：</w:t>
      </w:r>
      <w:r>
        <w:rPr>
          <w:rFonts w:hint="eastAsia" w:ascii="宋体" w:hAnsi="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执行通用条款</w:t>
      </w:r>
      <w:r>
        <w:rPr>
          <w:rFonts w:hint="eastAsia" w:ascii="宋体" w:hAnsi="宋体" w:cs="宋体"/>
          <w:color w:val="auto"/>
          <w:szCs w:val="21"/>
          <w:highlight w:val="none"/>
          <w:u w:val="single"/>
        </w:rPr>
        <w:t xml:space="preserve">   </w:t>
      </w:r>
      <w:r>
        <w:rPr>
          <w:rFonts w:hint="eastAsia" w:ascii="宋体" w:hAnsi="宋体" w:cs="宋体"/>
          <w:color w:val="auto"/>
          <w:highlight w:val="none"/>
        </w:rPr>
        <w:t>。</w:t>
      </w:r>
    </w:p>
    <w:bookmarkEnd w:id="885"/>
    <w:bookmarkEnd w:id="886"/>
    <w:bookmarkEnd w:id="887"/>
    <w:bookmarkEnd w:id="888"/>
    <w:bookmarkEnd w:id="889"/>
    <w:bookmarkEnd w:id="890"/>
    <w:bookmarkEnd w:id="891"/>
    <w:p w14:paraId="53226159">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7</w:t>
      </w:r>
      <w:bookmarkStart w:id="892" w:name="_Toc312678017"/>
      <w:bookmarkStart w:id="893" w:name="_Toc303539130"/>
      <w:bookmarkStart w:id="894" w:name="_Toc300934973"/>
      <w:bookmarkStart w:id="895" w:name="_Toc297123521"/>
      <w:bookmarkStart w:id="896" w:name="_Toc304295551"/>
      <w:bookmarkStart w:id="897" w:name="_Toc297216180"/>
      <w:r>
        <w:rPr>
          <w:rFonts w:hint="eastAsia" w:ascii="宋体" w:hAnsi="宋体" w:cs="宋体"/>
          <w:bCs/>
          <w:color w:val="auto"/>
          <w:szCs w:val="28"/>
          <w:highlight w:val="none"/>
        </w:rPr>
        <w:t>.7 异常恶劣的气候条件</w:t>
      </w:r>
    </w:p>
    <w:bookmarkEnd w:id="892"/>
    <w:bookmarkEnd w:id="893"/>
    <w:bookmarkEnd w:id="894"/>
    <w:bookmarkEnd w:id="895"/>
    <w:bookmarkEnd w:id="896"/>
    <w:bookmarkEnd w:id="897"/>
    <w:p w14:paraId="26D0034C">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发包人和承包人同意以下情形视为异常恶劣的气候条件：</w:t>
      </w:r>
    </w:p>
    <w:p w14:paraId="325D81F4">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七</w:t>
      </w:r>
      <w:r>
        <w:rPr>
          <w:rFonts w:hint="eastAsia" w:ascii="宋体" w:hAnsi="宋体" w:eastAsia="宋体" w:cs="宋体"/>
          <w:color w:val="auto"/>
          <w:szCs w:val="21"/>
          <w:highlight w:val="none"/>
          <w:u w:val="single"/>
          <w:lang w:val="en-US" w:eastAsia="zh-CN"/>
        </w:rPr>
        <w:t>级以上（含七级）大风连续 8 小时</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36F93E74">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u w:val="single"/>
        </w:rPr>
        <w:t xml:space="preserve">  </w:t>
      </w:r>
      <w:r>
        <w:rPr>
          <w:rFonts w:hint="eastAsia" w:ascii="宋体" w:hAnsi="宋体" w:eastAsia="宋体" w:cs="宋体"/>
          <w:color w:val="auto"/>
          <w:szCs w:val="21"/>
          <w:highlight w:val="none"/>
          <w:u w:val="single"/>
          <w:lang w:val="en-US" w:eastAsia="zh-CN"/>
        </w:rPr>
        <w:t>日最高温度大于 40 摄氏度，日最低温度小于-4 摄氏度</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07AC9A2">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（3）</w:t>
      </w:r>
      <w:r>
        <w:rPr>
          <w:rFonts w:hint="eastAsia" w:ascii="宋体" w:hAnsi="宋体" w:cs="宋体"/>
          <w:color w:val="auto"/>
          <w:highlight w:val="none"/>
          <w:u w:val="single"/>
        </w:rPr>
        <w:t xml:space="preserve">  </w:t>
      </w:r>
      <w:r>
        <w:rPr>
          <w:rFonts w:hint="eastAsia" w:ascii="宋体" w:hAnsi="宋体" w:eastAsia="宋体" w:cs="宋体"/>
          <w:color w:val="auto"/>
          <w:szCs w:val="21"/>
          <w:highlight w:val="none"/>
          <w:u w:val="single"/>
          <w:lang w:val="en-US" w:eastAsia="zh-CN"/>
        </w:rPr>
        <w:t>日（昼夜）平均积雪量超过 200mm 的恶劣天气影响</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0CDDD3FA">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7.9 提前竣工</w:t>
      </w:r>
    </w:p>
    <w:p w14:paraId="4157F401">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7.9.2 提前竣工的奖励：</w:t>
      </w:r>
      <w:r>
        <w:rPr>
          <w:rFonts w:hint="eastAsia" w:ascii="宋体" w:hAnsi="宋体" w:cs="宋体"/>
          <w:color w:val="auto"/>
          <w:highlight w:val="none"/>
          <w:u w:val="single"/>
          <w:lang w:val="en-US" w:eastAsia="zh-CN"/>
        </w:rPr>
        <w:t>无</w:t>
      </w:r>
    </w:p>
    <w:p w14:paraId="1EB80EF8">
      <w:pPr>
        <w:keepNext/>
        <w:keepLines/>
        <w:adjustRightInd w:val="0"/>
        <w:snapToGrid w:val="0"/>
        <w:spacing w:line="384" w:lineRule="auto"/>
        <w:jc w:val="left"/>
        <w:outlineLvl w:val="2"/>
        <w:rPr>
          <w:rFonts w:hint="eastAsia" w:ascii="宋体" w:hAnsi="宋体" w:cs="宋体"/>
          <w:bCs/>
          <w:color w:val="auto"/>
          <w:sz w:val="24"/>
          <w:highlight w:val="none"/>
        </w:rPr>
      </w:pPr>
      <w:bookmarkStart w:id="898" w:name="_Toc95223469"/>
      <w:bookmarkStart w:id="899" w:name="_Toc351203640"/>
      <w:r>
        <w:rPr>
          <w:rFonts w:hint="eastAsia" w:ascii="宋体" w:hAnsi="宋体" w:cs="宋体"/>
          <w:bCs/>
          <w:color w:val="auto"/>
          <w:sz w:val="24"/>
          <w:highlight w:val="none"/>
        </w:rPr>
        <w:t>8. 材料与设备</w:t>
      </w:r>
      <w:bookmarkEnd w:id="898"/>
      <w:bookmarkEnd w:id="899"/>
    </w:p>
    <w:bookmarkEnd w:id="830"/>
    <w:bookmarkEnd w:id="831"/>
    <w:bookmarkEnd w:id="832"/>
    <w:bookmarkEnd w:id="833"/>
    <w:bookmarkEnd w:id="834"/>
    <w:bookmarkEnd w:id="835"/>
    <w:bookmarkEnd w:id="836"/>
    <w:bookmarkEnd w:id="837"/>
    <w:bookmarkEnd w:id="838"/>
    <w:bookmarkEnd w:id="839"/>
    <w:p w14:paraId="56012389">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8</w:t>
      </w:r>
      <w:bookmarkStart w:id="900" w:name="_Toc292559372"/>
      <w:bookmarkStart w:id="901" w:name="_Toc312677493"/>
      <w:bookmarkStart w:id="902" w:name="_Toc303539136"/>
      <w:bookmarkStart w:id="903" w:name="_Toc280868654"/>
      <w:bookmarkStart w:id="904" w:name="_Toc312678019"/>
      <w:bookmarkStart w:id="905" w:name="_Toc296347166"/>
      <w:bookmarkStart w:id="906" w:name="_Toc304295556"/>
      <w:bookmarkStart w:id="907" w:name="_Toc297048353"/>
      <w:bookmarkStart w:id="908" w:name="_Toc296346668"/>
      <w:bookmarkStart w:id="909" w:name="_Toc296503167"/>
      <w:bookmarkStart w:id="910" w:name="_Toc297123527"/>
      <w:bookmarkStart w:id="911" w:name="_Toc297120467"/>
      <w:bookmarkStart w:id="912" w:name="_Toc296944506"/>
      <w:bookmarkStart w:id="913" w:name="_Toc297216186"/>
      <w:bookmarkStart w:id="914" w:name="_Toc296890995"/>
      <w:bookmarkStart w:id="915" w:name="_Toc300934979"/>
      <w:bookmarkStart w:id="916" w:name="_Toc296891207"/>
      <w:bookmarkStart w:id="917" w:name="_Toc292559877"/>
      <w:bookmarkStart w:id="918" w:name="_Toc280868656"/>
      <w:bookmarkStart w:id="919" w:name="_Toc267251424"/>
      <w:bookmarkStart w:id="920" w:name="_Toc280868655"/>
      <w:r>
        <w:rPr>
          <w:rFonts w:hint="eastAsia" w:ascii="宋体" w:hAnsi="宋体" w:cs="宋体"/>
          <w:color w:val="auto"/>
          <w:highlight w:val="none"/>
        </w:rPr>
        <w:t>.4 材料与工程设备的保管与使用</w:t>
      </w:r>
    </w:p>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p w14:paraId="6F6AF359">
      <w:pPr>
        <w:adjustRightInd w:val="0"/>
        <w:snapToGrid w:val="0"/>
        <w:spacing w:line="384" w:lineRule="auto"/>
        <w:ind w:firstLine="420" w:firstLineChars="200"/>
        <w:rPr>
          <w:rFonts w:hint="eastAsia" w:ascii="宋体" w:hAnsi="宋体" w:cs="宋体"/>
          <w:color w:val="auto"/>
          <w:highlight w:val="none"/>
          <w:u w:val="single"/>
          <w:lang w:val="en-US" w:eastAsia="zh-CN"/>
        </w:rPr>
      </w:pPr>
      <w:r>
        <w:rPr>
          <w:rFonts w:hint="eastAsia" w:ascii="宋体" w:hAnsi="宋体" w:cs="宋体"/>
          <w:color w:val="auto"/>
          <w:highlight w:val="none"/>
        </w:rPr>
        <w:t>8</w:t>
      </w:r>
      <w:bookmarkStart w:id="921" w:name="_Toc292559878"/>
      <w:bookmarkStart w:id="922" w:name="_Toc292559373"/>
      <w:bookmarkStart w:id="923" w:name="_Toc304295557"/>
      <w:bookmarkStart w:id="924" w:name="_Toc312678020"/>
      <w:bookmarkStart w:id="925" w:name="_Toc312677494"/>
      <w:bookmarkStart w:id="926" w:name="_Toc296890996"/>
      <w:bookmarkStart w:id="927" w:name="_Toc296891208"/>
      <w:bookmarkStart w:id="928" w:name="_Toc297123528"/>
      <w:bookmarkStart w:id="929" w:name="_Toc300934980"/>
      <w:bookmarkStart w:id="930" w:name="_Toc318581173"/>
      <w:bookmarkStart w:id="931" w:name="_Toc296503168"/>
      <w:bookmarkStart w:id="932" w:name="_Toc296347167"/>
      <w:bookmarkStart w:id="933" w:name="_Toc297120468"/>
      <w:bookmarkStart w:id="934" w:name="_Toc296346669"/>
      <w:bookmarkStart w:id="935" w:name="_Toc296944507"/>
      <w:bookmarkStart w:id="936" w:name="_Toc297048354"/>
      <w:bookmarkStart w:id="937" w:name="_Toc303539137"/>
      <w:bookmarkStart w:id="938" w:name="_Toc297216187"/>
      <w:r>
        <w:rPr>
          <w:rFonts w:hint="eastAsia" w:ascii="宋体" w:hAnsi="宋体" w:cs="宋体"/>
          <w:color w:val="auto"/>
          <w:highlight w:val="none"/>
        </w:rPr>
        <w:t>.4.1 发包人供应的材料设备的保管费用的承担：</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承包人承担。</w:t>
      </w:r>
    </w:p>
    <w:bookmarkEnd w:id="921"/>
    <w:bookmarkEnd w:id="922"/>
    <w:p w14:paraId="7A8683B2">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8.6 样品</w:t>
      </w:r>
    </w:p>
    <w:p w14:paraId="13ACB8EF">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8.6.1 样品的报送与封存</w:t>
      </w:r>
    </w:p>
    <w:p w14:paraId="39B1399C">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kern w:val="0"/>
          <w:highlight w:val="none"/>
        </w:rPr>
        <w:t>需要承包人报送样品的材料或工程设备，样品的种类、名称、规格、数量要求：</w:t>
      </w:r>
      <w:r>
        <w:rPr>
          <w:rFonts w:hint="eastAsia" w:ascii="宋体" w:hAnsi="宋体" w:cs="宋体"/>
          <w:color w:val="auto"/>
          <w:highlight w:val="none"/>
          <w:u w:val="single"/>
        </w:rPr>
        <w:t xml:space="preserve"> </w:t>
      </w:r>
      <w:r>
        <w:rPr>
          <w:rFonts w:hint="eastAsia" w:ascii="宋体" w:hAnsi="宋体" w:eastAsia="宋体" w:cs="宋体"/>
          <w:color w:val="auto"/>
          <w:highlight w:val="none"/>
          <w:u w:val="single"/>
          <w:lang w:val="en-US" w:eastAsia="zh-CN"/>
        </w:rPr>
        <w:t>按监理或发包人要求确定</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740A507E">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8.8 施工设备和临时设施</w:t>
      </w:r>
    </w:p>
    <w:p w14:paraId="076E900A">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8.8.1 承包人提供的施工设备和临时设施</w:t>
      </w:r>
    </w:p>
    <w:p w14:paraId="6A9C5FC8">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关于修建临时设施费用承担的约定：</w:t>
      </w:r>
      <w:r>
        <w:rPr>
          <w:rFonts w:hint="eastAsia" w:ascii="宋体" w:hAnsi="宋体" w:cs="宋体"/>
          <w:color w:val="auto"/>
          <w:szCs w:val="21"/>
          <w:highlight w:val="none"/>
          <w:u w:val="single"/>
        </w:rPr>
        <w:t xml:space="preserve"> </w:t>
      </w:r>
      <w:r>
        <w:rPr>
          <w:rFonts w:hint="eastAsia" w:ascii="宋体" w:hAnsi="宋体" w:eastAsia="宋体" w:cs="宋体"/>
          <w:color w:val="auto"/>
          <w:highlight w:val="none"/>
          <w:u w:val="single"/>
          <w:lang w:val="en-US" w:eastAsia="zh-CN"/>
        </w:rPr>
        <w:t>由承包人自行承担费用</w:t>
      </w:r>
      <w:r>
        <w:rPr>
          <w:rFonts w:hint="eastAsia" w:ascii="宋体" w:hAnsi="宋体" w:cs="宋体"/>
          <w:color w:val="auto"/>
          <w:szCs w:val="21"/>
          <w:highlight w:val="none"/>
          <w:u w:val="single"/>
        </w:rPr>
        <w:t xml:space="preserve"> </w:t>
      </w:r>
      <w:r>
        <w:rPr>
          <w:rFonts w:hint="eastAsia" w:ascii="宋体" w:hAnsi="宋体" w:cs="宋体"/>
          <w:color w:val="auto"/>
          <w:highlight w:val="none"/>
        </w:rPr>
        <w:t>。</w:t>
      </w:r>
    </w:p>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p w14:paraId="0D40C503">
      <w:pPr>
        <w:keepNext/>
        <w:keepLines/>
        <w:adjustRightInd w:val="0"/>
        <w:snapToGrid w:val="0"/>
        <w:spacing w:line="384" w:lineRule="auto"/>
        <w:jc w:val="left"/>
        <w:outlineLvl w:val="2"/>
        <w:rPr>
          <w:rFonts w:hint="eastAsia" w:ascii="宋体" w:hAnsi="宋体" w:cs="宋体"/>
          <w:bCs/>
          <w:color w:val="auto"/>
          <w:sz w:val="24"/>
          <w:highlight w:val="none"/>
        </w:rPr>
      </w:pPr>
      <w:bookmarkStart w:id="939" w:name="_Toc351203641"/>
      <w:bookmarkStart w:id="940" w:name="_Toc95223470"/>
      <w:r>
        <w:rPr>
          <w:rFonts w:hint="eastAsia" w:ascii="宋体" w:hAnsi="宋体" w:cs="宋体"/>
          <w:bCs/>
          <w:color w:val="auto"/>
          <w:sz w:val="24"/>
          <w:highlight w:val="none"/>
        </w:rPr>
        <w:t>9</w:t>
      </w:r>
      <w:bookmarkEnd w:id="918"/>
      <w:bookmarkEnd w:id="919"/>
      <w:bookmarkEnd w:id="920"/>
      <w:bookmarkStart w:id="941" w:name="_Toc312677495"/>
      <w:bookmarkStart w:id="942" w:name="_Toc304295559"/>
      <w:bookmarkStart w:id="943" w:name="_Toc312678021"/>
      <w:bookmarkStart w:id="944" w:name="_Toc297216192"/>
      <w:bookmarkStart w:id="945" w:name="_Toc303539139"/>
      <w:bookmarkStart w:id="946" w:name="_Toc300934982"/>
      <w:bookmarkStart w:id="947" w:name="_Toc297123533"/>
      <w:bookmarkStart w:id="948" w:name="_Toc296346674"/>
      <w:bookmarkStart w:id="949" w:name="_Toc292559378"/>
      <w:bookmarkStart w:id="950" w:name="_Toc296944512"/>
      <w:bookmarkStart w:id="951" w:name="_Toc296891001"/>
      <w:bookmarkStart w:id="952" w:name="_Toc296347172"/>
      <w:bookmarkStart w:id="953" w:name="_Toc267251428"/>
      <w:bookmarkStart w:id="954" w:name="_Toc297048359"/>
      <w:bookmarkStart w:id="955" w:name="_Toc297120473"/>
      <w:bookmarkStart w:id="956" w:name="_Toc292559883"/>
      <w:bookmarkStart w:id="957" w:name="_Toc296503173"/>
      <w:bookmarkStart w:id="958" w:name="_Toc296891213"/>
      <w:bookmarkStart w:id="959" w:name="_Toc267251427"/>
      <w:r>
        <w:rPr>
          <w:rFonts w:hint="eastAsia" w:ascii="宋体" w:hAnsi="宋体" w:cs="宋体"/>
          <w:bCs/>
          <w:color w:val="auto"/>
          <w:sz w:val="24"/>
          <w:highlight w:val="none"/>
        </w:rPr>
        <w:t>. 试验与检验</w:t>
      </w:r>
      <w:bookmarkEnd w:id="939"/>
      <w:bookmarkEnd w:id="940"/>
    </w:p>
    <w:bookmarkEnd w:id="941"/>
    <w:bookmarkEnd w:id="942"/>
    <w:bookmarkEnd w:id="943"/>
    <w:bookmarkEnd w:id="944"/>
    <w:bookmarkEnd w:id="945"/>
    <w:bookmarkEnd w:id="946"/>
    <w:bookmarkEnd w:id="947"/>
    <w:p w14:paraId="23108B7E">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9</w:t>
      </w:r>
      <w:bookmarkStart w:id="960" w:name="_Toc300934983"/>
      <w:bookmarkStart w:id="961" w:name="_Toc312678022"/>
      <w:bookmarkStart w:id="962" w:name="_Toc312677496"/>
      <w:bookmarkStart w:id="963" w:name="_Toc303539140"/>
      <w:bookmarkStart w:id="964" w:name="_Toc297216193"/>
      <w:bookmarkStart w:id="965" w:name="_Toc304295560"/>
      <w:bookmarkStart w:id="966" w:name="_Toc297123534"/>
      <w:r>
        <w:rPr>
          <w:rFonts w:hint="eastAsia" w:ascii="宋体" w:hAnsi="宋体" w:cs="宋体"/>
          <w:bCs/>
          <w:color w:val="auto"/>
          <w:szCs w:val="28"/>
          <w:highlight w:val="none"/>
        </w:rPr>
        <w:t>.1 试验设备与试验人员</w:t>
      </w:r>
    </w:p>
    <w:bookmarkEnd w:id="960"/>
    <w:bookmarkEnd w:id="961"/>
    <w:bookmarkEnd w:id="962"/>
    <w:bookmarkEnd w:id="963"/>
    <w:bookmarkEnd w:id="964"/>
    <w:bookmarkEnd w:id="965"/>
    <w:bookmarkEnd w:id="966"/>
    <w:p w14:paraId="6ED062FE">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9</w:t>
      </w:r>
      <w:bookmarkStart w:id="967" w:name="_Toc312678023"/>
      <w:bookmarkStart w:id="968" w:name="_Toc303539141"/>
      <w:bookmarkStart w:id="969" w:name="_Toc300934984"/>
      <w:bookmarkStart w:id="970" w:name="_Toc297216194"/>
      <w:bookmarkStart w:id="971" w:name="_Toc297123535"/>
      <w:bookmarkStart w:id="972" w:name="_Toc304295561"/>
      <w:bookmarkStart w:id="973" w:name="_Toc312677497"/>
      <w:bookmarkStart w:id="974" w:name="_Toc318581174"/>
      <w:r>
        <w:rPr>
          <w:rFonts w:hint="eastAsia" w:ascii="宋体" w:hAnsi="宋体" w:cs="宋体"/>
          <w:color w:val="auto"/>
          <w:highlight w:val="none"/>
        </w:rPr>
        <w:t>.1.2 试验设备</w:t>
      </w:r>
    </w:p>
    <w:p w14:paraId="362A9660">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施工现场需要配置的试验场所</w:t>
      </w:r>
      <w:bookmarkEnd w:id="967"/>
      <w:bookmarkEnd w:id="968"/>
      <w:bookmarkEnd w:id="969"/>
      <w:bookmarkEnd w:id="970"/>
      <w:bookmarkEnd w:id="971"/>
      <w:bookmarkEnd w:id="972"/>
      <w:bookmarkEnd w:id="973"/>
      <w:bookmarkStart w:id="975" w:name="_Toc312677498"/>
      <w:bookmarkStart w:id="976" w:name="_Toc303539142"/>
      <w:bookmarkStart w:id="977" w:name="_Toc297216195"/>
      <w:bookmarkStart w:id="978" w:name="_Toc304295562"/>
      <w:bookmarkStart w:id="979" w:name="_Toc300934985"/>
      <w:bookmarkStart w:id="980" w:name="_Toc297123536"/>
      <w:bookmarkStart w:id="981" w:name="_Toc312678024"/>
      <w:r>
        <w:rPr>
          <w:rFonts w:hint="eastAsia" w:ascii="宋体" w:hAnsi="宋体" w:cs="宋体"/>
          <w:color w:val="auto"/>
          <w:highlight w:val="none"/>
        </w:rPr>
        <w:t>：</w:t>
      </w:r>
      <w:r>
        <w:rPr>
          <w:rFonts w:hint="eastAsia" w:ascii="宋体" w:hAnsi="宋体" w:cs="宋体"/>
          <w:color w:val="auto"/>
          <w:highlight w:val="none"/>
          <w:u w:val="single"/>
        </w:rPr>
        <w:t xml:space="preserve"> </w:t>
      </w:r>
      <w:r>
        <w:rPr>
          <w:rFonts w:hint="eastAsia" w:ascii="宋体" w:hAnsi="宋体" w:eastAsia="宋体" w:cs="宋体"/>
          <w:color w:val="auto"/>
          <w:highlight w:val="none"/>
          <w:u w:val="single"/>
          <w:lang w:val="en-US" w:eastAsia="zh-CN"/>
        </w:rPr>
        <w:t>按有关规定执行，承包人自行承担费用</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p>
    <w:p w14:paraId="44604970">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施工现场需要配备的试验设备：</w:t>
      </w:r>
      <w:r>
        <w:rPr>
          <w:rFonts w:hint="eastAsia" w:ascii="宋体" w:hAnsi="宋体" w:eastAsia="宋体" w:cs="宋体"/>
          <w:color w:val="auto"/>
          <w:highlight w:val="none"/>
          <w:u w:val="single"/>
          <w:lang w:val="en-US" w:eastAsia="zh-CN"/>
        </w:rPr>
        <w:t>按有关规定执行，承包人自行承担费用</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0F6BFC19">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施工现场需要具备的其他试验条件：</w:t>
      </w:r>
      <w:r>
        <w:rPr>
          <w:rFonts w:hint="eastAsia" w:ascii="宋体" w:hAnsi="宋体" w:cs="宋体"/>
          <w:color w:val="auto"/>
          <w:highlight w:val="none"/>
          <w:u w:val="single"/>
        </w:rPr>
        <w:t xml:space="preserve"> </w:t>
      </w:r>
      <w:r>
        <w:rPr>
          <w:rFonts w:hint="eastAsia" w:ascii="宋体" w:hAnsi="宋体" w:eastAsia="宋体" w:cs="宋体"/>
          <w:color w:val="auto"/>
          <w:highlight w:val="none"/>
          <w:u w:val="single"/>
          <w:lang w:val="en-US" w:eastAsia="zh-CN"/>
        </w:rPr>
        <w:t>按有关规定执行，承包人自行承担费用</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219C7918">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 xml:space="preserve">9.4 现场工艺试验 </w:t>
      </w:r>
    </w:p>
    <w:p w14:paraId="73FC87E3">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现场工艺试验的有关约定：</w:t>
      </w:r>
      <w:r>
        <w:rPr>
          <w:rFonts w:hint="eastAsia" w:ascii="宋体" w:hAnsi="宋体" w:cs="宋体"/>
          <w:color w:val="auto"/>
          <w:highlight w:val="none"/>
          <w:u w:val="single"/>
        </w:rPr>
        <w:t xml:space="preserve"> </w:t>
      </w:r>
      <w:r>
        <w:rPr>
          <w:rFonts w:hint="eastAsia" w:ascii="宋体" w:hAnsi="宋体" w:eastAsia="宋体" w:cs="宋体"/>
          <w:color w:val="auto"/>
          <w:highlight w:val="none"/>
          <w:u w:val="single"/>
          <w:lang w:val="en-US" w:eastAsia="zh-CN"/>
        </w:rPr>
        <w:t>按有关规定执行，承包人自行承担费用</w:t>
      </w:r>
      <w:r>
        <w:rPr>
          <w:rFonts w:hint="eastAsia" w:ascii="宋体" w:hAnsi="宋体" w:cs="宋体"/>
          <w:color w:val="auto"/>
          <w:highlight w:val="none"/>
          <w:u w:val="single"/>
        </w:rPr>
        <w:t xml:space="preserve">  </w:t>
      </w:r>
      <w:r>
        <w:rPr>
          <w:rFonts w:hint="eastAsia" w:ascii="宋体" w:hAnsi="宋体" w:cs="宋体"/>
          <w:color w:val="auto"/>
          <w:highlight w:val="none"/>
        </w:rPr>
        <w:t>。</w:t>
      </w:r>
    </w:p>
    <w:bookmarkEnd w:id="974"/>
    <w:bookmarkEnd w:id="975"/>
    <w:bookmarkEnd w:id="976"/>
    <w:bookmarkEnd w:id="977"/>
    <w:bookmarkEnd w:id="978"/>
    <w:bookmarkEnd w:id="979"/>
    <w:bookmarkEnd w:id="980"/>
    <w:bookmarkEnd w:id="981"/>
    <w:p w14:paraId="1153768E">
      <w:pPr>
        <w:keepNext/>
        <w:keepLines/>
        <w:adjustRightInd w:val="0"/>
        <w:snapToGrid w:val="0"/>
        <w:spacing w:line="384" w:lineRule="auto"/>
        <w:jc w:val="left"/>
        <w:outlineLvl w:val="2"/>
        <w:rPr>
          <w:rFonts w:hint="eastAsia" w:ascii="宋体" w:hAnsi="宋体" w:cs="宋体"/>
          <w:bCs/>
          <w:color w:val="auto"/>
          <w:sz w:val="24"/>
          <w:highlight w:val="none"/>
        </w:rPr>
      </w:pPr>
      <w:bookmarkStart w:id="982" w:name="_Toc351203642"/>
      <w:bookmarkStart w:id="983" w:name="_Toc95223471"/>
      <w:r>
        <w:rPr>
          <w:rFonts w:hint="eastAsia" w:ascii="宋体" w:hAnsi="宋体" w:cs="宋体"/>
          <w:bCs/>
          <w:color w:val="auto"/>
          <w:sz w:val="24"/>
          <w:highlight w:val="none"/>
        </w:rPr>
        <w:t>1</w:t>
      </w:r>
      <w:bookmarkEnd w:id="948"/>
      <w:bookmarkEnd w:id="949"/>
      <w:bookmarkEnd w:id="950"/>
      <w:bookmarkEnd w:id="951"/>
      <w:bookmarkEnd w:id="952"/>
      <w:bookmarkEnd w:id="953"/>
      <w:bookmarkEnd w:id="954"/>
      <w:bookmarkEnd w:id="955"/>
      <w:bookmarkEnd w:id="956"/>
      <w:bookmarkEnd w:id="957"/>
      <w:bookmarkEnd w:id="958"/>
      <w:bookmarkEnd w:id="959"/>
      <w:bookmarkStart w:id="984" w:name="_Toc297048379"/>
      <w:bookmarkStart w:id="985" w:name="_Toc296346694"/>
      <w:bookmarkStart w:id="986" w:name="_Toc303539146"/>
      <w:bookmarkStart w:id="987" w:name="_Toc300934989"/>
      <w:bookmarkStart w:id="988" w:name="_Toc292559903"/>
      <w:bookmarkStart w:id="989" w:name="_Toc296347192"/>
      <w:bookmarkStart w:id="990" w:name="_Toc296891233"/>
      <w:bookmarkStart w:id="991" w:name="_Toc304295566"/>
      <w:bookmarkStart w:id="992" w:name="_Toc296891021"/>
      <w:bookmarkStart w:id="993" w:name="_Toc296944532"/>
      <w:bookmarkStart w:id="994" w:name="_Toc297120493"/>
      <w:bookmarkStart w:id="995" w:name="_Toc297123540"/>
      <w:bookmarkStart w:id="996" w:name="_Toc297216199"/>
      <w:bookmarkStart w:id="997" w:name="_Toc296503193"/>
      <w:bookmarkStart w:id="998" w:name="_Toc292559398"/>
      <w:bookmarkStart w:id="999" w:name="_Toc312678025"/>
      <w:bookmarkStart w:id="1000" w:name="_Toc312677499"/>
      <w:bookmarkStart w:id="1001" w:name="_Toc267251439"/>
      <w:bookmarkStart w:id="1002" w:name="_Toc267251437"/>
      <w:bookmarkStart w:id="1003" w:name="_Toc267251435"/>
      <w:bookmarkStart w:id="1004" w:name="_Toc267251440"/>
      <w:bookmarkStart w:id="1005" w:name="_Toc267251441"/>
      <w:bookmarkStart w:id="1006" w:name="_Toc267251433"/>
      <w:bookmarkStart w:id="1007" w:name="_Toc267251442"/>
      <w:r>
        <w:rPr>
          <w:rFonts w:hint="eastAsia" w:ascii="宋体" w:hAnsi="宋体" w:cs="宋体"/>
          <w:bCs/>
          <w:color w:val="auto"/>
          <w:sz w:val="24"/>
          <w:highlight w:val="none"/>
        </w:rPr>
        <w:t>0. 变更</w:t>
      </w:r>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p>
    <w:bookmarkEnd w:id="999"/>
    <w:bookmarkEnd w:id="1000"/>
    <w:p w14:paraId="08A61A7B">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1</w:t>
      </w:r>
      <w:bookmarkStart w:id="1008" w:name="_Toc296891234"/>
      <w:bookmarkStart w:id="1009" w:name="_Toc296346695"/>
      <w:bookmarkStart w:id="1010" w:name="_Toc296347193"/>
      <w:bookmarkStart w:id="1011" w:name="_Toc312677500"/>
      <w:bookmarkStart w:id="1012" w:name="_Toc297216200"/>
      <w:bookmarkStart w:id="1013" w:name="_Toc292559904"/>
      <w:bookmarkStart w:id="1014" w:name="_Toc312678026"/>
      <w:bookmarkStart w:id="1015" w:name="_Toc297123541"/>
      <w:bookmarkStart w:id="1016" w:name="_Toc296503194"/>
      <w:bookmarkStart w:id="1017" w:name="_Toc300934990"/>
      <w:bookmarkStart w:id="1018" w:name="_Toc296891022"/>
      <w:bookmarkStart w:id="1019" w:name="_Toc297048380"/>
      <w:bookmarkStart w:id="1020" w:name="_Toc292559399"/>
      <w:bookmarkStart w:id="1021" w:name="_Toc297120494"/>
      <w:bookmarkStart w:id="1022" w:name="_Toc296944533"/>
      <w:bookmarkStart w:id="1023" w:name="_Toc303539147"/>
      <w:bookmarkStart w:id="1024" w:name="_Toc304295567"/>
      <w:r>
        <w:rPr>
          <w:rFonts w:hint="eastAsia" w:ascii="宋体" w:hAnsi="宋体" w:cs="宋体"/>
          <w:bCs/>
          <w:color w:val="auto"/>
          <w:szCs w:val="28"/>
          <w:highlight w:val="none"/>
        </w:rPr>
        <w:t>0.1 变更的范围</w:t>
      </w:r>
    </w:p>
    <w:p w14:paraId="05E6D4E7">
      <w:pPr>
        <w:adjustRightInd w:val="0"/>
        <w:snapToGrid w:val="0"/>
        <w:spacing w:line="384" w:lineRule="auto"/>
        <w:ind w:firstLine="420" w:firstLineChars="200"/>
        <w:rPr>
          <w:rFonts w:hint="eastAsia" w:ascii="宋体" w:hAnsi="宋体" w:eastAsia="宋体" w:cs="宋体"/>
          <w:color w:val="auto"/>
          <w:highlight w:val="none"/>
          <w:u w:val="single"/>
          <w:lang w:val="en-US" w:eastAsia="zh-CN"/>
        </w:rPr>
      </w:pPr>
      <w:r>
        <w:rPr>
          <w:rFonts w:hint="eastAsia" w:ascii="宋体" w:hAnsi="宋体" w:cs="宋体"/>
          <w:color w:val="auto"/>
          <w:highlight w:val="none"/>
        </w:rPr>
        <w:t>关于变更的范围的约定：</w:t>
      </w:r>
      <w:r>
        <w:rPr>
          <w:rFonts w:hint="eastAsia" w:ascii="宋体" w:hAnsi="宋体" w:cs="宋体"/>
          <w:color w:val="auto"/>
          <w:szCs w:val="21"/>
          <w:highlight w:val="none"/>
          <w:u w:val="single"/>
        </w:rPr>
        <w:t xml:space="preserve"> </w:t>
      </w:r>
      <w:r>
        <w:rPr>
          <w:rFonts w:hint="eastAsia" w:ascii="宋体" w:hAnsi="宋体" w:eastAsia="宋体" w:cs="宋体"/>
          <w:color w:val="auto"/>
          <w:highlight w:val="none"/>
          <w:u w:val="single"/>
          <w:lang w:val="en-US" w:eastAsia="zh-CN"/>
        </w:rPr>
        <w:t>执行通用条款，符合国家、省、市相关文件规定。</w:t>
      </w:r>
    </w:p>
    <w:p w14:paraId="22B02C92">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10.4 变更估价</w:t>
      </w:r>
    </w:p>
    <w:p w14:paraId="4D56D0A8">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10.4.1 变更估价原则</w:t>
      </w:r>
    </w:p>
    <w:p w14:paraId="540E91ED">
      <w:pPr>
        <w:pageBreakBefore w:val="0"/>
        <w:widowControl w:val="0"/>
        <w:kinsoku/>
        <w:wordWrap/>
        <w:overflowPunct/>
        <w:topLinePunct w:val="0"/>
        <w:autoSpaceDE/>
        <w:autoSpaceDN/>
        <w:bidi w:val="0"/>
        <w:adjustRightInd w:val="0"/>
        <w:snapToGrid w:val="0"/>
        <w:spacing w:line="384" w:lineRule="auto"/>
        <w:ind w:firstLine="420" w:firstLineChars="200"/>
        <w:textAlignment w:val="auto"/>
        <w:rPr>
          <w:rFonts w:hint="eastAsia" w:ascii="宋体" w:hAnsi="宋体" w:cs="宋体"/>
          <w:color w:val="auto"/>
          <w:kern w:val="0"/>
          <w:highlight w:val="none"/>
        </w:rPr>
      </w:pPr>
      <w:r>
        <w:rPr>
          <w:rFonts w:hint="eastAsia" w:ascii="宋体" w:hAnsi="宋体" w:cs="宋体"/>
          <w:color w:val="auto"/>
          <w:highlight w:val="none"/>
        </w:rPr>
        <w:t xml:space="preserve">关于变更估价的约定： </w:t>
      </w:r>
      <w:r>
        <w:rPr>
          <w:rFonts w:hint="eastAsia" w:ascii="宋体" w:hAnsi="宋体" w:eastAsia="宋体" w:cs="宋体"/>
          <w:color w:val="auto"/>
          <w:kern w:val="2"/>
          <w:sz w:val="21"/>
          <w:szCs w:val="24"/>
          <w:highlight w:val="none"/>
          <w:u w:val="single"/>
          <w:lang w:val="en-US" w:eastAsia="zh-CN" w:bidi="ar-SA"/>
        </w:rPr>
        <w:t>按国家、省、市相关文件规定</w:t>
      </w:r>
      <w:r>
        <w:rPr>
          <w:rFonts w:hint="eastAsia" w:ascii="宋体" w:hAnsi="宋体" w:cs="宋体"/>
          <w:color w:val="auto"/>
          <w:highlight w:val="none"/>
        </w:rPr>
        <w:t xml:space="preserve"> </w:t>
      </w:r>
    </w:p>
    <w:p w14:paraId="2133B9F6">
      <w:pPr>
        <w:adjustRightInd w:val="0"/>
        <w:snapToGrid w:val="0"/>
        <w:spacing w:line="384" w:lineRule="auto"/>
        <w:ind w:firstLine="422" w:firstLineChars="200"/>
        <w:rPr>
          <w:rFonts w:hint="eastAsia" w:ascii="宋体" w:hAnsi="宋体" w:cs="宋体"/>
          <w:b/>
          <w:color w:val="auto"/>
          <w:highlight w:val="none"/>
        </w:rPr>
      </w:pPr>
      <w:r>
        <w:rPr>
          <w:rFonts w:hint="eastAsia" w:ascii="宋体" w:hAnsi="宋体" w:cs="宋体"/>
          <w:b/>
          <w:color w:val="auto"/>
          <w:kern w:val="0"/>
          <w:highlight w:val="none"/>
        </w:rPr>
        <w:t>10.4.1.1 因工程变更引起已标价工程量清单项目或其工程数量发生变化时，按下列规定调整：</w:t>
      </w:r>
      <w:r>
        <w:rPr>
          <w:rFonts w:hint="eastAsia" w:ascii="宋体" w:hAnsi="宋体" w:cs="宋体"/>
          <w:b/>
          <w:color w:val="auto"/>
          <w:highlight w:val="none"/>
        </w:rPr>
        <w:t xml:space="preserve"> 变更导致结算工程量减少 0-100%或增加 15%以内部分，执行中标单价；超出 15％以外部分的，若中标综合单价高于（最高投标限价中综合单价×投标让利幅度）时，按（最高投标限价中综合单价×投标让利幅度）计算；若中标综合单价低于（最高投标限价中综合单价×投标让利幅度）时，执行中标单价(组价明显错误的予以纠正） 。新增项目单价按照最高投标限价的编制原则重新组价×投标让利幅度，重新组价价格最终以审计部门审核结算价为准。注：投标让利幅度为中标价/最高投标限价，其中中标价和最高投标限价均扣除暂定金额、暂估价</w:t>
      </w:r>
      <w:r>
        <w:rPr>
          <w:rFonts w:hint="eastAsia" w:ascii="宋体" w:hAnsi="宋体" w:cs="宋体"/>
          <w:b/>
          <w:color w:val="auto"/>
          <w:highlight w:val="none"/>
          <w:lang w:eastAsia="zh-CN"/>
        </w:rPr>
        <w:t>。</w:t>
      </w:r>
      <w:r>
        <w:rPr>
          <w:rFonts w:hint="eastAsia" w:ascii="宋体" w:hAnsi="宋体" w:cs="宋体"/>
          <w:b/>
          <w:color w:val="auto"/>
          <w:highlight w:val="none"/>
        </w:rPr>
        <w:t xml:space="preserve">   </w:t>
      </w:r>
    </w:p>
    <w:p w14:paraId="72CB324A">
      <w:pPr>
        <w:adjustRightInd w:val="0"/>
        <w:snapToGrid w:val="0"/>
        <w:spacing w:line="384"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10.4.1.2 工程变更引起施工方案改变并使措施项目发生变化时，承包人提出调整措施项目费的，应事前将拟实施的方案提交发包人确认，并应详细说明与原方案措施项目相比的变化情况。拟实施的方案经发承包双方确认后执行，并应按照下列规定调整措施项目费：</w:t>
      </w:r>
    </w:p>
    <w:p w14:paraId="0EDA3CE7">
      <w:pPr>
        <w:adjustRightInd w:val="0"/>
        <w:snapToGrid w:val="0"/>
        <w:spacing w:line="384" w:lineRule="auto"/>
        <w:ind w:firstLine="422" w:firstLineChars="200"/>
        <w:rPr>
          <w:rFonts w:hint="eastAsia" w:ascii="宋体" w:hAnsi="宋体" w:cs="宋体"/>
          <w:b/>
          <w:color w:val="auto"/>
          <w:szCs w:val="21"/>
          <w:highlight w:val="none"/>
          <w:u w:val="none"/>
        </w:rPr>
      </w:pPr>
      <w:r>
        <w:rPr>
          <w:rFonts w:hint="eastAsia" w:ascii="宋体" w:hAnsi="宋体" w:cs="宋体"/>
          <w:b/>
          <w:color w:val="auto"/>
          <w:szCs w:val="21"/>
          <w:highlight w:val="none"/>
          <w:u w:val="none"/>
        </w:rPr>
        <w:t xml:space="preserve">  技术措施费调整：由于承包人改变施工技术措施，造成的价格变动，措施费不予调整。因发包人要求或工程量的增减必须改变原来施工技术措施，造成价格变动的，应扣减相应的原施工技术措施费后，按新增项目组价方式，进行措施费调整。由于分部分项清单工程量增减导致措施费用变化的，按实调整。</w:t>
      </w:r>
    </w:p>
    <w:p w14:paraId="465AF855">
      <w:pPr>
        <w:adjustRightInd w:val="0"/>
        <w:snapToGrid w:val="0"/>
        <w:spacing w:line="384" w:lineRule="auto"/>
        <w:ind w:firstLine="422" w:firstLineChars="200"/>
        <w:rPr>
          <w:rFonts w:hint="eastAsia" w:ascii="宋体" w:hAnsi="宋体" w:cs="宋体"/>
          <w:b/>
          <w:color w:val="auto"/>
          <w:szCs w:val="21"/>
          <w:highlight w:val="none"/>
          <w:u w:val="none"/>
        </w:rPr>
      </w:pPr>
      <w:r>
        <w:rPr>
          <w:rFonts w:hint="eastAsia" w:ascii="宋体" w:hAnsi="宋体" w:cs="宋体"/>
          <w:b/>
          <w:color w:val="auto"/>
          <w:szCs w:val="21"/>
          <w:highlight w:val="none"/>
          <w:u w:val="none"/>
        </w:rPr>
        <w:t xml:space="preserve">组织措施费调整： 由于分部分项清单工程量增减导致措施费用变化的，按实调整。 </w:t>
      </w:r>
    </w:p>
    <w:p w14:paraId="3427E618">
      <w:pPr>
        <w:keepNext/>
        <w:keepLines/>
        <w:pageBreakBefore w:val="0"/>
        <w:widowControl w:val="0"/>
        <w:kinsoku/>
        <w:wordWrap/>
        <w:overflowPunct/>
        <w:topLinePunct w:val="0"/>
        <w:autoSpaceDE/>
        <w:autoSpaceDN/>
        <w:bidi w:val="0"/>
        <w:adjustRightInd w:val="0"/>
        <w:snapToGrid w:val="0"/>
        <w:spacing w:line="384" w:lineRule="auto"/>
        <w:ind w:firstLine="420" w:firstLineChars="200"/>
        <w:textAlignment w:val="auto"/>
        <w:outlineLvl w:val="3"/>
        <w:rPr>
          <w:rFonts w:hint="eastAsia" w:ascii="宋体" w:hAnsi="宋体" w:cs="宋体"/>
          <w:bCs/>
          <w:color w:val="auto"/>
          <w:szCs w:val="28"/>
          <w:highlight w:val="none"/>
        </w:rPr>
      </w:pPr>
      <w:r>
        <w:rPr>
          <w:rFonts w:hint="eastAsia" w:ascii="宋体" w:hAnsi="宋体" w:cs="宋体"/>
          <w:bCs/>
          <w:color w:val="auto"/>
          <w:szCs w:val="28"/>
          <w:highlight w:val="none"/>
        </w:rPr>
        <w:t>1</w:t>
      </w:r>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Start w:id="1025" w:name="_Toc297216203"/>
      <w:bookmarkStart w:id="1026" w:name="_Toc296891025"/>
      <w:bookmarkStart w:id="1027" w:name="_Toc297120497"/>
      <w:bookmarkStart w:id="1028" w:name="_Toc296944536"/>
      <w:bookmarkStart w:id="1029" w:name="_Toc303539150"/>
      <w:bookmarkStart w:id="1030" w:name="_Toc297123544"/>
      <w:bookmarkStart w:id="1031" w:name="_Toc300934993"/>
      <w:bookmarkStart w:id="1032" w:name="_Toc292559402"/>
      <w:bookmarkStart w:id="1033" w:name="_Toc296347196"/>
      <w:bookmarkStart w:id="1034" w:name="_Toc292559907"/>
      <w:bookmarkStart w:id="1035" w:name="_Toc296346698"/>
      <w:bookmarkStart w:id="1036" w:name="_Toc296503197"/>
      <w:bookmarkStart w:id="1037" w:name="_Toc297048383"/>
      <w:bookmarkStart w:id="1038" w:name="_Toc296891237"/>
      <w:bookmarkStart w:id="1039" w:name="_Toc312677503"/>
      <w:bookmarkStart w:id="1040" w:name="_Toc304295570"/>
      <w:bookmarkStart w:id="1041" w:name="_Toc312678029"/>
      <w:r>
        <w:rPr>
          <w:rFonts w:hint="eastAsia" w:ascii="宋体" w:hAnsi="宋体" w:cs="宋体"/>
          <w:bCs/>
          <w:color w:val="auto"/>
          <w:szCs w:val="28"/>
          <w:highlight w:val="none"/>
        </w:rPr>
        <w:t>0.5 承</w:t>
      </w:r>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Start w:id="1042" w:name="_Toc296347202"/>
      <w:bookmarkStart w:id="1043" w:name="_Toc292559408"/>
      <w:bookmarkStart w:id="1044" w:name="_Toc292559913"/>
      <w:bookmarkStart w:id="1045" w:name="_Toc297120503"/>
      <w:bookmarkStart w:id="1046" w:name="_Toc297048389"/>
      <w:bookmarkStart w:id="1047" w:name="_Toc296891243"/>
      <w:bookmarkStart w:id="1048" w:name="_Toc296503203"/>
      <w:bookmarkStart w:id="1049" w:name="_Toc297216204"/>
      <w:bookmarkStart w:id="1050" w:name="_Toc300934994"/>
      <w:bookmarkStart w:id="1051" w:name="_Toc296346704"/>
      <w:bookmarkStart w:id="1052" w:name="_Toc297123545"/>
      <w:bookmarkStart w:id="1053" w:name="_Toc296891031"/>
      <w:bookmarkStart w:id="1054" w:name="_Toc303539151"/>
      <w:bookmarkStart w:id="1055" w:name="_Toc296944542"/>
      <w:r>
        <w:rPr>
          <w:rFonts w:hint="eastAsia" w:ascii="宋体" w:hAnsi="宋体" w:cs="宋体"/>
          <w:bCs/>
          <w:color w:val="auto"/>
          <w:szCs w:val="28"/>
          <w:highlight w:val="none"/>
        </w:rPr>
        <w:t>包人的合理化建议</w:t>
      </w:r>
    </w:p>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p w14:paraId="0299254D">
      <w:pPr>
        <w:pageBreakBefore w:val="0"/>
        <w:widowControl w:val="0"/>
        <w:kinsoku/>
        <w:wordWrap/>
        <w:overflowPunct/>
        <w:topLinePunct w:val="0"/>
        <w:autoSpaceDE/>
        <w:autoSpaceDN/>
        <w:bidi w:val="0"/>
        <w:adjustRightInd w:val="0"/>
        <w:snapToGrid w:val="0"/>
        <w:spacing w:line="384" w:lineRule="auto"/>
        <w:ind w:firstLine="420" w:firstLineChars="200"/>
        <w:textAlignment w:val="auto"/>
        <w:rPr>
          <w:rFonts w:hint="eastAsia" w:ascii="宋体" w:hAnsi="宋体" w:cs="宋体"/>
          <w:color w:val="auto"/>
          <w:highlight w:val="none"/>
          <w:u w:val="single"/>
        </w:rPr>
      </w:pPr>
      <w:r>
        <w:rPr>
          <w:rFonts w:hint="eastAsia" w:ascii="宋体" w:hAnsi="宋体" w:cs="宋体"/>
          <w:color w:val="auto"/>
          <w:highlight w:val="none"/>
        </w:rPr>
        <w:t>监理人审查承包人合理化建议的期限：</w:t>
      </w:r>
      <w:r>
        <w:rPr>
          <w:rFonts w:hint="eastAsia" w:ascii="宋体" w:hAnsi="宋体" w:cs="宋体"/>
          <w:color w:val="auto"/>
          <w:szCs w:val="21"/>
          <w:highlight w:val="none"/>
          <w:u w:val="single"/>
        </w:rPr>
        <w:t>监理人应在收到承包人提交的合理化建议后 7 天内审查完毕并报送发包人，发现其存在技术上的缺陷，应通知承包人修改</w:t>
      </w:r>
      <w:r>
        <w:rPr>
          <w:rFonts w:hint="eastAsia" w:ascii="宋体" w:hAnsi="宋体" w:cs="宋体"/>
          <w:color w:val="auto"/>
          <w:highlight w:val="none"/>
        </w:rPr>
        <w:t>。</w:t>
      </w:r>
    </w:p>
    <w:p w14:paraId="71CD916E">
      <w:pPr>
        <w:pageBreakBefore w:val="0"/>
        <w:widowControl w:val="0"/>
        <w:kinsoku/>
        <w:wordWrap/>
        <w:overflowPunct/>
        <w:topLinePunct w:val="0"/>
        <w:autoSpaceDE/>
        <w:autoSpaceDN/>
        <w:bidi w:val="0"/>
        <w:adjustRightInd w:val="0"/>
        <w:snapToGrid w:val="0"/>
        <w:spacing w:line="384" w:lineRule="auto"/>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发包人审批承包人合理化建议的期限：</w:t>
      </w:r>
      <w:r>
        <w:rPr>
          <w:rFonts w:hint="eastAsia" w:ascii="宋体" w:hAnsi="宋体" w:cs="宋体"/>
          <w:color w:val="auto"/>
          <w:szCs w:val="21"/>
          <w:highlight w:val="none"/>
          <w:u w:val="single"/>
        </w:rPr>
        <w:t xml:space="preserve"> 发包人应在收到监理人报送的合理化建议后 7 天内审批完毕。合理化建议经发包人批准的，监理人应及时发出变更指示，由此引起的合同价格调整按照第 10.4 款〔变更估价〕约定执行。发包人不同意变更的，监理人应书面通知承包人 </w:t>
      </w:r>
      <w:r>
        <w:rPr>
          <w:rFonts w:hint="eastAsia" w:ascii="宋体" w:hAnsi="宋体" w:cs="宋体"/>
          <w:color w:val="auto"/>
          <w:highlight w:val="none"/>
        </w:rPr>
        <w:t>。</w:t>
      </w:r>
    </w:p>
    <w:p w14:paraId="41EEA33A">
      <w:pPr>
        <w:pageBreakBefore w:val="0"/>
        <w:widowControl w:val="0"/>
        <w:kinsoku/>
        <w:wordWrap/>
        <w:overflowPunct/>
        <w:topLinePunct w:val="0"/>
        <w:autoSpaceDE/>
        <w:autoSpaceDN/>
        <w:bidi w:val="0"/>
        <w:adjustRightInd w:val="0"/>
        <w:snapToGrid w:val="0"/>
        <w:spacing w:line="384" w:lineRule="auto"/>
        <w:ind w:firstLine="420" w:firstLineChars="200"/>
        <w:textAlignment w:val="auto"/>
        <w:rPr>
          <w:rFonts w:hint="eastAsia" w:ascii="宋体" w:hAnsi="宋体" w:cs="宋体"/>
          <w:color w:val="auto"/>
          <w:highlight w:val="none"/>
          <w:u w:val="single"/>
        </w:rPr>
      </w:pPr>
      <w:r>
        <w:rPr>
          <w:rFonts w:hint="eastAsia" w:ascii="宋体" w:hAnsi="宋体" w:cs="宋体"/>
          <w:color w:val="auto"/>
          <w:highlight w:val="none"/>
        </w:rPr>
        <w:t>承</w:t>
      </w:r>
      <w:bookmarkStart w:id="1056" w:name="_Toc304295571"/>
      <w:bookmarkStart w:id="1057" w:name="_Toc296891032"/>
      <w:bookmarkStart w:id="1058" w:name="_Toc300934995"/>
      <w:bookmarkStart w:id="1059" w:name="_Toc296346705"/>
      <w:bookmarkStart w:id="1060" w:name="_Toc296503204"/>
      <w:bookmarkStart w:id="1061" w:name="_Toc296944543"/>
      <w:bookmarkStart w:id="1062" w:name="_Toc312677504"/>
      <w:bookmarkStart w:id="1063" w:name="_Toc297048390"/>
      <w:bookmarkStart w:id="1064" w:name="_Toc292559409"/>
      <w:bookmarkStart w:id="1065" w:name="_Toc297216205"/>
      <w:bookmarkStart w:id="1066" w:name="_Toc312678030"/>
      <w:bookmarkStart w:id="1067" w:name="_Toc296891244"/>
      <w:bookmarkStart w:id="1068" w:name="_Toc297120504"/>
      <w:bookmarkStart w:id="1069" w:name="_Toc303539152"/>
      <w:bookmarkStart w:id="1070" w:name="_Toc297123546"/>
      <w:bookmarkStart w:id="1071" w:name="_Toc296347203"/>
      <w:bookmarkStart w:id="1072" w:name="_Toc318581175"/>
      <w:bookmarkStart w:id="1073" w:name="_Toc292559914"/>
      <w:r>
        <w:rPr>
          <w:rFonts w:hint="eastAsia" w:ascii="宋体" w:hAnsi="宋体" w:cs="宋体"/>
          <w:color w:val="auto"/>
          <w:highlight w:val="none"/>
        </w:rPr>
        <w:t>包人提出的合理化建议降低了合同价格或者提高了工程经济效益的奖励的方法和金额为：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w:t>
      </w:r>
      <w:r>
        <w:rPr>
          <w:rFonts w:hint="eastAsia" w:ascii="宋体" w:hAnsi="宋体" w:cs="宋体"/>
          <w:color w:val="auto"/>
          <w:szCs w:val="21"/>
          <w:highlight w:val="none"/>
          <w:u w:val="single"/>
        </w:rPr>
        <w:t xml:space="preserve">                             </w:t>
      </w:r>
      <w:r>
        <w:rPr>
          <w:rFonts w:hint="eastAsia" w:ascii="宋体" w:hAnsi="宋体" w:cs="宋体"/>
          <w:color w:val="auto"/>
          <w:highlight w:val="none"/>
        </w:rPr>
        <w:t>。</w:t>
      </w:r>
    </w:p>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p w14:paraId="2B31C8FF">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1</w:t>
      </w:r>
      <w:bookmarkStart w:id="1074" w:name="_Toc312677507"/>
      <w:bookmarkStart w:id="1075" w:name="_Toc296891027"/>
      <w:bookmarkStart w:id="1076" w:name="_Toc292559404"/>
      <w:bookmarkStart w:id="1077" w:name="_Toc297048385"/>
      <w:bookmarkStart w:id="1078" w:name="_Toc296503199"/>
      <w:bookmarkStart w:id="1079" w:name="_Toc297216207"/>
      <w:bookmarkStart w:id="1080" w:name="_Toc303539154"/>
      <w:bookmarkStart w:id="1081" w:name="_Toc304295574"/>
      <w:bookmarkStart w:id="1082" w:name="_Toc296346700"/>
      <w:bookmarkStart w:id="1083" w:name="_Toc292559909"/>
      <w:bookmarkStart w:id="1084" w:name="_Toc296891239"/>
      <w:bookmarkStart w:id="1085" w:name="_Toc297123548"/>
      <w:bookmarkStart w:id="1086" w:name="_Toc312678033"/>
      <w:bookmarkStart w:id="1087" w:name="_Toc296347198"/>
      <w:bookmarkStart w:id="1088" w:name="_Toc296944538"/>
      <w:bookmarkStart w:id="1089" w:name="_Toc300934997"/>
      <w:bookmarkStart w:id="1090" w:name="_Toc297120499"/>
      <w:r>
        <w:rPr>
          <w:rFonts w:hint="eastAsia" w:ascii="宋体" w:hAnsi="宋体" w:cs="宋体"/>
          <w:bCs/>
          <w:color w:val="auto"/>
          <w:szCs w:val="28"/>
          <w:highlight w:val="none"/>
        </w:rPr>
        <w:t>0.7 暂估价</w:t>
      </w:r>
    </w:p>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p w14:paraId="6333A253">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kern w:val="0"/>
          <w:highlight w:val="none"/>
        </w:rPr>
        <w:t>暂</w:t>
      </w:r>
      <w:bookmarkStart w:id="1091" w:name="_Toc312677508"/>
      <w:bookmarkStart w:id="1092" w:name="_Toc312678034"/>
      <w:bookmarkStart w:id="1093" w:name="_Toc318581176"/>
      <w:r>
        <w:rPr>
          <w:rFonts w:hint="eastAsia" w:ascii="宋体" w:hAnsi="宋体" w:cs="宋体"/>
          <w:color w:val="auto"/>
          <w:kern w:val="0"/>
          <w:highlight w:val="none"/>
        </w:rPr>
        <w:t>估价材料和工程设备的明细详见附件12：《</w:t>
      </w:r>
      <w:r>
        <w:rPr>
          <w:rFonts w:hint="eastAsia" w:ascii="宋体" w:hAnsi="宋体" w:cs="宋体"/>
          <w:color w:val="auto"/>
          <w:highlight w:val="none"/>
        </w:rPr>
        <w:t>暂估价一览表》</w:t>
      </w:r>
      <w:r>
        <w:rPr>
          <w:rFonts w:hint="eastAsia" w:ascii="宋体" w:hAnsi="宋体" w:cs="宋体"/>
          <w:color w:val="auto"/>
          <w:kern w:val="0"/>
          <w:highlight w:val="none"/>
        </w:rPr>
        <w:t>。</w:t>
      </w:r>
    </w:p>
    <w:bookmarkEnd w:id="1091"/>
    <w:bookmarkEnd w:id="1092"/>
    <w:bookmarkEnd w:id="1093"/>
    <w:p w14:paraId="4655033C">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w:t>
      </w:r>
      <w:bookmarkStart w:id="1094" w:name="_Toc312677509"/>
      <w:bookmarkStart w:id="1095" w:name="_Toc312678035"/>
      <w:bookmarkStart w:id="1096" w:name="_Toc318581177"/>
      <w:r>
        <w:rPr>
          <w:rFonts w:hint="eastAsia" w:ascii="宋体" w:hAnsi="宋体" w:cs="宋体"/>
          <w:color w:val="auto"/>
          <w:highlight w:val="none"/>
        </w:rPr>
        <w:t>0.7.1 依法必须招标的暂估价项目</w:t>
      </w:r>
    </w:p>
    <w:bookmarkEnd w:id="1094"/>
    <w:bookmarkEnd w:id="1095"/>
    <w:bookmarkEnd w:id="1096"/>
    <w:p w14:paraId="5411440F">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对于依法必须招标的暂估价项目的确认和批准采取第</w:t>
      </w:r>
      <w:r>
        <w:rPr>
          <w:rFonts w:hint="eastAsia" w:ascii="宋体" w:hAnsi="宋体" w:cs="宋体"/>
          <w:color w:val="auto"/>
          <w:highlight w:val="none"/>
          <w:u w:val="single"/>
        </w:rPr>
        <w:t xml:space="preserve">  2  </w:t>
      </w:r>
      <w:r>
        <w:rPr>
          <w:rFonts w:hint="eastAsia" w:ascii="宋体" w:hAnsi="宋体" w:cs="宋体"/>
          <w:color w:val="auto"/>
          <w:highlight w:val="none"/>
        </w:rPr>
        <w:t>种方式确定。</w:t>
      </w:r>
      <w:r>
        <w:rPr>
          <w:rFonts w:hint="eastAsia" w:ascii="宋体" w:hAnsi="宋体" w:cs="宋体"/>
          <w:b/>
          <w:color w:val="auto"/>
          <w:highlight w:val="none"/>
          <w:u w:val="single"/>
        </w:rPr>
        <w:t xml:space="preserve">并应按相关规定进行二次招标  </w:t>
      </w:r>
      <w:r>
        <w:rPr>
          <w:rFonts w:hint="eastAsia" w:ascii="宋体" w:hAnsi="宋体" w:cs="宋体"/>
          <w:color w:val="auto"/>
          <w:highlight w:val="none"/>
        </w:rPr>
        <w:t>。</w:t>
      </w:r>
    </w:p>
    <w:p w14:paraId="2CF2BBBF">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10.7.2 不属于依法必须招标的暂估价项目</w:t>
      </w:r>
    </w:p>
    <w:p w14:paraId="6FA1F7C0">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 xml:space="preserve">对于不属于依法必须招标的暂估价项目的确认和批准采取第 </w:t>
      </w:r>
      <w:r>
        <w:rPr>
          <w:rFonts w:hint="eastAsia" w:ascii="宋体" w:hAnsi="宋体" w:cs="宋体"/>
          <w:color w:val="auto"/>
          <w:highlight w:val="none"/>
          <w:u w:val="single"/>
        </w:rPr>
        <w:t xml:space="preserve">1 </w:t>
      </w:r>
      <w:r>
        <w:rPr>
          <w:rFonts w:hint="eastAsia" w:ascii="宋体" w:hAnsi="宋体" w:cs="宋体"/>
          <w:color w:val="auto"/>
          <w:highlight w:val="none"/>
        </w:rPr>
        <w:t>种方式确定。</w:t>
      </w:r>
    </w:p>
    <w:p w14:paraId="25F7436D">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highlight w:val="none"/>
        </w:rPr>
        <w:t>第3种方式：</w:t>
      </w:r>
      <w:r>
        <w:rPr>
          <w:rFonts w:hint="eastAsia" w:ascii="宋体" w:hAnsi="宋体" w:cs="宋体"/>
          <w:color w:val="auto"/>
          <w:kern w:val="0"/>
          <w:highlight w:val="none"/>
        </w:rPr>
        <w:t>承包人直接实施的暂估价项目</w:t>
      </w:r>
    </w:p>
    <w:p w14:paraId="2E757C5B">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承包人直接实施的暂估价项目的约定：</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307197B7">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10.8 暂列金额</w:t>
      </w:r>
    </w:p>
    <w:p w14:paraId="4E6404D5">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kern w:val="0"/>
          <w:highlight w:val="none"/>
        </w:rPr>
        <w:t>合同当事人关于暂列金额使用的约定：</w:t>
      </w:r>
      <w:r>
        <w:rPr>
          <w:rFonts w:hint="eastAsia" w:ascii="宋体" w:hAnsi="宋体" w:cs="宋体"/>
          <w:color w:val="auto"/>
          <w:szCs w:val="21"/>
          <w:highlight w:val="none"/>
          <w:u w:val="single"/>
        </w:rPr>
        <w:t>暂列金是发包人为可能发生工程变更而暂列的金额，是</w:t>
      </w:r>
      <w:r>
        <w:rPr>
          <w:rFonts w:hint="eastAsia" w:ascii="宋体" w:hAnsi="宋体" w:eastAsia="宋体" w:cs="宋体"/>
          <w:color w:val="auto"/>
          <w:szCs w:val="21"/>
          <w:highlight w:val="none"/>
          <w:u w:val="single"/>
          <w:lang w:val="en-US" w:eastAsia="zh-CN"/>
        </w:rPr>
        <w:t>发包人</w:t>
      </w:r>
      <w:r>
        <w:rPr>
          <w:rFonts w:hint="eastAsia" w:ascii="宋体" w:hAnsi="宋体" w:cs="宋体"/>
          <w:color w:val="auto"/>
          <w:szCs w:val="21"/>
          <w:highlight w:val="none"/>
          <w:u w:val="single"/>
        </w:rPr>
        <w:t>自行确定设立的，承包商无权使用此笔费用。此费用按实际发生经</w:t>
      </w:r>
      <w:r>
        <w:rPr>
          <w:rFonts w:hint="eastAsia" w:ascii="宋体" w:hAnsi="宋体" w:eastAsia="宋体" w:cs="宋体"/>
          <w:color w:val="auto"/>
          <w:szCs w:val="21"/>
          <w:highlight w:val="none"/>
          <w:u w:val="single"/>
          <w:lang w:val="en-US" w:eastAsia="zh-CN"/>
        </w:rPr>
        <w:t>发包人</w:t>
      </w:r>
      <w:r>
        <w:rPr>
          <w:rFonts w:hint="eastAsia" w:ascii="宋体" w:hAnsi="宋体" w:cs="宋体"/>
          <w:color w:val="auto"/>
          <w:szCs w:val="21"/>
          <w:highlight w:val="none"/>
          <w:u w:val="single"/>
        </w:rPr>
        <w:t xml:space="preserve">签证后确定全部使用、部分使用或不使用。暂列金不计入工程款付款的基数。 </w:t>
      </w:r>
      <w:r>
        <w:rPr>
          <w:rFonts w:hint="eastAsia" w:ascii="宋体" w:hAnsi="宋体" w:cs="宋体"/>
          <w:color w:val="auto"/>
          <w:kern w:val="0"/>
          <w:highlight w:val="none"/>
        </w:rPr>
        <w:t>。</w:t>
      </w:r>
    </w:p>
    <w:p w14:paraId="311F1039">
      <w:pPr>
        <w:keepNext/>
        <w:keepLines/>
        <w:adjustRightInd w:val="0"/>
        <w:snapToGrid w:val="0"/>
        <w:spacing w:line="384" w:lineRule="auto"/>
        <w:jc w:val="left"/>
        <w:outlineLvl w:val="2"/>
        <w:rPr>
          <w:rFonts w:hint="eastAsia" w:ascii="宋体" w:hAnsi="宋体" w:cs="宋体"/>
          <w:bCs/>
          <w:color w:val="auto"/>
          <w:sz w:val="24"/>
          <w:highlight w:val="none"/>
        </w:rPr>
      </w:pPr>
      <w:bookmarkStart w:id="1097" w:name="_Toc351203643"/>
      <w:bookmarkStart w:id="1098" w:name="_Toc95223472"/>
      <w:r>
        <w:rPr>
          <w:rFonts w:hint="eastAsia" w:ascii="宋体" w:hAnsi="宋体" w:cs="宋体"/>
          <w:bCs/>
          <w:color w:val="auto"/>
          <w:sz w:val="24"/>
          <w:highlight w:val="none"/>
        </w:rPr>
        <w:t>11. 价格调整</w:t>
      </w:r>
      <w:bookmarkEnd w:id="1097"/>
      <w:bookmarkEnd w:id="1098"/>
    </w:p>
    <w:p w14:paraId="7134A201">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bookmarkStart w:id="1099" w:name="_Toc296891029"/>
      <w:bookmarkStart w:id="1100" w:name="_Toc296347200"/>
      <w:bookmarkStart w:id="1101" w:name="_Toc292559406"/>
      <w:bookmarkStart w:id="1102" w:name="_Toc297216209"/>
      <w:bookmarkStart w:id="1103" w:name="_Toc297048387"/>
      <w:bookmarkStart w:id="1104" w:name="_Toc312678039"/>
      <w:bookmarkStart w:id="1105" w:name="_Toc296944540"/>
      <w:bookmarkStart w:id="1106" w:name="_Toc304295577"/>
      <w:bookmarkStart w:id="1107" w:name="_Toc303539157"/>
      <w:bookmarkStart w:id="1108" w:name="_Toc292559911"/>
      <w:bookmarkStart w:id="1109" w:name="_Toc297120501"/>
      <w:bookmarkStart w:id="1110" w:name="_Toc296891241"/>
      <w:bookmarkStart w:id="1111" w:name="_Toc297123550"/>
      <w:bookmarkStart w:id="1112" w:name="_Toc300935000"/>
      <w:bookmarkStart w:id="1113" w:name="_Toc296346702"/>
      <w:bookmarkStart w:id="1114" w:name="_Toc296503201"/>
      <w:r>
        <w:rPr>
          <w:rFonts w:hint="eastAsia" w:ascii="宋体" w:hAnsi="宋体" w:cs="宋体"/>
          <w:bCs/>
          <w:color w:val="auto"/>
          <w:szCs w:val="28"/>
          <w:highlight w:val="none"/>
        </w:rPr>
        <w:t>11.1 市场价格波动引起的调整</w:t>
      </w:r>
    </w:p>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p w14:paraId="3BB3D31F">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kern w:val="0"/>
          <w:highlight w:val="none"/>
        </w:rPr>
        <w:t>市场价格波动是否调整合同价格的约定：</w:t>
      </w:r>
      <w:r>
        <w:rPr>
          <w:rFonts w:hint="eastAsia" w:ascii="宋体" w:hAnsi="宋体" w:cs="宋体"/>
          <w:b/>
          <w:color w:val="auto"/>
          <w:highlight w:val="none"/>
          <w:u w:val="single"/>
        </w:rPr>
        <w:t xml:space="preserve">   </w:t>
      </w:r>
      <w:r>
        <w:rPr>
          <w:rFonts w:hint="eastAsia" w:ascii="宋体" w:hAnsi="宋体" w:cs="宋体"/>
          <w:b/>
          <w:color w:val="auto"/>
          <w:highlight w:val="none"/>
          <w:u w:val="single"/>
          <w:lang w:val="en-US" w:eastAsia="zh-CN"/>
        </w:rPr>
        <w:t>调整，具体见以下约定</w:t>
      </w:r>
      <w:r>
        <w:rPr>
          <w:rFonts w:hint="eastAsia" w:ascii="宋体" w:hAnsi="宋体" w:cs="宋体"/>
          <w:b/>
          <w:color w:val="auto"/>
          <w:highlight w:val="none"/>
          <w:u w:val="single"/>
        </w:rPr>
        <w:t xml:space="preserve">   </w:t>
      </w:r>
      <w:r>
        <w:rPr>
          <w:rFonts w:hint="eastAsia" w:ascii="宋体" w:hAnsi="宋体" w:cs="宋体"/>
          <w:color w:val="auto"/>
          <w:highlight w:val="none"/>
        </w:rPr>
        <w:t>。</w:t>
      </w:r>
    </w:p>
    <w:p w14:paraId="37394927">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因市场价格波动调整合同价格，采用以下第</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2</w:t>
      </w:r>
      <w:r>
        <w:rPr>
          <w:rFonts w:hint="eastAsia" w:ascii="宋体" w:hAnsi="宋体" w:cs="宋体"/>
          <w:color w:val="auto"/>
          <w:highlight w:val="none"/>
          <w:u w:val="single"/>
        </w:rPr>
        <w:t xml:space="preserve">  </w:t>
      </w:r>
      <w:r>
        <w:rPr>
          <w:rFonts w:hint="eastAsia" w:ascii="宋体" w:hAnsi="宋体" w:cs="宋体"/>
          <w:color w:val="auto"/>
          <w:highlight w:val="none"/>
        </w:rPr>
        <w:t>种方式对合同价格进行调整：</w:t>
      </w:r>
    </w:p>
    <w:p w14:paraId="09B37967">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第1种方式：采用价格指数进行价格调整。</w:t>
      </w:r>
    </w:p>
    <w:p w14:paraId="5F17F695">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关于各可调因子、定值和变值权重，以及基本价格指数及其来源的约定：</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p>
    <w:p w14:paraId="3265F7D1">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第2种方式：采用造价信息进行价格调整。</w:t>
      </w:r>
    </w:p>
    <w:p w14:paraId="66225ADA">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（1）价格的调整：</w:t>
      </w:r>
    </w:p>
    <w:p w14:paraId="6E9AD64D">
      <w:pPr>
        <w:adjustRightInd w:val="0"/>
        <w:snapToGrid w:val="0"/>
        <w:spacing w:line="384" w:lineRule="auto"/>
        <w:ind w:firstLine="840" w:firstLineChars="400"/>
        <w:rPr>
          <w:rFonts w:hint="eastAsia" w:ascii="宋体" w:hAnsi="宋体" w:cs="宋体"/>
          <w:color w:val="auto"/>
          <w:highlight w:val="none"/>
        </w:rPr>
      </w:pPr>
      <w:r>
        <w:rPr>
          <w:rFonts w:hint="eastAsia" w:ascii="宋体" w:hAnsi="宋体" w:cs="宋体"/>
          <w:color w:val="auto"/>
          <w:highlight w:val="none"/>
        </w:rPr>
        <w:t>①可调整价格的主要材料范围的约定:</w:t>
      </w:r>
      <w:r>
        <w:rPr>
          <w:rFonts w:hint="eastAsia" w:ascii="宋体" w:hAnsi="宋体" w:cs="宋体"/>
          <w:color w:val="auto"/>
          <w:highlight w:val="none"/>
          <w:u w:val="single"/>
        </w:rPr>
        <w:t xml:space="preserve"> </w:t>
      </w:r>
      <w:r>
        <w:rPr>
          <w:rFonts w:hint="eastAsia" w:ascii="宋体" w:hAnsi="宋体" w:eastAsia="宋体" w:cs="宋体"/>
          <w:color w:val="auto"/>
          <w:highlight w:val="none"/>
          <w:u w:val="single"/>
          <w:lang w:val="en-US" w:eastAsia="zh-CN"/>
        </w:rPr>
        <w:t>钢筋、混凝土</w:t>
      </w:r>
      <w:r>
        <w:rPr>
          <w:rFonts w:hint="eastAsia" w:ascii="宋体" w:hAnsi="宋体" w:cs="宋体"/>
          <w:color w:val="auto"/>
          <w:highlight w:val="none"/>
        </w:rPr>
        <w:t>；</w:t>
      </w:r>
    </w:p>
    <w:p w14:paraId="32A5C0C7">
      <w:pPr>
        <w:adjustRightInd w:val="0"/>
        <w:snapToGrid w:val="0"/>
        <w:spacing w:line="384" w:lineRule="auto"/>
        <w:ind w:firstLine="840" w:firstLineChars="400"/>
        <w:rPr>
          <w:rFonts w:hint="eastAsia" w:ascii="宋体" w:hAnsi="宋体" w:cs="宋体"/>
          <w:color w:val="auto"/>
          <w:highlight w:val="none"/>
        </w:rPr>
      </w:pPr>
      <w:r>
        <w:rPr>
          <w:rFonts w:hint="eastAsia" w:ascii="宋体" w:hAnsi="宋体" w:cs="宋体"/>
          <w:color w:val="auto"/>
          <w:highlight w:val="none"/>
        </w:rPr>
        <w:t>②主要材料价差调整周期的约定:</w:t>
      </w:r>
      <w:r>
        <w:rPr>
          <w:rFonts w:hint="eastAsia" w:ascii="宋体" w:hAnsi="宋体" w:cs="宋体"/>
          <w:color w:val="auto"/>
          <w:highlight w:val="none"/>
          <w:u w:val="single"/>
        </w:rPr>
        <w:t xml:space="preserve">  </w:t>
      </w:r>
      <w:r>
        <w:rPr>
          <w:rFonts w:hint="eastAsia" w:ascii="宋体" w:hAnsi="宋体" w:eastAsia="宋体" w:cs="宋体"/>
          <w:color w:val="auto"/>
          <w:kern w:val="0"/>
          <w:szCs w:val="21"/>
          <w:highlight w:val="none"/>
          <w:u w:val="single"/>
          <w:lang w:val="en-US" w:eastAsia="zh-CN"/>
        </w:rPr>
        <w:t>合同履行期间</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10F6818B">
      <w:pPr>
        <w:adjustRightInd w:val="0"/>
        <w:snapToGrid w:val="0"/>
        <w:spacing w:line="384" w:lineRule="auto"/>
        <w:ind w:firstLine="840" w:firstLineChars="400"/>
        <w:rPr>
          <w:rFonts w:hint="eastAsia" w:ascii="宋体" w:hAnsi="宋体" w:cs="宋体"/>
          <w:color w:val="auto"/>
          <w:sz w:val="24"/>
          <w:szCs w:val="32"/>
          <w:highlight w:val="none"/>
        </w:rPr>
      </w:pPr>
      <w:r>
        <w:rPr>
          <w:rFonts w:hint="eastAsia" w:ascii="宋体" w:hAnsi="宋体" w:cs="宋体"/>
          <w:color w:val="auto"/>
          <w:highlight w:val="none"/>
        </w:rPr>
        <w:t>③主要材料价差调整计算方法的约定:</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如下</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62223BA0">
      <w:pPr>
        <w:adjustRightInd w:val="0"/>
        <w:snapToGrid w:val="0"/>
        <w:spacing w:line="384" w:lineRule="auto"/>
        <w:ind w:firstLine="840" w:firstLineChars="400"/>
        <w:rPr>
          <w:rFonts w:hint="eastAsia" w:ascii="宋体" w:hAnsi="宋体" w:cs="宋体"/>
          <w:color w:val="auto"/>
          <w:highlight w:val="none"/>
        </w:rPr>
      </w:pPr>
      <w:r>
        <w:rPr>
          <w:rFonts w:hint="eastAsia" w:ascii="宋体" w:hAnsi="宋体" w:cs="宋体"/>
          <w:color w:val="auto"/>
          <w:highlight w:val="none"/>
        </w:rPr>
        <w:t>④主要材料价差调整时间的约定:</w:t>
      </w:r>
      <w:r>
        <w:rPr>
          <w:rFonts w:hint="eastAsia" w:ascii="宋体" w:hAnsi="宋体" w:cs="宋体"/>
          <w:color w:val="auto"/>
          <w:highlight w:val="none"/>
          <w:u w:val="single"/>
        </w:rPr>
        <w:t xml:space="preserve"> </w:t>
      </w:r>
      <w:r>
        <w:rPr>
          <w:rFonts w:hint="eastAsia" w:ascii="宋体" w:hAnsi="宋体" w:eastAsia="宋体" w:cs="宋体"/>
          <w:color w:val="auto"/>
          <w:kern w:val="0"/>
          <w:szCs w:val="21"/>
          <w:highlight w:val="none"/>
          <w:u w:val="single"/>
          <w:lang w:val="en-US" w:eastAsia="zh-CN"/>
        </w:rPr>
        <w:t>合同履行期间</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1C105DDB">
      <w:pPr>
        <w:adjustRightInd w:val="0"/>
        <w:snapToGrid w:val="0"/>
        <w:spacing w:line="384" w:lineRule="auto"/>
        <w:ind w:firstLine="420" w:firstLineChars="200"/>
        <w:rPr>
          <w:rFonts w:hint="eastAsia" w:ascii="宋体" w:hAnsi="宋体" w:eastAsia="宋体" w:cs="宋体"/>
          <w:color w:val="auto"/>
          <w:highlight w:val="none"/>
          <w:lang w:eastAsia="zh-CN"/>
        </w:rPr>
      </w:pPr>
      <w:r>
        <w:rPr>
          <w:rFonts w:hint="eastAsia" w:ascii="宋体" w:hAnsi="宋体" w:cs="宋体"/>
          <w:color w:val="auto"/>
          <w:highlight w:val="none"/>
        </w:rPr>
        <w:t>（2）关于基准价格的约定：</w:t>
      </w:r>
      <w:r>
        <w:rPr>
          <w:rFonts w:hint="eastAsia" w:ascii="宋体" w:hAnsi="宋体" w:cs="宋体"/>
          <w:color w:val="auto"/>
          <w:highlight w:val="none"/>
          <w:u w:val="single"/>
        </w:rPr>
        <w:t xml:space="preserve">  </w:t>
      </w:r>
      <w:r>
        <w:rPr>
          <w:rFonts w:hint="eastAsia" w:ascii="宋体" w:hAnsi="宋体" w:eastAsia="宋体" w:cs="宋体"/>
          <w:color w:val="auto"/>
          <w:highlight w:val="none"/>
          <w:u w:val="single"/>
          <w:lang w:val="en-US" w:eastAsia="zh-CN"/>
        </w:rPr>
        <w:t>基准价格为滁州市建设工程造价管理部门发布工程造价信息（《滁州市工程造价信息》（202</w:t>
      </w:r>
      <w:r>
        <w:rPr>
          <w:rFonts w:hint="eastAsia" w:ascii="宋体" w:hAnsi="宋体" w:cs="宋体"/>
          <w:color w:val="auto"/>
          <w:highlight w:val="none"/>
          <w:u w:val="single"/>
          <w:lang w:val="en-US" w:eastAsia="zh-CN"/>
        </w:rPr>
        <w:t>6</w:t>
      </w:r>
      <w:r>
        <w:rPr>
          <w:rFonts w:hint="eastAsia" w:ascii="宋体" w:hAnsi="宋体" w:eastAsia="宋体" w:cs="宋体"/>
          <w:color w:val="auto"/>
          <w:highlight w:val="none"/>
          <w:u w:val="single"/>
          <w:lang w:val="en-US" w:eastAsia="zh-CN"/>
        </w:rPr>
        <w:t>年第</w:t>
      </w:r>
      <w:r>
        <w:rPr>
          <w:rFonts w:hint="eastAsia" w:ascii="宋体" w:hAnsi="宋体" w:cs="宋体"/>
          <w:color w:val="auto"/>
          <w:highlight w:val="none"/>
          <w:u w:val="single"/>
          <w:lang w:val="en-US" w:eastAsia="zh-CN"/>
        </w:rPr>
        <w:t>5</w:t>
      </w:r>
      <w:r>
        <w:rPr>
          <w:rFonts w:hint="eastAsia" w:ascii="宋体" w:hAnsi="宋体" w:eastAsia="宋体" w:cs="宋体"/>
          <w:color w:val="auto"/>
          <w:highlight w:val="none"/>
          <w:u w:val="single"/>
          <w:lang w:val="en-US" w:eastAsia="zh-CN"/>
        </w:rPr>
        <w:t>期）中相对应的不含税价格以及最高投标限价中以市场询价计入的价格。人工费执行202</w:t>
      </w:r>
      <w:r>
        <w:rPr>
          <w:rFonts w:hint="eastAsia" w:ascii="宋体" w:hAnsi="宋体" w:cs="宋体"/>
          <w:color w:val="auto"/>
          <w:highlight w:val="none"/>
          <w:u w:val="single"/>
          <w:lang w:val="en-US" w:eastAsia="zh-CN"/>
        </w:rPr>
        <w:t>6</w:t>
      </w:r>
      <w:r>
        <w:rPr>
          <w:rFonts w:hint="eastAsia" w:ascii="宋体" w:hAnsi="宋体" w:eastAsia="宋体" w:cs="宋体"/>
          <w:color w:val="auto"/>
          <w:highlight w:val="none"/>
          <w:u w:val="single"/>
          <w:lang w:val="en-US" w:eastAsia="zh-CN"/>
        </w:rPr>
        <w:t>年滁州市第</w:t>
      </w:r>
      <w:r>
        <w:rPr>
          <w:rFonts w:hint="eastAsia" w:ascii="宋体" w:hAnsi="宋体" w:cs="宋体"/>
          <w:color w:val="auto"/>
          <w:highlight w:val="none"/>
          <w:u w:val="single"/>
          <w:lang w:val="en-US" w:eastAsia="zh-CN"/>
        </w:rPr>
        <w:t>一</w:t>
      </w:r>
      <w:r>
        <w:rPr>
          <w:rFonts w:hint="eastAsia" w:ascii="宋体" w:hAnsi="宋体" w:eastAsia="宋体" w:cs="宋体"/>
          <w:color w:val="auto"/>
          <w:highlight w:val="none"/>
          <w:u w:val="single"/>
          <w:lang w:val="en-US" w:eastAsia="zh-CN"/>
        </w:rPr>
        <w:t>季度人工费156.5元/工日</w:t>
      </w:r>
      <w:r>
        <w:rPr>
          <w:rFonts w:hint="eastAsia" w:ascii="宋体" w:hAnsi="宋体" w:cs="宋体"/>
          <w:color w:val="auto"/>
          <w:highlight w:val="none"/>
          <w:u w:val="single"/>
          <w:lang w:eastAsia="zh-CN"/>
        </w:rPr>
        <w:t>。人工费调整按省建设行政主管部门或其授权的工程造价管理机构发布的调整文件规定执行</w:t>
      </w:r>
    </w:p>
    <w:p w14:paraId="137FB047">
      <w:pPr>
        <w:adjustRightInd w:val="0"/>
        <w:snapToGrid w:val="0"/>
        <w:spacing w:line="384" w:lineRule="auto"/>
        <w:ind w:firstLine="630" w:firstLineChars="300"/>
        <w:rPr>
          <w:rFonts w:hint="eastAsia" w:ascii="宋体" w:hAnsi="宋体" w:cs="宋体"/>
          <w:color w:val="auto"/>
          <w:highlight w:val="none"/>
        </w:rPr>
      </w:pPr>
      <w:r>
        <w:rPr>
          <w:rFonts w:hint="eastAsia" w:ascii="宋体" w:hAnsi="宋体" w:cs="宋体"/>
          <w:color w:val="auto"/>
          <w:highlight w:val="none"/>
        </w:rPr>
        <w:t>①承包人在已标价工程量清单或预算书中载明的材料单价低于基准价格的：专用合同条款合同履行期间材料单价涨幅以基准价格为基础超过</w:t>
      </w:r>
      <w:r>
        <w:rPr>
          <w:rFonts w:hint="eastAsia" w:ascii="宋体" w:hAnsi="宋体" w:cs="宋体"/>
          <w:b/>
          <w:bCs/>
          <w:color w:val="auto"/>
          <w:highlight w:val="none"/>
          <w:u w:val="single"/>
        </w:rPr>
        <w:t xml:space="preserve">  5%  </w:t>
      </w:r>
      <w:r>
        <w:rPr>
          <w:rFonts w:hint="eastAsia" w:ascii="宋体" w:hAnsi="宋体" w:cs="宋体"/>
          <w:color w:val="auto"/>
          <w:highlight w:val="none"/>
        </w:rPr>
        <w:t>时，或材料单价跌幅以已标价工程量清单或预算书中载明材料单价为基础超过</w:t>
      </w:r>
      <w:r>
        <w:rPr>
          <w:rFonts w:hint="eastAsia" w:ascii="宋体" w:hAnsi="宋体" w:cs="宋体"/>
          <w:color w:val="auto"/>
          <w:highlight w:val="none"/>
          <w:u w:val="single"/>
        </w:rPr>
        <w:t xml:space="preserve">  </w:t>
      </w:r>
      <w:r>
        <w:rPr>
          <w:rFonts w:hint="eastAsia" w:ascii="宋体" w:hAnsi="宋体" w:cs="宋体"/>
          <w:b/>
          <w:bCs/>
          <w:color w:val="auto"/>
          <w:highlight w:val="none"/>
          <w:u w:val="single"/>
        </w:rPr>
        <w:t xml:space="preserve">5%  </w:t>
      </w:r>
      <w:r>
        <w:rPr>
          <w:rFonts w:hint="eastAsia" w:ascii="宋体" w:hAnsi="宋体" w:cs="宋体"/>
          <w:color w:val="auto"/>
          <w:highlight w:val="none"/>
        </w:rPr>
        <w:t>时，其超过部分据实调整。</w:t>
      </w:r>
    </w:p>
    <w:p w14:paraId="624EA438">
      <w:pPr>
        <w:adjustRightInd w:val="0"/>
        <w:snapToGrid w:val="0"/>
        <w:spacing w:line="384" w:lineRule="auto"/>
        <w:ind w:firstLine="630" w:firstLineChars="300"/>
        <w:rPr>
          <w:rFonts w:hint="eastAsia" w:ascii="宋体" w:hAnsi="宋体" w:cs="宋体"/>
          <w:color w:val="auto"/>
          <w:highlight w:val="none"/>
        </w:rPr>
      </w:pPr>
      <w:r>
        <w:rPr>
          <w:rFonts w:hint="eastAsia" w:ascii="宋体" w:hAnsi="宋体" w:cs="宋体"/>
          <w:color w:val="auto"/>
          <w:highlight w:val="none"/>
        </w:rPr>
        <w:t>②承包人在已标价工程量清单或预算书中载明的材料单价高于基准价格的：专用合同条款合同履行期间材料单价跌幅以基准价格为基础超过</w:t>
      </w:r>
      <w:r>
        <w:rPr>
          <w:rFonts w:hint="eastAsia" w:ascii="宋体" w:hAnsi="宋体" w:cs="宋体"/>
          <w:color w:val="auto"/>
          <w:highlight w:val="none"/>
          <w:u w:val="single"/>
        </w:rPr>
        <w:t xml:space="preserve">  </w:t>
      </w:r>
      <w:r>
        <w:rPr>
          <w:rFonts w:hint="eastAsia" w:ascii="宋体" w:hAnsi="宋体" w:cs="宋体"/>
          <w:b/>
          <w:bCs/>
          <w:color w:val="auto"/>
          <w:highlight w:val="none"/>
          <w:u w:val="single"/>
        </w:rPr>
        <w:t xml:space="preserve">5%  </w:t>
      </w:r>
      <w:r>
        <w:rPr>
          <w:rFonts w:hint="eastAsia" w:ascii="宋体" w:hAnsi="宋体" w:cs="宋体"/>
          <w:color w:val="auto"/>
          <w:highlight w:val="none"/>
        </w:rPr>
        <w:t>时，材料单价涨幅以已标价工程量清单或预算书中载明材料单价为基础超过</w:t>
      </w:r>
      <w:r>
        <w:rPr>
          <w:rFonts w:hint="eastAsia" w:ascii="宋体" w:hAnsi="宋体" w:cs="宋体"/>
          <w:color w:val="auto"/>
          <w:highlight w:val="none"/>
          <w:u w:val="single"/>
        </w:rPr>
        <w:t xml:space="preserve">  </w:t>
      </w:r>
      <w:r>
        <w:rPr>
          <w:rFonts w:hint="eastAsia" w:ascii="宋体" w:hAnsi="宋体" w:cs="宋体"/>
          <w:b/>
          <w:bCs/>
          <w:color w:val="auto"/>
          <w:highlight w:val="none"/>
          <w:u w:val="single"/>
        </w:rPr>
        <w:t xml:space="preserve">5%  </w:t>
      </w:r>
      <w:r>
        <w:rPr>
          <w:rFonts w:hint="eastAsia" w:ascii="宋体" w:hAnsi="宋体" w:cs="宋体"/>
          <w:color w:val="auto"/>
          <w:highlight w:val="none"/>
        </w:rPr>
        <w:t>时，其超过部分据实调整。</w:t>
      </w:r>
    </w:p>
    <w:p w14:paraId="640ED95E">
      <w:pPr>
        <w:adjustRightInd w:val="0"/>
        <w:snapToGrid w:val="0"/>
        <w:spacing w:line="384" w:lineRule="auto"/>
        <w:ind w:firstLine="630" w:firstLineChars="300"/>
        <w:rPr>
          <w:rFonts w:hint="eastAsia" w:ascii="宋体" w:hAnsi="宋体" w:cs="宋体"/>
          <w:color w:val="auto"/>
          <w:highlight w:val="none"/>
        </w:rPr>
      </w:pPr>
      <w:r>
        <w:rPr>
          <w:rFonts w:hint="eastAsia" w:ascii="宋体" w:hAnsi="宋体" w:cs="宋体"/>
          <w:color w:val="auto"/>
          <w:highlight w:val="none"/>
        </w:rPr>
        <w:t>③承包人在已标价工程量清单或预算书中载明的材料单价等于基准单价的：专用合同条款合同履行期间材料单价涨跌幅以基准单价为基础超过±</w:t>
      </w:r>
      <w:r>
        <w:rPr>
          <w:rFonts w:hint="eastAsia" w:ascii="宋体" w:hAnsi="宋体" w:cs="宋体"/>
          <w:color w:val="auto"/>
          <w:highlight w:val="none"/>
          <w:u w:val="single"/>
        </w:rPr>
        <w:t xml:space="preserve">  </w:t>
      </w:r>
      <w:r>
        <w:rPr>
          <w:rFonts w:hint="eastAsia" w:ascii="宋体" w:hAnsi="宋体" w:cs="宋体"/>
          <w:b/>
          <w:bCs/>
          <w:color w:val="auto"/>
          <w:highlight w:val="none"/>
          <w:u w:val="single"/>
        </w:rPr>
        <w:t xml:space="preserve">5%  </w:t>
      </w:r>
      <w:r>
        <w:rPr>
          <w:rFonts w:hint="eastAsia" w:ascii="宋体" w:hAnsi="宋体" w:cs="宋体"/>
          <w:color w:val="auto"/>
          <w:highlight w:val="none"/>
        </w:rPr>
        <w:t>时，其超过部分据实调整。</w:t>
      </w:r>
    </w:p>
    <w:p w14:paraId="7FD09541">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第3种方式：其他价格调整方式：</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w:t>
      </w:r>
      <w:r>
        <w:rPr>
          <w:rFonts w:hint="eastAsia" w:ascii="宋体" w:hAnsi="宋体" w:cs="宋体"/>
          <w:color w:val="auto"/>
          <w:highlight w:val="none"/>
          <w:u w:val="single"/>
        </w:rPr>
        <w:t xml:space="preserve">        </w:t>
      </w:r>
      <w:r>
        <w:rPr>
          <w:rFonts w:hint="eastAsia" w:ascii="宋体" w:hAnsi="宋体" w:cs="宋体"/>
          <w:color w:val="auto"/>
          <w:highlight w:val="none"/>
        </w:rPr>
        <w:t>。</w:t>
      </w:r>
    </w:p>
    <w:bookmarkEnd w:id="1001"/>
    <w:bookmarkEnd w:id="1002"/>
    <w:bookmarkEnd w:id="1003"/>
    <w:bookmarkEnd w:id="1004"/>
    <w:bookmarkEnd w:id="1005"/>
    <w:bookmarkEnd w:id="1006"/>
    <w:p w14:paraId="23F797F4">
      <w:pPr>
        <w:keepNext/>
        <w:keepLines/>
        <w:adjustRightInd w:val="0"/>
        <w:snapToGrid w:val="0"/>
        <w:spacing w:line="384" w:lineRule="auto"/>
        <w:jc w:val="left"/>
        <w:outlineLvl w:val="2"/>
        <w:rPr>
          <w:rFonts w:hint="eastAsia" w:ascii="宋体" w:hAnsi="宋体" w:cs="宋体"/>
          <w:bCs/>
          <w:color w:val="auto"/>
          <w:sz w:val="24"/>
          <w:highlight w:val="none"/>
        </w:rPr>
      </w:pPr>
      <w:bookmarkStart w:id="1115" w:name="_Toc296346706"/>
      <w:bookmarkStart w:id="1116" w:name="_Toc292559410"/>
      <w:bookmarkStart w:id="1117" w:name="_Toc297120505"/>
      <w:bookmarkStart w:id="1118" w:name="_Toc297048391"/>
      <w:bookmarkStart w:id="1119" w:name="_Toc296891245"/>
      <w:bookmarkStart w:id="1120" w:name="_Toc296503205"/>
      <w:bookmarkStart w:id="1121" w:name="_Toc292559915"/>
      <w:bookmarkStart w:id="1122" w:name="_Toc296891033"/>
      <w:bookmarkStart w:id="1123" w:name="_Toc296944544"/>
      <w:bookmarkStart w:id="1124" w:name="_Toc296347204"/>
      <w:bookmarkStart w:id="1125" w:name="_Toc351203644"/>
      <w:bookmarkStart w:id="1126" w:name="_Toc95223473"/>
      <w:bookmarkStart w:id="1127" w:name="_Toc297216211"/>
      <w:bookmarkStart w:id="1128" w:name="_Toc304295579"/>
      <w:bookmarkStart w:id="1129" w:name="_Toc297123552"/>
      <w:bookmarkStart w:id="1130" w:name="_Toc303539159"/>
      <w:bookmarkStart w:id="1131" w:name="_Toc312678040"/>
      <w:bookmarkStart w:id="1132" w:name="_Toc300935002"/>
      <w:r>
        <w:rPr>
          <w:rFonts w:hint="eastAsia" w:ascii="宋体" w:hAnsi="宋体" w:cs="宋体"/>
          <w:bCs/>
          <w:color w:val="auto"/>
          <w:sz w:val="24"/>
          <w:highlight w:val="none"/>
        </w:rPr>
        <w:t xml:space="preserve">12. </w:t>
      </w:r>
      <w:bookmarkEnd w:id="1115"/>
      <w:bookmarkEnd w:id="1116"/>
      <w:bookmarkEnd w:id="1117"/>
      <w:bookmarkEnd w:id="1118"/>
      <w:bookmarkEnd w:id="1119"/>
      <w:bookmarkEnd w:id="1120"/>
      <w:bookmarkEnd w:id="1121"/>
      <w:bookmarkEnd w:id="1122"/>
      <w:bookmarkEnd w:id="1123"/>
      <w:bookmarkEnd w:id="1124"/>
      <w:r>
        <w:rPr>
          <w:rFonts w:hint="eastAsia" w:ascii="宋体" w:hAnsi="宋体" w:cs="宋体"/>
          <w:bCs/>
          <w:color w:val="auto"/>
          <w:sz w:val="24"/>
          <w:highlight w:val="none"/>
        </w:rPr>
        <w:t>合同价格、计量与支付</w:t>
      </w:r>
      <w:bookmarkEnd w:id="1125"/>
      <w:bookmarkEnd w:id="1126"/>
    </w:p>
    <w:bookmarkEnd w:id="1127"/>
    <w:bookmarkEnd w:id="1128"/>
    <w:bookmarkEnd w:id="1129"/>
    <w:bookmarkEnd w:id="1130"/>
    <w:bookmarkEnd w:id="1131"/>
    <w:bookmarkEnd w:id="1132"/>
    <w:p w14:paraId="479F8F53">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bookmarkStart w:id="1133" w:name="_Toc267251461"/>
      <w:bookmarkStart w:id="1134" w:name="_Toc292559916"/>
      <w:bookmarkStart w:id="1135" w:name="_Toc292559411"/>
      <w:bookmarkStart w:id="1136" w:name="_Toc296944545"/>
      <w:bookmarkStart w:id="1137" w:name="_Toc296346707"/>
      <w:bookmarkStart w:id="1138" w:name="_Toc297120506"/>
      <w:bookmarkStart w:id="1139" w:name="_Toc296891246"/>
      <w:bookmarkStart w:id="1140" w:name="_Toc296503206"/>
      <w:bookmarkStart w:id="1141" w:name="_Toc296891034"/>
      <w:bookmarkStart w:id="1142" w:name="_Toc296347205"/>
      <w:bookmarkStart w:id="1143" w:name="_Toc297048392"/>
      <w:bookmarkStart w:id="1144" w:name="_Toc297123553"/>
      <w:bookmarkStart w:id="1145" w:name="_Toc304295580"/>
      <w:bookmarkStart w:id="1146" w:name="_Toc303539160"/>
      <w:bookmarkStart w:id="1147" w:name="_Toc312678041"/>
      <w:bookmarkStart w:id="1148" w:name="_Toc297216212"/>
      <w:bookmarkStart w:id="1149" w:name="_Toc300935003"/>
      <w:r>
        <w:rPr>
          <w:rFonts w:hint="eastAsia" w:ascii="宋体" w:hAnsi="宋体" w:cs="宋体"/>
          <w:bCs/>
          <w:color w:val="auto"/>
          <w:szCs w:val="28"/>
          <w:highlight w:val="none"/>
        </w:rPr>
        <w:t>12.1 合</w:t>
      </w:r>
      <w:bookmarkEnd w:id="1133"/>
      <w:bookmarkEnd w:id="1134"/>
      <w:bookmarkEnd w:id="1135"/>
      <w:r>
        <w:rPr>
          <w:rFonts w:hint="eastAsia" w:ascii="宋体" w:hAnsi="宋体" w:cs="宋体"/>
          <w:bCs/>
          <w:color w:val="auto"/>
          <w:szCs w:val="28"/>
          <w:highlight w:val="none"/>
        </w:rPr>
        <w:t>同价</w:t>
      </w:r>
      <w:bookmarkEnd w:id="1136"/>
      <w:bookmarkEnd w:id="1137"/>
      <w:bookmarkEnd w:id="1138"/>
      <w:bookmarkEnd w:id="1139"/>
      <w:bookmarkEnd w:id="1140"/>
      <w:bookmarkEnd w:id="1141"/>
      <w:bookmarkEnd w:id="1142"/>
      <w:bookmarkEnd w:id="1143"/>
      <w:r>
        <w:rPr>
          <w:rFonts w:hint="eastAsia" w:ascii="宋体" w:hAnsi="宋体" w:cs="宋体"/>
          <w:bCs/>
          <w:color w:val="auto"/>
          <w:szCs w:val="28"/>
          <w:highlight w:val="none"/>
        </w:rPr>
        <w:t>格形式</w:t>
      </w:r>
    </w:p>
    <w:bookmarkEnd w:id="1144"/>
    <w:bookmarkEnd w:id="1145"/>
    <w:bookmarkEnd w:id="1146"/>
    <w:bookmarkEnd w:id="1147"/>
    <w:bookmarkEnd w:id="1148"/>
    <w:bookmarkEnd w:id="1149"/>
    <w:p w14:paraId="2E7EEE84">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(1)单价合同。</w:t>
      </w:r>
    </w:p>
    <w:p w14:paraId="1C99FD56">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综合单价包含的风险范围：</w:t>
      </w:r>
      <w:r>
        <w:rPr>
          <w:rFonts w:hint="eastAsia" w:ascii="宋体" w:hAnsi="宋体" w:cs="宋体"/>
          <w:color w:val="auto"/>
          <w:highlight w:val="none"/>
          <w:u w:val="single"/>
        </w:rPr>
        <w:t xml:space="preserve"> </w:t>
      </w:r>
      <w:r>
        <w:rPr>
          <w:rFonts w:hint="eastAsia" w:ascii="宋体" w:hAnsi="宋体" w:cs="宋体"/>
          <w:color w:val="auto"/>
          <w:szCs w:val="21"/>
          <w:highlight w:val="none"/>
          <w:u w:val="single"/>
        </w:rPr>
        <w:t>隐含于已标价工程量清单综合单价中，用于化解发承包双方在工程合同中约定内容和范围内的市场价格波动风险的费用</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6A1A3195">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风险费用的计算方法：</w:t>
      </w:r>
      <w:r>
        <w:rPr>
          <w:rFonts w:hint="eastAsia" w:ascii="宋体" w:hAnsi="宋体" w:cs="宋体"/>
          <w:color w:val="auto"/>
          <w:highlight w:val="none"/>
          <w:u w:val="single"/>
        </w:rPr>
        <w:t xml:space="preserve">   </w:t>
      </w:r>
      <w:r>
        <w:rPr>
          <w:rFonts w:hint="eastAsia" w:ascii="宋体" w:hAnsi="宋体" w:eastAsia="宋体" w:cs="宋体"/>
          <w:color w:val="auto"/>
          <w:szCs w:val="21"/>
          <w:highlight w:val="none"/>
          <w:u w:val="single"/>
        </w:rPr>
        <w:t>承包人自行考虑，包含在报价中</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28FDDE97">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风险范围以外合同价格的调整方法：</w:t>
      </w:r>
      <w:r>
        <w:rPr>
          <w:rFonts w:hint="eastAsia" w:ascii="宋体" w:hAnsi="宋体" w:cs="宋体"/>
          <w:color w:val="auto"/>
          <w:highlight w:val="none"/>
          <w:u w:val="single"/>
        </w:rPr>
        <w:t xml:space="preserve"> 结算价=合同价±工程变更造价±分部分项工程量清单工程量误差造价±材料价格调整造价±政策性调整造价±措施项目调整造价－暂列金额× 1.09±合理工程索赔   </w:t>
      </w:r>
      <w:r>
        <w:rPr>
          <w:rFonts w:hint="eastAsia" w:ascii="宋体" w:hAnsi="宋体" w:cs="宋体"/>
          <w:color w:val="auto"/>
          <w:highlight w:val="none"/>
        </w:rPr>
        <w:t>。</w:t>
      </w:r>
    </w:p>
    <w:p w14:paraId="6875A80F">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(2)总价合同。</w:t>
      </w:r>
    </w:p>
    <w:p w14:paraId="6F5745BD">
      <w:pPr>
        <w:adjustRightInd w:val="0"/>
        <w:snapToGrid w:val="0"/>
        <w:spacing w:line="384" w:lineRule="auto"/>
        <w:ind w:firstLine="420" w:firstLineChars="200"/>
        <w:rPr>
          <w:rFonts w:hint="eastAsia" w:ascii="宋体" w:hAnsi="宋体" w:cs="宋体"/>
          <w:b/>
          <w:color w:val="auto"/>
          <w:highlight w:val="none"/>
        </w:rPr>
      </w:pPr>
      <w:r>
        <w:rPr>
          <w:rFonts w:hint="eastAsia" w:ascii="宋体" w:hAnsi="宋体" w:cs="宋体"/>
          <w:color w:val="auto"/>
          <w:highlight w:val="none"/>
        </w:rPr>
        <w:t>总价包含的风险范围：</w:t>
      </w:r>
      <w:r>
        <w:rPr>
          <w:rFonts w:hint="eastAsia" w:ascii="宋体" w:hAnsi="宋体" w:cs="宋体"/>
          <w:b/>
          <w:color w:val="auto"/>
          <w:highlight w:val="none"/>
          <w:u w:val="single"/>
        </w:rPr>
        <w:t xml:space="preserve">                                    </w:t>
      </w:r>
    </w:p>
    <w:p w14:paraId="3CF244BB">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风险费用的计算方法：</w:t>
      </w:r>
      <w:r>
        <w:rPr>
          <w:rFonts w:hint="eastAsia" w:ascii="宋体" w:hAnsi="宋体" w:cs="宋体"/>
          <w:b/>
          <w:color w:val="auto"/>
          <w:highlight w:val="none"/>
          <w:u w:val="single"/>
        </w:rPr>
        <w:t xml:space="preserve">                     </w:t>
      </w:r>
      <w:r>
        <w:rPr>
          <w:rFonts w:hint="eastAsia" w:ascii="宋体" w:hAnsi="宋体" w:cs="宋体"/>
          <w:color w:val="auto"/>
          <w:highlight w:val="none"/>
        </w:rPr>
        <w:t>。</w:t>
      </w:r>
    </w:p>
    <w:p w14:paraId="6607311C">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风险范围以外合同价格的调整方法：</w:t>
      </w:r>
      <w:r>
        <w:rPr>
          <w:rFonts w:hint="eastAsia" w:ascii="宋体" w:hAnsi="宋体" w:cs="宋体"/>
          <w:color w:val="auto"/>
          <w:highlight w:val="none"/>
          <w:u w:val="single"/>
        </w:rPr>
        <w:t xml:space="preserve">  </w:t>
      </w:r>
      <w:r>
        <w:rPr>
          <w:rFonts w:hint="eastAsia" w:ascii="宋体" w:hAnsi="宋体" w:cs="宋体"/>
          <w:b/>
          <w:color w:val="auto"/>
          <w:highlight w:val="none"/>
          <w:u w:val="single"/>
        </w:rPr>
        <w:t xml:space="preserve">       </w:t>
      </w:r>
      <w:r>
        <w:rPr>
          <w:rFonts w:hint="eastAsia" w:ascii="宋体" w:hAnsi="宋体" w:cs="宋体"/>
          <w:color w:val="auto"/>
          <w:highlight w:val="none"/>
        </w:rPr>
        <w:t>。</w:t>
      </w:r>
    </w:p>
    <w:p w14:paraId="17E13165">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(3)其他价格方式：</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39918204">
      <w:pPr>
        <w:keepNext/>
        <w:keepLines/>
        <w:adjustRightInd w:val="0"/>
        <w:snapToGrid w:val="0"/>
        <w:spacing w:line="384" w:lineRule="auto"/>
        <w:jc w:val="left"/>
        <w:outlineLvl w:val="2"/>
        <w:rPr>
          <w:rFonts w:hint="eastAsia" w:ascii="宋体" w:hAnsi="宋体" w:cs="宋体"/>
          <w:bCs/>
          <w:color w:val="auto"/>
          <w:sz w:val="24"/>
          <w:highlight w:val="none"/>
        </w:rPr>
      </w:pPr>
      <w:bookmarkStart w:id="1150" w:name="_Toc95223474"/>
      <w:bookmarkStart w:id="1151" w:name="_Toc303539161"/>
      <w:bookmarkStart w:id="1152" w:name="_Toc312678042"/>
      <w:bookmarkStart w:id="1153" w:name="_Toc304295581"/>
      <w:bookmarkStart w:id="1154" w:name="_Toc297216213"/>
      <w:bookmarkStart w:id="1155" w:name="_Toc300935004"/>
      <w:bookmarkStart w:id="1156" w:name="_Toc297123554"/>
      <w:bookmarkStart w:id="1157" w:name="_Toc297048393"/>
      <w:bookmarkStart w:id="1158" w:name="_Toc296891035"/>
      <w:bookmarkStart w:id="1159" w:name="_Toc292559917"/>
      <w:bookmarkStart w:id="1160" w:name="_Toc296503207"/>
      <w:bookmarkStart w:id="1161" w:name="_Toc296944546"/>
      <w:bookmarkStart w:id="1162" w:name="_Toc296346708"/>
      <w:bookmarkStart w:id="1163" w:name="_Toc297120507"/>
      <w:bookmarkStart w:id="1164" w:name="_Toc292559412"/>
      <w:bookmarkStart w:id="1165" w:name="_Toc296347206"/>
      <w:bookmarkStart w:id="1166" w:name="_Toc296891247"/>
      <w:r>
        <w:rPr>
          <w:rFonts w:hint="eastAsia" w:ascii="宋体" w:hAnsi="宋体" w:cs="宋体"/>
          <w:bCs/>
          <w:color w:val="auto"/>
          <w:sz w:val="24"/>
          <w:highlight w:val="none"/>
        </w:rPr>
        <w:t>12.2 预付款</w:t>
      </w:r>
      <w:bookmarkEnd w:id="1150"/>
    </w:p>
    <w:bookmarkEnd w:id="1151"/>
    <w:bookmarkEnd w:id="1152"/>
    <w:bookmarkEnd w:id="1153"/>
    <w:bookmarkEnd w:id="1154"/>
    <w:bookmarkEnd w:id="1155"/>
    <w:bookmarkEnd w:id="1156"/>
    <w:p w14:paraId="26E3C6C7">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12.2.1 预付款的支付</w:t>
      </w:r>
    </w:p>
    <w:p w14:paraId="2375AFC4">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预付款支付比例或金额：</w:t>
      </w:r>
      <w:r>
        <w:rPr>
          <w:rFonts w:hint="eastAsia" w:ascii="宋体" w:hAnsi="宋体" w:cs="宋体"/>
          <w:color w:val="auto"/>
          <w:highlight w:val="none"/>
          <w:u w:val="single"/>
        </w:rPr>
        <w:t>合同总价（扣除暂列金额）的10%</w:t>
      </w:r>
      <w:r>
        <w:rPr>
          <w:rFonts w:hint="eastAsia" w:ascii="宋体" w:hAnsi="宋体" w:cs="宋体"/>
          <w:color w:val="auto"/>
          <w:highlight w:val="none"/>
        </w:rPr>
        <w:t>。</w:t>
      </w:r>
    </w:p>
    <w:p w14:paraId="78AFBD89">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预付款支付期限：</w:t>
      </w:r>
      <w:r>
        <w:rPr>
          <w:rFonts w:hint="eastAsia" w:ascii="宋体" w:hAnsi="宋体" w:cs="宋体"/>
          <w:color w:val="auto"/>
          <w:highlight w:val="none"/>
          <w:u w:val="single"/>
        </w:rPr>
        <w:t>在具备施工条件的前提下，发包人在合同签订后一个月内或不迟于约定的开工日期前 7 天内预付工程款</w:t>
      </w:r>
      <w:r>
        <w:rPr>
          <w:rFonts w:hint="eastAsia" w:ascii="宋体" w:hAnsi="宋体" w:cs="宋体"/>
          <w:color w:val="auto"/>
          <w:highlight w:val="none"/>
        </w:rPr>
        <w:t>。</w:t>
      </w:r>
    </w:p>
    <w:p w14:paraId="31AAED49">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预付款扣回的方式：</w:t>
      </w:r>
      <w:r>
        <w:rPr>
          <w:rFonts w:hint="eastAsia" w:ascii="宋体" w:hAnsi="宋体" w:cs="宋体"/>
          <w:color w:val="auto"/>
          <w:highlight w:val="none"/>
          <w:u w:val="single"/>
          <w:lang w:val="en-US" w:eastAsia="zh-CN"/>
        </w:rPr>
        <w:t xml:space="preserve"> 在支付工程进度款中按比例扣除，扣完为止</w:t>
      </w:r>
      <w:r>
        <w:rPr>
          <w:rFonts w:hint="eastAsia" w:ascii="宋体" w:hAnsi="宋体" w:cs="宋体"/>
          <w:color w:val="auto"/>
          <w:highlight w:val="none"/>
        </w:rPr>
        <w:t>。</w:t>
      </w:r>
    </w:p>
    <w:p w14:paraId="7FA59D16">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12.2.2 预付款担保</w:t>
      </w:r>
    </w:p>
    <w:p w14:paraId="6F5FB0BD">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承包人提交预付款担保的期限：</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0CBD8DDE">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预付款担保的形式为：</w:t>
      </w:r>
      <w:r>
        <w:rPr>
          <w:rFonts w:hint="eastAsia" w:ascii="宋体" w:hAnsi="宋体" w:cs="宋体"/>
          <w:color w:val="auto"/>
          <w:highlight w:val="none"/>
          <w:u w:val="single"/>
        </w:rPr>
        <w:t xml:space="preserve">                                  </w:t>
      </w:r>
      <w:r>
        <w:rPr>
          <w:rFonts w:hint="eastAsia" w:ascii="宋体" w:hAnsi="宋体" w:cs="宋体"/>
          <w:color w:val="auto"/>
          <w:highlight w:val="none"/>
        </w:rPr>
        <w:t>。</w:t>
      </w:r>
    </w:p>
    <w:bookmarkEnd w:id="1157"/>
    <w:bookmarkEnd w:id="1158"/>
    <w:bookmarkEnd w:id="1159"/>
    <w:bookmarkEnd w:id="1160"/>
    <w:bookmarkEnd w:id="1161"/>
    <w:bookmarkEnd w:id="1162"/>
    <w:bookmarkEnd w:id="1163"/>
    <w:bookmarkEnd w:id="1164"/>
    <w:bookmarkEnd w:id="1165"/>
    <w:bookmarkEnd w:id="1166"/>
    <w:p w14:paraId="5C41BBAC">
      <w:pPr>
        <w:keepNext/>
        <w:keepLines/>
        <w:adjustRightInd w:val="0"/>
        <w:snapToGrid w:val="0"/>
        <w:spacing w:line="384" w:lineRule="auto"/>
        <w:jc w:val="left"/>
        <w:outlineLvl w:val="2"/>
        <w:rPr>
          <w:rFonts w:hint="eastAsia" w:ascii="宋体" w:hAnsi="宋体" w:cs="宋体"/>
          <w:bCs/>
          <w:color w:val="auto"/>
          <w:sz w:val="24"/>
          <w:highlight w:val="none"/>
        </w:rPr>
      </w:pPr>
      <w:bookmarkStart w:id="1167" w:name="_Toc95223475"/>
      <w:r>
        <w:rPr>
          <w:rFonts w:hint="eastAsia" w:ascii="宋体" w:hAnsi="宋体" w:cs="宋体"/>
          <w:bCs/>
          <w:color w:val="auto"/>
          <w:sz w:val="24"/>
          <w:highlight w:val="none"/>
        </w:rPr>
        <w:t>12.3 计量</w:t>
      </w:r>
      <w:bookmarkEnd w:id="1167"/>
    </w:p>
    <w:p w14:paraId="1D897ECD">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12.3.1 计量原则</w:t>
      </w:r>
    </w:p>
    <w:p w14:paraId="206BCF25">
      <w:pPr>
        <w:adjustRightInd w:val="0"/>
        <w:snapToGrid w:val="0"/>
        <w:spacing w:line="384" w:lineRule="auto"/>
        <w:ind w:firstLine="420" w:firstLineChars="200"/>
        <w:rPr>
          <w:rFonts w:hint="eastAsia" w:ascii="宋体" w:hAnsi="宋体" w:cs="宋体"/>
          <w:b/>
          <w:color w:val="auto"/>
          <w:highlight w:val="none"/>
        </w:rPr>
      </w:pPr>
      <w:r>
        <w:rPr>
          <w:rFonts w:hint="eastAsia" w:ascii="宋体" w:hAnsi="宋体" w:cs="宋体"/>
          <w:color w:val="auto"/>
          <w:highlight w:val="none"/>
        </w:rPr>
        <w:t>工程量计算规则：</w:t>
      </w:r>
      <w:r>
        <w:rPr>
          <w:rFonts w:hint="eastAsia" w:ascii="宋体" w:hAnsi="宋体" w:cs="宋体"/>
          <w:color w:val="auto"/>
          <w:szCs w:val="21"/>
          <w:highlight w:val="none"/>
          <w:u w:val="single"/>
        </w:rPr>
        <w:t>按招标工程量清单及最高投标限价所采用的工程量清单计价规范及配套文件等</w:t>
      </w:r>
      <w:r>
        <w:rPr>
          <w:rFonts w:hint="eastAsia" w:ascii="宋体" w:hAnsi="宋体" w:cs="宋体"/>
          <w:b/>
          <w:color w:val="auto"/>
          <w:highlight w:val="none"/>
        </w:rPr>
        <w:t>。</w:t>
      </w:r>
    </w:p>
    <w:p w14:paraId="0F09D97C">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12.3.2 计量周期</w:t>
      </w:r>
    </w:p>
    <w:p w14:paraId="5B1CF00F">
      <w:pPr>
        <w:adjustRightInd w:val="0"/>
        <w:snapToGrid w:val="0"/>
        <w:spacing w:line="384" w:lineRule="auto"/>
        <w:ind w:firstLine="420" w:firstLineChars="200"/>
        <w:rPr>
          <w:rFonts w:hint="eastAsia" w:ascii="宋体" w:hAnsi="宋体" w:cs="宋体"/>
          <w:b/>
          <w:color w:val="auto"/>
          <w:highlight w:val="none"/>
        </w:rPr>
      </w:pPr>
      <w:r>
        <w:rPr>
          <w:rFonts w:hint="eastAsia" w:ascii="宋体" w:hAnsi="宋体" w:cs="宋体"/>
          <w:color w:val="auto"/>
          <w:highlight w:val="none"/>
        </w:rPr>
        <w:t>关于计量周期的约定</w:t>
      </w:r>
      <w:r>
        <w:rPr>
          <w:rFonts w:hint="eastAsia" w:ascii="宋体" w:hAnsi="宋体" w:cs="宋体"/>
          <w:b/>
          <w:color w:val="auto"/>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按月计量</w:t>
      </w:r>
      <w:r>
        <w:rPr>
          <w:rFonts w:hint="eastAsia" w:ascii="宋体" w:hAnsi="宋体" w:cs="宋体"/>
          <w:color w:val="auto"/>
          <w:szCs w:val="21"/>
          <w:highlight w:val="none"/>
          <w:u w:val="single"/>
        </w:rPr>
        <w:t xml:space="preserve">   </w:t>
      </w:r>
      <w:r>
        <w:rPr>
          <w:rFonts w:hint="eastAsia" w:ascii="宋体" w:hAnsi="宋体" w:cs="宋体"/>
          <w:b/>
          <w:color w:val="auto"/>
          <w:highlight w:val="none"/>
        </w:rPr>
        <w:t>。</w:t>
      </w:r>
    </w:p>
    <w:p w14:paraId="45071262">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12.3.3 单价合同的计量</w:t>
      </w:r>
    </w:p>
    <w:p w14:paraId="21FF125A">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关于单价合同计量的约定：</w:t>
      </w:r>
      <w:r>
        <w:rPr>
          <w:rFonts w:hint="eastAsia" w:ascii="宋体" w:hAnsi="宋体" w:cs="宋体"/>
          <w:color w:val="auto"/>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highlight w:val="none"/>
          <w:u w:val="single"/>
          <w:lang w:val="en-US" w:eastAsia="zh-CN"/>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74EBEB83">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12.3.4 总价合同的计量</w:t>
      </w:r>
    </w:p>
    <w:p w14:paraId="52B9D0D7">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关于总价合同计量的约定：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highlight w:val="none"/>
        </w:rPr>
        <w:t>。</w:t>
      </w:r>
    </w:p>
    <w:p w14:paraId="6E7C55E1">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12.3.5 总价合同采用支付分解表计量支付的，是否适用第</w:t>
      </w:r>
      <w:r>
        <w:rPr>
          <w:rFonts w:hint="eastAsia" w:ascii="宋体" w:hAnsi="宋体" w:cs="宋体"/>
          <w:color w:val="auto"/>
          <w:kern w:val="0"/>
          <w:highlight w:val="none"/>
        </w:rPr>
        <w:t>12.3.4</w:t>
      </w:r>
      <w:r>
        <w:rPr>
          <w:rFonts w:hint="eastAsia" w:ascii="宋体" w:hAnsi="宋体" w:cs="宋体"/>
          <w:color w:val="auto"/>
          <w:highlight w:val="none"/>
        </w:rPr>
        <w:t>项</w:t>
      </w:r>
      <w:r>
        <w:rPr>
          <w:rFonts w:hint="eastAsia" w:ascii="宋体" w:hAnsi="宋体" w:cs="宋体"/>
          <w:color w:val="auto"/>
          <w:kern w:val="0"/>
          <w:highlight w:val="none"/>
        </w:rPr>
        <w:t>〔总价合同的计量〕</w:t>
      </w:r>
      <w:r>
        <w:rPr>
          <w:rFonts w:hint="eastAsia" w:ascii="宋体" w:hAnsi="宋体" w:cs="宋体"/>
          <w:color w:val="auto"/>
          <w:highlight w:val="none"/>
        </w:rPr>
        <w:t>约定进行计量：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b/>
          <w:color w:val="auto"/>
          <w:highlight w:val="none"/>
        </w:rPr>
        <w:t>。</w:t>
      </w:r>
    </w:p>
    <w:p w14:paraId="170E3A28">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12.3.6 其他价格形式合同的计量</w:t>
      </w:r>
    </w:p>
    <w:p w14:paraId="50E6FBCE">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其他价格形式的计量方式和程序：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highlight w:val="none"/>
        </w:rPr>
        <w:t>。</w:t>
      </w:r>
    </w:p>
    <w:p w14:paraId="0479C2DE">
      <w:pPr>
        <w:keepNext/>
        <w:keepLines/>
        <w:adjustRightInd w:val="0"/>
        <w:snapToGrid w:val="0"/>
        <w:spacing w:line="384" w:lineRule="auto"/>
        <w:jc w:val="left"/>
        <w:outlineLvl w:val="2"/>
        <w:rPr>
          <w:rFonts w:hint="eastAsia" w:ascii="宋体" w:hAnsi="宋体" w:cs="宋体"/>
          <w:bCs/>
          <w:color w:val="auto"/>
          <w:sz w:val="24"/>
          <w:highlight w:val="none"/>
        </w:rPr>
      </w:pPr>
      <w:bookmarkStart w:id="1168" w:name="_Toc95223476"/>
      <w:r>
        <w:rPr>
          <w:rFonts w:hint="eastAsia" w:ascii="宋体" w:hAnsi="宋体" w:cs="宋体"/>
          <w:bCs/>
          <w:color w:val="auto"/>
          <w:sz w:val="24"/>
          <w:highlight w:val="none"/>
        </w:rPr>
        <w:t>12.4 工程进度款支付</w:t>
      </w:r>
      <w:bookmarkEnd w:id="1168"/>
    </w:p>
    <w:p w14:paraId="3C79D963">
      <w:pPr>
        <w:adjustRightInd w:val="0"/>
        <w:snapToGrid w:val="0"/>
        <w:spacing w:line="384" w:lineRule="auto"/>
        <w:ind w:firstLine="420" w:firstLineChars="200"/>
        <w:rPr>
          <w:rFonts w:hint="eastAsia" w:ascii="宋体" w:hAnsi="宋体" w:cs="宋体"/>
          <w:color w:val="auto"/>
          <w:highlight w:val="none"/>
        </w:rPr>
      </w:pPr>
      <w:bookmarkStart w:id="1169" w:name="_Toc296503211"/>
      <w:bookmarkStart w:id="1170" w:name="_Toc297216215"/>
      <w:bookmarkStart w:id="1171" w:name="_Toc296346712"/>
      <w:bookmarkStart w:id="1172" w:name="_Toc296891039"/>
      <w:bookmarkStart w:id="1173" w:name="_Toc296944550"/>
      <w:bookmarkStart w:id="1174" w:name="_Toc303539163"/>
      <w:bookmarkStart w:id="1175" w:name="_Toc292559921"/>
      <w:bookmarkStart w:id="1176" w:name="_Toc296891251"/>
      <w:bookmarkStart w:id="1177" w:name="_Toc292559416"/>
      <w:bookmarkStart w:id="1178" w:name="_Toc296347210"/>
      <w:bookmarkStart w:id="1179" w:name="_Toc297123556"/>
      <w:bookmarkStart w:id="1180" w:name="_Toc300935006"/>
      <w:bookmarkStart w:id="1181" w:name="_Toc297048397"/>
      <w:bookmarkStart w:id="1182" w:name="_Toc297120511"/>
      <w:r>
        <w:rPr>
          <w:rFonts w:hint="eastAsia" w:ascii="宋体" w:hAnsi="宋体" w:cs="宋体"/>
          <w:color w:val="auto"/>
          <w:highlight w:val="none"/>
        </w:rPr>
        <w:t>12.4.1 付款周期</w:t>
      </w:r>
    </w:p>
    <w:p w14:paraId="3F7A1B22">
      <w:pPr>
        <w:pageBreakBefore w:val="0"/>
        <w:widowControl w:val="0"/>
        <w:kinsoku/>
        <w:wordWrap/>
        <w:overflowPunct/>
        <w:topLinePunct w:val="0"/>
        <w:autoSpaceDE/>
        <w:autoSpaceDN/>
        <w:bidi w:val="0"/>
        <w:adjustRightInd w:val="0"/>
        <w:snapToGrid w:val="0"/>
        <w:spacing w:line="384" w:lineRule="auto"/>
        <w:ind w:firstLine="420" w:firstLineChars="200"/>
        <w:textAlignment w:val="auto"/>
        <w:rPr>
          <w:rFonts w:hint="eastAsia" w:ascii="宋体" w:hAnsi="宋体" w:cs="宋体"/>
          <w:color w:val="auto"/>
          <w:highlight w:val="none"/>
          <w:u w:val="single"/>
        </w:rPr>
      </w:pPr>
      <w:r>
        <w:rPr>
          <w:rFonts w:hint="eastAsia" w:ascii="宋体" w:hAnsi="宋体" w:cs="宋体"/>
          <w:color w:val="auto"/>
          <w:highlight w:val="none"/>
        </w:rPr>
        <w:t>关于付款周期的约定：</w:t>
      </w:r>
      <w:r>
        <w:rPr>
          <w:rFonts w:hint="eastAsia" w:ascii="宋体" w:hAnsi="宋体" w:cs="宋体"/>
          <w:color w:val="auto"/>
          <w:highlight w:val="none"/>
          <w:u w:val="single"/>
        </w:rPr>
        <w:t>在具备施工条件的前提下，发包人在合同签订后一个月内或不迟于约定的开工日期前7天内预付工程款为合同总价（扣除暂列金额）的</w:t>
      </w:r>
      <w:r>
        <w:rPr>
          <w:rFonts w:hint="eastAsia" w:ascii="宋体" w:hAnsi="宋体" w:cs="宋体"/>
          <w:b/>
          <w:color w:val="auto"/>
          <w:highlight w:val="none"/>
          <w:u w:val="single"/>
        </w:rPr>
        <w:t>10</w:t>
      </w:r>
      <w:r>
        <w:rPr>
          <w:rFonts w:hint="eastAsia" w:ascii="宋体" w:hAnsi="宋体" w:cs="宋体"/>
          <w:color w:val="auto"/>
          <w:highlight w:val="none"/>
          <w:u w:val="single"/>
        </w:rPr>
        <w:t>%，</w:t>
      </w:r>
      <w:r>
        <w:rPr>
          <w:rFonts w:hint="eastAsia" w:ascii="宋体" w:hAnsi="宋体" w:cs="宋体"/>
          <w:b/>
          <w:color w:val="auto"/>
          <w:highlight w:val="none"/>
          <w:u w:val="single"/>
        </w:rPr>
        <w:t>施工过程结算款支付比例不低于85%</w:t>
      </w:r>
      <w:r>
        <w:rPr>
          <w:rFonts w:hint="eastAsia" w:ascii="宋体" w:hAnsi="宋体" w:cs="宋体"/>
          <w:color w:val="auto"/>
          <w:highlight w:val="none"/>
          <w:u w:val="single"/>
        </w:rPr>
        <w:t>，结算审核完成后付至结算价款的</w:t>
      </w:r>
      <w:r>
        <w:rPr>
          <w:rFonts w:hint="eastAsia" w:ascii="宋体" w:hAnsi="宋体" w:cs="宋体"/>
          <w:b/>
          <w:color w:val="auto"/>
          <w:highlight w:val="none"/>
          <w:u w:val="single"/>
        </w:rPr>
        <w:t>98%</w:t>
      </w:r>
      <w:r>
        <w:rPr>
          <w:rFonts w:hint="eastAsia" w:ascii="宋体" w:hAnsi="宋体" w:cs="宋体"/>
          <w:color w:val="auto"/>
          <w:highlight w:val="none"/>
          <w:u w:val="single"/>
        </w:rPr>
        <w:t>，剩余</w:t>
      </w:r>
      <w:r>
        <w:rPr>
          <w:rFonts w:hint="eastAsia" w:ascii="宋体" w:hAnsi="宋体" w:cs="宋体"/>
          <w:b/>
          <w:color w:val="auto"/>
          <w:highlight w:val="none"/>
          <w:u w:val="single"/>
        </w:rPr>
        <w:t>2%</w:t>
      </w:r>
      <w:r>
        <w:rPr>
          <w:rFonts w:hint="eastAsia" w:ascii="宋体" w:hAnsi="宋体" w:cs="宋体"/>
          <w:color w:val="auto"/>
          <w:highlight w:val="none"/>
          <w:u w:val="single"/>
        </w:rPr>
        <w:t>作为质量保证金，工程缺陷责任期（自竣工验收合格之日起满</w:t>
      </w:r>
      <w:r>
        <w:rPr>
          <w:rFonts w:hint="eastAsia" w:ascii="宋体" w:hAnsi="宋体" w:cs="宋体"/>
          <w:color w:val="auto"/>
          <w:highlight w:val="none"/>
          <w:u w:val="single"/>
          <w:lang w:val="en-US" w:eastAsia="zh-CN"/>
        </w:rPr>
        <w:t>2</w:t>
      </w:r>
      <w:r>
        <w:rPr>
          <w:rFonts w:hint="eastAsia" w:ascii="宋体" w:hAnsi="宋体" w:cs="宋体"/>
          <w:color w:val="auto"/>
          <w:highlight w:val="none"/>
          <w:u w:val="single"/>
        </w:rPr>
        <w:t>年）满后付清余款。质量保证金支持保函（银行保函、担保机构担保、保证保险）使用。采用保函的不再从工程进度款中扣留质量保证金，保函有效期须与工程缺陷责任期截止时间保持一致。</w:t>
      </w:r>
    </w:p>
    <w:p w14:paraId="25149678">
      <w:pPr>
        <w:adjustRightInd w:val="0"/>
        <w:snapToGrid w:val="0"/>
        <w:spacing w:line="384" w:lineRule="auto"/>
        <w:ind w:firstLine="420" w:firstLineChars="200"/>
        <w:rPr>
          <w:rFonts w:hint="eastAsia" w:ascii="宋体" w:hAnsi="宋体" w:eastAsia="宋体" w:cs="宋体"/>
          <w:color w:val="auto"/>
          <w:highlight w:val="none"/>
          <w:lang w:eastAsia="zh-CN"/>
        </w:rPr>
      </w:pPr>
      <w:r>
        <w:rPr>
          <w:rFonts w:hint="eastAsia" w:ascii="宋体" w:hAnsi="宋体" w:cs="宋体"/>
          <w:color w:val="auto"/>
          <w:highlight w:val="none"/>
        </w:rPr>
        <w:t>关于付款周期的其他约定：</w:t>
      </w:r>
      <w:r>
        <w:rPr>
          <w:rFonts w:hint="eastAsia" w:ascii="宋体" w:hAnsi="宋体" w:cs="宋体"/>
          <w:color w:val="auto"/>
          <w:highlight w:val="none"/>
          <w:u w:val="single"/>
        </w:rPr>
        <w:t>按月进度支付工程款，每月付至已完成合格工程量价款的85%工程完工验收合格取得验收报告后付至已完合格工程价款的 85%，施工过程结算价款按 85%支付</w:t>
      </w:r>
      <w:r>
        <w:rPr>
          <w:rFonts w:hint="eastAsia" w:ascii="宋体" w:hAnsi="宋体" w:cs="宋体"/>
          <w:color w:val="auto"/>
          <w:highlight w:val="none"/>
          <w:u w:val="single"/>
          <w:lang w:eastAsia="zh-CN"/>
        </w:rPr>
        <w:t>。</w:t>
      </w:r>
    </w:p>
    <w:p w14:paraId="18635FF9">
      <w:pPr>
        <w:adjustRightInd w:val="0"/>
        <w:snapToGrid w:val="0"/>
        <w:spacing w:line="384" w:lineRule="auto"/>
        <w:ind w:firstLine="420" w:firstLineChars="200"/>
        <w:rPr>
          <w:rFonts w:hint="eastAsia" w:ascii="宋体" w:hAnsi="宋体" w:cs="宋体"/>
          <w:color w:val="auto"/>
          <w:highlight w:val="none"/>
          <w:lang w:val="en-US" w:eastAsia="zh-CN"/>
        </w:rPr>
      </w:pPr>
      <w:r>
        <w:rPr>
          <w:rFonts w:hint="eastAsia" w:ascii="宋体" w:hAnsi="宋体" w:cs="宋体"/>
          <w:color w:val="auto"/>
          <w:highlight w:val="none"/>
          <w:lang w:val="en-US" w:eastAsia="zh-CN"/>
        </w:rPr>
        <w:t>关于竣工结算超额审计费用：根据滁规建管办字〔2023〕3 号文件《关于规范建设项目工程造价控制与审核费用的通知》第二条规定，工程造价审减率超过5%时，施工单位承担审减率超出。</w:t>
      </w:r>
    </w:p>
    <w:p w14:paraId="29A3B7F4">
      <w:pPr>
        <w:adjustRightInd w:val="0"/>
        <w:snapToGrid w:val="0"/>
        <w:spacing w:line="384" w:lineRule="auto"/>
        <w:ind w:firstLine="422" w:firstLineChars="200"/>
        <w:rPr>
          <w:rFonts w:hint="eastAsia" w:ascii="宋体" w:hAnsi="宋体" w:cs="宋体"/>
          <w:color w:val="auto"/>
          <w:highlight w:val="none"/>
        </w:rPr>
      </w:pPr>
      <w:r>
        <w:rPr>
          <w:rFonts w:hint="eastAsia" w:ascii="宋体" w:hAnsi="宋体" w:cs="宋体"/>
          <w:b/>
          <w:bCs/>
          <w:color w:val="auto"/>
          <w:highlight w:val="none"/>
          <w:u w:val="none"/>
          <w:lang w:val="en-US" w:eastAsia="zh-CN"/>
        </w:rPr>
        <w:t>注：根据国家税务要求，本项目税率按照国家税务标准执行，中标人在请款时所提供的增值税专用发票税率低于国家税务要求的，经开区财务部门将从最终合同价款中扣除差额部分。</w:t>
      </w:r>
    </w:p>
    <w:p w14:paraId="4354EC38">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12.4.2进度付款申请单的编制</w:t>
      </w:r>
    </w:p>
    <w:p w14:paraId="211A381F">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关于进度付款申请单编制的约定：</w:t>
      </w:r>
      <w:r>
        <w:rPr>
          <w:rFonts w:hint="eastAsia" w:ascii="宋体" w:hAnsi="宋体" w:cs="宋体"/>
          <w:color w:val="auto"/>
          <w:szCs w:val="21"/>
          <w:highlight w:val="none"/>
          <w:u w:val="single"/>
        </w:rPr>
        <w:t xml:space="preserve">  按监理及跟踪审计单位要求执行  </w:t>
      </w:r>
      <w:r>
        <w:rPr>
          <w:rFonts w:hint="eastAsia" w:ascii="宋体" w:hAnsi="宋体" w:cs="宋体"/>
          <w:color w:val="auto"/>
          <w:highlight w:val="none"/>
        </w:rPr>
        <w:t>。</w:t>
      </w:r>
    </w:p>
    <w:p w14:paraId="1FB7D82E">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w:t>
      </w:r>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r>
        <w:rPr>
          <w:rFonts w:hint="eastAsia" w:ascii="宋体" w:hAnsi="宋体" w:cs="宋体"/>
          <w:color w:val="auto"/>
          <w:highlight w:val="none"/>
        </w:rPr>
        <w:t>2.4.3进度付款申请单的提交</w:t>
      </w:r>
    </w:p>
    <w:p w14:paraId="3AE37CA9">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（1）单价合同进度付款申请单提交的约定：</w:t>
      </w:r>
      <w:r>
        <w:rPr>
          <w:rFonts w:hint="eastAsia" w:ascii="宋体" w:hAnsi="宋体" w:cs="宋体"/>
          <w:color w:val="auto"/>
          <w:highlight w:val="none"/>
          <w:u w:val="single"/>
        </w:rPr>
        <w:t xml:space="preserve"> </w:t>
      </w:r>
      <w:r>
        <w:rPr>
          <w:rFonts w:hint="eastAsia" w:ascii="宋体" w:hAnsi="宋体" w:cs="宋体"/>
          <w:b/>
          <w:bCs/>
          <w:color w:val="auto"/>
          <w:kern w:val="2"/>
          <w:sz w:val="21"/>
          <w:szCs w:val="21"/>
          <w:highlight w:val="none"/>
          <w:u w:val="single"/>
          <w:lang w:val="en-US" w:eastAsia="zh-CN" w:bidi="ar-SA"/>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4681A9A2">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（2）总价合同进度付款申请单提交的约定：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不执行</w:t>
      </w:r>
      <w:r>
        <w:rPr>
          <w:rFonts w:hint="eastAsia" w:ascii="宋体" w:hAnsi="宋体" w:cs="宋体"/>
          <w:color w:val="auto"/>
          <w:szCs w:val="21"/>
          <w:highlight w:val="none"/>
          <w:u w:val="single"/>
        </w:rPr>
        <w:t xml:space="preserve">  </w:t>
      </w:r>
      <w:r>
        <w:rPr>
          <w:rFonts w:hint="eastAsia" w:ascii="宋体" w:hAnsi="宋体" w:cs="宋体"/>
          <w:color w:val="auto"/>
          <w:highlight w:val="none"/>
        </w:rPr>
        <w:t>。</w:t>
      </w:r>
    </w:p>
    <w:p w14:paraId="4B9CAC3D">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（3）其他价格形式合同进度付款申请单提交的约定：</w:t>
      </w:r>
      <w:r>
        <w:rPr>
          <w:rFonts w:hint="eastAsia" w:ascii="宋体" w:hAnsi="宋体" w:cs="宋体"/>
          <w:color w:val="auto"/>
          <w:highlight w:val="none"/>
          <w:u w:val="single"/>
        </w:rPr>
        <w:t xml:space="preserve"> </w:t>
      </w:r>
      <w:r>
        <w:rPr>
          <w:rFonts w:hint="eastAsia" w:ascii="宋体" w:hAnsi="宋体" w:cs="宋体"/>
          <w:color w:val="auto"/>
          <w:szCs w:val="21"/>
          <w:highlight w:val="none"/>
          <w:u w:val="single"/>
          <w:lang w:val="en-US" w:eastAsia="zh-CN"/>
        </w:rPr>
        <w:t>不执行</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3BEBEC64">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12.4.4 进度款审核和支付</w:t>
      </w:r>
    </w:p>
    <w:p w14:paraId="75A8CEFA">
      <w:pPr>
        <w:adjustRightInd w:val="0"/>
        <w:snapToGrid w:val="0"/>
        <w:spacing w:line="384" w:lineRule="auto"/>
        <w:ind w:firstLine="420" w:firstLineChars="200"/>
        <w:rPr>
          <w:rFonts w:hint="eastAsia" w:ascii="宋体" w:hAnsi="宋体" w:cs="宋体"/>
          <w:b/>
          <w:color w:val="auto"/>
          <w:highlight w:val="none"/>
          <w:u w:val="single"/>
        </w:rPr>
      </w:pPr>
      <w:r>
        <w:rPr>
          <w:rFonts w:hint="eastAsia" w:ascii="宋体" w:hAnsi="宋体" w:cs="宋体"/>
          <w:color w:val="auto"/>
          <w:highlight w:val="none"/>
        </w:rPr>
        <w:t>（1）监理人审查并报送发包人的期限：</w:t>
      </w:r>
      <w:r>
        <w:rPr>
          <w:rFonts w:hint="eastAsia" w:ascii="宋体" w:hAnsi="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执行通用条款</w:t>
      </w:r>
      <w:r>
        <w:rPr>
          <w:rFonts w:hint="eastAsia" w:ascii="宋体" w:hAnsi="宋体" w:cs="宋体"/>
          <w:color w:val="auto"/>
          <w:szCs w:val="21"/>
          <w:highlight w:val="none"/>
          <w:u w:val="single"/>
        </w:rPr>
        <w:t xml:space="preserve">  </w:t>
      </w:r>
      <w:r>
        <w:rPr>
          <w:rFonts w:hint="eastAsia" w:ascii="宋体" w:hAnsi="宋体" w:cs="宋体"/>
          <w:b/>
          <w:color w:val="auto"/>
          <w:highlight w:val="none"/>
        </w:rPr>
        <w:t>。</w:t>
      </w:r>
    </w:p>
    <w:p w14:paraId="2506869A">
      <w:pPr>
        <w:adjustRightInd w:val="0"/>
        <w:snapToGrid w:val="0"/>
        <w:spacing w:line="384" w:lineRule="auto"/>
        <w:ind w:firstLine="420" w:firstLineChars="200"/>
        <w:rPr>
          <w:rFonts w:hint="eastAsia" w:ascii="宋体" w:hAnsi="宋体" w:cs="宋体"/>
          <w:b/>
          <w:color w:val="auto"/>
          <w:highlight w:val="none"/>
          <w:u w:val="single"/>
        </w:rPr>
      </w:pPr>
      <w:r>
        <w:rPr>
          <w:rFonts w:hint="eastAsia" w:ascii="宋体" w:hAnsi="宋体" w:cs="宋体"/>
          <w:color w:val="auto"/>
          <w:highlight w:val="none"/>
        </w:rPr>
        <w:t>发包人完成审批并签发进度款支付证书的期限：</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ED2BAA5">
      <w:pPr>
        <w:adjustRightInd w:val="0"/>
        <w:snapToGrid w:val="0"/>
        <w:spacing w:line="384" w:lineRule="auto"/>
        <w:ind w:firstLine="420" w:firstLineChars="200"/>
        <w:rPr>
          <w:rFonts w:hint="eastAsia" w:ascii="宋体" w:hAnsi="宋体" w:cs="宋体"/>
          <w:b/>
          <w:color w:val="auto"/>
          <w:highlight w:val="none"/>
        </w:rPr>
      </w:pPr>
      <w:r>
        <w:rPr>
          <w:rFonts w:hint="eastAsia" w:ascii="宋体" w:hAnsi="宋体" w:cs="宋体"/>
          <w:color w:val="auto"/>
          <w:highlight w:val="none"/>
        </w:rPr>
        <w:t>（2）发包人支付进度款的期限：</w:t>
      </w:r>
      <w:r>
        <w:rPr>
          <w:rFonts w:hint="eastAsia" w:ascii="宋体" w:hAnsi="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详见12.4规定</w:t>
      </w:r>
      <w:r>
        <w:rPr>
          <w:rFonts w:hint="eastAsia" w:ascii="宋体" w:hAnsi="宋体" w:cs="宋体"/>
          <w:color w:val="auto"/>
          <w:szCs w:val="21"/>
          <w:highlight w:val="none"/>
          <w:u w:val="single"/>
        </w:rPr>
        <w:t xml:space="preserve"> </w:t>
      </w:r>
      <w:r>
        <w:rPr>
          <w:rFonts w:hint="eastAsia" w:ascii="宋体" w:hAnsi="宋体" w:cs="宋体"/>
          <w:b/>
          <w:color w:val="auto"/>
          <w:highlight w:val="none"/>
        </w:rPr>
        <w:t>。</w:t>
      </w:r>
    </w:p>
    <w:p w14:paraId="673733D1">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 xml:space="preserve">发包人逾期支付进度款的违约金的计算方式 </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无</w:t>
      </w:r>
      <w:r>
        <w:rPr>
          <w:rFonts w:hint="eastAsia" w:ascii="宋体" w:hAnsi="宋体" w:cs="宋体"/>
          <w:color w:val="auto"/>
          <w:highlight w:val="none"/>
          <w:u w:val="single"/>
        </w:rPr>
        <w:t xml:space="preserve">    </w:t>
      </w:r>
      <w:r>
        <w:rPr>
          <w:rFonts w:hint="eastAsia" w:ascii="宋体" w:hAnsi="宋体" w:cs="宋体"/>
          <w:b/>
          <w:color w:val="auto"/>
          <w:highlight w:val="none"/>
        </w:rPr>
        <w:t>。</w:t>
      </w:r>
    </w:p>
    <w:p w14:paraId="677FF8CA">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12.4.6 支付分解表的编制</w:t>
      </w:r>
    </w:p>
    <w:p w14:paraId="4005D238">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(2)总价合同支付分解表的编制与审批：</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035ACDC7">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(3)单价合同的总价项目支付分解表的编制与审批：</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65611138">
      <w:pPr>
        <w:adjustRightInd w:val="0"/>
        <w:snapToGrid w:val="0"/>
        <w:spacing w:line="384" w:lineRule="auto"/>
        <w:ind w:firstLine="422" w:firstLineChars="200"/>
        <w:rPr>
          <w:rFonts w:hint="eastAsia" w:ascii="宋体" w:hAnsi="宋体" w:cs="宋体"/>
          <w:b/>
          <w:color w:val="auto"/>
          <w:highlight w:val="none"/>
        </w:rPr>
      </w:pPr>
      <w:r>
        <w:rPr>
          <w:rFonts w:hint="eastAsia" w:ascii="宋体" w:hAnsi="宋体" w:cs="宋体"/>
          <w:b/>
          <w:color w:val="auto"/>
          <w:highlight w:val="none"/>
        </w:rPr>
        <w:t>12.4.7 农民工工资管理（农民工工资保证金支持保函使用）</w:t>
      </w:r>
    </w:p>
    <w:p w14:paraId="337C0E25">
      <w:pPr>
        <w:adjustRightInd w:val="0"/>
        <w:snapToGrid w:val="0"/>
        <w:spacing w:line="384" w:lineRule="auto"/>
        <w:ind w:firstLine="420" w:firstLineChars="200"/>
        <w:rPr>
          <w:rFonts w:hint="eastAsia" w:ascii="宋体" w:hAnsi="宋体" w:eastAsia="宋体" w:cs="宋体"/>
          <w:bCs/>
          <w:color w:val="auto"/>
          <w:highlight w:val="none"/>
          <w:lang w:eastAsia="zh-CN"/>
        </w:rPr>
      </w:pPr>
      <w:r>
        <w:rPr>
          <w:rFonts w:hint="eastAsia" w:ascii="宋体" w:hAnsi="宋体" w:cs="宋体"/>
          <w:bCs/>
          <w:color w:val="auto"/>
          <w:highlight w:val="none"/>
        </w:rPr>
        <w:t>(1)本工程农民工工资实行专用账户管理，承包人设立的专用账户开户行为</w:t>
      </w:r>
      <w:r>
        <w:rPr>
          <w:rFonts w:hint="eastAsia" w:ascii="宋体" w:hAnsi="宋体" w:cs="宋体"/>
          <w:bCs/>
          <w:color w:val="auto"/>
          <w:highlight w:val="none"/>
          <w:u w:val="single"/>
        </w:rPr>
        <w:t xml:space="preserve">：        </w:t>
      </w:r>
      <w:r>
        <w:rPr>
          <w:rFonts w:hint="eastAsia" w:ascii="宋体" w:hAnsi="宋体" w:cs="宋体"/>
          <w:bCs/>
          <w:color w:val="auto"/>
          <w:highlight w:val="none"/>
        </w:rPr>
        <w:t>，账号：</w:t>
      </w:r>
      <w:r>
        <w:rPr>
          <w:rFonts w:hint="eastAsia" w:ascii="宋体" w:hAnsi="宋体" w:cs="宋体"/>
          <w:bCs/>
          <w:color w:val="auto"/>
          <w:highlight w:val="none"/>
          <w:u w:val="single"/>
        </w:rPr>
        <w:t xml:space="preserve">              </w:t>
      </w:r>
      <w:r>
        <w:rPr>
          <w:rFonts w:hint="eastAsia" w:ascii="宋体" w:hAnsi="宋体" w:cs="宋体"/>
          <w:bCs/>
          <w:color w:val="auto"/>
          <w:highlight w:val="none"/>
          <w:lang w:eastAsia="zh-CN"/>
        </w:rPr>
        <w:t>；</w:t>
      </w:r>
    </w:p>
    <w:p w14:paraId="1FC47049">
      <w:pPr>
        <w:adjustRightInd w:val="0"/>
        <w:snapToGrid w:val="0"/>
        <w:spacing w:line="384" w:lineRule="auto"/>
        <w:ind w:firstLine="420" w:firstLineChars="200"/>
        <w:rPr>
          <w:rFonts w:hint="eastAsia" w:ascii="宋体" w:hAnsi="宋体" w:cs="宋体"/>
          <w:bCs/>
          <w:color w:val="auto"/>
          <w:highlight w:val="none"/>
        </w:rPr>
      </w:pPr>
      <w:r>
        <w:rPr>
          <w:rFonts w:hint="eastAsia" w:ascii="宋体" w:hAnsi="宋体" w:cs="宋体"/>
          <w:bCs/>
          <w:color w:val="auto"/>
          <w:highlight w:val="none"/>
        </w:rPr>
        <w:t>(2)本工程工资性工程款</w:t>
      </w:r>
      <w:r>
        <w:rPr>
          <w:rFonts w:hint="eastAsia" w:ascii="宋体" w:hAnsi="宋体" w:cs="宋体"/>
          <w:bCs/>
          <w:color w:val="auto"/>
          <w:highlight w:val="none"/>
          <w:u w:val="single"/>
        </w:rPr>
        <w:t xml:space="preserve">         </w:t>
      </w:r>
      <w:r>
        <w:rPr>
          <w:rFonts w:hint="eastAsia" w:ascii="宋体" w:hAnsi="宋体" w:cs="宋体"/>
          <w:bCs/>
          <w:color w:val="auto"/>
          <w:highlight w:val="none"/>
        </w:rPr>
        <w:t>元（相应的最低工资标准乘建筑面积）；其中工资性工程预付款</w:t>
      </w:r>
      <w:r>
        <w:rPr>
          <w:rFonts w:hint="eastAsia" w:ascii="宋体" w:hAnsi="宋体" w:cs="宋体"/>
          <w:bCs/>
          <w:color w:val="auto"/>
          <w:highlight w:val="none"/>
          <w:u w:val="single"/>
        </w:rPr>
        <w:t xml:space="preserve">         </w:t>
      </w:r>
      <w:r>
        <w:rPr>
          <w:rFonts w:hint="eastAsia" w:ascii="宋体" w:hAnsi="宋体" w:cs="宋体"/>
          <w:bCs/>
          <w:color w:val="auto"/>
          <w:highlight w:val="none"/>
        </w:rPr>
        <w:t>元。(工资性工程款除月工期)</w:t>
      </w:r>
    </w:p>
    <w:p w14:paraId="23D37FFA">
      <w:pPr>
        <w:adjustRightInd w:val="0"/>
        <w:snapToGrid w:val="0"/>
        <w:spacing w:line="384" w:lineRule="auto"/>
        <w:ind w:firstLine="420" w:firstLineChars="200"/>
        <w:rPr>
          <w:rFonts w:hint="eastAsia" w:ascii="宋体" w:hAnsi="宋体" w:cs="宋体"/>
          <w:bCs/>
          <w:color w:val="auto"/>
          <w:highlight w:val="none"/>
        </w:rPr>
      </w:pPr>
      <w:r>
        <w:rPr>
          <w:rFonts w:hint="eastAsia" w:ascii="宋体" w:hAnsi="宋体" w:cs="宋体"/>
          <w:bCs/>
          <w:color w:val="auto"/>
          <w:highlight w:val="none"/>
        </w:rPr>
        <w:t>(3)发包人在监理人签发开工报告前，将工资性工程预付款转入承包人开立的农民工工资专用账户。</w:t>
      </w:r>
    </w:p>
    <w:p w14:paraId="3663AD9B">
      <w:pPr>
        <w:adjustRightInd w:val="0"/>
        <w:snapToGrid w:val="0"/>
        <w:spacing w:line="384" w:lineRule="auto"/>
        <w:ind w:firstLine="420" w:firstLineChars="200"/>
        <w:rPr>
          <w:rFonts w:hint="eastAsia" w:ascii="宋体" w:hAnsi="宋体" w:cs="宋体"/>
          <w:bCs/>
          <w:color w:val="auto"/>
          <w:highlight w:val="none"/>
        </w:rPr>
      </w:pPr>
      <w:r>
        <w:rPr>
          <w:rFonts w:hint="eastAsia" w:ascii="宋体" w:hAnsi="宋体" w:cs="宋体"/>
          <w:bCs/>
          <w:color w:val="auto"/>
          <w:highlight w:val="none"/>
        </w:rPr>
        <w:t>工程开工后第一个月支付工资性工程进度款起，分</w:t>
      </w:r>
      <w:r>
        <w:rPr>
          <w:rFonts w:hint="eastAsia" w:ascii="宋体" w:hAnsi="宋体" w:cs="宋体"/>
          <w:bCs/>
          <w:color w:val="auto"/>
          <w:highlight w:val="none"/>
          <w:u w:val="single"/>
        </w:rPr>
        <w:t xml:space="preserve">  </w:t>
      </w:r>
      <w:r>
        <w:rPr>
          <w:rFonts w:hint="eastAsia" w:ascii="宋体" w:hAnsi="宋体" w:cs="宋体"/>
          <w:bCs/>
          <w:color w:val="auto"/>
          <w:szCs w:val="21"/>
          <w:highlight w:val="none"/>
          <w:u w:val="single"/>
        </w:rPr>
        <w:t xml:space="preserve"> </w:t>
      </w:r>
      <w:r>
        <w:rPr>
          <w:rFonts w:hint="eastAsia" w:ascii="宋体" w:hAnsi="宋体" w:cs="宋体"/>
          <w:bCs/>
          <w:color w:val="auto"/>
          <w:highlight w:val="none"/>
          <w:u w:val="single"/>
        </w:rPr>
        <w:t xml:space="preserve">  </w:t>
      </w:r>
      <w:r>
        <w:rPr>
          <w:rFonts w:hint="eastAsia" w:ascii="宋体" w:hAnsi="宋体" w:cs="宋体"/>
          <w:bCs/>
          <w:color w:val="auto"/>
          <w:highlight w:val="none"/>
        </w:rPr>
        <w:t>月扣回工资性工程预付款。</w:t>
      </w:r>
    </w:p>
    <w:p w14:paraId="3D5117DA">
      <w:pPr>
        <w:adjustRightInd w:val="0"/>
        <w:snapToGrid w:val="0"/>
        <w:spacing w:line="384" w:lineRule="auto"/>
        <w:ind w:firstLine="420" w:firstLineChars="200"/>
        <w:rPr>
          <w:rFonts w:hint="eastAsia" w:ascii="宋体" w:hAnsi="宋体" w:cs="宋体"/>
          <w:bCs/>
          <w:color w:val="auto"/>
          <w:highlight w:val="none"/>
        </w:rPr>
      </w:pPr>
      <w:r>
        <w:rPr>
          <w:rFonts w:hint="eastAsia" w:ascii="宋体" w:hAnsi="宋体" w:cs="宋体"/>
          <w:bCs/>
          <w:color w:val="auto"/>
          <w:highlight w:val="none"/>
        </w:rPr>
        <w:t>(4)发包人于每月25日前将工资性工程进度款转入农民工工资专用账户。</w:t>
      </w:r>
    </w:p>
    <w:p w14:paraId="18D48F98">
      <w:pPr>
        <w:adjustRightInd w:val="0"/>
        <w:snapToGrid w:val="0"/>
        <w:spacing w:line="384" w:lineRule="auto"/>
        <w:ind w:firstLine="420" w:firstLineChars="200"/>
        <w:rPr>
          <w:rFonts w:hint="eastAsia" w:ascii="宋体" w:hAnsi="宋体" w:cs="宋体"/>
          <w:bCs/>
          <w:color w:val="auto"/>
          <w:highlight w:val="none"/>
        </w:rPr>
      </w:pPr>
      <w:r>
        <w:rPr>
          <w:rFonts w:hint="eastAsia" w:ascii="宋体" w:hAnsi="宋体" w:cs="宋体"/>
          <w:bCs/>
          <w:color w:val="auto"/>
          <w:highlight w:val="none"/>
        </w:rPr>
        <w:t>(5)承包人每月25日前上报本工程农民工工资清单，每月10日前委托开设农民工工资专用账户的银行支付农民工工资。</w:t>
      </w:r>
    </w:p>
    <w:p w14:paraId="5D8C726D">
      <w:pPr>
        <w:adjustRightInd w:val="0"/>
        <w:snapToGrid w:val="0"/>
        <w:spacing w:line="384" w:lineRule="auto"/>
        <w:ind w:firstLine="420" w:firstLineChars="200"/>
        <w:rPr>
          <w:rFonts w:hint="eastAsia" w:ascii="宋体" w:hAnsi="宋体" w:eastAsia="宋体" w:cs="宋体"/>
          <w:bCs/>
          <w:color w:val="auto"/>
          <w:highlight w:val="none"/>
        </w:rPr>
      </w:pPr>
      <w:r>
        <w:rPr>
          <w:rFonts w:hint="eastAsia" w:ascii="宋体" w:hAnsi="宋体" w:cs="宋体"/>
          <w:bCs/>
          <w:color w:val="auto"/>
          <w:highlight w:val="none"/>
        </w:rPr>
        <w:t>(6)工程竣工后，经项目部农民工维权组确认无农民工工资拖欠后，发、承双方办理农民工工</w:t>
      </w:r>
      <w:r>
        <w:rPr>
          <w:rFonts w:hint="eastAsia" w:ascii="宋体" w:hAnsi="宋体" w:eastAsia="宋体" w:cs="宋体"/>
          <w:bCs/>
          <w:color w:val="auto"/>
          <w:highlight w:val="none"/>
        </w:rPr>
        <w:t>资专用账户撤销手续，农民工工资专用账户余额划至本合同约定的承包人账户。</w:t>
      </w:r>
    </w:p>
    <w:bookmarkEnd w:id="1007"/>
    <w:p w14:paraId="3B46645D">
      <w:pPr>
        <w:adjustRightInd w:val="0"/>
        <w:snapToGrid w:val="0"/>
        <w:spacing w:line="384" w:lineRule="auto"/>
        <w:ind w:firstLine="420" w:firstLineChars="200"/>
        <w:rPr>
          <w:rFonts w:hint="eastAsia" w:ascii="宋体" w:hAnsi="宋体" w:eastAsia="宋体" w:cs="宋体"/>
          <w:bCs/>
          <w:color w:val="auto"/>
          <w:highlight w:val="none"/>
        </w:rPr>
      </w:pPr>
      <w:bookmarkStart w:id="1183" w:name="_Toc95223477"/>
      <w:bookmarkStart w:id="1184" w:name="_Toc351203645"/>
      <w:bookmarkStart w:id="1185" w:name="_Toc292559424"/>
      <w:bookmarkStart w:id="1186" w:name="_Toc297048405"/>
      <w:bookmarkStart w:id="1187" w:name="_Toc304295593"/>
      <w:bookmarkStart w:id="1188" w:name="_Toc296891259"/>
      <w:bookmarkStart w:id="1189" w:name="_Toc300935015"/>
      <w:bookmarkStart w:id="1190" w:name="_Toc296503219"/>
      <w:bookmarkStart w:id="1191" w:name="_Toc297123564"/>
      <w:bookmarkStart w:id="1192" w:name="_Toc296346720"/>
      <w:bookmarkStart w:id="1193" w:name="_Toc296347218"/>
      <w:bookmarkStart w:id="1194" w:name="_Toc296944558"/>
      <w:bookmarkStart w:id="1195" w:name="_Toc297120519"/>
      <w:bookmarkStart w:id="1196" w:name="_Toc312678053"/>
      <w:bookmarkStart w:id="1197" w:name="_Toc297216223"/>
      <w:bookmarkStart w:id="1198" w:name="_Toc292559929"/>
      <w:bookmarkStart w:id="1199" w:name="_Toc296891047"/>
      <w:bookmarkStart w:id="1200" w:name="_Toc303539172"/>
      <w:r>
        <w:rPr>
          <w:rFonts w:hint="eastAsia" w:ascii="宋体" w:hAnsi="宋体" w:eastAsia="宋体" w:cs="宋体"/>
          <w:bCs/>
          <w:color w:val="auto"/>
          <w:highlight w:val="none"/>
        </w:rPr>
        <w:t>13. 验收和工程试车</w:t>
      </w:r>
      <w:bookmarkEnd w:id="1183"/>
      <w:bookmarkEnd w:id="1184"/>
    </w:p>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p w14:paraId="63C2AD06">
      <w:pPr>
        <w:adjustRightInd w:val="0"/>
        <w:snapToGrid w:val="0"/>
        <w:spacing w:line="384" w:lineRule="auto"/>
        <w:ind w:firstLine="420" w:firstLineChars="200"/>
        <w:rPr>
          <w:rFonts w:hint="eastAsia" w:ascii="宋体" w:hAnsi="宋体" w:eastAsia="宋体" w:cs="宋体"/>
          <w:bCs/>
          <w:color w:val="auto"/>
          <w:highlight w:val="none"/>
        </w:rPr>
      </w:pPr>
      <w:bookmarkStart w:id="1201" w:name="_Toc95223478"/>
      <w:r>
        <w:rPr>
          <w:rFonts w:hint="eastAsia" w:ascii="宋体" w:hAnsi="宋体" w:eastAsia="宋体" w:cs="宋体"/>
          <w:bCs/>
          <w:color w:val="auto"/>
          <w:highlight w:val="none"/>
        </w:rPr>
        <w:t>13.1 分部分项工程验收</w:t>
      </w:r>
      <w:bookmarkEnd w:id="1201"/>
    </w:p>
    <w:p w14:paraId="7B81BA35">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 xml:space="preserve">13.1.2 监理人不能按时进行验收时，应提前 </w:t>
      </w:r>
      <w:r>
        <w:rPr>
          <w:rFonts w:hint="eastAsia" w:ascii="宋体" w:hAnsi="宋体" w:cs="宋体"/>
          <w:color w:val="auto"/>
          <w:szCs w:val="21"/>
          <w:highlight w:val="none"/>
          <w:u w:val="single"/>
        </w:rPr>
        <w:t xml:space="preserve">24 </w:t>
      </w:r>
      <w:r>
        <w:rPr>
          <w:rFonts w:hint="eastAsia" w:ascii="宋体" w:hAnsi="宋体" w:cs="宋体"/>
          <w:color w:val="auto"/>
          <w:highlight w:val="none"/>
        </w:rPr>
        <w:t>小时提交书面延期要求。</w:t>
      </w:r>
    </w:p>
    <w:p w14:paraId="3DD0EF8B">
      <w:pPr>
        <w:adjustRightInd w:val="0"/>
        <w:snapToGrid w:val="0"/>
        <w:spacing w:line="384" w:lineRule="auto"/>
        <w:ind w:firstLine="420" w:firstLineChars="200"/>
        <w:rPr>
          <w:rFonts w:hint="eastAsia" w:ascii="宋体" w:hAnsi="宋体" w:cs="宋体"/>
          <w:b/>
          <w:color w:val="auto"/>
          <w:highlight w:val="none"/>
        </w:rPr>
      </w:pPr>
      <w:r>
        <w:rPr>
          <w:rFonts w:hint="eastAsia" w:ascii="宋体" w:hAnsi="宋体" w:cs="宋体"/>
          <w:color w:val="auto"/>
          <w:highlight w:val="none"/>
        </w:rPr>
        <w:t>关于延期最长不得超过：</w:t>
      </w:r>
      <w:r>
        <w:rPr>
          <w:rFonts w:hint="eastAsia" w:ascii="宋体" w:hAnsi="宋体" w:cs="宋体"/>
          <w:color w:val="auto"/>
          <w:highlight w:val="none"/>
          <w:u w:val="single"/>
        </w:rPr>
        <w:t xml:space="preserve"> </w:t>
      </w:r>
      <w:r>
        <w:rPr>
          <w:rFonts w:hint="eastAsia" w:ascii="宋体" w:hAnsi="宋体" w:cs="宋体"/>
          <w:color w:val="auto"/>
          <w:szCs w:val="21"/>
          <w:highlight w:val="none"/>
          <w:u w:val="single"/>
        </w:rPr>
        <w:t xml:space="preserve">48 </w:t>
      </w:r>
      <w:r>
        <w:rPr>
          <w:rFonts w:hint="eastAsia" w:ascii="宋体" w:hAnsi="宋体" w:cs="宋体"/>
          <w:color w:val="auto"/>
          <w:highlight w:val="none"/>
        </w:rPr>
        <w:t>小时。</w:t>
      </w:r>
    </w:p>
    <w:p w14:paraId="3E9EE803">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bookmarkStart w:id="1202" w:name="_Toc296347222"/>
      <w:bookmarkStart w:id="1203" w:name="_Toc297048409"/>
      <w:bookmarkStart w:id="1204" w:name="_Toc296346724"/>
      <w:bookmarkStart w:id="1205" w:name="_Toc296503223"/>
      <w:bookmarkStart w:id="1206" w:name="_Toc300935016"/>
      <w:bookmarkStart w:id="1207" w:name="_Toc296891263"/>
      <w:bookmarkStart w:id="1208" w:name="_Toc297123565"/>
      <w:bookmarkStart w:id="1209" w:name="_Toc296891051"/>
      <w:bookmarkStart w:id="1210" w:name="_Toc292559933"/>
      <w:bookmarkStart w:id="1211" w:name="_Toc296944562"/>
      <w:bookmarkStart w:id="1212" w:name="_Toc297120523"/>
      <w:bookmarkStart w:id="1213" w:name="_Toc303539173"/>
      <w:bookmarkStart w:id="1214" w:name="_Toc292559428"/>
      <w:bookmarkStart w:id="1215" w:name="_Toc304295596"/>
      <w:bookmarkStart w:id="1216" w:name="_Toc312678056"/>
      <w:bookmarkStart w:id="1217" w:name="_Toc297216224"/>
      <w:bookmarkStart w:id="1218" w:name="_Toc267251472"/>
      <w:bookmarkStart w:id="1219" w:name="_Toc267251476"/>
      <w:bookmarkStart w:id="1220" w:name="_Toc267251473"/>
      <w:bookmarkStart w:id="1221" w:name="_Toc267251474"/>
      <w:bookmarkStart w:id="1222" w:name="_Toc267251471"/>
      <w:bookmarkStart w:id="1223" w:name="_Toc267251470"/>
      <w:bookmarkStart w:id="1224" w:name="_Toc267251475"/>
      <w:r>
        <w:rPr>
          <w:rFonts w:hint="eastAsia" w:ascii="宋体" w:hAnsi="宋体" w:cs="宋体"/>
          <w:bCs/>
          <w:color w:val="auto"/>
          <w:szCs w:val="28"/>
          <w:highlight w:val="none"/>
        </w:rPr>
        <w:t>13.2 竣工验收</w:t>
      </w:r>
    </w:p>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p w14:paraId="258EF819">
      <w:pPr>
        <w:adjustRightInd w:val="0"/>
        <w:snapToGrid w:val="0"/>
        <w:spacing w:line="384" w:lineRule="auto"/>
        <w:ind w:firstLine="420" w:firstLineChars="200"/>
        <w:rPr>
          <w:rFonts w:hint="eastAsia" w:ascii="宋体" w:hAnsi="宋体" w:cs="宋体"/>
          <w:color w:val="auto"/>
          <w:highlight w:val="none"/>
        </w:rPr>
      </w:pPr>
      <w:bookmarkStart w:id="1225" w:name="_Toc280868704"/>
      <w:bookmarkStart w:id="1226" w:name="_Toc280868705"/>
      <w:bookmarkStart w:id="1227" w:name="_Toc280868706"/>
      <w:bookmarkStart w:id="1228" w:name="_Toc280868707"/>
      <w:bookmarkStart w:id="1229" w:name="_Toc280868708"/>
      <w:bookmarkStart w:id="1230" w:name="_Toc280868709"/>
      <w:r>
        <w:rPr>
          <w:rFonts w:hint="eastAsia" w:ascii="宋体" w:hAnsi="宋体" w:cs="宋体"/>
          <w:color w:val="auto"/>
          <w:highlight w:val="none"/>
        </w:rPr>
        <w:t>13.2.2 竣工验收程序</w:t>
      </w:r>
    </w:p>
    <w:bookmarkEnd w:id="1225"/>
    <w:p w14:paraId="7F80578F">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kern w:val="0"/>
          <w:highlight w:val="none"/>
        </w:rPr>
        <w:t>关于竣工验收程序的约定：</w:t>
      </w:r>
      <w:r>
        <w:rPr>
          <w:rFonts w:hint="eastAsia" w:ascii="宋体" w:hAnsi="宋体" w:cs="宋体"/>
          <w:color w:val="auto"/>
          <w:szCs w:val="21"/>
          <w:highlight w:val="none"/>
          <w:u w:val="single"/>
        </w:rPr>
        <w:t>执行通用条款</w:t>
      </w:r>
      <w:r>
        <w:rPr>
          <w:rFonts w:hint="eastAsia" w:ascii="宋体" w:hAnsi="宋体" w:cs="宋体"/>
          <w:color w:val="auto"/>
          <w:highlight w:val="none"/>
        </w:rPr>
        <w:t>。</w:t>
      </w:r>
    </w:p>
    <w:p w14:paraId="54FBAFD7">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kern w:val="0"/>
          <w:highlight w:val="none"/>
        </w:rPr>
        <w:t>发包人不按照本项约定组织竣工验收、颁发工程接收证书的违约金的计算方法：</w:t>
      </w:r>
      <w:r>
        <w:rPr>
          <w:rFonts w:hint="eastAsia" w:ascii="宋体" w:hAnsi="宋体" w:cs="宋体"/>
          <w:color w:val="auto"/>
          <w:szCs w:val="21"/>
          <w:highlight w:val="none"/>
          <w:u w:val="single"/>
        </w:rPr>
        <w:t>执行通用条款</w:t>
      </w:r>
      <w:r>
        <w:rPr>
          <w:rFonts w:hint="eastAsia" w:ascii="宋体" w:hAnsi="宋体" w:cs="宋体"/>
          <w:color w:val="auto"/>
          <w:highlight w:val="none"/>
        </w:rPr>
        <w:t>。</w:t>
      </w:r>
    </w:p>
    <w:bookmarkEnd w:id="1226"/>
    <w:p w14:paraId="5BCE68AA">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13.2.5 移交、接收全部与部分工程</w:t>
      </w:r>
    </w:p>
    <w:bookmarkEnd w:id="1227"/>
    <w:p w14:paraId="0FCB8D07">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承包人向发包人移交工程的期限：</w:t>
      </w:r>
      <w:r>
        <w:rPr>
          <w:rFonts w:hint="eastAsia" w:ascii="宋体" w:hAnsi="宋体" w:cs="宋体"/>
          <w:color w:val="auto"/>
          <w:szCs w:val="21"/>
          <w:highlight w:val="none"/>
          <w:u w:val="single"/>
        </w:rPr>
        <w:t>颁发工程接收证书后7天内完成工程的移交</w:t>
      </w:r>
      <w:r>
        <w:rPr>
          <w:rFonts w:hint="eastAsia" w:ascii="宋体" w:hAnsi="宋体" w:cs="宋体"/>
          <w:color w:val="auto"/>
          <w:highlight w:val="none"/>
        </w:rPr>
        <w:t>。</w:t>
      </w:r>
    </w:p>
    <w:p w14:paraId="7456FA2D">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kern w:val="0"/>
          <w:highlight w:val="none"/>
        </w:rPr>
        <w:t>发包人未按本合同约定接收全部或部分工程的，违约金的计算方法为：</w:t>
      </w:r>
      <w:r>
        <w:rPr>
          <w:rFonts w:hint="eastAsia" w:ascii="宋体" w:hAnsi="宋体" w:cs="宋体"/>
          <w:color w:val="auto"/>
          <w:szCs w:val="21"/>
          <w:highlight w:val="none"/>
          <w:u w:val="single"/>
        </w:rPr>
        <w:t>发包人自应当接收工程之日起，承担工程照管、成品保护、保管等与工程有关的各项费用</w:t>
      </w:r>
      <w:r>
        <w:rPr>
          <w:rFonts w:hint="eastAsia" w:ascii="宋体" w:hAnsi="宋体" w:cs="宋体"/>
          <w:color w:val="auto"/>
          <w:highlight w:val="none"/>
        </w:rPr>
        <w:t>。</w:t>
      </w:r>
    </w:p>
    <w:bookmarkEnd w:id="1228"/>
    <w:p w14:paraId="6427BA2B">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承包人未按时移交工程的，违约金的计算方法为：</w:t>
      </w:r>
      <w:r>
        <w:rPr>
          <w:rFonts w:hint="eastAsia" w:ascii="宋体" w:hAnsi="宋体" w:cs="宋体"/>
          <w:color w:val="auto"/>
          <w:szCs w:val="21"/>
          <w:highlight w:val="none"/>
          <w:u w:val="single"/>
        </w:rPr>
        <w:t>每逾期1天，承包人应向发包人支付</w:t>
      </w:r>
      <w:r>
        <w:rPr>
          <w:rFonts w:hint="eastAsia" w:ascii="宋体" w:hAnsi="宋体" w:cs="宋体"/>
          <w:color w:val="auto"/>
          <w:szCs w:val="21"/>
          <w:highlight w:val="none"/>
          <w:u w:val="single"/>
          <w:lang w:val="en-US" w:eastAsia="zh-CN"/>
        </w:rPr>
        <w:t>10000</w:t>
      </w:r>
      <w:r>
        <w:rPr>
          <w:rFonts w:hint="eastAsia" w:ascii="宋体" w:hAnsi="宋体" w:cs="宋体"/>
          <w:color w:val="auto"/>
          <w:szCs w:val="21"/>
          <w:highlight w:val="none"/>
          <w:u w:val="single"/>
        </w:rPr>
        <w:t>元/天违约金</w:t>
      </w:r>
      <w:r>
        <w:rPr>
          <w:rFonts w:hint="eastAsia" w:ascii="宋体" w:hAnsi="宋体" w:cs="宋体"/>
          <w:color w:val="auto"/>
          <w:highlight w:val="none"/>
        </w:rPr>
        <w:t>。</w:t>
      </w:r>
    </w:p>
    <w:p w14:paraId="77E5E8EF">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13.3 工程试车</w:t>
      </w:r>
    </w:p>
    <w:bookmarkEnd w:id="1229"/>
    <w:p w14:paraId="090AB2B2">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13.3.1 试车程序</w:t>
      </w:r>
    </w:p>
    <w:p w14:paraId="1B678BD3">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kern w:val="0"/>
          <w:highlight w:val="none"/>
        </w:rPr>
        <w:t>工程试车内容：</w:t>
      </w:r>
      <w:r>
        <w:rPr>
          <w:rFonts w:hint="eastAsia" w:ascii="宋体" w:hAnsi="宋体" w:cs="宋体"/>
          <w:color w:val="auto"/>
          <w:highlight w:val="none"/>
          <w:u w:val="single"/>
        </w:rPr>
        <w:t xml:space="preserve"> </w:t>
      </w:r>
      <w:r>
        <w:rPr>
          <w:rFonts w:hint="eastAsia" w:ascii="宋体" w:hAnsi="宋体" w:cs="宋体"/>
          <w:color w:val="auto"/>
          <w:szCs w:val="21"/>
          <w:highlight w:val="none"/>
          <w:u w:val="single"/>
        </w:rPr>
        <w:t>执行通用条款</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6B34C68D">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（1）单机无负荷试车费用由</w:t>
      </w:r>
      <w:r>
        <w:rPr>
          <w:rFonts w:hint="eastAsia" w:ascii="宋体" w:hAnsi="宋体" w:cs="宋体"/>
          <w:color w:val="auto"/>
          <w:kern w:val="0"/>
          <w:highlight w:val="none"/>
          <w:lang w:val="en-US" w:eastAsia="zh-CN"/>
        </w:rPr>
        <w:t xml:space="preserve"> </w:t>
      </w:r>
      <w:r>
        <w:rPr>
          <w:rFonts w:hint="eastAsia" w:ascii="宋体" w:hAnsi="宋体" w:cs="宋体"/>
          <w:color w:val="auto"/>
          <w:szCs w:val="21"/>
          <w:highlight w:val="none"/>
          <w:u w:val="single"/>
        </w:rPr>
        <w:t>试车消耗的生产性原材料由发包人承担；试车其他费用（包括试车所需水电油等费用）由承包人在措施费中考虑</w:t>
      </w:r>
      <w:r>
        <w:rPr>
          <w:rFonts w:hint="eastAsia" w:ascii="宋体" w:hAnsi="宋体" w:cs="宋体"/>
          <w:color w:val="auto"/>
          <w:kern w:val="0"/>
          <w:highlight w:val="none"/>
        </w:rPr>
        <w:t>承担；</w:t>
      </w:r>
    </w:p>
    <w:p w14:paraId="37084A7E">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（2）无负荷联动试车费用由</w:t>
      </w:r>
      <w:r>
        <w:rPr>
          <w:rFonts w:hint="eastAsia" w:ascii="宋体" w:hAnsi="宋体" w:cs="宋体"/>
          <w:color w:val="auto"/>
          <w:szCs w:val="21"/>
          <w:highlight w:val="none"/>
          <w:u w:val="single"/>
        </w:rPr>
        <w:t>试车消耗的生产性原材料由发包人承担；试车其他费用（包括试车所需水电油等费用）由承包人在措施费中考虑</w:t>
      </w:r>
      <w:r>
        <w:rPr>
          <w:rFonts w:hint="eastAsia" w:ascii="宋体" w:hAnsi="宋体" w:cs="宋体"/>
          <w:color w:val="auto"/>
          <w:kern w:val="0"/>
          <w:highlight w:val="none"/>
        </w:rPr>
        <w:t>承担。</w:t>
      </w:r>
    </w:p>
    <w:p w14:paraId="7D0D0F1F">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13.3.3 投料试车</w:t>
      </w:r>
    </w:p>
    <w:p w14:paraId="6740E090">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kern w:val="0"/>
          <w:highlight w:val="none"/>
        </w:rPr>
        <w:t>关于投料试车相关事项的约定：</w:t>
      </w:r>
      <w:r>
        <w:rPr>
          <w:rFonts w:hint="eastAsia" w:ascii="宋体" w:hAnsi="宋体" w:cs="宋体"/>
          <w:color w:val="auto"/>
          <w:szCs w:val="21"/>
          <w:highlight w:val="none"/>
          <w:u w:val="single"/>
        </w:rPr>
        <w:t>执行通用条款</w:t>
      </w:r>
      <w:r>
        <w:rPr>
          <w:rFonts w:hint="eastAsia" w:ascii="宋体" w:hAnsi="宋体" w:cs="宋体"/>
          <w:color w:val="auto"/>
          <w:highlight w:val="none"/>
        </w:rPr>
        <w:t>。</w:t>
      </w:r>
    </w:p>
    <w:p w14:paraId="149A9609">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13.6 竣工退场</w:t>
      </w:r>
    </w:p>
    <w:p w14:paraId="0BD79151">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13.6.1 竣工退场</w:t>
      </w:r>
    </w:p>
    <w:p w14:paraId="00D4469E">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承包人完成竣工退场的期限：</w:t>
      </w:r>
      <w:r>
        <w:rPr>
          <w:rFonts w:hint="eastAsia" w:ascii="宋体" w:hAnsi="宋体" w:cs="宋体"/>
          <w:color w:val="auto"/>
          <w:highlight w:val="none"/>
          <w:u w:val="single"/>
        </w:rPr>
        <w:t xml:space="preserve"> </w:t>
      </w:r>
      <w:r>
        <w:rPr>
          <w:rFonts w:hint="eastAsia" w:ascii="宋体" w:hAnsi="宋体" w:eastAsia="宋体" w:cs="宋体"/>
          <w:color w:val="auto"/>
          <w:szCs w:val="21"/>
          <w:highlight w:val="none"/>
          <w:u w:val="single"/>
        </w:rPr>
        <w:t>竣工之日起30日内</w:t>
      </w:r>
      <w:r>
        <w:rPr>
          <w:rFonts w:hint="eastAsia" w:ascii="宋体" w:hAnsi="宋体" w:cs="宋体"/>
          <w:color w:val="auto"/>
          <w:highlight w:val="none"/>
          <w:u w:val="single"/>
        </w:rPr>
        <w:t xml:space="preserve"> </w:t>
      </w:r>
      <w:r>
        <w:rPr>
          <w:rFonts w:hint="eastAsia" w:ascii="宋体" w:hAnsi="宋体" w:cs="宋体"/>
          <w:color w:val="auto"/>
          <w:kern w:val="0"/>
          <w:highlight w:val="none"/>
        </w:rPr>
        <w:t>。</w:t>
      </w:r>
    </w:p>
    <w:p w14:paraId="09C342C1">
      <w:pPr>
        <w:keepNext/>
        <w:keepLines/>
        <w:adjustRightInd w:val="0"/>
        <w:snapToGrid w:val="0"/>
        <w:spacing w:line="384" w:lineRule="auto"/>
        <w:jc w:val="left"/>
        <w:outlineLvl w:val="2"/>
        <w:rPr>
          <w:rFonts w:hint="eastAsia" w:ascii="宋体" w:hAnsi="宋体" w:cs="宋体"/>
          <w:bCs/>
          <w:color w:val="auto"/>
          <w:sz w:val="24"/>
          <w:highlight w:val="none"/>
        </w:rPr>
      </w:pPr>
      <w:bookmarkStart w:id="1231" w:name="_Toc95223479"/>
      <w:bookmarkStart w:id="1232" w:name="_Toc351203646"/>
      <w:r>
        <w:rPr>
          <w:rFonts w:hint="eastAsia" w:ascii="宋体" w:hAnsi="宋体" w:cs="宋体"/>
          <w:bCs/>
          <w:color w:val="auto"/>
          <w:sz w:val="24"/>
          <w:highlight w:val="none"/>
        </w:rPr>
        <w:t>14. 竣工结算</w:t>
      </w:r>
      <w:bookmarkEnd w:id="1231"/>
      <w:bookmarkEnd w:id="1232"/>
    </w:p>
    <w:p w14:paraId="10F1D334">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14.1 竣工结算申请</w:t>
      </w:r>
    </w:p>
    <w:p w14:paraId="57ECEB6B">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承包人提交竣工结算申请单的期限：</w:t>
      </w:r>
      <w:r>
        <w:rPr>
          <w:rFonts w:hint="eastAsia" w:ascii="宋体" w:hAnsi="宋体" w:cs="宋体"/>
          <w:color w:val="auto"/>
          <w:szCs w:val="21"/>
          <w:highlight w:val="none"/>
          <w:u w:val="single"/>
        </w:rPr>
        <w:t>承包人应在工程竣工验收合格后28天内</w:t>
      </w:r>
      <w:r>
        <w:rPr>
          <w:rFonts w:hint="eastAsia" w:ascii="宋体" w:hAnsi="宋体" w:cs="宋体"/>
          <w:color w:val="auto"/>
          <w:highlight w:val="none"/>
        </w:rPr>
        <w:t>。</w:t>
      </w:r>
    </w:p>
    <w:p w14:paraId="21CEEF27">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竣工结算申请单应包括的内容：</w:t>
      </w:r>
      <w:r>
        <w:rPr>
          <w:rFonts w:hint="eastAsia" w:ascii="宋体" w:hAnsi="宋体" w:cs="宋体"/>
          <w:color w:val="auto"/>
          <w:szCs w:val="21"/>
          <w:highlight w:val="none"/>
          <w:u w:val="single"/>
        </w:rPr>
        <w:t>执行通用条款</w:t>
      </w:r>
      <w:r>
        <w:rPr>
          <w:rFonts w:hint="eastAsia" w:ascii="宋体" w:hAnsi="宋体" w:cs="宋体"/>
          <w:color w:val="auto"/>
          <w:highlight w:val="none"/>
        </w:rPr>
        <w:t>。</w:t>
      </w:r>
    </w:p>
    <w:p w14:paraId="0DDD56CB">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14.2 竣工结算审核</w:t>
      </w:r>
    </w:p>
    <w:p w14:paraId="40FF36E8">
      <w:pPr>
        <w:widowControl/>
        <w:adjustRightInd w:val="0"/>
        <w:snapToGrid w:val="0"/>
        <w:spacing w:line="384"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发包人审批竣工付款申请单的期限：发包人应在收到监理人提交的经审核的竣工结算申请单 后</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u w:val="single"/>
          <w:lang w:val="en-US" w:eastAsia="zh-CN"/>
        </w:rPr>
        <w:t>60</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天内完成审批。</w:t>
      </w:r>
    </w:p>
    <w:p w14:paraId="5DE2A3EA">
      <w:pPr>
        <w:widowControl/>
        <w:adjustRightInd w:val="0"/>
        <w:snapToGrid w:val="0"/>
        <w:spacing w:line="384" w:lineRule="auto"/>
        <w:ind w:firstLine="422" w:firstLineChars="200"/>
        <w:jc w:val="left"/>
        <w:rPr>
          <w:rFonts w:hint="eastAsia" w:ascii="宋体" w:hAnsi="宋体" w:cs="宋体"/>
          <w:b/>
          <w:bCs/>
          <w:color w:val="auto"/>
          <w:kern w:val="0"/>
          <w:szCs w:val="21"/>
          <w:highlight w:val="none"/>
          <w:shd w:val="clear" w:color="auto" w:fill="FFFFFF"/>
        </w:rPr>
      </w:pPr>
      <w:r>
        <w:rPr>
          <w:rFonts w:hint="eastAsia" w:ascii="宋体" w:hAnsi="宋体" w:cs="宋体"/>
          <w:b/>
          <w:bCs/>
          <w:color w:val="auto"/>
          <w:kern w:val="0"/>
          <w:szCs w:val="21"/>
          <w:highlight w:val="none"/>
          <w:shd w:val="clear" w:color="auto" w:fill="FFFFFF"/>
        </w:rPr>
        <w:t>（机关、事业单位从中小企业采购工程，应当自工程交付之日起30日内支付款项；合同另有约定的，付款期限最长不得超过60日。超过60日的，自超期之日起15日内，机关、事业单位先行按照合同价与结算价孰低的98%支付工程价款。）</w:t>
      </w:r>
    </w:p>
    <w:p w14:paraId="6B2B0BCA">
      <w:pPr>
        <w:adjustRightInd w:val="0"/>
        <w:snapToGrid w:val="0"/>
        <w:spacing w:line="384"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发包人完成竣工付款的期限：发包人应在签发竣工付款证书后的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60</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天内，完成对承包人的竣工付款。</w:t>
      </w:r>
    </w:p>
    <w:p w14:paraId="79FD9E89">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关于竣工付款证书异议部分复核的方式和程序：</w:t>
      </w:r>
      <w:r>
        <w:rPr>
          <w:rFonts w:hint="eastAsia" w:ascii="宋体" w:hAnsi="宋体" w:cs="宋体"/>
          <w:color w:val="auto"/>
          <w:szCs w:val="21"/>
          <w:highlight w:val="none"/>
          <w:u w:val="single"/>
        </w:rPr>
        <w:t>执行通用条款</w:t>
      </w:r>
      <w:r>
        <w:rPr>
          <w:rFonts w:hint="eastAsia" w:ascii="宋体" w:hAnsi="宋体" w:cs="宋体"/>
          <w:color w:val="auto"/>
          <w:highlight w:val="none"/>
        </w:rPr>
        <w:t>。</w:t>
      </w:r>
    </w:p>
    <w:p w14:paraId="691FE4E6">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14.4 最终结清</w:t>
      </w:r>
    </w:p>
    <w:p w14:paraId="62E56ADD">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14.4.1 最终结清申请单</w:t>
      </w:r>
    </w:p>
    <w:p w14:paraId="4611E01B">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承包人提交最终结清申请单的份数：</w:t>
      </w:r>
      <w:r>
        <w:rPr>
          <w:rFonts w:hint="eastAsia" w:ascii="宋体" w:hAnsi="宋体" w:cs="宋体"/>
          <w:color w:val="auto"/>
          <w:highlight w:val="none"/>
          <w:u w:val="single"/>
        </w:rPr>
        <w:t xml:space="preserve"> 按监理和跟踪审计单位要求执行 </w:t>
      </w:r>
      <w:r>
        <w:rPr>
          <w:rFonts w:hint="eastAsia" w:ascii="宋体" w:hAnsi="宋体" w:cs="宋体"/>
          <w:color w:val="auto"/>
          <w:highlight w:val="none"/>
        </w:rPr>
        <w:t>。</w:t>
      </w:r>
    </w:p>
    <w:p w14:paraId="6025ADFC">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kern w:val="0"/>
          <w:highlight w:val="none"/>
        </w:rPr>
        <w:t>承包人提交最终结算申请单的期限：</w:t>
      </w:r>
      <w:r>
        <w:rPr>
          <w:rFonts w:hint="eastAsia" w:ascii="宋体" w:hAnsi="宋体" w:cs="宋体"/>
          <w:color w:val="auto"/>
          <w:szCs w:val="21"/>
          <w:highlight w:val="none"/>
          <w:u w:val="single"/>
        </w:rPr>
        <w:t>缺陷责任期终止证书颁发后7天内</w:t>
      </w:r>
      <w:r>
        <w:rPr>
          <w:rFonts w:hint="eastAsia" w:ascii="宋体" w:hAnsi="宋体" w:cs="宋体"/>
          <w:color w:val="auto"/>
          <w:highlight w:val="none"/>
        </w:rPr>
        <w:t xml:space="preserve">。 </w:t>
      </w:r>
    </w:p>
    <w:p w14:paraId="5DA8E869">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14.4.2 最终结清证书和支付</w:t>
      </w:r>
    </w:p>
    <w:p w14:paraId="42424702">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（1）发包人完成最终结清申请单的审批并颁发最终结清证书的期限：</w:t>
      </w:r>
      <w:r>
        <w:rPr>
          <w:rFonts w:hint="eastAsia" w:ascii="宋体" w:hAnsi="宋体" w:cs="宋体"/>
          <w:color w:val="auto"/>
          <w:szCs w:val="21"/>
          <w:highlight w:val="none"/>
          <w:u w:val="single"/>
        </w:rPr>
        <w:t>收到承包人提交的最终结清申请单后14天内</w:t>
      </w:r>
      <w:r>
        <w:rPr>
          <w:rFonts w:hint="eastAsia" w:ascii="宋体" w:hAnsi="宋体" w:cs="宋体"/>
          <w:color w:val="auto"/>
          <w:highlight w:val="none"/>
        </w:rPr>
        <w:t>。</w:t>
      </w:r>
    </w:p>
    <w:p w14:paraId="07A2FDD4">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（2）发包人完成支付的期限：</w:t>
      </w:r>
      <w:r>
        <w:rPr>
          <w:rFonts w:hint="eastAsia" w:ascii="宋体" w:hAnsi="宋体" w:cs="宋体"/>
          <w:color w:val="auto"/>
          <w:szCs w:val="21"/>
          <w:highlight w:val="none"/>
          <w:u w:val="single"/>
        </w:rPr>
        <w:t>颁发最终结清证书后7天内完成支付</w:t>
      </w:r>
      <w:r>
        <w:rPr>
          <w:rFonts w:hint="eastAsia" w:ascii="宋体" w:hAnsi="宋体" w:cs="宋体"/>
          <w:color w:val="auto"/>
          <w:highlight w:val="none"/>
        </w:rPr>
        <w:t>。</w:t>
      </w:r>
    </w:p>
    <w:bookmarkEnd w:id="1218"/>
    <w:bookmarkEnd w:id="1219"/>
    <w:bookmarkEnd w:id="1220"/>
    <w:bookmarkEnd w:id="1221"/>
    <w:bookmarkEnd w:id="1222"/>
    <w:bookmarkEnd w:id="1223"/>
    <w:bookmarkEnd w:id="1224"/>
    <w:bookmarkEnd w:id="1230"/>
    <w:p w14:paraId="224D28BB">
      <w:pPr>
        <w:keepNext/>
        <w:keepLines/>
        <w:adjustRightInd w:val="0"/>
        <w:snapToGrid w:val="0"/>
        <w:spacing w:line="384" w:lineRule="auto"/>
        <w:jc w:val="left"/>
        <w:outlineLvl w:val="2"/>
        <w:rPr>
          <w:rFonts w:hint="eastAsia" w:ascii="宋体" w:hAnsi="宋体" w:cs="宋体"/>
          <w:bCs/>
          <w:color w:val="auto"/>
          <w:sz w:val="24"/>
          <w:highlight w:val="none"/>
        </w:rPr>
      </w:pPr>
      <w:bookmarkStart w:id="1233" w:name="_Toc95223480"/>
      <w:bookmarkStart w:id="1234" w:name="_Toc351203647"/>
      <w:bookmarkStart w:id="1235" w:name="_Toc267251483"/>
      <w:bookmarkStart w:id="1236" w:name="_Toc267251482"/>
      <w:bookmarkStart w:id="1237" w:name="_Toc267251484"/>
      <w:bookmarkStart w:id="1238" w:name="_Toc267251485"/>
      <w:bookmarkStart w:id="1239" w:name="_Toc267251488"/>
      <w:bookmarkStart w:id="1240" w:name="_Toc267251489"/>
      <w:bookmarkStart w:id="1241" w:name="_Toc267251486"/>
      <w:bookmarkStart w:id="1242" w:name="_Toc267251490"/>
      <w:bookmarkStart w:id="1243" w:name="_Toc267251497"/>
      <w:bookmarkStart w:id="1244" w:name="_Toc267251493"/>
      <w:bookmarkStart w:id="1245" w:name="_Toc267251502"/>
      <w:bookmarkStart w:id="1246" w:name="_Toc267251495"/>
      <w:bookmarkStart w:id="1247" w:name="_Toc267251499"/>
      <w:bookmarkStart w:id="1248" w:name="_Toc267251491"/>
      <w:bookmarkStart w:id="1249" w:name="_Toc267251494"/>
      <w:bookmarkStart w:id="1250" w:name="_Toc267251498"/>
      <w:bookmarkStart w:id="1251" w:name="_Toc267251492"/>
      <w:bookmarkStart w:id="1252" w:name="_Toc267251503"/>
      <w:bookmarkStart w:id="1253" w:name="_Toc267251496"/>
      <w:bookmarkStart w:id="1254" w:name="_Toc267251501"/>
      <w:bookmarkStart w:id="1255" w:name="_Toc267251506"/>
      <w:bookmarkStart w:id="1256" w:name="_Toc267251504"/>
      <w:bookmarkStart w:id="1257" w:name="_Toc267251507"/>
      <w:bookmarkStart w:id="1258" w:name="_Toc267251508"/>
      <w:bookmarkStart w:id="1259" w:name="_Toc267251510"/>
      <w:bookmarkStart w:id="1260" w:name="_Toc267251511"/>
      <w:bookmarkStart w:id="1261" w:name="_Toc267251509"/>
      <w:bookmarkStart w:id="1262" w:name="_Toc267251513"/>
      <w:bookmarkStart w:id="1263" w:name="_Toc267251515"/>
      <w:bookmarkStart w:id="1264" w:name="_Toc267251514"/>
      <w:r>
        <w:rPr>
          <w:rFonts w:hint="eastAsia" w:ascii="宋体" w:hAnsi="宋体" w:cs="宋体"/>
          <w:bCs/>
          <w:color w:val="auto"/>
          <w:sz w:val="24"/>
          <w:highlight w:val="none"/>
        </w:rPr>
        <w:t>15. 缺陷责任期与保修</w:t>
      </w:r>
      <w:bookmarkEnd w:id="1233"/>
      <w:bookmarkEnd w:id="1234"/>
    </w:p>
    <w:p w14:paraId="5E587DA0">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15.2 缺陷责任期</w:t>
      </w:r>
      <w:bookmarkEnd w:id="1235"/>
    </w:p>
    <w:p w14:paraId="02E3A667">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缺陷责任期的具体期限：</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两年（缺陷责任期自工程竣工验收合格之日起计算）</w:t>
      </w:r>
      <w:r>
        <w:rPr>
          <w:rFonts w:hint="eastAsia" w:ascii="宋体" w:hAnsi="宋体" w:cs="宋体"/>
          <w:color w:val="auto"/>
          <w:szCs w:val="21"/>
          <w:highlight w:val="none"/>
          <w:u w:val="single"/>
        </w:rPr>
        <w:t xml:space="preserve"> </w:t>
      </w:r>
      <w:r>
        <w:rPr>
          <w:rFonts w:hint="eastAsia" w:ascii="宋体" w:hAnsi="宋体" w:cs="宋体"/>
          <w:color w:val="auto"/>
          <w:highlight w:val="none"/>
        </w:rPr>
        <w:t>。</w:t>
      </w:r>
    </w:p>
    <w:p w14:paraId="0050DC83">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15.3 质量保证金</w:t>
      </w:r>
    </w:p>
    <w:p w14:paraId="57547D76">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关于是否扣留质量保证金的约定：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是</w:t>
      </w:r>
      <w:r>
        <w:rPr>
          <w:rFonts w:hint="eastAsia" w:ascii="宋体" w:hAnsi="宋体" w:cs="宋体"/>
          <w:color w:val="auto"/>
          <w:szCs w:val="21"/>
          <w:highlight w:val="none"/>
          <w:u w:val="single"/>
        </w:rPr>
        <w:t xml:space="preserve">   </w:t>
      </w:r>
      <w:r>
        <w:rPr>
          <w:rFonts w:hint="eastAsia" w:ascii="宋体" w:hAnsi="宋体" w:cs="宋体"/>
          <w:color w:val="auto"/>
          <w:highlight w:val="none"/>
        </w:rPr>
        <w:t>。在工程项目竣工前，承包人按专用合同条款第3.7款提供履约保证金的，发包人不得同时预留工程质量保证金。</w:t>
      </w:r>
    </w:p>
    <w:p w14:paraId="72D86425">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15.3.1 承包人提供质量保证金的方式</w:t>
      </w:r>
    </w:p>
    <w:p w14:paraId="17F1E718">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质量保证金采用以下方式：</w:t>
      </w:r>
    </w:p>
    <w:p w14:paraId="75B64F08">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（1）质量保证金保函，保证金额为：</w:t>
      </w:r>
      <w:r>
        <w:rPr>
          <w:rFonts w:hint="eastAsia" w:ascii="宋体" w:hAnsi="宋体" w:cs="宋体"/>
          <w:color w:val="auto"/>
          <w:kern w:val="0"/>
          <w:highlight w:val="none"/>
          <w:u w:val="single"/>
        </w:rPr>
        <w:t>2%的工程款</w:t>
      </w:r>
      <w:r>
        <w:rPr>
          <w:rFonts w:hint="eastAsia" w:ascii="宋体" w:hAnsi="宋体" w:cs="宋体"/>
          <w:color w:val="auto"/>
          <w:kern w:val="0"/>
          <w:highlight w:val="none"/>
        </w:rPr>
        <w:t xml:space="preserve">； </w:t>
      </w:r>
    </w:p>
    <w:p w14:paraId="39D6C9DF">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w:t>
      </w:r>
      <w:r>
        <w:rPr>
          <w:rFonts w:hint="eastAsia" w:ascii="宋体" w:hAnsi="宋体" w:cs="宋体"/>
          <w:color w:val="auto"/>
          <w:kern w:val="0"/>
          <w:highlight w:val="none"/>
          <w:u w:val="single"/>
        </w:rPr>
        <w:t>2</w:t>
      </w:r>
      <w:r>
        <w:rPr>
          <w:rFonts w:hint="eastAsia" w:ascii="宋体" w:hAnsi="宋体" w:cs="宋体"/>
          <w:color w:val="auto"/>
          <w:kern w:val="0"/>
          <w:highlight w:val="none"/>
        </w:rPr>
        <w:t>%的工程款；</w:t>
      </w:r>
    </w:p>
    <w:p w14:paraId="166F193C">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（3）其他方式:</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w:t>
      </w:r>
    </w:p>
    <w:p w14:paraId="7B6BF221">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 xml:space="preserve">15.3.2 质量保证金的扣留 </w:t>
      </w:r>
    </w:p>
    <w:p w14:paraId="234BA887">
      <w:pPr>
        <w:pageBreakBefore w:val="0"/>
        <w:kinsoku/>
        <w:wordWrap/>
        <w:overflowPunct/>
        <w:topLinePunct w:val="0"/>
        <w:autoSpaceDE/>
        <w:autoSpaceDN/>
        <w:bidi w:val="0"/>
        <w:adjustRightInd w:val="0"/>
        <w:snapToGrid w:val="0"/>
        <w:spacing w:line="384" w:lineRule="auto"/>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质量保证金的扣留采取以下方式：</w:t>
      </w:r>
    </w:p>
    <w:p w14:paraId="537D7B25">
      <w:pPr>
        <w:pageBreakBefore w:val="0"/>
        <w:kinsoku/>
        <w:wordWrap/>
        <w:overflowPunct/>
        <w:topLinePunct w:val="0"/>
        <w:autoSpaceDE/>
        <w:autoSpaceDN/>
        <w:bidi w:val="0"/>
        <w:adjustRightInd w:val="0"/>
        <w:snapToGrid w:val="0"/>
        <w:spacing w:line="384" w:lineRule="auto"/>
        <w:ind w:firstLine="420" w:firstLineChars="200"/>
        <w:textAlignment w:val="auto"/>
        <w:rPr>
          <w:rFonts w:hint="eastAsia" w:ascii="宋体" w:hAnsi="宋体" w:cs="宋体"/>
          <w:color w:val="auto"/>
          <w:kern w:val="0"/>
          <w:highlight w:val="none"/>
        </w:rPr>
      </w:pPr>
      <w:r>
        <w:rPr>
          <w:rFonts w:hint="eastAsia" w:ascii="宋体" w:hAnsi="宋体" w:cs="宋体"/>
          <w:color w:val="auto"/>
          <w:kern w:val="0"/>
          <w:highlight w:val="none"/>
        </w:rPr>
        <w:t>（1）在支付工程进度款时逐次扣留，在此情形下，质量保证金的计算基数不包括预付款的支付、扣回以及价格调整的金额；</w:t>
      </w:r>
    </w:p>
    <w:p w14:paraId="131D94B1">
      <w:pPr>
        <w:pageBreakBefore w:val="0"/>
        <w:kinsoku/>
        <w:wordWrap/>
        <w:overflowPunct/>
        <w:topLinePunct w:val="0"/>
        <w:autoSpaceDE/>
        <w:autoSpaceDN/>
        <w:bidi w:val="0"/>
        <w:adjustRightInd w:val="0"/>
        <w:snapToGrid w:val="0"/>
        <w:spacing w:line="384" w:lineRule="auto"/>
        <w:ind w:firstLine="420" w:firstLineChars="200"/>
        <w:textAlignment w:val="auto"/>
        <w:rPr>
          <w:rFonts w:hint="eastAsia" w:ascii="宋体" w:hAnsi="宋体" w:cs="宋体"/>
          <w:color w:val="auto"/>
          <w:kern w:val="0"/>
          <w:highlight w:val="none"/>
        </w:rPr>
      </w:pPr>
      <w:r>
        <w:rPr>
          <w:rFonts w:hint="eastAsia" w:ascii="宋体" w:hAnsi="宋体" w:cs="宋体"/>
          <w:color w:val="auto"/>
          <w:kern w:val="0"/>
          <w:highlight w:val="none"/>
        </w:rPr>
        <w:t>（2）工程竣工结算时一次性扣留质量保证金；</w:t>
      </w:r>
    </w:p>
    <w:p w14:paraId="2A944731">
      <w:pPr>
        <w:pageBreakBefore w:val="0"/>
        <w:kinsoku/>
        <w:wordWrap/>
        <w:overflowPunct/>
        <w:topLinePunct w:val="0"/>
        <w:autoSpaceDE/>
        <w:autoSpaceDN/>
        <w:bidi w:val="0"/>
        <w:adjustRightInd w:val="0"/>
        <w:snapToGrid w:val="0"/>
        <w:spacing w:line="384" w:lineRule="auto"/>
        <w:ind w:firstLine="420" w:firstLineChars="200"/>
        <w:textAlignment w:val="auto"/>
        <w:rPr>
          <w:rFonts w:hint="eastAsia" w:ascii="宋体" w:hAnsi="宋体" w:cs="宋体"/>
          <w:color w:val="auto"/>
          <w:kern w:val="0"/>
          <w:highlight w:val="none"/>
        </w:rPr>
      </w:pPr>
      <w:r>
        <w:rPr>
          <w:rFonts w:hint="eastAsia" w:ascii="宋体" w:hAnsi="宋体" w:cs="宋体"/>
          <w:color w:val="auto"/>
          <w:kern w:val="0"/>
          <w:highlight w:val="none"/>
        </w:rPr>
        <w:t>（3）其他扣留方式:</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w:t>
      </w:r>
    </w:p>
    <w:p w14:paraId="37A83132">
      <w:pPr>
        <w:pageBreakBefore w:val="0"/>
        <w:kinsoku/>
        <w:wordWrap/>
        <w:overflowPunct/>
        <w:topLinePunct w:val="0"/>
        <w:autoSpaceDE/>
        <w:autoSpaceDN/>
        <w:bidi w:val="0"/>
        <w:adjustRightInd w:val="0"/>
        <w:snapToGrid w:val="0"/>
        <w:spacing w:line="384" w:lineRule="auto"/>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关于质量保证金的补充约定：</w:t>
      </w:r>
      <w:r>
        <w:rPr>
          <w:rFonts w:hint="eastAsia" w:ascii="宋体" w:hAnsi="宋体" w:cs="宋体"/>
          <w:color w:val="auto"/>
          <w:kern w:val="0"/>
          <w:highlight w:val="none"/>
          <w:u w:val="single"/>
        </w:rPr>
        <w:t>质量保证金支持保函（银行保函、担保机构担保、保证保险）使用。采用保函的，保函有效期须与缺陷责任期截止时间保持一致</w:t>
      </w:r>
      <w:r>
        <w:rPr>
          <w:rFonts w:hint="eastAsia" w:ascii="宋体" w:hAnsi="宋体" w:cs="宋体"/>
          <w:color w:val="auto"/>
          <w:kern w:val="0"/>
          <w:highlight w:val="none"/>
        </w:rPr>
        <w:t>。</w:t>
      </w:r>
    </w:p>
    <w:bookmarkEnd w:id="1236"/>
    <w:bookmarkEnd w:id="1237"/>
    <w:p w14:paraId="52985E7F">
      <w:pPr>
        <w:keepNext/>
        <w:keepLines/>
        <w:pageBreakBefore w:val="0"/>
        <w:kinsoku/>
        <w:wordWrap/>
        <w:overflowPunct/>
        <w:topLinePunct w:val="0"/>
        <w:autoSpaceDE/>
        <w:autoSpaceDN/>
        <w:bidi w:val="0"/>
        <w:adjustRightInd w:val="0"/>
        <w:snapToGrid w:val="0"/>
        <w:spacing w:line="384" w:lineRule="auto"/>
        <w:ind w:firstLine="420" w:firstLineChars="200"/>
        <w:textAlignment w:val="auto"/>
        <w:outlineLvl w:val="3"/>
        <w:rPr>
          <w:rFonts w:hint="eastAsia" w:ascii="宋体" w:hAnsi="宋体" w:cs="宋体"/>
          <w:bCs/>
          <w:color w:val="auto"/>
          <w:szCs w:val="28"/>
          <w:highlight w:val="none"/>
        </w:rPr>
      </w:pPr>
      <w:r>
        <w:rPr>
          <w:rFonts w:hint="eastAsia" w:ascii="宋体" w:hAnsi="宋体" w:cs="宋体"/>
          <w:bCs/>
          <w:color w:val="auto"/>
          <w:szCs w:val="28"/>
          <w:highlight w:val="none"/>
        </w:rPr>
        <w:t>15.4 保修</w:t>
      </w:r>
    </w:p>
    <w:bookmarkEnd w:id="1238"/>
    <w:p w14:paraId="7B96D120">
      <w:pPr>
        <w:pageBreakBefore w:val="0"/>
        <w:kinsoku/>
        <w:wordWrap/>
        <w:overflowPunct/>
        <w:topLinePunct w:val="0"/>
        <w:autoSpaceDE/>
        <w:autoSpaceDN/>
        <w:bidi w:val="0"/>
        <w:adjustRightInd w:val="0"/>
        <w:snapToGrid w:val="0"/>
        <w:spacing w:line="384" w:lineRule="auto"/>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15.4.1 保修责任</w:t>
      </w:r>
    </w:p>
    <w:p w14:paraId="2F172454">
      <w:pPr>
        <w:pageBreakBefore w:val="0"/>
        <w:kinsoku/>
        <w:wordWrap/>
        <w:overflowPunct/>
        <w:topLinePunct w:val="0"/>
        <w:autoSpaceDE/>
        <w:autoSpaceDN/>
        <w:bidi w:val="0"/>
        <w:adjustRightInd w:val="0"/>
        <w:snapToGrid w:val="0"/>
        <w:spacing w:line="384" w:lineRule="auto"/>
        <w:ind w:firstLine="420" w:firstLineChars="200"/>
        <w:textAlignment w:val="auto"/>
        <w:rPr>
          <w:rFonts w:hint="eastAsia" w:ascii="宋体" w:hAnsi="宋体" w:cs="宋体"/>
          <w:color w:val="auto"/>
          <w:kern w:val="0"/>
          <w:highlight w:val="none"/>
          <w:u w:val="single"/>
        </w:rPr>
      </w:pPr>
      <w:r>
        <w:rPr>
          <w:rFonts w:hint="eastAsia" w:ascii="宋体" w:hAnsi="宋体" w:cs="宋体"/>
          <w:color w:val="auto"/>
          <w:highlight w:val="none"/>
        </w:rPr>
        <w:t>工程保修期为：</w:t>
      </w:r>
      <w:r>
        <w:rPr>
          <w:rFonts w:hint="eastAsia" w:ascii="宋体" w:hAnsi="宋体" w:cs="宋体"/>
          <w:color w:val="auto"/>
          <w:szCs w:val="21"/>
          <w:highlight w:val="none"/>
          <w:u w:val="single"/>
        </w:rPr>
        <w:t>执行《工程质量保修书》规定</w:t>
      </w:r>
      <w:r>
        <w:rPr>
          <w:rFonts w:hint="eastAsia" w:ascii="宋体" w:hAnsi="宋体" w:cs="宋体"/>
          <w:color w:val="auto"/>
          <w:kern w:val="0"/>
          <w:highlight w:val="none"/>
        </w:rPr>
        <w:t>。</w:t>
      </w:r>
    </w:p>
    <w:p w14:paraId="432F3222">
      <w:pPr>
        <w:pageBreakBefore w:val="0"/>
        <w:kinsoku/>
        <w:wordWrap/>
        <w:overflowPunct/>
        <w:topLinePunct w:val="0"/>
        <w:autoSpaceDE/>
        <w:autoSpaceDN/>
        <w:bidi w:val="0"/>
        <w:adjustRightInd w:val="0"/>
        <w:snapToGrid w:val="0"/>
        <w:spacing w:line="384" w:lineRule="auto"/>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15.4.3 修复通知</w:t>
      </w:r>
    </w:p>
    <w:p w14:paraId="6B400E94">
      <w:pPr>
        <w:keepNext w:val="0"/>
        <w:keepLines w:val="0"/>
        <w:pageBreakBefore w:val="0"/>
        <w:widowControl/>
        <w:kinsoku/>
        <w:wordWrap/>
        <w:overflowPunct/>
        <w:topLinePunct w:val="0"/>
        <w:autoSpaceDE/>
        <w:autoSpaceDN/>
        <w:bidi w:val="0"/>
        <w:adjustRightInd/>
        <w:snapToGrid/>
        <w:spacing w:line="384" w:lineRule="auto"/>
        <w:ind w:firstLine="420" w:firstLineChars="200"/>
        <w:jc w:val="left"/>
        <w:textAlignment w:val="auto"/>
        <w:rPr>
          <w:rFonts w:hint="eastAsia" w:ascii="宋体" w:hAnsi="宋体" w:cs="宋体"/>
          <w:color w:val="auto"/>
          <w:kern w:val="0"/>
          <w:szCs w:val="21"/>
          <w:highlight w:val="none"/>
        </w:rPr>
      </w:pPr>
      <w:r>
        <w:rPr>
          <w:rFonts w:hint="eastAsia" w:ascii="宋体" w:hAnsi="宋体" w:cs="宋体"/>
          <w:color w:val="auto"/>
          <w:kern w:val="0"/>
          <w:highlight w:val="none"/>
        </w:rPr>
        <w:t>承包人收到保修通知并到达工程现场的合理时间：</w:t>
      </w:r>
      <w:r>
        <w:rPr>
          <w:rFonts w:hint="eastAsia" w:ascii="宋体" w:hAnsi="宋体" w:cs="宋体"/>
          <w:color w:val="auto"/>
          <w:kern w:val="0"/>
          <w:highlight w:val="none"/>
          <w:u w:val="single"/>
        </w:rPr>
        <w:t xml:space="preserve"> </w:t>
      </w:r>
      <w:r>
        <w:rPr>
          <w:rFonts w:hint="eastAsia" w:ascii="宋体" w:hAnsi="宋体" w:cs="宋体"/>
          <w:color w:val="auto"/>
          <w:kern w:val="0"/>
          <w:szCs w:val="21"/>
          <w:highlight w:val="none"/>
          <w:u w:val="single"/>
        </w:rPr>
        <w:t xml:space="preserve">自承包人收到保修通知起24小时内到达工程现场并修复缺陷或损坏 ，如承包人违反此规定，由发包人另行安排队伍进行修整，由此产生的费用将在承包人的质保金中扣除。事后出现漏水、漏电等情况，承包人应在12小时内修复 </w:t>
      </w:r>
      <w:r>
        <w:rPr>
          <w:rFonts w:hint="eastAsia" w:ascii="宋体" w:hAnsi="宋体" w:cs="宋体"/>
          <w:color w:val="auto"/>
          <w:kern w:val="0"/>
          <w:szCs w:val="21"/>
          <w:highlight w:val="none"/>
        </w:rPr>
        <w:t>。</w:t>
      </w:r>
    </w:p>
    <w:p w14:paraId="67FFD3C2">
      <w:pPr>
        <w:keepNext w:val="0"/>
        <w:keepLines w:val="0"/>
        <w:pageBreakBefore w:val="0"/>
        <w:kinsoku/>
        <w:wordWrap/>
        <w:overflowPunct/>
        <w:topLinePunct w:val="0"/>
        <w:autoSpaceDE/>
        <w:autoSpaceDN/>
        <w:bidi w:val="0"/>
        <w:adjustRightInd/>
        <w:snapToGrid/>
        <w:spacing w:line="384" w:lineRule="auto"/>
        <w:ind w:firstLine="420" w:firstLineChars="200"/>
        <w:jc w:val="left"/>
        <w:textAlignment w:val="auto"/>
        <w:rPr>
          <w:rFonts w:hint="eastAsia" w:ascii="宋体" w:hAnsi="宋体" w:cs="宋体"/>
          <w:color w:val="auto"/>
          <w:kern w:val="0"/>
          <w:szCs w:val="21"/>
          <w:highlight w:val="none"/>
          <w:u w:val="single"/>
        </w:rPr>
      </w:pPr>
      <w:r>
        <w:rPr>
          <w:rFonts w:hint="eastAsia" w:ascii="宋体" w:hAnsi="宋体" w:cs="宋体"/>
          <w:color w:val="auto"/>
          <w:kern w:val="0"/>
          <w:szCs w:val="21"/>
          <w:highlight w:val="none"/>
          <w:u w:val="single"/>
        </w:rPr>
        <w:t>保修期内的维修：一般性维修承包方应在接到通知后12小时内到达；紧急事故承包方应在接到通知后6小时内到达现场抢修；事后出现渗漏水情况，承包方应在12小时内修复。</w:t>
      </w:r>
    </w:p>
    <w:p w14:paraId="6C1639E1">
      <w:pPr>
        <w:keepNext w:val="0"/>
        <w:keepLines w:val="0"/>
        <w:pageBreakBefore w:val="0"/>
        <w:kinsoku/>
        <w:wordWrap/>
        <w:overflowPunct/>
        <w:topLinePunct w:val="0"/>
        <w:autoSpaceDE/>
        <w:autoSpaceDN/>
        <w:bidi w:val="0"/>
        <w:adjustRightInd/>
        <w:snapToGrid/>
        <w:spacing w:line="384" w:lineRule="auto"/>
        <w:ind w:firstLine="420" w:firstLineChars="200"/>
        <w:jc w:val="left"/>
        <w:textAlignment w:val="auto"/>
        <w:rPr>
          <w:rFonts w:hint="eastAsia" w:ascii="宋体" w:hAnsi="宋体" w:cs="宋体"/>
          <w:color w:val="auto"/>
          <w:kern w:val="0"/>
          <w:szCs w:val="21"/>
          <w:highlight w:val="none"/>
          <w:u w:val="single"/>
        </w:rPr>
      </w:pPr>
      <w:r>
        <w:rPr>
          <w:rFonts w:hint="eastAsia" w:ascii="宋体" w:hAnsi="宋体" w:cs="宋体"/>
          <w:color w:val="auto"/>
          <w:kern w:val="0"/>
          <w:szCs w:val="21"/>
          <w:highlight w:val="none"/>
          <w:u w:val="single"/>
        </w:rPr>
        <w:t>承包人</w:t>
      </w:r>
      <w:r>
        <w:rPr>
          <w:rFonts w:hint="eastAsia" w:ascii="宋体" w:hAnsi="宋体" w:cs="宋体"/>
          <w:color w:val="auto"/>
          <w:kern w:val="0"/>
          <w:szCs w:val="21"/>
          <w:highlight w:val="none"/>
          <w:u w:val="single"/>
          <w:lang w:val="en-US" w:eastAsia="zh-CN"/>
        </w:rPr>
        <w:t>未</w:t>
      </w:r>
      <w:r>
        <w:rPr>
          <w:rFonts w:hint="eastAsia" w:ascii="宋体" w:hAnsi="宋体" w:cs="宋体"/>
          <w:color w:val="auto"/>
          <w:kern w:val="0"/>
          <w:szCs w:val="21"/>
          <w:highlight w:val="none"/>
          <w:u w:val="single"/>
        </w:rPr>
        <w:t>及时维修或</w:t>
      </w:r>
      <w:r>
        <w:rPr>
          <w:rFonts w:hint="eastAsia" w:ascii="宋体" w:hAnsi="宋体" w:cs="宋体"/>
          <w:color w:val="auto"/>
          <w:kern w:val="0"/>
          <w:szCs w:val="21"/>
          <w:highlight w:val="none"/>
          <w:u w:val="single"/>
          <w:lang w:val="en-US" w:eastAsia="zh-CN"/>
        </w:rPr>
        <w:t>未</w:t>
      </w:r>
      <w:r>
        <w:rPr>
          <w:rFonts w:hint="eastAsia" w:ascii="宋体" w:hAnsi="宋体" w:cs="宋体"/>
          <w:color w:val="auto"/>
          <w:kern w:val="0"/>
          <w:szCs w:val="21"/>
          <w:highlight w:val="none"/>
          <w:u w:val="single"/>
        </w:rPr>
        <w:t>在合理期限维修完好、或经过两次维修都</w:t>
      </w:r>
      <w:r>
        <w:rPr>
          <w:rFonts w:hint="eastAsia" w:ascii="宋体" w:hAnsi="宋体" w:cs="宋体"/>
          <w:color w:val="auto"/>
          <w:kern w:val="0"/>
          <w:szCs w:val="21"/>
          <w:highlight w:val="none"/>
          <w:u w:val="single"/>
          <w:lang w:val="en-US" w:eastAsia="zh-CN"/>
        </w:rPr>
        <w:t>未</w:t>
      </w:r>
      <w:r>
        <w:rPr>
          <w:rFonts w:hint="eastAsia" w:ascii="宋体" w:hAnsi="宋体" w:cs="宋体"/>
          <w:color w:val="auto"/>
          <w:kern w:val="0"/>
          <w:szCs w:val="21"/>
          <w:highlight w:val="none"/>
          <w:u w:val="single"/>
        </w:rPr>
        <w:t>能修好的，发包人有权自行请人代为维修并确定价格，所有修复费用及赔偿费用在支付承包人质保金时直接扣除，但不等于解除承包人应负的责任。</w:t>
      </w:r>
    </w:p>
    <w:p w14:paraId="2A5A1277">
      <w:pPr>
        <w:keepNext w:val="0"/>
        <w:keepLines w:val="0"/>
        <w:pageBreakBefore w:val="0"/>
        <w:kinsoku/>
        <w:wordWrap/>
        <w:overflowPunct/>
        <w:topLinePunct w:val="0"/>
        <w:autoSpaceDE/>
        <w:autoSpaceDN/>
        <w:bidi w:val="0"/>
        <w:adjustRightInd/>
        <w:snapToGrid/>
        <w:spacing w:line="384" w:lineRule="auto"/>
        <w:ind w:firstLine="420" w:firstLineChars="200"/>
        <w:jc w:val="left"/>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u w:val="single"/>
        </w:rPr>
        <w:t xml:space="preserve">承包人每次维修完毕，应负责将施工现场清理干净、并取得业主和使用单位的验收签字 </w:t>
      </w:r>
      <w:r>
        <w:rPr>
          <w:rFonts w:hint="eastAsia" w:ascii="宋体" w:hAnsi="宋体" w:cs="宋体"/>
          <w:color w:val="auto"/>
          <w:kern w:val="0"/>
          <w:szCs w:val="21"/>
          <w:highlight w:val="none"/>
        </w:rPr>
        <w:t>。</w:t>
      </w:r>
    </w:p>
    <w:p w14:paraId="1CFD7278">
      <w:pPr>
        <w:keepNext w:val="0"/>
        <w:keepLines w:val="0"/>
        <w:pageBreakBefore w:val="0"/>
        <w:widowControl w:val="0"/>
        <w:kinsoku/>
        <w:wordWrap/>
        <w:overflowPunct/>
        <w:topLinePunct w:val="0"/>
        <w:autoSpaceDE/>
        <w:autoSpaceDN/>
        <w:bidi w:val="0"/>
        <w:adjustRightInd/>
        <w:snapToGrid/>
        <w:spacing w:line="384" w:lineRule="auto"/>
        <w:ind w:firstLine="420" w:firstLineChars="200"/>
        <w:jc w:val="left"/>
        <w:textAlignment w:val="auto"/>
        <w:rPr>
          <w:rFonts w:hint="eastAsia" w:ascii="宋体" w:hAnsi="宋体" w:cs="宋体"/>
          <w:color w:val="auto"/>
          <w:kern w:val="0"/>
          <w:highlight w:val="none"/>
          <w:u w:val="single"/>
        </w:rPr>
      </w:pPr>
      <w:r>
        <w:rPr>
          <w:rFonts w:hint="eastAsia" w:ascii="宋体" w:hAnsi="宋体" w:eastAsia="宋体" w:cs="宋体"/>
          <w:color w:val="auto"/>
          <w:kern w:val="0"/>
          <w:sz w:val="21"/>
          <w:szCs w:val="21"/>
          <w:highlight w:val="none"/>
          <w:u w:val="single"/>
        </w:rPr>
        <w:t>承包人未及时维修或未在合理期限内维修完好、或经过两次维修都未能修好的，发包人有权自行请人代为维修并确定价格，所有修复费用及赔偿费用在支付承包人质保金时直接扣除，但不等于解除承包人应负的责任。</w:t>
      </w:r>
    </w:p>
    <w:bookmarkEnd w:id="1239"/>
    <w:bookmarkEnd w:id="1240"/>
    <w:bookmarkEnd w:id="1241"/>
    <w:bookmarkEnd w:id="1242"/>
    <w:p w14:paraId="6AD769C0">
      <w:pPr>
        <w:keepNext/>
        <w:keepLines/>
        <w:pageBreakBefore w:val="0"/>
        <w:kinsoku/>
        <w:wordWrap/>
        <w:overflowPunct/>
        <w:topLinePunct w:val="0"/>
        <w:autoSpaceDE/>
        <w:autoSpaceDN/>
        <w:bidi w:val="0"/>
        <w:adjustRightInd w:val="0"/>
        <w:snapToGrid w:val="0"/>
        <w:spacing w:line="384" w:lineRule="auto"/>
        <w:jc w:val="left"/>
        <w:textAlignment w:val="auto"/>
        <w:outlineLvl w:val="2"/>
        <w:rPr>
          <w:rFonts w:hint="eastAsia" w:ascii="宋体" w:hAnsi="宋体" w:cs="宋体"/>
          <w:bCs/>
          <w:color w:val="auto"/>
          <w:sz w:val="24"/>
          <w:highlight w:val="none"/>
        </w:rPr>
      </w:pPr>
      <w:bookmarkStart w:id="1265" w:name="_Toc95223481"/>
      <w:bookmarkStart w:id="1266" w:name="_Toc351203648"/>
      <w:bookmarkStart w:id="1267" w:name="_Toc280868717"/>
      <w:bookmarkStart w:id="1268" w:name="_Toc280868718"/>
      <w:r>
        <w:rPr>
          <w:rFonts w:hint="eastAsia" w:ascii="宋体" w:hAnsi="宋体" w:cs="宋体"/>
          <w:bCs/>
          <w:color w:val="auto"/>
          <w:sz w:val="24"/>
          <w:highlight w:val="none"/>
        </w:rPr>
        <w:t>16. 违约</w:t>
      </w:r>
      <w:bookmarkEnd w:id="1265"/>
      <w:bookmarkEnd w:id="1266"/>
    </w:p>
    <w:p w14:paraId="108DE99D">
      <w:pPr>
        <w:keepNext/>
        <w:keepLines/>
        <w:pageBreakBefore w:val="0"/>
        <w:kinsoku/>
        <w:wordWrap/>
        <w:overflowPunct/>
        <w:topLinePunct w:val="0"/>
        <w:autoSpaceDE/>
        <w:autoSpaceDN/>
        <w:bidi w:val="0"/>
        <w:adjustRightInd w:val="0"/>
        <w:snapToGrid w:val="0"/>
        <w:spacing w:line="384" w:lineRule="auto"/>
        <w:ind w:firstLine="420" w:firstLineChars="200"/>
        <w:textAlignment w:val="auto"/>
        <w:outlineLvl w:val="3"/>
        <w:rPr>
          <w:rFonts w:hint="eastAsia" w:ascii="宋体" w:hAnsi="宋体" w:cs="宋体"/>
          <w:bCs/>
          <w:color w:val="auto"/>
          <w:szCs w:val="28"/>
          <w:highlight w:val="none"/>
        </w:rPr>
      </w:pPr>
      <w:r>
        <w:rPr>
          <w:rFonts w:hint="eastAsia" w:ascii="宋体" w:hAnsi="宋体" w:cs="宋体"/>
          <w:bCs/>
          <w:color w:val="auto"/>
          <w:szCs w:val="28"/>
          <w:highlight w:val="none"/>
        </w:rPr>
        <w:t>16.1 发包人违约</w:t>
      </w:r>
    </w:p>
    <w:p w14:paraId="08602160">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16.1.1 发包人违约的情形</w:t>
      </w:r>
    </w:p>
    <w:p w14:paraId="36DC7EA8">
      <w:pPr>
        <w:adjustRightInd w:val="0"/>
        <w:snapToGrid w:val="0"/>
        <w:spacing w:line="384" w:lineRule="auto"/>
        <w:ind w:firstLine="420" w:firstLineChars="200"/>
        <w:rPr>
          <w:rFonts w:hint="eastAsia" w:ascii="宋体" w:hAnsi="宋体" w:cs="宋体"/>
          <w:color w:val="auto"/>
          <w:kern w:val="0"/>
          <w:highlight w:val="none"/>
          <w:u w:val="single"/>
        </w:rPr>
      </w:pPr>
      <w:r>
        <w:rPr>
          <w:rFonts w:hint="eastAsia" w:ascii="宋体" w:hAnsi="宋体" w:cs="宋体"/>
          <w:color w:val="auto"/>
          <w:kern w:val="0"/>
          <w:highlight w:val="none"/>
        </w:rPr>
        <w:t>发包人违约的其他情形：</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u w:val="single"/>
          <w:lang w:val="en-US" w:eastAsia="zh-CN"/>
        </w:rPr>
        <w:t>无</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w:t>
      </w:r>
    </w:p>
    <w:p w14:paraId="66C3078F">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16.1.2 发包人违约的责任</w:t>
      </w:r>
    </w:p>
    <w:p w14:paraId="78FE334E">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发包人违约责任的承担方式和计算方法：</w:t>
      </w:r>
    </w:p>
    <w:p w14:paraId="1AEB849E">
      <w:pPr>
        <w:adjustRightInd w:val="0"/>
        <w:snapToGrid w:val="0"/>
        <w:spacing w:line="384" w:lineRule="auto"/>
        <w:ind w:firstLine="420" w:firstLineChars="200"/>
        <w:rPr>
          <w:rFonts w:hint="eastAsia" w:ascii="宋体" w:hAnsi="宋体" w:cs="宋体"/>
          <w:color w:val="auto"/>
          <w:kern w:val="0"/>
          <w:highlight w:val="none"/>
          <w:u w:val="single"/>
        </w:rPr>
      </w:pPr>
      <w:r>
        <w:rPr>
          <w:rFonts w:hint="eastAsia" w:ascii="宋体" w:hAnsi="宋体" w:cs="宋体"/>
          <w:color w:val="auto"/>
          <w:kern w:val="0"/>
          <w:highlight w:val="none"/>
        </w:rPr>
        <w:t>（1）因发包人原因未能在计划开工日期前7天内下达开工通知的违约责任：</w:t>
      </w:r>
      <w:r>
        <w:rPr>
          <w:rFonts w:hint="eastAsia" w:ascii="宋体" w:hAnsi="宋体" w:cs="宋体"/>
          <w:color w:val="auto"/>
          <w:szCs w:val="21"/>
          <w:highlight w:val="none"/>
          <w:u w:val="single"/>
        </w:rPr>
        <w:t xml:space="preserve"> </w:t>
      </w:r>
      <w:r>
        <w:rPr>
          <w:rFonts w:hint="eastAsia" w:ascii="宋体" w:hAnsi="宋体" w:eastAsia="宋体" w:cs="宋体"/>
          <w:color w:val="auto"/>
          <w:szCs w:val="21"/>
          <w:highlight w:val="none"/>
          <w:u w:val="single"/>
        </w:rPr>
        <w:t>发包人以书面通知承包人推迟开工日期，竣工日期相应顺延；承包人应于收到发包人下达的书面开工通知后7日内向发包人提出书面申请，经发包人审核确认后，由发包人承担因延期开工造成的相关费用支付义务，因承包人未能在上述约定时间内提交书面申请的，相关费用由承包人自行承担。</w:t>
      </w:r>
    </w:p>
    <w:p w14:paraId="29AF9EF2">
      <w:pPr>
        <w:adjustRightInd w:val="0"/>
        <w:snapToGrid w:val="0"/>
        <w:spacing w:line="384" w:lineRule="auto"/>
        <w:ind w:firstLine="420" w:firstLineChars="200"/>
        <w:rPr>
          <w:rFonts w:hint="eastAsia" w:ascii="宋体" w:hAnsi="宋体" w:eastAsia="宋体" w:cs="宋体"/>
          <w:color w:val="auto"/>
          <w:kern w:val="0"/>
          <w:szCs w:val="21"/>
          <w:highlight w:val="none"/>
          <w:u w:val="single"/>
        </w:rPr>
      </w:pPr>
      <w:r>
        <w:rPr>
          <w:rFonts w:hint="eastAsia" w:ascii="宋体" w:hAnsi="宋体" w:cs="宋体"/>
          <w:color w:val="auto"/>
          <w:kern w:val="0"/>
          <w:highlight w:val="none"/>
        </w:rPr>
        <w:t>（2）因发包人原因未能按合同约定支付合同价款的违约责任：</w:t>
      </w:r>
      <w:r>
        <w:rPr>
          <w:rFonts w:hint="eastAsia" w:ascii="宋体" w:hAnsi="宋体" w:eastAsia="宋体" w:cs="宋体"/>
          <w:color w:val="auto"/>
          <w:kern w:val="0"/>
          <w:szCs w:val="21"/>
          <w:highlight w:val="none"/>
          <w:u w:val="single"/>
        </w:rPr>
        <w:t>工期顺延，承包人应于28日内向发包人提出相关费用索赔书面申请，经发包人审核确认后，由发包人承担因未能按合同约定支付合同价款的相关费用支付义务，因承包人未能在上述约定时间内提交书面申请的，相关费用由承包人自行承担。</w:t>
      </w:r>
    </w:p>
    <w:p w14:paraId="197A8728">
      <w:pPr>
        <w:adjustRightInd w:val="0"/>
        <w:snapToGrid w:val="0"/>
        <w:spacing w:line="384" w:lineRule="auto"/>
        <w:ind w:firstLine="420" w:firstLineChars="200"/>
        <w:rPr>
          <w:rFonts w:hint="eastAsia" w:ascii="宋体" w:hAnsi="宋体" w:cs="宋体"/>
          <w:b/>
          <w:color w:val="auto"/>
          <w:kern w:val="0"/>
          <w:highlight w:val="none"/>
          <w:u w:val="single"/>
        </w:rPr>
      </w:pPr>
      <w:r>
        <w:rPr>
          <w:rFonts w:hint="eastAsia" w:ascii="宋体" w:hAnsi="宋体" w:cs="宋体"/>
          <w:color w:val="auto"/>
          <w:kern w:val="0"/>
          <w:highlight w:val="none"/>
        </w:rPr>
        <w:t>（3）发包人违反第10.1款〔变更的范围〕第（2）项约定，自行实施被取消的工作或转由他人实施的违约责任：</w:t>
      </w:r>
      <w:r>
        <w:rPr>
          <w:rFonts w:hint="eastAsia" w:ascii="宋体" w:hAnsi="宋体" w:eastAsia="宋体" w:cs="宋体"/>
          <w:color w:val="auto"/>
          <w:kern w:val="0"/>
          <w:szCs w:val="21"/>
          <w:highlight w:val="none"/>
          <w:u w:val="single"/>
        </w:rPr>
        <w:t>造成工期延误的，工期顺延；承包人因此增加的费用应于28日内向发包人提出相关费用索赔书面申请，经发包人审核确认后，由发包人承担相关费用支付义务，因承包人未能在上述约定时间内提交书面申请的，相关费用由承包人自行承担；相应的工程价款在结算中扣除。如因承包人原因造成的，则承包人承担因其违约行为而增加的费用和（或）延误的工期。</w:t>
      </w:r>
    </w:p>
    <w:p w14:paraId="414F35C3">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（4）发包人提供的材料、工程设备的规格、数量或质量不符合合同约定，或因发包人原因导致交货日期延误或交货地点变更等情况的违约责任：</w:t>
      </w:r>
      <w:r>
        <w:rPr>
          <w:rFonts w:hint="eastAsia" w:ascii="宋体" w:hAnsi="宋体" w:eastAsia="宋体" w:cs="宋体"/>
          <w:color w:val="auto"/>
          <w:kern w:val="0"/>
          <w:szCs w:val="21"/>
          <w:highlight w:val="none"/>
          <w:u w:val="single"/>
        </w:rPr>
        <w:t>工期顺延，承包人应于28日内向发包人提出相关费用索赔书面申请，经发包人审核确认后，由发包人承担因提供的材料、工程设备的规格、数量或质量不符合合同约定，或因发包人原因导致交货日期延误或交货地点变更等的相关费用支付义务，因承包人未能在上述约定时间内提交书面申请的，相关费用由承包人自行承担。</w:t>
      </w:r>
    </w:p>
    <w:p w14:paraId="1E89B7F4">
      <w:pPr>
        <w:adjustRightInd w:val="0"/>
        <w:snapToGrid w:val="0"/>
        <w:spacing w:line="384" w:lineRule="auto"/>
        <w:ind w:firstLine="420" w:firstLineChars="200"/>
        <w:rPr>
          <w:rFonts w:hint="eastAsia" w:ascii="宋体" w:hAnsi="宋体" w:cs="宋体"/>
          <w:color w:val="auto"/>
          <w:kern w:val="0"/>
          <w:highlight w:val="none"/>
          <w:u w:val="single"/>
        </w:rPr>
      </w:pPr>
      <w:r>
        <w:rPr>
          <w:rFonts w:hint="eastAsia" w:ascii="宋体" w:hAnsi="宋体" w:cs="宋体"/>
          <w:color w:val="auto"/>
          <w:kern w:val="0"/>
          <w:highlight w:val="none"/>
        </w:rPr>
        <w:t>（5）因发包人违反合同约定造成暂停施工的违约责任：</w:t>
      </w:r>
      <w:r>
        <w:rPr>
          <w:rFonts w:hint="eastAsia" w:ascii="宋体" w:hAnsi="宋体" w:eastAsia="宋体" w:cs="宋体"/>
          <w:color w:val="auto"/>
          <w:kern w:val="0"/>
          <w:szCs w:val="21"/>
          <w:highlight w:val="none"/>
          <w:u w:val="single"/>
        </w:rPr>
        <w:t>工期顺延，承包人应于28日内向发包人提出相关费用索赔书面申请，经发包人审核确认后，由发包人承担因违反合同约定造成暂停施工的相关费用支付义务，因承办人未能在上述约定时间内提交书面申请的，相关费用由承包人自行承担。</w:t>
      </w:r>
    </w:p>
    <w:p w14:paraId="50ADC141">
      <w:pPr>
        <w:adjustRightInd w:val="0"/>
        <w:snapToGrid w:val="0"/>
        <w:spacing w:line="384" w:lineRule="auto"/>
        <w:ind w:firstLine="420" w:firstLineChars="200"/>
        <w:rPr>
          <w:rFonts w:hint="eastAsia" w:ascii="宋体" w:hAnsi="宋体" w:eastAsia="宋体" w:cs="宋体"/>
          <w:color w:val="auto"/>
          <w:kern w:val="0"/>
          <w:szCs w:val="21"/>
          <w:highlight w:val="none"/>
          <w:u w:val="single"/>
        </w:rPr>
      </w:pPr>
      <w:r>
        <w:rPr>
          <w:rFonts w:hint="eastAsia" w:ascii="宋体" w:hAnsi="宋体" w:cs="宋体"/>
          <w:color w:val="auto"/>
          <w:kern w:val="0"/>
          <w:highlight w:val="none"/>
        </w:rPr>
        <w:t>（6）发包人无正当理由没有在约定期限内发出复工指示，导致承包人无法复工的违约责任：</w:t>
      </w:r>
      <w:r>
        <w:rPr>
          <w:rFonts w:hint="eastAsia" w:ascii="宋体" w:hAnsi="宋体" w:cs="宋体"/>
          <w:color w:val="auto"/>
          <w:kern w:val="0"/>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eastAsia="宋体" w:cs="宋体"/>
          <w:color w:val="auto"/>
          <w:kern w:val="0"/>
          <w:szCs w:val="21"/>
          <w:highlight w:val="none"/>
          <w:u w:val="single"/>
        </w:rPr>
        <w:t>发包人以书面通知承包人复工日期，竣工日期相应顺延；承包人应于收到发包人书面通知后28日内向发包人提出书面申请，经发包人审核确认后，由发包人承担因无正当理由没有在约定期限内发出复工指示、导致承包人无法复工的相关费用支付义务，因承包人未能在上述约定时间内提交书面申请的，相关费用由承包人自行承担。</w:t>
      </w:r>
    </w:p>
    <w:p w14:paraId="7F5EBF3E">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（7）其他：</w:t>
      </w:r>
      <w:r>
        <w:rPr>
          <w:rFonts w:hint="eastAsia" w:ascii="宋体" w:hAnsi="宋体" w:cs="宋体"/>
          <w:color w:val="auto"/>
          <w:szCs w:val="21"/>
          <w:highlight w:val="none"/>
          <w:u w:val="single"/>
        </w:rPr>
        <w:t xml:space="preserve"> </w:t>
      </w:r>
      <w:r>
        <w:rPr>
          <w:rFonts w:hint="eastAsia" w:ascii="宋体" w:hAnsi="宋体" w:eastAsia="宋体" w:cs="宋体"/>
          <w:color w:val="auto"/>
          <w:kern w:val="0"/>
          <w:szCs w:val="21"/>
          <w:highlight w:val="none"/>
          <w:u w:val="single"/>
        </w:rPr>
        <w:t>双方通过协商方式解决。</w:t>
      </w:r>
    </w:p>
    <w:p w14:paraId="11B202E2">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16.1.3 因发包人违约解除合同</w:t>
      </w:r>
    </w:p>
    <w:p w14:paraId="474451BE">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承包人按16.1.1项〔发包人违约的情形〕约定暂停施工满</w:t>
      </w:r>
      <w:r>
        <w:rPr>
          <w:rFonts w:hint="eastAsia" w:ascii="宋体" w:hAnsi="宋体" w:cs="宋体"/>
          <w:color w:val="auto"/>
          <w:szCs w:val="21"/>
          <w:highlight w:val="none"/>
          <w:u w:val="single"/>
        </w:rPr>
        <w:t>28</w:t>
      </w:r>
      <w:r>
        <w:rPr>
          <w:rFonts w:hint="eastAsia" w:ascii="宋体" w:hAnsi="宋体" w:cs="宋体"/>
          <w:color w:val="auto"/>
          <w:kern w:val="0"/>
          <w:highlight w:val="none"/>
        </w:rPr>
        <w:t>天后发包人仍不纠正其违约行为并致使合同目的不能实现的，承包人有权解除合同。</w:t>
      </w:r>
    </w:p>
    <w:p w14:paraId="4473B648">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16.2 承包人违约</w:t>
      </w:r>
    </w:p>
    <w:p w14:paraId="3D30BBFF">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16.2.1 承包人违约的情形</w:t>
      </w:r>
    </w:p>
    <w:p w14:paraId="72B9637A">
      <w:pPr>
        <w:adjustRightInd w:val="0"/>
        <w:snapToGrid w:val="0"/>
        <w:spacing w:line="384" w:lineRule="auto"/>
        <w:ind w:firstLine="420" w:firstLineChars="200"/>
        <w:rPr>
          <w:rFonts w:hint="eastAsia" w:ascii="宋体" w:hAnsi="宋体" w:cs="宋体"/>
          <w:color w:val="auto"/>
          <w:kern w:val="0"/>
          <w:highlight w:val="none"/>
          <w:u w:val="single"/>
        </w:rPr>
      </w:pPr>
      <w:r>
        <w:rPr>
          <w:rFonts w:hint="eastAsia" w:ascii="宋体" w:hAnsi="宋体" w:cs="宋体"/>
          <w:color w:val="auto"/>
          <w:kern w:val="0"/>
          <w:highlight w:val="none"/>
        </w:rPr>
        <w:t>承包人违约的其他情形：</w:t>
      </w:r>
      <w:r>
        <w:rPr>
          <w:rFonts w:hint="eastAsia" w:ascii="宋体" w:hAnsi="宋体" w:cs="宋体"/>
          <w:color w:val="auto"/>
          <w:kern w:val="0"/>
          <w:highlight w:val="none"/>
          <w:u w:val="single"/>
        </w:rPr>
        <w:t xml:space="preserve">    </w:t>
      </w:r>
      <w:r>
        <w:rPr>
          <w:rFonts w:hint="eastAsia" w:ascii="宋体" w:hAnsi="宋体" w:cs="宋体"/>
          <w:color w:val="auto"/>
          <w:kern w:val="0"/>
          <w:szCs w:val="21"/>
          <w:highlight w:val="none"/>
          <w:u w:val="single"/>
        </w:rPr>
        <w:t>执行通用条款</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w:t>
      </w:r>
    </w:p>
    <w:p w14:paraId="6F323F57">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16.2.2 承包人违约的责任</w:t>
      </w:r>
    </w:p>
    <w:p w14:paraId="70D8ADD3">
      <w:pPr>
        <w:adjustRightInd w:val="0"/>
        <w:snapToGrid w:val="0"/>
        <w:spacing w:line="384" w:lineRule="auto"/>
        <w:ind w:firstLine="420" w:firstLineChars="200"/>
        <w:rPr>
          <w:rFonts w:hint="eastAsia" w:ascii="宋体" w:hAnsi="宋体" w:eastAsia="宋体" w:cs="宋体"/>
          <w:color w:val="auto"/>
          <w:kern w:val="0"/>
          <w:szCs w:val="21"/>
          <w:highlight w:val="none"/>
          <w:u w:val="single"/>
        </w:rPr>
      </w:pPr>
      <w:r>
        <w:rPr>
          <w:rFonts w:hint="eastAsia" w:ascii="宋体" w:hAnsi="宋体" w:cs="宋体"/>
          <w:color w:val="auto"/>
          <w:kern w:val="0"/>
          <w:highlight w:val="none"/>
        </w:rPr>
        <w:t>承包人违约责任的承担方式和计算方法：</w:t>
      </w:r>
      <w:r>
        <w:rPr>
          <w:rFonts w:hint="eastAsia" w:ascii="宋体" w:hAnsi="宋体" w:cs="宋体"/>
          <w:b/>
          <w:color w:val="auto"/>
          <w:highlight w:val="none"/>
          <w:u w:val="single"/>
        </w:rPr>
        <w:t xml:space="preserve"> 由承包人承担全部费用并承担相关法律责任 </w:t>
      </w:r>
    </w:p>
    <w:p w14:paraId="5739FC1E">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16.2.3 因承包人违约解除合同</w:t>
      </w:r>
    </w:p>
    <w:p w14:paraId="1124DB6C">
      <w:pPr>
        <w:adjustRightInd w:val="0"/>
        <w:snapToGrid w:val="0"/>
        <w:spacing w:line="384" w:lineRule="auto"/>
        <w:ind w:firstLine="420" w:firstLineChars="200"/>
        <w:rPr>
          <w:rFonts w:hint="eastAsia" w:ascii="宋体" w:hAnsi="宋体" w:cs="宋体"/>
          <w:color w:val="auto"/>
          <w:kern w:val="0"/>
          <w:highlight w:val="none"/>
          <w:u w:val="single"/>
        </w:rPr>
      </w:pPr>
      <w:r>
        <w:rPr>
          <w:rFonts w:hint="eastAsia" w:ascii="宋体" w:hAnsi="宋体" w:cs="宋体"/>
          <w:color w:val="auto"/>
          <w:kern w:val="0"/>
          <w:highlight w:val="none"/>
        </w:rPr>
        <w:t>关于承包人违约解除合同的特别约定：</w:t>
      </w:r>
      <w:r>
        <w:rPr>
          <w:rFonts w:hint="eastAsia" w:ascii="宋体" w:hAnsi="宋体" w:cs="宋体"/>
          <w:color w:val="auto"/>
          <w:kern w:val="0"/>
          <w:highlight w:val="none"/>
          <w:u w:val="single"/>
        </w:rPr>
        <w:t xml:space="preserve"> </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u w:val="single"/>
          <w:lang w:val="en-US" w:eastAsia="zh-CN"/>
        </w:rPr>
        <w:t>除专用条款约定情形外，其余</w:t>
      </w:r>
      <w:r>
        <w:rPr>
          <w:rFonts w:hint="eastAsia" w:ascii="宋体" w:hAnsi="宋体" w:eastAsia="宋体" w:cs="宋体"/>
          <w:color w:val="auto"/>
          <w:kern w:val="0"/>
          <w:szCs w:val="21"/>
          <w:highlight w:val="none"/>
          <w:u w:val="single"/>
        </w:rPr>
        <w:t>执行通用条款</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w:t>
      </w:r>
    </w:p>
    <w:p w14:paraId="1D35774A">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发包人继续使用承包人在施工现场的材料、设备、临时工程、承包人文件和由承包人或以其名义编制的其他文件的费用承担方式：</w:t>
      </w:r>
      <w:r>
        <w:rPr>
          <w:rFonts w:hint="eastAsia" w:ascii="宋体" w:hAnsi="宋体" w:cs="宋体"/>
          <w:color w:val="auto"/>
          <w:kern w:val="0"/>
          <w:highlight w:val="none"/>
          <w:u w:val="single"/>
        </w:rPr>
        <w:t xml:space="preserve"> </w:t>
      </w:r>
      <w:r>
        <w:rPr>
          <w:rFonts w:hint="eastAsia" w:ascii="宋体" w:hAnsi="宋体" w:eastAsia="宋体" w:cs="宋体"/>
          <w:color w:val="auto"/>
          <w:kern w:val="0"/>
          <w:szCs w:val="21"/>
          <w:highlight w:val="none"/>
          <w:u w:val="single"/>
          <w:lang w:val="en-US" w:eastAsia="zh-CN"/>
        </w:rPr>
        <w:t>承包人承担费用</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w:t>
      </w:r>
    </w:p>
    <w:p w14:paraId="730455D8">
      <w:pPr>
        <w:keepNext/>
        <w:keepLines/>
        <w:adjustRightInd w:val="0"/>
        <w:snapToGrid w:val="0"/>
        <w:spacing w:line="384" w:lineRule="auto"/>
        <w:jc w:val="left"/>
        <w:outlineLvl w:val="2"/>
        <w:rPr>
          <w:rFonts w:hint="eastAsia" w:ascii="宋体" w:hAnsi="宋体" w:cs="宋体"/>
          <w:bCs/>
          <w:color w:val="auto"/>
          <w:sz w:val="24"/>
          <w:highlight w:val="none"/>
        </w:rPr>
      </w:pPr>
      <w:bookmarkStart w:id="1269" w:name="_Toc351203649"/>
      <w:bookmarkStart w:id="1270" w:name="_Toc95223482"/>
      <w:r>
        <w:rPr>
          <w:rFonts w:hint="eastAsia" w:ascii="宋体" w:hAnsi="宋体" w:cs="宋体"/>
          <w:bCs/>
          <w:color w:val="auto"/>
          <w:sz w:val="24"/>
          <w:highlight w:val="none"/>
        </w:rPr>
        <w:t>17. 不可抗力</w:t>
      </w:r>
      <w:bookmarkEnd w:id="1269"/>
      <w:bookmarkEnd w:id="1270"/>
      <w:r>
        <w:rPr>
          <w:rFonts w:hint="eastAsia" w:ascii="宋体" w:hAnsi="宋体" w:cs="宋体"/>
          <w:bCs/>
          <w:color w:val="auto"/>
          <w:sz w:val="24"/>
          <w:highlight w:val="none"/>
        </w:rPr>
        <w:t xml:space="preserve"> </w:t>
      </w:r>
      <w:bookmarkEnd w:id="1267"/>
    </w:p>
    <w:p w14:paraId="258B3AA7">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17.1 不可抗力的确认</w:t>
      </w:r>
    </w:p>
    <w:p w14:paraId="15B844BE">
      <w:pPr>
        <w:adjustRightInd w:val="0"/>
        <w:snapToGrid w:val="0"/>
        <w:spacing w:line="384" w:lineRule="auto"/>
        <w:ind w:firstLine="420" w:firstLineChars="200"/>
        <w:rPr>
          <w:rFonts w:hint="eastAsia" w:ascii="宋体" w:hAnsi="宋体" w:cs="宋体"/>
          <w:b/>
          <w:color w:val="auto"/>
          <w:highlight w:val="none"/>
          <w:u w:val="single"/>
        </w:rPr>
      </w:pPr>
      <w:r>
        <w:rPr>
          <w:rFonts w:hint="eastAsia" w:ascii="宋体" w:hAnsi="宋体" w:cs="宋体"/>
          <w:color w:val="auto"/>
          <w:highlight w:val="none"/>
        </w:rPr>
        <w:t>除通用合同条款约定的不可抗力事件之外，视为不可抗力的其他情形：</w:t>
      </w:r>
      <w:r>
        <w:rPr>
          <w:rFonts w:hint="eastAsia" w:ascii="宋体" w:hAnsi="宋体" w:cs="宋体"/>
          <w:color w:val="auto"/>
          <w:szCs w:val="21"/>
          <w:highlight w:val="none"/>
          <w:u w:val="single"/>
        </w:rPr>
        <w:t>执行通用条款</w:t>
      </w:r>
      <w:r>
        <w:rPr>
          <w:rFonts w:hint="eastAsia" w:ascii="宋体" w:hAnsi="宋体" w:cs="宋体"/>
          <w:color w:val="auto"/>
          <w:szCs w:val="21"/>
          <w:highlight w:val="none"/>
        </w:rPr>
        <w:t>。</w:t>
      </w:r>
    </w:p>
    <w:p w14:paraId="74EE27B6">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17.4 因不可抗力解除合同</w:t>
      </w:r>
    </w:p>
    <w:p w14:paraId="61D163E0">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合同解除后，发包人应在商定或确定发包人应支付款项后</w:t>
      </w:r>
      <w:r>
        <w:rPr>
          <w:rFonts w:hint="eastAsia" w:ascii="宋体" w:hAnsi="宋体" w:cs="宋体"/>
          <w:color w:val="auto"/>
          <w:szCs w:val="21"/>
          <w:highlight w:val="none"/>
          <w:u w:val="single"/>
        </w:rPr>
        <w:t>28</w:t>
      </w:r>
      <w:r>
        <w:rPr>
          <w:rFonts w:hint="eastAsia" w:ascii="宋体" w:hAnsi="宋体" w:cs="宋体"/>
          <w:color w:val="auto"/>
          <w:highlight w:val="none"/>
        </w:rPr>
        <w:t>天内完成款项的支付。</w:t>
      </w:r>
    </w:p>
    <w:p w14:paraId="51FBB29C">
      <w:pPr>
        <w:keepNext/>
        <w:keepLines/>
        <w:adjustRightInd w:val="0"/>
        <w:snapToGrid w:val="0"/>
        <w:spacing w:line="384" w:lineRule="auto"/>
        <w:jc w:val="left"/>
        <w:outlineLvl w:val="2"/>
        <w:rPr>
          <w:rFonts w:hint="eastAsia" w:ascii="宋体" w:hAnsi="宋体" w:cs="宋体"/>
          <w:bCs/>
          <w:color w:val="auto"/>
          <w:sz w:val="24"/>
          <w:highlight w:val="none"/>
        </w:rPr>
      </w:pPr>
      <w:bookmarkStart w:id="1271" w:name="_Toc95223483"/>
      <w:bookmarkStart w:id="1272" w:name="_Toc351203650"/>
      <w:r>
        <w:rPr>
          <w:rFonts w:hint="eastAsia" w:ascii="宋体" w:hAnsi="宋体" w:cs="宋体"/>
          <w:bCs/>
          <w:color w:val="auto"/>
          <w:sz w:val="24"/>
          <w:highlight w:val="none"/>
        </w:rPr>
        <w:t>18. 保险</w:t>
      </w:r>
      <w:bookmarkEnd w:id="1271"/>
      <w:bookmarkEnd w:id="1272"/>
    </w:p>
    <w:bookmarkEnd w:id="1268"/>
    <w:p w14:paraId="15651B79">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18.1 工程保险</w:t>
      </w:r>
    </w:p>
    <w:p w14:paraId="4E62FBFE">
      <w:pPr>
        <w:adjustRightInd w:val="0"/>
        <w:snapToGrid w:val="0"/>
        <w:spacing w:line="384" w:lineRule="auto"/>
        <w:ind w:firstLine="420" w:firstLineChars="200"/>
        <w:rPr>
          <w:rFonts w:hint="eastAsia" w:ascii="宋体" w:hAnsi="宋体" w:eastAsia="宋体" w:cs="宋体"/>
          <w:color w:val="auto"/>
          <w:kern w:val="0"/>
          <w:szCs w:val="21"/>
          <w:highlight w:val="none"/>
          <w:u w:val="single"/>
          <w:lang w:val="en-US" w:eastAsia="zh-CN"/>
        </w:rPr>
      </w:pPr>
      <w:r>
        <w:rPr>
          <w:rFonts w:hint="eastAsia" w:ascii="宋体" w:hAnsi="宋体" w:cs="宋体"/>
          <w:color w:val="auto"/>
          <w:highlight w:val="none"/>
        </w:rPr>
        <w:t>关于工程保险的特别约定：</w:t>
      </w:r>
      <w:r>
        <w:rPr>
          <w:rFonts w:hint="eastAsia" w:ascii="宋体" w:hAnsi="宋体" w:eastAsia="宋体" w:cs="宋体"/>
          <w:color w:val="auto"/>
          <w:kern w:val="0"/>
          <w:szCs w:val="21"/>
          <w:highlight w:val="none"/>
          <w:u w:val="single"/>
          <w:lang w:val="en-US" w:eastAsia="zh-CN"/>
        </w:rPr>
        <w:t>承包人应遵守保险的条件，并对未保险的超出部分及保险责任以外的部分所发生的索赔和责任负责。此外，承包人应以自己的费用与保险人谈判解决所有索赔事项，并应向发包人、保险人或保险代理人提供所要求的一切文件和资料，以便保险安排、更新、保持及索赔能以实施</w:t>
      </w:r>
    </w:p>
    <w:p w14:paraId="4E83E1DE">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18.3 其他保险</w:t>
      </w:r>
    </w:p>
    <w:p w14:paraId="735E99F9">
      <w:pPr>
        <w:adjustRightInd w:val="0"/>
        <w:snapToGrid w:val="0"/>
        <w:spacing w:line="384" w:lineRule="auto"/>
        <w:ind w:firstLine="420" w:firstLineChars="200"/>
        <w:rPr>
          <w:rFonts w:hint="eastAsia" w:ascii="宋体" w:hAnsi="宋体" w:eastAsia="宋体" w:cs="宋体"/>
          <w:color w:val="auto"/>
          <w:kern w:val="0"/>
          <w:highlight w:val="none"/>
          <w:lang w:val="en-US" w:eastAsia="zh-CN"/>
        </w:rPr>
      </w:pPr>
      <w:r>
        <w:rPr>
          <w:rFonts w:hint="eastAsia" w:ascii="宋体" w:hAnsi="宋体" w:cs="宋体"/>
          <w:color w:val="auto"/>
          <w:highlight w:val="none"/>
        </w:rPr>
        <w:t>关于其他保险的约定：</w:t>
      </w:r>
      <w:r>
        <w:rPr>
          <w:rFonts w:hint="eastAsia" w:ascii="宋体" w:hAnsi="宋体" w:eastAsia="宋体" w:cs="宋体"/>
          <w:color w:val="auto"/>
          <w:kern w:val="0"/>
          <w:szCs w:val="21"/>
          <w:highlight w:val="none"/>
          <w:u w:val="single"/>
        </w:rPr>
        <w:t>执行国家、省、市有关规定</w:t>
      </w:r>
      <w:r>
        <w:rPr>
          <w:rFonts w:hint="eastAsia" w:ascii="宋体" w:hAnsi="宋体" w:eastAsia="宋体" w:cs="宋体"/>
          <w:color w:val="auto"/>
          <w:kern w:val="0"/>
          <w:szCs w:val="21"/>
          <w:highlight w:val="none"/>
          <w:u w:val="single"/>
          <w:lang w:val="en-US" w:eastAsia="zh-CN"/>
        </w:rPr>
        <w:t xml:space="preserve"> ；</w:t>
      </w:r>
      <w:r>
        <w:rPr>
          <w:rFonts w:hint="eastAsia" w:ascii="宋体" w:hAnsi="宋体" w:eastAsia="宋体" w:cs="宋体"/>
          <w:color w:val="auto"/>
          <w:szCs w:val="21"/>
          <w:highlight w:val="none"/>
          <w:u w:val="single"/>
        </w:rPr>
        <w:t>承包人须为其施工现场的全部人员办理意外伤害保险并支付保险费，包括其员工及为履行合同聘请的第三方的人员</w:t>
      </w:r>
      <w:r>
        <w:rPr>
          <w:rFonts w:hint="eastAsia" w:ascii="宋体" w:hAnsi="宋体" w:eastAsia="宋体" w:cs="宋体"/>
          <w:color w:val="auto"/>
          <w:kern w:val="0"/>
          <w:szCs w:val="21"/>
          <w:highlight w:val="none"/>
          <w:u w:val="single"/>
          <w:lang w:val="en-US" w:eastAsia="zh-CN"/>
        </w:rPr>
        <w:t xml:space="preserve"> </w:t>
      </w:r>
      <w:r>
        <w:rPr>
          <w:rFonts w:hint="eastAsia" w:ascii="宋体" w:hAnsi="宋体" w:cs="宋体"/>
          <w:color w:val="auto"/>
          <w:kern w:val="0"/>
          <w:highlight w:val="none"/>
        </w:rPr>
        <w:t>。</w:t>
      </w:r>
    </w:p>
    <w:p w14:paraId="4DDBDFB1">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承包人是否应为其施工设备等办理财产保险：</w:t>
      </w:r>
      <w:r>
        <w:rPr>
          <w:rFonts w:hint="eastAsia" w:ascii="宋体" w:hAnsi="宋体" w:cs="宋体"/>
          <w:color w:val="auto"/>
          <w:szCs w:val="21"/>
          <w:highlight w:val="none"/>
          <w:u w:val="single"/>
        </w:rPr>
        <w:t>执行通用条款</w:t>
      </w:r>
      <w:r>
        <w:rPr>
          <w:rFonts w:hint="eastAsia" w:ascii="宋体" w:hAnsi="宋体" w:cs="宋体"/>
          <w:color w:val="auto"/>
          <w:highlight w:val="none"/>
        </w:rPr>
        <w:t>。</w:t>
      </w:r>
    </w:p>
    <w:p w14:paraId="3E703CE7">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18.7 通知义务</w:t>
      </w:r>
    </w:p>
    <w:p w14:paraId="76BC263A">
      <w:pPr>
        <w:adjustRightInd w:val="0"/>
        <w:snapToGrid w:val="0"/>
        <w:spacing w:line="384" w:lineRule="auto"/>
        <w:ind w:firstLine="420" w:firstLineChars="200"/>
        <w:rPr>
          <w:rFonts w:hint="eastAsia" w:ascii="宋体" w:hAnsi="宋体" w:cs="宋体"/>
          <w:b/>
          <w:color w:val="auto"/>
          <w:highlight w:val="none"/>
          <w:u w:val="single"/>
        </w:rPr>
      </w:pPr>
      <w:r>
        <w:rPr>
          <w:rFonts w:hint="eastAsia" w:ascii="宋体" w:hAnsi="宋体" w:cs="宋体"/>
          <w:color w:val="auto"/>
          <w:kern w:val="0"/>
          <w:highlight w:val="none"/>
        </w:rPr>
        <w:t>关于变更保险合同时的通知义务的约定：</w:t>
      </w:r>
      <w:r>
        <w:rPr>
          <w:rFonts w:hint="eastAsia" w:ascii="宋体" w:hAnsi="宋体" w:cs="宋体"/>
          <w:color w:val="auto"/>
          <w:szCs w:val="21"/>
          <w:highlight w:val="none"/>
          <w:u w:val="single"/>
        </w:rPr>
        <w:t>执行通用条款</w:t>
      </w:r>
      <w:r>
        <w:rPr>
          <w:rFonts w:hint="eastAsia" w:ascii="宋体" w:hAnsi="宋体" w:cs="宋体"/>
          <w:color w:val="auto"/>
          <w:szCs w:val="21"/>
          <w:highlight w:val="none"/>
        </w:rPr>
        <w:t>。</w:t>
      </w:r>
    </w:p>
    <w:bookmarkEnd w:id="1243"/>
    <w:bookmarkEnd w:id="1244"/>
    <w:bookmarkEnd w:id="1245"/>
    <w:bookmarkEnd w:id="1246"/>
    <w:bookmarkEnd w:id="1247"/>
    <w:bookmarkEnd w:id="1248"/>
    <w:bookmarkEnd w:id="1249"/>
    <w:bookmarkEnd w:id="1250"/>
    <w:bookmarkEnd w:id="1251"/>
    <w:bookmarkEnd w:id="1252"/>
    <w:bookmarkEnd w:id="1253"/>
    <w:bookmarkEnd w:id="1254"/>
    <w:p w14:paraId="4A976D15">
      <w:pPr>
        <w:keepNext/>
        <w:keepLines/>
        <w:adjustRightInd w:val="0"/>
        <w:snapToGrid w:val="0"/>
        <w:spacing w:line="384" w:lineRule="auto"/>
        <w:jc w:val="left"/>
        <w:outlineLvl w:val="2"/>
        <w:rPr>
          <w:rFonts w:hint="eastAsia" w:ascii="宋体" w:hAnsi="宋体" w:cs="宋体"/>
          <w:bCs/>
          <w:color w:val="auto"/>
          <w:sz w:val="24"/>
          <w:highlight w:val="none"/>
        </w:rPr>
      </w:pPr>
      <w:bookmarkStart w:id="1273" w:name="_Toc95223484"/>
      <w:bookmarkStart w:id="1274" w:name="_Toc351203651"/>
      <w:r>
        <w:rPr>
          <w:rFonts w:hint="eastAsia" w:ascii="宋体" w:hAnsi="宋体" w:cs="宋体"/>
          <w:bCs/>
          <w:color w:val="auto"/>
          <w:sz w:val="24"/>
          <w:highlight w:val="none"/>
        </w:rPr>
        <w:t>20. 争议解决</w:t>
      </w:r>
      <w:bookmarkEnd w:id="1273"/>
      <w:bookmarkEnd w:id="1274"/>
    </w:p>
    <w:bookmarkEnd w:id="1255"/>
    <w:bookmarkEnd w:id="1256"/>
    <w:p w14:paraId="2CE65CF6">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20.3 争</w:t>
      </w:r>
      <w:bookmarkEnd w:id="1257"/>
      <w:r>
        <w:rPr>
          <w:rFonts w:hint="eastAsia" w:ascii="宋体" w:hAnsi="宋体" w:cs="宋体"/>
          <w:bCs/>
          <w:color w:val="auto"/>
          <w:szCs w:val="28"/>
          <w:highlight w:val="none"/>
        </w:rPr>
        <w:t>议评审</w:t>
      </w:r>
    </w:p>
    <w:p w14:paraId="70528897">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合同当事人是否同意将工程争议提交争议评审小组决定：</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不采用</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p>
    <w:p w14:paraId="717A2DC8">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20.3.1 争议评审小组的确定</w:t>
      </w:r>
    </w:p>
    <w:p w14:paraId="0873160B">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争议评审小组成员的确定：</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220C2266">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选定争议评审员的期限：</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 xml:space="preserve"> </w:t>
      </w:r>
      <w:r>
        <w:rPr>
          <w:rFonts w:hint="eastAsia" w:ascii="宋体" w:hAnsi="宋体" w:eastAsia="宋体" w:cs="宋体"/>
          <w:color w:val="auto"/>
          <w:kern w:val="2"/>
          <w:sz w:val="21"/>
          <w:szCs w:val="24"/>
          <w:highlight w:val="none"/>
          <w:u w:val="single"/>
          <w:lang w:val="en-US" w:eastAsia="zh-CN" w:bidi="ar-SA"/>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429B9778">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争议评审小组成员的报酬承担方式：</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2E48A3FC">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其他事项的约定：</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03FEDE3B">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20.3.2 争议评审小组的决定</w:t>
      </w:r>
    </w:p>
    <w:p w14:paraId="5017EF44">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合同当事人关于本项的约定：</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6D3DB987">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20.4 仲裁或诉讼</w:t>
      </w:r>
      <w:bookmarkEnd w:id="1258"/>
    </w:p>
    <w:p w14:paraId="307CAF93">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因合同及合同有关事项发生的争议，按下列第</w:t>
      </w:r>
      <w:r>
        <w:rPr>
          <w:rFonts w:hint="eastAsia" w:ascii="宋体" w:hAnsi="宋体" w:cs="宋体"/>
          <w:b/>
          <w:color w:val="auto"/>
          <w:highlight w:val="none"/>
          <w:u w:val="single"/>
        </w:rPr>
        <w:t xml:space="preserve">  </w:t>
      </w:r>
      <w:r>
        <w:rPr>
          <w:rFonts w:hint="eastAsia" w:ascii="宋体" w:hAnsi="宋体" w:cs="宋体"/>
          <w:b/>
          <w:color w:val="auto"/>
          <w:highlight w:val="none"/>
          <w:u w:val="single"/>
          <w:lang w:eastAsia="zh-CN"/>
        </w:rPr>
        <w:t>（</w:t>
      </w:r>
      <w:r>
        <w:rPr>
          <w:rFonts w:hint="eastAsia" w:ascii="宋体" w:hAnsi="宋体" w:cs="宋体"/>
          <w:b/>
          <w:color w:val="auto"/>
          <w:highlight w:val="none"/>
          <w:u w:val="single"/>
          <w:lang w:val="en-US" w:eastAsia="zh-CN"/>
        </w:rPr>
        <w:t>2）</w:t>
      </w:r>
      <w:r>
        <w:rPr>
          <w:rFonts w:hint="eastAsia" w:ascii="宋体" w:hAnsi="宋体" w:cs="宋体"/>
          <w:b/>
          <w:color w:val="auto"/>
          <w:highlight w:val="none"/>
          <w:u w:val="single"/>
        </w:rPr>
        <w:t xml:space="preserve">  </w:t>
      </w:r>
      <w:r>
        <w:rPr>
          <w:rFonts w:hint="eastAsia" w:ascii="宋体" w:hAnsi="宋体" w:cs="宋体"/>
          <w:color w:val="auto"/>
          <w:highlight w:val="none"/>
        </w:rPr>
        <w:t>种方式解决：</w:t>
      </w:r>
    </w:p>
    <w:p w14:paraId="556FDCE0">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（1）向</w:t>
      </w:r>
      <w:r>
        <w:rPr>
          <w:rFonts w:hint="eastAsia" w:ascii="宋体" w:hAnsi="宋体" w:cs="宋体"/>
          <w:color w:val="auto"/>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滁州市</w:t>
      </w:r>
      <w:r>
        <w:rPr>
          <w:rFonts w:hint="eastAsia" w:ascii="宋体" w:hAnsi="宋体" w:cs="宋体"/>
          <w:color w:val="auto"/>
          <w:szCs w:val="21"/>
          <w:highlight w:val="none"/>
          <w:u w:val="single"/>
        </w:rPr>
        <w:t xml:space="preserve">  </w:t>
      </w:r>
      <w:r>
        <w:rPr>
          <w:rFonts w:hint="eastAsia" w:ascii="宋体" w:hAnsi="宋体" w:cs="宋体"/>
          <w:color w:val="auto"/>
          <w:highlight w:val="none"/>
        </w:rPr>
        <w:t>仲裁委员会申请仲裁；</w:t>
      </w:r>
    </w:p>
    <w:p w14:paraId="719C20DD">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（2）向</w:t>
      </w:r>
      <w:r>
        <w:rPr>
          <w:rFonts w:hint="eastAsia" w:ascii="宋体" w:hAnsi="宋体" w:cs="宋体"/>
          <w:color w:val="auto"/>
          <w:szCs w:val="21"/>
          <w:highlight w:val="none"/>
          <w:u w:val="single"/>
          <w:lang w:val="en-US" w:eastAsia="zh-CN"/>
        </w:rPr>
        <w:t xml:space="preserve"> 项目所在地 </w:t>
      </w:r>
      <w:r>
        <w:rPr>
          <w:rFonts w:hint="eastAsia" w:ascii="宋体" w:hAnsi="宋体" w:cs="宋体"/>
          <w:color w:val="auto"/>
          <w:highlight w:val="none"/>
        </w:rPr>
        <w:t>人民法院起诉。</w:t>
      </w:r>
      <w:bookmarkEnd w:id="1259"/>
      <w:bookmarkEnd w:id="1260"/>
      <w:bookmarkEnd w:id="1261"/>
      <w:bookmarkEnd w:id="1262"/>
      <w:bookmarkEnd w:id="1263"/>
      <w:bookmarkEnd w:id="1264"/>
    </w:p>
    <w:p w14:paraId="0FE61942">
      <w:pPr>
        <w:keepNext/>
        <w:keepLines/>
        <w:adjustRightInd w:val="0"/>
        <w:snapToGrid w:val="0"/>
        <w:spacing w:line="384" w:lineRule="auto"/>
        <w:jc w:val="left"/>
        <w:outlineLvl w:val="2"/>
        <w:rPr>
          <w:rFonts w:hint="eastAsia" w:ascii="宋体" w:hAnsi="宋体" w:cs="宋体"/>
          <w:color w:val="auto"/>
          <w:highlight w:val="none"/>
        </w:rPr>
      </w:pPr>
      <w:bookmarkStart w:id="1275" w:name="_Toc95223485"/>
      <w:r>
        <w:rPr>
          <w:rFonts w:hint="eastAsia" w:ascii="宋体" w:hAnsi="宋体" w:cs="宋体"/>
          <w:color w:val="auto"/>
          <w:highlight w:val="none"/>
        </w:rPr>
        <w:t>21. 补充条款</w:t>
      </w:r>
      <w:bookmarkEnd w:id="1275"/>
      <w:r>
        <w:rPr>
          <w:rFonts w:hint="eastAsia" w:ascii="宋体" w:hAnsi="宋体" w:cs="宋体"/>
          <w:color w:val="auto"/>
          <w:highlight w:val="none"/>
        </w:rPr>
        <w:t xml:space="preserve"> </w:t>
      </w:r>
    </w:p>
    <w:p w14:paraId="7D30A68D">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本补充条款是专用条款的一部分，其解释顺序优先于专用条款内的其他条款。</w:t>
      </w:r>
    </w:p>
    <w:p w14:paraId="5CE154E1">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21.1 人员及职责</w:t>
      </w:r>
    </w:p>
    <w:p w14:paraId="6080B844">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21.1.1 发包人委派的发包人代表或监理工程师（以下简称“工程师”）无权更改合同，也无权解除发包人和承包人的义务和责任。</w:t>
      </w:r>
    </w:p>
    <w:p w14:paraId="31AD8D58">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21.1.2 发包人代表的任何批准、检查、证书、同意、通知、建议、检验、指令和要求等不解除承包人在合同中的责任。</w:t>
      </w:r>
    </w:p>
    <w:p w14:paraId="46D64D9F">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21.1.3 承包人只能从发包人代表或其授权代表处接受指令。</w:t>
      </w:r>
    </w:p>
    <w:p w14:paraId="2D2BCCB3">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21.1.4 发包人如需更换发包人代表须提前7天通知承包人。</w:t>
      </w:r>
    </w:p>
    <w:p w14:paraId="1CF81487">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21.1.5 投标人委任的项目经理、项目技术负责人、各专业负责人（其他主要管理人员和技术人员）及施工机械等在整个项目施工期内必须在位。</w:t>
      </w:r>
    </w:p>
    <w:p w14:paraId="0155C1F9">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承包人的项目经理离开现场的，须经发包人代表同意，并书面指定临时代表，代为行使项目经理的权力；该临时代表的一切行为，甲方均认为是项目经理的行为。</w:t>
      </w:r>
    </w:p>
    <w:p w14:paraId="68AD6E69">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21.1.6 承包人提交发包人的任何文件，发包人都认为该文件已经承包人内部程序批准；承包人提交的文件发生修改的，应及时将最新版本提交发包人代表。</w:t>
      </w:r>
    </w:p>
    <w:p w14:paraId="7ED7748D">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21.1.7 承包人应始终采取一切合理防范措施来避免在项目人员内部发生违法、动乱或妨碍治安的行为，保持项目的安定；并保护好现场和周围的人员和财产安全。</w:t>
      </w:r>
    </w:p>
    <w:p w14:paraId="1D59DC77">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21.1.8 承包人雇佣职员或工人应遵守相关法律法规的规定。</w:t>
      </w:r>
    </w:p>
    <w:p w14:paraId="55B0D972">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21.1.9 参与本项目的承包人代表或其雇员不遵守合同规定或一贯行为不轨或或不能胜任工作或危害安全，发包人代表有权要求更换；原人选未经发包人许可不得再进入本项目（包括项目经理在内）。</w:t>
      </w:r>
    </w:p>
    <w:p w14:paraId="1C1C0DDA">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21.1.10 承包人更换项目经理的，须提前14天通知发包人，并征得发包人同意；该行为视为违约，承包人须支付发包人</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30</w:t>
      </w:r>
      <w:r>
        <w:rPr>
          <w:rFonts w:hint="eastAsia" w:ascii="宋体" w:hAnsi="宋体" w:cs="宋体"/>
          <w:color w:val="auto"/>
          <w:highlight w:val="none"/>
          <w:u w:val="single"/>
        </w:rPr>
        <w:t xml:space="preserve"> </w:t>
      </w:r>
      <w:r>
        <w:rPr>
          <w:rFonts w:hint="eastAsia" w:ascii="宋体" w:hAnsi="宋体" w:cs="宋体"/>
          <w:color w:val="auto"/>
          <w:highlight w:val="none"/>
        </w:rPr>
        <w:t>万元违约金。更换后的项目经理资历、水平不得降低。</w:t>
      </w:r>
    </w:p>
    <w:p w14:paraId="0B00DACC">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21.2 变更与调整</w:t>
      </w:r>
    </w:p>
    <w:p w14:paraId="512B89DB">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21.2.1 在工程移交前，发包人代表有权签发变更指令，承包人应按照指令来实施变更，并进行工期和费用的估算，提交发包人代表。</w:t>
      </w:r>
    </w:p>
    <w:p w14:paraId="2A6EC2DA">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21.2.2 发包人代表收到承包人的估算后，可以决定撤销、修改或确认实施该项变更。</w:t>
      </w:r>
    </w:p>
    <w:p w14:paraId="3177DF19">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21.2.3 如果承包人认为自己的建议能缩短工期、降低工程实施或运营成本，或对业主产生其他利益，可以向发包人代表提交建议书；建议书的编制费用自理。</w:t>
      </w:r>
    </w:p>
    <w:p w14:paraId="32FBBDC5">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21.2.4 如果发包人采纳承包人的建议节省了工程费用，将给予承包人节约费用适当比例的奖励。</w:t>
      </w:r>
    </w:p>
    <w:p w14:paraId="6875D891">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21.2.5 上一款中节省费用的计算方法为：降低的合同额度减去因变更而引起在工程质量、寿命、以及运营效率等方面为发包人带来的潜在损失。</w:t>
      </w:r>
    </w:p>
    <w:p w14:paraId="5BA9CC83">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21.2.6 任何变更指令都应由发包人代表签发给承包人，承包人收到后应回函说明；涉及到费用调整的，按照相关条款执行。</w:t>
      </w:r>
    </w:p>
    <w:p w14:paraId="05EE4D6F">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21.2.7 设计文件示意内容的尺寸做法、要求等标注有错误、有遗漏，或理解不一致，发包人或其委托的勘查设计单位根据工程施工需要而对其进行更正和补充的，称为技术核定；技术核定不调整合同价款，也不调整工期。</w:t>
      </w:r>
    </w:p>
    <w:p w14:paraId="58DA22DA">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21.2.8 未经发包人代表批准，承包人不得对工程进行任何变更。</w:t>
      </w:r>
    </w:p>
    <w:p w14:paraId="3E484A5D">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21.3 分包与配合</w:t>
      </w:r>
    </w:p>
    <w:p w14:paraId="7A22C706">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21.3.1 承包人进行工程分包的，应遵守通用条款相关规定，发包人视其为承包人自行施工的工程；发包人代表对分包的同意或批准并不解除承包人的任何责任，也不代表发包人对此承担任何责任。</w:t>
      </w:r>
    </w:p>
    <w:p w14:paraId="5249123D">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 xml:space="preserve">21.3.2 发包人分包的专业工程范围如下： </w:t>
      </w:r>
    </w:p>
    <w:p w14:paraId="528BBAC3">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（1）</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w:t>
      </w:r>
    </w:p>
    <w:p w14:paraId="66B2BCFB">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w:t>
      </w:r>
    </w:p>
    <w:p w14:paraId="7082D5EA">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21.3.3 发包人通过招标方式选择专业工程分包施工单位，承包人参与分包工程的招标，认可招标结果，并作为总包单位与分包工程的中标人（以下简称“分包人”）签订工程分包施工合同。</w:t>
      </w:r>
    </w:p>
    <w:p w14:paraId="2EA08B58">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21.3.4 发包人支付给承包人专业分包工程合同价款（不含设备价格）的</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u w:val="single"/>
          <w:lang w:val="en-US" w:eastAsia="zh-CN"/>
        </w:rPr>
        <w:t xml:space="preserve">0 </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%作为总承包服务配合费用，承包人不得向分包人收取其他费用；该项费用包括但不限于以下内容：</w:t>
      </w:r>
    </w:p>
    <w:p w14:paraId="3EF8E16D">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（1）乙方承担总包责任所发生的费用。</w:t>
      </w:r>
    </w:p>
    <w:p w14:paraId="1B98629C">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（2）“分包工程”施工完毕、土建工程的收尾和修复以及使用承包人的施工所用水电管线等费用（水电费用装表计量，按照实际用量结算）。</w:t>
      </w:r>
    </w:p>
    <w:p w14:paraId="72D9C20E">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（3）分包人使用承包人现场临时工程及在用的脚手架、塔吊、施工电梯等费用。</w:t>
      </w:r>
    </w:p>
    <w:p w14:paraId="690E73DB">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（4）分包人使用工程的施工道路，到总包单位搭伙，使用总包单位的卫生间等。</w:t>
      </w:r>
    </w:p>
    <w:p w14:paraId="73D8ABA2">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（5）门窗洞口、安装工程管道口、楼地面墙面凿洞、槽等的后塞及修补等，以及整个工程的安全保卫等。</w:t>
      </w:r>
    </w:p>
    <w:p w14:paraId="2B80889B">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（6）为分包人提供标高、轴线、定位，隐蔽工程指引等。</w:t>
      </w:r>
    </w:p>
    <w:p w14:paraId="79A66316">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（7）分包人的工程资料收集整理和移交；工程质量的检验和验收。</w:t>
      </w:r>
    </w:p>
    <w:p w14:paraId="374E9328">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（8）保证分包工程在施工期间有足够的工作面，保证其按时开工和连续施工，并承担因乙方原因使分包工程不能按时开工和配合不及时造成的工期延误责任。</w:t>
      </w:r>
    </w:p>
    <w:p w14:paraId="71C0A47A">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21.3.5 配合工程：是指某一位于施工现场内或现场外的工程，并非由承包人施工或总包，但与承包人的工程有一定联系，需要承包人配合的工程；配合工程如下：</w:t>
      </w:r>
    </w:p>
    <w:p w14:paraId="7C380399">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（1）</w:t>
      </w:r>
      <w:r>
        <w:rPr>
          <w:rFonts w:hint="eastAsia" w:ascii="宋体" w:hAnsi="宋体" w:cs="宋体"/>
          <w:color w:val="auto"/>
          <w:kern w:val="0"/>
          <w:highlight w:val="none"/>
          <w:u w:val="single"/>
        </w:rPr>
        <w:t xml:space="preserve">                                     </w:t>
      </w:r>
    </w:p>
    <w:p w14:paraId="2FD60FC9">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w:t>
      </w:r>
      <w:r>
        <w:rPr>
          <w:rFonts w:hint="eastAsia" w:ascii="宋体" w:hAnsi="宋体" w:cs="宋体"/>
          <w:color w:val="auto"/>
          <w:kern w:val="0"/>
          <w:highlight w:val="none"/>
          <w:u w:val="single"/>
        </w:rPr>
        <w:t xml:space="preserve">                                     </w:t>
      </w:r>
    </w:p>
    <w:p w14:paraId="71A1878F">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21.3.6 对于配合工程，承包人除不需要承办总包责任外，其他责任和义务同分包工程；发包人给予承包人</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万元作为承包人承担配合工作的配合费用。</w:t>
      </w:r>
    </w:p>
    <w:p w14:paraId="53AA369D">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21.3.7 凡在与已交工工程有关联的部位施工时，必须提前向甲方提出书面联系单，经甲方同意，并签字后方可施工。</w:t>
      </w:r>
    </w:p>
    <w:p w14:paraId="5BF705C9">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21.4 结算</w:t>
      </w:r>
    </w:p>
    <w:p w14:paraId="062F51C9">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21.4.1 承包人的投标报价（合同价款）是承包人基于业主提供的资料和现场数据及承包人的解释和现场考察计算出来的，覆盖了完成合同义务所包括的一切工作，不得以漏项或考虑不周提出索赔。</w:t>
      </w:r>
    </w:p>
    <w:p w14:paraId="228799F6">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21.4.2 水电费的结算：</w:t>
      </w:r>
    </w:p>
    <w:p w14:paraId="63C249F6">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（1）发包人在现场安装计量装置，承包人负责施工期间的保护，并在工程移交的同时完好地移交给发包人。</w:t>
      </w:r>
    </w:p>
    <w:p w14:paraId="04EFFE72">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（2）承包人投标报价已经包含水电费用，工程结算时按照发包人实际缴纳的水电费在结算价（税前）中扣除。</w:t>
      </w:r>
    </w:p>
    <w:p w14:paraId="05436A2A">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（3）因承包人保护不善造成计量装置损坏，承包人负责修复，并承担由此造成的增加费用（包括修复费用和水电损失费用以及可能发生的罚款或其他费用）。</w:t>
      </w:r>
    </w:p>
    <w:p w14:paraId="16337628">
      <w:pPr>
        <w:adjustRightInd w:val="0"/>
        <w:snapToGrid w:val="0"/>
        <w:spacing w:line="384" w:lineRule="auto"/>
        <w:ind w:firstLine="420" w:firstLineChars="200"/>
        <w:rPr>
          <w:rFonts w:hint="eastAsia" w:ascii="宋体" w:hAnsi="宋体" w:cs="宋体"/>
          <w:color w:val="auto"/>
          <w:kern w:val="0"/>
          <w:highlight w:val="none"/>
          <w:u w:val="single" w:color="FFFFFF"/>
        </w:rPr>
      </w:pPr>
      <w:r>
        <w:rPr>
          <w:rFonts w:hint="eastAsia" w:ascii="宋体" w:hAnsi="宋体" w:cs="宋体"/>
          <w:color w:val="auto"/>
          <w:kern w:val="0"/>
          <w:highlight w:val="none"/>
          <w:u w:val="single" w:color="FFFFFF"/>
        </w:rPr>
        <w:t>21.4.3 发包人供应材料设备的结算：材料按照总价的</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u w:val="single"/>
          <w:lang w:val="en-US" w:eastAsia="zh-CN"/>
        </w:rPr>
        <w:t>/</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u w:val="single" w:color="FFFFFF"/>
        </w:rPr>
        <w:t xml:space="preserve"> %计取保管费（材料数量最多不超过设计文件的用量（可以计算定额损耗））；设备按照总价的 </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u w:val="single"/>
          <w:lang w:val="en-US" w:eastAsia="zh-CN"/>
        </w:rPr>
        <w:t>/</w:t>
      </w:r>
      <w:r>
        <w:rPr>
          <w:rFonts w:hint="eastAsia" w:ascii="宋体" w:hAnsi="宋体" w:cs="宋体"/>
          <w:color w:val="auto"/>
          <w:kern w:val="0"/>
          <w:highlight w:val="none"/>
          <w:u w:val="single" w:color="FFFFFF"/>
        </w:rPr>
        <w:t xml:space="preserve"> %计取保管费；此费用仅计取税金。</w:t>
      </w:r>
    </w:p>
    <w:p w14:paraId="0B27A4A4">
      <w:pPr>
        <w:adjustRightInd w:val="0"/>
        <w:snapToGrid w:val="0"/>
        <w:spacing w:line="384" w:lineRule="auto"/>
        <w:ind w:firstLine="422" w:firstLineChars="200"/>
        <w:rPr>
          <w:rFonts w:hint="eastAsia" w:ascii="宋体" w:hAnsi="宋体" w:cs="宋体"/>
          <w:b/>
          <w:bCs/>
          <w:color w:val="auto"/>
          <w:kern w:val="0"/>
          <w:highlight w:val="none"/>
        </w:rPr>
      </w:pPr>
      <w:r>
        <w:rPr>
          <w:rFonts w:hint="eastAsia" w:ascii="宋体" w:hAnsi="宋体" w:cs="宋体"/>
          <w:b/>
          <w:bCs/>
          <w:color w:val="auto"/>
          <w:kern w:val="0"/>
          <w:highlight w:val="none"/>
        </w:rPr>
        <w:t>21.4.4 分包工程的总承包配合费和配合工程的配合费：分包工程的总承包配合费按照分包工程价格确定，一次包死，不随分包工程结算价款的调整而调整；配合工程的配合费也一次包死；该两项费用仅计取税金</w:t>
      </w:r>
      <w:r>
        <w:rPr>
          <w:rFonts w:hint="eastAsia" w:ascii="宋体" w:hAnsi="宋体" w:cs="宋体"/>
          <w:b/>
          <w:bCs/>
          <w:color w:val="auto"/>
          <w:kern w:val="0"/>
          <w:highlight w:val="none"/>
          <w:lang w:eastAsia="zh-CN"/>
        </w:rPr>
        <w:t>。</w:t>
      </w:r>
    </w:p>
    <w:p w14:paraId="05510138">
      <w:pPr>
        <w:adjustRightInd w:val="0"/>
        <w:snapToGrid w:val="0"/>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21.4.5对于发包人提供的工程量清单中的单项子目，承包人没有报价的，发包人认为视同该项价格已经包括在其他项目中。</w:t>
      </w:r>
    </w:p>
    <w:p w14:paraId="47D520C9">
      <w:pPr>
        <w:adjustRightInd w:val="0"/>
        <w:snapToGrid w:val="0"/>
        <w:spacing w:line="360" w:lineRule="auto"/>
        <w:rPr>
          <w:rFonts w:hint="eastAsia" w:ascii="宋体" w:hAnsi="宋体" w:cs="宋体"/>
          <w:b/>
          <w:color w:val="auto"/>
          <w:highlight w:val="none"/>
        </w:rPr>
      </w:pPr>
    </w:p>
    <w:p w14:paraId="171946F5">
      <w:pPr>
        <w:adjustRightInd w:val="0"/>
        <w:snapToGrid w:val="0"/>
        <w:spacing w:line="360" w:lineRule="auto"/>
        <w:rPr>
          <w:rFonts w:hint="eastAsia" w:ascii="宋体" w:hAnsi="宋体" w:cs="宋体"/>
          <w:color w:val="auto"/>
          <w:highlight w:val="none"/>
        </w:rPr>
      </w:pPr>
      <w:r>
        <w:rPr>
          <w:rFonts w:hint="eastAsia" w:ascii="宋体" w:hAnsi="宋体" w:cs="宋体"/>
          <w:color w:val="auto"/>
          <w:highlight w:val="none"/>
        </w:rPr>
        <w:t>发包人：  (公章)                           承包人：  (公章)</w:t>
      </w:r>
    </w:p>
    <w:p w14:paraId="3733F382">
      <w:pPr>
        <w:adjustRightInd w:val="0"/>
        <w:snapToGrid w:val="0"/>
        <w:spacing w:line="360" w:lineRule="auto"/>
        <w:rPr>
          <w:rFonts w:hint="eastAsia" w:ascii="宋体" w:hAnsi="宋体" w:cs="宋体"/>
          <w:color w:val="auto"/>
          <w:highlight w:val="none"/>
        </w:rPr>
      </w:pPr>
      <w:r>
        <w:rPr>
          <w:rFonts w:hint="eastAsia" w:ascii="宋体" w:hAnsi="宋体" w:cs="宋体"/>
          <w:color w:val="auto"/>
          <w:highlight w:val="none"/>
        </w:rPr>
        <w:t>法定代表人或其委托代理人：                 法定代表人或其委托代理人：</w:t>
      </w:r>
    </w:p>
    <w:p w14:paraId="43A4B27F">
      <w:pPr>
        <w:adjustRightInd w:val="0"/>
        <w:snapToGrid w:val="0"/>
        <w:spacing w:line="360" w:lineRule="auto"/>
        <w:rPr>
          <w:rFonts w:hint="eastAsia" w:ascii="宋体" w:hAnsi="宋体" w:cs="宋体"/>
          <w:color w:val="auto"/>
          <w:highlight w:val="none"/>
        </w:rPr>
      </w:pPr>
      <w:r>
        <w:rPr>
          <w:rFonts w:hint="eastAsia" w:ascii="宋体" w:hAnsi="宋体" w:cs="宋体"/>
          <w:color w:val="auto"/>
          <w:highlight w:val="none"/>
        </w:rPr>
        <w:t>（签字）                                  （签字）</w:t>
      </w:r>
    </w:p>
    <w:p w14:paraId="799BD297">
      <w:pPr>
        <w:adjustRightInd w:val="0"/>
        <w:snapToGrid w:val="0"/>
        <w:spacing w:line="360" w:lineRule="auto"/>
        <w:rPr>
          <w:rFonts w:hint="eastAsia" w:ascii="宋体" w:hAnsi="宋体" w:cs="宋体"/>
          <w:color w:val="auto"/>
          <w:highlight w:val="none"/>
          <w:u w:val="single"/>
        </w:rPr>
      </w:pPr>
      <w:r>
        <w:rPr>
          <w:rFonts w:hint="eastAsia" w:ascii="宋体" w:hAnsi="宋体" w:cs="宋体"/>
          <w:color w:val="auto"/>
          <w:highlight w:val="none"/>
        </w:rPr>
        <w:t>组织机构代码：</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组织机构代码：</w:t>
      </w:r>
      <w:r>
        <w:rPr>
          <w:rFonts w:hint="eastAsia" w:ascii="宋体" w:hAnsi="宋体" w:cs="宋体"/>
          <w:color w:val="auto"/>
          <w:highlight w:val="none"/>
          <w:u w:val="single"/>
        </w:rPr>
        <w:t xml:space="preserve">          </w:t>
      </w:r>
    </w:p>
    <w:p w14:paraId="2C998C28">
      <w:pPr>
        <w:adjustRightInd w:val="0"/>
        <w:snapToGrid w:val="0"/>
        <w:spacing w:line="360" w:lineRule="auto"/>
        <w:rPr>
          <w:rFonts w:hint="eastAsia" w:ascii="宋体" w:hAnsi="宋体" w:cs="宋体"/>
          <w:color w:val="auto"/>
          <w:highlight w:val="none"/>
        </w:rPr>
      </w:pPr>
      <w:r>
        <w:rPr>
          <w:rFonts w:hint="eastAsia" w:ascii="宋体" w:hAnsi="宋体" w:cs="宋体"/>
          <w:color w:val="auto"/>
          <w:highlight w:val="none"/>
        </w:rPr>
        <w:t>地  址：</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地  址：</w:t>
      </w:r>
      <w:r>
        <w:rPr>
          <w:rFonts w:hint="eastAsia" w:ascii="宋体" w:hAnsi="宋体" w:cs="宋体"/>
          <w:color w:val="auto"/>
          <w:highlight w:val="none"/>
          <w:u w:val="single"/>
        </w:rPr>
        <w:t xml:space="preserve">                  </w:t>
      </w:r>
    </w:p>
    <w:p w14:paraId="13FCD814">
      <w:pPr>
        <w:adjustRightInd w:val="0"/>
        <w:snapToGrid w:val="0"/>
        <w:spacing w:line="360" w:lineRule="auto"/>
        <w:rPr>
          <w:rFonts w:hint="eastAsia" w:ascii="宋体" w:hAnsi="宋体" w:cs="宋体"/>
          <w:color w:val="auto"/>
          <w:highlight w:val="none"/>
        </w:rPr>
      </w:pPr>
      <w:r>
        <w:rPr>
          <w:rFonts w:hint="eastAsia" w:ascii="宋体" w:hAnsi="宋体" w:cs="宋体"/>
          <w:color w:val="auto"/>
          <w:highlight w:val="none"/>
        </w:rPr>
        <w:t>邮政编码：</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邮政编码：</w:t>
      </w:r>
      <w:r>
        <w:rPr>
          <w:rFonts w:hint="eastAsia" w:ascii="宋体" w:hAnsi="宋体" w:cs="宋体"/>
          <w:color w:val="auto"/>
          <w:highlight w:val="none"/>
          <w:u w:val="single"/>
        </w:rPr>
        <w:t xml:space="preserve">                   </w:t>
      </w:r>
    </w:p>
    <w:p w14:paraId="25507A99">
      <w:pPr>
        <w:adjustRightInd w:val="0"/>
        <w:snapToGrid w:val="0"/>
        <w:spacing w:line="360" w:lineRule="auto"/>
        <w:rPr>
          <w:rFonts w:hint="eastAsia" w:ascii="宋体" w:hAnsi="宋体" w:cs="宋体"/>
          <w:color w:val="auto"/>
          <w:highlight w:val="none"/>
        </w:rPr>
      </w:pPr>
      <w:r>
        <w:rPr>
          <w:rFonts w:hint="eastAsia" w:ascii="宋体" w:hAnsi="宋体" w:cs="宋体"/>
          <w:color w:val="auto"/>
          <w:highlight w:val="none"/>
        </w:rPr>
        <w:t>法定代表人：</w:t>
      </w:r>
      <w:r>
        <w:rPr>
          <w:rFonts w:hint="eastAsia" w:ascii="宋体" w:hAnsi="宋体" w:cs="宋体"/>
          <w:color w:val="auto"/>
          <w:highlight w:val="none"/>
          <w:u w:val="single"/>
        </w:rPr>
        <w:t xml:space="preserve">            </w:t>
      </w:r>
      <w:r>
        <w:rPr>
          <w:rFonts w:hint="eastAsia" w:ascii="宋体" w:hAnsi="宋体" w:cs="宋体"/>
          <w:color w:val="auto"/>
          <w:highlight w:val="none"/>
        </w:rPr>
        <w:t xml:space="preserve">                法定代表人：</w:t>
      </w:r>
      <w:r>
        <w:rPr>
          <w:rFonts w:hint="eastAsia" w:ascii="宋体" w:hAnsi="宋体" w:cs="宋体"/>
          <w:color w:val="auto"/>
          <w:highlight w:val="none"/>
          <w:u w:val="single"/>
        </w:rPr>
        <w:t xml:space="preserve">            </w:t>
      </w:r>
    </w:p>
    <w:p w14:paraId="1D6D7260">
      <w:pPr>
        <w:adjustRightInd w:val="0"/>
        <w:snapToGrid w:val="0"/>
        <w:spacing w:line="360" w:lineRule="auto"/>
        <w:rPr>
          <w:rFonts w:hint="eastAsia" w:ascii="宋体" w:hAnsi="宋体" w:cs="宋体"/>
          <w:color w:val="auto"/>
          <w:highlight w:val="none"/>
        </w:rPr>
      </w:pPr>
      <w:r>
        <w:rPr>
          <w:rFonts w:hint="eastAsia" w:ascii="宋体" w:hAnsi="宋体" w:cs="宋体"/>
          <w:color w:val="auto"/>
          <w:highlight w:val="none"/>
        </w:rPr>
        <w:t>委托代理人：</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委托代理人：</w:t>
      </w:r>
      <w:r>
        <w:rPr>
          <w:rFonts w:hint="eastAsia" w:ascii="宋体" w:hAnsi="宋体" w:cs="宋体"/>
          <w:color w:val="auto"/>
          <w:highlight w:val="none"/>
          <w:u w:val="single"/>
        </w:rPr>
        <w:t xml:space="preserve">                </w:t>
      </w:r>
    </w:p>
    <w:p w14:paraId="6D8A628F">
      <w:pPr>
        <w:adjustRightInd w:val="0"/>
        <w:snapToGrid w:val="0"/>
        <w:spacing w:line="360" w:lineRule="auto"/>
        <w:rPr>
          <w:rFonts w:hint="eastAsia" w:ascii="宋体" w:hAnsi="宋体" w:cs="宋体"/>
          <w:color w:val="auto"/>
          <w:highlight w:val="none"/>
        </w:rPr>
      </w:pPr>
      <w:r>
        <w:rPr>
          <w:rFonts w:hint="eastAsia" w:ascii="宋体" w:hAnsi="宋体" w:cs="宋体"/>
          <w:color w:val="auto"/>
          <w:highlight w:val="none"/>
        </w:rPr>
        <w:t>电  话：</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电  话：</w:t>
      </w:r>
      <w:r>
        <w:rPr>
          <w:rFonts w:hint="eastAsia" w:ascii="宋体" w:hAnsi="宋体" w:cs="宋体"/>
          <w:color w:val="auto"/>
          <w:highlight w:val="none"/>
          <w:u w:val="single"/>
        </w:rPr>
        <w:t xml:space="preserve">                     </w:t>
      </w:r>
    </w:p>
    <w:p w14:paraId="6FA42440">
      <w:pPr>
        <w:adjustRightInd w:val="0"/>
        <w:snapToGrid w:val="0"/>
        <w:spacing w:line="360" w:lineRule="auto"/>
        <w:rPr>
          <w:rFonts w:hint="eastAsia" w:ascii="宋体" w:hAnsi="宋体" w:cs="宋体"/>
          <w:color w:val="auto"/>
          <w:highlight w:val="none"/>
        </w:rPr>
      </w:pPr>
      <w:r>
        <w:rPr>
          <w:rFonts w:hint="eastAsia" w:ascii="宋体" w:hAnsi="宋体" w:cs="宋体"/>
          <w:color w:val="auto"/>
          <w:highlight w:val="none"/>
        </w:rPr>
        <w:t>传  真：</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传  真：</w:t>
      </w:r>
      <w:r>
        <w:rPr>
          <w:rFonts w:hint="eastAsia" w:ascii="宋体" w:hAnsi="宋体" w:cs="宋体"/>
          <w:color w:val="auto"/>
          <w:highlight w:val="none"/>
          <w:u w:val="single"/>
        </w:rPr>
        <w:t xml:space="preserve">                   </w:t>
      </w:r>
    </w:p>
    <w:p w14:paraId="539C776F">
      <w:pPr>
        <w:adjustRightInd w:val="0"/>
        <w:snapToGrid w:val="0"/>
        <w:spacing w:line="360" w:lineRule="auto"/>
        <w:rPr>
          <w:rFonts w:hint="eastAsia" w:ascii="宋体" w:hAnsi="宋体" w:cs="宋体"/>
          <w:color w:val="auto"/>
          <w:highlight w:val="none"/>
        </w:rPr>
      </w:pPr>
      <w:r>
        <w:rPr>
          <w:rFonts w:hint="eastAsia" w:ascii="宋体" w:hAnsi="宋体" w:cs="宋体"/>
          <w:color w:val="auto"/>
          <w:highlight w:val="none"/>
        </w:rPr>
        <w:t>电子信箱：</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电子信箱：</w:t>
      </w:r>
      <w:r>
        <w:rPr>
          <w:rFonts w:hint="eastAsia" w:ascii="宋体" w:hAnsi="宋体" w:cs="宋体"/>
          <w:color w:val="auto"/>
          <w:highlight w:val="none"/>
          <w:u w:val="single"/>
        </w:rPr>
        <w:t xml:space="preserve">                   </w:t>
      </w:r>
    </w:p>
    <w:p w14:paraId="428D7AEC">
      <w:pPr>
        <w:adjustRightInd w:val="0"/>
        <w:snapToGrid w:val="0"/>
        <w:spacing w:line="360" w:lineRule="auto"/>
        <w:rPr>
          <w:rFonts w:hint="eastAsia" w:ascii="宋体" w:hAnsi="宋体" w:cs="宋体"/>
          <w:color w:val="auto"/>
          <w:highlight w:val="none"/>
        </w:rPr>
      </w:pPr>
      <w:r>
        <w:rPr>
          <w:rFonts w:hint="eastAsia" w:ascii="宋体" w:hAnsi="宋体" w:cs="宋体"/>
          <w:color w:val="auto"/>
          <w:highlight w:val="none"/>
        </w:rPr>
        <w:t>开户银行：</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开户银行：</w:t>
      </w:r>
      <w:r>
        <w:rPr>
          <w:rFonts w:hint="eastAsia" w:ascii="宋体" w:hAnsi="宋体" w:cs="宋体"/>
          <w:color w:val="auto"/>
          <w:highlight w:val="none"/>
          <w:u w:val="single"/>
        </w:rPr>
        <w:t xml:space="preserve">                   </w:t>
      </w:r>
    </w:p>
    <w:p w14:paraId="74534ECB">
      <w:pPr>
        <w:adjustRightInd w:val="0"/>
        <w:snapToGrid w:val="0"/>
        <w:spacing w:line="360" w:lineRule="auto"/>
        <w:rPr>
          <w:rFonts w:hint="eastAsia" w:ascii="宋体" w:hAnsi="宋体" w:cs="宋体"/>
          <w:b/>
          <w:color w:val="auto"/>
          <w:highlight w:val="none"/>
        </w:rPr>
      </w:pPr>
      <w:r>
        <w:rPr>
          <w:rFonts w:hint="eastAsia" w:ascii="宋体" w:hAnsi="宋体" w:cs="宋体"/>
          <w:color w:val="auto"/>
          <w:highlight w:val="none"/>
        </w:rPr>
        <w:t>账  号：</w:t>
      </w:r>
      <w:r>
        <w:rPr>
          <w:rFonts w:hint="eastAsia" w:ascii="宋体" w:hAnsi="宋体" w:cs="宋体"/>
          <w:color w:val="auto"/>
          <w:highlight w:val="none"/>
          <w:u w:val="single"/>
        </w:rPr>
        <w:t xml:space="preserve">                 </w:t>
      </w:r>
      <w:r>
        <w:rPr>
          <w:rFonts w:hint="eastAsia" w:ascii="宋体" w:hAnsi="宋体" w:cs="宋体"/>
          <w:color w:val="auto"/>
          <w:highlight w:val="none"/>
        </w:rPr>
        <w:t xml:space="preserve">                账  号：</w:t>
      </w:r>
      <w:r>
        <w:rPr>
          <w:rFonts w:hint="eastAsia" w:ascii="宋体" w:hAnsi="宋体" w:cs="宋体"/>
          <w:color w:val="auto"/>
          <w:highlight w:val="none"/>
          <w:u w:val="single"/>
        </w:rPr>
        <w:t xml:space="preserve">                     </w:t>
      </w:r>
    </w:p>
    <w:p w14:paraId="2B40B222">
      <w:pPr>
        <w:spacing w:line="360" w:lineRule="auto"/>
        <w:outlineLvl w:val="1"/>
        <w:rPr>
          <w:rFonts w:ascii="宋体" w:hAnsi="宋体" w:cs="宋体"/>
          <w:b/>
          <w:color w:val="auto"/>
          <w:highlight w:val="none"/>
        </w:rPr>
        <w:sectPr>
          <w:footnotePr>
            <w:numFmt w:val="decimalEnclosedCircleChinese"/>
            <w:numRestart w:val="eachPage"/>
          </w:footnotePr>
          <w:pgSz w:w="11907" w:h="16840"/>
          <w:pgMar w:top="1474" w:right="1474" w:bottom="1474" w:left="1474" w:header="799" w:footer="907" w:gutter="0"/>
          <w:pgNumType w:fmt="numberInDash"/>
          <w:cols w:space="720" w:num="1"/>
          <w:docGrid w:linePitch="271" w:charSpace="0"/>
        </w:sectPr>
      </w:pPr>
    </w:p>
    <w:p w14:paraId="7CC0830C">
      <w:pPr>
        <w:spacing w:line="360" w:lineRule="auto"/>
        <w:outlineLvl w:val="1"/>
        <w:rPr>
          <w:rFonts w:hint="eastAsia" w:ascii="宋体" w:hAnsi="宋体" w:cs="宋体"/>
          <w:b/>
          <w:color w:val="auto"/>
          <w:highlight w:val="none"/>
        </w:rPr>
      </w:pPr>
      <w:r>
        <w:rPr>
          <w:rFonts w:hint="eastAsia" w:ascii="宋体" w:hAnsi="宋体" w:cs="宋体"/>
          <w:b/>
          <w:color w:val="auto"/>
          <w:highlight w:val="none"/>
        </w:rPr>
        <w:t>附件</w:t>
      </w:r>
    </w:p>
    <w:p w14:paraId="0C6159B6">
      <w:pPr>
        <w:spacing w:line="360" w:lineRule="auto"/>
        <w:rPr>
          <w:rFonts w:hint="eastAsia" w:ascii="宋体" w:hAnsi="宋体" w:cs="宋体"/>
          <w:color w:val="auto"/>
          <w:highlight w:val="none"/>
        </w:rPr>
      </w:pPr>
      <w:r>
        <w:rPr>
          <w:rFonts w:hint="eastAsia" w:ascii="宋体" w:hAnsi="宋体" w:cs="宋体"/>
          <w:color w:val="auto"/>
          <w:highlight w:val="none"/>
        </w:rPr>
        <w:t>协议书附件：</w:t>
      </w:r>
    </w:p>
    <w:p w14:paraId="57363DDB">
      <w:pPr>
        <w:spacing w:line="360" w:lineRule="auto"/>
        <w:rPr>
          <w:rFonts w:hint="eastAsia" w:ascii="宋体" w:hAnsi="宋体" w:cs="宋体"/>
          <w:color w:val="auto"/>
          <w:highlight w:val="none"/>
        </w:rPr>
      </w:pPr>
      <w:r>
        <w:rPr>
          <w:rFonts w:hint="eastAsia" w:ascii="宋体" w:hAnsi="宋体" w:cs="宋体"/>
          <w:color w:val="auto"/>
          <w:highlight w:val="none"/>
        </w:rPr>
        <w:t>附件1：承包人承揽工程项目一览表</w:t>
      </w:r>
    </w:p>
    <w:p w14:paraId="337BD652">
      <w:pPr>
        <w:spacing w:line="360" w:lineRule="auto"/>
        <w:rPr>
          <w:rFonts w:hint="eastAsia" w:ascii="宋体" w:hAnsi="宋体" w:cs="宋体"/>
          <w:color w:val="auto"/>
          <w:highlight w:val="none"/>
        </w:rPr>
      </w:pPr>
      <w:r>
        <w:rPr>
          <w:rFonts w:hint="eastAsia" w:ascii="宋体" w:hAnsi="宋体" w:cs="宋体"/>
          <w:color w:val="auto"/>
          <w:highlight w:val="none"/>
        </w:rPr>
        <w:t>专用合同条款附件：</w:t>
      </w:r>
    </w:p>
    <w:p w14:paraId="460F3BAF">
      <w:pPr>
        <w:spacing w:line="360" w:lineRule="auto"/>
        <w:rPr>
          <w:rFonts w:hint="eastAsia" w:ascii="宋体" w:hAnsi="宋体" w:cs="宋体"/>
          <w:color w:val="auto"/>
          <w:highlight w:val="none"/>
        </w:rPr>
      </w:pPr>
      <w:r>
        <w:rPr>
          <w:rFonts w:hint="eastAsia" w:ascii="宋体" w:hAnsi="宋体" w:cs="宋体"/>
          <w:color w:val="auto"/>
          <w:highlight w:val="none"/>
        </w:rPr>
        <w:t>附件2：发包人供应材料设备一览表</w:t>
      </w:r>
    </w:p>
    <w:p w14:paraId="30999C46">
      <w:pPr>
        <w:spacing w:line="360" w:lineRule="auto"/>
        <w:rPr>
          <w:rFonts w:hint="eastAsia" w:ascii="宋体" w:hAnsi="宋体" w:cs="宋体"/>
          <w:color w:val="auto"/>
          <w:highlight w:val="none"/>
        </w:rPr>
      </w:pPr>
      <w:r>
        <w:rPr>
          <w:rFonts w:hint="eastAsia" w:ascii="宋体" w:hAnsi="宋体" w:cs="宋体"/>
          <w:color w:val="auto"/>
          <w:highlight w:val="none"/>
        </w:rPr>
        <w:t>附件3：工程质量保修书</w:t>
      </w:r>
    </w:p>
    <w:p w14:paraId="75A29641">
      <w:pPr>
        <w:spacing w:line="360" w:lineRule="auto"/>
        <w:rPr>
          <w:rFonts w:hint="eastAsia" w:ascii="宋体" w:hAnsi="宋体" w:cs="宋体"/>
          <w:color w:val="auto"/>
          <w:highlight w:val="none"/>
        </w:rPr>
      </w:pPr>
      <w:r>
        <w:rPr>
          <w:rFonts w:hint="eastAsia" w:ascii="宋体" w:hAnsi="宋体" w:cs="宋体"/>
          <w:color w:val="auto"/>
          <w:highlight w:val="none"/>
        </w:rPr>
        <w:t>附件4：主要建设工程文件目录</w:t>
      </w:r>
    </w:p>
    <w:p w14:paraId="19FB1FC6">
      <w:pPr>
        <w:spacing w:line="360" w:lineRule="auto"/>
        <w:rPr>
          <w:rFonts w:hint="eastAsia" w:ascii="宋体" w:hAnsi="宋体" w:cs="宋体"/>
          <w:color w:val="auto"/>
          <w:highlight w:val="none"/>
        </w:rPr>
      </w:pPr>
      <w:r>
        <w:rPr>
          <w:rFonts w:hint="eastAsia" w:ascii="宋体" w:hAnsi="宋体" w:cs="宋体"/>
          <w:color w:val="auto"/>
          <w:highlight w:val="none"/>
        </w:rPr>
        <w:t>附件5：承包人用于本工程施工的机械设备表</w:t>
      </w:r>
    </w:p>
    <w:p w14:paraId="464D42EF">
      <w:pPr>
        <w:spacing w:line="360" w:lineRule="auto"/>
        <w:rPr>
          <w:rFonts w:hint="eastAsia" w:ascii="宋体" w:hAnsi="宋体" w:cs="宋体"/>
          <w:color w:val="auto"/>
          <w:highlight w:val="none"/>
        </w:rPr>
      </w:pPr>
      <w:r>
        <w:rPr>
          <w:rFonts w:hint="eastAsia" w:ascii="宋体" w:hAnsi="宋体" w:cs="宋体"/>
          <w:color w:val="auto"/>
          <w:highlight w:val="none"/>
        </w:rPr>
        <w:t>附件6：承包人主要施工管理人员表</w:t>
      </w:r>
    </w:p>
    <w:p w14:paraId="55815A98">
      <w:pPr>
        <w:spacing w:line="360" w:lineRule="auto"/>
        <w:rPr>
          <w:rFonts w:hint="eastAsia" w:ascii="宋体" w:hAnsi="宋体" w:cs="宋体"/>
          <w:color w:val="auto"/>
          <w:highlight w:val="none"/>
        </w:rPr>
      </w:pPr>
      <w:r>
        <w:rPr>
          <w:rFonts w:hint="eastAsia" w:ascii="宋体" w:hAnsi="宋体" w:cs="宋体"/>
          <w:color w:val="auto"/>
          <w:highlight w:val="none"/>
        </w:rPr>
        <w:t>附件7：分包人主要施工管理人员表</w:t>
      </w:r>
    </w:p>
    <w:p w14:paraId="396C8073">
      <w:pPr>
        <w:spacing w:line="360" w:lineRule="auto"/>
        <w:rPr>
          <w:rFonts w:hint="eastAsia" w:ascii="宋体" w:hAnsi="宋体" w:cs="宋体"/>
          <w:color w:val="auto"/>
          <w:highlight w:val="none"/>
        </w:rPr>
      </w:pPr>
      <w:r>
        <w:rPr>
          <w:rFonts w:hint="eastAsia" w:ascii="宋体" w:hAnsi="宋体" w:cs="宋体"/>
          <w:color w:val="auto"/>
          <w:highlight w:val="none"/>
        </w:rPr>
        <w:t>附件8：廉政协议</w:t>
      </w:r>
    </w:p>
    <w:p w14:paraId="3A58998F">
      <w:pPr>
        <w:spacing w:line="360" w:lineRule="auto"/>
        <w:rPr>
          <w:rFonts w:hint="eastAsia" w:ascii="宋体" w:hAnsi="宋体" w:cs="宋体"/>
          <w:color w:val="auto"/>
          <w:highlight w:val="none"/>
        </w:rPr>
      </w:pPr>
      <w:r>
        <w:rPr>
          <w:rFonts w:hint="eastAsia" w:ascii="宋体" w:hAnsi="宋体" w:cs="宋体"/>
          <w:color w:val="auto"/>
          <w:highlight w:val="none"/>
        </w:rPr>
        <w:t>附件9：履约保证金格式</w:t>
      </w:r>
    </w:p>
    <w:p w14:paraId="50AA163A">
      <w:pPr>
        <w:spacing w:line="360" w:lineRule="auto"/>
        <w:rPr>
          <w:rFonts w:hint="eastAsia" w:ascii="宋体" w:hAnsi="宋体" w:cs="宋体"/>
          <w:color w:val="auto"/>
          <w:highlight w:val="none"/>
        </w:rPr>
      </w:pPr>
      <w:r>
        <w:rPr>
          <w:rFonts w:hint="eastAsia" w:ascii="宋体" w:hAnsi="宋体" w:cs="宋体"/>
          <w:color w:val="auto"/>
          <w:highlight w:val="none"/>
        </w:rPr>
        <w:t>附件10：支付担保格式</w:t>
      </w:r>
    </w:p>
    <w:p w14:paraId="06FA3E73">
      <w:pPr>
        <w:spacing w:line="360" w:lineRule="auto"/>
        <w:rPr>
          <w:rFonts w:hint="eastAsia" w:ascii="宋体" w:hAnsi="宋体" w:cs="宋体"/>
          <w:color w:val="auto"/>
          <w:highlight w:val="none"/>
        </w:rPr>
      </w:pPr>
      <w:r>
        <w:rPr>
          <w:rFonts w:hint="eastAsia" w:ascii="宋体" w:hAnsi="宋体" w:cs="宋体"/>
          <w:color w:val="auto"/>
          <w:highlight w:val="none"/>
        </w:rPr>
        <w:t>附件11：暂估价一览表</w:t>
      </w:r>
    </w:p>
    <w:p w14:paraId="62B4338B">
      <w:pPr>
        <w:spacing w:line="360" w:lineRule="auto"/>
        <w:rPr>
          <w:rFonts w:hint="eastAsia" w:ascii="宋体" w:hAnsi="宋体" w:cs="宋体"/>
          <w:color w:val="auto"/>
          <w:highlight w:val="none"/>
        </w:rPr>
      </w:pPr>
      <w:r>
        <w:rPr>
          <w:rFonts w:hint="eastAsia" w:ascii="宋体" w:hAnsi="宋体" w:cs="宋体"/>
          <w:color w:val="auto"/>
          <w:highlight w:val="none"/>
        </w:rPr>
        <w:t>附件12：安全生产合同</w:t>
      </w:r>
    </w:p>
    <w:p w14:paraId="2BE3A39F">
      <w:pPr>
        <w:spacing w:line="360" w:lineRule="auto"/>
        <w:rPr>
          <w:rFonts w:hint="eastAsia" w:ascii="宋体" w:hAnsi="宋体" w:cs="宋体"/>
          <w:color w:val="auto"/>
          <w:highlight w:val="none"/>
        </w:rPr>
      </w:pPr>
      <w:r>
        <w:rPr>
          <w:rFonts w:hint="eastAsia" w:ascii="宋体" w:hAnsi="宋体" w:cs="宋体"/>
          <w:color w:val="auto"/>
          <w:highlight w:val="none"/>
        </w:rPr>
        <w:t>附件13：项目经理质量终身责任制承诺</w:t>
      </w:r>
    </w:p>
    <w:p w14:paraId="7C8E521A">
      <w:pPr>
        <w:pStyle w:val="19"/>
        <w:ind w:left="0" w:leftChars="0" w:firstLine="0" w:firstLineChars="0"/>
        <w:rPr>
          <w:rFonts w:hint="eastAsia"/>
          <w:color w:val="auto"/>
          <w:highlight w:val="none"/>
        </w:rPr>
      </w:pPr>
      <w:r>
        <w:rPr>
          <w:rFonts w:hint="eastAsia"/>
          <w:color w:val="auto"/>
          <w:highlight w:val="none"/>
        </w:rPr>
        <w:t>附件14：联合体协议书（如有）</w:t>
      </w:r>
    </w:p>
    <w:p w14:paraId="55FDAA08">
      <w:pPr>
        <w:rPr>
          <w:rFonts w:hint="eastAsia"/>
          <w:color w:val="auto"/>
          <w:highlight w:val="none"/>
          <w:lang w:val="en-US" w:eastAsia="zh-CN"/>
        </w:rPr>
      </w:pPr>
      <w:r>
        <w:rPr>
          <w:rFonts w:hint="eastAsia"/>
          <w:color w:val="auto"/>
          <w:highlight w:val="none"/>
          <w:lang w:val="en-US" w:eastAsia="zh-CN"/>
        </w:rPr>
        <w:t xml:space="preserve">   </w:t>
      </w:r>
    </w:p>
    <w:p w14:paraId="52FA69B9">
      <w:pP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br w:type="page"/>
      </w:r>
    </w:p>
    <w:p w14:paraId="4CE2E1BB">
      <w:pPr>
        <w:snapToGrid w:val="0"/>
        <w:spacing w:line="500" w:lineRule="exact"/>
        <w:jc w:val="left"/>
        <w:rPr>
          <w:rFonts w:ascii="宋体" w:hAnsi="宋体" w:eastAsia="宋体" w:cs="宋体"/>
          <w:color w:val="auto"/>
          <w:highlight w:val="none"/>
        </w:rPr>
      </w:pPr>
      <w:r>
        <w:rPr>
          <w:rFonts w:hint="eastAsia" w:ascii="宋体" w:hAnsi="宋体" w:eastAsia="宋体" w:cs="宋体"/>
          <w:color w:val="auto"/>
          <w:highlight w:val="none"/>
        </w:rPr>
        <w:t>其他补充条款：</w:t>
      </w:r>
    </w:p>
    <w:p w14:paraId="7E03D4EC">
      <w:pPr>
        <w:spacing w:line="500" w:lineRule="exact"/>
        <w:jc w:val="left"/>
        <w:rPr>
          <w:rFonts w:ascii="宋体" w:hAnsi="宋体" w:eastAsia="宋体" w:cs="宋体"/>
          <w:color w:val="auto"/>
          <w:highlight w:val="none"/>
        </w:rPr>
      </w:pPr>
      <w:r>
        <w:rPr>
          <w:rFonts w:hint="eastAsia" w:ascii="宋体" w:hAnsi="宋体" w:eastAsia="宋体" w:cs="宋体"/>
          <w:color w:val="auto"/>
          <w:highlight w:val="none"/>
        </w:rPr>
        <w:t xml:space="preserve">1、本工程实行跟踪审计制度，审计师的职权：1）对工程量调整及变更、签证部分的造价提出意见，并确定该部分的工程量、材料、价格等。2）对进度款的支付提出审核意见。3）参与对隐蔽工程的验收，并做好相关台帐。4）对完工的单项工程及时开展资料整理和结算，对结算价格提出审计意见。5）对监理出具的有关单据进行再监督。  </w:t>
      </w:r>
    </w:p>
    <w:p w14:paraId="13918213">
      <w:pPr>
        <w:spacing w:line="500" w:lineRule="exact"/>
        <w:jc w:val="left"/>
        <w:rPr>
          <w:rFonts w:ascii="宋体" w:hAnsi="宋体" w:eastAsia="宋体" w:cs="宋体"/>
          <w:color w:val="auto"/>
          <w:highlight w:val="none"/>
        </w:rPr>
      </w:pPr>
      <w:r>
        <w:rPr>
          <w:rFonts w:hint="eastAsia" w:ascii="宋体" w:hAnsi="宋体" w:eastAsia="宋体" w:cs="宋体"/>
          <w:color w:val="auto"/>
          <w:highlight w:val="none"/>
        </w:rPr>
        <w:t xml:space="preserve">2、合同签订：中标通知书发出之日起，3个日历天内应委派代表与招标人联系办理履约担保并商讨书面合同签订等事宜；30个日历天内足额交纳履约保证金（投标保证金不能转为履约保证金）并根据招标文件和中标人的投标文件订立书面合同。中标人无正当理由拒签合同的，招标人将依据招投标相关法律法规进行处理；给招标人造成的损失，中标人还应当予以赔偿。 </w:t>
      </w:r>
    </w:p>
    <w:p w14:paraId="2D10C992">
      <w:pPr>
        <w:spacing w:line="500" w:lineRule="exact"/>
        <w:jc w:val="left"/>
        <w:rPr>
          <w:rFonts w:ascii="宋体" w:hAnsi="宋体" w:eastAsia="宋体" w:cs="宋体"/>
          <w:color w:val="auto"/>
          <w:highlight w:val="none"/>
        </w:rPr>
      </w:pPr>
      <w:r>
        <w:rPr>
          <w:rFonts w:hint="eastAsia" w:ascii="宋体" w:hAnsi="宋体" w:eastAsia="宋体" w:cs="宋体"/>
          <w:color w:val="auto"/>
          <w:highlight w:val="none"/>
        </w:rPr>
        <w:t xml:space="preserve">3、合同签订后30日内配合发包人完成施工许可证办理，否则，每延期一天承包人须承担5000元/天的违约金（因发包人原因除外），提前不奖励。中标单位中标后，配合发包人办理前期手续时，根据实际需要增设配备符合要求的注册建造师。 </w:t>
      </w:r>
    </w:p>
    <w:p w14:paraId="1CFAF1E7">
      <w:pPr>
        <w:spacing w:line="500" w:lineRule="exact"/>
        <w:jc w:val="left"/>
        <w:rPr>
          <w:rFonts w:ascii="宋体" w:hAnsi="宋体" w:eastAsia="宋体" w:cs="宋体"/>
          <w:color w:val="auto"/>
          <w:highlight w:val="none"/>
        </w:rPr>
      </w:pPr>
      <w:r>
        <w:rPr>
          <w:rFonts w:hint="eastAsia" w:ascii="宋体" w:hAnsi="宋体" w:eastAsia="宋体" w:cs="宋体"/>
          <w:color w:val="auto"/>
          <w:highlight w:val="none"/>
        </w:rPr>
        <w:t xml:space="preserve">4、进场考核考勤： </w:t>
      </w:r>
    </w:p>
    <w:p w14:paraId="65660991">
      <w:pPr>
        <w:spacing w:line="500" w:lineRule="exact"/>
        <w:jc w:val="left"/>
        <w:rPr>
          <w:rFonts w:ascii="宋体" w:hAnsi="宋体" w:eastAsia="宋体" w:cs="宋体"/>
          <w:color w:val="auto"/>
          <w:highlight w:val="none"/>
        </w:rPr>
      </w:pPr>
      <w:r>
        <w:rPr>
          <w:rFonts w:hint="eastAsia" w:ascii="宋体" w:hAnsi="宋体" w:eastAsia="宋体" w:cs="宋体"/>
          <w:color w:val="auto"/>
          <w:highlight w:val="none"/>
        </w:rPr>
        <w:t>4.1人员考核：工程开工进场后，承包人必须按招标文件要求和投标承诺配备项目经理、技术负责人等施工项目部关键岗位人员。未经发包人同意，不得更换上述人员并满足《关于进一步加强建筑施工现场项目负责人变更行为管理的通知》及滁州市其他相关规定要求。发包人将组织对上述人员进行业务能力考核，对未按投标文件配备或经考核不合格要求更换人员的，承包人7日 内必须整改调整到位。对项目经理（建造师）和技术负责人处以</w:t>
      </w:r>
      <w:r>
        <w:rPr>
          <w:rFonts w:hint="eastAsia" w:ascii="宋体" w:hAnsi="宋体" w:cs="宋体"/>
          <w:color w:val="auto"/>
          <w:highlight w:val="none"/>
          <w:lang w:val="en-US" w:eastAsia="zh-CN"/>
        </w:rPr>
        <w:t>5000</w:t>
      </w:r>
      <w:r>
        <w:rPr>
          <w:rFonts w:hint="eastAsia" w:ascii="宋体" w:hAnsi="宋体" w:eastAsia="宋体" w:cs="宋体"/>
          <w:color w:val="auto"/>
          <w:highlight w:val="none"/>
        </w:rPr>
        <w:t>元/人·天的违约金，对项目经理（建造师）和技术负责外以外的其他管理人员处以</w:t>
      </w:r>
      <w:r>
        <w:rPr>
          <w:rFonts w:hint="eastAsia" w:ascii="宋体" w:hAnsi="宋体" w:cs="宋体"/>
          <w:color w:val="auto"/>
          <w:highlight w:val="none"/>
          <w:lang w:val="en-US" w:eastAsia="zh-CN"/>
        </w:rPr>
        <w:t>3000</w:t>
      </w:r>
      <w:r>
        <w:rPr>
          <w:rFonts w:hint="eastAsia" w:ascii="宋体" w:hAnsi="宋体" w:eastAsia="宋体" w:cs="宋体"/>
          <w:color w:val="auto"/>
          <w:highlight w:val="none"/>
        </w:rPr>
        <w:t xml:space="preserve">元/人·天的违约金。28日内未整改调整到位的，发包人有权终止合同，并提请相关行政主管部门对企业和人员进行“黑名单”处罚。发包人在施工进场第一个月或施工过程中发现承包人转包、挂靠等行为的，发包人立即解除合同，清退出场，承包人已完合格工程量按合同价款60%进行结算。 </w:t>
      </w:r>
    </w:p>
    <w:p w14:paraId="21640464">
      <w:pPr>
        <w:spacing w:line="500" w:lineRule="exact"/>
        <w:jc w:val="left"/>
        <w:rPr>
          <w:rFonts w:ascii="宋体" w:hAnsi="宋体" w:eastAsia="宋体" w:cs="宋体"/>
          <w:color w:val="auto"/>
          <w:highlight w:val="none"/>
        </w:rPr>
      </w:pPr>
      <w:r>
        <w:rPr>
          <w:rFonts w:hint="eastAsia" w:ascii="宋体" w:hAnsi="宋体" w:eastAsia="宋体" w:cs="宋体"/>
          <w:color w:val="auto"/>
          <w:highlight w:val="none"/>
        </w:rPr>
        <w:t>4.2人员考勤：①项目部所有管理人员上下班实行人脸识别电子考勤，人脸识别电子考勤系统设备必须与招标人现行使用的监管平台无缝对接。②监管平台设备及人脸识别电子考勤系统设备，承包人可以租赁或购买，但租赁或购买费用由承包人在投标报价时自行考虑，含在投标报价中，招标人将不再支付任何费用。③监管平台考勤范围为本项目监理部和项目部所有管理人员，监管平台信息及数据录入（包括质量、进度、安全、施工许可办理等）均由监理单位负责。④项目经理（建造师）每月在岗时间不得少于22天，每天不少于8小时，其他管理人员每月在岗时间不得少于25天，每天不少于8小时。未按规定在岗履责的，对项目经理（建造师）和技术负责人处以</w:t>
      </w:r>
      <w:r>
        <w:rPr>
          <w:rFonts w:hint="eastAsia" w:ascii="宋体" w:hAnsi="宋体" w:cs="宋体"/>
          <w:color w:val="auto"/>
          <w:highlight w:val="none"/>
          <w:lang w:val="en-US" w:eastAsia="zh-CN"/>
        </w:rPr>
        <w:t>5000</w:t>
      </w:r>
      <w:r>
        <w:rPr>
          <w:rFonts w:hint="eastAsia" w:ascii="宋体" w:hAnsi="宋体" w:eastAsia="宋体" w:cs="宋体"/>
          <w:color w:val="auto"/>
          <w:highlight w:val="none"/>
        </w:rPr>
        <w:t>元/人·天的违约金，对项目经理（建造师）和技术负责外以外的其他管理人员处以</w:t>
      </w:r>
      <w:r>
        <w:rPr>
          <w:rFonts w:hint="eastAsia" w:ascii="宋体" w:hAnsi="宋体" w:cs="宋体"/>
          <w:color w:val="auto"/>
          <w:highlight w:val="none"/>
          <w:lang w:val="en-US" w:eastAsia="zh-CN"/>
        </w:rPr>
        <w:t>3000</w:t>
      </w:r>
      <w:r>
        <w:rPr>
          <w:rFonts w:hint="eastAsia" w:ascii="宋体" w:hAnsi="宋体" w:eastAsia="宋体" w:cs="宋体"/>
          <w:color w:val="auto"/>
          <w:highlight w:val="none"/>
        </w:rPr>
        <w:t xml:space="preserve">元/人·天的违约金。 </w:t>
      </w:r>
    </w:p>
    <w:p w14:paraId="34701152">
      <w:pPr>
        <w:spacing w:line="500" w:lineRule="exact"/>
        <w:jc w:val="left"/>
        <w:rPr>
          <w:rFonts w:ascii="宋体" w:hAnsi="宋体" w:eastAsia="宋体" w:cs="宋体"/>
          <w:color w:val="auto"/>
          <w:highlight w:val="none"/>
        </w:rPr>
      </w:pPr>
      <w:r>
        <w:rPr>
          <w:rFonts w:hint="eastAsia" w:ascii="宋体" w:hAnsi="宋体" w:eastAsia="宋体" w:cs="宋体"/>
          <w:color w:val="auto"/>
          <w:highlight w:val="none"/>
        </w:rPr>
        <w:t xml:space="preserve">4.3在经开区及各级相关部门现场检查过程中发现项目经理（建造师）、技术负责人、安全员、质检员等主要管理人员未按合同约定在岗三次及以上的，将上报建设行政主管部门依法依规处理，并在相关信用信息平台披露。 </w:t>
      </w:r>
    </w:p>
    <w:p w14:paraId="041566A1">
      <w:pPr>
        <w:spacing w:line="500" w:lineRule="exact"/>
        <w:jc w:val="left"/>
        <w:rPr>
          <w:rFonts w:ascii="宋体" w:hAnsi="宋体" w:eastAsia="宋体" w:cs="宋体"/>
          <w:color w:val="auto"/>
          <w:highlight w:val="none"/>
        </w:rPr>
      </w:pPr>
      <w:r>
        <w:rPr>
          <w:rFonts w:hint="eastAsia" w:ascii="宋体" w:hAnsi="宋体" w:eastAsia="宋体" w:cs="宋体"/>
          <w:color w:val="auto"/>
          <w:highlight w:val="none"/>
        </w:rPr>
        <w:t>4.4中标人未能按照承诺到岗尽职的，招标人将视情况严重程度对其作出相应处理，给予警告并发出整改通知。如仍未及时整改，招标人有权责令其停工整改、直至终止合同，招标人还将停止支付工程款项，扣留任何未付的工程进度款项补偿建设单位的有关损失或工期延误的损失，并就此向承包单位索赔。</w:t>
      </w:r>
    </w:p>
    <w:p w14:paraId="6E210383">
      <w:pPr>
        <w:spacing w:line="500" w:lineRule="exact"/>
        <w:jc w:val="left"/>
        <w:rPr>
          <w:rFonts w:ascii="宋体" w:hAnsi="宋体" w:eastAsia="宋体" w:cs="宋体"/>
          <w:color w:val="auto"/>
          <w:highlight w:val="none"/>
        </w:rPr>
      </w:pPr>
      <w:r>
        <w:rPr>
          <w:rFonts w:hint="eastAsia" w:ascii="宋体" w:hAnsi="宋体" w:eastAsia="宋体" w:cs="宋体"/>
          <w:color w:val="auto"/>
          <w:highlight w:val="none"/>
        </w:rPr>
        <w:t>5、工程进度管理</w:t>
      </w:r>
    </w:p>
    <w:p w14:paraId="6A50D07A">
      <w:pPr>
        <w:spacing w:line="500" w:lineRule="exact"/>
        <w:jc w:val="left"/>
        <w:rPr>
          <w:rFonts w:ascii="宋体" w:hAnsi="宋体" w:eastAsia="宋体" w:cs="宋体"/>
          <w:color w:val="auto"/>
          <w:highlight w:val="none"/>
        </w:rPr>
      </w:pPr>
      <w:r>
        <w:rPr>
          <w:rFonts w:hint="eastAsia" w:ascii="宋体" w:hAnsi="宋体" w:eastAsia="宋体" w:cs="宋体"/>
          <w:color w:val="auto"/>
          <w:highlight w:val="none"/>
        </w:rPr>
        <w:t>5.1工程有下列原因影响合同工期的，由承包人提出，经发包人批准可顺延合同工期：（1）土地和房屋征收进度不符合施工要求，涉铁路、涉部队、涉供电等影响施工；（2）因地震、洪涝灾害、突发重大事件等不可抗力影响施工；（3）因规划设计调整或重大变更，对工期造成影响的；（4）其它非承包人原因影响工期的。承包人未提出工期顺延的申请或申请未经批准的，工期不予顺延。</w:t>
      </w:r>
    </w:p>
    <w:p w14:paraId="213C6777">
      <w:pPr>
        <w:spacing w:line="500" w:lineRule="exact"/>
        <w:jc w:val="left"/>
        <w:rPr>
          <w:rFonts w:ascii="宋体" w:hAnsi="宋体" w:eastAsia="宋体" w:cs="宋体"/>
          <w:color w:val="auto"/>
          <w:highlight w:val="none"/>
        </w:rPr>
      </w:pPr>
      <w:r>
        <w:rPr>
          <w:rFonts w:hint="eastAsia" w:ascii="宋体" w:hAnsi="宋体" w:eastAsia="宋体" w:cs="宋体"/>
          <w:color w:val="auto"/>
          <w:highlight w:val="none"/>
        </w:rPr>
        <w:t>5.2因承包人原因造成合同工期延误，每延误一天，处以</w:t>
      </w:r>
      <w:r>
        <w:rPr>
          <w:rFonts w:hint="eastAsia" w:ascii="宋体" w:hAnsi="宋体" w:cs="宋体"/>
          <w:color w:val="auto"/>
          <w:highlight w:val="none"/>
          <w:lang w:val="en-US" w:eastAsia="zh-CN"/>
        </w:rPr>
        <w:t>10000</w:t>
      </w:r>
      <w:r>
        <w:rPr>
          <w:rFonts w:hint="eastAsia" w:ascii="宋体" w:hAnsi="宋体" w:eastAsia="宋体" w:cs="宋体"/>
          <w:color w:val="auto"/>
          <w:highlight w:val="none"/>
        </w:rPr>
        <w:t xml:space="preserve">元违约金。月工程量未完成的当期不得请款，当月未完成的工程量纳入下月一并完成，完不成的仍不予请款，依次类推。5.3对严重拖延工期，经发包人多次督促，承包人拒不整改或整改不到位的，招标人可终止施工合同，同时处以合同金额×2%×50%的金额作为违约金，另选施工队伍，承包人须无条件配合，不得以任何借口阻挠另选的施工队伍施工，不得向发包人提出任何索赔要求。 </w:t>
      </w:r>
    </w:p>
    <w:p w14:paraId="0734D8E0">
      <w:pPr>
        <w:spacing w:line="500" w:lineRule="exact"/>
        <w:jc w:val="left"/>
        <w:rPr>
          <w:rFonts w:ascii="宋体" w:hAnsi="宋体" w:eastAsia="宋体" w:cs="宋体"/>
          <w:color w:val="auto"/>
          <w:highlight w:val="none"/>
        </w:rPr>
      </w:pPr>
      <w:r>
        <w:rPr>
          <w:rFonts w:hint="eastAsia" w:ascii="宋体" w:hAnsi="宋体" w:eastAsia="宋体" w:cs="宋体"/>
          <w:color w:val="auto"/>
          <w:highlight w:val="none"/>
        </w:rPr>
        <w:t>6、工程质量管理</w:t>
      </w:r>
    </w:p>
    <w:p w14:paraId="080001D7">
      <w:pPr>
        <w:spacing w:line="500" w:lineRule="exact"/>
        <w:jc w:val="left"/>
        <w:rPr>
          <w:rFonts w:hint="eastAsia" w:ascii="宋体" w:hAnsi="宋体" w:eastAsia="宋体" w:cs="宋体"/>
          <w:color w:val="auto"/>
          <w:highlight w:val="none"/>
          <w:lang w:val="zh-CN"/>
        </w:rPr>
      </w:pPr>
      <w:r>
        <w:rPr>
          <w:rFonts w:hint="eastAsia" w:ascii="宋体" w:hAnsi="宋体" w:eastAsia="宋体" w:cs="宋体"/>
          <w:color w:val="auto"/>
          <w:highlight w:val="none"/>
        </w:rPr>
        <w:t>6.1</w:t>
      </w:r>
      <w:r>
        <w:rPr>
          <w:rFonts w:hint="eastAsia" w:ascii="宋体" w:hAnsi="宋体" w:eastAsia="宋体" w:cs="宋体"/>
          <w:color w:val="auto"/>
          <w:highlight w:val="none"/>
          <w:lang w:val="zh-CN"/>
        </w:rPr>
        <w:t>承包人被发包人项目组日常检查、专项检查或第三方巡查等检查出未按设计文件和相关规范施工，存在质量</w:t>
      </w:r>
      <w:r>
        <w:rPr>
          <w:rFonts w:hint="eastAsia" w:ascii="宋体" w:hAnsi="宋体" w:eastAsia="宋体" w:cs="宋体"/>
          <w:color w:val="auto"/>
          <w:highlight w:val="none"/>
        </w:rPr>
        <w:t>问题</w:t>
      </w:r>
      <w:r>
        <w:rPr>
          <w:rFonts w:hint="eastAsia" w:ascii="宋体" w:hAnsi="宋体" w:eastAsia="宋体" w:cs="宋体"/>
          <w:color w:val="auto"/>
          <w:highlight w:val="none"/>
          <w:lang w:val="zh-CN"/>
        </w:rPr>
        <w:t>的，</w:t>
      </w:r>
      <w:r>
        <w:rPr>
          <w:rFonts w:hint="eastAsia" w:ascii="宋体" w:hAnsi="宋体" w:eastAsia="宋体" w:cs="宋体"/>
          <w:color w:val="auto"/>
          <w:highlight w:val="none"/>
        </w:rPr>
        <w:t>由监理单位记录错误细节，每次处以2000元罚款，直接纳入近期付款申请兑现。</w:t>
      </w:r>
    </w:p>
    <w:p w14:paraId="6B83D2E9">
      <w:pPr>
        <w:spacing w:line="500" w:lineRule="exact"/>
        <w:jc w:val="left"/>
        <w:rPr>
          <w:rFonts w:hint="eastAsia" w:ascii="宋体" w:hAnsi="宋体" w:eastAsia="宋体" w:cs="宋体"/>
          <w:color w:val="auto"/>
          <w:highlight w:val="none"/>
        </w:rPr>
      </w:pPr>
      <w:r>
        <w:rPr>
          <w:rFonts w:hint="eastAsia" w:ascii="宋体" w:hAnsi="宋体" w:eastAsia="宋体" w:cs="宋体"/>
          <w:color w:val="auto"/>
          <w:highlight w:val="none"/>
        </w:rPr>
        <w:t xml:space="preserve">6.2质量缺陷责任期内出现质量问题，发包人书面通知承包人，在规定时间内不及时处理的，发包人有权直接委托其他单位进行维修，相关费用直接从工程质保金中支付。 </w:t>
      </w:r>
    </w:p>
    <w:p w14:paraId="33E79B2E">
      <w:pPr>
        <w:spacing w:line="500" w:lineRule="exact"/>
        <w:jc w:val="left"/>
        <w:rPr>
          <w:rFonts w:ascii="宋体" w:hAnsi="宋体" w:eastAsia="宋体" w:cs="宋体"/>
          <w:color w:val="auto"/>
          <w:highlight w:val="none"/>
        </w:rPr>
      </w:pPr>
      <w:r>
        <w:rPr>
          <w:rFonts w:hint="eastAsia" w:ascii="宋体" w:hAnsi="宋体" w:eastAsia="宋体" w:cs="宋体"/>
          <w:color w:val="auto"/>
          <w:highlight w:val="none"/>
        </w:rPr>
        <w:t>7、安全文明管理</w:t>
      </w:r>
    </w:p>
    <w:p w14:paraId="498648CD">
      <w:pPr>
        <w:spacing w:line="500" w:lineRule="exact"/>
        <w:jc w:val="left"/>
        <w:rPr>
          <w:rFonts w:ascii="宋体" w:hAnsi="宋体" w:eastAsia="宋体" w:cs="宋体"/>
          <w:color w:val="auto"/>
          <w:highlight w:val="none"/>
        </w:rPr>
      </w:pPr>
      <w:r>
        <w:rPr>
          <w:rFonts w:hint="eastAsia" w:ascii="宋体" w:hAnsi="宋体" w:eastAsia="宋体" w:cs="宋体"/>
          <w:color w:val="auto"/>
          <w:highlight w:val="none"/>
        </w:rPr>
        <w:t xml:space="preserve">7.1承包人必须确保安全文明施工，严格执行国家、安徽省、滁州市的相关规定，同时遵守建设单位对安全文明施工的相关要求。经检查，达不到相关规定和要求的，由项目组及时下发整改通知书，拒不整改或限期整改不到位的，处以承包人2000元/项/次的违约金。施工现场卫生保洁自开工之日起至工程竣工移交结束，切实做好项目管理人员和工人宿舍安全、卫生工作。 </w:t>
      </w:r>
    </w:p>
    <w:p w14:paraId="0423A7AF">
      <w:pPr>
        <w:spacing w:line="500" w:lineRule="exact"/>
        <w:jc w:val="left"/>
        <w:rPr>
          <w:rFonts w:ascii="宋体" w:hAnsi="宋体" w:eastAsia="宋体" w:cs="宋体"/>
          <w:color w:val="auto"/>
          <w:highlight w:val="none"/>
        </w:rPr>
      </w:pPr>
      <w:r>
        <w:rPr>
          <w:rFonts w:hint="eastAsia" w:ascii="宋体" w:hAnsi="宋体" w:eastAsia="宋体" w:cs="宋体"/>
          <w:color w:val="auto"/>
          <w:highlight w:val="none"/>
        </w:rPr>
        <w:t xml:space="preserve">7.2按关于印发《滁州市建筑工地围挡提档升级标准》的通知（建质﹝2022﹞34 号文）执行。 </w:t>
      </w:r>
    </w:p>
    <w:p w14:paraId="6C4A2C69">
      <w:pPr>
        <w:spacing w:line="500" w:lineRule="exact"/>
        <w:jc w:val="left"/>
        <w:rPr>
          <w:rFonts w:ascii="宋体" w:hAnsi="宋体" w:eastAsia="宋体" w:cs="宋体"/>
          <w:color w:val="auto"/>
          <w:highlight w:val="none"/>
        </w:rPr>
      </w:pPr>
      <w:r>
        <w:rPr>
          <w:rFonts w:hint="eastAsia" w:ascii="宋体" w:hAnsi="宋体" w:eastAsia="宋体" w:cs="宋体"/>
          <w:color w:val="auto"/>
          <w:highlight w:val="none"/>
        </w:rPr>
        <w:t>8、扬尘治理</w:t>
      </w:r>
    </w:p>
    <w:p w14:paraId="0EE22690">
      <w:pPr>
        <w:spacing w:line="500" w:lineRule="exact"/>
        <w:jc w:val="left"/>
        <w:rPr>
          <w:rFonts w:ascii="宋体" w:hAnsi="宋体" w:eastAsia="宋体" w:cs="宋体"/>
          <w:color w:val="auto"/>
          <w:highlight w:val="none"/>
        </w:rPr>
      </w:pPr>
      <w:r>
        <w:rPr>
          <w:rFonts w:hint="eastAsia" w:ascii="宋体" w:hAnsi="宋体" w:eastAsia="宋体" w:cs="宋体"/>
          <w:color w:val="auto"/>
          <w:highlight w:val="none"/>
        </w:rPr>
        <w:t xml:space="preserve">8.1严格执行《安徽省建筑工程施工扬尘污染防治规定》、《滁州市城市扬尘管理办法》和《滁州市建筑工程施工扬尘污染防治实施细则》等相关规定。对违反规定或经检查达不到规定和要求，被相关部门批评、曝光、通报的，处以承包人 10000 元/次的违约金。 </w:t>
      </w:r>
    </w:p>
    <w:p w14:paraId="2442E0DF">
      <w:pPr>
        <w:spacing w:line="500" w:lineRule="exact"/>
        <w:jc w:val="left"/>
        <w:rPr>
          <w:rFonts w:ascii="宋体" w:hAnsi="宋体" w:eastAsia="宋体" w:cs="宋体"/>
          <w:color w:val="auto"/>
          <w:highlight w:val="none"/>
        </w:rPr>
      </w:pPr>
      <w:r>
        <w:rPr>
          <w:rFonts w:hint="eastAsia" w:ascii="宋体" w:hAnsi="宋体" w:eastAsia="宋体" w:cs="宋体"/>
          <w:color w:val="auto"/>
          <w:highlight w:val="none"/>
        </w:rPr>
        <w:t>9、农民工工资支付</w:t>
      </w:r>
    </w:p>
    <w:p w14:paraId="7EB64DC6">
      <w:pPr>
        <w:spacing w:line="500" w:lineRule="exact"/>
        <w:jc w:val="left"/>
        <w:rPr>
          <w:rFonts w:ascii="宋体" w:hAnsi="宋体" w:eastAsia="宋体" w:cs="宋体"/>
          <w:color w:val="auto"/>
          <w:highlight w:val="none"/>
        </w:rPr>
      </w:pPr>
      <w:r>
        <w:rPr>
          <w:rFonts w:hint="eastAsia" w:ascii="宋体" w:hAnsi="宋体" w:eastAsia="宋体" w:cs="宋体"/>
          <w:color w:val="auto"/>
          <w:highlight w:val="none"/>
        </w:rPr>
        <w:t xml:space="preserve">9.1承包人在工程实施过程中的用工行为，必须严格按照《保障农民工工资支付条例》（国务院令 第 724 号）、《安徽省人民政府办公厅关于全面治理拖欠农民工工资问题的实施意见》（皖政办〔2016〕22 号）以及《贯彻落实&lt;工程建设领域农民工工资专用账户管理暂行办法&gt;的通知》（皖人社发〔2022〕5 号）、《安徽省工程建设领域农民工工资保证金实施办法》（皖人社发 〔2022〕8号）等文件精神的有关规定，依法与招用的农民工签订劳动合同，并按规定及时足额支付工资。 </w:t>
      </w:r>
    </w:p>
    <w:p w14:paraId="078D5163">
      <w:pPr>
        <w:spacing w:line="500" w:lineRule="exact"/>
        <w:jc w:val="left"/>
        <w:rPr>
          <w:rFonts w:ascii="宋体" w:hAnsi="宋体" w:eastAsia="宋体" w:cs="宋体"/>
          <w:color w:val="auto"/>
          <w:highlight w:val="none"/>
        </w:rPr>
      </w:pPr>
      <w:r>
        <w:rPr>
          <w:rFonts w:hint="eastAsia" w:ascii="宋体" w:hAnsi="宋体" w:eastAsia="宋体" w:cs="宋体"/>
          <w:color w:val="auto"/>
          <w:highlight w:val="none"/>
        </w:rPr>
        <w:t xml:space="preserve">9.2执行《关于进一步完善工程建设领域农民工工资保证金和农民工工资（劳务费）专户管理制度的实施意见》滁人社发【2019】21号，其中工资保证金和工资专户按照工程项目所在地实行属地化管理，由工程建设项目的施工总承包企业（包括直接承包建设单位发包工程的专业承包企业）缴存和开设。若为联合体中标， 由联合体中牵头人缴存和开设专户。承包人应严格遵守《政府投资工程农民工工资信访管理办法（试行）》的相关规定。 </w:t>
      </w:r>
    </w:p>
    <w:p w14:paraId="2369AC93">
      <w:pPr>
        <w:spacing w:line="500" w:lineRule="exact"/>
        <w:jc w:val="left"/>
        <w:rPr>
          <w:rFonts w:ascii="宋体" w:hAnsi="宋体" w:eastAsia="宋体" w:cs="宋体"/>
          <w:color w:val="auto"/>
          <w:highlight w:val="none"/>
        </w:rPr>
      </w:pPr>
      <w:r>
        <w:rPr>
          <w:rFonts w:hint="eastAsia" w:ascii="宋体" w:hAnsi="宋体" w:eastAsia="宋体" w:cs="宋体"/>
          <w:color w:val="auto"/>
          <w:highlight w:val="none"/>
        </w:rPr>
        <w:t>（1）凡到市经开区上访，滞留时间半个工作日（不足半个工作日以半个工作日计算），工程款支付比例在 30%-40%（含）的，按每人每半个工作日 200 元的标准给予处罚，每增加工程款支付比例 10%，每人每半个工作日处罚标准增加 100 元，依此类推。</w:t>
      </w:r>
    </w:p>
    <w:p w14:paraId="355F094B">
      <w:pPr>
        <w:spacing w:line="500" w:lineRule="exact"/>
        <w:jc w:val="left"/>
        <w:rPr>
          <w:rFonts w:ascii="宋体" w:hAnsi="宋体" w:eastAsia="宋体" w:cs="宋体"/>
          <w:color w:val="auto"/>
          <w:highlight w:val="none"/>
        </w:rPr>
      </w:pPr>
      <w:r>
        <w:rPr>
          <w:rFonts w:hint="eastAsia" w:ascii="宋体" w:hAnsi="宋体" w:eastAsia="宋体" w:cs="宋体"/>
          <w:color w:val="auto"/>
          <w:highlight w:val="none"/>
        </w:rPr>
        <w:t>（2）凡赴市政府或市根治办上访，滞留时间半个工作日（不足半个工作日以半个工作日计算），工程款支付比例在30%-40%（含）的，按每人每半个工作日 400 元的标准给予处罚，每增加工程款支付比例 10%，每人每半个工作日处罚标准增加 200 元，依此类推。</w:t>
      </w:r>
    </w:p>
    <w:p w14:paraId="17EC8D3E">
      <w:pPr>
        <w:spacing w:line="500" w:lineRule="exact"/>
        <w:jc w:val="left"/>
        <w:rPr>
          <w:rFonts w:ascii="宋体" w:hAnsi="宋体" w:eastAsia="宋体" w:cs="宋体"/>
          <w:color w:val="auto"/>
          <w:highlight w:val="none"/>
        </w:rPr>
      </w:pPr>
      <w:r>
        <w:rPr>
          <w:rFonts w:hint="eastAsia" w:ascii="宋体" w:hAnsi="宋体" w:eastAsia="宋体" w:cs="宋体"/>
          <w:color w:val="auto"/>
          <w:highlight w:val="none"/>
        </w:rPr>
        <w:t>（3）凡赴省政府上访，滞留时间半个工作日（不足半个工作日以半个工作日计算），工程款支付比例在 30%-40%（含）的，按每人每半个工作日 600 元的标准给予处罚，每增加工程款支付比例 10%，每人每半个工作日处罚标准增加 300 元，依此类推。</w:t>
      </w:r>
    </w:p>
    <w:p w14:paraId="5C8ED146">
      <w:pPr>
        <w:spacing w:line="500" w:lineRule="exact"/>
        <w:jc w:val="left"/>
        <w:rPr>
          <w:rFonts w:ascii="宋体" w:hAnsi="宋体" w:eastAsia="宋体" w:cs="宋体"/>
          <w:color w:val="auto"/>
          <w:highlight w:val="none"/>
        </w:rPr>
      </w:pPr>
      <w:r>
        <w:rPr>
          <w:rFonts w:hint="eastAsia" w:ascii="宋体" w:hAnsi="宋体" w:eastAsia="宋体" w:cs="宋体"/>
          <w:color w:val="auto"/>
          <w:highlight w:val="none"/>
        </w:rPr>
        <w:t>10、现场管理</w:t>
      </w:r>
    </w:p>
    <w:p w14:paraId="328B661A">
      <w:pPr>
        <w:spacing w:line="500" w:lineRule="exact"/>
        <w:jc w:val="left"/>
        <w:rPr>
          <w:rFonts w:ascii="宋体" w:hAnsi="宋体" w:eastAsia="宋体" w:cs="宋体"/>
          <w:color w:val="auto"/>
          <w:highlight w:val="none"/>
        </w:rPr>
      </w:pPr>
      <w:r>
        <w:rPr>
          <w:rFonts w:hint="eastAsia" w:ascii="宋体" w:hAnsi="宋体" w:eastAsia="宋体" w:cs="宋体"/>
          <w:color w:val="auto"/>
          <w:highlight w:val="none"/>
        </w:rPr>
        <w:t>10.1</w:t>
      </w:r>
      <w:r>
        <w:rPr>
          <w:rFonts w:hint="eastAsia" w:ascii="宋体" w:hAnsi="宋体" w:eastAsia="宋体" w:cs="宋体"/>
          <w:color w:val="auto"/>
          <w:highlight w:val="none"/>
          <w:lang w:val="zh-CN"/>
        </w:rPr>
        <w:t>施工过程中，除临时办公、管理用房（施工进场前建设单位有权指定其具体位置）外，其他人员一律不得住施工现场；若发现上述问题，项目经理（建造师）负责组织、管理及清理出场。</w:t>
      </w:r>
      <w:r>
        <w:rPr>
          <w:rFonts w:hint="eastAsia" w:ascii="宋体" w:hAnsi="宋体" w:eastAsia="宋体" w:cs="宋体"/>
          <w:color w:val="auto"/>
          <w:highlight w:val="none"/>
        </w:rPr>
        <w:t xml:space="preserve"> </w:t>
      </w:r>
    </w:p>
    <w:p w14:paraId="08C6DC4B">
      <w:pPr>
        <w:spacing w:line="500" w:lineRule="exact"/>
        <w:jc w:val="left"/>
        <w:rPr>
          <w:rFonts w:ascii="宋体" w:hAnsi="宋体" w:eastAsia="宋体" w:cs="宋体"/>
          <w:color w:val="auto"/>
          <w:highlight w:val="none"/>
        </w:rPr>
      </w:pPr>
      <w:r>
        <w:rPr>
          <w:rFonts w:hint="eastAsia" w:ascii="宋体" w:hAnsi="宋体" w:eastAsia="宋体" w:cs="宋体"/>
          <w:color w:val="auto"/>
          <w:highlight w:val="none"/>
        </w:rPr>
        <w:t>10.2</w:t>
      </w:r>
      <w:r>
        <w:rPr>
          <w:rFonts w:hint="eastAsia" w:ascii="宋体" w:hAnsi="宋体" w:eastAsia="宋体" w:cs="宋体"/>
          <w:color w:val="auto"/>
          <w:highlight w:val="none"/>
          <w:lang w:val="zh-CN"/>
        </w:rPr>
        <w:t xml:space="preserve">投标人自行勘察施工现场情况，因投标人未踏勘现场而造成的损失由投标人承担。 </w:t>
      </w:r>
      <w:r>
        <w:rPr>
          <w:rFonts w:hint="eastAsia" w:ascii="宋体" w:hAnsi="宋体" w:eastAsia="宋体" w:cs="宋体"/>
          <w:color w:val="auto"/>
          <w:highlight w:val="none"/>
        </w:rPr>
        <w:t xml:space="preserve"> </w:t>
      </w:r>
    </w:p>
    <w:p w14:paraId="0933E724">
      <w:pPr>
        <w:spacing w:line="500" w:lineRule="exact"/>
        <w:jc w:val="left"/>
        <w:rPr>
          <w:rFonts w:ascii="宋体" w:hAnsi="宋体" w:eastAsia="宋体" w:cs="宋体"/>
          <w:color w:val="auto"/>
          <w:highlight w:val="none"/>
        </w:rPr>
      </w:pPr>
      <w:r>
        <w:rPr>
          <w:rFonts w:hint="eastAsia" w:ascii="宋体" w:hAnsi="宋体" w:eastAsia="宋体" w:cs="宋体"/>
          <w:color w:val="auto"/>
          <w:highlight w:val="none"/>
        </w:rPr>
        <w:t>10.3</w:t>
      </w:r>
      <w:r>
        <w:rPr>
          <w:rFonts w:hint="eastAsia" w:ascii="宋体" w:hAnsi="宋体" w:eastAsia="宋体" w:cs="宋体"/>
          <w:color w:val="auto"/>
          <w:highlight w:val="none"/>
          <w:lang w:val="zh-CN"/>
        </w:rPr>
        <w:t>投标人在标前应自行踏勘现场，充分考虑难度系数和不可预见因素。施工期间的协调工作由承包人自行解决，此部分费用包含在投标报价中。</w:t>
      </w:r>
      <w:r>
        <w:rPr>
          <w:rFonts w:hint="eastAsia" w:ascii="宋体" w:hAnsi="宋体" w:eastAsia="宋体" w:cs="宋体"/>
          <w:color w:val="auto"/>
          <w:highlight w:val="none"/>
        </w:rPr>
        <w:t xml:space="preserve"> </w:t>
      </w:r>
    </w:p>
    <w:p w14:paraId="4DD26296">
      <w:pPr>
        <w:spacing w:line="500" w:lineRule="exact"/>
        <w:jc w:val="left"/>
        <w:rPr>
          <w:rFonts w:hint="eastAsia" w:ascii="宋体" w:hAnsi="宋体" w:eastAsia="宋体" w:cs="宋体"/>
          <w:color w:val="auto"/>
          <w:highlight w:val="none"/>
          <w:lang w:val="zh-CN"/>
        </w:rPr>
      </w:pPr>
      <w:r>
        <w:rPr>
          <w:rFonts w:hint="eastAsia" w:ascii="宋体" w:hAnsi="宋体" w:eastAsia="宋体" w:cs="宋体"/>
          <w:color w:val="auto"/>
          <w:highlight w:val="none"/>
        </w:rPr>
        <w:t>10.4</w:t>
      </w:r>
      <w:r>
        <w:rPr>
          <w:rFonts w:hint="eastAsia" w:ascii="宋体" w:hAnsi="宋体" w:eastAsia="宋体" w:cs="宋体"/>
          <w:color w:val="auto"/>
          <w:highlight w:val="none"/>
          <w:lang w:val="zh-CN"/>
        </w:rPr>
        <w:t>施工现场和取、弃土场内的施工便道、机械整平以及协调渣土、环保等相关部门办理相关手续、缴纳保证金及费用等由投标</w:t>
      </w:r>
      <w:r>
        <w:rPr>
          <w:rFonts w:hint="eastAsia" w:ascii="宋体" w:hAnsi="宋体" w:eastAsia="宋体" w:cs="宋体"/>
          <w:color w:val="auto"/>
          <w:highlight w:val="none"/>
        </w:rPr>
        <w:t>人</w:t>
      </w:r>
      <w:r>
        <w:rPr>
          <w:rFonts w:hint="eastAsia" w:ascii="宋体" w:hAnsi="宋体" w:eastAsia="宋体" w:cs="宋体"/>
          <w:color w:val="auto"/>
          <w:highlight w:val="none"/>
          <w:lang w:val="zh-CN"/>
        </w:rPr>
        <w:t>自行承担，此部分费用包含在投标报价中。施工渣土、淤泥、建筑垃圾等弃置点需经相关部门批准并报发包人备案后，方可施工，</w:t>
      </w:r>
      <w:r>
        <w:rPr>
          <w:rFonts w:hint="eastAsia" w:ascii="宋体" w:hAnsi="宋体" w:eastAsia="宋体" w:cs="宋体"/>
          <w:color w:val="auto"/>
          <w:highlight w:val="none"/>
          <w:lang w:val="zh-CN" w:eastAsia="zh-CN"/>
        </w:rPr>
        <w:t>不得弃在施工区域500M范围内。</w:t>
      </w:r>
      <w:r>
        <w:rPr>
          <w:rFonts w:hint="eastAsia" w:ascii="宋体" w:hAnsi="宋体" w:eastAsia="宋体" w:cs="宋体"/>
          <w:color w:val="auto"/>
          <w:highlight w:val="none"/>
          <w:lang w:val="zh-CN"/>
        </w:rPr>
        <w:t>严禁违规倾倒堆存。否则，责任自负。</w:t>
      </w:r>
    </w:p>
    <w:p w14:paraId="26392647">
      <w:pPr>
        <w:spacing w:line="500" w:lineRule="exact"/>
        <w:jc w:val="left"/>
        <w:rPr>
          <w:rFonts w:ascii="宋体" w:hAnsi="宋体" w:eastAsia="宋体" w:cs="宋体"/>
          <w:color w:val="auto"/>
          <w:highlight w:val="none"/>
        </w:rPr>
      </w:pPr>
      <w:r>
        <w:rPr>
          <w:rFonts w:hint="eastAsia" w:ascii="宋体" w:hAnsi="宋体" w:eastAsia="宋体" w:cs="宋体"/>
          <w:color w:val="auto"/>
          <w:highlight w:val="none"/>
        </w:rPr>
        <w:t>10.5</w:t>
      </w:r>
      <w:r>
        <w:rPr>
          <w:rFonts w:hint="eastAsia" w:ascii="宋体" w:hAnsi="宋体" w:eastAsia="宋体" w:cs="宋体"/>
          <w:color w:val="auto"/>
          <w:highlight w:val="none"/>
          <w:lang w:val="zh-CN"/>
        </w:rPr>
        <w:t>施工过程中，严格执行国家及地方针对环保、禁噪、防尘、防护等措施，必须满足当地行政主管部门相关规定及要求。</w:t>
      </w:r>
      <w:r>
        <w:rPr>
          <w:rFonts w:hint="eastAsia" w:ascii="宋体" w:hAnsi="宋体" w:eastAsia="宋体" w:cs="宋体"/>
          <w:color w:val="auto"/>
          <w:highlight w:val="none"/>
        </w:rPr>
        <w:t xml:space="preserve"> </w:t>
      </w:r>
    </w:p>
    <w:p w14:paraId="24605A22">
      <w:pPr>
        <w:spacing w:line="500" w:lineRule="exact"/>
        <w:jc w:val="left"/>
        <w:rPr>
          <w:rFonts w:ascii="宋体" w:hAnsi="宋体" w:eastAsia="宋体" w:cs="宋体"/>
          <w:color w:val="auto"/>
          <w:highlight w:val="none"/>
        </w:rPr>
      </w:pPr>
      <w:r>
        <w:rPr>
          <w:rFonts w:hint="eastAsia" w:ascii="宋体" w:hAnsi="宋体" w:eastAsia="宋体" w:cs="宋体"/>
          <w:color w:val="auto"/>
          <w:highlight w:val="none"/>
        </w:rPr>
        <w:t>10.6</w:t>
      </w:r>
      <w:r>
        <w:rPr>
          <w:rFonts w:hint="eastAsia" w:ascii="宋体" w:hAnsi="宋体" w:eastAsia="宋体" w:cs="宋体"/>
          <w:color w:val="auto"/>
          <w:highlight w:val="none"/>
          <w:lang w:val="zh-CN"/>
        </w:rPr>
        <w:t>施工场地及周边场地、道路、绿化、管线、设施设备等，若被施工方（中标人）损坏，施工方（中标人）必须无偿按照原貌恢复。</w:t>
      </w:r>
    </w:p>
    <w:p w14:paraId="067B9AC0">
      <w:pPr>
        <w:spacing w:line="500" w:lineRule="exact"/>
        <w:jc w:val="left"/>
        <w:rPr>
          <w:rFonts w:ascii="宋体" w:hAnsi="宋体" w:eastAsia="宋体" w:cs="宋体"/>
          <w:color w:val="auto"/>
          <w:highlight w:val="none"/>
        </w:rPr>
      </w:pPr>
      <w:r>
        <w:rPr>
          <w:rFonts w:hint="eastAsia" w:ascii="宋体" w:hAnsi="宋体" w:eastAsia="宋体" w:cs="宋体"/>
          <w:color w:val="auto"/>
          <w:highlight w:val="none"/>
        </w:rPr>
        <w:t>10.7本项目必须按规定设置封闭围挡，费用含在投标总价中，投标人自行考虑。围挡设置必须符合相关部门要求，对于围挡的宣传标语（图案）等设置，必须按照建设单位要求进行布置，并且及时更新、更换。</w:t>
      </w:r>
    </w:p>
    <w:p w14:paraId="1A103845">
      <w:pPr>
        <w:spacing w:line="500" w:lineRule="exact"/>
        <w:jc w:val="left"/>
        <w:rPr>
          <w:rFonts w:hint="eastAsia" w:ascii="宋体" w:hAnsi="宋体" w:eastAsia="宋体" w:cs="宋体"/>
          <w:color w:val="auto"/>
          <w:highlight w:val="none"/>
        </w:rPr>
      </w:pPr>
      <w:r>
        <w:rPr>
          <w:rFonts w:hint="eastAsia" w:ascii="宋体" w:hAnsi="宋体" w:eastAsia="宋体" w:cs="宋体"/>
          <w:color w:val="auto"/>
          <w:highlight w:val="none"/>
        </w:rPr>
        <w:t>10.8投标人自行勘察施工现场情况，因投标人未勘察现场而造成的损失由投标人承担。在工程建设过程中，出现质量、安全、进度、文明施工、扬尘污染、人员不在岗履职等违约行为的，招标人将给予违约处罚；如中标人拒不缴纳违约金的，招标人有权从履约保证金中直接扣除。</w:t>
      </w:r>
    </w:p>
    <w:p w14:paraId="23C2066C">
      <w:pPr>
        <w:spacing w:line="500" w:lineRule="exact"/>
        <w:jc w:val="left"/>
        <w:rPr>
          <w:rFonts w:ascii="宋体" w:hAnsi="宋体" w:eastAsia="宋体" w:cs="宋体"/>
          <w:color w:val="auto"/>
          <w:highlight w:val="none"/>
        </w:rPr>
      </w:pPr>
      <w:r>
        <w:rPr>
          <w:rFonts w:hint="eastAsia" w:ascii="宋体" w:hAnsi="宋体" w:eastAsia="宋体" w:cs="宋体"/>
          <w:color w:val="auto"/>
          <w:highlight w:val="none"/>
        </w:rPr>
        <w:t xml:space="preserve">10.9道路、房屋等防护费用、临时设施、施工便道、场地内外的高低压线路保护、建筑物及道路等安全防护等费用由投标人自行勘察现场考虑，综合考虑在报价中，招标人不另行支付其他任何费用。 </w:t>
      </w:r>
    </w:p>
    <w:p w14:paraId="0660DC84">
      <w:pPr>
        <w:spacing w:line="500" w:lineRule="exact"/>
        <w:jc w:val="left"/>
        <w:rPr>
          <w:rFonts w:ascii="宋体" w:hAnsi="宋体" w:eastAsia="宋体" w:cs="宋体"/>
          <w:color w:val="auto"/>
          <w:highlight w:val="none"/>
        </w:rPr>
      </w:pPr>
      <w:r>
        <w:rPr>
          <w:rFonts w:hint="eastAsia" w:ascii="宋体" w:hAnsi="宋体" w:eastAsia="宋体" w:cs="宋体"/>
          <w:color w:val="auto"/>
          <w:highlight w:val="none"/>
        </w:rPr>
        <w:t>10.10招标人负责提供水、电接入点，具体手续及费用由中标人负责办理，由施工单位自行解决，费用自理且投标报价时需含在投标报价中，工程量清单已考虑的除外。工程未完全交付甲方前，所有水电费用由乙方承担并管理。</w:t>
      </w:r>
    </w:p>
    <w:p w14:paraId="3AE3D5CA">
      <w:pPr>
        <w:spacing w:line="500" w:lineRule="exact"/>
        <w:jc w:val="left"/>
        <w:rPr>
          <w:rFonts w:ascii="宋体" w:hAnsi="宋体" w:eastAsia="宋体" w:cs="宋体"/>
          <w:color w:val="auto"/>
          <w:highlight w:val="none"/>
        </w:rPr>
      </w:pPr>
      <w:r>
        <w:rPr>
          <w:rFonts w:hint="eastAsia" w:ascii="宋体" w:hAnsi="宋体" w:eastAsia="宋体" w:cs="宋体"/>
          <w:color w:val="auto"/>
          <w:highlight w:val="none"/>
        </w:rPr>
        <w:t xml:space="preserve">10.11施工现场必须采用门禁管理系统，施工现场必须采用刷脸进入，费用由中标人自行承担。 </w:t>
      </w:r>
    </w:p>
    <w:p w14:paraId="3C785F64">
      <w:pPr>
        <w:spacing w:line="500" w:lineRule="exact"/>
        <w:jc w:val="left"/>
        <w:rPr>
          <w:rFonts w:ascii="宋体" w:hAnsi="宋体" w:eastAsia="宋体" w:cs="宋体"/>
          <w:color w:val="auto"/>
          <w:highlight w:val="none"/>
        </w:rPr>
      </w:pPr>
      <w:r>
        <w:rPr>
          <w:rFonts w:hint="eastAsia" w:ascii="宋体" w:hAnsi="宋体" w:eastAsia="宋体" w:cs="宋体"/>
          <w:color w:val="auto"/>
          <w:highlight w:val="none"/>
        </w:rPr>
        <w:t xml:space="preserve">10.12施工现场需专门配备定点摄像设备，采用建筑施工现场视频监控系统，便于实时监控，要求设备稳定，图像清晰，分辨率高，配备专用储存设备，15天以内的现场摄像资料必须完整保存，含在投标总报价中。 </w:t>
      </w:r>
    </w:p>
    <w:p w14:paraId="65F89429">
      <w:pPr>
        <w:spacing w:line="500" w:lineRule="exact"/>
        <w:jc w:val="left"/>
        <w:rPr>
          <w:rFonts w:hint="eastAsia" w:ascii="宋体" w:hAnsi="宋体" w:eastAsia="宋体" w:cs="宋体"/>
          <w:color w:val="auto"/>
          <w:highlight w:val="none"/>
          <w:lang w:val="zh-CN"/>
        </w:rPr>
      </w:pPr>
      <w:r>
        <w:rPr>
          <w:rFonts w:hint="eastAsia" w:ascii="宋体" w:hAnsi="宋体" w:eastAsia="宋体" w:cs="宋体"/>
          <w:color w:val="auto"/>
          <w:highlight w:val="none"/>
        </w:rPr>
        <w:t>10.13中标人</w:t>
      </w:r>
      <w:r>
        <w:rPr>
          <w:rFonts w:hint="eastAsia" w:ascii="宋体" w:hAnsi="宋体" w:eastAsia="宋体" w:cs="宋体"/>
          <w:color w:val="auto"/>
          <w:highlight w:val="none"/>
          <w:lang w:val="zh-CN"/>
        </w:rPr>
        <w:t>须</w:t>
      </w:r>
      <w:r>
        <w:rPr>
          <w:rFonts w:hint="eastAsia" w:ascii="宋体" w:hAnsi="宋体" w:eastAsia="宋体" w:cs="宋体"/>
          <w:color w:val="auto"/>
          <w:highlight w:val="none"/>
        </w:rPr>
        <w:t>提供</w:t>
      </w:r>
      <w:r>
        <w:rPr>
          <w:rFonts w:hint="eastAsia" w:ascii="宋体" w:hAnsi="宋体" w:eastAsia="宋体" w:cs="宋体"/>
          <w:color w:val="auto"/>
          <w:highlight w:val="none"/>
          <w:lang w:val="zh-CN"/>
        </w:rPr>
        <w:t>室外雨污水管道全部影像检测试验合格报告。</w:t>
      </w:r>
    </w:p>
    <w:p w14:paraId="1A9D6EE8">
      <w:pPr>
        <w:spacing w:line="500" w:lineRule="exact"/>
        <w:jc w:val="lef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10.14中标后，在项目建设期间，中标人向发包人指定专人配合办理相关手续。</w:t>
      </w:r>
    </w:p>
    <w:p w14:paraId="3E272BF3">
      <w:pPr>
        <w:spacing w:line="500" w:lineRule="exact"/>
        <w:jc w:val="lef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10.15在项目实施过程中，对园区企业既有排水支管造成损坏的，由中标单位报送修复，改线方案，报建设单位批准后实施。</w:t>
      </w:r>
    </w:p>
    <w:p w14:paraId="3A93D740">
      <w:pPr>
        <w:spacing w:line="500" w:lineRule="exact"/>
        <w:jc w:val="left"/>
        <w:rPr>
          <w:rFonts w:ascii="宋体" w:hAnsi="宋体" w:eastAsia="宋体" w:cs="宋体"/>
          <w:color w:val="auto"/>
          <w:highlight w:val="none"/>
        </w:rPr>
      </w:pPr>
      <w:r>
        <w:rPr>
          <w:rFonts w:hint="eastAsia" w:ascii="宋体" w:hAnsi="宋体" w:eastAsia="宋体" w:cs="宋体"/>
          <w:color w:val="auto"/>
          <w:highlight w:val="none"/>
        </w:rPr>
        <w:t>11、文明施工要求</w:t>
      </w:r>
    </w:p>
    <w:p w14:paraId="71C24DAF">
      <w:pPr>
        <w:spacing w:line="500" w:lineRule="exact"/>
        <w:jc w:val="left"/>
        <w:rPr>
          <w:rFonts w:ascii="宋体" w:hAnsi="宋体" w:eastAsia="宋体" w:cs="宋体"/>
          <w:color w:val="auto"/>
          <w:highlight w:val="none"/>
        </w:rPr>
      </w:pPr>
      <w:r>
        <w:rPr>
          <w:rFonts w:hint="eastAsia" w:ascii="宋体" w:hAnsi="宋体" w:eastAsia="宋体" w:cs="宋体"/>
          <w:color w:val="auto"/>
          <w:highlight w:val="none"/>
        </w:rPr>
        <w:t xml:space="preserve"> 11.1公共环境 </w:t>
      </w:r>
    </w:p>
    <w:p w14:paraId="65FC151C">
      <w:pPr>
        <w:spacing w:line="500" w:lineRule="exact"/>
        <w:jc w:val="left"/>
        <w:rPr>
          <w:rFonts w:ascii="宋体" w:hAnsi="宋体" w:eastAsia="宋体" w:cs="宋体"/>
          <w:color w:val="auto"/>
          <w:highlight w:val="none"/>
        </w:rPr>
      </w:pPr>
      <w:r>
        <w:rPr>
          <w:rFonts w:hint="eastAsia" w:ascii="宋体" w:hAnsi="宋体" w:eastAsia="宋体" w:cs="宋体"/>
          <w:color w:val="auto"/>
          <w:highlight w:val="none"/>
        </w:rPr>
        <w:t xml:space="preserve">①建筑工地采用砌体、钢结构或彩钢夹芯板等封闭管理，高度不低于3米；储备用地、路面施工应一律设置建筑围墙进行遮挡。环境卫生干净整洁，围墙内外无乱堆放现象，无生活垃圾；施工现场标识明显，四周设置围墙、围挡，并符合标准；施工车辆有硬化的进出通道和冲洗设备，无抛洒和污染路面现象。 </w:t>
      </w:r>
    </w:p>
    <w:p w14:paraId="7BF5EA94">
      <w:pPr>
        <w:spacing w:line="500" w:lineRule="exact"/>
        <w:jc w:val="left"/>
        <w:rPr>
          <w:rFonts w:ascii="宋体" w:hAnsi="宋体" w:eastAsia="宋体" w:cs="宋体"/>
          <w:color w:val="auto"/>
          <w:highlight w:val="none"/>
        </w:rPr>
      </w:pPr>
      <w:r>
        <w:rPr>
          <w:rFonts w:hint="eastAsia" w:ascii="宋体" w:hAnsi="宋体" w:eastAsia="宋体" w:cs="宋体"/>
          <w:color w:val="auto"/>
          <w:highlight w:val="none"/>
        </w:rPr>
        <w:t xml:space="preserve">②场内设有不少于15米硬化面，车辆进出工地实行密闭运输，有车辆冲洗平台和冲洗设备、临时厕所、垃圾收集容器、污水处理排放系统、降尘设备等设施；场内干净整洁，机械设备、物料等摆放有序，安全施工措施到位，文明施工氛围浓厚。能够开展文明工地创建，施工噪音、粉尘等达到国家环保要求。 </w:t>
      </w:r>
    </w:p>
    <w:p w14:paraId="399AB2B0">
      <w:pPr>
        <w:spacing w:line="500" w:lineRule="exact"/>
        <w:jc w:val="left"/>
        <w:rPr>
          <w:rFonts w:ascii="宋体" w:hAnsi="宋体" w:eastAsia="宋体" w:cs="宋体"/>
          <w:color w:val="auto"/>
          <w:highlight w:val="none"/>
        </w:rPr>
      </w:pPr>
      <w:r>
        <w:rPr>
          <w:rFonts w:hint="eastAsia" w:ascii="宋体" w:hAnsi="宋体" w:eastAsia="宋体" w:cs="宋体"/>
          <w:color w:val="auto"/>
          <w:highlight w:val="none"/>
        </w:rPr>
        <w:t xml:space="preserve">11.2公益宣传 </w:t>
      </w:r>
    </w:p>
    <w:p w14:paraId="1A9A6A4B">
      <w:pPr>
        <w:spacing w:line="500" w:lineRule="exact"/>
        <w:jc w:val="left"/>
        <w:rPr>
          <w:rFonts w:ascii="宋体" w:hAnsi="宋体" w:eastAsia="宋体" w:cs="宋体"/>
          <w:color w:val="auto"/>
          <w:highlight w:val="none"/>
        </w:rPr>
      </w:pPr>
      <w:r>
        <w:rPr>
          <w:rFonts w:hint="eastAsia" w:ascii="宋体" w:hAnsi="宋体" w:eastAsia="宋体" w:cs="宋体"/>
          <w:color w:val="auto"/>
          <w:highlight w:val="none"/>
        </w:rPr>
        <w:t xml:space="preserve">①运用建筑围挡宣传展示社会主义核心价值观12个主题词、市民文明行为规范，及时更新中宣部、中央文明办发布的“讲文明树新风”、“图说我们的价值观”通稿作品以及本市自创的公益广告（建筑围挡无破墙开洞现象，公益广告无污染、破旧现象）。 </w:t>
      </w:r>
    </w:p>
    <w:p w14:paraId="5517F0FB">
      <w:pPr>
        <w:spacing w:line="500" w:lineRule="exact"/>
        <w:jc w:val="left"/>
        <w:rPr>
          <w:rFonts w:ascii="宋体" w:hAnsi="宋体" w:eastAsia="宋体" w:cs="宋体"/>
          <w:color w:val="auto"/>
          <w:highlight w:val="none"/>
        </w:rPr>
      </w:pPr>
      <w:r>
        <w:rPr>
          <w:rFonts w:hint="eastAsia" w:ascii="宋体" w:hAnsi="宋体" w:eastAsia="宋体" w:cs="宋体"/>
          <w:color w:val="auto"/>
          <w:highlight w:val="none"/>
        </w:rPr>
        <w:t>②公益广告展示面积占围挡总面积的比例不少于50%，且公益广告要与商业广告穿插展示（每3块广告中必须要有1块公益广告），且单面围挡墙体均能看到公益宣传。步行30米，达到50%面积比例</w:t>
      </w:r>
    </w:p>
    <w:p w14:paraId="429EF894">
      <w:pPr>
        <w:spacing w:line="500" w:lineRule="exact"/>
        <w:jc w:val="left"/>
        <w:rPr>
          <w:rFonts w:ascii="宋体" w:hAnsi="宋体" w:eastAsia="宋体" w:cs="宋体"/>
          <w:color w:val="auto"/>
          <w:highlight w:val="none"/>
        </w:rPr>
      </w:pPr>
      <w:r>
        <w:rPr>
          <w:rFonts w:hint="eastAsia" w:ascii="宋体" w:hAnsi="宋体" w:eastAsia="宋体" w:cs="宋体"/>
          <w:color w:val="auto"/>
          <w:highlight w:val="none"/>
          <w:lang w:val="en-US" w:eastAsia="zh-CN"/>
        </w:rPr>
        <w:t>12.</w:t>
      </w:r>
      <w:r>
        <w:rPr>
          <w:rFonts w:hint="eastAsia" w:ascii="宋体" w:hAnsi="宋体" w:eastAsia="宋体" w:cs="宋体"/>
          <w:color w:val="auto"/>
          <w:highlight w:val="none"/>
        </w:rPr>
        <w:t>滁州市建筑工地围挡要求</w:t>
      </w:r>
    </w:p>
    <w:p w14:paraId="2BBC4871">
      <w:pPr>
        <w:spacing w:line="500" w:lineRule="exact"/>
        <w:jc w:val="left"/>
        <w:rPr>
          <w:rFonts w:hint="eastAsia" w:ascii="宋体" w:hAnsi="宋体" w:eastAsia="宋体" w:cs="宋体"/>
          <w:color w:val="auto"/>
          <w:highlight w:val="none"/>
        </w:rPr>
      </w:pPr>
      <w:r>
        <w:rPr>
          <w:rFonts w:hint="eastAsia" w:ascii="宋体" w:hAnsi="宋体" w:eastAsia="宋体" w:cs="宋体"/>
          <w:color w:val="auto"/>
          <w:highlight w:val="none"/>
        </w:rPr>
        <w:t xml:space="preserve">12.1按关于印发《滁州市建筑工地围挡提档升级标准》的通知（建质﹝2022﹞34 号文）执行。 </w:t>
      </w:r>
    </w:p>
    <w:p w14:paraId="4CB62953">
      <w:pPr>
        <w:spacing w:line="500" w:lineRule="exact"/>
        <w:jc w:val="left"/>
        <w:rPr>
          <w:rFonts w:hint="eastAsia"/>
          <w:color w:val="auto"/>
          <w:highlight w:val="none"/>
        </w:rPr>
      </w:pPr>
      <w:r>
        <w:rPr>
          <w:rFonts w:hint="eastAsia" w:ascii="宋体" w:hAnsi="宋体" w:eastAsia="宋体" w:cs="宋体"/>
          <w:color w:val="auto"/>
          <w:highlight w:val="none"/>
        </w:rPr>
        <w:t>13</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本合同文本未尽事宜，由合同签定双方在发生时具体商定</w:t>
      </w:r>
      <w:r>
        <w:rPr>
          <w:rFonts w:hint="eastAsia" w:ascii="宋体" w:hAnsi="宋体" w:eastAsia="宋体" w:cs="宋体"/>
          <w:color w:val="auto"/>
          <w:highlight w:val="none"/>
          <w:lang w:eastAsia="zh-CN"/>
        </w:rPr>
        <w:t>。</w:t>
      </w:r>
      <w:r>
        <w:rPr>
          <w:rFonts w:hint="eastAsia" w:ascii="宋体" w:hAnsi="宋体" w:eastAsia="宋体" w:cs="宋体"/>
          <w:b w:val="0"/>
          <w:color w:val="auto"/>
          <w:sz w:val="21"/>
          <w:szCs w:val="21"/>
          <w:highlight w:val="none"/>
          <w:lang w:val="en-US" w:eastAsia="zh-CN"/>
        </w:rPr>
        <w:br w:type="page"/>
      </w:r>
    </w:p>
    <w:p w14:paraId="65BB047D">
      <w:pPr>
        <w:keepNext/>
        <w:keepLines/>
        <w:spacing w:before="120" w:after="120" w:line="360" w:lineRule="auto"/>
        <w:jc w:val="left"/>
        <w:outlineLvl w:val="2"/>
        <w:rPr>
          <w:rFonts w:hint="eastAsia" w:ascii="宋体" w:hAnsi="宋体" w:cs="宋体"/>
          <w:bCs/>
          <w:color w:val="auto"/>
          <w:sz w:val="24"/>
          <w:highlight w:val="none"/>
        </w:rPr>
      </w:pPr>
      <w:bookmarkStart w:id="1276" w:name="_Toc95223486"/>
      <w:r>
        <w:rPr>
          <w:rFonts w:hint="eastAsia" w:ascii="宋体" w:hAnsi="宋体" w:cs="宋体"/>
          <w:bCs/>
          <w:color w:val="auto"/>
          <w:sz w:val="24"/>
          <w:highlight w:val="none"/>
        </w:rPr>
        <w:t>附件1：承包人承揽工程项目一览表</w:t>
      </w:r>
      <w:bookmarkEnd w:id="1276"/>
    </w:p>
    <w:p w14:paraId="3C1F66A4">
      <w:pPr>
        <w:spacing w:line="360" w:lineRule="auto"/>
        <w:jc w:val="center"/>
        <w:rPr>
          <w:rFonts w:hint="eastAsia" w:ascii="宋体" w:hAnsi="宋体" w:cs="宋体"/>
          <w:color w:val="auto"/>
          <w:sz w:val="22"/>
          <w:szCs w:val="21"/>
          <w:highlight w:val="none"/>
        </w:rPr>
      </w:pPr>
      <w:r>
        <w:rPr>
          <w:rFonts w:hint="eastAsia" w:ascii="宋体" w:hAnsi="宋体" w:cs="宋体"/>
          <w:color w:val="auto"/>
          <w:sz w:val="22"/>
          <w:szCs w:val="21"/>
          <w:highlight w:val="none"/>
        </w:rPr>
        <w:t>承包人承揽工程项目一览表</w:t>
      </w:r>
    </w:p>
    <w:tbl>
      <w:tblPr>
        <w:tblStyle w:val="20"/>
        <w:tblW w:w="949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134"/>
        <w:gridCol w:w="1134"/>
        <w:gridCol w:w="993"/>
        <w:gridCol w:w="708"/>
        <w:gridCol w:w="1134"/>
        <w:gridCol w:w="1134"/>
        <w:gridCol w:w="993"/>
        <w:gridCol w:w="708"/>
        <w:gridCol w:w="567"/>
      </w:tblGrid>
      <w:tr w14:paraId="2E3EAC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center"/>
          </w:tcPr>
          <w:p w14:paraId="5A53861D">
            <w:pPr>
              <w:keepNext/>
              <w:snapToGrid w:val="0"/>
              <w:spacing w:line="360" w:lineRule="auto"/>
              <w:rPr>
                <w:rFonts w:hint="eastAsia" w:ascii="宋体" w:hAnsi="宋体" w:cs="宋体"/>
                <w:color w:val="auto"/>
                <w:sz w:val="22"/>
                <w:szCs w:val="21"/>
                <w:highlight w:val="none"/>
              </w:rPr>
            </w:pPr>
            <w:r>
              <w:rPr>
                <w:rFonts w:hint="eastAsia" w:ascii="宋体" w:hAnsi="宋体" w:cs="宋体"/>
                <w:color w:val="auto"/>
                <w:sz w:val="22"/>
                <w:szCs w:val="21"/>
                <w:highlight w:val="none"/>
              </w:rPr>
              <w:t>单位工程名称</w:t>
            </w:r>
          </w:p>
        </w:tc>
        <w:tc>
          <w:tcPr>
            <w:tcW w:w="1134" w:type="dxa"/>
            <w:tcBorders>
              <w:top w:val="single" w:color="auto" w:sz="12" w:space="0"/>
              <w:bottom w:val="double" w:color="auto" w:sz="6" w:space="0"/>
            </w:tcBorders>
            <w:noWrap w:val="0"/>
            <w:vAlign w:val="center"/>
          </w:tcPr>
          <w:p w14:paraId="5B3060C1">
            <w:pPr>
              <w:keepNext/>
              <w:snapToGrid w:val="0"/>
              <w:spacing w:line="360" w:lineRule="auto"/>
              <w:rPr>
                <w:rFonts w:hint="eastAsia" w:ascii="宋体" w:hAnsi="宋体" w:cs="宋体"/>
                <w:color w:val="auto"/>
                <w:sz w:val="22"/>
                <w:szCs w:val="21"/>
                <w:highlight w:val="none"/>
              </w:rPr>
            </w:pPr>
            <w:r>
              <w:rPr>
                <w:rFonts w:hint="eastAsia" w:ascii="宋体" w:hAnsi="宋体" w:cs="宋体"/>
                <w:color w:val="auto"/>
                <w:sz w:val="22"/>
                <w:szCs w:val="21"/>
                <w:highlight w:val="none"/>
              </w:rPr>
              <w:t>建设规模</w:t>
            </w:r>
          </w:p>
        </w:tc>
        <w:tc>
          <w:tcPr>
            <w:tcW w:w="1134" w:type="dxa"/>
            <w:tcBorders>
              <w:top w:val="single" w:color="auto" w:sz="12" w:space="0"/>
              <w:bottom w:val="double" w:color="auto" w:sz="6" w:space="0"/>
            </w:tcBorders>
            <w:noWrap w:val="0"/>
            <w:vAlign w:val="center"/>
          </w:tcPr>
          <w:p w14:paraId="2109DD09">
            <w:pPr>
              <w:keepNext/>
              <w:snapToGrid w:val="0"/>
              <w:spacing w:line="360" w:lineRule="auto"/>
              <w:rPr>
                <w:rFonts w:hint="eastAsia" w:ascii="宋体" w:hAnsi="宋体" w:cs="宋体"/>
                <w:color w:val="auto"/>
                <w:sz w:val="22"/>
                <w:szCs w:val="21"/>
                <w:highlight w:val="none"/>
              </w:rPr>
            </w:pPr>
            <w:r>
              <w:rPr>
                <w:rFonts w:hint="eastAsia" w:ascii="宋体" w:hAnsi="宋体" w:cs="宋体"/>
                <w:color w:val="auto"/>
                <w:sz w:val="22"/>
                <w:szCs w:val="21"/>
                <w:highlight w:val="none"/>
              </w:rPr>
              <w:t>建筑面积(平方米)</w:t>
            </w:r>
          </w:p>
        </w:tc>
        <w:tc>
          <w:tcPr>
            <w:tcW w:w="993" w:type="dxa"/>
            <w:tcBorders>
              <w:top w:val="single" w:color="auto" w:sz="12" w:space="0"/>
              <w:bottom w:val="double" w:color="auto" w:sz="6" w:space="0"/>
            </w:tcBorders>
            <w:noWrap w:val="0"/>
            <w:vAlign w:val="center"/>
          </w:tcPr>
          <w:p w14:paraId="07789EDD">
            <w:pPr>
              <w:keepNext/>
              <w:snapToGrid w:val="0"/>
              <w:spacing w:line="360" w:lineRule="auto"/>
              <w:rPr>
                <w:rFonts w:hint="eastAsia" w:ascii="宋体" w:hAnsi="宋体" w:cs="宋体"/>
                <w:color w:val="auto"/>
                <w:sz w:val="22"/>
                <w:szCs w:val="21"/>
                <w:highlight w:val="none"/>
              </w:rPr>
            </w:pPr>
            <w:r>
              <w:rPr>
                <w:rFonts w:hint="eastAsia" w:ascii="宋体" w:hAnsi="宋体" w:cs="宋体"/>
                <w:color w:val="auto"/>
                <w:sz w:val="22"/>
                <w:szCs w:val="21"/>
                <w:highlight w:val="none"/>
              </w:rPr>
              <w:t>结构形式</w:t>
            </w:r>
          </w:p>
        </w:tc>
        <w:tc>
          <w:tcPr>
            <w:tcW w:w="708" w:type="dxa"/>
            <w:tcBorders>
              <w:top w:val="single" w:color="auto" w:sz="12" w:space="0"/>
              <w:bottom w:val="double" w:color="auto" w:sz="6" w:space="0"/>
            </w:tcBorders>
            <w:noWrap w:val="0"/>
            <w:vAlign w:val="center"/>
          </w:tcPr>
          <w:p w14:paraId="15870FAB">
            <w:pPr>
              <w:keepNext/>
              <w:snapToGrid w:val="0"/>
              <w:spacing w:line="360" w:lineRule="auto"/>
              <w:rPr>
                <w:rFonts w:hint="eastAsia" w:ascii="宋体" w:hAnsi="宋体" w:cs="宋体"/>
                <w:color w:val="auto"/>
                <w:sz w:val="22"/>
                <w:szCs w:val="21"/>
                <w:highlight w:val="none"/>
              </w:rPr>
            </w:pPr>
            <w:r>
              <w:rPr>
                <w:rFonts w:hint="eastAsia" w:ascii="宋体" w:hAnsi="宋体" w:cs="宋体"/>
                <w:color w:val="auto"/>
                <w:sz w:val="22"/>
                <w:szCs w:val="21"/>
                <w:highlight w:val="none"/>
              </w:rPr>
              <w:t>层数</w:t>
            </w:r>
          </w:p>
        </w:tc>
        <w:tc>
          <w:tcPr>
            <w:tcW w:w="1134" w:type="dxa"/>
            <w:tcBorders>
              <w:top w:val="single" w:color="auto" w:sz="12" w:space="0"/>
              <w:bottom w:val="double" w:color="auto" w:sz="6" w:space="0"/>
            </w:tcBorders>
            <w:noWrap w:val="0"/>
            <w:vAlign w:val="center"/>
          </w:tcPr>
          <w:p w14:paraId="5976C713">
            <w:pPr>
              <w:keepNext/>
              <w:snapToGrid w:val="0"/>
              <w:spacing w:line="360" w:lineRule="auto"/>
              <w:rPr>
                <w:rFonts w:hint="eastAsia" w:ascii="宋体" w:hAnsi="宋体" w:cs="宋体"/>
                <w:color w:val="auto"/>
                <w:sz w:val="22"/>
                <w:szCs w:val="21"/>
                <w:highlight w:val="none"/>
              </w:rPr>
            </w:pPr>
            <w:r>
              <w:rPr>
                <w:rFonts w:hint="eastAsia" w:ascii="宋体" w:hAnsi="宋体" w:cs="宋体"/>
                <w:color w:val="auto"/>
                <w:sz w:val="22"/>
                <w:szCs w:val="21"/>
                <w:highlight w:val="none"/>
              </w:rPr>
              <w:t>生产能力</w:t>
            </w:r>
          </w:p>
        </w:tc>
        <w:tc>
          <w:tcPr>
            <w:tcW w:w="1134" w:type="dxa"/>
            <w:tcBorders>
              <w:top w:val="single" w:color="auto" w:sz="12" w:space="0"/>
              <w:bottom w:val="double" w:color="auto" w:sz="6" w:space="0"/>
            </w:tcBorders>
            <w:noWrap w:val="0"/>
            <w:vAlign w:val="center"/>
          </w:tcPr>
          <w:p w14:paraId="7FB15F6A">
            <w:pPr>
              <w:keepNext/>
              <w:snapToGrid w:val="0"/>
              <w:spacing w:line="360" w:lineRule="auto"/>
              <w:rPr>
                <w:rFonts w:hint="eastAsia" w:ascii="宋体" w:hAnsi="宋体" w:cs="宋体"/>
                <w:color w:val="auto"/>
                <w:sz w:val="22"/>
                <w:szCs w:val="21"/>
                <w:highlight w:val="none"/>
              </w:rPr>
            </w:pPr>
            <w:r>
              <w:rPr>
                <w:rFonts w:hint="eastAsia" w:ascii="宋体" w:hAnsi="宋体" w:cs="宋体"/>
                <w:color w:val="auto"/>
                <w:sz w:val="22"/>
                <w:szCs w:val="21"/>
                <w:highlight w:val="none"/>
              </w:rPr>
              <w:t>设备安装内容</w:t>
            </w:r>
          </w:p>
        </w:tc>
        <w:tc>
          <w:tcPr>
            <w:tcW w:w="993" w:type="dxa"/>
            <w:tcBorders>
              <w:top w:val="single" w:color="auto" w:sz="12" w:space="0"/>
              <w:bottom w:val="double" w:color="auto" w:sz="6" w:space="0"/>
            </w:tcBorders>
            <w:noWrap w:val="0"/>
            <w:vAlign w:val="center"/>
          </w:tcPr>
          <w:p w14:paraId="3A679D6E">
            <w:pPr>
              <w:keepNext/>
              <w:snapToGrid w:val="0"/>
              <w:spacing w:line="360" w:lineRule="auto"/>
              <w:rPr>
                <w:rFonts w:hint="eastAsia" w:ascii="宋体" w:hAnsi="宋体" w:cs="宋体"/>
                <w:color w:val="auto"/>
                <w:sz w:val="22"/>
                <w:szCs w:val="21"/>
                <w:highlight w:val="none"/>
              </w:rPr>
            </w:pPr>
            <w:r>
              <w:rPr>
                <w:rFonts w:hint="eastAsia" w:ascii="宋体" w:hAnsi="宋体" w:cs="宋体"/>
                <w:color w:val="auto"/>
                <w:sz w:val="22"/>
                <w:szCs w:val="21"/>
                <w:highlight w:val="none"/>
              </w:rPr>
              <w:t>合同价格（元）</w:t>
            </w:r>
          </w:p>
        </w:tc>
        <w:tc>
          <w:tcPr>
            <w:tcW w:w="708" w:type="dxa"/>
            <w:tcBorders>
              <w:top w:val="single" w:color="auto" w:sz="12" w:space="0"/>
              <w:bottom w:val="double" w:color="auto" w:sz="6" w:space="0"/>
            </w:tcBorders>
            <w:noWrap w:val="0"/>
            <w:vAlign w:val="center"/>
          </w:tcPr>
          <w:p w14:paraId="5E709F28">
            <w:pPr>
              <w:keepNext/>
              <w:snapToGrid w:val="0"/>
              <w:spacing w:line="360" w:lineRule="auto"/>
              <w:rPr>
                <w:rFonts w:hint="eastAsia" w:ascii="宋体" w:hAnsi="宋体" w:cs="宋体"/>
                <w:color w:val="auto"/>
                <w:sz w:val="22"/>
                <w:szCs w:val="21"/>
                <w:highlight w:val="none"/>
              </w:rPr>
            </w:pPr>
            <w:r>
              <w:rPr>
                <w:rFonts w:hint="eastAsia" w:ascii="宋体" w:hAnsi="宋体" w:cs="宋体"/>
                <w:color w:val="auto"/>
                <w:sz w:val="22"/>
                <w:szCs w:val="21"/>
                <w:highlight w:val="none"/>
              </w:rPr>
              <w:t>开工日期</w:t>
            </w:r>
          </w:p>
        </w:tc>
        <w:tc>
          <w:tcPr>
            <w:tcW w:w="567" w:type="dxa"/>
            <w:tcBorders>
              <w:top w:val="single" w:color="auto" w:sz="12" w:space="0"/>
              <w:bottom w:val="double" w:color="auto" w:sz="6" w:space="0"/>
            </w:tcBorders>
            <w:noWrap w:val="0"/>
            <w:vAlign w:val="center"/>
          </w:tcPr>
          <w:p w14:paraId="27826EAC">
            <w:pPr>
              <w:keepNext/>
              <w:snapToGrid w:val="0"/>
              <w:spacing w:line="360" w:lineRule="auto"/>
              <w:rPr>
                <w:rFonts w:hint="eastAsia" w:ascii="宋体" w:hAnsi="宋体" w:cs="宋体"/>
                <w:color w:val="auto"/>
                <w:sz w:val="22"/>
                <w:szCs w:val="21"/>
                <w:highlight w:val="none"/>
              </w:rPr>
            </w:pPr>
            <w:r>
              <w:rPr>
                <w:rFonts w:hint="eastAsia" w:ascii="宋体" w:hAnsi="宋体" w:cs="宋体"/>
                <w:color w:val="auto"/>
                <w:sz w:val="22"/>
                <w:szCs w:val="21"/>
                <w:highlight w:val="none"/>
              </w:rPr>
              <w:t>竣工日期</w:t>
            </w:r>
          </w:p>
        </w:tc>
      </w:tr>
      <w:tr w14:paraId="588165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993" w:type="dxa"/>
            <w:tcBorders>
              <w:top w:val="double" w:color="auto" w:sz="6" w:space="0"/>
            </w:tcBorders>
            <w:noWrap w:val="0"/>
            <w:vAlign w:val="center"/>
          </w:tcPr>
          <w:p w14:paraId="0E440A9B">
            <w:pPr>
              <w:keepNext/>
              <w:snapToGrid w:val="0"/>
              <w:spacing w:line="360" w:lineRule="auto"/>
              <w:rPr>
                <w:rFonts w:hint="eastAsia" w:ascii="宋体" w:hAnsi="宋体" w:cs="宋体"/>
                <w:color w:val="auto"/>
                <w:sz w:val="22"/>
                <w:szCs w:val="21"/>
                <w:highlight w:val="none"/>
              </w:rPr>
            </w:pPr>
          </w:p>
        </w:tc>
        <w:tc>
          <w:tcPr>
            <w:tcW w:w="1134" w:type="dxa"/>
            <w:tcBorders>
              <w:top w:val="double" w:color="auto" w:sz="6" w:space="0"/>
            </w:tcBorders>
            <w:noWrap w:val="0"/>
            <w:vAlign w:val="center"/>
          </w:tcPr>
          <w:p w14:paraId="389E5CFF">
            <w:pPr>
              <w:keepNext/>
              <w:snapToGrid w:val="0"/>
              <w:spacing w:line="360" w:lineRule="auto"/>
              <w:rPr>
                <w:rFonts w:hint="eastAsia" w:ascii="宋体" w:hAnsi="宋体" w:cs="宋体"/>
                <w:color w:val="auto"/>
                <w:sz w:val="22"/>
                <w:szCs w:val="21"/>
                <w:highlight w:val="none"/>
              </w:rPr>
            </w:pPr>
          </w:p>
        </w:tc>
        <w:tc>
          <w:tcPr>
            <w:tcW w:w="1134" w:type="dxa"/>
            <w:tcBorders>
              <w:top w:val="double" w:color="auto" w:sz="6" w:space="0"/>
            </w:tcBorders>
            <w:noWrap w:val="0"/>
            <w:vAlign w:val="center"/>
          </w:tcPr>
          <w:p w14:paraId="55003783">
            <w:pPr>
              <w:keepNext/>
              <w:snapToGrid w:val="0"/>
              <w:spacing w:line="360" w:lineRule="auto"/>
              <w:rPr>
                <w:rFonts w:hint="eastAsia" w:ascii="宋体" w:hAnsi="宋体" w:cs="宋体"/>
                <w:color w:val="auto"/>
                <w:sz w:val="22"/>
                <w:szCs w:val="21"/>
                <w:highlight w:val="none"/>
              </w:rPr>
            </w:pPr>
          </w:p>
        </w:tc>
        <w:tc>
          <w:tcPr>
            <w:tcW w:w="993" w:type="dxa"/>
            <w:tcBorders>
              <w:top w:val="double" w:color="auto" w:sz="6" w:space="0"/>
            </w:tcBorders>
            <w:noWrap w:val="0"/>
            <w:vAlign w:val="center"/>
          </w:tcPr>
          <w:p w14:paraId="687E1AE7">
            <w:pPr>
              <w:keepNext/>
              <w:snapToGrid w:val="0"/>
              <w:spacing w:line="360" w:lineRule="auto"/>
              <w:rPr>
                <w:rFonts w:hint="eastAsia" w:ascii="宋体" w:hAnsi="宋体" w:cs="宋体"/>
                <w:color w:val="auto"/>
                <w:sz w:val="22"/>
                <w:szCs w:val="21"/>
                <w:highlight w:val="none"/>
              </w:rPr>
            </w:pPr>
          </w:p>
        </w:tc>
        <w:tc>
          <w:tcPr>
            <w:tcW w:w="708" w:type="dxa"/>
            <w:tcBorders>
              <w:top w:val="double" w:color="auto" w:sz="6" w:space="0"/>
            </w:tcBorders>
            <w:noWrap w:val="0"/>
            <w:vAlign w:val="center"/>
          </w:tcPr>
          <w:p w14:paraId="68FD6B8A">
            <w:pPr>
              <w:keepNext/>
              <w:snapToGrid w:val="0"/>
              <w:spacing w:line="360" w:lineRule="auto"/>
              <w:rPr>
                <w:rFonts w:hint="eastAsia" w:ascii="宋体" w:hAnsi="宋体" w:cs="宋体"/>
                <w:color w:val="auto"/>
                <w:sz w:val="22"/>
                <w:szCs w:val="21"/>
                <w:highlight w:val="none"/>
              </w:rPr>
            </w:pPr>
          </w:p>
        </w:tc>
        <w:tc>
          <w:tcPr>
            <w:tcW w:w="1134" w:type="dxa"/>
            <w:tcBorders>
              <w:top w:val="double" w:color="auto" w:sz="6" w:space="0"/>
            </w:tcBorders>
            <w:noWrap w:val="0"/>
            <w:vAlign w:val="center"/>
          </w:tcPr>
          <w:p w14:paraId="1A02E0B0">
            <w:pPr>
              <w:keepNext/>
              <w:snapToGrid w:val="0"/>
              <w:spacing w:line="360" w:lineRule="auto"/>
              <w:rPr>
                <w:rFonts w:hint="eastAsia" w:ascii="宋体" w:hAnsi="宋体" w:cs="宋体"/>
                <w:color w:val="auto"/>
                <w:sz w:val="22"/>
                <w:szCs w:val="21"/>
                <w:highlight w:val="none"/>
              </w:rPr>
            </w:pPr>
          </w:p>
        </w:tc>
        <w:tc>
          <w:tcPr>
            <w:tcW w:w="1134" w:type="dxa"/>
            <w:tcBorders>
              <w:top w:val="double" w:color="auto" w:sz="6" w:space="0"/>
            </w:tcBorders>
            <w:noWrap w:val="0"/>
            <w:vAlign w:val="center"/>
          </w:tcPr>
          <w:p w14:paraId="779035D6">
            <w:pPr>
              <w:keepNext/>
              <w:snapToGrid w:val="0"/>
              <w:spacing w:line="360" w:lineRule="auto"/>
              <w:rPr>
                <w:rFonts w:hint="eastAsia" w:ascii="宋体" w:hAnsi="宋体" w:cs="宋体"/>
                <w:color w:val="auto"/>
                <w:sz w:val="22"/>
                <w:szCs w:val="21"/>
                <w:highlight w:val="none"/>
              </w:rPr>
            </w:pPr>
          </w:p>
        </w:tc>
        <w:tc>
          <w:tcPr>
            <w:tcW w:w="993" w:type="dxa"/>
            <w:tcBorders>
              <w:top w:val="double" w:color="auto" w:sz="6" w:space="0"/>
            </w:tcBorders>
            <w:noWrap w:val="0"/>
            <w:vAlign w:val="center"/>
          </w:tcPr>
          <w:p w14:paraId="542EB249">
            <w:pPr>
              <w:keepNext/>
              <w:snapToGrid w:val="0"/>
              <w:spacing w:line="360" w:lineRule="auto"/>
              <w:rPr>
                <w:rFonts w:hint="eastAsia" w:ascii="宋体" w:hAnsi="宋体" w:cs="宋体"/>
                <w:color w:val="auto"/>
                <w:sz w:val="22"/>
                <w:szCs w:val="21"/>
                <w:highlight w:val="none"/>
              </w:rPr>
            </w:pPr>
          </w:p>
        </w:tc>
        <w:tc>
          <w:tcPr>
            <w:tcW w:w="708" w:type="dxa"/>
            <w:tcBorders>
              <w:top w:val="double" w:color="auto" w:sz="6" w:space="0"/>
            </w:tcBorders>
            <w:noWrap w:val="0"/>
            <w:vAlign w:val="center"/>
          </w:tcPr>
          <w:p w14:paraId="6C96B9A0">
            <w:pPr>
              <w:keepNext/>
              <w:snapToGrid w:val="0"/>
              <w:spacing w:line="360" w:lineRule="auto"/>
              <w:rPr>
                <w:rFonts w:hint="eastAsia" w:ascii="宋体" w:hAnsi="宋体" w:cs="宋体"/>
                <w:color w:val="auto"/>
                <w:sz w:val="22"/>
                <w:szCs w:val="21"/>
                <w:highlight w:val="none"/>
              </w:rPr>
            </w:pPr>
          </w:p>
        </w:tc>
        <w:tc>
          <w:tcPr>
            <w:tcW w:w="567" w:type="dxa"/>
            <w:tcBorders>
              <w:top w:val="double" w:color="auto" w:sz="6" w:space="0"/>
            </w:tcBorders>
            <w:noWrap w:val="0"/>
            <w:vAlign w:val="center"/>
          </w:tcPr>
          <w:p w14:paraId="1215C284">
            <w:pPr>
              <w:keepNext/>
              <w:snapToGrid w:val="0"/>
              <w:spacing w:line="360" w:lineRule="auto"/>
              <w:rPr>
                <w:rFonts w:hint="eastAsia" w:ascii="宋体" w:hAnsi="宋体" w:cs="宋体"/>
                <w:color w:val="auto"/>
                <w:sz w:val="22"/>
                <w:szCs w:val="21"/>
                <w:highlight w:val="none"/>
              </w:rPr>
            </w:pPr>
          </w:p>
        </w:tc>
      </w:tr>
      <w:tr w14:paraId="7088C2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993" w:type="dxa"/>
            <w:tcBorders>
              <w:top w:val="nil"/>
            </w:tcBorders>
            <w:noWrap w:val="0"/>
            <w:vAlign w:val="center"/>
          </w:tcPr>
          <w:p w14:paraId="30F47035">
            <w:pPr>
              <w:keepNext/>
              <w:snapToGrid w:val="0"/>
              <w:spacing w:line="360" w:lineRule="auto"/>
              <w:rPr>
                <w:rFonts w:hint="eastAsia" w:ascii="宋体" w:hAnsi="宋体" w:cs="宋体"/>
                <w:color w:val="auto"/>
                <w:sz w:val="22"/>
                <w:szCs w:val="21"/>
                <w:highlight w:val="none"/>
              </w:rPr>
            </w:pPr>
          </w:p>
        </w:tc>
        <w:tc>
          <w:tcPr>
            <w:tcW w:w="1134" w:type="dxa"/>
            <w:tcBorders>
              <w:top w:val="nil"/>
            </w:tcBorders>
            <w:noWrap w:val="0"/>
            <w:vAlign w:val="center"/>
          </w:tcPr>
          <w:p w14:paraId="3D8DB66A">
            <w:pPr>
              <w:keepNext/>
              <w:snapToGrid w:val="0"/>
              <w:spacing w:line="360" w:lineRule="auto"/>
              <w:rPr>
                <w:rFonts w:hint="eastAsia" w:ascii="宋体" w:hAnsi="宋体" w:cs="宋体"/>
                <w:color w:val="auto"/>
                <w:sz w:val="22"/>
                <w:szCs w:val="21"/>
                <w:highlight w:val="none"/>
              </w:rPr>
            </w:pPr>
          </w:p>
        </w:tc>
        <w:tc>
          <w:tcPr>
            <w:tcW w:w="1134" w:type="dxa"/>
            <w:tcBorders>
              <w:top w:val="nil"/>
            </w:tcBorders>
            <w:noWrap w:val="0"/>
            <w:vAlign w:val="center"/>
          </w:tcPr>
          <w:p w14:paraId="55A03562">
            <w:pPr>
              <w:keepNext/>
              <w:snapToGrid w:val="0"/>
              <w:spacing w:line="360" w:lineRule="auto"/>
              <w:rPr>
                <w:rFonts w:hint="eastAsia" w:ascii="宋体" w:hAnsi="宋体" w:cs="宋体"/>
                <w:color w:val="auto"/>
                <w:sz w:val="22"/>
                <w:szCs w:val="21"/>
                <w:highlight w:val="none"/>
              </w:rPr>
            </w:pPr>
          </w:p>
        </w:tc>
        <w:tc>
          <w:tcPr>
            <w:tcW w:w="993" w:type="dxa"/>
            <w:tcBorders>
              <w:top w:val="nil"/>
            </w:tcBorders>
            <w:noWrap w:val="0"/>
            <w:vAlign w:val="center"/>
          </w:tcPr>
          <w:p w14:paraId="272696C4">
            <w:pPr>
              <w:keepNext/>
              <w:snapToGrid w:val="0"/>
              <w:spacing w:line="360" w:lineRule="auto"/>
              <w:rPr>
                <w:rFonts w:hint="eastAsia" w:ascii="宋体" w:hAnsi="宋体" w:cs="宋体"/>
                <w:color w:val="auto"/>
                <w:sz w:val="22"/>
                <w:szCs w:val="21"/>
                <w:highlight w:val="none"/>
              </w:rPr>
            </w:pPr>
          </w:p>
        </w:tc>
        <w:tc>
          <w:tcPr>
            <w:tcW w:w="708" w:type="dxa"/>
            <w:tcBorders>
              <w:top w:val="nil"/>
            </w:tcBorders>
            <w:noWrap w:val="0"/>
            <w:vAlign w:val="center"/>
          </w:tcPr>
          <w:p w14:paraId="1411801D">
            <w:pPr>
              <w:keepNext/>
              <w:snapToGrid w:val="0"/>
              <w:spacing w:line="360" w:lineRule="auto"/>
              <w:rPr>
                <w:rFonts w:hint="eastAsia" w:ascii="宋体" w:hAnsi="宋体" w:cs="宋体"/>
                <w:color w:val="auto"/>
                <w:sz w:val="22"/>
                <w:szCs w:val="21"/>
                <w:highlight w:val="none"/>
              </w:rPr>
            </w:pPr>
          </w:p>
        </w:tc>
        <w:tc>
          <w:tcPr>
            <w:tcW w:w="1134" w:type="dxa"/>
            <w:tcBorders>
              <w:top w:val="nil"/>
            </w:tcBorders>
            <w:noWrap w:val="0"/>
            <w:vAlign w:val="center"/>
          </w:tcPr>
          <w:p w14:paraId="6B59F18C">
            <w:pPr>
              <w:keepNext/>
              <w:snapToGrid w:val="0"/>
              <w:spacing w:line="360" w:lineRule="auto"/>
              <w:rPr>
                <w:rFonts w:hint="eastAsia" w:ascii="宋体" w:hAnsi="宋体" w:cs="宋体"/>
                <w:color w:val="auto"/>
                <w:sz w:val="22"/>
                <w:szCs w:val="21"/>
                <w:highlight w:val="none"/>
              </w:rPr>
            </w:pPr>
          </w:p>
        </w:tc>
        <w:tc>
          <w:tcPr>
            <w:tcW w:w="1134" w:type="dxa"/>
            <w:tcBorders>
              <w:top w:val="nil"/>
            </w:tcBorders>
            <w:noWrap w:val="0"/>
            <w:vAlign w:val="center"/>
          </w:tcPr>
          <w:p w14:paraId="54663984">
            <w:pPr>
              <w:keepNext/>
              <w:snapToGrid w:val="0"/>
              <w:spacing w:line="360" w:lineRule="auto"/>
              <w:rPr>
                <w:rFonts w:hint="eastAsia" w:ascii="宋体" w:hAnsi="宋体" w:cs="宋体"/>
                <w:color w:val="auto"/>
                <w:sz w:val="22"/>
                <w:szCs w:val="21"/>
                <w:highlight w:val="none"/>
              </w:rPr>
            </w:pPr>
          </w:p>
        </w:tc>
        <w:tc>
          <w:tcPr>
            <w:tcW w:w="993" w:type="dxa"/>
            <w:tcBorders>
              <w:top w:val="nil"/>
            </w:tcBorders>
            <w:noWrap w:val="0"/>
            <w:vAlign w:val="center"/>
          </w:tcPr>
          <w:p w14:paraId="1960B23A">
            <w:pPr>
              <w:keepNext/>
              <w:snapToGrid w:val="0"/>
              <w:spacing w:line="360" w:lineRule="auto"/>
              <w:rPr>
                <w:rFonts w:hint="eastAsia" w:ascii="宋体" w:hAnsi="宋体" w:cs="宋体"/>
                <w:color w:val="auto"/>
                <w:sz w:val="22"/>
                <w:szCs w:val="21"/>
                <w:highlight w:val="none"/>
              </w:rPr>
            </w:pPr>
          </w:p>
        </w:tc>
        <w:tc>
          <w:tcPr>
            <w:tcW w:w="708" w:type="dxa"/>
            <w:tcBorders>
              <w:top w:val="nil"/>
            </w:tcBorders>
            <w:noWrap w:val="0"/>
            <w:vAlign w:val="center"/>
          </w:tcPr>
          <w:p w14:paraId="087457AF">
            <w:pPr>
              <w:keepNext/>
              <w:snapToGrid w:val="0"/>
              <w:spacing w:line="360" w:lineRule="auto"/>
              <w:rPr>
                <w:rFonts w:hint="eastAsia" w:ascii="宋体" w:hAnsi="宋体" w:cs="宋体"/>
                <w:color w:val="auto"/>
                <w:sz w:val="22"/>
                <w:szCs w:val="21"/>
                <w:highlight w:val="none"/>
              </w:rPr>
            </w:pPr>
          </w:p>
        </w:tc>
        <w:tc>
          <w:tcPr>
            <w:tcW w:w="567" w:type="dxa"/>
            <w:tcBorders>
              <w:top w:val="nil"/>
            </w:tcBorders>
            <w:noWrap w:val="0"/>
            <w:vAlign w:val="center"/>
          </w:tcPr>
          <w:p w14:paraId="00DEB885">
            <w:pPr>
              <w:keepNext/>
              <w:snapToGrid w:val="0"/>
              <w:spacing w:line="360" w:lineRule="auto"/>
              <w:rPr>
                <w:rFonts w:hint="eastAsia" w:ascii="宋体" w:hAnsi="宋体" w:cs="宋体"/>
                <w:color w:val="auto"/>
                <w:sz w:val="22"/>
                <w:szCs w:val="21"/>
                <w:highlight w:val="none"/>
              </w:rPr>
            </w:pPr>
          </w:p>
        </w:tc>
      </w:tr>
      <w:tr w14:paraId="4EC4F7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993" w:type="dxa"/>
            <w:tcBorders>
              <w:top w:val="nil"/>
            </w:tcBorders>
            <w:noWrap w:val="0"/>
            <w:vAlign w:val="center"/>
          </w:tcPr>
          <w:p w14:paraId="40E13479">
            <w:pPr>
              <w:keepNext/>
              <w:snapToGrid w:val="0"/>
              <w:spacing w:line="360" w:lineRule="auto"/>
              <w:rPr>
                <w:rFonts w:hint="eastAsia" w:ascii="宋体" w:hAnsi="宋体" w:cs="宋体"/>
                <w:color w:val="auto"/>
                <w:sz w:val="22"/>
                <w:szCs w:val="21"/>
                <w:highlight w:val="none"/>
              </w:rPr>
            </w:pPr>
          </w:p>
        </w:tc>
        <w:tc>
          <w:tcPr>
            <w:tcW w:w="1134" w:type="dxa"/>
            <w:tcBorders>
              <w:top w:val="nil"/>
            </w:tcBorders>
            <w:noWrap w:val="0"/>
            <w:vAlign w:val="center"/>
          </w:tcPr>
          <w:p w14:paraId="7E6CBC31">
            <w:pPr>
              <w:keepNext/>
              <w:snapToGrid w:val="0"/>
              <w:spacing w:line="360" w:lineRule="auto"/>
              <w:rPr>
                <w:rFonts w:hint="eastAsia" w:ascii="宋体" w:hAnsi="宋体" w:cs="宋体"/>
                <w:color w:val="auto"/>
                <w:sz w:val="22"/>
                <w:szCs w:val="21"/>
                <w:highlight w:val="none"/>
              </w:rPr>
            </w:pPr>
          </w:p>
        </w:tc>
        <w:tc>
          <w:tcPr>
            <w:tcW w:w="1134" w:type="dxa"/>
            <w:tcBorders>
              <w:top w:val="nil"/>
            </w:tcBorders>
            <w:noWrap w:val="0"/>
            <w:vAlign w:val="center"/>
          </w:tcPr>
          <w:p w14:paraId="008F3060">
            <w:pPr>
              <w:keepNext/>
              <w:snapToGrid w:val="0"/>
              <w:spacing w:line="360" w:lineRule="auto"/>
              <w:rPr>
                <w:rFonts w:hint="eastAsia" w:ascii="宋体" w:hAnsi="宋体" w:cs="宋体"/>
                <w:color w:val="auto"/>
                <w:sz w:val="22"/>
                <w:szCs w:val="21"/>
                <w:highlight w:val="none"/>
              </w:rPr>
            </w:pPr>
          </w:p>
        </w:tc>
        <w:tc>
          <w:tcPr>
            <w:tcW w:w="993" w:type="dxa"/>
            <w:tcBorders>
              <w:top w:val="nil"/>
            </w:tcBorders>
            <w:noWrap w:val="0"/>
            <w:vAlign w:val="center"/>
          </w:tcPr>
          <w:p w14:paraId="39BACEEC">
            <w:pPr>
              <w:keepNext/>
              <w:snapToGrid w:val="0"/>
              <w:spacing w:line="360" w:lineRule="auto"/>
              <w:rPr>
                <w:rFonts w:hint="eastAsia" w:ascii="宋体" w:hAnsi="宋体" w:cs="宋体"/>
                <w:color w:val="auto"/>
                <w:sz w:val="22"/>
                <w:szCs w:val="21"/>
                <w:highlight w:val="none"/>
              </w:rPr>
            </w:pPr>
          </w:p>
        </w:tc>
        <w:tc>
          <w:tcPr>
            <w:tcW w:w="708" w:type="dxa"/>
            <w:tcBorders>
              <w:top w:val="nil"/>
            </w:tcBorders>
            <w:noWrap w:val="0"/>
            <w:vAlign w:val="center"/>
          </w:tcPr>
          <w:p w14:paraId="70A9D8A7">
            <w:pPr>
              <w:keepNext/>
              <w:snapToGrid w:val="0"/>
              <w:spacing w:line="360" w:lineRule="auto"/>
              <w:rPr>
                <w:rFonts w:hint="eastAsia" w:ascii="宋体" w:hAnsi="宋体" w:cs="宋体"/>
                <w:color w:val="auto"/>
                <w:sz w:val="22"/>
                <w:szCs w:val="21"/>
                <w:highlight w:val="none"/>
              </w:rPr>
            </w:pPr>
          </w:p>
        </w:tc>
        <w:tc>
          <w:tcPr>
            <w:tcW w:w="1134" w:type="dxa"/>
            <w:tcBorders>
              <w:top w:val="nil"/>
            </w:tcBorders>
            <w:noWrap w:val="0"/>
            <w:vAlign w:val="center"/>
          </w:tcPr>
          <w:p w14:paraId="3B970DD2">
            <w:pPr>
              <w:keepNext/>
              <w:snapToGrid w:val="0"/>
              <w:spacing w:line="360" w:lineRule="auto"/>
              <w:rPr>
                <w:rFonts w:hint="eastAsia" w:ascii="宋体" w:hAnsi="宋体" w:cs="宋体"/>
                <w:color w:val="auto"/>
                <w:sz w:val="22"/>
                <w:szCs w:val="21"/>
                <w:highlight w:val="none"/>
              </w:rPr>
            </w:pPr>
          </w:p>
        </w:tc>
        <w:tc>
          <w:tcPr>
            <w:tcW w:w="1134" w:type="dxa"/>
            <w:tcBorders>
              <w:top w:val="nil"/>
            </w:tcBorders>
            <w:noWrap w:val="0"/>
            <w:vAlign w:val="center"/>
          </w:tcPr>
          <w:p w14:paraId="3EC59406">
            <w:pPr>
              <w:keepNext/>
              <w:snapToGrid w:val="0"/>
              <w:spacing w:line="360" w:lineRule="auto"/>
              <w:rPr>
                <w:rFonts w:hint="eastAsia" w:ascii="宋体" w:hAnsi="宋体" w:cs="宋体"/>
                <w:color w:val="auto"/>
                <w:sz w:val="22"/>
                <w:szCs w:val="21"/>
                <w:highlight w:val="none"/>
              </w:rPr>
            </w:pPr>
          </w:p>
        </w:tc>
        <w:tc>
          <w:tcPr>
            <w:tcW w:w="993" w:type="dxa"/>
            <w:tcBorders>
              <w:top w:val="nil"/>
            </w:tcBorders>
            <w:noWrap w:val="0"/>
            <w:vAlign w:val="center"/>
          </w:tcPr>
          <w:p w14:paraId="0BA0D482">
            <w:pPr>
              <w:keepNext/>
              <w:snapToGrid w:val="0"/>
              <w:spacing w:line="360" w:lineRule="auto"/>
              <w:rPr>
                <w:rFonts w:hint="eastAsia" w:ascii="宋体" w:hAnsi="宋体" w:cs="宋体"/>
                <w:color w:val="auto"/>
                <w:sz w:val="22"/>
                <w:szCs w:val="21"/>
                <w:highlight w:val="none"/>
              </w:rPr>
            </w:pPr>
          </w:p>
        </w:tc>
        <w:tc>
          <w:tcPr>
            <w:tcW w:w="708" w:type="dxa"/>
            <w:tcBorders>
              <w:top w:val="nil"/>
            </w:tcBorders>
            <w:noWrap w:val="0"/>
            <w:vAlign w:val="center"/>
          </w:tcPr>
          <w:p w14:paraId="6D724F88">
            <w:pPr>
              <w:keepNext/>
              <w:snapToGrid w:val="0"/>
              <w:spacing w:line="360" w:lineRule="auto"/>
              <w:rPr>
                <w:rFonts w:hint="eastAsia" w:ascii="宋体" w:hAnsi="宋体" w:cs="宋体"/>
                <w:color w:val="auto"/>
                <w:sz w:val="22"/>
                <w:szCs w:val="21"/>
                <w:highlight w:val="none"/>
              </w:rPr>
            </w:pPr>
          </w:p>
        </w:tc>
        <w:tc>
          <w:tcPr>
            <w:tcW w:w="567" w:type="dxa"/>
            <w:tcBorders>
              <w:top w:val="nil"/>
            </w:tcBorders>
            <w:noWrap w:val="0"/>
            <w:vAlign w:val="center"/>
          </w:tcPr>
          <w:p w14:paraId="6E4E1E5B">
            <w:pPr>
              <w:keepNext/>
              <w:snapToGrid w:val="0"/>
              <w:spacing w:line="360" w:lineRule="auto"/>
              <w:rPr>
                <w:rFonts w:hint="eastAsia" w:ascii="宋体" w:hAnsi="宋体" w:cs="宋体"/>
                <w:color w:val="auto"/>
                <w:sz w:val="22"/>
                <w:szCs w:val="21"/>
                <w:highlight w:val="none"/>
              </w:rPr>
            </w:pPr>
          </w:p>
        </w:tc>
      </w:tr>
      <w:tr w14:paraId="6643F3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993" w:type="dxa"/>
            <w:tcBorders>
              <w:bottom w:val="single" w:color="auto" w:sz="12" w:space="0"/>
            </w:tcBorders>
            <w:noWrap w:val="0"/>
            <w:vAlign w:val="center"/>
          </w:tcPr>
          <w:p w14:paraId="2499733B">
            <w:pPr>
              <w:keepNext/>
              <w:snapToGrid w:val="0"/>
              <w:spacing w:line="360" w:lineRule="auto"/>
              <w:rPr>
                <w:rFonts w:hint="eastAsia" w:ascii="宋体" w:hAnsi="宋体" w:cs="宋体"/>
                <w:color w:val="auto"/>
                <w:sz w:val="22"/>
                <w:szCs w:val="21"/>
                <w:highlight w:val="none"/>
              </w:rPr>
            </w:pPr>
          </w:p>
        </w:tc>
        <w:tc>
          <w:tcPr>
            <w:tcW w:w="1134" w:type="dxa"/>
            <w:tcBorders>
              <w:bottom w:val="single" w:color="auto" w:sz="12" w:space="0"/>
            </w:tcBorders>
            <w:noWrap w:val="0"/>
            <w:vAlign w:val="center"/>
          </w:tcPr>
          <w:p w14:paraId="2C4AD8FC">
            <w:pPr>
              <w:keepNext/>
              <w:snapToGrid w:val="0"/>
              <w:spacing w:line="360" w:lineRule="auto"/>
              <w:rPr>
                <w:rFonts w:hint="eastAsia" w:ascii="宋体" w:hAnsi="宋体" w:cs="宋体"/>
                <w:color w:val="auto"/>
                <w:sz w:val="22"/>
                <w:szCs w:val="21"/>
                <w:highlight w:val="none"/>
              </w:rPr>
            </w:pPr>
          </w:p>
        </w:tc>
        <w:tc>
          <w:tcPr>
            <w:tcW w:w="1134" w:type="dxa"/>
            <w:tcBorders>
              <w:bottom w:val="single" w:color="auto" w:sz="12" w:space="0"/>
            </w:tcBorders>
            <w:noWrap w:val="0"/>
            <w:vAlign w:val="center"/>
          </w:tcPr>
          <w:p w14:paraId="204EA477">
            <w:pPr>
              <w:keepNext/>
              <w:snapToGrid w:val="0"/>
              <w:spacing w:line="360" w:lineRule="auto"/>
              <w:rPr>
                <w:rFonts w:hint="eastAsia" w:ascii="宋体" w:hAnsi="宋体" w:cs="宋体"/>
                <w:color w:val="auto"/>
                <w:sz w:val="22"/>
                <w:szCs w:val="21"/>
                <w:highlight w:val="none"/>
              </w:rPr>
            </w:pPr>
          </w:p>
        </w:tc>
        <w:tc>
          <w:tcPr>
            <w:tcW w:w="993" w:type="dxa"/>
            <w:tcBorders>
              <w:bottom w:val="single" w:color="auto" w:sz="12" w:space="0"/>
            </w:tcBorders>
            <w:noWrap w:val="0"/>
            <w:vAlign w:val="center"/>
          </w:tcPr>
          <w:p w14:paraId="18F3C5E6">
            <w:pPr>
              <w:keepNext/>
              <w:snapToGrid w:val="0"/>
              <w:spacing w:line="360" w:lineRule="auto"/>
              <w:rPr>
                <w:rFonts w:hint="eastAsia" w:ascii="宋体" w:hAnsi="宋体" w:cs="宋体"/>
                <w:color w:val="auto"/>
                <w:sz w:val="22"/>
                <w:szCs w:val="21"/>
                <w:highlight w:val="none"/>
              </w:rPr>
            </w:pPr>
          </w:p>
        </w:tc>
        <w:tc>
          <w:tcPr>
            <w:tcW w:w="708" w:type="dxa"/>
            <w:tcBorders>
              <w:bottom w:val="single" w:color="auto" w:sz="12" w:space="0"/>
            </w:tcBorders>
            <w:noWrap w:val="0"/>
            <w:vAlign w:val="center"/>
          </w:tcPr>
          <w:p w14:paraId="290C266C">
            <w:pPr>
              <w:keepNext/>
              <w:snapToGrid w:val="0"/>
              <w:spacing w:line="360" w:lineRule="auto"/>
              <w:rPr>
                <w:rFonts w:hint="eastAsia" w:ascii="宋体" w:hAnsi="宋体" w:cs="宋体"/>
                <w:color w:val="auto"/>
                <w:sz w:val="22"/>
                <w:szCs w:val="21"/>
                <w:highlight w:val="none"/>
              </w:rPr>
            </w:pPr>
          </w:p>
        </w:tc>
        <w:tc>
          <w:tcPr>
            <w:tcW w:w="1134" w:type="dxa"/>
            <w:tcBorders>
              <w:bottom w:val="single" w:color="auto" w:sz="12" w:space="0"/>
            </w:tcBorders>
            <w:noWrap w:val="0"/>
            <w:vAlign w:val="center"/>
          </w:tcPr>
          <w:p w14:paraId="56366ADF">
            <w:pPr>
              <w:keepNext/>
              <w:snapToGrid w:val="0"/>
              <w:spacing w:line="360" w:lineRule="auto"/>
              <w:rPr>
                <w:rFonts w:hint="eastAsia" w:ascii="宋体" w:hAnsi="宋体" w:cs="宋体"/>
                <w:color w:val="auto"/>
                <w:sz w:val="22"/>
                <w:szCs w:val="21"/>
                <w:highlight w:val="none"/>
              </w:rPr>
            </w:pPr>
          </w:p>
        </w:tc>
        <w:tc>
          <w:tcPr>
            <w:tcW w:w="1134" w:type="dxa"/>
            <w:tcBorders>
              <w:bottom w:val="single" w:color="auto" w:sz="12" w:space="0"/>
            </w:tcBorders>
            <w:noWrap w:val="0"/>
            <w:vAlign w:val="center"/>
          </w:tcPr>
          <w:p w14:paraId="29397A54">
            <w:pPr>
              <w:keepNext/>
              <w:snapToGrid w:val="0"/>
              <w:spacing w:line="360" w:lineRule="auto"/>
              <w:rPr>
                <w:rFonts w:hint="eastAsia" w:ascii="宋体" w:hAnsi="宋体" w:cs="宋体"/>
                <w:color w:val="auto"/>
                <w:sz w:val="22"/>
                <w:szCs w:val="21"/>
                <w:highlight w:val="none"/>
              </w:rPr>
            </w:pPr>
          </w:p>
        </w:tc>
        <w:tc>
          <w:tcPr>
            <w:tcW w:w="993" w:type="dxa"/>
            <w:tcBorders>
              <w:bottom w:val="single" w:color="auto" w:sz="12" w:space="0"/>
            </w:tcBorders>
            <w:noWrap w:val="0"/>
            <w:vAlign w:val="center"/>
          </w:tcPr>
          <w:p w14:paraId="74EB2F5E">
            <w:pPr>
              <w:keepNext/>
              <w:snapToGrid w:val="0"/>
              <w:spacing w:line="360" w:lineRule="auto"/>
              <w:rPr>
                <w:rFonts w:hint="eastAsia" w:ascii="宋体" w:hAnsi="宋体" w:cs="宋体"/>
                <w:color w:val="auto"/>
                <w:sz w:val="22"/>
                <w:szCs w:val="21"/>
                <w:highlight w:val="none"/>
              </w:rPr>
            </w:pPr>
          </w:p>
        </w:tc>
        <w:tc>
          <w:tcPr>
            <w:tcW w:w="708" w:type="dxa"/>
            <w:tcBorders>
              <w:bottom w:val="single" w:color="auto" w:sz="12" w:space="0"/>
            </w:tcBorders>
            <w:noWrap w:val="0"/>
            <w:vAlign w:val="center"/>
          </w:tcPr>
          <w:p w14:paraId="47F91B09">
            <w:pPr>
              <w:keepNext/>
              <w:snapToGrid w:val="0"/>
              <w:spacing w:line="360" w:lineRule="auto"/>
              <w:rPr>
                <w:rFonts w:hint="eastAsia" w:ascii="宋体" w:hAnsi="宋体" w:cs="宋体"/>
                <w:color w:val="auto"/>
                <w:sz w:val="22"/>
                <w:szCs w:val="21"/>
                <w:highlight w:val="none"/>
              </w:rPr>
            </w:pPr>
          </w:p>
        </w:tc>
        <w:tc>
          <w:tcPr>
            <w:tcW w:w="567" w:type="dxa"/>
            <w:tcBorders>
              <w:bottom w:val="single" w:color="auto" w:sz="12" w:space="0"/>
            </w:tcBorders>
            <w:noWrap w:val="0"/>
            <w:vAlign w:val="center"/>
          </w:tcPr>
          <w:p w14:paraId="479836AF">
            <w:pPr>
              <w:keepNext/>
              <w:snapToGrid w:val="0"/>
              <w:spacing w:line="360" w:lineRule="auto"/>
              <w:rPr>
                <w:rFonts w:hint="eastAsia" w:ascii="宋体" w:hAnsi="宋体" w:cs="宋体"/>
                <w:color w:val="auto"/>
                <w:sz w:val="22"/>
                <w:szCs w:val="21"/>
                <w:highlight w:val="none"/>
              </w:rPr>
            </w:pPr>
          </w:p>
        </w:tc>
      </w:tr>
    </w:tbl>
    <w:p w14:paraId="0123E964">
      <w:pPr>
        <w:spacing w:line="360" w:lineRule="auto"/>
        <w:rPr>
          <w:rFonts w:hint="eastAsia" w:ascii="宋体" w:hAnsi="宋体" w:cs="宋体"/>
          <w:color w:val="auto"/>
          <w:sz w:val="22"/>
          <w:szCs w:val="21"/>
          <w:highlight w:val="none"/>
        </w:rPr>
      </w:pPr>
    </w:p>
    <w:p w14:paraId="6EC58DE8">
      <w:pPr>
        <w:spacing w:line="360" w:lineRule="auto"/>
        <w:rPr>
          <w:rFonts w:hint="eastAsia" w:ascii="宋体" w:hAnsi="宋体" w:cs="宋体"/>
          <w:color w:val="auto"/>
          <w:sz w:val="22"/>
          <w:szCs w:val="21"/>
          <w:highlight w:val="none"/>
        </w:rPr>
      </w:pPr>
    </w:p>
    <w:p w14:paraId="035B3D3B">
      <w:pPr>
        <w:keepNext/>
        <w:keepLines/>
        <w:spacing w:before="120" w:after="120" w:line="360" w:lineRule="auto"/>
        <w:jc w:val="left"/>
        <w:outlineLvl w:val="2"/>
        <w:rPr>
          <w:rFonts w:hint="eastAsia" w:ascii="宋体" w:hAnsi="宋体" w:cs="宋体"/>
          <w:bCs/>
          <w:color w:val="auto"/>
          <w:sz w:val="24"/>
          <w:highlight w:val="none"/>
        </w:rPr>
      </w:pPr>
      <w:bookmarkStart w:id="1277" w:name="_Toc95223487"/>
      <w:r>
        <w:rPr>
          <w:rFonts w:hint="eastAsia" w:ascii="宋体" w:hAnsi="宋体" w:cs="宋体"/>
          <w:bCs/>
          <w:color w:val="auto"/>
          <w:sz w:val="24"/>
          <w:highlight w:val="none"/>
        </w:rPr>
        <w:t>附</w:t>
      </w:r>
      <w:bookmarkStart w:id="1278" w:name="_Toc296347224"/>
      <w:bookmarkStart w:id="1279" w:name="_Toc296891265"/>
      <w:bookmarkStart w:id="1280" w:name="_Toc296346726"/>
      <w:bookmarkStart w:id="1281" w:name="_Toc296891053"/>
      <w:bookmarkStart w:id="1282" w:name="_Toc296944564"/>
      <w:bookmarkStart w:id="1283" w:name="_Toc296503225"/>
      <w:bookmarkStart w:id="1284" w:name="_Toc267261692"/>
      <w:r>
        <w:rPr>
          <w:rFonts w:hint="eastAsia" w:ascii="宋体" w:hAnsi="宋体" w:cs="宋体"/>
          <w:bCs/>
          <w:color w:val="auto"/>
          <w:sz w:val="24"/>
          <w:highlight w:val="none"/>
        </w:rPr>
        <w:t>件2：发包人供应材料设备一览表</w:t>
      </w:r>
      <w:bookmarkEnd w:id="1277"/>
    </w:p>
    <w:bookmarkEnd w:id="1278"/>
    <w:bookmarkEnd w:id="1279"/>
    <w:bookmarkEnd w:id="1280"/>
    <w:bookmarkEnd w:id="1281"/>
    <w:bookmarkEnd w:id="1282"/>
    <w:bookmarkEnd w:id="1283"/>
    <w:bookmarkEnd w:id="1284"/>
    <w:p w14:paraId="6A5B1615">
      <w:pPr>
        <w:spacing w:line="360" w:lineRule="auto"/>
        <w:jc w:val="center"/>
        <w:rPr>
          <w:rFonts w:hint="eastAsia" w:ascii="宋体" w:hAnsi="宋体" w:cs="宋体"/>
          <w:color w:val="auto"/>
          <w:sz w:val="22"/>
          <w:szCs w:val="21"/>
          <w:highlight w:val="none"/>
        </w:rPr>
      </w:pPr>
      <w:r>
        <w:rPr>
          <w:rFonts w:hint="eastAsia" w:ascii="宋体" w:hAnsi="宋体" w:cs="宋体"/>
          <w:color w:val="auto"/>
          <w:sz w:val="22"/>
          <w:szCs w:val="21"/>
          <w:highlight w:val="none"/>
        </w:rPr>
        <w:t>发包人供应材料设备一览表</w:t>
      </w:r>
    </w:p>
    <w:tbl>
      <w:tblPr>
        <w:tblStyle w:val="20"/>
        <w:tblW w:w="965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51"/>
        <w:gridCol w:w="1276"/>
        <w:gridCol w:w="1082"/>
        <w:gridCol w:w="940"/>
        <w:gridCol w:w="851"/>
        <w:gridCol w:w="1044"/>
        <w:gridCol w:w="992"/>
        <w:gridCol w:w="851"/>
        <w:gridCol w:w="966"/>
        <w:gridCol w:w="803"/>
      </w:tblGrid>
      <w:tr w14:paraId="681311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51" w:type="dxa"/>
            <w:tcBorders>
              <w:top w:val="single" w:color="auto" w:sz="12" w:space="0"/>
              <w:bottom w:val="double" w:color="auto" w:sz="6" w:space="0"/>
            </w:tcBorders>
            <w:noWrap w:val="0"/>
            <w:vAlign w:val="center"/>
          </w:tcPr>
          <w:p w14:paraId="15F5AC73">
            <w:pPr>
              <w:keepNext/>
              <w:snapToGrid w:val="0"/>
              <w:spacing w:line="360" w:lineRule="auto"/>
              <w:rPr>
                <w:rFonts w:hint="eastAsia" w:ascii="宋体" w:hAnsi="宋体" w:cs="宋体"/>
                <w:color w:val="auto"/>
                <w:sz w:val="22"/>
                <w:szCs w:val="21"/>
                <w:highlight w:val="none"/>
              </w:rPr>
            </w:pPr>
            <w:r>
              <w:rPr>
                <w:rFonts w:hint="eastAsia" w:ascii="宋体" w:hAnsi="宋体" w:cs="宋体"/>
                <w:color w:val="auto"/>
                <w:sz w:val="22"/>
                <w:szCs w:val="21"/>
                <w:highlight w:val="none"/>
              </w:rPr>
              <w:t>序号</w:t>
            </w:r>
          </w:p>
        </w:tc>
        <w:tc>
          <w:tcPr>
            <w:tcW w:w="1276" w:type="dxa"/>
            <w:tcBorders>
              <w:top w:val="single" w:color="auto" w:sz="12" w:space="0"/>
              <w:bottom w:val="double" w:color="auto" w:sz="6" w:space="0"/>
            </w:tcBorders>
            <w:noWrap w:val="0"/>
            <w:vAlign w:val="center"/>
          </w:tcPr>
          <w:p w14:paraId="0F896ABB">
            <w:pPr>
              <w:keepNext/>
              <w:snapToGrid w:val="0"/>
              <w:spacing w:line="360" w:lineRule="auto"/>
              <w:rPr>
                <w:rFonts w:hint="eastAsia" w:ascii="宋体" w:hAnsi="宋体" w:cs="宋体"/>
                <w:color w:val="auto"/>
                <w:sz w:val="22"/>
                <w:szCs w:val="21"/>
                <w:highlight w:val="none"/>
              </w:rPr>
            </w:pPr>
            <w:r>
              <w:rPr>
                <w:rFonts w:hint="eastAsia" w:ascii="宋体" w:hAnsi="宋体" w:cs="宋体"/>
                <w:color w:val="auto"/>
                <w:sz w:val="22"/>
                <w:szCs w:val="21"/>
                <w:highlight w:val="none"/>
              </w:rPr>
              <w:t>材料、设备品种</w:t>
            </w:r>
          </w:p>
        </w:tc>
        <w:tc>
          <w:tcPr>
            <w:tcW w:w="1082" w:type="dxa"/>
            <w:tcBorders>
              <w:top w:val="single" w:color="auto" w:sz="12" w:space="0"/>
              <w:bottom w:val="double" w:color="auto" w:sz="6" w:space="0"/>
            </w:tcBorders>
            <w:noWrap w:val="0"/>
            <w:vAlign w:val="center"/>
          </w:tcPr>
          <w:p w14:paraId="0E1D8642">
            <w:pPr>
              <w:keepNext/>
              <w:snapToGrid w:val="0"/>
              <w:spacing w:line="360" w:lineRule="auto"/>
              <w:rPr>
                <w:rFonts w:hint="eastAsia" w:ascii="宋体" w:hAnsi="宋体" w:cs="宋体"/>
                <w:color w:val="auto"/>
                <w:sz w:val="22"/>
                <w:szCs w:val="21"/>
                <w:highlight w:val="none"/>
              </w:rPr>
            </w:pPr>
            <w:r>
              <w:rPr>
                <w:rFonts w:hint="eastAsia" w:ascii="宋体" w:hAnsi="宋体" w:cs="宋体"/>
                <w:color w:val="auto"/>
                <w:sz w:val="22"/>
                <w:szCs w:val="21"/>
                <w:highlight w:val="none"/>
              </w:rPr>
              <w:t>规格型号</w:t>
            </w:r>
          </w:p>
        </w:tc>
        <w:tc>
          <w:tcPr>
            <w:tcW w:w="940" w:type="dxa"/>
            <w:tcBorders>
              <w:top w:val="single" w:color="auto" w:sz="12" w:space="0"/>
              <w:bottom w:val="double" w:color="auto" w:sz="6" w:space="0"/>
            </w:tcBorders>
            <w:noWrap w:val="0"/>
            <w:vAlign w:val="center"/>
          </w:tcPr>
          <w:p w14:paraId="1F3C8FDF">
            <w:pPr>
              <w:keepNext/>
              <w:snapToGrid w:val="0"/>
              <w:spacing w:line="360" w:lineRule="auto"/>
              <w:rPr>
                <w:rFonts w:hint="eastAsia" w:ascii="宋体" w:hAnsi="宋体" w:cs="宋体"/>
                <w:color w:val="auto"/>
                <w:sz w:val="22"/>
                <w:szCs w:val="21"/>
                <w:highlight w:val="none"/>
              </w:rPr>
            </w:pPr>
            <w:r>
              <w:rPr>
                <w:rFonts w:hint="eastAsia" w:ascii="宋体" w:hAnsi="宋体" w:cs="宋体"/>
                <w:color w:val="auto"/>
                <w:sz w:val="22"/>
                <w:szCs w:val="21"/>
                <w:highlight w:val="none"/>
              </w:rPr>
              <w:t>单位</w:t>
            </w:r>
          </w:p>
        </w:tc>
        <w:tc>
          <w:tcPr>
            <w:tcW w:w="851" w:type="dxa"/>
            <w:tcBorders>
              <w:top w:val="single" w:color="auto" w:sz="12" w:space="0"/>
              <w:bottom w:val="double" w:color="auto" w:sz="6" w:space="0"/>
            </w:tcBorders>
            <w:noWrap w:val="0"/>
            <w:vAlign w:val="center"/>
          </w:tcPr>
          <w:p w14:paraId="2E4CC768">
            <w:pPr>
              <w:keepNext/>
              <w:snapToGrid w:val="0"/>
              <w:spacing w:line="360" w:lineRule="auto"/>
              <w:rPr>
                <w:rFonts w:hint="eastAsia" w:ascii="宋体" w:hAnsi="宋体" w:cs="宋体"/>
                <w:color w:val="auto"/>
                <w:sz w:val="22"/>
                <w:szCs w:val="21"/>
                <w:highlight w:val="none"/>
              </w:rPr>
            </w:pPr>
            <w:r>
              <w:rPr>
                <w:rFonts w:hint="eastAsia" w:ascii="宋体" w:hAnsi="宋体" w:cs="宋体"/>
                <w:color w:val="auto"/>
                <w:sz w:val="22"/>
                <w:szCs w:val="21"/>
                <w:highlight w:val="none"/>
              </w:rPr>
              <w:t>数量</w:t>
            </w:r>
          </w:p>
        </w:tc>
        <w:tc>
          <w:tcPr>
            <w:tcW w:w="1044" w:type="dxa"/>
            <w:tcBorders>
              <w:top w:val="single" w:color="auto" w:sz="12" w:space="0"/>
              <w:bottom w:val="double" w:color="auto" w:sz="6" w:space="0"/>
            </w:tcBorders>
            <w:noWrap w:val="0"/>
            <w:vAlign w:val="center"/>
          </w:tcPr>
          <w:p w14:paraId="6EF8548D">
            <w:pPr>
              <w:keepNext/>
              <w:snapToGrid w:val="0"/>
              <w:spacing w:line="360" w:lineRule="auto"/>
              <w:rPr>
                <w:rFonts w:hint="eastAsia" w:ascii="宋体" w:hAnsi="宋体" w:cs="宋体"/>
                <w:color w:val="auto"/>
                <w:sz w:val="22"/>
                <w:szCs w:val="21"/>
                <w:highlight w:val="none"/>
              </w:rPr>
            </w:pPr>
            <w:r>
              <w:rPr>
                <w:rFonts w:hint="eastAsia" w:ascii="宋体" w:hAnsi="宋体" w:cs="宋体"/>
                <w:color w:val="auto"/>
                <w:sz w:val="22"/>
                <w:szCs w:val="21"/>
                <w:highlight w:val="none"/>
              </w:rPr>
              <w:t>单价（元）</w:t>
            </w:r>
          </w:p>
        </w:tc>
        <w:tc>
          <w:tcPr>
            <w:tcW w:w="992" w:type="dxa"/>
            <w:tcBorders>
              <w:top w:val="single" w:color="auto" w:sz="12" w:space="0"/>
              <w:bottom w:val="double" w:color="auto" w:sz="6" w:space="0"/>
            </w:tcBorders>
            <w:noWrap w:val="0"/>
            <w:vAlign w:val="center"/>
          </w:tcPr>
          <w:p w14:paraId="7628B595">
            <w:pPr>
              <w:keepNext/>
              <w:snapToGrid w:val="0"/>
              <w:spacing w:line="360" w:lineRule="auto"/>
              <w:rPr>
                <w:rFonts w:hint="eastAsia" w:ascii="宋体" w:hAnsi="宋体" w:cs="宋体"/>
                <w:color w:val="auto"/>
                <w:sz w:val="22"/>
                <w:szCs w:val="21"/>
                <w:highlight w:val="none"/>
              </w:rPr>
            </w:pPr>
            <w:r>
              <w:rPr>
                <w:rFonts w:hint="eastAsia" w:ascii="宋体" w:hAnsi="宋体" w:cs="宋体"/>
                <w:color w:val="auto"/>
                <w:sz w:val="22"/>
                <w:szCs w:val="21"/>
                <w:highlight w:val="none"/>
              </w:rPr>
              <w:t>质量等级</w:t>
            </w:r>
          </w:p>
        </w:tc>
        <w:tc>
          <w:tcPr>
            <w:tcW w:w="851" w:type="dxa"/>
            <w:tcBorders>
              <w:top w:val="single" w:color="auto" w:sz="12" w:space="0"/>
              <w:bottom w:val="double" w:color="auto" w:sz="6" w:space="0"/>
            </w:tcBorders>
            <w:noWrap w:val="0"/>
            <w:vAlign w:val="center"/>
          </w:tcPr>
          <w:p w14:paraId="6A0ABCFB">
            <w:pPr>
              <w:keepNext/>
              <w:snapToGrid w:val="0"/>
              <w:spacing w:line="360" w:lineRule="auto"/>
              <w:rPr>
                <w:rFonts w:hint="eastAsia" w:ascii="宋体" w:hAnsi="宋体" w:cs="宋体"/>
                <w:color w:val="auto"/>
                <w:sz w:val="22"/>
                <w:szCs w:val="21"/>
                <w:highlight w:val="none"/>
              </w:rPr>
            </w:pPr>
            <w:r>
              <w:rPr>
                <w:rFonts w:hint="eastAsia" w:ascii="宋体" w:hAnsi="宋体" w:cs="宋体"/>
                <w:color w:val="auto"/>
                <w:sz w:val="22"/>
                <w:szCs w:val="21"/>
                <w:highlight w:val="none"/>
              </w:rPr>
              <w:t>供应时间</w:t>
            </w:r>
          </w:p>
        </w:tc>
        <w:tc>
          <w:tcPr>
            <w:tcW w:w="966" w:type="dxa"/>
            <w:tcBorders>
              <w:top w:val="single" w:color="auto" w:sz="12" w:space="0"/>
              <w:bottom w:val="double" w:color="auto" w:sz="6" w:space="0"/>
            </w:tcBorders>
            <w:noWrap w:val="0"/>
            <w:vAlign w:val="center"/>
          </w:tcPr>
          <w:p w14:paraId="258522E7">
            <w:pPr>
              <w:keepNext/>
              <w:snapToGrid w:val="0"/>
              <w:spacing w:line="360" w:lineRule="auto"/>
              <w:rPr>
                <w:rFonts w:hint="eastAsia" w:ascii="宋体" w:hAnsi="宋体" w:cs="宋体"/>
                <w:color w:val="auto"/>
                <w:sz w:val="22"/>
                <w:szCs w:val="21"/>
                <w:highlight w:val="none"/>
              </w:rPr>
            </w:pPr>
            <w:r>
              <w:rPr>
                <w:rFonts w:hint="eastAsia" w:ascii="宋体" w:hAnsi="宋体" w:cs="宋体"/>
                <w:color w:val="auto"/>
                <w:sz w:val="22"/>
                <w:szCs w:val="21"/>
                <w:highlight w:val="none"/>
              </w:rPr>
              <w:t>送达地点</w:t>
            </w:r>
          </w:p>
        </w:tc>
        <w:tc>
          <w:tcPr>
            <w:tcW w:w="803" w:type="dxa"/>
            <w:tcBorders>
              <w:top w:val="single" w:color="auto" w:sz="12" w:space="0"/>
              <w:bottom w:val="double" w:color="auto" w:sz="6" w:space="0"/>
            </w:tcBorders>
            <w:noWrap w:val="0"/>
            <w:vAlign w:val="center"/>
          </w:tcPr>
          <w:p w14:paraId="2A340338">
            <w:pPr>
              <w:keepNext/>
              <w:snapToGrid w:val="0"/>
              <w:spacing w:line="360" w:lineRule="auto"/>
              <w:rPr>
                <w:rFonts w:hint="eastAsia" w:ascii="宋体" w:hAnsi="宋体" w:cs="宋体"/>
                <w:color w:val="auto"/>
                <w:sz w:val="22"/>
                <w:szCs w:val="21"/>
                <w:highlight w:val="none"/>
              </w:rPr>
            </w:pPr>
            <w:r>
              <w:rPr>
                <w:rFonts w:hint="eastAsia" w:ascii="宋体" w:hAnsi="宋体" w:cs="宋体"/>
                <w:color w:val="auto"/>
                <w:sz w:val="22"/>
                <w:szCs w:val="21"/>
                <w:highlight w:val="none"/>
              </w:rPr>
              <w:t>备注</w:t>
            </w:r>
          </w:p>
        </w:tc>
      </w:tr>
      <w:tr w14:paraId="745810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51" w:type="dxa"/>
            <w:tcBorders>
              <w:top w:val="double" w:color="auto" w:sz="6" w:space="0"/>
            </w:tcBorders>
            <w:noWrap w:val="0"/>
            <w:vAlign w:val="center"/>
          </w:tcPr>
          <w:p w14:paraId="5BA7DDE1">
            <w:pPr>
              <w:keepNext/>
              <w:snapToGrid w:val="0"/>
              <w:spacing w:line="360" w:lineRule="auto"/>
              <w:rPr>
                <w:rFonts w:hint="eastAsia" w:ascii="宋体" w:hAnsi="宋体" w:cs="宋体"/>
                <w:color w:val="auto"/>
                <w:sz w:val="22"/>
                <w:szCs w:val="21"/>
                <w:highlight w:val="none"/>
              </w:rPr>
            </w:pPr>
          </w:p>
        </w:tc>
        <w:tc>
          <w:tcPr>
            <w:tcW w:w="1276" w:type="dxa"/>
            <w:tcBorders>
              <w:top w:val="double" w:color="auto" w:sz="6" w:space="0"/>
            </w:tcBorders>
            <w:noWrap w:val="0"/>
            <w:vAlign w:val="center"/>
          </w:tcPr>
          <w:p w14:paraId="683FFB89">
            <w:pPr>
              <w:keepNext/>
              <w:snapToGrid w:val="0"/>
              <w:spacing w:line="360" w:lineRule="auto"/>
              <w:rPr>
                <w:rFonts w:hint="eastAsia" w:ascii="宋体" w:hAnsi="宋体" w:cs="宋体"/>
                <w:color w:val="auto"/>
                <w:sz w:val="22"/>
                <w:szCs w:val="21"/>
                <w:highlight w:val="none"/>
              </w:rPr>
            </w:pPr>
          </w:p>
        </w:tc>
        <w:tc>
          <w:tcPr>
            <w:tcW w:w="1082" w:type="dxa"/>
            <w:tcBorders>
              <w:top w:val="double" w:color="auto" w:sz="6" w:space="0"/>
            </w:tcBorders>
            <w:noWrap w:val="0"/>
            <w:vAlign w:val="center"/>
          </w:tcPr>
          <w:p w14:paraId="180CF4EF">
            <w:pPr>
              <w:keepNext/>
              <w:snapToGrid w:val="0"/>
              <w:spacing w:line="360" w:lineRule="auto"/>
              <w:rPr>
                <w:rFonts w:hint="eastAsia" w:ascii="宋体" w:hAnsi="宋体" w:cs="宋体"/>
                <w:color w:val="auto"/>
                <w:sz w:val="22"/>
                <w:szCs w:val="21"/>
                <w:highlight w:val="none"/>
              </w:rPr>
            </w:pPr>
          </w:p>
        </w:tc>
        <w:tc>
          <w:tcPr>
            <w:tcW w:w="940" w:type="dxa"/>
            <w:tcBorders>
              <w:top w:val="double" w:color="auto" w:sz="6" w:space="0"/>
            </w:tcBorders>
            <w:noWrap w:val="0"/>
            <w:vAlign w:val="center"/>
          </w:tcPr>
          <w:p w14:paraId="3BA6CD60">
            <w:pPr>
              <w:keepNext/>
              <w:snapToGrid w:val="0"/>
              <w:spacing w:line="360" w:lineRule="auto"/>
              <w:rPr>
                <w:rFonts w:hint="eastAsia" w:ascii="宋体" w:hAnsi="宋体" w:cs="宋体"/>
                <w:color w:val="auto"/>
                <w:sz w:val="22"/>
                <w:szCs w:val="21"/>
                <w:highlight w:val="none"/>
              </w:rPr>
            </w:pPr>
          </w:p>
        </w:tc>
        <w:tc>
          <w:tcPr>
            <w:tcW w:w="851" w:type="dxa"/>
            <w:tcBorders>
              <w:top w:val="double" w:color="auto" w:sz="6" w:space="0"/>
            </w:tcBorders>
            <w:noWrap w:val="0"/>
            <w:vAlign w:val="center"/>
          </w:tcPr>
          <w:p w14:paraId="19B35E51">
            <w:pPr>
              <w:keepNext/>
              <w:snapToGrid w:val="0"/>
              <w:spacing w:line="360" w:lineRule="auto"/>
              <w:rPr>
                <w:rFonts w:hint="eastAsia" w:ascii="宋体" w:hAnsi="宋体" w:cs="宋体"/>
                <w:color w:val="auto"/>
                <w:sz w:val="22"/>
                <w:szCs w:val="21"/>
                <w:highlight w:val="none"/>
              </w:rPr>
            </w:pPr>
          </w:p>
        </w:tc>
        <w:tc>
          <w:tcPr>
            <w:tcW w:w="1044" w:type="dxa"/>
            <w:tcBorders>
              <w:top w:val="double" w:color="auto" w:sz="6" w:space="0"/>
            </w:tcBorders>
            <w:noWrap w:val="0"/>
            <w:vAlign w:val="center"/>
          </w:tcPr>
          <w:p w14:paraId="02F80009">
            <w:pPr>
              <w:keepNext/>
              <w:snapToGrid w:val="0"/>
              <w:spacing w:line="360" w:lineRule="auto"/>
              <w:rPr>
                <w:rFonts w:hint="eastAsia" w:ascii="宋体" w:hAnsi="宋体" w:cs="宋体"/>
                <w:color w:val="auto"/>
                <w:sz w:val="22"/>
                <w:szCs w:val="21"/>
                <w:highlight w:val="none"/>
              </w:rPr>
            </w:pPr>
          </w:p>
        </w:tc>
        <w:tc>
          <w:tcPr>
            <w:tcW w:w="992" w:type="dxa"/>
            <w:tcBorders>
              <w:top w:val="double" w:color="auto" w:sz="6" w:space="0"/>
            </w:tcBorders>
            <w:noWrap w:val="0"/>
            <w:vAlign w:val="center"/>
          </w:tcPr>
          <w:p w14:paraId="60F5FF4E">
            <w:pPr>
              <w:keepNext/>
              <w:snapToGrid w:val="0"/>
              <w:spacing w:line="360" w:lineRule="auto"/>
              <w:rPr>
                <w:rFonts w:hint="eastAsia" w:ascii="宋体" w:hAnsi="宋体" w:cs="宋体"/>
                <w:color w:val="auto"/>
                <w:sz w:val="22"/>
                <w:szCs w:val="21"/>
                <w:highlight w:val="none"/>
              </w:rPr>
            </w:pPr>
          </w:p>
        </w:tc>
        <w:tc>
          <w:tcPr>
            <w:tcW w:w="851" w:type="dxa"/>
            <w:tcBorders>
              <w:top w:val="double" w:color="auto" w:sz="6" w:space="0"/>
            </w:tcBorders>
            <w:noWrap w:val="0"/>
            <w:vAlign w:val="center"/>
          </w:tcPr>
          <w:p w14:paraId="1BFE4FB9">
            <w:pPr>
              <w:keepNext/>
              <w:snapToGrid w:val="0"/>
              <w:spacing w:line="360" w:lineRule="auto"/>
              <w:rPr>
                <w:rFonts w:hint="eastAsia" w:ascii="宋体" w:hAnsi="宋体" w:cs="宋体"/>
                <w:color w:val="auto"/>
                <w:sz w:val="22"/>
                <w:szCs w:val="21"/>
                <w:highlight w:val="none"/>
              </w:rPr>
            </w:pPr>
          </w:p>
        </w:tc>
        <w:tc>
          <w:tcPr>
            <w:tcW w:w="966" w:type="dxa"/>
            <w:tcBorders>
              <w:top w:val="double" w:color="auto" w:sz="6" w:space="0"/>
            </w:tcBorders>
            <w:noWrap w:val="0"/>
            <w:vAlign w:val="center"/>
          </w:tcPr>
          <w:p w14:paraId="4A53F83F">
            <w:pPr>
              <w:keepNext/>
              <w:snapToGrid w:val="0"/>
              <w:spacing w:line="360" w:lineRule="auto"/>
              <w:rPr>
                <w:rFonts w:hint="eastAsia" w:ascii="宋体" w:hAnsi="宋体" w:cs="宋体"/>
                <w:color w:val="auto"/>
                <w:sz w:val="22"/>
                <w:szCs w:val="21"/>
                <w:highlight w:val="none"/>
              </w:rPr>
            </w:pPr>
          </w:p>
        </w:tc>
        <w:tc>
          <w:tcPr>
            <w:tcW w:w="803" w:type="dxa"/>
            <w:tcBorders>
              <w:top w:val="double" w:color="auto" w:sz="6" w:space="0"/>
            </w:tcBorders>
            <w:noWrap w:val="0"/>
            <w:vAlign w:val="center"/>
          </w:tcPr>
          <w:p w14:paraId="11804DAB">
            <w:pPr>
              <w:keepNext/>
              <w:snapToGrid w:val="0"/>
              <w:spacing w:line="360" w:lineRule="auto"/>
              <w:rPr>
                <w:rFonts w:hint="eastAsia" w:ascii="宋体" w:hAnsi="宋体" w:cs="宋体"/>
                <w:color w:val="auto"/>
                <w:sz w:val="22"/>
                <w:szCs w:val="21"/>
                <w:highlight w:val="none"/>
              </w:rPr>
            </w:pPr>
          </w:p>
        </w:tc>
      </w:tr>
      <w:tr w14:paraId="272569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51" w:type="dxa"/>
            <w:noWrap w:val="0"/>
            <w:vAlign w:val="center"/>
          </w:tcPr>
          <w:p w14:paraId="203AC21E">
            <w:pPr>
              <w:snapToGrid w:val="0"/>
              <w:spacing w:line="360" w:lineRule="auto"/>
              <w:rPr>
                <w:rFonts w:hint="eastAsia" w:ascii="宋体" w:hAnsi="宋体" w:cs="宋体"/>
                <w:color w:val="auto"/>
                <w:sz w:val="22"/>
                <w:szCs w:val="21"/>
                <w:highlight w:val="none"/>
              </w:rPr>
            </w:pPr>
          </w:p>
        </w:tc>
        <w:tc>
          <w:tcPr>
            <w:tcW w:w="1276" w:type="dxa"/>
            <w:noWrap w:val="0"/>
            <w:vAlign w:val="center"/>
          </w:tcPr>
          <w:p w14:paraId="7E898B0F">
            <w:pPr>
              <w:snapToGrid w:val="0"/>
              <w:spacing w:line="360" w:lineRule="auto"/>
              <w:rPr>
                <w:rFonts w:hint="eastAsia" w:ascii="宋体" w:hAnsi="宋体" w:cs="宋体"/>
                <w:color w:val="auto"/>
                <w:sz w:val="22"/>
                <w:szCs w:val="21"/>
                <w:highlight w:val="none"/>
              </w:rPr>
            </w:pPr>
          </w:p>
        </w:tc>
        <w:tc>
          <w:tcPr>
            <w:tcW w:w="1082" w:type="dxa"/>
            <w:noWrap w:val="0"/>
            <w:vAlign w:val="center"/>
          </w:tcPr>
          <w:p w14:paraId="23AED75A">
            <w:pPr>
              <w:snapToGrid w:val="0"/>
              <w:spacing w:line="360" w:lineRule="auto"/>
              <w:rPr>
                <w:rFonts w:hint="eastAsia" w:ascii="宋体" w:hAnsi="宋体" w:cs="宋体"/>
                <w:color w:val="auto"/>
                <w:sz w:val="22"/>
                <w:szCs w:val="21"/>
                <w:highlight w:val="none"/>
              </w:rPr>
            </w:pPr>
          </w:p>
        </w:tc>
        <w:tc>
          <w:tcPr>
            <w:tcW w:w="940" w:type="dxa"/>
            <w:noWrap w:val="0"/>
            <w:vAlign w:val="center"/>
          </w:tcPr>
          <w:p w14:paraId="5306420E">
            <w:pPr>
              <w:snapToGrid w:val="0"/>
              <w:spacing w:line="360" w:lineRule="auto"/>
              <w:rPr>
                <w:rFonts w:hint="eastAsia" w:ascii="宋体" w:hAnsi="宋体" w:cs="宋体"/>
                <w:color w:val="auto"/>
                <w:sz w:val="22"/>
                <w:szCs w:val="21"/>
                <w:highlight w:val="none"/>
              </w:rPr>
            </w:pPr>
          </w:p>
        </w:tc>
        <w:tc>
          <w:tcPr>
            <w:tcW w:w="851" w:type="dxa"/>
            <w:noWrap w:val="0"/>
            <w:vAlign w:val="center"/>
          </w:tcPr>
          <w:p w14:paraId="7AE88DD4">
            <w:pPr>
              <w:snapToGrid w:val="0"/>
              <w:spacing w:line="360" w:lineRule="auto"/>
              <w:rPr>
                <w:rFonts w:hint="eastAsia" w:ascii="宋体" w:hAnsi="宋体" w:cs="宋体"/>
                <w:color w:val="auto"/>
                <w:sz w:val="22"/>
                <w:szCs w:val="21"/>
                <w:highlight w:val="none"/>
              </w:rPr>
            </w:pPr>
          </w:p>
        </w:tc>
        <w:tc>
          <w:tcPr>
            <w:tcW w:w="1044" w:type="dxa"/>
            <w:noWrap w:val="0"/>
            <w:vAlign w:val="center"/>
          </w:tcPr>
          <w:p w14:paraId="36163A8C">
            <w:pPr>
              <w:snapToGrid w:val="0"/>
              <w:spacing w:line="360" w:lineRule="auto"/>
              <w:rPr>
                <w:rFonts w:hint="eastAsia" w:ascii="宋体" w:hAnsi="宋体" w:cs="宋体"/>
                <w:color w:val="auto"/>
                <w:sz w:val="22"/>
                <w:szCs w:val="21"/>
                <w:highlight w:val="none"/>
              </w:rPr>
            </w:pPr>
          </w:p>
        </w:tc>
        <w:tc>
          <w:tcPr>
            <w:tcW w:w="992" w:type="dxa"/>
            <w:noWrap w:val="0"/>
            <w:vAlign w:val="center"/>
          </w:tcPr>
          <w:p w14:paraId="4E8FB620">
            <w:pPr>
              <w:snapToGrid w:val="0"/>
              <w:spacing w:line="360" w:lineRule="auto"/>
              <w:rPr>
                <w:rFonts w:hint="eastAsia" w:ascii="宋体" w:hAnsi="宋体" w:cs="宋体"/>
                <w:color w:val="auto"/>
                <w:sz w:val="22"/>
                <w:szCs w:val="21"/>
                <w:highlight w:val="none"/>
              </w:rPr>
            </w:pPr>
          </w:p>
        </w:tc>
        <w:tc>
          <w:tcPr>
            <w:tcW w:w="851" w:type="dxa"/>
            <w:noWrap w:val="0"/>
            <w:vAlign w:val="center"/>
          </w:tcPr>
          <w:p w14:paraId="00050826">
            <w:pPr>
              <w:snapToGrid w:val="0"/>
              <w:spacing w:line="360" w:lineRule="auto"/>
              <w:rPr>
                <w:rFonts w:hint="eastAsia" w:ascii="宋体" w:hAnsi="宋体" w:cs="宋体"/>
                <w:color w:val="auto"/>
                <w:sz w:val="22"/>
                <w:szCs w:val="21"/>
                <w:highlight w:val="none"/>
              </w:rPr>
            </w:pPr>
          </w:p>
        </w:tc>
        <w:tc>
          <w:tcPr>
            <w:tcW w:w="966" w:type="dxa"/>
            <w:noWrap w:val="0"/>
            <w:vAlign w:val="center"/>
          </w:tcPr>
          <w:p w14:paraId="1044849C">
            <w:pPr>
              <w:snapToGrid w:val="0"/>
              <w:spacing w:line="360" w:lineRule="auto"/>
              <w:rPr>
                <w:rFonts w:hint="eastAsia" w:ascii="宋体" w:hAnsi="宋体" w:cs="宋体"/>
                <w:color w:val="auto"/>
                <w:sz w:val="22"/>
                <w:szCs w:val="21"/>
                <w:highlight w:val="none"/>
              </w:rPr>
            </w:pPr>
          </w:p>
        </w:tc>
        <w:tc>
          <w:tcPr>
            <w:tcW w:w="803" w:type="dxa"/>
            <w:noWrap w:val="0"/>
            <w:vAlign w:val="center"/>
          </w:tcPr>
          <w:p w14:paraId="1F27AC8E">
            <w:pPr>
              <w:snapToGrid w:val="0"/>
              <w:spacing w:line="360" w:lineRule="auto"/>
              <w:rPr>
                <w:rFonts w:hint="eastAsia" w:ascii="宋体" w:hAnsi="宋体" w:cs="宋体"/>
                <w:color w:val="auto"/>
                <w:sz w:val="22"/>
                <w:szCs w:val="21"/>
                <w:highlight w:val="none"/>
              </w:rPr>
            </w:pPr>
          </w:p>
        </w:tc>
      </w:tr>
      <w:tr w14:paraId="20BBD1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51" w:type="dxa"/>
            <w:tcBorders>
              <w:bottom w:val="single" w:color="auto" w:sz="12" w:space="0"/>
            </w:tcBorders>
            <w:noWrap w:val="0"/>
            <w:vAlign w:val="center"/>
          </w:tcPr>
          <w:p w14:paraId="735B6E4F">
            <w:pPr>
              <w:snapToGrid w:val="0"/>
              <w:spacing w:line="360" w:lineRule="auto"/>
              <w:rPr>
                <w:rFonts w:hint="eastAsia" w:ascii="宋体" w:hAnsi="宋体" w:cs="宋体"/>
                <w:color w:val="auto"/>
                <w:sz w:val="22"/>
                <w:szCs w:val="21"/>
                <w:highlight w:val="none"/>
              </w:rPr>
            </w:pPr>
          </w:p>
        </w:tc>
        <w:tc>
          <w:tcPr>
            <w:tcW w:w="1276" w:type="dxa"/>
            <w:tcBorders>
              <w:bottom w:val="single" w:color="auto" w:sz="12" w:space="0"/>
            </w:tcBorders>
            <w:noWrap w:val="0"/>
            <w:vAlign w:val="center"/>
          </w:tcPr>
          <w:p w14:paraId="7E572894">
            <w:pPr>
              <w:snapToGrid w:val="0"/>
              <w:spacing w:line="360" w:lineRule="auto"/>
              <w:rPr>
                <w:rFonts w:hint="eastAsia" w:ascii="宋体" w:hAnsi="宋体" w:cs="宋体"/>
                <w:color w:val="auto"/>
                <w:sz w:val="22"/>
                <w:szCs w:val="21"/>
                <w:highlight w:val="none"/>
              </w:rPr>
            </w:pPr>
          </w:p>
        </w:tc>
        <w:tc>
          <w:tcPr>
            <w:tcW w:w="1082" w:type="dxa"/>
            <w:tcBorders>
              <w:bottom w:val="single" w:color="auto" w:sz="12" w:space="0"/>
            </w:tcBorders>
            <w:noWrap w:val="0"/>
            <w:vAlign w:val="center"/>
          </w:tcPr>
          <w:p w14:paraId="0B6F284B">
            <w:pPr>
              <w:snapToGrid w:val="0"/>
              <w:spacing w:line="360" w:lineRule="auto"/>
              <w:rPr>
                <w:rFonts w:hint="eastAsia" w:ascii="宋体" w:hAnsi="宋体" w:cs="宋体"/>
                <w:color w:val="auto"/>
                <w:sz w:val="22"/>
                <w:szCs w:val="21"/>
                <w:highlight w:val="none"/>
              </w:rPr>
            </w:pPr>
          </w:p>
        </w:tc>
        <w:tc>
          <w:tcPr>
            <w:tcW w:w="940" w:type="dxa"/>
            <w:tcBorders>
              <w:bottom w:val="single" w:color="auto" w:sz="12" w:space="0"/>
            </w:tcBorders>
            <w:noWrap w:val="0"/>
            <w:vAlign w:val="center"/>
          </w:tcPr>
          <w:p w14:paraId="55A16A39">
            <w:pPr>
              <w:snapToGrid w:val="0"/>
              <w:spacing w:line="360" w:lineRule="auto"/>
              <w:rPr>
                <w:rFonts w:hint="eastAsia" w:ascii="宋体" w:hAnsi="宋体" w:cs="宋体"/>
                <w:color w:val="auto"/>
                <w:sz w:val="22"/>
                <w:szCs w:val="21"/>
                <w:highlight w:val="none"/>
              </w:rPr>
            </w:pPr>
          </w:p>
        </w:tc>
        <w:tc>
          <w:tcPr>
            <w:tcW w:w="851" w:type="dxa"/>
            <w:tcBorders>
              <w:bottom w:val="single" w:color="auto" w:sz="12" w:space="0"/>
            </w:tcBorders>
            <w:noWrap w:val="0"/>
            <w:vAlign w:val="center"/>
          </w:tcPr>
          <w:p w14:paraId="42F84DD8">
            <w:pPr>
              <w:snapToGrid w:val="0"/>
              <w:spacing w:line="360" w:lineRule="auto"/>
              <w:rPr>
                <w:rFonts w:hint="eastAsia" w:ascii="宋体" w:hAnsi="宋体" w:cs="宋体"/>
                <w:color w:val="auto"/>
                <w:sz w:val="22"/>
                <w:szCs w:val="21"/>
                <w:highlight w:val="none"/>
              </w:rPr>
            </w:pPr>
          </w:p>
        </w:tc>
        <w:tc>
          <w:tcPr>
            <w:tcW w:w="1044" w:type="dxa"/>
            <w:tcBorders>
              <w:bottom w:val="single" w:color="auto" w:sz="12" w:space="0"/>
            </w:tcBorders>
            <w:noWrap w:val="0"/>
            <w:vAlign w:val="center"/>
          </w:tcPr>
          <w:p w14:paraId="17E23B3E">
            <w:pPr>
              <w:snapToGrid w:val="0"/>
              <w:spacing w:line="360" w:lineRule="auto"/>
              <w:rPr>
                <w:rFonts w:hint="eastAsia" w:ascii="宋体" w:hAnsi="宋体" w:cs="宋体"/>
                <w:color w:val="auto"/>
                <w:sz w:val="22"/>
                <w:szCs w:val="21"/>
                <w:highlight w:val="none"/>
              </w:rPr>
            </w:pPr>
          </w:p>
        </w:tc>
        <w:tc>
          <w:tcPr>
            <w:tcW w:w="992" w:type="dxa"/>
            <w:tcBorders>
              <w:bottom w:val="single" w:color="auto" w:sz="12" w:space="0"/>
            </w:tcBorders>
            <w:noWrap w:val="0"/>
            <w:vAlign w:val="center"/>
          </w:tcPr>
          <w:p w14:paraId="1CADBEBB">
            <w:pPr>
              <w:snapToGrid w:val="0"/>
              <w:spacing w:line="360" w:lineRule="auto"/>
              <w:rPr>
                <w:rFonts w:hint="eastAsia" w:ascii="宋体" w:hAnsi="宋体" w:cs="宋体"/>
                <w:color w:val="auto"/>
                <w:sz w:val="22"/>
                <w:szCs w:val="21"/>
                <w:highlight w:val="none"/>
              </w:rPr>
            </w:pPr>
          </w:p>
        </w:tc>
        <w:tc>
          <w:tcPr>
            <w:tcW w:w="851" w:type="dxa"/>
            <w:tcBorders>
              <w:bottom w:val="single" w:color="auto" w:sz="12" w:space="0"/>
            </w:tcBorders>
            <w:noWrap w:val="0"/>
            <w:vAlign w:val="center"/>
          </w:tcPr>
          <w:p w14:paraId="3F00F661">
            <w:pPr>
              <w:snapToGrid w:val="0"/>
              <w:spacing w:line="360" w:lineRule="auto"/>
              <w:rPr>
                <w:rFonts w:hint="eastAsia" w:ascii="宋体" w:hAnsi="宋体" w:cs="宋体"/>
                <w:color w:val="auto"/>
                <w:sz w:val="22"/>
                <w:szCs w:val="21"/>
                <w:highlight w:val="none"/>
              </w:rPr>
            </w:pPr>
          </w:p>
        </w:tc>
        <w:tc>
          <w:tcPr>
            <w:tcW w:w="966" w:type="dxa"/>
            <w:tcBorders>
              <w:bottom w:val="single" w:color="auto" w:sz="12" w:space="0"/>
            </w:tcBorders>
            <w:noWrap w:val="0"/>
            <w:vAlign w:val="center"/>
          </w:tcPr>
          <w:p w14:paraId="28972C4A">
            <w:pPr>
              <w:snapToGrid w:val="0"/>
              <w:spacing w:line="360" w:lineRule="auto"/>
              <w:rPr>
                <w:rFonts w:hint="eastAsia" w:ascii="宋体" w:hAnsi="宋体" w:cs="宋体"/>
                <w:color w:val="auto"/>
                <w:sz w:val="22"/>
                <w:szCs w:val="21"/>
                <w:highlight w:val="none"/>
              </w:rPr>
            </w:pPr>
          </w:p>
        </w:tc>
        <w:tc>
          <w:tcPr>
            <w:tcW w:w="803" w:type="dxa"/>
            <w:tcBorders>
              <w:bottom w:val="single" w:color="auto" w:sz="12" w:space="0"/>
            </w:tcBorders>
            <w:noWrap w:val="0"/>
            <w:vAlign w:val="center"/>
          </w:tcPr>
          <w:p w14:paraId="088DFB5B">
            <w:pPr>
              <w:snapToGrid w:val="0"/>
              <w:spacing w:line="360" w:lineRule="auto"/>
              <w:rPr>
                <w:rFonts w:hint="eastAsia" w:ascii="宋体" w:hAnsi="宋体" w:cs="宋体"/>
                <w:color w:val="auto"/>
                <w:sz w:val="22"/>
                <w:szCs w:val="21"/>
                <w:highlight w:val="none"/>
              </w:rPr>
            </w:pPr>
          </w:p>
        </w:tc>
      </w:tr>
    </w:tbl>
    <w:p w14:paraId="3671A3C2">
      <w:pPr>
        <w:pStyle w:val="19"/>
        <w:rPr>
          <w:rFonts w:hint="eastAsia"/>
          <w:color w:val="auto"/>
          <w:highlight w:val="none"/>
        </w:rPr>
      </w:pPr>
    </w:p>
    <w:p w14:paraId="536CEE9D">
      <w:pPr>
        <w:rPr>
          <w:rFonts w:hint="eastAsia"/>
          <w:color w:val="auto"/>
          <w:highlight w:val="none"/>
        </w:rPr>
      </w:pPr>
    </w:p>
    <w:p w14:paraId="5D4EDBF7">
      <w:pPr>
        <w:pStyle w:val="19"/>
        <w:rPr>
          <w:rFonts w:hint="eastAsia"/>
          <w:color w:val="auto"/>
          <w:highlight w:val="none"/>
        </w:rPr>
      </w:pPr>
    </w:p>
    <w:p w14:paraId="25B81F5D">
      <w:pPr>
        <w:rPr>
          <w:rFonts w:hint="eastAsia"/>
          <w:color w:val="auto"/>
          <w:highlight w:val="none"/>
        </w:rPr>
      </w:pPr>
    </w:p>
    <w:p w14:paraId="3FA47E80">
      <w:pPr>
        <w:pStyle w:val="19"/>
        <w:rPr>
          <w:rFonts w:hint="eastAsia"/>
          <w:color w:val="auto"/>
          <w:highlight w:val="none"/>
        </w:rPr>
      </w:pPr>
    </w:p>
    <w:p w14:paraId="469C8722">
      <w:pPr>
        <w:rPr>
          <w:rFonts w:hint="eastAsia"/>
          <w:color w:val="auto"/>
          <w:highlight w:val="none"/>
        </w:rPr>
      </w:pPr>
    </w:p>
    <w:p w14:paraId="5E2E78D0">
      <w:pPr>
        <w:pStyle w:val="19"/>
        <w:rPr>
          <w:rFonts w:hint="eastAsia"/>
          <w:color w:val="auto"/>
          <w:highlight w:val="none"/>
        </w:rPr>
      </w:pPr>
    </w:p>
    <w:p w14:paraId="30D8F669">
      <w:pPr>
        <w:rPr>
          <w:rFonts w:hint="eastAsia"/>
          <w:color w:val="auto"/>
          <w:highlight w:val="none"/>
        </w:rPr>
      </w:pPr>
    </w:p>
    <w:p w14:paraId="10D992F2">
      <w:pPr>
        <w:pStyle w:val="19"/>
        <w:rPr>
          <w:rFonts w:hint="eastAsia"/>
          <w:color w:val="auto"/>
          <w:highlight w:val="none"/>
        </w:rPr>
      </w:pPr>
    </w:p>
    <w:p w14:paraId="42404F08">
      <w:pPr>
        <w:rPr>
          <w:rFonts w:hint="eastAsia"/>
          <w:color w:val="auto"/>
          <w:highlight w:val="none"/>
        </w:rPr>
      </w:pPr>
    </w:p>
    <w:p w14:paraId="1AF87B8C">
      <w:pPr>
        <w:pStyle w:val="19"/>
        <w:rPr>
          <w:rFonts w:hint="eastAsia"/>
          <w:color w:val="auto"/>
          <w:highlight w:val="none"/>
        </w:rPr>
      </w:pPr>
    </w:p>
    <w:p w14:paraId="6DD36991">
      <w:pPr>
        <w:rPr>
          <w:rFonts w:hint="eastAsia"/>
          <w:color w:val="auto"/>
          <w:highlight w:val="none"/>
        </w:rPr>
      </w:pPr>
    </w:p>
    <w:p w14:paraId="3C755D5C">
      <w:pPr>
        <w:pStyle w:val="19"/>
        <w:rPr>
          <w:rFonts w:hint="eastAsia"/>
          <w:color w:val="auto"/>
          <w:highlight w:val="none"/>
        </w:rPr>
      </w:pPr>
    </w:p>
    <w:p w14:paraId="12D971EF">
      <w:pPr>
        <w:pStyle w:val="19"/>
        <w:rPr>
          <w:rFonts w:hint="eastAsia"/>
          <w:color w:val="auto"/>
          <w:highlight w:val="none"/>
        </w:rPr>
      </w:pPr>
    </w:p>
    <w:p w14:paraId="077C1918">
      <w:pPr>
        <w:rPr>
          <w:rFonts w:hint="eastAsia"/>
          <w:color w:val="auto"/>
          <w:highlight w:val="none"/>
        </w:rPr>
      </w:pPr>
    </w:p>
    <w:p w14:paraId="3D8D0772">
      <w:pPr>
        <w:pStyle w:val="19"/>
        <w:rPr>
          <w:rFonts w:hint="eastAsia"/>
          <w:color w:val="auto"/>
          <w:highlight w:val="none"/>
        </w:rPr>
      </w:pPr>
    </w:p>
    <w:p w14:paraId="492FE915">
      <w:pPr>
        <w:keepNext/>
        <w:keepLines/>
        <w:spacing w:before="120" w:after="120" w:line="360" w:lineRule="auto"/>
        <w:jc w:val="left"/>
        <w:outlineLvl w:val="2"/>
        <w:rPr>
          <w:rFonts w:ascii="宋体" w:hAnsi="宋体" w:cs="宋体"/>
          <w:bCs/>
          <w:color w:val="auto"/>
          <w:sz w:val="24"/>
          <w:highlight w:val="none"/>
        </w:rPr>
        <w:sectPr>
          <w:footnotePr>
            <w:numFmt w:val="decimalEnclosedCircleChinese"/>
            <w:numRestart w:val="eachPage"/>
          </w:footnotePr>
          <w:pgSz w:w="11907" w:h="16840"/>
          <w:pgMar w:top="1474" w:right="1474" w:bottom="1474" w:left="1474" w:header="799" w:footer="907" w:gutter="0"/>
          <w:pgNumType w:fmt="numberInDash"/>
          <w:cols w:space="720" w:num="1"/>
          <w:docGrid w:linePitch="271" w:charSpace="0"/>
        </w:sectPr>
      </w:pPr>
      <w:bookmarkStart w:id="1285" w:name="_Toc95223488"/>
    </w:p>
    <w:p w14:paraId="2698CCCF">
      <w:pPr>
        <w:keepNext/>
        <w:keepLines/>
        <w:spacing w:before="120" w:after="120" w:line="360" w:lineRule="auto"/>
        <w:jc w:val="left"/>
        <w:outlineLvl w:val="2"/>
        <w:rPr>
          <w:rFonts w:hint="eastAsia" w:ascii="宋体" w:hAnsi="宋体" w:cs="宋体"/>
          <w:bCs/>
          <w:color w:val="auto"/>
          <w:sz w:val="24"/>
          <w:highlight w:val="none"/>
        </w:rPr>
      </w:pPr>
      <w:r>
        <w:rPr>
          <w:rFonts w:hint="eastAsia" w:ascii="宋体" w:hAnsi="宋体" w:cs="宋体"/>
          <w:bCs/>
          <w:color w:val="auto"/>
          <w:sz w:val="24"/>
          <w:highlight w:val="none"/>
        </w:rPr>
        <w:t xml:space="preserve">附件3：工程质量保修书 </w:t>
      </w:r>
      <w:bookmarkEnd w:id="1285"/>
    </w:p>
    <w:p w14:paraId="1DBF9790">
      <w:pPr>
        <w:adjustRightInd w:val="0"/>
        <w:snapToGrid w:val="0"/>
        <w:spacing w:before="120" w:beforeLines="50" w:after="120" w:afterLines="50"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工程质量保修书</w:t>
      </w:r>
    </w:p>
    <w:p w14:paraId="47D63991">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发包人（全称）：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59BB9953">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承包人（全称）：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236EB45D">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发包人和承包人根据《中华人民共和国建筑法》和《建设工程质量管理条例》，经协商一致就_______________（工程全称）签订工程质量保修书。</w:t>
      </w:r>
    </w:p>
    <w:p w14:paraId="3153D4FA">
      <w:pPr>
        <w:adjustRightInd w:val="0"/>
        <w:snapToGrid w:val="0"/>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一、工程质量保修范围和内容</w:t>
      </w:r>
    </w:p>
    <w:p w14:paraId="4218DD7C">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承包人在质量保修期内，按照有关法律规定和合同约定，承担工程质量保修责任。</w:t>
      </w:r>
    </w:p>
    <w:p w14:paraId="5AF751DB">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A3B59CC">
      <w:pPr>
        <w:adjustRightInd w:val="0"/>
        <w:snapToGrid w:val="0"/>
        <w:spacing w:line="360" w:lineRule="auto"/>
        <w:ind w:firstLine="413" w:firstLineChars="196"/>
        <w:rPr>
          <w:rFonts w:hint="eastAsia" w:ascii="宋体" w:hAnsi="宋体" w:cs="宋体"/>
          <w:b/>
          <w:color w:val="auto"/>
          <w:szCs w:val="21"/>
          <w:highlight w:val="none"/>
        </w:rPr>
      </w:pPr>
      <w:r>
        <w:rPr>
          <w:rFonts w:hint="eastAsia" w:ascii="宋体" w:hAnsi="宋体" w:cs="宋体"/>
          <w:b/>
          <w:color w:val="auto"/>
          <w:szCs w:val="21"/>
          <w:highlight w:val="none"/>
        </w:rPr>
        <w:t>二、质量保修期</w:t>
      </w:r>
    </w:p>
    <w:p w14:paraId="1D8EEB1E">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根据《建设工程质量管理条例》及有关规定，工程的质量保修期如下：</w:t>
      </w:r>
    </w:p>
    <w:p w14:paraId="421D8FDD">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 地基基础工程和主体结构工程为设计文件规定的工程合理使用年限；</w:t>
      </w:r>
    </w:p>
    <w:p w14:paraId="723202C8">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 屋面防水工程、有防水要求的卫生间、房间和外墙面的防渗为</w:t>
      </w:r>
      <w:r>
        <w:rPr>
          <w:rFonts w:hint="eastAsia" w:ascii="宋体" w:hAnsi="宋体" w:cs="宋体"/>
          <w:color w:val="auto"/>
          <w:szCs w:val="21"/>
          <w:highlight w:val="none"/>
          <w:u w:val="single"/>
        </w:rPr>
        <w:t>5</w:t>
      </w:r>
      <w:r>
        <w:rPr>
          <w:rFonts w:hint="eastAsia" w:ascii="宋体" w:hAnsi="宋体" w:cs="宋体"/>
          <w:color w:val="auto"/>
          <w:szCs w:val="21"/>
          <w:highlight w:val="none"/>
        </w:rPr>
        <w:t>年；</w:t>
      </w:r>
    </w:p>
    <w:p w14:paraId="0FD8CE6F">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 装修工程为</w:t>
      </w:r>
      <w:r>
        <w:rPr>
          <w:rFonts w:hint="eastAsia" w:ascii="宋体" w:hAnsi="宋体" w:cs="宋体"/>
          <w:color w:val="auto"/>
          <w:szCs w:val="21"/>
          <w:highlight w:val="none"/>
          <w:u w:val="single"/>
        </w:rPr>
        <w:t>2</w:t>
      </w:r>
      <w:r>
        <w:rPr>
          <w:rFonts w:hint="eastAsia" w:ascii="宋体" w:hAnsi="宋体" w:cs="宋体"/>
          <w:color w:val="auto"/>
          <w:szCs w:val="21"/>
          <w:highlight w:val="none"/>
        </w:rPr>
        <w:t>年；</w:t>
      </w:r>
    </w:p>
    <w:p w14:paraId="3C5E65C2">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 电气管线、给排水管道、设备安装工程为</w:t>
      </w:r>
      <w:r>
        <w:rPr>
          <w:rFonts w:hint="eastAsia" w:ascii="宋体" w:hAnsi="宋体" w:cs="宋体"/>
          <w:color w:val="auto"/>
          <w:szCs w:val="21"/>
          <w:highlight w:val="none"/>
          <w:u w:val="single"/>
        </w:rPr>
        <w:t>2</w:t>
      </w:r>
      <w:r>
        <w:rPr>
          <w:rFonts w:hint="eastAsia" w:ascii="宋体" w:hAnsi="宋体" w:cs="宋体"/>
          <w:color w:val="auto"/>
          <w:szCs w:val="21"/>
          <w:highlight w:val="none"/>
        </w:rPr>
        <w:t>年；</w:t>
      </w:r>
    </w:p>
    <w:p w14:paraId="3E6AE7B6">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 供热与供冷系统为</w:t>
      </w:r>
      <w:r>
        <w:rPr>
          <w:rFonts w:hint="eastAsia" w:ascii="宋体" w:hAnsi="宋体" w:cs="宋体"/>
          <w:color w:val="auto"/>
          <w:szCs w:val="21"/>
          <w:highlight w:val="none"/>
          <w:u w:val="single"/>
        </w:rPr>
        <w:t>2</w:t>
      </w:r>
      <w:r>
        <w:rPr>
          <w:rFonts w:hint="eastAsia" w:ascii="宋体" w:hAnsi="宋体" w:cs="宋体"/>
          <w:color w:val="auto"/>
          <w:szCs w:val="21"/>
          <w:highlight w:val="none"/>
        </w:rPr>
        <w:t>个采暖期、供冷期；</w:t>
      </w:r>
    </w:p>
    <w:p w14:paraId="52317AC2">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 住宅小区内的给排水设施、道路等配套工程为</w:t>
      </w:r>
      <w:r>
        <w:rPr>
          <w:rFonts w:hint="eastAsia" w:ascii="宋体" w:hAnsi="宋体" w:cs="宋体"/>
          <w:color w:val="auto"/>
          <w:szCs w:val="21"/>
          <w:highlight w:val="none"/>
          <w:u w:val="single"/>
        </w:rPr>
        <w:t>2</w:t>
      </w:r>
      <w:r>
        <w:rPr>
          <w:rFonts w:hint="eastAsia" w:ascii="宋体" w:hAnsi="宋体" w:cs="宋体"/>
          <w:color w:val="auto"/>
          <w:szCs w:val="21"/>
          <w:highlight w:val="none"/>
        </w:rPr>
        <w:t>年；</w:t>
      </w:r>
    </w:p>
    <w:p w14:paraId="313D60E9">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 其他项目保修期限约定如下：</w:t>
      </w:r>
      <w:r>
        <w:rPr>
          <w:rFonts w:hint="eastAsia" w:ascii="宋体" w:hAnsi="宋体" w:cs="宋体"/>
          <w:color w:val="auto"/>
          <w:szCs w:val="21"/>
          <w:highlight w:val="none"/>
          <w:u w:val="single"/>
        </w:rPr>
        <w:t>保温工程5年</w:t>
      </w:r>
      <w:r>
        <w:rPr>
          <w:rFonts w:hint="eastAsia" w:ascii="宋体" w:hAnsi="宋体" w:cs="宋体"/>
          <w:color w:val="auto"/>
          <w:szCs w:val="21"/>
          <w:highlight w:val="none"/>
        </w:rPr>
        <w:t>。</w:t>
      </w:r>
    </w:p>
    <w:p w14:paraId="63C0660C">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质量保修期自工程竣工验收合格之日起计算。</w:t>
      </w:r>
    </w:p>
    <w:p w14:paraId="594C8412">
      <w:pPr>
        <w:adjustRightInd w:val="0"/>
        <w:snapToGrid w:val="0"/>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三、缺陷责任期</w:t>
      </w:r>
    </w:p>
    <w:p w14:paraId="594BA0FF">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工程缺陷责任期为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24个月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，缺陷责任期自工程竣工验收合格之日起计算。单位工程先于全部工程进行验收，单位工程缺陷责任期自单位工程验收合格之日起算。</w:t>
      </w:r>
    </w:p>
    <w:p w14:paraId="35C0B744">
      <w:pPr>
        <w:adjustRightInd w:val="0"/>
        <w:snapToGrid w:val="0"/>
        <w:spacing w:line="360" w:lineRule="auto"/>
        <w:ind w:firstLine="420" w:firstLineChars="200"/>
        <w:rPr>
          <w:rFonts w:hint="eastAsia" w:ascii="宋体" w:hAnsi="宋体" w:cs="宋体"/>
          <w:b/>
          <w:color w:val="auto"/>
          <w:szCs w:val="21"/>
          <w:highlight w:val="none"/>
        </w:rPr>
      </w:pPr>
      <w:r>
        <w:rPr>
          <w:rFonts w:hint="eastAsia" w:ascii="宋体" w:hAnsi="宋体" w:cs="宋体"/>
          <w:color w:val="auto"/>
          <w:szCs w:val="21"/>
          <w:highlight w:val="none"/>
        </w:rPr>
        <w:t>缺陷责任期终止后，发包人应退还剩余的质量保证金。</w:t>
      </w:r>
    </w:p>
    <w:p w14:paraId="1BD22A73">
      <w:pPr>
        <w:adjustRightInd w:val="0"/>
        <w:snapToGrid w:val="0"/>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四、质量保修责任</w:t>
      </w:r>
    </w:p>
    <w:p w14:paraId="0187C874">
      <w:pPr>
        <w:adjustRightInd w:val="0"/>
        <w:snapToGrid w:val="0"/>
        <w:spacing w:line="360" w:lineRule="auto"/>
        <w:ind w:firstLine="430" w:firstLineChars="205"/>
        <w:rPr>
          <w:rFonts w:hint="eastAsia" w:ascii="宋体" w:hAnsi="宋体" w:cs="宋体"/>
          <w:color w:val="auto"/>
          <w:szCs w:val="21"/>
          <w:highlight w:val="none"/>
        </w:rPr>
      </w:pPr>
      <w:r>
        <w:rPr>
          <w:rFonts w:hint="eastAsia" w:ascii="宋体" w:hAnsi="宋体" w:cs="宋体"/>
          <w:color w:val="auto"/>
          <w:szCs w:val="21"/>
          <w:highlight w:val="none"/>
        </w:rPr>
        <w:t>1. 属于保修范围、内容的项目，承包人应当在接到保修通知之日起7天内派人保修。承包人不在约定期限内派人保修的，发包人可以委托他人修理。</w:t>
      </w:r>
    </w:p>
    <w:p w14:paraId="460EE827">
      <w:pPr>
        <w:adjustRightInd w:val="0"/>
        <w:snapToGrid w:val="0"/>
        <w:spacing w:line="360" w:lineRule="auto"/>
        <w:ind w:firstLine="430" w:firstLineChars="205"/>
        <w:rPr>
          <w:rFonts w:hint="eastAsia" w:ascii="宋体" w:hAnsi="宋体" w:cs="宋体"/>
          <w:color w:val="auto"/>
          <w:szCs w:val="21"/>
          <w:highlight w:val="none"/>
        </w:rPr>
      </w:pPr>
      <w:r>
        <w:rPr>
          <w:rFonts w:hint="eastAsia" w:ascii="宋体" w:hAnsi="宋体" w:cs="宋体"/>
          <w:color w:val="auto"/>
          <w:szCs w:val="21"/>
          <w:highlight w:val="none"/>
        </w:rPr>
        <w:t>2. 发生紧急事故需抢修的，承包人在接到事故通知后，应当立即到达事故现场抢修。</w:t>
      </w:r>
    </w:p>
    <w:p w14:paraId="319FEBE8">
      <w:pPr>
        <w:adjustRightInd w:val="0"/>
        <w:snapToGrid w:val="0"/>
        <w:spacing w:line="360" w:lineRule="auto"/>
        <w:ind w:firstLine="430" w:firstLineChars="205"/>
        <w:rPr>
          <w:rFonts w:hint="eastAsia" w:ascii="宋体" w:hAnsi="宋体" w:cs="宋体"/>
          <w:color w:val="auto"/>
          <w:szCs w:val="21"/>
          <w:highlight w:val="none"/>
        </w:rPr>
      </w:pPr>
      <w:r>
        <w:rPr>
          <w:rFonts w:hint="eastAsia" w:ascii="宋体" w:hAnsi="宋体" w:cs="宋体"/>
          <w:color w:val="auto"/>
          <w:szCs w:val="21"/>
          <w:highlight w:val="none"/>
        </w:rPr>
        <w:t>3. 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26EAC818">
      <w:pPr>
        <w:adjustRightInd w:val="0"/>
        <w:snapToGrid w:val="0"/>
        <w:spacing w:line="360" w:lineRule="auto"/>
        <w:ind w:firstLine="430" w:firstLineChars="205"/>
        <w:rPr>
          <w:rFonts w:hint="eastAsia" w:ascii="宋体" w:hAnsi="宋体" w:cs="宋体"/>
          <w:color w:val="auto"/>
          <w:szCs w:val="21"/>
          <w:highlight w:val="none"/>
        </w:rPr>
      </w:pPr>
      <w:r>
        <w:rPr>
          <w:rFonts w:hint="eastAsia" w:ascii="宋体" w:hAnsi="宋体" w:cs="宋体"/>
          <w:color w:val="auto"/>
          <w:szCs w:val="21"/>
          <w:highlight w:val="none"/>
        </w:rPr>
        <w:t>4. 质量保修完成后，由发包人组织验收。</w:t>
      </w:r>
    </w:p>
    <w:p w14:paraId="2D85E7E9">
      <w:pPr>
        <w:adjustRightInd w:val="0"/>
        <w:snapToGrid w:val="0"/>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五、保修费用</w:t>
      </w:r>
    </w:p>
    <w:p w14:paraId="6A50885C">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保修费用由造成质量缺陷的责任方承担。</w:t>
      </w:r>
    </w:p>
    <w:p w14:paraId="7A85C0DA">
      <w:pPr>
        <w:adjustRightInd w:val="0"/>
        <w:snapToGrid w:val="0"/>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六、双方约定的其他工程质量保修事项：</w:t>
      </w:r>
      <w:r>
        <w:rPr>
          <w:rFonts w:hint="eastAsia" w:ascii="宋体" w:hAnsi="宋体" w:cs="宋体"/>
          <w:b/>
          <w:color w:val="auto"/>
          <w:szCs w:val="21"/>
          <w:highlight w:val="none"/>
          <w:u w:val="single"/>
        </w:rPr>
        <w:t xml:space="preserve">             </w:t>
      </w:r>
      <w:r>
        <w:rPr>
          <w:rFonts w:hint="eastAsia" w:ascii="宋体" w:hAnsi="宋体" w:cs="宋体"/>
          <w:b/>
          <w:color w:val="auto"/>
          <w:szCs w:val="21"/>
          <w:highlight w:val="none"/>
        </w:rPr>
        <w:t>。</w:t>
      </w:r>
    </w:p>
    <w:p w14:paraId="430484F4">
      <w:pPr>
        <w:adjustRightInd w:val="0"/>
        <w:snapToGrid w:val="0"/>
        <w:spacing w:line="360" w:lineRule="auto"/>
        <w:ind w:firstLine="399" w:firstLineChars="190"/>
        <w:rPr>
          <w:rFonts w:hint="eastAsia" w:ascii="宋体" w:hAnsi="宋体" w:cs="宋体"/>
          <w:color w:val="auto"/>
          <w:szCs w:val="21"/>
          <w:highlight w:val="none"/>
        </w:rPr>
      </w:pPr>
      <w:r>
        <w:rPr>
          <w:rFonts w:hint="eastAsia" w:ascii="宋体" w:hAnsi="宋体" w:cs="宋体"/>
          <w:color w:val="auto"/>
          <w:szCs w:val="21"/>
          <w:highlight w:val="none"/>
        </w:rPr>
        <w:t>工程质量保修书由发包人、承包人在工程竣工验收前共同签署，作为施工合同附件，其有效期限至保修期满。</w:t>
      </w:r>
    </w:p>
    <w:p w14:paraId="6BF06FDA">
      <w:pPr>
        <w:adjustRightInd w:val="0"/>
        <w:snapToGrid w:val="0"/>
        <w:spacing w:line="360" w:lineRule="auto"/>
        <w:ind w:firstLine="420"/>
        <w:rPr>
          <w:rFonts w:hint="eastAsia" w:ascii="宋体" w:hAnsi="宋体" w:cs="宋体"/>
          <w:color w:val="auto"/>
          <w:szCs w:val="21"/>
          <w:highlight w:val="none"/>
        </w:rPr>
      </w:pPr>
    </w:p>
    <w:p w14:paraId="4451B9F7">
      <w:pPr>
        <w:adjustRightInd w:val="0"/>
        <w:snapToGrid w:val="0"/>
        <w:spacing w:line="360" w:lineRule="auto"/>
        <w:ind w:firstLine="420"/>
        <w:rPr>
          <w:rFonts w:hint="eastAsia" w:ascii="宋体" w:hAnsi="宋体" w:cs="宋体"/>
          <w:color w:val="auto"/>
          <w:szCs w:val="21"/>
          <w:highlight w:val="none"/>
        </w:rPr>
      </w:pPr>
    </w:p>
    <w:p w14:paraId="27E4D24E">
      <w:pPr>
        <w:adjustRightInd w:val="0"/>
        <w:snapToGrid w:val="0"/>
        <w:spacing w:line="360" w:lineRule="auto"/>
        <w:rPr>
          <w:rFonts w:hint="eastAsia" w:ascii="宋体" w:hAnsi="宋体" w:cs="宋体"/>
          <w:color w:val="auto"/>
          <w:szCs w:val="21"/>
          <w:highlight w:val="none"/>
          <w:u w:val="single"/>
        </w:rPr>
      </w:pPr>
      <w:r>
        <w:rPr>
          <w:rFonts w:hint="eastAsia" w:ascii="宋体" w:hAnsi="宋体" w:cs="宋体"/>
          <w:color w:val="auto"/>
          <w:szCs w:val="21"/>
          <w:highlight w:val="none"/>
        </w:rPr>
        <w:t>发包人(公章)：</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 xml:space="preserve">                     承包人(公章)：</w:t>
      </w:r>
      <w:r>
        <w:rPr>
          <w:rFonts w:hint="eastAsia" w:ascii="宋体" w:hAnsi="宋体" w:cs="宋体"/>
          <w:color w:val="auto"/>
          <w:szCs w:val="21"/>
          <w:highlight w:val="none"/>
          <w:u w:val="single"/>
        </w:rPr>
        <w:t xml:space="preserve">           </w:t>
      </w:r>
    </w:p>
    <w:p w14:paraId="49C11215">
      <w:pPr>
        <w:adjustRightInd w:val="0"/>
        <w:snapToGrid w:val="0"/>
        <w:spacing w:line="360" w:lineRule="auto"/>
        <w:rPr>
          <w:rFonts w:hint="eastAsia" w:ascii="宋体" w:hAnsi="宋体" w:cs="宋体"/>
          <w:color w:val="auto"/>
          <w:szCs w:val="21"/>
          <w:highlight w:val="none"/>
          <w:u w:val="singl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地  址：</w:t>
      </w:r>
      <w:r>
        <w:rPr>
          <w:rFonts w:hint="eastAsia" w:ascii="宋体" w:hAnsi="宋体" w:cs="宋体"/>
          <w:color w:val="auto"/>
          <w:szCs w:val="21"/>
          <w:highlight w:val="none"/>
          <w:u w:val="single"/>
        </w:rPr>
        <w:t xml:space="preserve">                    </w:t>
      </w:r>
    </w:p>
    <w:p w14:paraId="499A7297">
      <w:pPr>
        <w:adjustRightInd w:val="0"/>
        <w:snapToGrid w:val="0"/>
        <w:spacing w:line="360" w:lineRule="auto"/>
        <w:rPr>
          <w:rFonts w:hint="eastAsia" w:ascii="宋体" w:hAnsi="宋体" w:cs="宋体"/>
          <w:color w:val="auto"/>
          <w:szCs w:val="21"/>
          <w:highlight w:val="none"/>
          <w:u w:val="single"/>
        </w:rPr>
      </w:pPr>
      <w:r>
        <w:rPr>
          <w:rFonts w:hint="eastAsia" w:ascii="宋体" w:hAnsi="宋体" w:cs="宋体"/>
          <w:color w:val="auto"/>
          <w:szCs w:val="21"/>
          <w:highlight w:val="none"/>
        </w:rPr>
        <w:t>法定代表人(签字)：</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法定代表人(签字)：</w:t>
      </w:r>
      <w:r>
        <w:rPr>
          <w:rFonts w:hint="eastAsia" w:ascii="宋体" w:hAnsi="宋体" w:cs="宋体"/>
          <w:color w:val="auto"/>
          <w:szCs w:val="21"/>
          <w:highlight w:val="none"/>
          <w:u w:val="single"/>
        </w:rPr>
        <w:t xml:space="preserve">           </w:t>
      </w:r>
    </w:p>
    <w:p w14:paraId="6766D755">
      <w:pPr>
        <w:adjustRightInd w:val="0"/>
        <w:snapToGrid w:val="0"/>
        <w:spacing w:line="360" w:lineRule="auto"/>
        <w:rPr>
          <w:rFonts w:hint="eastAsia" w:ascii="宋体" w:hAnsi="宋体" w:cs="宋体"/>
          <w:color w:val="auto"/>
          <w:szCs w:val="21"/>
          <w:highlight w:val="none"/>
          <w:u w:val="single"/>
        </w:rPr>
      </w:pPr>
      <w:r>
        <w:rPr>
          <w:rFonts w:hint="eastAsia" w:ascii="宋体" w:hAnsi="宋体" w:cs="宋体"/>
          <w:color w:val="auto"/>
          <w:szCs w:val="21"/>
          <w:highlight w:val="none"/>
        </w:rPr>
        <w:t>委托代理人(签字)：</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委托代理人(签字)：</w:t>
      </w:r>
      <w:r>
        <w:rPr>
          <w:rFonts w:hint="eastAsia" w:ascii="宋体" w:hAnsi="宋体" w:cs="宋体"/>
          <w:color w:val="auto"/>
          <w:szCs w:val="21"/>
          <w:highlight w:val="none"/>
          <w:u w:val="single"/>
        </w:rPr>
        <w:t xml:space="preserve">            </w:t>
      </w:r>
    </w:p>
    <w:p w14:paraId="6372E47F">
      <w:pPr>
        <w:adjustRightInd w:val="0"/>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电  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电  话：</w:t>
      </w:r>
      <w:r>
        <w:rPr>
          <w:rFonts w:hint="eastAsia" w:ascii="宋体" w:hAnsi="宋体" w:cs="宋体"/>
          <w:color w:val="auto"/>
          <w:szCs w:val="21"/>
          <w:highlight w:val="none"/>
          <w:u w:val="single"/>
        </w:rPr>
        <w:t xml:space="preserve">                     </w:t>
      </w:r>
    </w:p>
    <w:p w14:paraId="1CCB3189">
      <w:pPr>
        <w:adjustRightInd w:val="0"/>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传  真：</w:t>
      </w:r>
      <w:r>
        <w:rPr>
          <w:rFonts w:hint="eastAsia" w:ascii="宋体" w:hAnsi="宋体" w:cs="宋体"/>
          <w:color w:val="auto"/>
          <w:szCs w:val="21"/>
          <w:highlight w:val="none"/>
          <w:u w:val="single"/>
        </w:rPr>
        <w:t xml:space="preserve">                   </w:t>
      </w:r>
    </w:p>
    <w:p w14:paraId="3A954C2C">
      <w:pPr>
        <w:adjustRightInd w:val="0"/>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开户银行：</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开户银行：</w:t>
      </w:r>
      <w:r>
        <w:rPr>
          <w:rFonts w:hint="eastAsia" w:ascii="宋体" w:hAnsi="宋体" w:cs="宋体"/>
          <w:color w:val="auto"/>
          <w:szCs w:val="21"/>
          <w:highlight w:val="none"/>
          <w:u w:val="single"/>
        </w:rPr>
        <w:t xml:space="preserve">                   </w:t>
      </w:r>
    </w:p>
    <w:p w14:paraId="6C8DAF42">
      <w:pPr>
        <w:adjustRightInd w:val="0"/>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账  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账  号：</w:t>
      </w:r>
      <w:r>
        <w:rPr>
          <w:rFonts w:hint="eastAsia" w:ascii="宋体" w:hAnsi="宋体" w:cs="宋体"/>
          <w:color w:val="auto"/>
          <w:szCs w:val="21"/>
          <w:highlight w:val="none"/>
          <w:u w:val="single"/>
        </w:rPr>
        <w:t xml:space="preserve">                     </w:t>
      </w:r>
    </w:p>
    <w:p w14:paraId="15700EC1">
      <w:pPr>
        <w:adjustRightInd w:val="0"/>
        <w:snapToGrid w:val="0"/>
        <w:spacing w:line="360" w:lineRule="auto"/>
        <w:rPr>
          <w:rFonts w:hint="eastAsia" w:ascii="宋体" w:hAnsi="宋体" w:cs="宋体"/>
          <w:color w:val="auto"/>
          <w:sz w:val="24"/>
          <w:highlight w:val="non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邮政编码：</w:t>
      </w:r>
      <w:r>
        <w:rPr>
          <w:rFonts w:hint="eastAsia" w:ascii="宋体" w:hAnsi="宋体" w:cs="宋体"/>
          <w:color w:val="auto"/>
          <w:szCs w:val="21"/>
          <w:highlight w:val="none"/>
          <w:u w:val="single"/>
        </w:rPr>
        <w:t xml:space="preserve">                   </w:t>
      </w:r>
    </w:p>
    <w:p w14:paraId="712D35BE">
      <w:pPr>
        <w:widowControl/>
        <w:jc w:val="left"/>
        <w:rPr>
          <w:rFonts w:hint="eastAsia" w:ascii="宋体" w:hAnsi="宋体" w:cs="宋体"/>
          <w:b/>
          <w:color w:val="auto"/>
          <w:sz w:val="24"/>
          <w:highlight w:val="none"/>
        </w:rPr>
      </w:pPr>
    </w:p>
    <w:p w14:paraId="1D6E7653">
      <w:pPr>
        <w:pStyle w:val="19"/>
        <w:rPr>
          <w:rFonts w:hint="eastAsia"/>
          <w:color w:val="auto"/>
          <w:highlight w:val="none"/>
        </w:rPr>
      </w:pPr>
    </w:p>
    <w:p w14:paraId="1173D9C2">
      <w:pPr>
        <w:rPr>
          <w:rFonts w:hint="eastAsia"/>
          <w:color w:val="auto"/>
          <w:highlight w:val="none"/>
        </w:rPr>
      </w:pPr>
    </w:p>
    <w:p w14:paraId="082FB029">
      <w:pPr>
        <w:pStyle w:val="19"/>
        <w:rPr>
          <w:rFonts w:hint="eastAsia"/>
          <w:color w:val="auto"/>
          <w:highlight w:val="none"/>
        </w:rPr>
      </w:pPr>
    </w:p>
    <w:p w14:paraId="7B401E2C">
      <w:pPr>
        <w:rPr>
          <w:rFonts w:hint="eastAsia"/>
          <w:color w:val="auto"/>
          <w:highlight w:val="none"/>
        </w:rPr>
      </w:pPr>
    </w:p>
    <w:p w14:paraId="6393748F">
      <w:pPr>
        <w:pStyle w:val="19"/>
        <w:rPr>
          <w:rFonts w:hint="eastAsia"/>
          <w:color w:val="auto"/>
          <w:highlight w:val="none"/>
        </w:rPr>
      </w:pPr>
    </w:p>
    <w:p w14:paraId="0CF9B41E">
      <w:pPr>
        <w:rPr>
          <w:rFonts w:hint="eastAsia"/>
          <w:color w:val="auto"/>
          <w:highlight w:val="none"/>
        </w:rPr>
      </w:pPr>
    </w:p>
    <w:p w14:paraId="0D13CF4D">
      <w:pPr>
        <w:pStyle w:val="19"/>
        <w:rPr>
          <w:rFonts w:hint="eastAsia"/>
          <w:color w:val="auto"/>
          <w:highlight w:val="none"/>
        </w:rPr>
      </w:pPr>
    </w:p>
    <w:p w14:paraId="64ABEFCF">
      <w:pPr>
        <w:rPr>
          <w:rFonts w:hint="eastAsia"/>
          <w:color w:val="auto"/>
          <w:highlight w:val="none"/>
        </w:rPr>
      </w:pPr>
    </w:p>
    <w:p w14:paraId="19D11BA9">
      <w:pPr>
        <w:pStyle w:val="19"/>
        <w:rPr>
          <w:rFonts w:hint="eastAsia"/>
          <w:color w:val="auto"/>
          <w:highlight w:val="none"/>
        </w:rPr>
      </w:pPr>
    </w:p>
    <w:p w14:paraId="161D580E">
      <w:pPr>
        <w:rPr>
          <w:rFonts w:hint="eastAsia"/>
          <w:color w:val="auto"/>
          <w:highlight w:val="none"/>
        </w:rPr>
      </w:pPr>
    </w:p>
    <w:p w14:paraId="21D50536">
      <w:pPr>
        <w:pStyle w:val="19"/>
        <w:rPr>
          <w:rFonts w:hint="eastAsia"/>
          <w:color w:val="auto"/>
          <w:highlight w:val="none"/>
        </w:rPr>
      </w:pPr>
    </w:p>
    <w:p w14:paraId="7B55AE6D">
      <w:pPr>
        <w:rPr>
          <w:rFonts w:hint="eastAsia"/>
          <w:color w:val="auto"/>
          <w:highlight w:val="none"/>
        </w:rPr>
      </w:pPr>
    </w:p>
    <w:p w14:paraId="4F9E1B04">
      <w:pPr>
        <w:pStyle w:val="19"/>
        <w:rPr>
          <w:rFonts w:hint="eastAsia"/>
          <w:color w:val="auto"/>
          <w:highlight w:val="none"/>
        </w:rPr>
      </w:pPr>
    </w:p>
    <w:p w14:paraId="31547B9A">
      <w:pPr>
        <w:rPr>
          <w:rFonts w:hint="eastAsia"/>
          <w:color w:val="auto"/>
          <w:highlight w:val="none"/>
        </w:rPr>
      </w:pPr>
    </w:p>
    <w:p w14:paraId="70CD7E86">
      <w:pPr>
        <w:pStyle w:val="19"/>
        <w:rPr>
          <w:rFonts w:hint="eastAsia"/>
          <w:color w:val="auto"/>
          <w:highlight w:val="none"/>
        </w:rPr>
      </w:pPr>
    </w:p>
    <w:p w14:paraId="04903D5C">
      <w:pPr>
        <w:rPr>
          <w:rFonts w:hint="eastAsia"/>
          <w:color w:val="auto"/>
          <w:highlight w:val="none"/>
        </w:rPr>
      </w:pPr>
    </w:p>
    <w:p w14:paraId="53A3B7EF">
      <w:pPr>
        <w:pStyle w:val="19"/>
        <w:rPr>
          <w:rFonts w:hint="eastAsia"/>
          <w:color w:val="auto"/>
          <w:highlight w:val="none"/>
        </w:rPr>
      </w:pPr>
    </w:p>
    <w:p w14:paraId="481D4BD9">
      <w:pPr>
        <w:rPr>
          <w:rFonts w:hint="eastAsia"/>
          <w:color w:val="auto"/>
          <w:highlight w:val="none"/>
        </w:rPr>
      </w:pPr>
    </w:p>
    <w:p w14:paraId="2D20616B">
      <w:pPr>
        <w:pStyle w:val="19"/>
        <w:rPr>
          <w:rFonts w:hint="eastAsia"/>
          <w:color w:val="auto"/>
          <w:highlight w:val="none"/>
        </w:rPr>
      </w:pPr>
    </w:p>
    <w:p w14:paraId="5C11C335">
      <w:pPr>
        <w:rPr>
          <w:rFonts w:hint="eastAsia"/>
          <w:color w:val="auto"/>
          <w:highlight w:val="none"/>
        </w:rPr>
      </w:pPr>
    </w:p>
    <w:p w14:paraId="533F8BD4">
      <w:pPr>
        <w:pStyle w:val="19"/>
        <w:rPr>
          <w:rFonts w:hint="eastAsia"/>
          <w:color w:val="auto"/>
          <w:highlight w:val="none"/>
        </w:rPr>
      </w:pPr>
    </w:p>
    <w:p w14:paraId="63FD55D3">
      <w:pPr>
        <w:keepNext/>
        <w:keepLines/>
        <w:spacing w:before="120" w:after="120" w:line="360" w:lineRule="auto"/>
        <w:jc w:val="left"/>
        <w:outlineLvl w:val="2"/>
        <w:rPr>
          <w:rFonts w:ascii="宋体" w:hAnsi="宋体" w:cs="宋体"/>
          <w:bCs/>
          <w:color w:val="auto"/>
          <w:sz w:val="24"/>
          <w:highlight w:val="none"/>
        </w:rPr>
        <w:sectPr>
          <w:footnotePr>
            <w:numFmt w:val="decimalEnclosedCircleChinese"/>
            <w:numRestart w:val="eachPage"/>
          </w:footnotePr>
          <w:pgSz w:w="11907" w:h="16840"/>
          <w:pgMar w:top="1474" w:right="1474" w:bottom="1474" w:left="1474" w:header="799" w:footer="907" w:gutter="0"/>
          <w:pgNumType w:fmt="numberInDash"/>
          <w:cols w:space="720" w:num="1"/>
          <w:docGrid w:linePitch="271" w:charSpace="0"/>
        </w:sectPr>
      </w:pPr>
      <w:bookmarkStart w:id="1286" w:name="_Toc95223489"/>
    </w:p>
    <w:bookmarkEnd w:id="1286"/>
    <w:p w14:paraId="733EC1ED">
      <w:pPr>
        <w:keepNext/>
        <w:keepLines/>
        <w:spacing w:before="120" w:after="120" w:line="360" w:lineRule="auto"/>
        <w:jc w:val="left"/>
        <w:outlineLvl w:val="2"/>
        <w:rPr>
          <w:rFonts w:hint="eastAsia" w:ascii="宋体" w:hAnsi="宋体" w:cs="宋体"/>
          <w:bCs/>
          <w:color w:val="auto"/>
          <w:sz w:val="24"/>
          <w:highlight w:val="none"/>
        </w:rPr>
      </w:pPr>
      <w:bookmarkStart w:id="1287" w:name="_Toc95223490"/>
      <w:r>
        <w:rPr>
          <w:rFonts w:hint="eastAsia" w:ascii="宋体" w:hAnsi="宋体" w:cs="宋体"/>
          <w:bCs/>
          <w:color w:val="auto"/>
          <w:sz w:val="24"/>
          <w:highlight w:val="none"/>
        </w:rPr>
        <w:t>附件4：主要建设工程文件目录</w:t>
      </w:r>
      <w:bookmarkEnd w:id="1287"/>
    </w:p>
    <w:p w14:paraId="57DCAB78">
      <w:pPr>
        <w:spacing w:before="120" w:beforeLines="50" w:after="120" w:afterLines="50"/>
        <w:jc w:val="center"/>
        <w:rPr>
          <w:rFonts w:hint="eastAsia" w:ascii="宋体" w:hAnsi="宋体" w:cs="宋体"/>
          <w:color w:val="auto"/>
          <w:szCs w:val="21"/>
          <w:highlight w:val="none"/>
        </w:rPr>
      </w:pPr>
      <w:r>
        <w:rPr>
          <w:rFonts w:hint="eastAsia" w:ascii="宋体" w:hAnsi="宋体" w:cs="宋体"/>
          <w:color w:val="auto"/>
          <w:szCs w:val="21"/>
          <w:highlight w:val="none"/>
        </w:rPr>
        <w:t>主要建设工程文件目录</w:t>
      </w:r>
    </w:p>
    <w:tbl>
      <w:tblPr>
        <w:tblStyle w:val="20"/>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49A0BA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953" w:type="dxa"/>
            <w:tcBorders>
              <w:top w:val="single" w:color="auto" w:sz="12" w:space="0"/>
              <w:bottom w:val="double" w:color="auto" w:sz="6" w:space="0"/>
            </w:tcBorders>
            <w:noWrap w:val="0"/>
            <w:vAlign w:val="center"/>
          </w:tcPr>
          <w:p w14:paraId="51EF69FD">
            <w:pPr>
              <w:keepNext/>
              <w:rPr>
                <w:rFonts w:hint="eastAsia" w:ascii="宋体" w:hAnsi="宋体" w:cs="宋体"/>
                <w:color w:val="auto"/>
                <w:szCs w:val="21"/>
                <w:highlight w:val="none"/>
              </w:rPr>
            </w:pPr>
            <w:r>
              <w:rPr>
                <w:rFonts w:hint="eastAsia" w:ascii="宋体" w:hAnsi="宋体" w:cs="宋体"/>
                <w:color w:val="auto"/>
                <w:szCs w:val="21"/>
                <w:highlight w:val="none"/>
              </w:rPr>
              <w:t>文件名称</w:t>
            </w:r>
          </w:p>
        </w:tc>
        <w:tc>
          <w:tcPr>
            <w:tcW w:w="1276" w:type="dxa"/>
            <w:tcBorders>
              <w:top w:val="single" w:color="auto" w:sz="12" w:space="0"/>
              <w:bottom w:val="double" w:color="auto" w:sz="6" w:space="0"/>
            </w:tcBorders>
            <w:noWrap w:val="0"/>
            <w:vAlign w:val="center"/>
          </w:tcPr>
          <w:p w14:paraId="34F78476">
            <w:pPr>
              <w:keepNext/>
              <w:rPr>
                <w:rFonts w:hint="eastAsia" w:ascii="宋体" w:hAnsi="宋体" w:cs="宋体"/>
                <w:color w:val="auto"/>
                <w:szCs w:val="21"/>
                <w:highlight w:val="none"/>
              </w:rPr>
            </w:pPr>
            <w:r>
              <w:rPr>
                <w:rFonts w:hint="eastAsia" w:ascii="宋体" w:hAnsi="宋体" w:cs="宋体"/>
                <w:color w:val="auto"/>
                <w:szCs w:val="21"/>
                <w:highlight w:val="none"/>
              </w:rPr>
              <w:t>套数</w:t>
            </w:r>
          </w:p>
        </w:tc>
        <w:tc>
          <w:tcPr>
            <w:tcW w:w="1450" w:type="dxa"/>
            <w:tcBorders>
              <w:top w:val="single" w:color="auto" w:sz="12" w:space="0"/>
              <w:bottom w:val="double" w:color="auto" w:sz="6" w:space="0"/>
            </w:tcBorders>
            <w:noWrap w:val="0"/>
            <w:vAlign w:val="center"/>
          </w:tcPr>
          <w:p w14:paraId="57326B0D">
            <w:pPr>
              <w:keepNext/>
              <w:rPr>
                <w:rFonts w:hint="eastAsia" w:ascii="宋体" w:hAnsi="宋体" w:cs="宋体"/>
                <w:color w:val="auto"/>
                <w:szCs w:val="21"/>
                <w:highlight w:val="none"/>
              </w:rPr>
            </w:pPr>
            <w:r>
              <w:rPr>
                <w:rFonts w:hint="eastAsia" w:ascii="宋体" w:hAnsi="宋体" w:cs="宋体"/>
                <w:color w:val="auto"/>
                <w:szCs w:val="21"/>
                <w:highlight w:val="none"/>
              </w:rPr>
              <w:t>费用（元）</w:t>
            </w:r>
          </w:p>
        </w:tc>
        <w:tc>
          <w:tcPr>
            <w:tcW w:w="1243" w:type="dxa"/>
            <w:tcBorders>
              <w:top w:val="single" w:color="auto" w:sz="12" w:space="0"/>
              <w:bottom w:val="double" w:color="auto" w:sz="6" w:space="0"/>
            </w:tcBorders>
            <w:noWrap w:val="0"/>
            <w:vAlign w:val="center"/>
          </w:tcPr>
          <w:p w14:paraId="435323AE">
            <w:pPr>
              <w:keepNext/>
              <w:rPr>
                <w:rFonts w:hint="eastAsia" w:ascii="宋体" w:hAnsi="宋体" w:cs="宋体"/>
                <w:color w:val="auto"/>
                <w:szCs w:val="21"/>
                <w:highlight w:val="none"/>
              </w:rPr>
            </w:pPr>
            <w:r>
              <w:rPr>
                <w:rFonts w:hint="eastAsia" w:ascii="宋体" w:hAnsi="宋体" w:cs="宋体"/>
                <w:color w:val="auto"/>
                <w:szCs w:val="21"/>
                <w:highlight w:val="none"/>
              </w:rPr>
              <w:t>质量</w:t>
            </w:r>
          </w:p>
        </w:tc>
        <w:tc>
          <w:tcPr>
            <w:tcW w:w="1450" w:type="dxa"/>
            <w:tcBorders>
              <w:top w:val="single" w:color="auto" w:sz="12" w:space="0"/>
              <w:bottom w:val="double" w:color="auto" w:sz="6" w:space="0"/>
            </w:tcBorders>
            <w:noWrap w:val="0"/>
            <w:vAlign w:val="top"/>
          </w:tcPr>
          <w:p w14:paraId="2D6D9CF3">
            <w:pPr>
              <w:rPr>
                <w:rFonts w:hint="eastAsia" w:ascii="宋体" w:hAnsi="宋体" w:cs="宋体"/>
                <w:color w:val="auto"/>
                <w:szCs w:val="21"/>
                <w:highlight w:val="none"/>
              </w:rPr>
            </w:pPr>
            <w:r>
              <w:rPr>
                <w:rFonts w:hint="eastAsia" w:ascii="宋体" w:hAnsi="宋体" w:cs="宋体"/>
                <w:color w:val="auto"/>
                <w:szCs w:val="21"/>
                <w:highlight w:val="none"/>
              </w:rPr>
              <w:t>移交时间</w:t>
            </w:r>
          </w:p>
        </w:tc>
        <w:tc>
          <w:tcPr>
            <w:tcW w:w="1667" w:type="dxa"/>
            <w:tcBorders>
              <w:top w:val="single" w:color="auto" w:sz="12" w:space="0"/>
              <w:bottom w:val="double" w:color="auto" w:sz="6" w:space="0"/>
            </w:tcBorders>
            <w:noWrap w:val="0"/>
            <w:vAlign w:val="top"/>
          </w:tcPr>
          <w:p w14:paraId="38C9D329">
            <w:pPr>
              <w:rPr>
                <w:rFonts w:hint="eastAsia" w:ascii="宋体" w:hAnsi="宋体" w:cs="宋体"/>
                <w:color w:val="auto"/>
                <w:szCs w:val="21"/>
                <w:highlight w:val="none"/>
              </w:rPr>
            </w:pPr>
            <w:r>
              <w:rPr>
                <w:rFonts w:hint="eastAsia" w:ascii="宋体" w:hAnsi="宋体" w:cs="宋体"/>
                <w:color w:val="auto"/>
                <w:szCs w:val="21"/>
                <w:highlight w:val="none"/>
              </w:rPr>
              <w:t>责任人</w:t>
            </w:r>
          </w:p>
        </w:tc>
      </w:tr>
      <w:tr w14:paraId="21565A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tcBorders>
              <w:top w:val="double" w:color="auto" w:sz="6" w:space="0"/>
            </w:tcBorders>
            <w:noWrap w:val="0"/>
            <w:vAlign w:val="center"/>
          </w:tcPr>
          <w:p w14:paraId="76D3E292">
            <w:pPr>
              <w:keepNext/>
              <w:rPr>
                <w:rFonts w:hint="eastAsia" w:ascii="宋体" w:hAnsi="宋体" w:cs="宋体"/>
                <w:color w:val="auto"/>
                <w:szCs w:val="21"/>
                <w:highlight w:val="none"/>
              </w:rPr>
            </w:pPr>
          </w:p>
        </w:tc>
        <w:tc>
          <w:tcPr>
            <w:tcW w:w="1276" w:type="dxa"/>
            <w:tcBorders>
              <w:top w:val="double" w:color="auto" w:sz="6" w:space="0"/>
            </w:tcBorders>
            <w:noWrap w:val="0"/>
            <w:vAlign w:val="center"/>
          </w:tcPr>
          <w:p w14:paraId="19570B27">
            <w:pPr>
              <w:keepNext/>
              <w:rPr>
                <w:rFonts w:hint="eastAsia" w:ascii="宋体" w:hAnsi="宋体" w:cs="宋体"/>
                <w:color w:val="auto"/>
                <w:szCs w:val="21"/>
                <w:highlight w:val="none"/>
              </w:rPr>
            </w:pPr>
          </w:p>
        </w:tc>
        <w:tc>
          <w:tcPr>
            <w:tcW w:w="1450" w:type="dxa"/>
            <w:tcBorders>
              <w:top w:val="double" w:color="auto" w:sz="6" w:space="0"/>
            </w:tcBorders>
            <w:noWrap w:val="0"/>
            <w:vAlign w:val="center"/>
          </w:tcPr>
          <w:p w14:paraId="1DE2E619">
            <w:pPr>
              <w:keepNext/>
              <w:rPr>
                <w:rFonts w:hint="eastAsia" w:ascii="宋体" w:hAnsi="宋体" w:cs="宋体"/>
                <w:color w:val="auto"/>
                <w:szCs w:val="21"/>
                <w:highlight w:val="none"/>
              </w:rPr>
            </w:pPr>
          </w:p>
        </w:tc>
        <w:tc>
          <w:tcPr>
            <w:tcW w:w="1243" w:type="dxa"/>
            <w:tcBorders>
              <w:top w:val="double" w:color="auto" w:sz="6" w:space="0"/>
            </w:tcBorders>
            <w:noWrap w:val="0"/>
            <w:vAlign w:val="center"/>
          </w:tcPr>
          <w:p w14:paraId="77C67C36">
            <w:pPr>
              <w:keepNext/>
              <w:rPr>
                <w:rFonts w:hint="eastAsia" w:ascii="宋体" w:hAnsi="宋体" w:cs="宋体"/>
                <w:color w:val="auto"/>
                <w:szCs w:val="21"/>
                <w:highlight w:val="none"/>
              </w:rPr>
            </w:pPr>
          </w:p>
        </w:tc>
        <w:tc>
          <w:tcPr>
            <w:tcW w:w="1450" w:type="dxa"/>
            <w:tcBorders>
              <w:top w:val="double" w:color="auto" w:sz="6" w:space="0"/>
            </w:tcBorders>
            <w:noWrap w:val="0"/>
            <w:vAlign w:val="center"/>
          </w:tcPr>
          <w:p w14:paraId="4C14B6EC">
            <w:pPr>
              <w:keepNext/>
              <w:rPr>
                <w:rFonts w:hint="eastAsia" w:ascii="宋体" w:hAnsi="宋体" w:cs="宋体"/>
                <w:color w:val="auto"/>
                <w:szCs w:val="21"/>
                <w:highlight w:val="none"/>
              </w:rPr>
            </w:pPr>
          </w:p>
        </w:tc>
        <w:tc>
          <w:tcPr>
            <w:tcW w:w="1667" w:type="dxa"/>
            <w:tcBorders>
              <w:top w:val="double" w:color="auto" w:sz="6" w:space="0"/>
            </w:tcBorders>
            <w:noWrap w:val="0"/>
            <w:vAlign w:val="center"/>
          </w:tcPr>
          <w:p w14:paraId="0A33D526">
            <w:pPr>
              <w:keepNext/>
              <w:rPr>
                <w:rFonts w:hint="eastAsia" w:ascii="宋体" w:hAnsi="宋体" w:cs="宋体"/>
                <w:color w:val="auto"/>
                <w:szCs w:val="21"/>
                <w:highlight w:val="none"/>
              </w:rPr>
            </w:pPr>
          </w:p>
        </w:tc>
      </w:tr>
      <w:tr w14:paraId="362E89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tcBorders>
              <w:top w:val="nil"/>
            </w:tcBorders>
            <w:noWrap w:val="0"/>
            <w:vAlign w:val="center"/>
          </w:tcPr>
          <w:p w14:paraId="04808F76">
            <w:pPr>
              <w:keepNext/>
              <w:rPr>
                <w:rFonts w:hint="eastAsia" w:ascii="宋体" w:hAnsi="宋体" w:cs="宋体"/>
                <w:color w:val="auto"/>
                <w:szCs w:val="21"/>
                <w:highlight w:val="none"/>
              </w:rPr>
            </w:pPr>
          </w:p>
        </w:tc>
        <w:tc>
          <w:tcPr>
            <w:tcW w:w="1276" w:type="dxa"/>
            <w:tcBorders>
              <w:top w:val="nil"/>
            </w:tcBorders>
            <w:noWrap w:val="0"/>
            <w:vAlign w:val="center"/>
          </w:tcPr>
          <w:p w14:paraId="0BFC5205">
            <w:pPr>
              <w:keepNext/>
              <w:rPr>
                <w:rFonts w:hint="eastAsia" w:ascii="宋体" w:hAnsi="宋体" w:cs="宋体"/>
                <w:color w:val="auto"/>
                <w:szCs w:val="21"/>
                <w:highlight w:val="none"/>
              </w:rPr>
            </w:pPr>
          </w:p>
        </w:tc>
        <w:tc>
          <w:tcPr>
            <w:tcW w:w="1450" w:type="dxa"/>
            <w:tcBorders>
              <w:top w:val="nil"/>
            </w:tcBorders>
            <w:noWrap w:val="0"/>
            <w:vAlign w:val="center"/>
          </w:tcPr>
          <w:p w14:paraId="56FE031C">
            <w:pPr>
              <w:keepNext/>
              <w:rPr>
                <w:rFonts w:hint="eastAsia" w:ascii="宋体" w:hAnsi="宋体" w:cs="宋体"/>
                <w:color w:val="auto"/>
                <w:szCs w:val="21"/>
                <w:highlight w:val="none"/>
              </w:rPr>
            </w:pPr>
          </w:p>
        </w:tc>
        <w:tc>
          <w:tcPr>
            <w:tcW w:w="1243" w:type="dxa"/>
            <w:tcBorders>
              <w:top w:val="nil"/>
            </w:tcBorders>
            <w:noWrap w:val="0"/>
            <w:vAlign w:val="center"/>
          </w:tcPr>
          <w:p w14:paraId="4DEB4BDE">
            <w:pPr>
              <w:keepNext/>
              <w:rPr>
                <w:rFonts w:hint="eastAsia" w:ascii="宋体" w:hAnsi="宋体" w:cs="宋体"/>
                <w:color w:val="auto"/>
                <w:szCs w:val="21"/>
                <w:highlight w:val="none"/>
              </w:rPr>
            </w:pPr>
          </w:p>
        </w:tc>
        <w:tc>
          <w:tcPr>
            <w:tcW w:w="1450" w:type="dxa"/>
            <w:tcBorders>
              <w:top w:val="nil"/>
            </w:tcBorders>
            <w:noWrap w:val="0"/>
            <w:vAlign w:val="center"/>
          </w:tcPr>
          <w:p w14:paraId="252A9FFB">
            <w:pPr>
              <w:keepNext/>
              <w:rPr>
                <w:rFonts w:hint="eastAsia" w:ascii="宋体" w:hAnsi="宋体" w:cs="宋体"/>
                <w:color w:val="auto"/>
                <w:szCs w:val="21"/>
                <w:highlight w:val="none"/>
              </w:rPr>
            </w:pPr>
          </w:p>
        </w:tc>
        <w:tc>
          <w:tcPr>
            <w:tcW w:w="1667" w:type="dxa"/>
            <w:tcBorders>
              <w:top w:val="nil"/>
            </w:tcBorders>
            <w:noWrap w:val="0"/>
            <w:vAlign w:val="center"/>
          </w:tcPr>
          <w:p w14:paraId="609C7F92">
            <w:pPr>
              <w:keepNext/>
              <w:rPr>
                <w:rFonts w:hint="eastAsia" w:ascii="宋体" w:hAnsi="宋体" w:cs="宋体"/>
                <w:color w:val="auto"/>
                <w:szCs w:val="21"/>
                <w:highlight w:val="none"/>
              </w:rPr>
            </w:pPr>
          </w:p>
        </w:tc>
      </w:tr>
      <w:tr w14:paraId="25FB3C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1285A4B6">
            <w:pPr>
              <w:rPr>
                <w:rFonts w:hint="eastAsia" w:ascii="宋体" w:hAnsi="宋体" w:cs="宋体"/>
                <w:color w:val="auto"/>
                <w:szCs w:val="21"/>
                <w:highlight w:val="none"/>
              </w:rPr>
            </w:pPr>
          </w:p>
        </w:tc>
        <w:tc>
          <w:tcPr>
            <w:tcW w:w="1276" w:type="dxa"/>
            <w:noWrap w:val="0"/>
            <w:vAlign w:val="top"/>
          </w:tcPr>
          <w:p w14:paraId="41F4021A">
            <w:pPr>
              <w:rPr>
                <w:rFonts w:hint="eastAsia" w:ascii="宋体" w:hAnsi="宋体" w:cs="宋体"/>
                <w:color w:val="auto"/>
                <w:szCs w:val="21"/>
                <w:highlight w:val="none"/>
              </w:rPr>
            </w:pPr>
          </w:p>
        </w:tc>
        <w:tc>
          <w:tcPr>
            <w:tcW w:w="1450" w:type="dxa"/>
            <w:noWrap w:val="0"/>
            <w:vAlign w:val="top"/>
          </w:tcPr>
          <w:p w14:paraId="273EFB1B">
            <w:pPr>
              <w:rPr>
                <w:rFonts w:hint="eastAsia" w:ascii="宋体" w:hAnsi="宋体" w:cs="宋体"/>
                <w:color w:val="auto"/>
                <w:szCs w:val="21"/>
                <w:highlight w:val="none"/>
              </w:rPr>
            </w:pPr>
          </w:p>
        </w:tc>
        <w:tc>
          <w:tcPr>
            <w:tcW w:w="1243" w:type="dxa"/>
            <w:noWrap w:val="0"/>
            <w:vAlign w:val="top"/>
          </w:tcPr>
          <w:p w14:paraId="73B094B8">
            <w:pPr>
              <w:rPr>
                <w:rFonts w:hint="eastAsia" w:ascii="宋体" w:hAnsi="宋体" w:cs="宋体"/>
                <w:color w:val="auto"/>
                <w:szCs w:val="21"/>
                <w:highlight w:val="none"/>
              </w:rPr>
            </w:pPr>
          </w:p>
        </w:tc>
        <w:tc>
          <w:tcPr>
            <w:tcW w:w="1450" w:type="dxa"/>
            <w:noWrap w:val="0"/>
            <w:vAlign w:val="top"/>
          </w:tcPr>
          <w:p w14:paraId="099AE198">
            <w:pPr>
              <w:rPr>
                <w:rFonts w:hint="eastAsia" w:ascii="宋体" w:hAnsi="宋体" w:cs="宋体"/>
                <w:color w:val="auto"/>
                <w:szCs w:val="21"/>
                <w:highlight w:val="none"/>
              </w:rPr>
            </w:pPr>
          </w:p>
        </w:tc>
        <w:tc>
          <w:tcPr>
            <w:tcW w:w="1667" w:type="dxa"/>
            <w:noWrap w:val="0"/>
            <w:vAlign w:val="top"/>
          </w:tcPr>
          <w:p w14:paraId="2B714B7C">
            <w:pPr>
              <w:rPr>
                <w:rFonts w:hint="eastAsia" w:ascii="宋体" w:hAnsi="宋体" w:cs="宋体"/>
                <w:color w:val="auto"/>
                <w:szCs w:val="21"/>
                <w:highlight w:val="none"/>
              </w:rPr>
            </w:pPr>
          </w:p>
        </w:tc>
      </w:tr>
      <w:tr w14:paraId="0FFF23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77B1B8F6">
            <w:pPr>
              <w:rPr>
                <w:rFonts w:hint="eastAsia" w:ascii="宋体" w:hAnsi="宋体" w:cs="宋体"/>
                <w:color w:val="auto"/>
                <w:szCs w:val="21"/>
                <w:highlight w:val="none"/>
              </w:rPr>
            </w:pPr>
          </w:p>
        </w:tc>
        <w:tc>
          <w:tcPr>
            <w:tcW w:w="1276" w:type="dxa"/>
            <w:noWrap w:val="0"/>
            <w:vAlign w:val="top"/>
          </w:tcPr>
          <w:p w14:paraId="08FEAE9F">
            <w:pPr>
              <w:rPr>
                <w:rFonts w:hint="eastAsia" w:ascii="宋体" w:hAnsi="宋体" w:cs="宋体"/>
                <w:color w:val="auto"/>
                <w:szCs w:val="21"/>
                <w:highlight w:val="none"/>
              </w:rPr>
            </w:pPr>
          </w:p>
        </w:tc>
        <w:tc>
          <w:tcPr>
            <w:tcW w:w="1450" w:type="dxa"/>
            <w:noWrap w:val="0"/>
            <w:vAlign w:val="top"/>
          </w:tcPr>
          <w:p w14:paraId="686FE5F3">
            <w:pPr>
              <w:rPr>
                <w:rFonts w:hint="eastAsia" w:ascii="宋体" w:hAnsi="宋体" w:cs="宋体"/>
                <w:color w:val="auto"/>
                <w:szCs w:val="21"/>
                <w:highlight w:val="none"/>
              </w:rPr>
            </w:pPr>
          </w:p>
        </w:tc>
        <w:tc>
          <w:tcPr>
            <w:tcW w:w="1243" w:type="dxa"/>
            <w:noWrap w:val="0"/>
            <w:vAlign w:val="top"/>
          </w:tcPr>
          <w:p w14:paraId="129E0F92">
            <w:pPr>
              <w:rPr>
                <w:rFonts w:hint="eastAsia" w:ascii="宋体" w:hAnsi="宋体" w:cs="宋体"/>
                <w:color w:val="auto"/>
                <w:szCs w:val="21"/>
                <w:highlight w:val="none"/>
              </w:rPr>
            </w:pPr>
          </w:p>
        </w:tc>
        <w:tc>
          <w:tcPr>
            <w:tcW w:w="1450" w:type="dxa"/>
            <w:noWrap w:val="0"/>
            <w:vAlign w:val="top"/>
          </w:tcPr>
          <w:p w14:paraId="6875480C">
            <w:pPr>
              <w:rPr>
                <w:rFonts w:hint="eastAsia" w:ascii="宋体" w:hAnsi="宋体" w:cs="宋体"/>
                <w:color w:val="auto"/>
                <w:szCs w:val="21"/>
                <w:highlight w:val="none"/>
              </w:rPr>
            </w:pPr>
          </w:p>
        </w:tc>
        <w:tc>
          <w:tcPr>
            <w:tcW w:w="1667" w:type="dxa"/>
            <w:noWrap w:val="0"/>
            <w:vAlign w:val="top"/>
          </w:tcPr>
          <w:p w14:paraId="565A9140">
            <w:pPr>
              <w:rPr>
                <w:rFonts w:hint="eastAsia" w:ascii="宋体" w:hAnsi="宋体" w:cs="宋体"/>
                <w:color w:val="auto"/>
                <w:szCs w:val="21"/>
                <w:highlight w:val="none"/>
              </w:rPr>
            </w:pPr>
          </w:p>
        </w:tc>
      </w:tr>
      <w:tr w14:paraId="7DC68B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tcBorders>
              <w:bottom w:val="single" w:color="auto" w:sz="12" w:space="0"/>
            </w:tcBorders>
            <w:noWrap w:val="0"/>
            <w:vAlign w:val="top"/>
          </w:tcPr>
          <w:p w14:paraId="4CA65BF9">
            <w:pPr>
              <w:rPr>
                <w:rFonts w:hint="eastAsia" w:ascii="宋体" w:hAnsi="宋体" w:cs="宋体"/>
                <w:color w:val="auto"/>
                <w:szCs w:val="21"/>
                <w:highlight w:val="none"/>
              </w:rPr>
            </w:pPr>
          </w:p>
        </w:tc>
        <w:tc>
          <w:tcPr>
            <w:tcW w:w="1276" w:type="dxa"/>
            <w:tcBorders>
              <w:bottom w:val="single" w:color="auto" w:sz="12" w:space="0"/>
            </w:tcBorders>
            <w:noWrap w:val="0"/>
            <w:vAlign w:val="top"/>
          </w:tcPr>
          <w:p w14:paraId="7CBC0D24">
            <w:pPr>
              <w:rPr>
                <w:rFonts w:hint="eastAsia" w:ascii="宋体" w:hAnsi="宋体" w:cs="宋体"/>
                <w:color w:val="auto"/>
                <w:szCs w:val="21"/>
                <w:highlight w:val="none"/>
              </w:rPr>
            </w:pPr>
          </w:p>
        </w:tc>
        <w:tc>
          <w:tcPr>
            <w:tcW w:w="1450" w:type="dxa"/>
            <w:tcBorders>
              <w:bottom w:val="single" w:color="auto" w:sz="12" w:space="0"/>
            </w:tcBorders>
            <w:noWrap w:val="0"/>
            <w:vAlign w:val="top"/>
          </w:tcPr>
          <w:p w14:paraId="18814E79">
            <w:pPr>
              <w:rPr>
                <w:rFonts w:hint="eastAsia" w:ascii="宋体" w:hAnsi="宋体" w:cs="宋体"/>
                <w:color w:val="auto"/>
                <w:szCs w:val="21"/>
                <w:highlight w:val="none"/>
              </w:rPr>
            </w:pPr>
          </w:p>
        </w:tc>
        <w:tc>
          <w:tcPr>
            <w:tcW w:w="1243" w:type="dxa"/>
            <w:tcBorders>
              <w:bottom w:val="single" w:color="auto" w:sz="12" w:space="0"/>
            </w:tcBorders>
            <w:noWrap w:val="0"/>
            <w:vAlign w:val="top"/>
          </w:tcPr>
          <w:p w14:paraId="573D9BD9">
            <w:pPr>
              <w:rPr>
                <w:rFonts w:hint="eastAsia" w:ascii="宋体" w:hAnsi="宋体" w:cs="宋体"/>
                <w:color w:val="auto"/>
                <w:szCs w:val="21"/>
                <w:highlight w:val="none"/>
              </w:rPr>
            </w:pPr>
          </w:p>
        </w:tc>
        <w:tc>
          <w:tcPr>
            <w:tcW w:w="1450" w:type="dxa"/>
            <w:tcBorders>
              <w:bottom w:val="single" w:color="auto" w:sz="12" w:space="0"/>
            </w:tcBorders>
            <w:noWrap w:val="0"/>
            <w:vAlign w:val="top"/>
          </w:tcPr>
          <w:p w14:paraId="1D3ABAFF">
            <w:pPr>
              <w:rPr>
                <w:rFonts w:hint="eastAsia" w:ascii="宋体" w:hAnsi="宋体" w:cs="宋体"/>
                <w:color w:val="auto"/>
                <w:szCs w:val="21"/>
                <w:highlight w:val="none"/>
              </w:rPr>
            </w:pPr>
          </w:p>
        </w:tc>
        <w:tc>
          <w:tcPr>
            <w:tcW w:w="1667" w:type="dxa"/>
            <w:tcBorders>
              <w:bottom w:val="single" w:color="auto" w:sz="12" w:space="0"/>
            </w:tcBorders>
            <w:noWrap w:val="0"/>
            <w:vAlign w:val="top"/>
          </w:tcPr>
          <w:p w14:paraId="435A7DD3">
            <w:pPr>
              <w:rPr>
                <w:rFonts w:hint="eastAsia" w:ascii="宋体" w:hAnsi="宋体" w:cs="宋体"/>
                <w:color w:val="auto"/>
                <w:szCs w:val="21"/>
                <w:highlight w:val="none"/>
              </w:rPr>
            </w:pPr>
          </w:p>
        </w:tc>
      </w:tr>
    </w:tbl>
    <w:p w14:paraId="30F179FB">
      <w:pPr>
        <w:rPr>
          <w:rFonts w:hint="eastAsia" w:ascii="宋体" w:hAnsi="宋体" w:cs="宋体"/>
          <w:color w:val="auto"/>
          <w:szCs w:val="21"/>
          <w:highlight w:val="none"/>
        </w:rPr>
      </w:pPr>
    </w:p>
    <w:p w14:paraId="0C64153C">
      <w:pPr>
        <w:keepNext/>
        <w:keepLines/>
        <w:spacing w:before="120" w:after="120" w:line="360" w:lineRule="auto"/>
        <w:jc w:val="left"/>
        <w:outlineLvl w:val="2"/>
        <w:rPr>
          <w:rFonts w:hint="eastAsia" w:ascii="宋体" w:hAnsi="宋体" w:cs="宋体"/>
          <w:bCs/>
          <w:color w:val="auto"/>
          <w:sz w:val="24"/>
          <w:highlight w:val="none"/>
        </w:rPr>
      </w:pPr>
      <w:bookmarkStart w:id="1288" w:name="_Toc95223491"/>
      <w:r>
        <w:rPr>
          <w:rFonts w:hint="eastAsia" w:ascii="宋体" w:hAnsi="宋体" w:cs="宋体"/>
          <w:bCs/>
          <w:color w:val="auto"/>
          <w:sz w:val="24"/>
          <w:highlight w:val="none"/>
        </w:rPr>
        <w:t>附</w:t>
      </w:r>
      <w:bookmarkStart w:id="1289" w:name="_Toc296503227"/>
      <w:bookmarkStart w:id="1290" w:name="_Toc296346728"/>
      <w:bookmarkStart w:id="1291" w:name="_Toc267261698"/>
      <w:bookmarkStart w:id="1292" w:name="_Toc296891055"/>
      <w:bookmarkStart w:id="1293" w:name="_Toc296347226"/>
      <w:bookmarkStart w:id="1294" w:name="_Toc296891267"/>
      <w:bookmarkStart w:id="1295" w:name="_Toc296944566"/>
      <w:r>
        <w:rPr>
          <w:rFonts w:hint="eastAsia" w:ascii="宋体" w:hAnsi="宋体" w:cs="宋体"/>
          <w:bCs/>
          <w:color w:val="auto"/>
          <w:sz w:val="24"/>
          <w:highlight w:val="none"/>
        </w:rPr>
        <w:t>件5：承包人用于本工程施工的机械设备表</w:t>
      </w:r>
      <w:bookmarkEnd w:id="1288"/>
    </w:p>
    <w:bookmarkEnd w:id="1289"/>
    <w:bookmarkEnd w:id="1290"/>
    <w:bookmarkEnd w:id="1291"/>
    <w:bookmarkEnd w:id="1292"/>
    <w:bookmarkEnd w:id="1293"/>
    <w:bookmarkEnd w:id="1294"/>
    <w:bookmarkEnd w:id="1295"/>
    <w:p w14:paraId="6BAED965">
      <w:pPr>
        <w:spacing w:before="120" w:beforeLines="50" w:after="120" w:afterLines="50"/>
        <w:jc w:val="center"/>
        <w:rPr>
          <w:rFonts w:hint="eastAsia" w:ascii="宋体" w:hAnsi="宋体" w:cs="宋体"/>
          <w:color w:val="auto"/>
          <w:szCs w:val="21"/>
          <w:highlight w:val="none"/>
        </w:rPr>
      </w:pPr>
      <w:r>
        <w:rPr>
          <w:rFonts w:hint="eastAsia" w:ascii="宋体" w:hAnsi="宋体" w:cs="宋体"/>
          <w:color w:val="auto"/>
          <w:szCs w:val="21"/>
          <w:highlight w:val="none"/>
        </w:rPr>
        <w:t>承包人用于本工程施工的机械设备表</w:t>
      </w:r>
    </w:p>
    <w:tbl>
      <w:tblPr>
        <w:tblStyle w:val="20"/>
        <w:tblW w:w="895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37"/>
        <w:gridCol w:w="1418"/>
        <w:gridCol w:w="850"/>
        <w:gridCol w:w="709"/>
        <w:gridCol w:w="850"/>
        <w:gridCol w:w="963"/>
        <w:gridCol w:w="1480"/>
        <w:gridCol w:w="1020"/>
        <w:gridCol w:w="932"/>
      </w:tblGrid>
      <w:tr w14:paraId="102690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737" w:type="dxa"/>
            <w:tcBorders>
              <w:top w:val="single" w:color="auto" w:sz="12" w:space="0"/>
              <w:bottom w:val="double" w:color="auto" w:sz="6" w:space="0"/>
            </w:tcBorders>
            <w:noWrap w:val="0"/>
            <w:vAlign w:val="center"/>
          </w:tcPr>
          <w:p w14:paraId="4F102245">
            <w:pPr>
              <w:keepNext/>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418" w:type="dxa"/>
            <w:tcBorders>
              <w:top w:val="single" w:color="auto" w:sz="12" w:space="0"/>
              <w:bottom w:val="double" w:color="auto" w:sz="6" w:space="0"/>
            </w:tcBorders>
            <w:noWrap w:val="0"/>
            <w:vAlign w:val="center"/>
          </w:tcPr>
          <w:p w14:paraId="70CAB31B">
            <w:pPr>
              <w:keepNext/>
              <w:rPr>
                <w:rFonts w:hint="eastAsia" w:ascii="宋体" w:hAnsi="宋体" w:cs="宋体"/>
                <w:color w:val="auto"/>
                <w:szCs w:val="21"/>
                <w:highlight w:val="none"/>
              </w:rPr>
            </w:pPr>
            <w:r>
              <w:rPr>
                <w:rFonts w:hint="eastAsia" w:ascii="宋体" w:hAnsi="宋体" w:cs="宋体"/>
                <w:color w:val="auto"/>
                <w:szCs w:val="21"/>
                <w:highlight w:val="none"/>
              </w:rPr>
              <w:t>机械或设备名称</w:t>
            </w:r>
          </w:p>
        </w:tc>
        <w:tc>
          <w:tcPr>
            <w:tcW w:w="850" w:type="dxa"/>
            <w:tcBorders>
              <w:top w:val="single" w:color="auto" w:sz="12" w:space="0"/>
              <w:bottom w:val="double" w:color="auto" w:sz="6" w:space="0"/>
            </w:tcBorders>
            <w:noWrap w:val="0"/>
            <w:vAlign w:val="center"/>
          </w:tcPr>
          <w:p w14:paraId="6FD03D1E">
            <w:pPr>
              <w:keepNext/>
              <w:rPr>
                <w:rFonts w:hint="eastAsia" w:ascii="宋体" w:hAnsi="宋体" w:cs="宋体"/>
                <w:color w:val="auto"/>
                <w:szCs w:val="21"/>
                <w:highlight w:val="none"/>
              </w:rPr>
            </w:pPr>
            <w:r>
              <w:rPr>
                <w:rFonts w:hint="eastAsia" w:ascii="宋体" w:hAnsi="宋体" w:cs="宋体"/>
                <w:color w:val="auto"/>
                <w:szCs w:val="21"/>
                <w:highlight w:val="none"/>
              </w:rPr>
              <w:t>规格型号</w:t>
            </w:r>
          </w:p>
        </w:tc>
        <w:tc>
          <w:tcPr>
            <w:tcW w:w="709" w:type="dxa"/>
            <w:tcBorders>
              <w:top w:val="single" w:color="auto" w:sz="12" w:space="0"/>
              <w:bottom w:val="double" w:color="auto" w:sz="6" w:space="0"/>
            </w:tcBorders>
            <w:noWrap w:val="0"/>
            <w:vAlign w:val="center"/>
          </w:tcPr>
          <w:p w14:paraId="41568FD1">
            <w:pPr>
              <w:keepNext/>
              <w:rPr>
                <w:rFonts w:hint="eastAsia" w:ascii="宋体" w:hAnsi="宋体" w:cs="宋体"/>
                <w:color w:val="auto"/>
                <w:szCs w:val="21"/>
                <w:highlight w:val="none"/>
              </w:rPr>
            </w:pPr>
            <w:r>
              <w:rPr>
                <w:rFonts w:hint="eastAsia" w:ascii="宋体" w:hAnsi="宋体" w:cs="宋体"/>
                <w:color w:val="auto"/>
                <w:szCs w:val="21"/>
                <w:highlight w:val="none"/>
              </w:rPr>
              <w:t>数量</w:t>
            </w:r>
          </w:p>
        </w:tc>
        <w:tc>
          <w:tcPr>
            <w:tcW w:w="850" w:type="dxa"/>
            <w:tcBorders>
              <w:top w:val="single" w:color="auto" w:sz="12" w:space="0"/>
              <w:bottom w:val="double" w:color="auto" w:sz="6" w:space="0"/>
            </w:tcBorders>
            <w:noWrap w:val="0"/>
            <w:vAlign w:val="center"/>
          </w:tcPr>
          <w:p w14:paraId="15B10A09">
            <w:pPr>
              <w:keepNext/>
              <w:rPr>
                <w:rFonts w:hint="eastAsia" w:ascii="宋体" w:hAnsi="宋体" w:cs="宋体"/>
                <w:color w:val="auto"/>
                <w:szCs w:val="21"/>
                <w:highlight w:val="none"/>
              </w:rPr>
            </w:pPr>
            <w:r>
              <w:rPr>
                <w:rFonts w:hint="eastAsia" w:ascii="宋体" w:hAnsi="宋体" w:cs="宋体"/>
                <w:color w:val="auto"/>
                <w:szCs w:val="21"/>
                <w:highlight w:val="none"/>
              </w:rPr>
              <w:t>产地</w:t>
            </w:r>
          </w:p>
        </w:tc>
        <w:tc>
          <w:tcPr>
            <w:tcW w:w="963" w:type="dxa"/>
            <w:tcBorders>
              <w:top w:val="single" w:color="auto" w:sz="12" w:space="0"/>
              <w:bottom w:val="double" w:color="auto" w:sz="6" w:space="0"/>
            </w:tcBorders>
            <w:noWrap w:val="0"/>
            <w:vAlign w:val="center"/>
          </w:tcPr>
          <w:p w14:paraId="277CBA7D">
            <w:pPr>
              <w:keepNext/>
              <w:rPr>
                <w:rFonts w:hint="eastAsia" w:ascii="宋体" w:hAnsi="宋体" w:cs="宋体"/>
                <w:color w:val="auto"/>
                <w:szCs w:val="21"/>
                <w:highlight w:val="none"/>
              </w:rPr>
            </w:pPr>
            <w:r>
              <w:rPr>
                <w:rFonts w:hint="eastAsia" w:ascii="宋体" w:hAnsi="宋体" w:cs="宋体"/>
                <w:color w:val="auto"/>
                <w:szCs w:val="21"/>
                <w:highlight w:val="none"/>
              </w:rPr>
              <w:t>制造年份</w:t>
            </w:r>
          </w:p>
        </w:tc>
        <w:tc>
          <w:tcPr>
            <w:tcW w:w="1480" w:type="dxa"/>
            <w:tcBorders>
              <w:top w:val="single" w:color="auto" w:sz="12" w:space="0"/>
              <w:bottom w:val="double" w:color="auto" w:sz="6" w:space="0"/>
            </w:tcBorders>
            <w:noWrap w:val="0"/>
            <w:vAlign w:val="center"/>
          </w:tcPr>
          <w:p w14:paraId="4C387BE1">
            <w:pPr>
              <w:keepNext/>
              <w:rPr>
                <w:rFonts w:hint="eastAsia" w:ascii="宋体" w:hAnsi="宋体" w:cs="宋体"/>
                <w:color w:val="auto"/>
                <w:szCs w:val="21"/>
                <w:highlight w:val="none"/>
              </w:rPr>
            </w:pPr>
            <w:r>
              <w:rPr>
                <w:rFonts w:hint="eastAsia" w:ascii="宋体" w:hAnsi="宋体" w:cs="宋体"/>
                <w:color w:val="auto"/>
                <w:szCs w:val="21"/>
                <w:highlight w:val="none"/>
              </w:rPr>
              <w:t>额定功率(kW)</w:t>
            </w:r>
          </w:p>
        </w:tc>
        <w:tc>
          <w:tcPr>
            <w:tcW w:w="1020" w:type="dxa"/>
            <w:tcBorders>
              <w:top w:val="single" w:color="auto" w:sz="12" w:space="0"/>
              <w:bottom w:val="double" w:color="auto" w:sz="6" w:space="0"/>
            </w:tcBorders>
            <w:noWrap w:val="0"/>
            <w:vAlign w:val="center"/>
          </w:tcPr>
          <w:p w14:paraId="36D601C2">
            <w:pPr>
              <w:keepNext/>
              <w:rPr>
                <w:rFonts w:hint="eastAsia" w:ascii="宋体" w:hAnsi="宋体" w:cs="宋体"/>
                <w:color w:val="auto"/>
                <w:szCs w:val="21"/>
                <w:highlight w:val="none"/>
              </w:rPr>
            </w:pPr>
            <w:r>
              <w:rPr>
                <w:rFonts w:hint="eastAsia" w:ascii="宋体" w:hAnsi="宋体" w:cs="宋体"/>
                <w:color w:val="auto"/>
                <w:szCs w:val="21"/>
                <w:highlight w:val="none"/>
              </w:rPr>
              <w:t>生产能力</w:t>
            </w:r>
          </w:p>
        </w:tc>
        <w:tc>
          <w:tcPr>
            <w:tcW w:w="932" w:type="dxa"/>
            <w:tcBorders>
              <w:top w:val="single" w:color="auto" w:sz="12" w:space="0"/>
              <w:bottom w:val="double" w:color="auto" w:sz="6" w:space="0"/>
            </w:tcBorders>
            <w:noWrap w:val="0"/>
            <w:vAlign w:val="center"/>
          </w:tcPr>
          <w:p w14:paraId="52750D6A">
            <w:pPr>
              <w:keepNext/>
              <w:rPr>
                <w:rFonts w:hint="eastAsia" w:ascii="宋体" w:hAnsi="宋体" w:cs="宋体"/>
                <w:color w:val="auto"/>
                <w:szCs w:val="21"/>
                <w:highlight w:val="none"/>
              </w:rPr>
            </w:pPr>
            <w:r>
              <w:rPr>
                <w:rFonts w:hint="eastAsia" w:ascii="宋体" w:hAnsi="宋体" w:cs="宋体"/>
                <w:color w:val="auto"/>
                <w:szCs w:val="21"/>
                <w:highlight w:val="none"/>
              </w:rPr>
              <w:t>备注</w:t>
            </w:r>
          </w:p>
        </w:tc>
      </w:tr>
      <w:tr w14:paraId="621647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37" w:type="dxa"/>
            <w:tcBorders>
              <w:top w:val="double" w:color="auto" w:sz="6" w:space="0"/>
            </w:tcBorders>
            <w:noWrap w:val="0"/>
            <w:vAlign w:val="center"/>
          </w:tcPr>
          <w:p w14:paraId="30278E95">
            <w:pPr>
              <w:keepNext/>
              <w:rPr>
                <w:rFonts w:hint="eastAsia" w:ascii="宋体" w:hAnsi="宋体" w:cs="宋体"/>
                <w:color w:val="auto"/>
                <w:szCs w:val="21"/>
                <w:highlight w:val="none"/>
              </w:rPr>
            </w:pPr>
          </w:p>
        </w:tc>
        <w:tc>
          <w:tcPr>
            <w:tcW w:w="1418" w:type="dxa"/>
            <w:tcBorders>
              <w:top w:val="double" w:color="auto" w:sz="6" w:space="0"/>
            </w:tcBorders>
            <w:noWrap w:val="0"/>
            <w:vAlign w:val="center"/>
          </w:tcPr>
          <w:p w14:paraId="5BF8B85D">
            <w:pPr>
              <w:keepNext/>
              <w:rPr>
                <w:rFonts w:hint="eastAsia" w:ascii="宋体" w:hAnsi="宋体" w:cs="宋体"/>
                <w:color w:val="auto"/>
                <w:szCs w:val="21"/>
                <w:highlight w:val="none"/>
              </w:rPr>
            </w:pPr>
          </w:p>
        </w:tc>
        <w:tc>
          <w:tcPr>
            <w:tcW w:w="850" w:type="dxa"/>
            <w:tcBorders>
              <w:top w:val="double" w:color="auto" w:sz="6" w:space="0"/>
            </w:tcBorders>
            <w:noWrap w:val="0"/>
            <w:vAlign w:val="center"/>
          </w:tcPr>
          <w:p w14:paraId="648A6709">
            <w:pPr>
              <w:keepNext/>
              <w:rPr>
                <w:rFonts w:hint="eastAsia" w:ascii="宋体" w:hAnsi="宋体" w:cs="宋体"/>
                <w:color w:val="auto"/>
                <w:szCs w:val="21"/>
                <w:highlight w:val="none"/>
              </w:rPr>
            </w:pPr>
          </w:p>
        </w:tc>
        <w:tc>
          <w:tcPr>
            <w:tcW w:w="709" w:type="dxa"/>
            <w:tcBorders>
              <w:top w:val="double" w:color="auto" w:sz="6" w:space="0"/>
            </w:tcBorders>
            <w:noWrap w:val="0"/>
            <w:vAlign w:val="center"/>
          </w:tcPr>
          <w:p w14:paraId="5FA16438">
            <w:pPr>
              <w:keepNext/>
              <w:rPr>
                <w:rFonts w:hint="eastAsia" w:ascii="宋体" w:hAnsi="宋体" w:cs="宋体"/>
                <w:color w:val="auto"/>
                <w:szCs w:val="21"/>
                <w:highlight w:val="none"/>
              </w:rPr>
            </w:pPr>
          </w:p>
        </w:tc>
        <w:tc>
          <w:tcPr>
            <w:tcW w:w="850" w:type="dxa"/>
            <w:tcBorders>
              <w:top w:val="double" w:color="auto" w:sz="6" w:space="0"/>
            </w:tcBorders>
            <w:noWrap w:val="0"/>
            <w:vAlign w:val="center"/>
          </w:tcPr>
          <w:p w14:paraId="4897B9D5">
            <w:pPr>
              <w:keepNext/>
              <w:rPr>
                <w:rFonts w:hint="eastAsia" w:ascii="宋体" w:hAnsi="宋体" w:cs="宋体"/>
                <w:color w:val="auto"/>
                <w:szCs w:val="21"/>
                <w:highlight w:val="none"/>
              </w:rPr>
            </w:pPr>
          </w:p>
        </w:tc>
        <w:tc>
          <w:tcPr>
            <w:tcW w:w="963" w:type="dxa"/>
            <w:tcBorders>
              <w:top w:val="double" w:color="auto" w:sz="6" w:space="0"/>
            </w:tcBorders>
            <w:noWrap w:val="0"/>
            <w:vAlign w:val="center"/>
          </w:tcPr>
          <w:p w14:paraId="16F5DD1A">
            <w:pPr>
              <w:keepNext/>
              <w:rPr>
                <w:rFonts w:hint="eastAsia" w:ascii="宋体" w:hAnsi="宋体" w:cs="宋体"/>
                <w:color w:val="auto"/>
                <w:szCs w:val="21"/>
                <w:highlight w:val="none"/>
              </w:rPr>
            </w:pPr>
          </w:p>
        </w:tc>
        <w:tc>
          <w:tcPr>
            <w:tcW w:w="1480" w:type="dxa"/>
            <w:tcBorders>
              <w:top w:val="double" w:color="auto" w:sz="6" w:space="0"/>
            </w:tcBorders>
            <w:noWrap w:val="0"/>
            <w:vAlign w:val="center"/>
          </w:tcPr>
          <w:p w14:paraId="0A6DBE16">
            <w:pPr>
              <w:keepNext/>
              <w:rPr>
                <w:rFonts w:hint="eastAsia" w:ascii="宋体" w:hAnsi="宋体" w:cs="宋体"/>
                <w:color w:val="auto"/>
                <w:szCs w:val="21"/>
                <w:highlight w:val="none"/>
              </w:rPr>
            </w:pPr>
          </w:p>
        </w:tc>
        <w:tc>
          <w:tcPr>
            <w:tcW w:w="1020" w:type="dxa"/>
            <w:tcBorders>
              <w:top w:val="double" w:color="auto" w:sz="6" w:space="0"/>
            </w:tcBorders>
            <w:noWrap w:val="0"/>
            <w:vAlign w:val="center"/>
          </w:tcPr>
          <w:p w14:paraId="3C996589">
            <w:pPr>
              <w:keepNext/>
              <w:rPr>
                <w:rFonts w:hint="eastAsia" w:ascii="宋体" w:hAnsi="宋体" w:cs="宋体"/>
                <w:color w:val="auto"/>
                <w:szCs w:val="21"/>
                <w:highlight w:val="none"/>
              </w:rPr>
            </w:pPr>
          </w:p>
        </w:tc>
        <w:tc>
          <w:tcPr>
            <w:tcW w:w="932" w:type="dxa"/>
            <w:tcBorders>
              <w:top w:val="double" w:color="auto" w:sz="6" w:space="0"/>
            </w:tcBorders>
            <w:noWrap w:val="0"/>
            <w:vAlign w:val="center"/>
          </w:tcPr>
          <w:p w14:paraId="092ED841">
            <w:pPr>
              <w:keepNext/>
              <w:rPr>
                <w:rFonts w:hint="eastAsia" w:ascii="宋体" w:hAnsi="宋体" w:cs="宋体"/>
                <w:color w:val="auto"/>
                <w:szCs w:val="21"/>
                <w:highlight w:val="none"/>
              </w:rPr>
            </w:pPr>
          </w:p>
        </w:tc>
      </w:tr>
      <w:tr w14:paraId="5FF0BE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37" w:type="dxa"/>
            <w:tcBorders>
              <w:top w:val="nil"/>
            </w:tcBorders>
            <w:noWrap w:val="0"/>
            <w:vAlign w:val="center"/>
          </w:tcPr>
          <w:p w14:paraId="7DD249B1">
            <w:pPr>
              <w:keepNext/>
              <w:rPr>
                <w:rFonts w:hint="eastAsia" w:ascii="宋体" w:hAnsi="宋体" w:cs="宋体"/>
                <w:color w:val="auto"/>
                <w:szCs w:val="21"/>
                <w:highlight w:val="none"/>
              </w:rPr>
            </w:pPr>
          </w:p>
        </w:tc>
        <w:tc>
          <w:tcPr>
            <w:tcW w:w="1418" w:type="dxa"/>
            <w:tcBorders>
              <w:top w:val="nil"/>
            </w:tcBorders>
            <w:noWrap w:val="0"/>
            <w:vAlign w:val="center"/>
          </w:tcPr>
          <w:p w14:paraId="111F99F1">
            <w:pPr>
              <w:keepNext/>
              <w:rPr>
                <w:rFonts w:hint="eastAsia" w:ascii="宋体" w:hAnsi="宋体" w:cs="宋体"/>
                <w:color w:val="auto"/>
                <w:szCs w:val="21"/>
                <w:highlight w:val="none"/>
              </w:rPr>
            </w:pPr>
          </w:p>
        </w:tc>
        <w:tc>
          <w:tcPr>
            <w:tcW w:w="850" w:type="dxa"/>
            <w:tcBorders>
              <w:top w:val="nil"/>
            </w:tcBorders>
            <w:noWrap w:val="0"/>
            <w:vAlign w:val="center"/>
          </w:tcPr>
          <w:p w14:paraId="6A3E13A1">
            <w:pPr>
              <w:keepNext/>
              <w:rPr>
                <w:rFonts w:hint="eastAsia" w:ascii="宋体" w:hAnsi="宋体" w:cs="宋体"/>
                <w:color w:val="auto"/>
                <w:szCs w:val="21"/>
                <w:highlight w:val="none"/>
              </w:rPr>
            </w:pPr>
          </w:p>
        </w:tc>
        <w:tc>
          <w:tcPr>
            <w:tcW w:w="709" w:type="dxa"/>
            <w:tcBorders>
              <w:top w:val="nil"/>
            </w:tcBorders>
            <w:noWrap w:val="0"/>
            <w:vAlign w:val="center"/>
          </w:tcPr>
          <w:p w14:paraId="504F7A82">
            <w:pPr>
              <w:keepNext/>
              <w:rPr>
                <w:rFonts w:hint="eastAsia" w:ascii="宋体" w:hAnsi="宋体" w:cs="宋体"/>
                <w:color w:val="auto"/>
                <w:szCs w:val="21"/>
                <w:highlight w:val="none"/>
              </w:rPr>
            </w:pPr>
          </w:p>
        </w:tc>
        <w:tc>
          <w:tcPr>
            <w:tcW w:w="850" w:type="dxa"/>
            <w:tcBorders>
              <w:top w:val="nil"/>
            </w:tcBorders>
            <w:noWrap w:val="0"/>
            <w:vAlign w:val="center"/>
          </w:tcPr>
          <w:p w14:paraId="69DB39C6">
            <w:pPr>
              <w:keepNext/>
              <w:rPr>
                <w:rFonts w:hint="eastAsia" w:ascii="宋体" w:hAnsi="宋体" w:cs="宋体"/>
                <w:color w:val="auto"/>
                <w:szCs w:val="21"/>
                <w:highlight w:val="none"/>
              </w:rPr>
            </w:pPr>
          </w:p>
        </w:tc>
        <w:tc>
          <w:tcPr>
            <w:tcW w:w="963" w:type="dxa"/>
            <w:tcBorders>
              <w:top w:val="nil"/>
            </w:tcBorders>
            <w:noWrap w:val="0"/>
            <w:vAlign w:val="center"/>
          </w:tcPr>
          <w:p w14:paraId="1D61BDAA">
            <w:pPr>
              <w:keepNext/>
              <w:rPr>
                <w:rFonts w:hint="eastAsia" w:ascii="宋体" w:hAnsi="宋体" w:cs="宋体"/>
                <w:color w:val="auto"/>
                <w:szCs w:val="21"/>
                <w:highlight w:val="none"/>
              </w:rPr>
            </w:pPr>
          </w:p>
        </w:tc>
        <w:tc>
          <w:tcPr>
            <w:tcW w:w="1480" w:type="dxa"/>
            <w:tcBorders>
              <w:top w:val="nil"/>
            </w:tcBorders>
            <w:noWrap w:val="0"/>
            <w:vAlign w:val="center"/>
          </w:tcPr>
          <w:p w14:paraId="2BCB2338">
            <w:pPr>
              <w:keepNext/>
              <w:rPr>
                <w:rFonts w:hint="eastAsia" w:ascii="宋体" w:hAnsi="宋体" w:cs="宋体"/>
                <w:color w:val="auto"/>
                <w:szCs w:val="21"/>
                <w:highlight w:val="none"/>
              </w:rPr>
            </w:pPr>
          </w:p>
        </w:tc>
        <w:tc>
          <w:tcPr>
            <w:tcW w:w="1020" w:type="dxa"/>
            <w:tcBorders>
              <w:top w:val="nil"/>
            </w:tcBorders>
            <w:noWrap w:val="0"/>
            <w:vAlign w:val="center"/>
          </w:tcPr>
          <w:p w14:paraId="16E1EAE2">
            <w:pPr>
              <w:keepNext/>
              <w:rPr>
                <w:rFonts w:hint="eastAsia" w:ascii="宋体" w:hAnsi="宋体" w:cs="宋体"/>
                <w:color w:val="auto"/>
                <w:szCs w:val="21"/>
                <w:highlight w:val="none"/>
              </w:rPr>
            </w:pPr>
          </w:p>
        </w:tc>
        <w:tc>
          <w:tcPr>
            <w:tcW w:w="932" w:type="dxa"/>
            <w:tcBorders>
              <w:top w:val="nil"/>
            </w:tcBorders>
            <w:noWrap w:val="0"/>
            <w:vAlign w:val="center"/>
          </w:tcPr>
          <w:p w14:paraId="73B4EDA5">
            <w:pPr>
              <w:keepNext/>
              <w:rPr>
                <w:rFonts w:hint="eastAsia" w:ascii="宋体" w:hAnsi="宋体" w:cs="宋体"/>
                <w:color w:val="auto"/>
                <w:szCs w:val="21"/>
                <w:highlight w:val="none"/>
              </w:rPr>
            </w:pPr>
          </w:p>
        </w:tc>
      </w:tr>
      <w:tr w14:paraId="39FD32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37" w:type="dxa"/>
            <w:noWrap w:val="0"/>
            <w:vAlign w:val="top"/>
          </w:tcPr>
          <w:p w14:paraId="0E6F19D5">
            <w:pPr>
              <w:rPr>
                <w:rFonts w:hint="eastAsia" w:ascii="宋体" w:hAnsi="宋体" w:cs="宋体"/>
                <w:color w:val="auto"/>
                <w:szCs w:val="21"/>
                <w:highlight w:val="none"/>
              </w:rPr>
            </w:pPr>
          </w:p>
        </w:tc>
        <w:tc>
          <w:tcPr>
            <w:tcW w:w="1418" w:type="dxa"/>
            <w:noWrap w:val="0"/>
            <w:vAlign w:val="top"/>
          </w:tcPr>
          <w:p w14:paraId="7726F2AD">
            <w:pPr>
              <w:rPr>
                <w:rFonts w:hint="eastAsia" w:ascii="宋体" w:hAnsi="宋体" w:cs="宋体"/>
                <w:color w:val="auto"/>
                <w:szCs w:val="21"/>
                <w:highlight w:val="none"/>
              </w:rPr>
            </w:pPr>
          </w:p>
        </w:tc>
        <w:tc>
          <w:tcPr>
            <w:tcW w:w="850" w:type="dxa"/>
            <w:noWrap w:val="0"/>
            <w:vAlign w:val="top"/>
          </w:tcPr>
          <w:p w14:paraId="45893B84">
            <w:pPr>
              <w:rPr>
                <w:rFonts w:hint="eastAsia" w:ascii="宋体" w:hAnsi="宋体" w:cs="宋体"/>
                <w:color w:val="auto"/>
                <w:szCs w:val="21"/>
                <w:highlight w:val="none"/>
              </w:rPr>
            </w:pPr>
          </w:p>
        </w:tc>
        <w:tc>
          <w:tcPr>
            <w:tcW w:w="709" w:type="dxa"/>
            <w:noWrap w:val="0"/>
            <w:vAlign w:val="top"/>
          </w:tcPr>
          <w:p w14:paraId="33079292">
            <w:pPr>
              <w:rPr>
                <w:rFonts w:hint="eastAsia" w:ascii="宋体" w:hAnsi="宋体" w:cs="宋体"/>
                <w:color w:val="auto"/>
                <w:szCs w:val="21"/>
                <w:highlight w:val="none"/>
              </w:rPr>
            </w:pPr>
          </w:p>
        </w:tc>
        <w:tc>
          <w:tcPr>
            <w:tcW w:w="850" w:type="dxa"/>
            <w:noWrap w:val="0"/>
            <w:vAlign w:val="top"/>
          </w:tcPr>
          <w:p w14:paraId="09B4266F">
            <w:pPr>
              <w:rPr>
                <w:rFonts w:hint="eastAsia" w:ascii="宋体" w:hAnsi="宋体" w:cs="宋体"/>
                <w:color w:val="auto"/>
                <w:szCs w:val="21"/>
                <w:highlight w:val="none"/>
              </w:rPr>
            </w:pPr>
          </w:p>
        </w:tc>
        <w:tc>
          <w:tcPr>
            <w:tcW w:w="963" w:type="dxa"/>
            <w:noWrap w:val="0"/>
            <w:vAlign w:val="top"/>
          </w:tcPr>
          <w:p w14:paraId="0F867728">
            <w:pPr>
              <w:rPr>
                <w:rFonts w:hint="eastAsia" w:ascii="宋体" w:hAnsi="宋体" w:cs="宋体"/>
                <w:color w:val="auto"/>
                <w:szCs w:val="21"/>
                <w:highlight w:val="none"/>
              </w:rPr>
            </w:pPr>
          </w:p>
        </w:tc>
        <w:tc>
          <w:tcPr>
            <w:tcW w:w="1480" w:type="dxa"/>
            <w:noWrap w:val="0"/>
            <w:vAlign w:val="top"/>
          </w:tcPr>
          <w:p w14:paraId="2B96ECE4">
            <w:pPr>
              <w:rPr>
                <w:rFonts w:hint="eastAsia" w:ascii="宋体" w:hAnsi="宋体" w:cs="宋体"/>
                <w:color w:val="auto"/>
                <w:szCs w:val="21"/>
                <w:highlight w:val="none"/>
              </w:rPr>
            </w:pPr>
          </w:p>
        </w:tc>
        <w:tc>
          <w:tcPr>
            <w:tcW w:w="1020" w:type="dxa"/>
            <w:noWrap w:val="0"/>
            <w:vAlign w:val="top"/>
          </w:tcPr>
          <w:p w14:paraId="4E998377">
            <w:pPr>
              <w:rPr>
                <w:rFonts w:hint="eastAsia" w:ascii="宋体" w:hAnsi="宋体" w:cs="宋体"/>
                <w:color w:val="auto"/>
                <w:szCs w:val="21"/>
                <w:highlight w:val="none"/>
              </w:rPr>
            </w:pPr>
          </w:p>
        </w:tc>
        <w:tc>
          <w:tcPr>
            <w:tcW w:w="932" w:type="dxa"/>
            <w:noWrap w:val="0"/>
            <w:vAlign w:val="top"/>
          </w:tcPr>
          <w:p w14:paraId="176F6153">
            <w:pPr>
              <w:rPr>
                <w:rFonts w:hint="eastAsia" w:ascii="宋体" w:hAnsi="宋体" w:cs="宋体"/>
                <w:color w:val="auto"/>
                <w:szCs w:val="21"/>
                <w:highlight w:val="none"/>
              </w:rPr>
            </w:pPr>
          </w:p>
        </w:tc>
      </w:tr>
      <w:tr w14:paraId="268F99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37" w:type="dxa"/>
            <w:noWrap w:val="0"/>
            <w:vAlign w:val="top"/>
          </w:tcPr>
          <w:p w14:paraId="2EF50B03">
            <w:pPr>
              <w:rPr>
                <w:rFonts w:hint="eastAsia" w:ascii="宋体" w:hAnsi="宋体" w:cs="宋体"/>
                <w:color w:val="auto"/>
                <w:szCs w:val="21"/>
                <w:highlight w:val="none"/>
              </w:rPr>
            </w:pPr>
          </w:p>
        </w:tc>
        <w:tc>
          <w:tcPr>
            <w:tcW w:w="1418" w:type="dxa"/>
            <w:noWrap w:val="0"/>
            <w:vAlign w:val="top"/>
          </w:tcPr>
          <w:p w14:paraId="4F7D1C22">
            <w:pPr>
              <w:rPr>
                <w:rFonts w:hint="eastAsia" w:ascii="宋体" w:hAnsi="宋体" w:cs="宋体"/>
                <w:color w:val="auto"/>
                <w:szCs w:val="21"/>
                <w:highlight w:val="none"/>
              </w:rPr>
            </w:pPr>
          </w:p>
        </w:tc>
        <w:tc>
          <w:tcPr>
            <w:tcW w:w="850" w:type="dxa"/>
            <w:noWrap w:val="0"/>
            <w:vAlign w:val="top"/>
          </w:tcPr>
          <w:p w14:paraId="7042C8CE">
            <w:pPr>
              <w:rPr>
                <w:rFonts w:hint="eastAsia" w:ascii="宋体" w:hAnsi="宋体" w:cs="宋体"/>
                <w:color w:val="auto"/>
                <w:szCs w:val="21"/>
                <w:highlight w:val="none"/>
              </w:rPr>
            </w:pPr>
          </w:p>
        </w:tc>
        <w:tc>
          <w:tcPr>
            <w:tcW w:w="709" w:type="dxa"/>
            <w:noWrap w:val="0"/>
            <w:vAlign w:val="top"/>
          </w:tcPr>
          <w:p w14:paraId="3E2D9F7D">
            <w:pPr>
              <w:rPr>
                <w:rFonts w:hint="eastAsia" w:ascii="宋体" w:hAnsi="宋体" w:cs="宋体"/>
                <w:color w:val="auto"/>
                <w:szCs w:val="21"/>
                <w:highlight w:val="none"/>
              </w:rPr>
            </w:pPr>
          </w:p>
        </w:tc>
        <w:tc>
          <w:tcPr>
            <w:tcW w:w="850" w:type="dxa"/>
            <w:noWrap w:val="0"/>
            <w:vAlign w:val="top"/>
          </w:tcPr>
          <w:p w14:paraId="7174CA7C">
            <w:pPr>
              <w:rPr>
                <w:rFonts w:hint="eastAsia" w:ascii="宋体" w:hAnsi="宋体" w:cs="宋体"/>
                <w:color w:val="auto"/>
                <w:szCs w:val="21"/>
                <w:highlight w:val="none"/>
              </w:rPr>
            </w:pPr>
          </w:p>
        </w:tc>
        <w:tc>
          <w:tcPr>
            <w:tcW w:w="963" w:type="dxa"/>
            <w:noWrap w:val="0"/>
            <w:vAlign w:val="top"/>
          </w:tcPr>
          <w:p w14:paraId="2BE2298F">
            <w:pPr>
              <w:rPr>
                <w:rFonts w:hint="eastAsia" w:ascii="宋体" w:hAnsi="宋体" w:cs="宋体"/>
                <w:color w:val="auto"/>
                <w:szCs w:val="21"/>
                <w:highlight w:val="none"/>
              </w:rPr>
            </w:pPr>
          </w:p>
        </w:tc>
        <w:tc>
          <w:tcPr>
            <w:tcW w:w="1480" w:type="dxa"/>
            <w:noWrap w:val="0"/>
            <w:vAlign w:val="top"/>
          </w:tcPr>
          <w:p w14:paraId="34BADCD3">
            <w:pPr>
              <w:rPr>
                <w:rFonts w:hint="eastAsia" w:ascii="宋体" w:hAnsi="宋体" w:cs="宋体"/>
                <w:color w:val="auto"/>
                <w:szCs w:val="21"/>
                <w:highlight w:val="none"/>
              </w:rPr>
            </w:pPr>
          </w:p>
        </w:tc>
        <w:tc>
          <w:tcPr>
            <w:tcW w:w="1020" w:type="dxa"/>
            <w:noWrap w:val="0"/>
            <w:vAlign w:val="top"/>
          </w:tcPr>
          <w:p w14:paraId="4E451B54">
            <w:pPr>
              <w:rPr>
                <w:rFonts w:hint="eastAsia" w:ascii="宋体" w:hAnsi="宋体" w:cs="宋体"/>
                <w:color w:val="auto"/>
                <w:szCs w:val="21"/>
                <w:highlight w:val="none"/>
              </w:rPr>
            </w:pPr>
          </w:p>
        </w:tc>
        <w:tc>
          <w:tcPr>
            <w:tcW w:w="932" w:type="dxa"/>
            <w:noWrap w:val="0"/>
            <w:vAlign w:val="top"/>
          </w:tcPr>
          <w:p w14:paraId="440E0579">
            <w:pPr>
              <w:rPr>
                <w:rFonts w:hint="eastAsia" w:ascii="宋体" w:hAnsi="宋体" w:cs="宋体"/>
                <w:color w:val="auto"/>
                <w:szCs w:val="21"/>
                <w:highlight w:val="none"/>
              </w:rPr>
            </w:pPr>
          </w:p>
        </w:tc>
      </w:tr>
      <w:tr w14:paraId="3A9175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37" w:type="dxa"/>
            <w:tcBorders>
              <w:bottom w:val="single" w:color="auto" w:sz="12" w:space="0"/>
            </w:tcBorders>
            <w:noWrap w:val="0"/>
            <w:vAlign w:val="top"/>
          </w:tcPr>
          <w:p w14:paraId="2AA0A793">
            <w:pPr>
              <w:rPr>
                <w:rFonts w:hint="eastAsia" w:ascii="宋体" w:hAnsi="宋体" w:cs="宋体"/>
                <w:color w:val="auto"/>
                <w:szCs w:val="21"/>
                <w:highlight w:val="none"/>
              </w:rPr>
            </w:pPr>
          </w:p>
        </w:tc>
        <w:tc>
          <w:tcPr>
            <w:tcW w:w="1418" w:type="dxa"/>
            <w:tcBorders>
              <w:bottom w:val="single" w:color="auto" w:sz="12" w:space="0"/>
            </w:tcBorders>
            <w:noWrap w:val="0"/>
            <w:vAlign w:val="top"/>
          </w:tcPr>
          <w:p w14:paraId="161CF547">
            <w:pPr>
              <w:rPr>
                <w:rFonts w:hint="eastAsia" w:ascii="宋体" w:hAnsi="宋体" w:cs="宋体"/>
                <w:color w:val="auto"/>
                <w:szCs w:val="21"/>
                <w:highlight w:val="none"/>
              </w:rPr>
            </w:pPr>
          </w:p>
        </w:tc>
        <w:tc>
          <w:tcPr>
            <w:tcW w:w="850" w:type="dxa"/>
            <w:tcBorders>
              <w:bottom w:val="single" w:color="auto" w:sz="12" w:space="0"/>
            </w:tcBorders>
            <w:noWrap w:val="0"/>
            <w:vAlign w:val="top"/>
          </w:tcPr>
          <w:p w14:paraId="64A7F18B">
            <w:pPr>
              <w:rPr>
                <w:rFonts w:hint="eastAsia" w:ascii="宋体" w:hAnsi="宋体" w:cs="宋体"/>
                <w:color w:val="auto"/>
                <w:szCs w:val="21"/>
                <w:highlight w:val="none"/>
              </w:rPr>
            </w:pPr>
          </w:p>
        </w:tc>
        <w:tc>
          <w:tcPr>
            <w:tcW w:w="709" w:type="dxa"/>
            <w:tcBorders>
              <w:bottom w:val="single" w:color="auto" w:sz="12" w:space="0"/>
            </w:tcBorders>
            <w:noWrap w:val="0"/>
            <w:vAlign w:val="top"/>
          </w:tcPr>
          <w:p w14:paraId="03A631B4">
            <w:pPr>
              <w:rPr>
                <w:rFonts w:hint="eastAsia" w:ascii="宋体" w:hAnsi="宋体" w:cs="宋体"/>
                <w:color w:val="auto"/>
                <w:szCs w:val="21"/>
                <w:highlight w:val="none"/>
              </w:rPr>
            </w:pPr>
          </w:p>
        </w:tc>
        <w:tc>
          <w:tcPr>
            <w:tcW w:w="850" w:type="dxa"/>
            <w:tcBorders>
              <w:bottom w:val="single" w:color="auto" w:sz="12" w:space="0"/>
            </w:tcBorders>
            <w:noWrap w:val="0"/>
            <w:vAlign w:val="top"/>
          </w:tcPr>
          <w:p w14:paraId="32A9AE54">
            <w:pPr>
              <w:rPr>
                <w:rFonts w:hint="eastAsia" w:ascii="宋体" w:hAnsi="宋体" w:cs="宋体"/>
                <w:color w:val="auto"/>
                <w:szCs w:val="21"/>
                <w:highlight w:val="none"/>
              </w:rPr>
            </w:pPr>
          </w:p>
        </w:tc>
        <w:tc>
          <w:tcPr>
            <w:tcW w:w="963" w:type="dxa"/>
            <w:tcBorders>
              <w:bottom w:val="single" w:color="auto" w:sz="12" w:space="0"/>
            </w:tcBorders>
            <w:noWrap w:val="0"/>
            <w:vAlign w:val="top"/>
          </w:tcPr>
          <w:p w14:paraId="1C8860BD">
            <w:pPr>
              <w:rPr>
                <w:rFonts w:hint="eastAsia" w:ascii="宋体" w:hAnsi="宋体" w:cs="宋体"/>
                <w:color w:val="auto"/>
                <w:szCs w:val="21"/>
                <w:highlight w:val="none"/>
              </w:rPr>
            </w:pPr>
          </w:p>
        </w:tc>
        <w:tc>
          <w:tcPr>
            <w:tcW w:w="1480" w:type="dxa"/>
            <w:tcBorders>
              <w:bottom w:val="single" w:color="auto" w:sz="12" w:space="0"/>
            </w:tcBorders>
            <w:noWrap w:val="0"/>
            <w:vAlign w:val="top"/>
          </w:tcPr>
          <w:p w14:paraId="3880BA9E">
            <w:pPr>
              <w:rPr>
                <w:rFonts w:hint="eastAsia" w:ascii="宋体" w:hAnsi="宋体" w:cs="宋体"/>
                <w:color w:val="auto"/>
                <w:szCs w:val="21"/>
                <w:highlight w:val="none"/>
              </w:rPr>
            </w:pPr>
          </w:p>
        </w:tc>
        <w:tc>
          <w:tcPr>
            <w:tcW w:w="1020" w:type="dxa"/>
            <w:tcBorders>
              <w:bottom w:val="single" w:color="auto" w:sz="12" w:space="0"/>
            </w:tcBorders>
            <w:noWrap w:val="0"/>
            <w:vAlign w:val="top"/>
          </w:tcPr>
          <w:p w14:paraId="1A834AA5">
            <w:pPr>
              <w:rPr>
                <w:rFonts w:hint="eastAsia" w:ascii="宋体" w:hAnsi="宋体" w:cs="宋体"/>
                <w:color w:val="auto"/>
                <w:szCs w:val="21"/>
                <w:highlight w:val="none"/>
              </w:rPr>
            </w:pPr>
          </w:p>
        </w:tc>
        <w:tc>
          <w:tcPr>
            <w:tcW w:w="932" w:type="dxa"/>
            <w:tcBorders>
              <w:bottom w:val="single" w:color="auto" w:sz="12" w:space="0"/>
            </w:tcBorders>
            <w:noWrap w:val="0"/>
            <w:vAlign w:val="top"/>
          </w:tcPr>
          <w:p w14:paraId="330A3C74">
            <w:pPr>
              <w:rPr>
                <w:rFonts w:hint="eastAsia" w:ascii="宋体" w:hAnsi="宋体" w:cs="宋体"/>
                <w:color w:val="auto"/>
                <w:szCs w:val="21"/>
                <w:highlight w:val="none"/>
              </w:rPr>
            </w:pPr>
          </w:p>
        </w:tc>
      </w:tr>
    </w:tbl>
    <w:p w14:paraId="4B75818D">
      <w:pPr>
        <w:rPr>
          <w:rFonts w:hint="eastAsia" w:ascii="宋体" w:hAnsi="宋体" w:cs="宋体"/>
          <w:color w:val="auto"/>
          <w:szCs w:val="21"/>
          <w:highlight w:val="none"/>
        </w:rPr>
      </w:pPr>
    </w:p>
    <w:p w14:paraId="700CCFA4">
      <w:pPr>
        <w:widowControl/>
        <w:spacing w:line="360" w:lineRule="auto"/>
        <w:rPr>
          <w:rFonts w:hint="eastAsia" w:ascii="宋体" w:hAnsi="宋体" w:cs="宋体"/>
          <w:color w:val="auto"/>
          <w:szCs w:val="21"/>
          <w:highlight w:val="none"/>
        </w:rPr>
      </w:pPr>
    </w:p>
    <w:p w14:paraId="39E45DF6">
      <w:pPr>
        <w:widowControl/>
        <w:spacing w:line="360" w:lineRule="auto"/>
        <w:rPr>
          <w:rFonts w:hint="eastAsia" w:ascii="宋体" w:hAnsi="宋体" w:cs="宋体"/>
          <w:color w:val="auto"/>
          <w:szCs w:val="21"/>
          <w:highlight w:val="none"/>
        </w:rPr>
      </w:pPr>
    </w:p>
    <w:p w14:paraId="721A3A09">
      <w:pPr>
        <w:widowControl/>
        <w:spacing w:line="360" w:lineRule="auto"/>
        <w:rPr>
          <w:rFonts w:hint="eastAsia" w:ascii="宋体" w:hAnsi="宋体" w:cs="宋体"/>
          <w:color w:val="auto"/>
          <w:szCs w:val="21"/>
          <w:highlight w:val="none"/>
        </w:rPr>
      </w:pPr>
    </w:p>
    <w:p w14:paraId="010EF81F">
      <w:pPr>
        <w:widowControl/>
        <w:spacing w:line="360" w:lineRule="auto"/>
        <w:rPr>
          <w:rFonts w:hint="eastAsia" w:ascii="宋体" w:hAnsi="宋体" w:cs="宋体"/>
          <w:color w:val="auto"/>
          <w:szCs w:val="21"/>
          <w:highlight w:val="none"/>
        </w:rPr>
      </w:pPr>
    </w:p>
    <w:p w14:paraId="26E7B1A9">
      <w:pPr>
        <w:widowControl/>
        <w:spacing w:line="360" w:lineRule="auto"/>
        <w:rPr>
          <w:rFonts w:hint="eastAsia" w:ascii="宋体" w:hAnsi="宋体" w:cs="宋体"/>
          <w:color w:val="auto"/>
          <w:szCs w:val="21"/>
          <w:highlight w:val="none"/>
        </w:rPr>
      </w:pPr>
    </w:p>
    <w:p w14:paraId="0EB03E72">
      <w:pPr>
        <w:widowControl/>
        <w:spacing w:line="360" w:lineRule="auto"/>
        <w:rPr>
          <w:rFonts w:hint="eastAsia" w:ascii="宋体" w:hAnsi="宋体" w:cs="宋体"/>
          <w:color w:val="auto"/>
          <w:szCs w:val="21"/>
          <w:highlight w:val="none"/>
        </w:rPr>
      </w:pPr>
    </w:p>
    <w:p w14:paraId="36094118">
      <w:pPr>
        <w:widowControl/>
        <w:spacing w:line="360" w:lineRule="auto"/>
        <w:rPr>
          <w:rFonts w:hint="eastAsia" w:ascii="宋体" w:hAnsi="宋体" w:cs="宋体"/>
          <w:color w:val="auto"/>
          <w:szCs w:val="21"/>
          <w:highlight w:val="none"/>
        </w:rPr>
      </w:pPr>
    </w:p>
    <w:p w14:paraId="6E488DD6">
      <w:pPr>
        <w:widowControl/>
        <w:spacing w:line="360" w:lineRule="auto"/>
        <w:rPr>
          <w:rFonts w:hint="eastAsia" w:ascii="宋体" w:hAnsi="宋体" w:cs="宋体"/>
          <w:color w:val="auto"/>
          <w:sz w:val="24"/>
          <w:highlight w:val="none"/>
        </w:rPr>
      </w:pPr>
    </w:p>
    <w:p w14:paraId="3F09BDA2">
      <w:pPr>
        <w:rPr>
          <w:rFonts w:hint="eastAsia" w:ascii="宋体" w:hAnsi="宋体" w:cs="宋体"/>
          <w:bCs/>
          <w:color w:val="auto"/>
          <w:sz w:val="24"/>
          <w:highlight w:val="none"/>
        </w:rPr>
      </w:pPr>
      <w:bookmarkStart w:id="1296" w:name="_Toc95223492"/>
      <w:r>
        <w:rPr>
          <w:rFonts w:hint="eastAsia" w:ascii="宋体" w:hAnsi="宋体" w:cs="宋体"/>
          <w:bCs/>
          <w:color w:val="auto"/>
          <w:sz w:val="24"/>
          <w:highlight w:val="none"/>
        </w:rPr>
        <w:br w:type="page"/>
      </w:r>
    </w:p>
    <w:p w14:paraId="5BD1D1C1">
      <w:pPr>
        <w:keepNext/>
        <w:keepLines/>
        <w:spacing w:before="120" w:after="120" w:line="360" w:lineRule="auto"/>
        <w:jc w:val="left"/>
        <w:outlineLvl w:val="2"/>
        <w:rPr>
          <w:rFonts w:hint="eastAsia" w:ascii="宋体" w:hAnsi="宋体" w:cs="宋体"/>
          <w:bCs/>
          <w:color w:val="auto"/>
          <w:sz w:val="24"/>
          <w:highlight w:val="none"/>
        </w:rPr>
      </w:pPr>
      <w:r>
        <w:rPr>
          <w:rFonts w:hint="eastAsia" w:ascii="宋体" w:hAnsi="宋体" w:cs="宋体"/>
          <w:bCs/>
          <w:color w:val="auto"/>
          <w:sz w:val="24"/>
          <w:highlight w:val="none"/>
        </w:rPr>
        <w:t>附</w:t>
      </w:r>
      <w:bookmarkStart w:id="1297" w:name="_Toc296944567"/>
      <w:bookmarkStart w:id="1298" w:name="_Toc267261699"/>
      <w:bookmarkStart w:id="1299" w:name="_Toc296347227"/>
      <w:bookmarkStart w:id="1300" w:name="_Toc296346729"/>
      <w:bookmarkStart w:id="1301" w:name="_Toc296891056"/>
      <w:bookmarkStart w:id="1302" w:name="_Toc296891268"/>
      <w:bookmarkStart w:id="1303" w:name="_Toc296503228"/>
      <w:r>
        <w:rPr>
          <w:rFonts w:hint="eastAsia" w:ascii="宋体" w:hAnsi="宋体" w:cs="宋体"/>
          <w:bCs/>
          <w:color w:val="auto"/>
          <w:sz w:val="24"/>
          <w:highlight w:val="none"/>
        </w:rPr>
        <w:t>件</w:t>
      </w:r>
      <w:bookmarkEnd w:id="1297"/>
      <w:bookmarkEnd w:id="1298"/>
      <w:bookmarkEnd w:id="1299"/>
      <w:bookmarkEnd w:id="1300"/>
      <w:bookmarkEnd w:id="1301"/>
      <w:bookmarkEnd w:id="1302"/>
      <w:bookmarkEnd w:id="1303"/>
      <w:r>
        <w:rPr>
          <w:rFonts w:hint="eastAsia" w:ascii="宋体" w:hAnsi="宋体" w:cs="宋体"/>
          <w:bCs/>
          <w:color w:val="auto"/>
          <w:sz w:val="24"/>
          <w:highlight w:val="none"/>
        </w:rPr>
        <w:t>6：承包人主要施工管理人员表</w:t>
      </w:r>
      <w:bookmarkEnd w:id="1296"/>
    </w:p>
    <w:p w14:paraId="098728A8">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承包人主要施工管理人员表</w:t>
      </w:r>
    </w:p>
    <w:tbl>
      <w:tblPr>
        <w:tblStyle w:val="20"/>
        <w:tblW w:w="511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729"/>
        <w:gridCol w:w="1156"/>
        <w:gridCol w:w="926"/>
        <w:gridCol w:w="926"/>
        <w:gridCol w:w="2358"/>
        <w:gridCol w:w="2124"/>
      </w:tblGrid>
      <w:tr w14:paraId="344D13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8" w:type="pct"/>
            <w:tcBorders>
              <w:top w:val="single" w:color="auto" w:sz="12" w:space="0"/>
              <w:bottom w:val="double" w:color="auto" w:sz="6" w:space="0"/>
            </w:tcBorders>
            <w:noWrap w:val="0"/>
            <w:vAlign w:val="center"/>
          </w:tcPr>
          <w:p w14:paraId="634024CD">
            <w:pPr>
              <w:keepNext/>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名    称</w:t>
            </w:r>
          </w:p>
        </w:tc>
        <w:tc>
          <w:tcPr>
            <w:tcW w:w="627" w:type="pct"/>
            <w:tcBorders>
              <w:top w:val="single" w:color="auto" w:sz="12" w:space="0"/>
              <w:bottom w:val="double" w:color="auto" w:sz="6" w:space="0"/>
            </w:tcBorders>
            <w:noWrap w:val="0"/>
            <w:vAlign w:val="center"/>
          </w:tcPr>
          <w:p w14:paraId="4491CE20">
            <w:pPr>
              <w:keepNext/>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姓名</w:t>
            </w:r>
          </w:p>
        </w:tc>
        <w:tc>
          <w:tcPr>
            <w:tcW w:w="502" w:type="pct"/>
            <w:tcBorders>
              <w:top w:val="single" w:color="auto" w:sz="12" w:space="0"/>
              <w:bottom w:val="double" w:color="auto" w:sz="6" w:space="0"/>
            </w:tcBorders>
            <w:noWrap w:val="0"/>
            <w:vAlign w:val="center"/>
          </w:tcPr>
          <w:p w14:paraId="267445A5">
            <w:pPr>
              <w:keepNext/>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职务</w:t>
            </w:r>
          </w:p>
        </w:tc>
        <w:tc>
          <w:tcPr>
            <w:tcW w:w="502" w:type="pct"/>
            <w:tcBorders>
              <w:top w:val="single" w:color="auto" w:sz="12" w:space="0"/>
              <w:bottom w:val="double" w:color="auto" w:sz="6" w:space="0"/>
            </w:tcBorders>
            <w:noWrap w:val="0"/>
            <w:vAlign w:val="center"/>
          </w:tcPr>
          <w:p w14:paraId="0518C0CB">
            <w:pPr>
              <w:keepNext/>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职称</w:t>
            </w:r>
          </w:p>
        </w:tc>
        <w:tc>
          <w:tcPr>
            <w:tcW w:w="1279" w:type="pct"/>
            <w:tcBorders>
              <w:top w:val="single" w:color="auto" w:sz="12" w:space="0"/>
              <w:bottom w:val="double" w:color="auto" w:sz="6" w:space="0"/>
            </w:tcBorders>
            <w:noWrap w:val="0"/>
            <w:vAlign w:val="center"/>
          </w:tcPr>
          <w:p w14:paraId="62D361DB">
            <w:pPr>
              <w:keepNext/>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主要资历、经验及承担过的项目</w:t>
            </w:r>
          </w:p>
        </w:tc>
        <w:tc>
          <w:tcPr>
            <w:tcW w:w="1153" w:type="pct"/>
            <w:tcBorders>
              <w:top w:val="single" w:color="auto" w:sz="12" w:space="0"/>
              <w:bottom w:val="double" w:color="auto" w:sz="6" w:space="0"/>
            </w:tcBorders>
            <w:noWrap w:val="0"/>
            <w:vAlign w:val="top"/>
          </w:tcPr>
          <w:p w14:paraId="074FCA67">
            <w:pPr>
              <w:keepNext/>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身份证号码</w:t>
            </w:r>
          </w:p>
        </w:tc>
      </w:tr>
      <w:tr w14:paraId="1924CB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3847" w:type="pct"/>
            <w:gridSpan w:val="5"/>
            <w:tcBorders>
              <w:top w:val="double" w:color="auto" w:sz="6" w:space="0"/>
            </w:tcBorders>
            <w:noWrap w:val="0"/>
            <w:vAlign w:val="center"/>
          </w:tcPr>
          <w:p w14:paraId="5928DD88">
            <w:pPr>
              <w:keepNext/>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一、总部人员</w:t>
            </w:r>
          </w:p>
        </w:tc>
        <w:tc>
          <w:tcPr>
            <w:tcW w:w="1153" w:type="pct"/>
            <w:tcBorders>
              <w:top w:val="double" w:color="auto" w:sz="6" w:space="0"/>
            </w:tcBorders>
            <w:noWrap w:val="0"/>
            <w:vAlign w:val="top"/>
          </w:tcPr>
          <w:p w14:paraId="3A27CBDB">
            <w:pPr>
              <w:keepNext/>
              <w:spacing w:line="360" w:lineRule="auto"/>
              <w:jc w:val="center"/>
              <w:rPr>
                <w:rFonts w:hint="eastAsia" w:ascii="宋体" w:hAnsi="宋体" w:cs="宋体"/>
                <w:color w:val="auto"/>
                <w:szCs w:val="21"/>
                <w:highlight w:val="none"/>
              </w:rPr>
            </w:pPr>
          </w:p>
        </w:tc>
      </w:tr>
      <w:tr w14:paraId="3ADD8F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8" w:type="pct"/>
            <w:tcBorders>
              <w:top w:val="nil"/>
              <w:bottom w:val="nil"/>
            </w:tcBorders>
            <w:noWrap w:val="0"/>
            <w:vAlign w:val="center"/>
          </w:tcPr>
          <w:p w14:paraId="3F512D44">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项目主管</w:t>
            </w:r>
          </w:p>
        </w:tc>
        <w:tc>
          <w:tcPr>
            <w:tcW w:w="627" w:type="pct"/>
            <w:tcBorders>
              <w:top w:val="nil"/>
            </w:tcBorders>
            <w:noWrap w:val="0"/>
            <w:vAlign w:val="center"/>
          </w:tcPr>
          <w:p w14:paraId="3CD06A36">
            <w:pPr>
              <w:keepNext/>
              <w:spacing w:line="360" w:lineRule="auto"/>
              <w:jc w:val="center"/>
              <w:rPr>
                <w:rFonts w:hint="eastAsia" w:ascii="宋体" w:hAnsi="宋体" w:cs="宋体"/>
                <w:color w:val="auto"/>
                <w:szCs w:val="21"/>
                <w:highlight w:val="none"/>
              </w:rPr>
            </w:pPr>
          </w:p>
        </w:tc>
        <w:tc>
          <w:tcPr>
            <w:tcW w:w="502" w:type="pct"/>
            <w:tcBorders>
              <w:top w:val="nil"/>
            </w:tcBorders>
            <w:noWrap w:val="0"/>
            <w:vAlign w:val="center"/>
          </w:tcPr>
          <w:p w14:paraId="55CA328D">
            <w:pPr>
              <w:keepNext/>
              <w:spacing w:line="360" w:lineRule="auto"/>
              <w:jc w:val="center"/>
              <w:rPr>
                <w:rFonts w:hint="eastAsia" w:ascii="宋体" w:hAnsi="宋体" w:cs="宋体"/>
                <w:color w:val="auto"/>
                <w:szCs w:val="21"/>
                <w:highlight w:val="none"/>
              </w:rPr>
            </w:pPr>
          </w:p>
        </w:tc>
        <w:tc>
          <w:tcPr>
            <w:tcW w:w="502" w:type="pct"/>
            <w:tcBorders>
              <w:top w:val="nil"/>
            </w:tcBorders>
            <w:noWrap w:val="0"/>
            <w:vAlign w:val="center"/>
          </w:tcPr>
          <w:p w14:paraId="2BFE56CB">
            <w:pPr>
              <w:keepNext/>
              <w:spacing w:line="360" w:lineRule="auto"/>
              <w:jc w:val="center"/>
              <w:rPr>
                <w:rFonts w:hint="eastAsia" w:ascii="宋体" w:hAnsi="宋体" w:cs="宋体"/>
                <w:color w:val="auto"/>
                <w:szCs w:val="21"/>
                <w:highlight w:val="none"/>
              </w:rPr>
            </w:pPr>
          </w:p>
        </w:tc>
        <w:tc>
          <w:tcPr>
            <w:tcW w:w="1279" w:type="pct"/>
            <w:tcBorders>
              <w:top w:val="nil"/>
            </w:tcBorders>
            <w:noWrap w:val="0"/>
            <w:vAlign w:val="center"/>
          </w:tcPr>
          <w:p w14:paraId="5FDD10EA">
            <w:pPr>
              <w:keepNext/>
              <w:spacing w:line="360" w:lineRule="auto"/>
              <w:jc w:val="center"/>
              <w:rPr>
                <w:rFonts w:hint="eastAsia" w:ascii="宋体" w:hAnsi="宋体" w:cs="宋体"/>
                <w:color w:val="auto"/>
                <w:szCs w:val="21"/>
                <w:highlight w:val="none"/>
              </w:rPr>
            </w:pPr>
          </w:p>
        </w:tc>
        <w:tc>
          <w:tcPr>
            <w:tcW w:w="1153" w:type="pct"/>
            <w:tcBorders>
              <w:top w:val="nil"/>
            </w:tcBorders>
            <w:noWrap w:val="0"/>
            <w:vAlign w:val="top"/>
          </w:tcPr>
          <w:p w14:paraId="652D947A">
            <w:pPr>
              <w:keepNext/>
              <w:spacing w:line="360" w:lineRule="auto"/>
              <w:jc w:val="center"/>
              <w:rPr>
                <w:rFonts w:hint="eastAsia" w:ascii="宋体" w:hAnsi="宋体" w:cs="宋体"/>
                <w:color w:val="auto"/>
                <w:szCs w:val="21"/>
                <w:highlight w:val="none"/>
              </w:rPr>
            </w:pPr>
          </w:p>
        </w:tc>
      </w:tr>
      <w:tr w14:paraId="0D67E4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8" w:type="pct"/>
            <w:tcBorders>
              <w:bottom w:val="nil"/>
            </w:tcBorders>
            <w:noWrap w:val="0"/>
            <w:vAlign w:val="center"/>
          </w:tcPr>
          <w:p w14:paraId="23399CF7">
            <w:pPr>
              <w:spacing w:line="360" w:lineRule="auto"/>
              <w:jc w:val="center"/>
              <w:rPr>
                <w:rFonts w:hint="eastAsia" w:ascii="宋体" w:hAnsi="宋体" w:cs="宋体"/>
                <w:color w:val="auto"/>
                <w:szCs w:val="21"/>
                <w:highlight w:val="none"/>
              </w:rPr>
            </w:pPr>
          </w:p>
        </w:tc>
        <w:tc>
          <w:tcPr>
            <w:tcW w:w="627" w:type="pct"/>
            <w:noWrap w:val="0"/>
            <w:vAlign w:val="center"/>
          </w:tcPr>
          <w:p w14:paraId="338F3162">
            <w:pPr>
              <w:keepNext/>
              <w:spacing w:line="360" w:lineRule="auto"/>
              <w:jc w:val="center"/>
              <w:rPr>
                <w:rFonts w:hint="eastAsia" w:ascii="宋体" w:hAnsi="宋体" w:cs="宋体"/>
                <w:color w:val="auto"/>
                <w:szCs w:val="21"/>
                <w:highlight w:val="none"/>
              </w:rPr>
            </w:pPr>
          </w:p>
        </w:tc>
        <w:tc>
          <w:tcPr>
            <w:tcW w:w="502" w:type="pct"/>
            <w:noWrap w:val="0"/>
            <w:vAlign w:val="center"/>
          </w:tcPr>
          <w:p w14:paraId="3FED93D8">
            <w:pPr>
              <w:keepNext/>
              <w:spacing w:line="360" w:lineRule="auto"/>
              <w:jc w:val="center"/>
              <w:rPr>
                <w:rFonts w:hint="eastAsia" w:ascii="宋体" w:hAnsi="宋体" w:cs="宋体"/>
                <w:color w:val="auto"/>
                <w:szCs w:val="21"/>
                <w:highlight w:val="none"/>
              </w:rPr>
            </w:pPr>
          </w:p>
        </w:tc>
        <w:tc>
          <w:tcPr>
            <w:tcW w:w="502" w:type="pct"/>
            <w:noWrap w:val="0"/>
            <w:vAlign w:val="center"/>
          </w:tcPr>
          <w:p w14:paraId="60149CD7">
            <w:pPr>
              <w:keepNext/>
              <w:spacing w:line="360" w:lineRule="auto"/>
              <w:jc w:val="center"/>
              <w:rPr>
                <w:rFonts w:hint="eastAsia" w:ascii="宋体" w:hAnsi="宋体" w:cs="宋体"/>
                <w:color w:val="auto"/>
                <w:szCs w:val="21"/>
                <w:highlight w:val="none"/>
              </w:rPr>
            </w:pPr>
          </w:p>
        </w:tc>
        <w:tc>
          <w:tcPr>
            <w:tcW w:w="1279" w:type="pct"/>
            <w:noWrap w:val="0"/>
            <w:vAlign w:val="center"/>
          </w:tcPr>
          <w:p w14:paraId="252B113E">
            <w:pPr>
              <w:keepNext/>
              <w:spacing w:line="360" w:lineRule="auto"/>
              <w:jc w:val="center"/>
              <w:rPr>
                <w:rFonts w:hint="eastAsia" w:ascii="宋体" w:hAnsi="宋体" w:cs="宋体"/>
                <w:color w:val="auto"/>
                <w:szCs w:val="21"/>
                <w:highlight w:val="none"/>
              </w:rPr>
            </w:pPr>
          </w:p>
        </w:tc>
        <w:tc>
          <w:tcPr>
            <w:tcW w:w="1153" w:type="pct"/>
            <w:noWrap w:val="0"/>
            <w:vAlign w:val="top"/>
          </w:tcPr>
          <w:p w14:paraId="10AF7547">
            <w:pPr>
              <w:keepNext/>
              <w:spacing w:line="360" w:lineRule="auto"/>
              <w:jc w:val="center"/>
              <w:rPr>
                <w:rFonts w:hint="eastAsia" w:ascii="宋体" w:hAnsi="宋体" w:cs="宋体"/>
                <w:color w:val="auto"/>
                <w:szCs w:val="21"/>
                <w:highlight w:val="none"/>
              </w:rPr>
            </w:pPr>
          </w:p>
        </w:tc>
      </w:tr>
      <w:tr w14:paraId="091D2C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8" w:type="pct"/>
            <w:tcBorders>
              <w:top w:val="nil"/>
              <w:bottom w:val="nil"/>
            </w:tcBorders>
            <w:noWrap w:val="0"/>
            <w:vAlign w:val="center"/>
          </w:tcPr>
          <w:p w14:paraId="48314E04">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其他人员</w:t>
            </w:r>
          </w:p>
        </w:tc>
        <w:tc>
          <w:tcPr>
            <w:tcW w:w="627" w:type="pct"/>
            <w:noWrap w:val="0"/>
            <w:vAlign w:val="center"/>
          </w:tcPr>
          <w:p w14:paraId="003DECA1">
            <w:pPr>
              <w:keepNext/>
              <w:spacing w:line="360" w:lineRule="auto"/>
              <w:jc w:val="center"/>
              <w:rPr>
                <w:rFonts w:hint="eastAsia" w:ascii="宋体" w:hAnsi="宋体" w:cs="宋体"/>
                <w:color w:val="auto"/>
                <w:szCs w:val="21"/>
                <w:highlight w:val="none"/>
              </w:rPr>
            </w:pPr>
          </w:p>
        </w:tc>
        <w:tc>
          <w:tcPr>
            <w:tcW w:w="502" w:type="pct"/>
            <w:noWrap w:val="0"/>
            <w:vAlign w:val="center"/>
          </w:tcPr>
          <w:p w14:paraId="2615E91A">
            <w:pPr>
              <w:keepNext/>
              <w:spacing w:line="360" w:lineRule="auto"/>
              <w:jc w:val="center"/>
              <w:rPr>
                <w:rFonts w:hint="eastAsia" w:ascii="宋体" w:hAnsi="宋体" w:cs="宋体"/>
                <w:color w:val="auto"/>
                <w:szCs w:val="21"/>
                <w:highlight w:val="none"/>
              </w:rPr>
            </w:pPr>
          </w:p>
        </w:tc>
        <w:tc>
          <w:tcPr>
            <w:tcW w:w="502" w:type="pct"/>
            <w:noWrap w:val="0"/>
            <w:vAlign w:val="center"/>
          </w:tcPr>
          <w:p w14:paraId="02F8645B">
            <w:pPr>
              <w:keepNext/>
              <w:spacing w:line="360" w:lineRule="auto"/>
              <w:jc w:val="center"/>
              <w:rPr>
                <w:rFonts w:hint="eastAsia" w:ascii="宋体" w:hAnsi="宋体" w:cs="宋体"/>
                <w:color w:val="auto"/>
                <w:szCs w:val="21"/>
                <w:highlight w:val="none"/>
              </w:rPr>
            </w:pPr>
          </w:p>
        </w:tc>
        <w:tc>
          <w:tcPr>
            <w:tcW w:w="1279" w:type="pct"/>
            <w:noWrap w:val="0"/>
            <w:vAlign w:val="center"/>
          </w:tcPr>
          <w:p w14:paraId="6CEF734F">
            <w:pPr>
              <w:keepNext/>
              <w:spacing w:line="360" w:lineRule="auto"/>
              <w:jc w:val="center"/>
              <w:rPr>
                <w:rFonts w:hint="eastAsia" w:ascii="宋体" w:hAnsi="宋体" w:cs="宋体"/>
                <w:color w:val="auto"/>
                <w:szCs w:val="21"/>
                <w:highlight w:val="none"/>
              </w:rPr>
            </w:pPr>
          </w:p>
        </w:tc>
        <w:tc>
          <w:tcPr>
            <w:tcW w:w="1153" w:type="pct"/>
            <w:noWrap w:val="0"/>
            <w:vAlign w:val="top"/>
          </w:tcPr>
          <w:p w14:paraId="689A9EBA">
            <w:pPr>
              <w:keepNext/>
              <w:spacing w:line="360" w:lineRule="auto"/>
              <w:jc w:val="center"/>
              <w:rPr>
                <w:rFonts w:hint="eastAsia" w:ascii="宋体" w:hAnsi="宋体" w:cs="宋体"/>
                <w:color w:val="auto"/>
                <w:szCs w:val="21"/>
                <w:highlight w:val="none"/>
              </w:rPr>
            </w:pPr>
          </w:p>
        </w:tc>
      </w:tr>
      <w:tr w14:paraId="50C1A6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8" w:type="pct"/>
            <w:tcBorders>
              <w:top w:val="nil"/>
              <w:bottom w:val="nil"/>
            </w:tcBorders>
            <w:noWrap w:val="0"/>
            <w:vAlign w:val="center"/>
          </w:tcPr>
          <w:p w14:paraId="6ECA28F1">
            <w:pPr>
              <w:spacing w:line="360" w:lineRule="auto"/>
              <w:jc w:val="center"/>
              <w:rPr>
                <w:rFonts w:hint="eastAsia" w:ascii="宋体" w:hAnsi="宋体" w:cs="宋体"/>
                <w:color w:val="auto"/>
                <w:szCs w:val="21"/>
                <w:highlight w:val="none"/>
              </w:rPr>
            </w:pPr>
          </w:p>
        </w:tc>
        <w:tc>
          <w:tcPr>
            <w:tcW w:w="627" w:type="pct"/>
            <w:noWrap w:val="0"/>
            <w:vAlign w:val="center"/>
          </w:tcPr>
          <w:p w14:paraId="48E5E353">
            <w:pPr>
              <w:keepNext/>
              <w:spacing w:line="360" w:lineRule="auto"/>
              <w:jc w:val="center"/>
              <w:rPr>
                <w:rFonts w:hint="eastAsia" w:ascii="宋体" w:hAnsi="宋体" w:cs="宋体"/>
                <w:color w:val="auto"/>
                <w:szCs w:val="21"/>
                <w:highlight w:val="none"/>
              </w:rPr>
            </w:pPr>
          </w:p>
        </w:tc>
        <w:tc>
          <w:tcPr>
            <w:tcW w:w="502" w:type="pct"/>
            <w:noWrap w:val="0"/>
            <w:vAlign w:val="center"/>
          </w:tcPr>
          <w:p w14:paraId="18A15662">
            <w:pPr>
              <w:keepNext/>
              <w:spacing w:line="360" w:lineRule="auto"/>
              <w:jc w:val="center"/>
              <w:rPr>
                <w:rFonts w:hint="eastAsia" w:ascii="宋体" w:hAnsi="宋体" w:cs="宋体"/>
                <w:color w:val="auto"/>
                <w:szCs w:val="21"/>
                <w:highlight w:val="none"/>
              </w:rPr>
            </w:pPr>
          </w:p>
        </w:tc>
        <w:tc>
          <w:tcPr>
            <w:tcW w:w="502" w:type="pct"/>
            <w:noWrap w:val="0"/>
            <w:vAlign w:val="center"/>
          </w:tcPr>
          <w:p w14:paraId="2A08C040">
            <w:pPr>
              <w:keepNext/>
              <w:spacing w:line="360" w:lineRule="auto"/>
              <w:jc w:val="center"/>
              <w:rPr>
                <w:rFonts w:hint="eastAsia" w:ascii="宋体" w:hAnsi="宋体" w:cs="宋体"/>
                <w:color w:val="auto"/>
                <w:szCs w:val="21"/>
                <w:highlight w:val="none"/>
              </w:rPr>
            </w:pPr>
          </w:p>
        </w:tc>
        <w:tc>
          <w:tcPr>
            <w:tcW w:w="1279" w:type="pct"/>
            <w:noWrap w:val="0"/>
            <w:vAlign w:val="center"/>
          </w:tcPr>
          <w:p w14:paraId="23F2A05A">
            <w:pPr>
              <w:keepNext/>
              <w:spacing w:line="360" w:lineRule="auto"/>
              <w:jc w:val="center"/>
              <w:rPr>
                <w:rFonts w:hint="eastAsia" w:ascii="宋体" w:hAnsi="宋体" w:cs="宋体"/>
                <w:color w:val="auto"/>
                <w:szCs w:val="21"/>
                <w:highlight w:val="none"/>
              </w:rPr>
            </w:pPr>
          </w:p>
        </w:tc>
        <w:tc>
          <w:tcPr>
            <w:tcW w:w="1153" w:type="pct"/>
            <w:noWrap w:val="0"/>
            <w:vAlign w:val="top"/>
          </w:tcPr>
          <w:p w14:paraId="3827E7DC">
            <w:pPr>
              <w:keepNext/>
              <w:spacing w:line="360" w:lineRule="auto"/>
              <w:jc w:val="center"/>
              <w:rPr>
                <w:rFonts w:hint="eastAsia" w:ascii="宋体" w:hAnsi="宋体" w:cs="宋体"/>
                <w:color w:val="auto"/>
                <w:szCs w:val="21"/>
                <w:highlight w:val="none"/>
              </w:rPr>
            </w:pPr>
          </w:p>
        </w:tc>
      </w:tr>
      <w:tr w14:paraId="4F7E12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3847" w:type="pct"/>
            <w:gridSpan w:val="5"/>
            <w:noWrap w:val="0"/>
            <w:vAlign w:val="center"/>
          </w:tcPr>
          <w:p w14:paraId="02F19817">
            <w:pPr>
              <w:keepNext/>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二、现场人员</w:t>
            </w:r>
          </w:p>
        </w:tc>
        <w:tc>
          <w:tcPr>
            <w:tcW w:w="1153" w:type="pct"/>
            <w:noWrap w:val="0"/>
            <w:vAlign w:val="top"/>
          </w:tcPr>
          <w:p w14:paraId="12913025">
            <w:pPr>
              <w:keepNext/>
              <w:spacing w:line="360" w:lineRule="auto"/>
              <w:jc w:val="center"/>
              <w:rPr>
                <w:rFonts w:hint="eastAsia" w:ascii="宋体" w:hAnsi="宋体" w:cs="宋体"/>
                <w:color w:val="auto"/>
                <w:szCs w:val="21"/>
                <w:highlight w:val="none"/>
              </w:rPr>
            </w:pPr>
          </w:p>
        </w:tc>
      </w:tr>
      <w:tr w14:paraId="0F5F35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8" w:type="pct"/>
            <w:noWrap w:val="0"/>
            <w:vAlign w:val="center"/>
          </w:tcPr>
          <w:p w14:paraId="24B49A8A">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项目经理</w:t>
            </w:r>
          </w:p>
        </w:tc>
        <w:tc>
          <w:tcPr>
            <w:tcW w:w="627" w:type="pct"/>
            <w:noWrap w:val="0"/>
            <w:vAlign w:val="center"/>
          </w:tcPr>
          <w:p w14:paraId="76CEB1F9">
            <w:pPr>
              <w:keepNext/>
              <w:spacing w:line="360" w:lineRule="auto"/>
              <w:jc w:val="center"/>
              <w:rPr>
                <w:rFonts w:hint="eastAsia" w:ascii="宋体" w:hAnsi="宋体" w:cs="宋体"/>
                <w:color w:val="auto"/>
                <w:szCs w:val="21"/>
                <w:highlight w:val="none"/>
              </w:rPr>
            </w:pPr>
          </w:p>
        </w:tc>
        <w:tc>
          <w:tcPr>
            <w:tcW w:w="502" w:type="pct"/>
            <w:noWrap w:val="0"/>
            <w:vAlign w:val="center"/>
          </w:tcPr>
          <w:p w14:paraId="385164B7">
            <w:pPr>
              <w:keepNext/>
              <w:spacing w:line="360" w:lineRule="auto"/>
              <w:jc w:val="center"/>
              <w:rPr>
                <w:rFonts w:hint="eastAsia" w:ascii="宋体" w:hAnsi="宋体" w:cs="宋体"/>
                <w:color w:val="auto"/>
                <w:szCs w:val="21"/>
                <w:highlight w:val="none"/>
              </w:rPr>
            </w:pPr>
          </w:p>
        </w:tc>
        <w:tc>
          <w:tcPr>
            <w:tcW w:w="502" w:type="pct"/>
            <w:noWrap w:val="0"/>
            <w:vAlign w:val="center"/>
          </w:tcPr>
          <w:p w14:paraId="59677E35">
            <w:pPr>
              <w:keepNext/>
              <w:spacing w:line="360" w:lineRule="auto"/>
              <w:jc w:val="center"/>
              <w:rPr>
                <w:rFonts w:hint="eastAsia" w:ascii="宋体" w:hAnsi="宋体" w:cs="宋体"/>
                <w:color w:val="auto"/>
                <w:szCs w:val="21"/>
                <w:highlight w:val="none"/>
              </w:rPr>
            </w:pPr>
          </w:p>
        </w:tc>
        <w:tc>
          <w:tcPr>
            <w:tcW w:w="1279" w:type="pct"/>
            <w:noWrap w:val="0"/>
            <w:vAlign w:val="center"/>
          </w:tcPr>
          <w:p w14:paraId="5DBDFB54">
            <w:pPr>
              <w:keepNext/>
              <w:spacing w:line="360" w:lineRule="auto"/>
              <w:jc w:val="center"/>
              <w:rPr>
                <w:rFonts w:hint="eastAsia" w:ascii="宋体" w:hAnsi="宋体" w:cs="宋体"/>
                <w:color w:val="auto"/>
                <w:szCs w:val="21"/>
                <w:highlight w:val="none"/>
              </w:rPr>
            </w:pPr>
          </w:p>
        </w:tc>
        <w:tc>
          <w:tcPr>
            <w:tcW w:w="1153" w:type="pct"/>
            <w:noWrap w:val="0"/>
            <w:vAlign w:val="top"/>
          </w:tcPr>
          <w:p w14:paraId="0FD091CF">
            <w:pPr>
              <w:keepNext/>
              <w:spacing w:line="360" w:lineRule="auto"/>
              <w:jc w:val="center"/>
              <w:rPr>
                <w:rFonts w:hint="eastAsia" w:ascii="宋体" w:hAnsi="宋体" w:cs="宋体"/>
                <w:color w:val="auto"/>
                <w:szCs w:val="21"/>
                <w:highlight w:val="none"/>
              </w:rPr>
            </w:pPr>
          </w:p>
        </w:tc>
      </w:tr>
      <w:tr w14:paraId="12FB23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8" w:type="pct"/>
            <w:noWrap w:val="0"/>
            <w:vAlign w:val="center"/>
          </w:tcPr>
          <w:p w14:paraId="2065104C">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项目副经理</w:t>
            </w:r>
          </w:p>
        </w:tc>
        <w:tc>
          <w:tcPr>
            <w:tcW w:w="627" w:type="pct"/>
            <w:noWrap w:val="0"/>
            <w:vAlign w:val="center"/>
          </w:tcPr>
          <w:p w14:paraId="4BE8AF8D">
            <w:pPr>
              <w:keepNext/>
              <w:spacing w:line="360" w:lineRule="auto"/>
              <w:jc w:val="center"/>
              <w:rPr>
                <w:rFonts w:hint="eastAsia" w:ascii="宋体" w:hAnsi="宋体" w:cs="宋体"/>
                <w:color w:val="auto"/>
                <w:szCs w:val="21"/>
                <w:highlight w:val="none"/>
              </w:rPr>
            </w:pPr>
          </w:p>
        </w:tc>
        <w:tc>
          <w:tcPr>
            <w:tcW w:w="502" w:type="pct"/>
            <w:noWrap w:val="0"/>
            <w:vAlign w:val="center"/>
          </w:tcPr>
          <w:p w14:paraId="766792F4">
            <w:pPr>
              <w:keepNext/>
              <w:spacing w:line="360" w:lineRule="auto"/>
              <w:jc w:val="center"/>
              <w:rPr>
                <w:rFonts w:hint="eastAsia" w:ascii="宋体" w:hAnsi="宋体" w:cs="宋体"/>
                <w:color w:val="auto"/>
                <w:szCs w:val="21"/>
                <w:highlight w:val="none"/>
              </w:rPr>
            </w:pPr>
          </w:p>
        </w:tc>
        <w:tc>
          <w:tcPr>
            <w:tcW w:w="502" w:type="pct"/>
            <w:noWrap w:val="0"/>
            <w:vAlign w:val="center"/>
          </w:tcPr>
          <w:p w14:paraId="18AC6A0C">
            <w:pPr>
              <w:keepNext/>
              <w:spacing w:line="360" w:lineRule="auto"/>
              <w:jc w:val="center"/>
              <w:rPr>
                <w:rFonts w:hint="eastAsia" w:ascii="宋体" w:hAnsi="宋体" w:cs="宋体"/>
                <w:color w:val="auto"/>
                <w:szCs w:val="21"/>
                <w:highlight w:val="none"/>
              </w:rPr>
            </w:pPr>
          </w:p>
        </w:tc>
        <w:tc>
          <w:tcPr>
            <w:tcW w:w="1279" w:type="pct"/>
            <w:noWrap w:val="0"/>
            <w:vAlign w:val="center"/>
          </w:tcPr>
          <w:p w14:paraId="38D6709F">
            <w:pPr>
              <w:keepNext/>
              <w:spacing w:line="360" w:lineRule="auto"/>
              <w:jc w:val="center"/>
              <w:rPr>
                <w:rFonts w:hint="eastAsia" w:ascii="宋体" w:hAnsi="宋体" w:cs="宋体"/>
                <w:color w:val="auto"/>
                <w:szCs w:val="21"/>
                <w:highlight w:val="none"/>
              </w:rPr>
            </w:pPr>
          </w:p>
        </w:tc>
        <w:tc>
          <w:tcPr>
            <w:tcW w:w="1153" w:type="pct"/>
            <w:noWrap w:val="0"/>
            <w:vAlign w:val="top"/>
          </w:tcPr>
          <w:p w14:paraId="59393C19">
            <w:pPr>
              <w:keepNext/>
              <w:spacing w:line="360" w:lineRule="auto"/>
              <w:jc w:val="center"/>
              <w:rPr>
                <w:rFonts w:hint="eastAsia" w:ascii="宋体" w:hAnsi="宋体" w:cs="宋体"/>
                <w:color w:val="auto"/>
                <w:szCs w:val="21"/>
                <w:highlight w:val="none"/>
              </w:rPr>
            </w:pPr>
          </w:p>
        </w:tc>
      </w:tr>
      <w:tr w14:paraId="67CE4B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8" w:type="pct"/>
            <w:noWrap w:val="0"/>
            <w:vAlign w:val="center"/>
          </w:tcPr>
          <w:p w14:paraId="2B402BD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项目技术负责人</w:t>
            </w:r>
          </w:p>
        </w:tc>
        <w:tc>
          <w:tcPr>
            <w:tcW w:w="627" w:type="pct"/>
            <w:noWrap w:val="0"/>
            <w:vAlign w:val="center"/>
          </w:tcPr>
          <w:p w14:paraId="5CC0F8EA">
            <w:pPr>
              <w:keepNext/>
              <w:spacing w:line="360" w:lineRule="auto"/>
              <w:jc w:val="center"/>
              <w:rPr>
                <w:rFonts w:hint="eastAsia" w:ascii="宋体" w:hAnsi="宋体" w:cs="宋体"/>
                <w:color w:val="auto"/>
                <w:szCs w:val="21"/>
                <w:highlight w:val="none"/>
              </w:rPr>
            </w:pPr>
          </w:p>
        </w:tc>
        <w:tc>
          <w:tcPr>
            <w:tcW w:w="502" w:type="pct"/>
            <w:noWrap w:val="0"/>
            <w:vAlign w:val="center"/>
          </w:tcPr>
          <w:p w14:paraId="176DBB00">
            <w:pPr>
              <w:keepNext/>
              <w:spacing w:line="360" w:lineRule="auto"/>
              <w:jc w:val="center"/>
              <w:rPr>
                <w:rFonts w:hint="eastAsia" w:ascii="宋体" w:hAnsi="宋体" w:cs="宋体"/>
                <w:color w:val="auto"/>
                <w:szCs w:val="21"/>
                <w:highlight w:val="none"/>
              </w:rPr>
            </w:pPr>
          </w:p>
        </w:tc>
        <w:tc>
          <w:tcPr>
            <w:tcW w:w="502" w:type="pct"/>
            <w:noWrap w:val="0"/>
            <w:vAlign w:val="center"/>
          </w:tcPr>
          <w:p w14:paraId="1DA2F3E6">
            <w:pPr>
              <w:keepNext/>
              <w:spacing w:line="360" w:lineRule="auto"/>
              <w:jc w:val="center"/>
              <w:rPr>
                <w:rFonts w:hint="eastAsia" w:ascii="宋体" w:hAnsi="宋体" w:cs="宋体"/>
                <w:color w:val="auto"/>
                <w:szCs w:val="21"/>
                <w:highlight w:val="none"/>
              </w:rPr>
            </w:pPr>
          </w:p>
        </w:tc>
        <w:tc>
          <w:tcPr>
            <w:tcW w:w="1279" w:type="pct"/>
            <w:noWrap w:val="0"/>
            <w:vAlign w:val="center"/>
          </w:tcPr>
          <w:p w14:paraId="52364820">
            <w:pPr>
              <w:keepNext/>
              <w:spacing w:line="360" w:lineRule="auto"/>
              <w:jc w:val="center"/>
              <w:rPr>
                <w:rFonts w:hint="eastAsia" w:ascii="宋体" w:hAnsi="宋体" w:cs="宋体"/>
                <w:color w:val="auto"/>
                <w:szCs w:val="21"/>
                <w:highlight w:val="none"/>
              </w:rPr>
            </w:pPr>
          </w:p>
        </w:tc>
        <w:tc>
          <w:tcPr>
            <w:tcW w:w="1153" w:type="pct"/>
            <w:noWrap w:val="0"/>
            <w:vAlign w:val="top"/>
          </w:tcPr>
          <w:p w14:paraId="32EAC359">
            <w:pPr>
              <w:keepNext/>
              <w:spacing w:line="360" w:lineRule="auto"/>
              <w:jc w:val="center"/>
              <w:rPr>
                <w:rFonts w:hint="eastAsia" w:ascii="宋体" w:hAnsi="宋体" w:cs="宋体"/>
                <w:color w:val="auto"/>
                <w:szCs w:val="21"/>
                <w:highlight w:val="none"/>
              </w:rPr>
            </w:pPr>
          </w:p>
        </w:tc>
      </w:tr>
      <w:tr w14:paraId="4E8051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8" w:type="pct"/>
            <w:noWrap w:val="0"/>
            <w:vAlign w:val="center"/>
          </w:tcPr>
          <w:p w14:paraId="4F60F72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施工员</w:t>
            </w:r>
          </w:p>
        </w:tc>
        <w:tc>
          <w:tcPr>
            <w:tcW w:w="627" w:type="pct"/>
            <w:noWrap w:val="0"/>
            <w:vAlign w:val="center"/>
          </w:tcPr>
          <w:p w14:paraId="35525868">
            <w:pPr>
              <w:keepNext/>
              <w:spacing w:line="360" w:lineRule="auto"/>
              <w:jc w:val="center"/>
              <w:rPr>
                <w:rFonts w:hint="eastAsia" w:ascii="宋体" w:hAnsi="宋体" w:cs="宋体"/>
                <w:color w:val="auto"/>
                <w:szCs w:val="21"/>
                <w:highlight w:val="none"/>
              </w:rPr>
            </w:pPr>
          </w:p>
        </w:tc>
        <w:tc>
          <w:tcPr>
            <w:tcW w:w="502" w:type="pct"/>
            <w:noWrap w:val="0"/>
            <w:vAlign w:val="center"/>
          </w:tcPr>
          <w:p w14:paraId="38CEE7E2">
            <w:pPr>
              <w:keepNext/>
              <w:spacing w:line="360" w:lineRule="auto"/>
              <w:jc w:val="center"/>
              <w:rPr>
                <w:rFonts w:hint="eastAsia" w:ascii="宋体" w:hAnsi="宋体" w:cs="宋体"/>
                <w:color w:val="auto"/>
                <w:szCs w:val="21"/>
                <w:highlight w:val="none"/>
              </w:rPr>
            </w:pPr>
          </w:p>
        </w:tc>
        <w:tc>
          <w:tcPr>
            <w:tcW w:w="502" w:type="pct"/>
            <w:noWrap w:val="0"/>
            <w:vAlign w:val="center"/>
          </w:tcPr>
          <w:p w14:paraId="65921F3D">
            <w:pPr>
              <w:keepNext/>
              <w:spacing w:line="360" w:lineRule="auto"/>
              <w:jc w:val="center"/>
              <w:rPr>
                <w:rFonts w:hint="eastAsia" w:ascii="宋体" w:hAnsi="宋体" w:cs="宋体"/>
                <w:color w:val="auto"/>
                <w:szCs w:val="21"/>
                <w:highlight w:val="none"/>
              </w:rPr>
            </w:pPr>
          </w:p>
        </w:tc>
        <w:tc>
          <w:tcPr>
            <w:tcW w:w="1279" w:type="pct"/>
            <w:noWrap w:val="0"/>
            <w:vAlign w:val="center"/>
          </w:tcPr>
          <w:p w14:paraId="5164D494">
            <w:pPr>
              <w:keepNext/>
              <w:spacing w:line="360" w:lineRule="auto"/>
              <w:jc w:val="center"/>
              <w:rPr>
                <w:rFonts w:hint="eastAsia" w:ascii="宋体" w:hAnsi="宋体" w:cs="宋体"/>
                <w:color w:val="auto"/>
                <w:szCs w:val="21"/>
                <w:highlight w:val="none"/>
              </w:rPr>
            </w:pPr>
          </w:p>
        </w:tc>
        <w:tc>
          <w:tcPr>
            <w:tcW w:w="1153" w:type="pct"/>
            <w:noWrap w:val="0"/>
            <w:vAlign w:val="top"/>
          </w:tcPr>
          <w:p w14:paraId="6F97E46E">
            <w:pPr>
              <w:keepNext/>
              <w:spacing w:line="360" w:lineRule="auto"/>
              <w:jc w:val="center"/>
              <w:rPr>
                <w:rFonts w:hint="eastAsia" w:ascii="宋体" w:hAnsi="宋体" w:cs="宋体"/>
                <w:color w:val="auto"/>
                <w:szCs w:val="21"/>
                <w:highlight w:val="none"/>
              </w:rPr>
            </w:pPr>
          </w:p>
        </w:tc>
      </w:tr>
      <w:tr w14:paraId="57C226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8" w:type="pct"/>
            <w:noWrap w:val="0"/>
            <w:vAlign w:val="center"/>
          </w:tcPr>
          <w:p w14:paraId="31AE2E0C">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质检员（质量员）</w:t>
            </w:r>
          </w:p>
        </w:tc>
        <w:tc>
          <w:tcPr>
            <w:tcW w:w="627" w:type="pct"/>
            <w:noWrap w:val="0"/>
            <w:vAlign w:val="center"/>
          </w:tcPr>
          <w:p w14:paraId="6469F40C">
            <w:pPr>
              <w:keepNext/>
              <w:spacing w:line="360" w:lineRule="auto"/>
              <w:jc w:val="center"/>
              <w:rPr>
                <w:rFonts w:hint="eastAsia" w:ascii="宋体" w:hAnsi="宋体" w:cs="宋体"/>
                <w:color w:val="auto"/>
                <w:szCs w:val="21"/>
                <w:highlight w:val="none"/>
              </w:rPr>
            </w:pPr>
          </w:p>
        </w:tc>
        <w:tc>
          <w:tcPr>
            <w:tcW w:w="502" w:type="pct"/>
            <w:noWrap w:val="0"/>
            <w:vAlign w:val="center"/>
          </w:tcPr>
          <w:p w14:paraId="263FA33F">
            <w:pPr>
              <w:keepNext/>
              <w:spacing w:line="360" w:lineRule="auto"/>
              <w:jc w:val="center"/>
              <w:rPr>
                <w:rFonts w:hint="eastAsia" w:ascii="宋体" w:hAnsi="宋体" w:cs="宋体"/>
                <w:color w:val="auto"/>
                <w:szCs w:val="21"/>
                <w:highlight w:val="none"/>
              </w:rPr>
            </w:pPr>
          </w:p>
        </w:tc>
        <w:tc>
          <w:tcPr>
            <w:tcW w:w="502" w:type="pct"/>
            <w:noWrap w:val="0"/>
            <w:vAlign w:val="center"/>
          </w:tcPr>
          <w:p w14:paraId="3F159E70">
            <w:pPr>
              <w:keepNext/>
              <w:spacing w:line="360" w:lineRule="auto"/>
              <w:jc w:val="center"/>
              <w:rPr>
                <w:rFonts w:hint="eastAsia" w:ascii="宋体" w:hAnsi="宋体" w:cs="宋体"/>
                <w:color w:val="auto"/>
                <w:szCs w:val="21"/>
                <w:highlight w:val="none"/>
              </w:rPr>
            </w:pPr>
          </w:p>
        </w:tc>
        <w:tc>
          <w:tcPr>
            <w:tcW w:w="1279" w:type="pct"/>
            <w:noWrap w:val="0"/>
            <w:vAlign w:val="center"/>
          </w:tcPr>
          <w:p w14:paraId="4DD12B3E">
            <w:pPr>
              <w:keepNext/>
              <w:spacing w:line="360" w:lineRule="auto"/>
              <w:jc w:val="center"/>
              <w:rPr>
                <w:rFonts w:hint="eastAsia" w:ascii="宋体" w:hAnsi="宋体" w:cs="宋体"/>
                <w:color w:val="auto"/>
                <w:szCs w:val="21"/>
                <w:highlight w:val="none"/>
              </w:rPr>
            </w:pPr>
          </w:p>
        </w:tc>
        <w:tc>
          <w:tcPr>
            <w:tcW w:w="1153" w:type="pct"/>
            <w:noWrap w:val="0"/>
            <w:vAlign w:val="top"/>
          </w:tcPr>
          <w:p w14:paraId="3D1FFB38">
            <w:pPr>
              <w:keepNext/>
              <w:spacing w:line="360" w:lineRule="auto"/>
              <w:jc w:val="center"/>
              <w:rPr>
                <w:rFonts w:hint="eastAsia" w:ascii="宋体" w:hAnsi="宋体" w:cs="宋体"/>
                <w:color w:val="auto"/>
                <w:szCs w:val="21"/>
                <w:highlight w:val="none"/>
              </w:rPr>
            </w:pPr>
          </w:p>
        </w:tc>
      </w:tr>
      <w:tr w14:paraId="5263B5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938" w:type="pct"/>
            <w:noWrap w:val="0"/>
            <w:vAlign w:val="center"/>
          </w:tcPr>
          <w:p w14:paraId="7796D654">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安全员</w:t>
            </w:r>
          </w:p>
        </w:tc>
        <w:tc>
          <w:tcPr>
            <w:tcW w:w="627" w:type="pct"/>
            <w:noWrap w:val="0"/>
            <w:vAlign w:val="center"/>
          </w:tcPr>
          <w:p w14:paraId="07DB6216">
            <w:pPr>
              <w:keepNext/>
              <w:spacing w:line="360" w:lineRule="auto"/>
              <w:jc w:val="center"/>
              <w:rPr>
                <w:rFonts w:hint="eastAsia" w:ascii="宋体" w:hAnsi="宋体" w:cs="宋体"/>
                <w:color w:val="auto"/>
                <w:szCs w:val="21"/>
                <w:highlight w:val="none"/>
              </w:rPr>
            </w:pPr>
          </w:p>
        </w:tc>
        <w:tc>
          <w:tcPr>
            <w:tcW w:w="502" w:type="pct"/>
            <w:noWrap w:val="0"/>
            <w:vAlign w:val="center"/>
          </w:tcPr>
          <w:p w14:paraId="2CE0D748">
            <w:pPr>
              <w:keepNext/>
              <w:spacing w:line="360" w:lineRule="auto"/>
              <w:jc w:val="center"/>
              <w:rPr>
                <w:rFonts w:hint="eastAsia" w:ascii="宋体" w:hAnsi="宋体" w:cs="宋体"/>
                <w:color w:val="auto"/>
                <w:szCs w:val="21"/>
                <w:highlight w:val="none"/>
              </w:rPr>
            </w:pPr>
          </w:p>
        </w:tc>
        <w:tc>
          <w:tcPr>
            <w:tcW w:w="502" w:type="pct"/>
            <w:noWrap w:val="0"/>
            <w:vAlign w:val="center"/>
          </w:tcPr>
          <w:p w14:paraId="4A3E4681">
            <w:pPr>
              <w:keepNext/>
              <w:spacing w:line="360" w:lineRule="auto"/>
              <w:jc w:val="center"/>
              <w:rPr>
                <w:rFonts w:hint="eastAsia" w:ascii="宋体" w:hAnsi="宋体" w:cs="宋体"/>
                <w:color w:val="auto"/>
                <w:szCs w:val="21"/>
                <w:highlight w:val="none"/>
              </w:rPr>
            </w:pPr>
          </w:p>
        </w:tc>
        <w:tc>
          <w:tcPr>
            <w:tcW w:w="1279" w:type="pct"/>
            <w:noWrap w:val="0"/>
            <w:vAlign w:val="center"/>
          </w:tcPr>
          <w:p w14:paraId="351E7161">
            <w:pPr>
              <w:keepNext/>
              <w:spacing w:line="360" w:lineRule="auto"/>
              <w:jc w:val="center"/>
              <w:rPr>
                <w:rFonts w:hint="eastAsia" w:ascii="宋体" w:hAnsi="宋体" w:cs="宋体"/>
                <w:color w:val="auto"/>
                <w:szCs w:val="21"/>
                <w:highlight w:val="none"/>
              </w:rPr>
            </w:pPr>
          </w:p>
        </w:tc>
        <w:tc>
          <w:tcPr>
            <w:tcW w:w="1153" w:type="pct"/>
            <w:noWrap w:val="0"/>
            <w:vAlign w:val="top"/>
          </w:tcPr>
          <w:p w14:paraId="6D194248">
            <w:pPr>
              <w:keepNext/>
              <w:spacing w:line="360" w:lineRule="auto"/>
              <w:jc w:val="center"/>
              <w:rPr>
                <w:rFonts w:hint="eastAsia" w:ascii="宋体" w:hAnsi="宋体" w:cs="宋体"/>
                <w:color w:val="auto"/>
                <w:szCs w:val="21"/>
                <w:highlight w:val="none"/>
              </w:rPr>
            </w:pPr>
          </w:p>
        </w:tc>
      </w:tr>
      <w:tr w14:paraId="6F3648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8" w:type="pct"/>
            <w:noWrap w:val="0"/>
            <w:vAlign w:val="center"/>
          </w:tcPr>
          <w:p w14:paraId="2374FE72">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资料员</w:t>
            </w:r>
          </w:p>
        </w:tc>
        <w:tc>
          <w:tcPr>
            <w:tcW w:w="627" w:type="pct"/>
            <w:noWrap w:val="0"/>
            <w:vAlign w:val="center"/>
          </w:tcPr>
          <w:p w14:paraId="7BEE1A18">
            <w:pPr>
              <w:keepNext/>
              <w:spacing w:line="360" w:lineRule="auto"/>
              <w:jc w:val="center"/>
              <w:rPr>
                <w:rFonts w:hint="eastAsia" w:ascii="宋体" w:hAnsi="宋体" w:cs="宋体"/>
                <w:color w:val="auto"/>
                <w:szCs w:val="21"/>
                <w:highlight w:val="none"/>
              </w:rPr>
            </w:pPr>
          </w:p>
        </w:tc>
        <w:tc>
          <w:tcPr>
            <w:tcW w:w="502" w:type="pct"/>
            <w:noWrap w:val="0"/>
            <w:vAlign w:val="center"/>
          </w:tcPr>
          <w:p w14:paraId="415528C8">
            <w:pPr>
              <w:keepNext/>
              <w:spacing w:line="360" w:lineRule="auto"/>
              <w:jc w:val="center"/>
              <w:rPr>
                <w:rFonts w:hint="eastAsia" w:ascii="宋体" w:hAnsi="宋体" w:cs="宋体"/>
                <w:color w:val="auto"/>
                <w:szCs w:val="21"/>
                <w:highlight w:val="none"/>
              </w:rPr>
            </w:pPr>
          </w:p>
        </w:tc>
        <w:tc>
          <w:tcPr>
            <w:tcW w:w="502" w:type="pct"/>
            <w:noWrap w:val="0"/>
            <w:vAlign w:val="center"/>
          </w:tcPr>
          <w:p w14:paraId="64C0FB06">
            <w:pPr>
              <w:keepNext/>
              <w:spacing w:line="360" w:lineRule="auto"/>
              <w:jc w:val="center"/>
              <w:rPr>
                <w:rFonts w:hint="eastAsia" w:ascii="宋体" w:hAnsi="宋体" w:cs="宋体"/>
                <w:color w:val="auto"/>
                <w:szCs w:val="21"/>
                <w:highlight w:val="none"/>
              </w:rPr>
            </w:pPr>
          </w:p>
        </w:tc>
        <w:tc>
          <w:tcPr>
            <w:tcW w:w="1279" w:type="pct"/>
            <w:noWrap w:val="0"/>
            <w:vAlign w:val="center"/>
          </w:tcPr>
          <w:p w14:paraId="60FCE041">
            <w:pPr>
              <w:keepNext/>
              <w:spacing w:line="360" w:lineRule="auto"/>
              <w:jc w:val="center"/>
              <w:rPr>
                <w:rFonts w:hint="eastAsia" w:ascii="宋体" w:hAnsi="宋体" w:cs="宋体"/>
                <w:color w:val="auto"/>
                <w:szCs w:val="21"/>
                <w:highlight w:val="none"/>
              </w:rPr>
            </w:pPr>
          </w:p>
        </w:tc>
        <w:tc>
          <w:tcPr>
            <w:tcW w:w="1153" w:type="pct"/>
            <w:noWrap w:val="0"/>
            <w:vAlign w:val="top"/>
          </w:tcPr>
          <w:p w14:paraId="338717E9">
            <w:pPr>
              <w:keepNext/>
              <w:spacing w:line="360" w:lineRule="auto"/>
              <w:jc w:val="center"/>
              <w:rPr>
                <w:rFonts w:hint="eastAsia" w:ascii="宋体" w:hAnsi="宋体" w:cs="宋体"/>
                <w:color w:val="auto"/>
                <w:szCs w:val="21"/>
                <w:highlight w:val="none"/>
              </w:rPr>
            </w:pPr>
          </w:p>
        </w:tc>
      </w:tr>
      <w:tr w14:paraId="1D62F1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8" w:type="pct"/>
            <w:vMerge w:val="restart"/>
            <w:noWrap w:val="0"/>
            <w:vAlign w:val="center"/>
          </w:tcPr>
          <w:p w14:paraId="2018340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其他人员</w:t>
            </w:r>
          </w:p>
        </w:tc>
        <w:tc>
          <w:tcPr>
            <w:tcW w:w="627" w:type="pct"/>
            <w:noWrap w:val="0"/>
            <w:vAlign w:val="center"/>
          </w:tcPr>
          <w:p w14:paraId="5DA4F5C0">
            <w:pPr>
              <w:keepNext/>
              <w:spacing w:line="360" w:lineRule="auto"/>
              <w:jc w:val="center"/>
              <w:rPr>
                <w:rFonts w:hint="eastAsia" w:ascii="宋体" w:hAnsi="宋体" w:cs="宋体"/>
                <w:color w:val="auto"/>
                <w:szCs w:val="21"/>
                <w:highlight w:val="none"/>
              </w:rPr>
            </w:pPr>
          </w:p>
        </w:tc>
        <w:tc>
          <w:tcPr>
            <w:tcW w:w="502" w:type="pct"/>
            <w:noWrap w:val="0"/>
            <w:vAlign w:val="center"/>
          </w:tcPr>
          <w:p w14:paraId="406B246C">
            <w:pPr>
              <w:keepNext/>
              <w:spacing w:line="360" w:lineRule="auto"/>
              <w:jc w:val="center"/>
              <w:rPr>
                <w:rFonts w:hint="eastAsia" w:ascii="宋体" w:hAnsi="宋体" w:cs="宋体"/>
                <w:color w:val="auto"/>
                <w:szCs w:val="21"/>
                <w:highlight w:val="none"/>
              </w:rPr>
            </w:pPr>
          </w:p>
        </w:tc>
        <w:tc>
          <w:tcPr>
            <w:tcW w:w="502" w:type="pct"/>
            <w:noWrap w:val="0"/>
            <w:vAlign w:val="center"/>
          </w:tcPr>
          <w:p w14:paraId="0F23B9A9">
            <w:pPr>
              <w:keepNext/>
              <w:spacing w:line="360" w:lineRule="auto"/>
              <w:jc w:val="center"/>
              <w:rPr>
                <w:rFonts w:hint="eastAsia" w:ascii="宋体" w:hAnsi="宋体" w:cs="宋体"/>
                <w:color w:val="auto"/>
                <w:szCs w:val="21"/>
                <w:highlight w:val="none"/>
              </w:rPr>
            </w:pPr>
          </w:p>
        </w:tc>
        <w:tc>
          <w:tcPr>
            <w:tcW w:w="1279" w:type="pct"/>
            <w:noWrap w:val="0"/>
            <w:vAlign w:val="center"/>
          </w:tcPr>
          <w:p w14:paraId="5D84F9FC">
            <w:pPr>
              <w:keepNext/>
              <w:spacing w:line="360" w:lineRule="auto"/>
              <w:jc w:val="center"/>
              <w:rPr>
                <w:rFonts w:hint="eastAsia" w:ascii="宋体" w:hAnsi="宋体" w:cs="宋体"/>
                <w:color w:val="auto"/>
                <w:szCs w:val="21"/>
                <w:highlight w:val="none"/>
              </w:rPr>
            </w:pPr>
          </w:p>
        </w:tc>
        <w:tc>
          <w:tcPr>
            <w:tcW w:w="1153" w:type="pct"/>
            <w:noWrap w:val="0"/>
            <w:vAlign w:val="top"/>
          </w:tcPr>
          <w:p w14:paraId="3E551F6D">
            <w:pPr>
              <w:keepNext/>
              <w:spacing w:line="360" w:lineRule="auto"/>
              <w:jc w:val="center"/>
              <w:rPr>
                <w:rFonts w:hint="eastAsia" w:ascii="宋体" w:hAnsi="宋体" w:cs="宋体"/>
                <w:color w:val="auto"/>
                <w:szCs w:val="21"/>
                <w:highlight w:val="none"/>
              </w:rPr>
            </w:pPr>
          </w:p>
        </w:tc>
      </w:tr>
      <w:tr w14:paraId="559080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8" w:type="pct"/>
            <w:vMerge w:val="continue"/>
            <w:noWrap w:val="0"/>
            <w:vAlign w:val="center"/>
          </w:tcPr>
          <w:p w14:paraId="1F4C3711">
            <w:pPr>
              <w:keepNext/>
              <w:spacing w:line="360" w:lineRule="auto"/>
              <w:jc w:val="center"/>
              <w:rPr>
                <w:rFonts w:hint="eastAsia" w:ascii="宋体" w:hAnsi="宋体" w:cs="宋体"/>
                <w:color w:val="auto"/>
                <w:szCs w:val="21"/>
                <w:highlight w:val="none"/>
              </w:rPr>
            </w:pPr>
          </w:p>
        </w:tc>
        <w:tc>
          <w:tcPr>
            <w:tcW w:w="627" w:type="pct"/>
            <w:tcBorders>
              <w:bottom w:val="nil"/>
            </w:tcBorders>
            <w:noWrap w:val="0"/>
            <w:vAlign w:val="center"/>
          </w:tcPr>
          <w:p w14:paraId="3BDD24EA">
            <w:pPr>
              <w:keepNext/>
              <w:spacing w:line="360" w:lineRule="auto"/>
              <w:jc w:val="center"/>
              <w:rPr>
                <w:rFonts w:hint="eastAsia" w:ascii="宋体" w:hAnsi="宋体" w:cs="宋体"/>
                <w:color w:val="auto"/>
                <w:szCs w:val="21"/>
                <w:highlight w:val="none"/>
              </w:rPr>
            </w:pPr>
          </w:p>
        </w:tc>
        <w:tc>
          <w:tcPr>
            <w:tcW w:w="502" w:type="pct"/>
            <w:tcBorders>
              <w:bottom w:val="nil"/>
            </w:tcBorders>
            <w:noWrap w:val="0"/>
            <w:vAlign w:val="center"/>
          </w:tcPr>
          <w:p w14:paraId="4AB958A7">
            <w:pPr>
              <w:keepNext/>
              <w:spacing w:line="360" w:lineRule="auto"/>
              <w:jc w:val="center"/>
              <w:rPr>
                <w:rFonts w:hint="eastAsia" w:ascii="宋体" w:hAnsi="宋体" w:cs="宋体"/>
                <w:color w:val="auto"/>
                <w:szCs w:val="21"/>
                <w:highlight w:val="none"/>
              </w:rPr>
            </w:pPr>
          </w:p>
        </w:tc>
        <w:tc>
          <w:tcPr>
            <w:tcW w:w="502" w:type="pct"/>
            <w:tcBorders>
              <w:bottom w:val="nil"/>
            </w:tcBorders>
            <w:noWrap w:val="0"/>
            <w:vAlign w:val="center"/>
          </w:tcPr>
          <w:p w14:paraId="7B229CDB">
            <w:pPr>
              <w:keepNext/>
              <w:spacing w:line="360" w:lineRule="auto"/>
              <w:jc w:val="center"/>
              <w:rPr>
                <w:rFonts w:hint="eastAsia" w:ascii="宋体" w:hAnsi="宋体" w:cs="宋体"/>
                <w:color w:val="auto"/>
                <w:szCs w:val="21"/>
                <w:highlight w:val="none"/>
              </w:rPr>
            </w:pPr>
          </w:p>
        </w:tc>
        <w:tc>
          <w:tcPr>
            <w:tcW w:w="1279" w:type="pct"/>
            <w:tcBorders>
              <w:bottom w:val="nil"/>
            </w:tcBorders>
            <w:noWrap w:val="0"/>
            <w:vAlign w:val="center"/>
          </w:tcPr>
          <w:p w14:paraId="09CA239F">
            <w:pPr>
              <w:keepNext/>
              <w:spacing w:line="360" w:lineRule="auto"/>
              <w:jc w:val="center"/>
              <w:rPr>
                <w:rFonts w:hint="eastAsia" w:ascii="宋体" w:hAnsi="宋体" w:cs="宋体"/>
                <w:color w:val="auto"/>
                <w:szCs w:val="21"/>
                <w:highlight w:val="none"/>
              </w:rPr>
            </w:pPr>
          </w:p>
        </w:tc>
        <w:tc>
          <w:tcPr>
            <w:tcW w:w="1153" w:type="pct"/>
            <w:tcBorders>
              <w:bottom w:val="nil"/>
            </w:tcBorders>
            <w:noWrap w:val="0"/>
            <w:vAlign w:val="top"/>
          </w:tcPr>
          <w:p w14:paraId="1E47327C">
            <w:pPr>
              <w:keepNext/>
              <w:spacing w:line="360" w:lineRule="auto"/>
              <w:jc w:val="center"/>
              <w:rPr>
                <w:rFonts w:hint="eastAsia" w:ascii="宋体" w:hAnsi="宋体" w:cs="宋体"/>
                <w:color w:val="auto"/>
                <w:szCs w:val="21"/>
                <w:highlight w:val="none"/>
              </w:rPr>
            </w:pPr>
          </w:p>
        </w:tc>
      </w:tr>
      <w:tr w14:paraId="3EEEE5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8" w:type="pct"/>
            <w:vMerge w:val="continue"/>
            <w:noWrap w:val="0"/>
            <w:vAlign w:val="center"/>
          </w:tcPr>
          <w:p w14:paraId="465047A9">
            <w:pPr>
              <w:keepNext/>
              <w:spacing w:line="360" w:lineRule="auto"/>
              <w:jc w:val="center"/>
              <w:rPr>
                <w:rFonts w:hint="eastAsia" w:ascii="宋体" w:hAnsi="宋体" w:cs="宋体"/>
                <w:color w:val="auto"/>
                <w:szCs w:val="21"/>
                <w:highlight w:val="none"/>
              </w:rPr>
            </w:pPr>
          </w:p>
        </w:tc>
        <w:tc>
          <w:tcPr>
            <w:tcW w:w="627" w:type="pct"/>
            <w:noWrap w:val="0"/>
            <w:vAlign w:val="center"/>
          </w:tcPr>
          <w:p w14:paraId="03CA0B77">
            <w:pPr>
              <w:keepNext/>
              <w:spacing w:line="360" w:lineRule="auto"/>
              <w:jc w:val="center"/>
              <w:rPr>
                <w:rFonts w:hint="eastAsia" w:ascii="宋体" w:hAnsi="宋体" w:cs="宋体"/>
                <w:color w:val="auto"/>
                <w:szCs w:val="21"/>
                <w:highlight w:val="none"/>
              </w:rPr>
            </w:pPr>
          </w:p>
        </w:tc>
        <w:tc>
          <w:tcPr>
            <w:tcW w:w="502" w:type="pct"/>
            <w:noWrap w:val="0"/>
            <w:vAlign w:val="center"/>
          </w:tcPr>
          <w:p w14:paraId="5394B207">
            <w:pPr>
              <w:keepNext/>
              <w:spacing w:line="360" w:lineRule="auto"/>
              <w:jc w:val="center"/>
              <w:rPr>
                <w:rFonts w:hint="eastAsia" w:ascii="宋体" w:hAnsi="宋体" w:cs="宋体"/>
                <w:color w:val="auto"/>
                <w:szCs w:val="21"/>
                <w:highlight w:val="none"/>
              </w:rPr>
            </w:pPr>
          </w:p>
        </w:tc>
        <w:tc>
          <w:tcPr>
            <w:tcW w:w="502" w:type="pct"/>
            <w:noWrap w:val="0"/>
            <w:vAlign w:val="center"/>
          </w:tcPr>
          <w:p w14:paraId="2BA971C5">
            <w:pPr>
              <w:keepNext/>
              <w:spacing w:line="360" w:lineRule="auto"/>
              <w:jc w:val="center"/>
              <w:rPr>
                <w:rFonts w:hint="eastAsia" w:ascii="宋体" w:hAnsi="宋体" w:cs="宋体"/>
                <w:color w:val="auto"/>
                <w:szCs w:val="21"/>
                <w:highlight w:val="none"/>
              </w:rPr>
            </w:pPr>
          </w:p>
        </w:tc>
        <w:tc>
          <w:tcPr>
            <w:tcW w:w="1279" w:type="pct"/>
            <w:noWrap w:val="0"/>
            <w:vAlign w:val="center"/>
          </w:tcPr>
          <w:p w14:paraId="2E66F4F2">
            <w:pPr>
              <w:keepNext/>
              <w:spacing w:line="360" w:lineRule="auto"/>
              <w:jc w:val="center"/>
              <w:rPr>
                <w:rFonts w:hint="eastAsia" w:ascii="宋体" w:hAnsi="宋体" w:cs="宋体"/>
                <w:color w:val="auto"/>
                <w:szCs w:val="21"/>
                <w:highlight w:val="none"/>
              </w:rPr>
            </w:pPr>
          </w:p>
        </w:tc>
        <w:tc>
          <w:tcPr>
            <w:tcW w:w="1153" w:type="pct"/>
            <w:noWrap w:val="0"/>
            <w:vAlign w:val="top"/>
          </w:tcPr>
          <w:p w14:paraId="15B7F4CC">
            <w:pPr>
              <w:keepNext/>
              <w:spacing w:line="360" w:lineRule="auto"/>
              <w:jc w:val="center"/>
              <w:rPr>
                <w:rFonts w:hint="eastAsia" w:ascii="宋体" w:hAnsi="宋体" w:cs="宋体"/>
                <w:color w:val="auto"/>
                <w:szCs w:val="21"/>
                <w:highlight w:val="none"/>
              </w:rPr>
            </w:pPr>
          </w:p>
        </w:tc>
      </w:tr>
      <w:tr w14:paraId="2A97A2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8" w:type="pct"/>
            <w:vMerge w:val="continue"/>
            <w:noWrap w:val="0"/>
            <w:vAlign w:val="center"/>
          </w:tcPr>
          <w:p w14:paraId="357CAE51">
            <w:pPr>
              <w:keepNext/>
              <w:spacing w:line="360" w:lineRule="auto"/>
              <w:jc w:val="center"/>
              <w:rPr>
                <w:rFonts w:hint="eastAsia" w:ascii="宋体" w:hAnsi="宋体" w:cs="宋体"/>
                <w:color w:val="auto"/>
                <w:szCs w:val="21"/>
                <w:highlight w:val="none"/>
              </w:rPr>
            </w:pPr>
          </w:p>
        </w:tc>
        <w:tc>
          <w:tcPr>
            <w:tcW w:w="627" w:type="pct"/>
            <w:noWrap w:val="0"/>
            <w:vAlign w:val="center"/>
          </w:tcPr>
          <w:p w14:paraId="05AF67F0">
            <w:pPr>
              <w:keepNext/>
              <w:spacing w:line="360" w:lineRule="auto"/>
              <w:jc w:val="center"/>
              <w:rPr>
                <w:rFonts w:hint="eastAsia" w:ascii="宋体" w:hAnsi="宋体" w:cs="宋体"/>
                <w:color w:val="auto"/>
                <w:szCs w:val="21"/>
                <w:highlight w:val="none"/>
              </w:rPr>
            </w:pPr>
          </w:p>
        </w:tc>
        <w:tc>
          <w:tcPr>
            <w:tcW w:w="502" w:type="pct"/>
            <w:noWrap w:val="0"/>
            <w:vAlign w:val="center"/>
          </w:tcPr>
          <w:p w14:paraId="3251C2A9">
            <w:pPr>
              <w:keepNext/>
              <w:spacing w:line="360" w:lineRule="auto"/>
              <w:jc w:val="center"/>
              <w:rPr>
                <w:rFonts w:hint="eastAsia" w:ascii="宋体" w:hAnsi="宋体" w:cs="宋体"/>
                <w:color w:val="auto"/>
                <w:szCs w:val="21"/>
                <w:highlight w:val="none"/>
              </w:rPr>
            </w:pPr>
          </w:p>
        </w:tc>
        <w:tc>
          <w:tcPr>
            <w:tcW w:w="502" w:type="pct"/>
            <w:noWrap w:val="0"/>
            <w:vAlign w:val="center"/>
          </w:tcPr>
          <w:p w14:paraId="02C672B8">
            <w:pPr>
              <w:keepNext/>
              <w:spacing w:line="360" w:lineRule="auto"/>
              <w:jc w:val="center"/>
              <w:rPr>
                <w:rFonts w:hint="eastAsia" w:ascii="宋体" w:hAnsi="宋体" w:cs="宋体"/>
                <w:color w:val="auto"/>
                <w:szCs w:val="21"/>
                <w:highlight w:val="none"/>
              </w:rPr>
            </w:pPr>
          </w:p>
        </w:tc>
        <w:tc>
          <w:tcPr>
            <w:tcW w:w="1279" w:type="pct"/>
            <w:noWrap w:val="0"/>
            <w:vAlign w:val="center"/>
          </w:tcPr>
          <w:p w14:paraId="112AEA24">
            <w:pPr>
              <w:keepNext/>
              <w:spacing w:line="360" w:lineRule="auto"/>
              <w:jc w:val="center"/>
              <w:rPr>
                <w:rFonts w:hint="eastAsia" w:ascii="宋体" w:hAnsi="宋体" w:cs="宋体"/>
                <w:color w:val="auto"/>
                <w:szCs w:val="21"/>
                <w:highlight w:val="none"/>
              </w:rPr>
            </w:pPr>
          </w:p>
        </w:tc>
        <w:tc>
          <w:tcPr>
            <w:tcW w:w="1153" w:type="pct"/>
            <w:noWrap w:val="0"/>
            <w:vAlign w:val="top"/>
          </w:tcPr>
          <w:p w14:paraId="6E265D04">
            <w:pPr>
              <w:keepNext/>
              <w:spacing w:line="360" w:lineRule="auto"/>
              <w:jc w:val="center"/>
              <w:rPr>
                <w:rFonts w:hint="eastAsia" w:ascii="宋体" w:hAnsi="宋体" w:cs="宋体"/>
                <w:color w:val="auto"/>
                <w:szCs w:val="21"/>
                <w:highlight w:val="none"/>
              </w:rPr>
            </w:pPr>
          </w:p>
        </w:tc>
      </w:tr>
      <w:tr w14:paraId="789CCB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8" w:type="pct"/>
            <w:vMerge w:val="continue"/>
            <w:noWrap w:val="0"/>
            <w:vAlign w:val="center"/>
          </w:tcPr>
          <w:p w14:paraId="5BAC09E3">
            <w:pPr>
              <w:keepNext/>
              <w:spacing w:line="360" w:lineRule="auto"/>
              <w:jc w:val="center"/>
              <w:rPr>
                <w:rFonts w:hint="eastAsia" w:ascii="宋体" w:hAnsi="宋体" w:cs="宋体"/>
                <w:color w:val="auto"/>
                <w:szCs w:val="21"/>
                <w:highlight w:val="none"/>
              </w:rPr>
            </w:pPr>
          </w:p>
        </w:tc>
        <w:tc>
          <w:tcPr>
            <w:tcW w:w="627" w:type="pct"/>
            <w:noWrap w:val="0"/>
            <w:vAlign w:val="center"/>
          </w:tcPr>
          <w:p w14:paraId="7079AFE5">
            <w:pPr>
              <w:keepNext/>
              <w:spacing w:line="360" w:lineRule="auto"/>
              <w:jc w:val="center"/>
              <w:rPr>
                <w:rFonts w:hint="eastAsia" w:ascii="宋体" w:hAnsi="宋体" w:cs="宋体"/>
                <w:color w:val="auto"/>
                <w:szCs w:val="21"/>
                <w:highlight w:val="none"/>
              </w:rPr>
            </w:pPr>
          </w:p>
        </w:tc>
        <w:tc>
          <w:tcPr>
            <w:tcW w:w="502" w:type="pct"/>
            <w:noWrap w:val="0"/>
            <w:vAlign w:val="center"/>
          </w:tcPr>
          <w:p w14:paraId="20230F1D">
            <w:pPr>
              <w:keepNext/>
              <w:spacing w:line="360" w:lineRule="auto"/>
              <w:jc w:val="center"/>
              <w:rPr>
                <w:rFonts w:hint="eastAsia" w:ascii="宋体" w:hAnsi="宋体" w:cs="宋体"/>
                <w:color w:val="auto"/>
                <w:szCs w:val="21"/>
                <w:highlight w:val="none"/>
              </w:rPr>
            </w:pPr>
          </w:p>
        </w:tc>
        <w:tc>
          <w:tcPr>
            <w:tcW w:w="502" w:type="pct"/>
            <w:noWrap w:val="0"/>
            <w:vAlign w:val="center"/>
          </w:tcPr>
          <w:p w14:paraId="6A0BC399">
            <w:pPr>
              <w:keepNext/>
              <w:spacing w:line="360" w:lineRule="auto"/>
              <w:jc w:val="center"/>
              <w:rPr>
                <w:rFonts w:hint="eastAsia" w:ascii="宋体" w:hAnsi="宋体" w:cs="宋体"/>
                <w:color w:val="auto"/>
                <w:szCs w:val="21"/>
                <w:highlight w:val="none"/>
              </w:rPr>
            </w:pPr>
          </w:p>
        </w:tc>
        <w:tc>
          <w:tcPr>
            <w:tcW w:w="1279" w:type="pct"/>
            <w:noWrap w:val="0"/>
            <w:vAlign w:val="center"/>
          </w:tcPr>
          <w:p w14:paraId="7D7ADD90">
            <w:pPr>
              <w:keepNext/>
              <w:spacing w:line="360" w:lineRule="auto"/>
              <w:jc w:val="center"/>
              <w:rPr>
                <w:rFonts w:hint="eastAsia" w:ascii="宋体" w:hAnsi="宋体" w:cs="宋体"/>
                <w:color w:val="auto"/>
                <w:szCs w:val="21"/>
                <w:highlight w:val="none"/>
              </w:rPr>
            </w:pPr>
          </w:p>
        </w:tc>
        <w:tc>
          <w:tcPr>
            <w:tcW w:w="1153" w:type="pct"/>
            <w:noWrap w:val="0"/>
            <w:vAlign w:val="top"/>
          </w:tcPr>
          <w:p w14:paraId="2C3922DC">
            <w:pPr>
              <w:keepNext/>
              <w:spacing w:line="360" w:lineRule="auto"/>
              <w:jc w:val="center"/>
              <w:rPr>
                <w:rFonts w:hint="eastAsia" w:ascii="宋体" w:hAnsi="宋体" w:cs="宋体"/>
                <w:color w:val="auto"/>
                <w:szCs w:val="21"/>
                <w:highlight w:val="none"/>
              </w:rPr>
            </w:pPr>
          </w:p>
        </w:tc>
      </w:tr>
      <w:tr w14:paraId="34D1F7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8" w:type="pct"/>
            <w:vMerge w:val="continue"/>
            <w:tcBorders>
              <w:bottom w:val="single" w:color="auto" w:sz="12" w:space="0"/>
            </w:tcBorders>
            <w:noWrap w:val="0"/>
            <w:vAlign w:val="center"/>
          </w:tcPr>
          <w:p w14:paraId="1868F0C4">
            <w:pPr>
              <w:keepNext/>
              <w:spacing w:line="360" w:lineRule="auto"/>
              <w:jc w:val="center"/>
              <w:rPr>
                <w:rFonts w:hint="eastAsia" w:ascii="宋体" w:hAnsi="宋体" w:cs="宋体"/>
                <w:color w:val="auto"/>
                <w:szCs w:val="21"/>
                <w:highlight w:val="none"/>
              </w:rPr>
            </w:pPr>
          </w:p>
        </w:tc>
        <w:tc>
          <w:tcPr>
            <w:tcW w:w="627" w:type="pct"/>
            <w:tcBorders>
              <w:bottom w:val="single" w:color="auto" w:sz="12" w:space="0"/>
            </w:tcBorders>
            <w:noWrap w:val="0"/>
            <w:vAlign w:val="center"/>
          </w:tcPr>
          <w:p w14:paraId="1BA3E7DB">
            <w:pPr>
              <w:keepNext/>
              <w:spacing w:line="360" w:lineRule="auto"/>
              <w:jc w:val="center"/>
              <w:rPr>
                <w:rFonts w:hint="eastAsia" w:ascii="宋体" w:hAnsi="宋体" w:cs="宋体"/>
                <w:color w:val="auto"/>
                <w:szCs w:val="21"/>
                <w:highlight w:val="none"/>
              </w:rPr>
            </w:pPr>
          </w:p>
        </w:tc>
        <w:tc>
          <w:tcPr>
            <w:tcW w:w="502" w:type="pct"/>
            <w:tcBorders>
              <w:bottom w:val="single" w:color="auto" w:sz="12" w:space="0"/>
            </w:tcBorders>
            <w:noWrap w:val="0"/>
            <w:vAlign w:val="center"/>
          </w:tcPr>
          <w:p w14:paraId="5BE846E7">
            <w:pPr>
              <w:keepNext/>
              <w:spacing w:line="360" w:lineRule="auto"/>
              <w:jc w:val="center"/>
              <w:rPr>
                <w:rFonts w:hint="eastAsia" w:ascii="宋体" w:hAnsi="宋体" w:cs="宋体"/>
                <w:color w:val="auto"/>
                <w:szCs w:val="21"/>
                <w:highlight w:val="none"/>
              </w:rPr>
            </w:pPr>
          </w:p>
        </w:tc>
        <w:tc>
          <w:tcPr>
            <w:tcW w:w="502" w:type="pct"/>
            <w:tcBorders>
              <w:bottom w:val="single" w:color="auto" w:sz="12" w:space="0"/>
            </w:tcBorders>
            <w:noWrap w:val="0"/>
            <w:vAlign w:val="center"/>
          </w:tcPr>
          <w:p w14:paraId="407B4F4A">
            <w:pPr>
              <w:keepNext/>
              <w:spacing w:line="360" w:lineRule="auto"/>
              <w:jc w:val="center"/>
              <w:rPr>
                <w:rFonts w:hint="eastAsia" w:ascii="宋体" w:hAnsi="宋体" w:cs="宋体"/>
                <w:color w:val="auto"/>
                <w:szCs w:val="21"/>
                <w:highlight w:val="none"/>
              </w:rPr>
            </w:pPr>
          </w:p>
        </w:tc>
        <w:tc>
          <w:tcPr>
            <w:tcW w:w="1279" w:type="pct"/>
            <w:tcBorders>
              <w:bottom w:val="single" w:color="auto" w:sz="12" w:space="0"/>
            </w:tcBorders>
            <w:noWrap w:val="0"/>
            <w:vAlign w:val="center"/>
          </w:tcPr>
          <w:p w14:paraId="749F3DE3">
            <w:pPr>
              <w:keepNext/>
              <w:spacing w:line="360" w:lineRule="auto"/>
              <w:jc w:val="center"/>
              <w:rPr>
                <w:rFonts w:hint="eastAsia" w:ascii="宋体" w:hAnsi="宋体" w:cs="宋体"/>
                <w:color w:val="auto"/>
                <w:szCs w:val="21"/>
                <w:highlight w:val="none"/>
              </w:rPr>
            </w:pPr>
          </w:p>
        </w:tc>
        <w:tc>
          <w:tcPr>
            <w:tcW w:w="1153" w:type="pct"/>
            <w:tcBorders>
              <w:bottom w:val="single" w:color="auto" w:sz="12" w:space="0"/>
            </w:tcBorders>
            <w:noWrap w:val="0"/>
            <w:vAlign w:val="top"/>
          </w:tcPr>
          <w:p w14:paraId="2316333C">
            <w:pPr>
              <w:keepNext/>
              <w:spacing w:line="360" w:lineRule="auto"/>
              <w:jc w:val="center"/>
              <w:rPr>
                <w:rFonts w:hint="eastAsia" w:ascii="宋体" w:hAnsi="宋体" w:cs="宋体"/>
                <w:color w:val="auto"/>
                <w:szCs w:val="21"/>
                <w:highlight w:val="none"/>
              </w:rPr>
            </w:pPr>
          </w:p>
        </w:tc>
      </w:tr>
    </w:tbl>
    <w:p w14:paraId="54321798">
      <w:pPr>
        <w:keepNext/>
        <w:keepLines/>
        <w:spacing w:before="120" w:after="120" w:line="360" w:lineRule="auto"/>
        <w:jc w:val="left"/>
        <w:outlineLvl w:val="2"/>
        <w:rPr>
          <w:rFonts w:hint="eastAsia" w:ascii="宋体" w:hAnsi="宋体" w:cs="宋体"/>
          <w:bCs/>
          <w:color w:val="auto"/>
          <w:sz w:val="24"/>
          <w:highlight w:val="none"/>
        </w:rPr>
      </w:pPr>
      <w:r>
        <w:rPr>
          <w:rFonts w:hint="eastAsia" w:ascii="宋体" w:hAnsi="宋体" w:cs="宋体"/>
          <w:bCs/>
          <w:color w:val="auto"/>
          <w:sz w:val="24"/>
          <w:highlight w:val="none"/>
        </w:rPr>
        <w:br w:type="page"/>
      </w:r>
      <w:bookmarkStart w:id="1304" w:name="_Toc95223493"/>
      <w:r>
        <w:rPr>
          <w:rFonts w:hint="eastAsia" w:ascii="宋体" w:hAnsi="宋体" w:cs="宋体"/>
          <w:bCs/>
          <w:color w:val="auto"/>
          <w:sz w:val="24"/>
          <w:highlight w:val="none"/>
        </w:rPr>
        <w:t>附</w:t>
      </w:r>
      <w:bookmarkStart w:id="1305" w:name="_Toc296891269"/>
      <w:bookmarkStart w:id="1306" w:name="_Toc296944568"/>
      <w:bookmarkStart w:id="1307" w:name="_Toc296346730"/>
      <w:bookmarkStart w:id="1308" w:name="_Toc296503229"/>
      <w:bookmarkStart w:id="1309" w:name="_Toc296891057"/>
      <w:bookmarkStart w:id="1310" w:name="_Toc296347228"/>
      <w:r>
        <w:rPr>
          <w:rFonts w:hint="eastAsia" w:ascii="宋体" w:hAnsi="宋体" w:cs="宋体"/>
          <w:bCs/>
          <w:color w:val="auto"/>
          <w:sz w:val="24"/>
          <w:highlight w:val="none"/>
        </w:rPr>
        <w:t>件7：分包人主要施工管理人员表</w:t>
      </w:r>
      <w:bookmarkEnd w:id="1304"/>
    </w:p>
    <w:bookmarkEnd w:id="1305"/>
    <w:bookmarkEnd w:id="1306"/>
    <w:bookmarkEnd w:id="1307"/>
    <w:bookmarkEnd w:id="1308"/>
    <w:bookmarkEnd w:id="1309"/>
    <w:bookmarkEnd w:id="1310"/>
    <w:p w14:paraId="3168F88E">
      <w:pPr>
        <w:spacing w:before="120" w:beforeLines="50" w:after="120" w:afterLines="50" w:line="360" w:lineRule="auto"/>
        <w:jc w:val="center"/>
        <w:rPr>
          <w:rFonts w:hint="eastAsia" w:ascii="宋体" w:hAnsi="宋体" w:cs="宋体"/>
          <w:b/>
          <w:color w:val="auto"/>
          <w:szCs w:val="21"/>
          <w:highlight w:val="none"/>
        </w:rPr>
      </w:pPr>
      <w:bookmarkStart w:id="1311" w:name="_Toc179"/>
      <w:bookmarkStart w:id="1312" w:name="_Toc95223494"/>
      <w:bookmarkStart w:id="1313" w:name="_Toc22101"/>
      <w:r>
        <w:rPr>
          <w:rFonts w:hint="eastAsia" w:ascii="宋体" w:hAnsi="宋体" w:cs="宋体"/>
          <w:b/>
          <w:color w:val="auto"/>
          <w:szCs w:val="21"/>
          <w:highlight w:val="none"/>
        </w:rPr>
        <w:t>分包人主要施工管理人员表</w:t>
      </w:r>
      <w:bookmarkEnd w:id="1311"/>
      <w:bookmarkEnd w:id="1312"/>
      <w:bookmarkEnd w:id="1313"/>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525"/>
        <w:gridCol w:w="1156"/>
        <w:gridCol w:w="925"/>
        <w:gridCol w:w="674"/>
        <w:gridCol w:w="3119"/>
        <w:gridCol w:w="1616"/>
      </w:tblGrid>
      <w:tr w14:paraId="7A04A6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6" w:type="pct"/>
            <w:tcBorders>
              <w:top w:val="single" w:color="auto" w:sz="12" w:space="0"/>
              <w:bottom w:val="double" w:color="auto" w:sz="6" w:space="0"/>
            </w:tcBorders>
            <w:noWrap w:val="0"/>
            <w:vAlign w:val="center"/>
          </w:tcPr>
          <w:p w14:paraId="30E9FE87">
            <w:pPr>
              <w:keepNext/>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名    称</w:t>
            </w:r>
          </w:p>
        </w:tc>
        <w:tc>
          <w:tcPr>
            <w:tcW w:w="641" w:type="pct"/>
            <w:tcBorders>
              <w:top w:val="single" w:color="auto" w:sz="12" w:space="0"/>
              <w:bottom w:val="double" w:color="auto" w:sz="6" w:space="0"/>
            </w:tcBorders>
            <w:noWrap w:val="0"/>
            <w:vAlign w:val="center"/>
          </w:tcPr>
          <w:p w14:paraId="048E24F1">
            <w:pPr>
              <w:keepNext/>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姓名</w:t>
            </w:r>
          </w:p>
        </w:tc>
        <w:tc>
          <w:tcPr>
            <w:tcW w:w="513" w:type="pct"/>
            <w:tcBorders>
              <w:top w:val="single" w:color="auto" w:sz="12" w:space="0"/>
              <w:bottom w:val="double" w:color="auto" w:sz="6" w:space="0"/>
            </w:tcBorders>
            <w:noWrap w:val="0"/>
            <w:vAlign w:val="center"/>
          </w:tcPr>
          <w:p w14:paraId="2E9238F6">
            <w:pPr>
              <w:keepNext/>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职务</w:t>
            </w:r>
          </w:p>
        </w:tc>
        <w:tc>
          <w:tcPr>
            <w:tcW w:w="374" w:type="pct"/>
            <w:tcBorders>
              <w:top w:val="single" w:color="auto" w:sz="12" w:space="0"/>
              <w:bottom w:val="double" w:color="auto" w:sz="6" w:space="0"/>
            </w:tcBorders>
            <w:noWrap w:val="0"/>
            <w:vAlign w:val="center"/>
          </w:tcPr>
          <w:p w14:paraId="6EC2C064">
            <w:pPr>
              <w:keepNext/>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职称</w:t>
            </w:r>
          </w:p>
        </w:tc>
        <w:tc>
          <w:tcPr>
            <w:tcW w:w="1730" w:type="pct"/>
            <w:tcBorders>
              <w:top w:val="single" w:color="auto" w:sz="12" w:space="0"/>
              <w:bottom w:val="double" w:color="auto" w:sz="6" w:space="0"/>
            </w:tcBorders>
            <w:noWrap w:val="0"/>
            <w:vAlign w:val="center"/>
          </w:tcPr>
          <w:p w14:paraId="6C2F729D">
            <w:pPr>
              <w:keepNext/>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主要资历、经验及承担过的项目</w:t>
            </w:r>
          </w:p>
        </w:tc>
        <w:tc>
          <w:tcPr>
            <w:tcW w:w="896" w:type="pct"/>
            <w:tcBorders>
              <w:top w:val="single" w:color="auto" w:sz="12" w:space="0"/>
              <w:bottom w:val="double" w:color="auto" w:sz="6" w:space="0"/>
            </w:tcBorders>
            <w:noWrap w:val="0"/>
            <w:vAlign w:val="center"/>
          </w:tcPr>
          <w:p w14:paraId="3402FFD0">
            <w:pPr>
              <w:keepNext/>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身份证号码</w:t>
            </w:r>
          </w:p>
        </w:tc>
      </w:tr>
      <w:tr w14:paraId="0558C2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4104" w:type="pct"/>
            <w:gridSpan w:val="5"/>
            <w:tcBorders>
              <w:top w:val="double" w:color="auto" w:sz="6" w:space="0"/>
            </w:tcBorders>
            <w:noWrap w:val="0"/>
            <w:vAlign w:val="center"/>
          </w:tcPr>
          <w:p w14:paraId="60D146E4">
            <w:pPr>
              <w:keepNext/>
              <w:spacing w:line="360" w:lineRule="auto"/>
              <w:rPr>
                <w:rFonts w:hint="eastAsia" w:ascii="宋体" w:hAnsi="宋体" w:cs="宋体"/>
                <w:color w:val="auto"/>
                <w:szCs w:val="21"/>
                <w:highlight w:val="none"/>
              </w:rPr>
            </w:pPr>
            <w:r>
              <w:rPr>
                <w:rFonts w:hint="eastAsia" w:ascii="宋体" w:hAnsi="宋体" w:cs="宋体"/>
                <w:color w:val="auto"/>
                <w:szCs w:val="21"/>
                <w:highlight w:val="none"/>
              </w:rPr>
              <w:t>一、总部人员</w:t>
            </w:r>
          </w:p>
        </w:tc>
        <w:tc>
          <w:tcPr>
            <w:tcW w:w="896" w:type="pct"/>
            <w:tcBorders>
              <w:top w:val="double" w:color="auto" w:sz="6" w:space="0"/>
            </w:tcBorders>
            <w:noWrap w:val="0"/>
            <w:vAlign w:val="top"/>
          </w:tcPr>
          <w:p w14:paraId="3B82B40D">
            <w:pPr>
              <w:keepNext/>
              <w:spacing w:line="360" w:lineRule="auto"/>
              <w:rPr>
                <w:rFonts w:hint="eastAsia" w:ascii="宋体" w:hAnsi="宋体" w:cs="宋体"/>
                <w:color w:val="auto"/>
                <w:szCs w:val="21"/>
                <w:highlight w:val="none"/>
              </w:rPr>
            </w:pPr>
          </w:p>
        </w:tc>
      </w:tr>
      <w:tr w14:paraId="02DA1B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6" w:type="pct"/>
            <w:tcBorders>
              <w:top w:val="nil"/>
              <w:bottom w:val="nil"/>
            </w:tcBorders>
            <w:noWrap w:val="0"/>
            <w:vAlign w:val="center"/>
          </w:tcPr>
          <w:p w14:paraId="100E779A">
            <w:pPr>
              <w:keepNext/>
              <w:spacing w:line="360" w:lineRule="auto"/>
              <w:rPr>
                <w:rFonts w:hint="eastAsia" w:ascii="宋体" w:hAnsi="宋体" w:cs="宋体"/>
                <w:color w:val="auto"/>
                <w:szCs w:val="21"/>
                <w:highlight w:val="none"/>
              </w:rPr>
            </w:pPr>
            <w:r>
              <w:rPr>
                <w:rFonts w:hint="eastAsia" w:ascii="宋体" w:hAnsi="宋体" w:cs="宋体"/>
                <w:color w:val="auto"/>
                <w:szCs w:val="21"/>
                <w:highlight w:val="none"/>
              </w:rPr>
              <w:t>项目主管</w:t>
            </w:r>
          </w:p>
        </w:tc>
        <w:tc>
          <w:tcPr>
            <w:tcW w:w="641" w:type="pct"/>
            <w:tcBorders>
              <w:top w:val="nil"/>
            </w:tcBorders>
            <w:noWrap w:val="0"/>
            <w:vAlign w:val="center"/>
          </w:tcPr>
          <w:p w14:paraId="6FE28F13">
            <w:pPr>
              <w:keepNext/>
              <w:spacing w:line="360" w:lineRule="auto"/>
              <w:rPr>
                <w:rFonts w:hint="eastAsia" w:ascii="宋体" w:hAnsi="宋体" w:cs="宋体"/>
                <w:color w:val="auto"/>
                <w:szCs w:val="21"/>
                <w:highlight w:val="none"/>
              </w:rPr>
            </w:pPr>
          </w:p>
        </w:tc>
        <w:tc>
          <w:tcPr>
            <w:tcW w:w="513" w:type="pct"/>
            <w:tcBorders>
              <w:top w:val="nil"/>
            </w:tcBorders>
            <w:noWrap w:val="0"/>
            <w:vAlign w:val="center"/>
          </w:tcPr>
          <w:p w14:paraId="73BF353A">
            <w:pPr>
              <w:keepNext/>
              <w:spacing w:line="360" w:lineRule="auto"/>
              <w:rPr>
                <w:rFonts w:hint="eastAsia" w:ascii="宋体" w:hAnsi="宋体" w:cs="宋体"/>
                <w:color w:val="auto"/>
                <w:szCs w:val="21"/>
                <w:highlight w:val="none"/>
              </w:rPr>
            </w:pPr>
          </w:p>
        </w:tc>
        <w:tc>
          <w:tcPr>
            <w:tcW w:w="374" w:type="pct"/>
            <w:tcBorders>
              <w:top w:val="nil"/>
            </w:tcBorders>
            <w:noWrap w:val="0"/>
            <w:vAlign w:val="center"/>
          </w:tcPr>
          <w:p w14:paraId="2D357BE0">
            <w:pPr>
              <w:keepNext/>
              <w:spacing w:line="360" w:lineRule="auto"/>
              <w:rPr>
                <w:rFonts w:hint="eastAsia" w:ascii="宋体" w:hAnsi="宋体" w:cs="宋体"/>
                <w:color w:val="auto"/>
                <w:szCs w:val="21"/>
                <w:highlight w:val="none"/>
              </w:rPr>
            </w:pPr>
          </w:p>
        </w:tc>
        <w:tc>
          <w:tcPr>
            <w:tcW w:w="1730" w:type="pct"/>
            <w:tcBorders>
              <w:top w:val="nil"/>
            </w:tcBorders>
            <w:noWrap w:val="0"/>
            <w:vAlign w:val="center"/>
          </w:tcPr>
          <w:p w14:paraId="63103BA5">
            <w:pPr>
              <w:keepNext/>
              <w:spacing w:line="360" w:lineRule="auto"/>
              <w:rPr>
                <w:rFonts w:hint="eastAsia" w:ascii="宋体" w:hAnsi="宋体" w:cs="宋体"/>
                <w:color w:val="auto"/>
                <w:szCs w:val="21"/>
                <w:highlight w:val="none"/>
              </w:rPr>
            </w:pPr>
          </w:p>
        </w:tc>
        <w:tc>
          <w:tcPr>
            <w:tcW w:w="896" w:type="pct"/>
            <w:tcBorders>
              <w:top w:val="nil"/>
            </w:tcBorders>
            <w:noWrap w:val="0"/>
            <w:vAlign w:val="top"/>
          </w:tcPr>
          <w:p w14:paraId="11993FA7">
            <w:pPr>
              <w:keepNext/>
              <w:spacing w:line="360" w:lineRule="auto"/>
              <w:rPr>
                <w:rFonts w:hint="eastAsia" w:ascii="宋体" w:hAnsi="宋体" w:cs="宋体"/>
                <w:color w:val="auto"/>
                <w:szCs w:val="21"/>
                <w:highlight w:val="none"/>
              </w:rPr>
            </w:pPr>
          </w:p>
        </w:tc>
      </w:tr>
      <w:tr w14:paraId="0A74FA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6" w:type="pct"/>
            <w:tcBorders>
              <w:bottom w:val="nil"/>
            </w:tcBorders>
            <w:noWrap w:val="0"/>
            <w:vAlign w:val="center"/>
          </w:tcPr>
          <w:p w14:paraId="760A981E">
            <w:pPr>
              <w:keepNext/>
              <w:spacing w:line="360" w:lineRule="auto"/>
              <w:rPr>
                <w:rFonts w:hint="eastAsia" w:ascii="宋体" w:hAnsi="宋体" w:cs="宋体"/>
                <w:color w:val="auto"/>
                <w:szCs w:val="21"/>
                <w:highlight w:val="none"/>
              </w:rPr>
            </w:pPr>
          </w:p>
        </w:tc>
        <w:tc>
          <w:tcPr>
            <w:tcW w:w="641" w:type="pct"/>
            <w:noWrap w:val="0"/>
            <w:vAlign w:val="center"/>
          </w:tcPr>
          <w:p w14:paraId="2A4AA9CE">
            <w:pPr>
              <w:keepNext/>
              <w:spacing w:line="360" w:lineRule="auto"/>
              <w:rPr>
                <w:rFonts w:hint="eastAsia" w:ascii="宋体" w:hAnsi="宋体" w:cs="宋体"/>
                <w:color w:val="auto"/>
                <w:szCs w:val="21"/>
                <w:highlight w:val="none"/>
              </w:rPr>
            </w:pPr>
          </w:p>
        </w:tc>
        <w:tc>
          <w:tcPr>
            <w:tcW w:w="513" w:type="pct"/>
            <w:noWrap w:val="0"/>
            <w:vAlign w:val="center"/>
          </w:tcPr>
          <w:p w14:paraId="42613A3B">
            <w:pPr>
              <w:keepNext/>
              <w:spacing w:line="360" w:lineRule="auto"/>
              <w:rPr>
                <w:rFonts w:hint="eastAsia" w:ascii="宋体" w:hAnsi="宋体" w:cs="宋体"/>
                <w:color w:val="auto"/>
                <w:szCs w:val="21"/>
                <w:highlight w:val="none"/>
              </w:rPr>
            </w:pPr>
          </w:p>
        </w:tc>
        <w:tc>
          <w:tcPr>
            <w:tcW w:w="374" w:type="pct"/>
            <w:noWrap w:val="0"/>
            <w:vAlign w:val="center"/>
          </w:tcPr>
          <w:p w14:paraId="5F064921">
            <w:pPr>
              <w:keepNext/>
              <w:spacing w:line="360" w:lineRule="auto"/>
              <w:rPr>
                <w:rFonts w:hint="eastAsia" w:ascii="宋体" w:hAnsi="宋体" w:cs="宋体"/>
                <w:color w:val="auto"/>
                <w:szCs w:val="21"/>
                <w:highlight w:val="none"/>
              </w:rPr>
            </w:pPr>
          </w:p>
        </w:tc>
        <w:tc>
          <w:tcPr>
            <w:tcW w:w="1730" w:type="pct"/>
            <w:noWrap w:val="0"/>
            <w:vAlign w:val="center"/>
          </w:tcPr>
          <w:p w14:paraId="6B43333B">
            <w:pPr>
              <w:keepNext/>
              <w:spacing w:line="360" w:lineRule="auto"/>
              <w:rPr>
                <w:rFonts w:hint="eastAsia" w:ascii="宋体" w:hAnsi="宋体" w:cs="宋体"/>
                <w:color w:val="auto"/>
                <w:szCs w:val="21"/>
                <w:highlight w:val="none"/>
              </w:rPr>
            </w:pPr>
          </w:p>
        </w:tc>
        <w:tc>
          <w:tcPr>
            <w:tcW w:w="896" w:type="pct"/>
            <w:noWrap w:val="0"/>
            <w:vAlign w:val="top"/>
          </w:tcPr>
          <w:p w14:paraId="6EA5B731">
            <w:pPr>
              <w:keepNext/>
              <w:spacing w:line="360" w:lineRule="auto"/>
              <w:rPr>
                <w:rFonts w:hint="eastAsia" w:ascii="宋体" w:hAnsi="宋体" w:cs="宋体"/>
                <w:color w:val="auto"/>
                <w:szCs w:val="21"/>
                <w:highlight w:val="none"/>
              </w:rPr>
            </w:pPr>
          </w:p>
        </w:tc>
      </w:tr>
      <w:tr w14:paraId="6835F1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6" w:type="pct"/>
            <w:tcBorders>
              <w:top w:val="nil"/>
              <w:bottom w:val="nil"/>
            </w:tcBorders>
            <w:noWrap w:val="0"/>
            <w:vAlign w:val="center"/>
          </w:tcPr>
          <w:p w14:paraId="6D18B003">
            <w:pPr>
              <w:keepNext/>
              <w:spacing w:line="360" w:lineRule="auto"/>
              <w:rPr>
                <w:rFonts w:hint="eastAsia" w:ascii="宋体" w:hAnsi="宋体" w:cs="宋体"/>
                <w:color w:val="auto"/>
                <w:szCs w:val="21"/>
                <w:highlight w:val="none"/>
              </w:rPr>
            </w:pPr>
            <w:r>
              <w:rPr>
                <w:rFonts w:hint="eastAsia" w:ascii="宋体" w:hAnsi="宋体" w:cs="宋体"/>
                <w:color w:val="auto"/>
                <w:szCs w:val="21"/>
                <w:highlight w:val="none"/>
              </w:rPr>
              <w:t>其他人员</w:t>
            </w:r>
          </w:p>
        </w:tc>
        <w:tc>
          <w:tcPr>
            <w:tcW w:w="641" w:type="pct"/>
            <w:noWrap w:val="0"/>
            <w:vAlign w:val="center"/>
          </w:tcPr>
          <w:p w14:paraId="1152BAF0">
            <w:pPr>
              <w:keepNext/>
              <w:spacing w:line="360" w:lineRule="auto"/>
              <w:rPr>
                <w:rFonts w:hint="eastAsia" w:ascii="宋体" w:hAnsi="宋体" w:cs="宋体"/>
                <w:color w:val="auto"/>
                <w:szCs w:val="21"/>
                <w:highlight w:val="none"/>
              </w:rPr>
            </w:pPr>
          </w:p>
        </w:tc>
        <w:tc>
          <w:tcPr>
            <w:tcW w:w="513" w:type="pct"/>
            <w:noWrap w:val="0"/>
            <w:vAlign w:val="center"/>
          </w:tcPr>
          <w:p w14:paraId="34DF8BAB">
            <w:pPr>
              <w:keepNext/>
              <w:spacing w:line="360" w:lineRule="auto"/>
              <w:rPr>
                <w:rFonts w:hint="eastAsia" w:ascii="宋体" w:hAnsi="宋体" w:cs="宋体"/>
                <w:color w:val="auto"/>
                <w:szCs w:val="21"/>
                <w:highlight w:val="none"/>
              </w:rPr>
            </w:pPr>
          </w:p>
        </w:tc>
        <w:tc>
          <w:tcPr>
            <w:tcW w:w="374" w:type="pct"/>
            <w:noWrap w:val="0"/>
            <w:vAlign w:val="center"/>
          </w:tcPr>
          <w:p w14:paraId="51509158">
            <w:pPr>
              <w:keepNext/>
              <w:spacing w:line="360" w:lineRule="auto"/>
              <w:rPr>
                <w:rFonts w:hint="eastAsia" w:ascii="宋体" w:hAnsi="宋体" w:cs="宋体"/>
                <w:color w:val="auto"/>
                <w:szCs w:val="21"/>
                <w:highlight w:val="none"/>
              </w:rPr>
            </w:pPr>
          </w:p>
        </w:tc>
        <w:tc>
          <w:tcPr>
            <w:tcW w:w="1730" w:type="pct"/>
            <w:noWrap w:val="0"/>
            <w:vAlign w:val="center"/>
          </w:tcPr>
          <w:p w14:paraId="3F729724">
            <w:pPr>
              <w:keepNext/>
              <w:spacing w:line="360" w:lineRule="auto"/>
              <w:rPr>
                <w:rFonts w:hint="eastAsia" w:ascii="宋体" w:hAnsi="宋体" w:cs="宋体"/>
                <w:color w:val="auto"/>
                <w:szCs w:val="21"/>
                <w:highlight w:val="none"/>
              </w:rPr>
            </w:pPr>
          </w:p>
        </w:tc>
        <w:tc>
          <w:tcPr>
            <w:tcW w:w="896" w:type="pct"/>
            <w:noWrap w:val="0"/>
            <w:vAlign w:val="top"/>
          </w:tcPr>
          <w:p w14:paraId="473FBD37">
            <w:pPr>
              <w:keepNext/>
              <w:spacing w:line="360" w:lineRule="auto"/>
              <w:rPr>
                <w:rFonts w:hint="eastAsia" w:ascii="宋体" w:hAnsi="宋体" w:cs="宋体"/>
                <w:color w:val="auto"/>
                <w:szCs w:val="21"/>
                <w:highlight w:val="none"/>
              </w:rPr>
            </w:pPr>
          </w:p>
        </w:tc>
      </w:tr>
      <w:tr w14:paraId="620504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6" w:type="pct"/>
            <w:tcBorders>
              <w:top w:val="nil"/>
              <w:bottom w:val="nil"/>
            </w:tcBorders>
            <w:noWrap w:val="0"/>
            <w:vAlign w:val="center"/>
          </w:tcPr>
          <w:p w14:paraId="6B315B25">
            <w:pPr>
              <w:keepNext/>
              <w:spacing w:line="360" w:lineRule="auto"/>
              <w:rPr>
                <w:rFonts w:hint="eastAsia" w:ascii="宋体" w:hAnsi="宋体" w:cs="宋体"/>
                <w:color w:val="auto"/>
                <w:szCs w:val="21"/>
                <w:highlight w:val="none"/>
              </w:rPr>
            </w:pPr>
          </w:p>
        </w:tc>
        <w:tc>
          <w:tcPr>
            <w:tcW w:w="641" w:type="pct"/>
            <w:noWrap w:val="0"/>
            <w:vAlign w:val="center"/>
          </w:tcPr>
          <w:p w14:paraId="68626705">
            <w:pPr>
              <w:keepNext/>
              <w:spacing w:line="360" w:lineRule="auto"/>
              <w:rPr>
                <w:rFonts w:hint="eastAsia" w:ascii="宋体" w:hAnsi="宋体" w:cs="宋体"/>
                <w:color w:val="auto"/>
                <w:szCs w:val="21"/>
                <w:highlight w:val="none"/>
              </w:rPr>
            </w:pPr>
          </w:p>
        </w:tc>
        <w:tc>
          <w:tcPr>
            <w:tcW w:w="513" w:type="pct"/>
            <w:noWrap w:val="0"/>
            <w:vAlign w:val="center"/>
          </w:tcPr>
          <w:p w14:paraId="0DFFF14B">
            <w:pPr>
              <w:keepNext/>
              <w:spacing w:line="360" w:lineRule="auto"/>
              <w:rPr>
                <w:rFonts w:hint="eastAsia" w:ascii="宋体" w:hAnsi="宋体" w:cs="宋体"/>
                <w:color w:val="auto"/>
                <w:szCs w:val="21"/>
                <w:highlight w:val="none"/>
              </w:rPr>
            </w:pPr>
          </w:p>
        </w:tc>
        <w:tc>
          <w:tcPr>
            <w:tcW w:w="374" w:type="pct"/>
            <w:noWrap w:val="0"/>
            <w:vAlign w:val="center"/>
          </w:tcPr>
          <w:p w14:paraId="6ABB3047">
            <w:pPr>
              <w:keepNext/>
              <w:spacing w:line="360" w:lineRule="auto"/>
              <w:rPr>
                <w:rFonts w:hint="eastAsia" w:ascii="宋体" w:hAnsi="宋体" w:cs="宋体"/>
                <w:color w:val="auto"/>
                <w:szCs w:val="21"/>
                <w:highlight w:val="none"/>
              </w:rPr>
            </w:pPr>
          </w:p>
        </w:tc>
        <w:tc>
          <w:tcPr>
            <w:tcW w:w="1730" w:type="pct"/>
            <w:noWrap w:val="0"/>
            <w:vAlign w:val="center"/>
          </w:tcPr>
          <w:p w14:paraId="3A2F3C38">
            <w:pPr>
              <w:keepNext/>
              <w:spacing w:line="360" w:lineRule="auto"/>
              <w:rPr>
                <w:rFonts w:hint="eastAsia" w:ascii="宋体" w:hAnsi="宋体" w:cs="宋体"/>
                <w:color w:val="auto"/>
                <w:szCs w:val="21"/>
                <w:highlight w:val="none"/>
              </w:rPr>
            </w:pPr>
          </w:p>
        </w:tc>
        <w:tc>
          <w:tcPr>
            <w:tcW w:w="896" w:type="pct"/>
            <w:noWrap w:val="0"/>
            <w:vAlign w:val="top"/>
          </w:tcPr>
          <w:p w14:paraId="0F6CECF1">
            <w:pPr>
              <w:keepNext/>
              <w:spacing w:line="360" w:lineRule="auto"/>
              <w:rPr>
                <w:rFonts w:hint="eastAsia" w:ascii="宋体" w:hAnsi="宋体" w:cs="宋体"/>
                <w:color w:val="auto"/>
                <w:szCs w:val="21"/>
                <w:highlight w:val="none"/>
              </w:rPr>
            </w:pPr>
          </w:p>
        </w:tc>
      </w:tr>
      <w:tr w14:paraId="0943E9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4104" w:type="pct"/>
            <w:gridSpan w:val="5"/>
            <w:noWrap w:val="0"/>
            <w:vAlign w:val="center"/>
          </w:tcPr>
          <w:p w14:paraId="7F8A89CF">
            <w:pPr>
              <w:keepNext/>
              <w:spacing w:line="360" w:lineRule="auto"/>
              <w:rPr>
                <w:rFonts w:hint="eastAsia" w:ascii="宋体" w:hAnsi="宋体" w:cs="宋体"/>
                <w:color w:val="auto"/>
                <w:szCs w:val="21"/>
                <w:highlight w:val="none"/>
              </w:rPr>
            </w:pPr>
            <w:r>
              <w:rPr>
                <w:rFonts w:hint="eastAsia" w:ascii="宋体" w:hAnsi="宋体" w:cs="宋体"/>
                <w:color w:val="auto"/>
                <w:szCs w:val="21"/>
                <w:highlight w:val="none"/>
              </w:rPr>
              <w:t>二、现场人员</w:t>
            </w:r>
          </w:p>
        </w:tc>
        <w:tc>
          <w:tcPr>
            <w:tcW w:w="896" w:type="pct"/>
            <w:noWrap w:val="0"/>
            <w:vAlign w:val="top"/>
          </w:tcPr>
          <w:p w14:paraId="3604BDB9">
            <w:pPr>
              <w:keepNext/>
              <w:spacing w:line="360" w:lineRule="auto"/>
              <w:rPr>
                <w:rFonts w:hint="eastAsia" w:ascii="宋体" w:hAnsi="宋体" w:cs="宋体"/>
                <w:color w:val="auto"/>
                <w:szCs w:val="21"/>
                <w:highlight w:val="none"/>
              </w:rPr>
            </w:pPr>
          </w:p>
        </w:tc>
      </w:tr>
      <w:tr w14:paraId="26EB4A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6" w:type="pct"/>
            <w:noWrap w:val="0"/>
            <w:vAlign w:val="top"/>
          </w:tcPr>
          <w:p w14:paraId="1CA8FC50">
            <w:pPr>
              <w:spacing w:line="360" w:lineRule="auto"/>
              <w:rPr>
                <w:rFonts w:hint="eastAsia" w:ascii="宋体" w:hAnsi="宋体" w:cs="宋体"/>
                <w:color w:val="auto"/>
                <w:szCs w:val="22"/>
                <w:highlight w:val="none"/>
              </w:rPr>
            </w:pPr>
            <w:r>
              <w:rPr>
                <w:rFonts w:hint="eastAsia" w:ascii="宋体" w:hAnsi="宋体" w:cs="宋体"/>
                <w:color w:val="auto"/>
                <w:szCs w:val="22"/>
                <w:highlight w:val="none"/>
              </w:rPr>
              <w:t>项目经理</w:t>
            </w:r>
          </w:p>
        </w:tc>
        <w:tc>
          <w:tcPr>
            <w:tcW w:w="641" w:type="pct"/>
            <w:noWrap w:val="0"/>
            <w:vAlign w:val="center"/>
          </w:tcPr>
          <w:p w14:paraId="39E64046">
            <w:pPr>
              <w:keepNext/>
              <w:spacing w:line="360" w:lineRule="auto"/>
              <w:rPr>
                <w:rFonts w:hint="eastAsia" w:ascii="宋体" w:hAnsi="宋体" w:cs="宋体"/>
                <w:color w:val="auto"/>
                <w:szCs w:val="21"/>
                <w:highlight w:val="none"/>
              </w:rPr>
            </w:pPr>
          </w:p>
        </w:tc>
        <w:tc>
          <w:tcPr>
            <w:tcW w:w="513" w:type="pct"/>
            <w:noWrap w:val="0"/>
            <w:vAlign w:val="center"/>
          </w:tcPr>
          <w:p w14:paraId="4965226A">
            <w:pPr>
              <w:keepNext/>
              <w:spacing w:line="360" w:lineRule="auto"/>
              <w:rPr>
                <w:rFonts w:hint="eastAsia" w:ascii="宋体" w:hAnsi="宋体" w:cs="宋体"/>
                <w:color w:val="auto"/>
                <w:szCs w:val="21"/>
                <w:highlight w:val="none"/>
              </w:rPr>
            </w:pPr>
          </w:p>
        </w:tc>
        <w:tc>
          <w:tcPr>
            <w:tcW w:w="374" w:type="pct"/>
            <w:noWrap w:val="0"/>
            <w:vAlign w:val="center"/>
          </w:tcPr>
          <w:p w14:paraId="55902D1F">
            <w:pPr>
              <w:keepNext/>
              <w:spacing w:line="360" w:lineRule="auto"/>
              <w:rPr>
                <w:rFonts w:hint="eastAsia" w:ascii="宋体" w:hAnsi="宋体" w:cs="宋体"/>
                <w:color w:val="auto"/>
                <w:szCs w:val="21"/>
                <w:highlight w:val="none"/>
              </w:rPr>
            </w:pPr>
          </w:p>
        </w:tc>
        <w:tc>
          <w:tcPr>
            <w:tcW w:w="1730" w:type="pct"/>
            <w:noWrap w:val="0"/>
            <w:vAlign w:val="center"/>
          </w:tcPr>
          <w:p w14:paraId="3BD78EAE">
            <w:pPr>
              <w:keepNext/>
              <w:spacing w:line="360" w:lineRule="auto"/>
              <w:rPr>
                <w:rFonts w:hint="eastAsia" w:ascii="宋体" w:hAnsi="宋体" w:cs="宋体"/>
                <w:color w:val="auto"/>
                <w:szCs w:val="21"/>
                <w:highlight w:val="none"/>
              </w:rPr>
            </w:pPr>
          </w:p>
        </w:tc>
        <w:tc>
          <w:tcPr>
            <w:tcW w:w="896" w:type="pct"/>
            <w:noWrap w:val="0"/>
            <w:vAlign w:val="top"/>
          </w:tcPr>
          <w:p w14:paraId="1EA5A667">
            <w:pPr>
              <w:keepNext/>
              <w:spacing w:line="360" w:lineRule="auto"/>
              <w:rPr>
                <w:rFonts w:hint="eastAsia" w:ascii="宋体" w:hAnsi="宋体" w:cs="宋体"/>
                <w:color w:val="auto"/>
                <w:szCs w:val="21"/>
                <w:highlight w:val="none"/>
              </w:rPr>
            </w:pPr>
          </w:p>
        </w:tc>
      </w:tr>
      <w:tr w14:paraId="0C81D9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6" w:type="pct"/>
            <w:noWrap w:val="0"/>
            <w:vAlign w:val="top"/>
          </w:tcPr>
          <w:p w14:paraId="560E08D5">
            <w:pPr>
              <w:spacing w:line="360" w:lineRule="auto"/>
              <w:rPr>
                <w:rFonts w:hint="eastAsia" w:ascii="宋体" w:hAnsi="宋体" w:cs="宋体"/>
                <w:color w:val="auto"/>
                <w:szCs w:val="22"/>
                <w:highlight w:val="none"/>
              </w:rPr>
            </w:pPr>
            <w:r>
              <w:rPr>
                <w:rFonts w:hint="eastAsia" w:ascii="宋体" w:hAnsi="宋体" w:cs="宋体"/>
                <w:color w:val="auto"/>
                <w:szCs w:val="22"/>
                <w:highlight w:val="none"/>
              </w:rPr>
              <w:t>项目副经理</w:t>
            </w:r>
          </w:p>
        </w:tc>
        <w:tc>
          <w:tcPr>
            <w:tcW w:w="641" w:type="pct"/>
            <w:noWrap w:val="0"/>
            <w:vAlign w:val="center"/>
          </w:tcPr>
          <w:p w14:paraId="5382FCFD">
            <w:pPr>
              <w:keepNext/>
              <w:spacing w:line="360" w:lineRule="auto"/>
              <w:rPr>
                <w:rFonts w:hint="eastAsia" w:ascii="宋体" w:hAnsi="宋体" w:cs="宋体"/>
                <w:color w:val="auto"/>
                <w:szCs w:val="21"/>
                <w:highlight w:val="none"/>
              </w:rPr>
            </w:pPr>
          </w:p>
        </w:tc>
        <w:tc>
          <w:tcPr>
            <w:tcW w:w="513" w:type="pct"/>
            <w:noWrap w:val="0"/>
            <w:vAlign w:val="center"/>
          </w:tcPr>
          <w:p w14:paraId="0E5DF9D9">
            <w:pPr>
              <w:keepNext/>
              <w:spacing w:line="360" w:lineRule="auto"/>
              <w:rPr>
                <w:rFonts w:hint="eastAsia" w:ascii="宋体" w:hAnsi="宋体" w:cs="宋体"/>
                <w:color w:val="auto"/>
                <w:szCs w:val="21"/>
                <w:highlight w:val="none"/>
              </w:rPr>
            </w:pPr>
          </w:p>
        </w:tc>
        <w:tc>
          <w:tcPr>
            <w:tcW w:w="374" w:type="pct"/>
            <w:noWrap w:val="0"/>
            <w:vAlign w:val="center"/>
          </w:tcPr>
          <w:p w14:paraId="52190EEF">
            <w:pPr>
              <w:keepNext/>
              <w:spacing w:line="360" w:lineRule="auto"/>
              <w:rPr>
                <w:rFonts w:hint="eastAsia" w:ascii="宋体" w:hAnsi="宋体" w:cs="宋体"/>
                <w:color w:val="auto"/>
                <w:szCs w:val="21"/>
                <w:highlight w:val="none"/>
              </w:rPr>
            </w:pPr>
          </w:p>
        </w:tc>
        <w:tc>
          <w:tcPr>
            <w:tcW w:w="1730" w:type="pct"/>
            <w:noWrap w:val="0"/>
            <w:vAlign w:val="center"/>
          </w:tcPr>
          <w:p w14:paraId="1678366F">
            <w:pPr>
              <w:keepNext/>
              <w:spacing w:line="360" w:lineRule="auto"/>
              <w:rPr>
                <w:rFonts w:hint="eastAsia" w:ascii="宋体" w:hAnsi="宋体" w:cs="宋体"/>
                <w:color w:val="auto"/>
                <w:szCs w:val="21"/>
                <w:highlight w:val="none"/>
              </w:rPr>
            </w:pPr>
          </w:p>
        </w:tc>
        <w:tc>
          <w:tcPr>
            <w:tcW w:w="896" w:type="pct"/>
            <w:noWrap w:val="0"/>
            <w:vAlign w:val="top"/>
          </w:tcPr>
          <w:p w14:paraId="6DB364EB">
            <w:pPr>
              <w:keepNext/>
              <w:spacing w:line="360" w:lineRule="auto"/>
              <w:rPr>
                <w:rFonts w:hint="eastAsia" w:ascii="宋体" w:hAnsi="宋体" w:cs="宋体"/>
                <w:color w:val="auto"/>
                <w:szCs w:val="21"/>
                <w:highlight w:val="none"/>
              </w:rPr>
            </w:pPr>
          </w:p>
        </w:tc>
      </w:tr>
      <w:tr w14:paraId="424CC2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6" w:type="pct"/>
            <w:noWrap w:val="0"/>
            <w:vAlign w:val="top"/>
          </w:tcPr>
          <w:p w14:paraId="0EFD60D3">
            <w:pPr>
              <w:spacing w:line="360" w:lineRule="auto"/>
              <w:rPr>
                <w:rFonts w:hint="eastAsia" w:ascii="宋体" w:hAnsi="宋体" w:cs="宋体"/>
                <w:color w:val="auto"/>
                <w:szCs w:val="22"/>
                <w:highlight w:val="none"/>
              </w:rPr>
            </w:pPr>
            <w:r>
              <w:rPr>
                <w:rFonts w:hint="eastAsia" w:ascii="宋体" w:hAnsi="宋体" w:cs="宋体"/>
                <w:color w:val="auto"/>
                <w:szCs w:val="22"/>
                <w:highlight w:val="none"/>
              </w:rPr>
              <w:t>项目技术负责人</w:t>
            </w:r>
          </w:p>
        </w:tc>
        <w:tc>
          <w:tcPr>
            <w:tcW w:w="641" w:type="pct"/>
            <w:noWrap w:val="0"/>
            <w:vAlign w:val="center"/>
          </w:tcPr>
          <w:p w14:paraId="5FB87807">
            <w:pPr>
              <w:keepNext/>
              <w:spacing w:line="360" w:lineRule="auto"/>
              <w:rPr>
                <w:rFonts w:hint="eastAsia" w:ascii="宋体" w:hAnsi="宋体" w:cs="宋体"/>
                <w:color w:val="auto"/>
                <w:szCs w:val="21"/>
                <w:highlight w:val="none"/>
              </w:rPr>
            </w:pPr>
          </w:p>
        </w:tc>
        <w:tc>
          <w:tcPr>
            <w:tcW w:w="513" w:type="pct"/>
            <w:noWrap w:val="0"/>
            <w:vAlign w:val="center"/>
          </w:tcPr>
          <w:p w14:paraId="5A2AB131">
            <w:pPr>
              <w:keepNext/>
              <w:spacing w:line="360" w:lineRule="auto"/>
              <w:rPr>
                <w:rFonts w:hint="eastAsia" w:ascii="宋体" w:hAnsi="宋体" w:cs="宋体"/>
                <w:color w:val="auto"/>
                <w:szCs w:val="21"/>
                <w:highlight w:val="none"/>
              </w:rPr>
            </w:pPr>
          </w:p>
        </w:tc>
        <w:tc>
          <w:tcPr>
            <w:tcW w:w="374" w:type="pct"/>
            <w:noWrap w:val="0"/>
            <w:vAlign w:val="center"/>
          </w:tcPr>
          <w:p w14:paraId="6E3BC0EF">
            <w:pPr>
              <w:keepNext/>
              <w:spacing w:line="360" w:lineRule="auto"/>
              <w:rPr>
                <w:rFonts w:hint="eastAsia" w:ascii="宋体" w:hAnsi="宋体" w:cs="宋体"/>
                <w:color w:val="auto"/>
                <w:szCs w:val="21"/>
                <w:highlight w:val="none"/>
              </w:rPr>
            </w:pPr>
          </w:p>
        </w:tc>
        <w:tc>
          <w:tcPr>
            <w:tcW w:w="1730" w:type="pct"/>
            <w:noWrap w:val="0"/>
            <w:vAlign w:val="center"/>
          </w:tcPr>
          <w:p w14:paraId="3965ED9E">
            <w:pPr>
              <w:keepNext/>
              <w:spacing w:line="360" w:lineRule="auto"/>
              <w:rPr>
                <w:rFonts w:hint="eastAsia" w:ascii="宋体" w:hAnsi="宋体" w:cs="宋体"/>
                <w:color w:val="auto"/>
                <w:szCs w:val="21"/>
                <w:highlight w:val="none"/>
              </w:rPr>
            </w:pPr>
          </w:p>
        </w:tc>
        <w:tc>
          <w:tcPr>
            <w:tcW w:w="896" w:type="pct"/>
            <w:noWrap w:val="0"/>
            <w:vAlign w:val="top"/>
          </w:tcPr>
          <w:p w14:paraId="27CA0A71">
            <w:pPr>
              <w:keepNext/>
              <w:spacing w:line="360" w:lineRule="auto"/>
              <w:rPr>
                <w:rFonts w:hint="eastAsia" w:ascii="宋体" w:hAnsi="宋体" w:cs="宋体"/>
                <w:color w:val="auto"/>
                <w:szCs w:val="21"/>
                <w:highlight w:val="none"/>
              </w:rPr>
            </w:pPr>
          </w:p>
        </w:tc>
      </w:tr>
      <w:tr w14:paraId="7010CB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6" w:type="pct"/>
            <w:noWrap w:val="0"/>
            <w:vAlign w:val="top"/>
          </w:tcPr>
          <w:p w14:paraId="55995304">
            <w:pPr>
              <w:spacing w:line="360" w:lineRule="auto"/>
              <w:rPr>
                <w:rFonts w:hint="eastAsia" w:ascii="宋体" w:hAnsi="宋体" w:cs="宋体"/>
                <w:color w:val="auto"/>
                <w:szCs w:val="22"/>
                <w:highlight w:val="none"/>
              </w:rPr>
            </w:pPr>
            <w:r>
              <w:rPr>
                <w:rFonts w:hint="eastAsia" w:ascii="宋体" w:hAnsi="宋体" w:cs="宋体"/>
                <w:color w:val="auto"/>
                <w:szCs w:val="22"/>
                <w:highlight w:val="none"/>
              </w:rPr>
              <w:t>施工员</w:t>
            </w:r>
          </w:p>
        </w:tc>
        <w:tc>
          <w:tcPr>
            <w:tcW w:w="641" w:type="pct"/>
            <w:noWrap w:val="0"/>
            <w:vAlign w:val="center"/>
          </w:tcPr>
          <w:p w14:paraId="655931E8">
            <w:pPr>
              <w:keepNext/>
              <w:spacing w:line="360" w:lineRule="auto"/>
              <w:rPr>
                <w:rFonts w:hint="eastAsia" w:ascii="宋体" w:hAnsi="宋体" w:cs="宋体"/>
                <w:color w:val="auto"/>
                <w:szCs w:val="21"/>
                <w:highlight w:val="none"/>
              </w:rPr>
            </w:pPr>
          </w:p>
        </w:tc>
        <w:tc>
          <w:tcPr>
            <w:tcW w:w="513" w:type="pct"/>
            <w:noWrap w:val="0"/>
            <w:vAlign w:val="center"/>
          </w:tcPr>
          <w:p w14:paraId="566CF62E">
            <w:pPr>
              <w:keepNext/>
              <w:spacing w:line="360" w:lineRule="auto"/>
              <w:rPr>
                <w:rFonts w:hint="eastAsia" w:ascii="宋体" w:hAnsi="宋体" w:cs="宋体"/>
                <w:color w:val="auto"/>
                <w:szCs w:val="21"/>
                <w:highlight w:val="none"/>
              </w:rPr>
            </w:pPr>
          </w:p>
        </w:tc>
        <w:tc>
          <w:tcPr>
            <w:tcW w:w="374" w:type="pct"/>
            <w:noWrap w:val="0"/>
            <w:vAlign w:val="center"/>
          </w:tcPr>
          <w:p w14:paraId="79399596">
            <w:pPr>
              <w:keepNext/>
              <w:spacing w:line="360" w:lineRule="auto"/>
              <w:rPr>
                <w:rFonts w:hint="eastAsia" w:ascii="宋体" w:hAnsi="宋体" w:cs="宋体"/>
                <w:color w:val="auto"/>
                <w:szCs w:val="21"/>
                <w:highlight w:val="none"/>
              </w:rPr>
            </w:pPr>
          </w:p>
        </w:tc>
        <w:tc>
          <w:tcPr>
            <w:tcW w:w="1730" w:type="pct"/>
            <w:noWrap w:val="0"/>
            <w:vAlign w:val="center"/>
          </w:tcPr>
          <w:p w14:paraId="703F7765">
            <w:pPr>
              <w:keepNext/>
              <w:spacing w:line="360" w:lineRule="auto"/>
              <w:rPr>
                <w:rFonts w:hint="eastAsia" w:ascii="宋体" w:hAnsi="宋体" w:cs="宋体"/>
                <w:color w:val="auto"/>
                <w:szCs w:val="21"/>
                <w:highlight w:val="none"/>
              </w:rPr>
            </w:pPr>
          </w:p>
        </w:tc>
        <w:tc>
          <w:tcPr>
            <w:tcW w:w="896" w:type="pct"/>
            <w:noWrap w:val="0"/>
            <w:vAlign w:val="top"/>
          </w:tcPr>
          <w:p w14:paraId="08007285">
            <w:pPr>
              <w:keepNext/>
              <w:spacing w:line="360" w:lineRule="auto"/>
              <w:rPr>
                <w:rFonts w:hint="eastAsia" w:ascii="宋体" w:hAnsi="宋体" w:cs="宋体"/>
                <w:color w:val="auto"/>
                <w:szCs w:val="21"/>
                <w:highlight w:val="none"/>
              </w:rPr>
            </w:pPr>
          </w:p>
        </w:tc>
      </w:tr>
      <w:tr w14:paraId="6AFE6A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6" w:type="pct"/>
            <w:noWrap w:val="0"/>
            <w:vAlign w:val="top"/>
          </w:tcPr>
          <w:p w14:paraId="653314D7">
            <w:pPr>
              <w:spacing w:line="360" w:lineRule="auto"/>
              <w:rPr>
                <w:rFonts w:hint="eastAsia" w:ascii="宋体" w:hAnsi="宋体" w:cs="宋体"/>
                <w:color w:val="auto"/>
                <w:szCs w:val="22"/>
                <w:highlight w:val="none"/>
              </w:rPr>
            </w:pPr>
            <w:r>
              <w:rPr>
                <w:rFonts w:hint="eastAsia" w:ascii="宋体" w:hAnsi="宋体" w:cs="宋体"/>
                <w:color w:val="auto"/>
                <w:szCs w:val="22"/>
                <w:highlight w:val="none"/>
              </w:rPr>
              <w:t>质检员（质量员）</w:t>
            </w:r>
          </w:p>
        </w:tc>
        <w:tc>
          <w:tcPr>
            <w:tcW w:w="641" w:type="pct"/>
            <w:noWrap w:val="0"/>
            <w:vAlign w:val="center"/>
          </w:tcPr>
          <w:p w14:paraId="4F615EC4">
            <w:pPr>
              <w:keepNext/>
              <w:spacing w:line="360" w:lineRule="auto"/>
              <w:rPr>
                <w:rFonts w:hint="eastAsia" w:ascii="宋体" w:hAnsi="宋体" w:cs="宋体"/>
                <w:color w:val="auto"/>
                <w:szCs w:val="21"/>
                <w:highlight w:val="none"/>
              </w:rPr>
            </w:pPr>
          </w:p>
        </w:tc>
        <w:tc>
          <w:tcPr>
            <w:tcW w:w="513" w:type="pct"/>
            <w:noWrap w:val="0"/>
            <w:vAlign w:val="center"/>
          </w:tcPr>
          <w:p w14:paraId="6654CD5F">
            <w:pPr>
              <w:keepNext/>
              <w:spacing w:line="360" w:lineRule="auto"/>
              <w:rPr>
                <w:rFonts w:hint="eastAsia" w:ascii="宋体" w:hAnsi="宋体" w:cs="宋体"/>
                <w:color w:val="auto"/>
                <w:szCs w:val="21"/>
                <w:highlight w:val="none"/>
              </w:rPr>
            </w:pPr>
          </w:p>
        </w:tc>
        <w:tc>
          <w:tcPr>
            <w:tcW w:w="374" w:type="pct"/>
            <w:noWrap w:val="0"/>
            <w:vAlign w:val="center"/>
          </w:tcPr>
          <w:p w14:paraId="54C3198C">
            <w:pPr>
              <w:keepNext/>
              <w:spacing w:line="360" w:lineRule="auto"/>
              <w:rPr>
                <w:rFonts w:hint="eastAsia" w:ascii="宋体" w:hAnsi="宋体" w:cs="宋体"/>
                <w:color w:val="auto"/>
                <w:szCs w:val="21"/>
                <w:highlight w:val="none"/>
              </w:rPr>
            </w:pPr>
          </w:p>
        </w:tc>
        <w:tc>
          <w:tcPr>
            <w:tcW w:w="1730" w:type="pct"/>
            <w:noWrap w:val="0"/>
            <w:vAlign w:val="center"/>
          </w:tcPr>
          <w:p w14:paraId="010938D8">
            <w:pPr>
              <w:keepNext/>
              <w:spacing w:line="360" w:lineRule="auto"/>
              <w:rPr>
                <w:rFonts w:hint="eastAsia" w:ascii="宋体" w:hAnsi="宋体" w:cs="宋体"/>
                <w:color w:val="auto"/>
                <w:szCs w:val="21"/>
                <w:highlight w:val="none"/>
              </w:rPr>
            </w:pPr>
          </w:p>
        </w:tc>
        <w:tc>
          <w:tcPr>
            <w:tcW w:w="896" w:type="pct"/>
            <w:noWrap w:val="0"/>
            <w:vAlign w:val="top"/>
          </w:tcPr>
          <w:p w14:paraId="03F02BBB">
            <w:pPr>
              <w:keepNext/>
              <w:spacing w:line="360" w:lineRule="auto"/>
              <w:rPr>
                <w:rFonts w:hint="eastAsia" w:ascii="宋体" w:hAnsi="宋体" w:cs="宋体"/>
                <w:color w:val="auto"/>
                <w:szCs w:val="21"/>
                <w:highlight w:val="none"/>
              </w:rPr>
            </w:pPr>
          </w:p>
        </w:tc>
      </w:tr>
      <w:tr w14:paraId="10FA0E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6" w:type="pct"/>
            <w:noWrap w:val="0"/>
            <w:vAlign w:val="top"/>
          </w:tcPr>
          <w:p w14:paraId="2697B62F">
            <w:pPr>
              <w:spacing w:line="360" w:lineRule="auto"/>
              <w:rPr>
                <w:rFonts w:hint="eastAsia" w:ascii="宋体" w:hAnsi="宋体" w:cs="宋体"/>
                <w:color w:val="auto"/>
                <w:szCs w:val="22"/>
                <w:highlight w:val="none"/>
              </w:rPr>
            </w:pPr>
            <w:r>
              <w:rPr>
                <w:rFonts w:hint="eastAsia" w:ascii="宋体" w:hAnsi="宋体" w:cs="宋体"/>
                <w:color w:val="auto"/>
                <w:szCs w:val="22"/>
                <w:highlight w:val="none"/>
              </w:rPr>
              <w:t>安全员</w:t>
            </w:r>
          </w:p>
        </w:tc>
        <w:tc>
          <w:tcPr>
            <w:tcW w:w="641" w:type="pct"/>
            <w:noWrap w:val="0"/>
            <w:vAlign w:val="center"/>
          </w:tcPr>
          <w:p w14:paraId="5E49CDB4">
            <w:pPr>
              <w:keepNext/>
              <w:spacing w:line="360" w:lineRule="auto"/>
              <w:rPr>
                <w:rFonts w:hint="eastAsia" w:ascii="宋体" w:hAnsi="宋体" w:cs="宋体"/>
                <w:color w:val="auto"/>
                <w:szCs w:val="21"/>
                <w:highlight w:val="none"/>
              </w:rPr>
            </w:pPr>
          </w:p>
        </w:tc>
        <w:tc>
          <w:tcPr>
            <w:tcW w:w="513" w:type="pct"/>
            <w:noWrap w:val="0"/>
            <w:vAlign w:val="center"/>
          </w:tcPr>
          <w:p w14:paraId="6230641F">
            <w:pPr>
              <w:keepNext/>
              <w:spacing w:line="360" w:lineRule="auto"/>
              <w:rPr>
                <w:rFonts w:hint="eastAsia" w:ascii="宋体" w:hAnsi="宋体" w:cs="宋体"/>
                <w:color w:val="auto"/>
                <w:szCs w:val="21"/>
                <w:highlight w:val="none"/>
              </w:rPr>
            </w:pPr>
          </w:p>
        </w:tc>
        <w:tc>
          <w:tcPr>
            <w:tcW w:w="374" w:type="pct"/>
            <w:noWrap w:val="0"/>
            <w:vAlign w:val="center"/>
          </w:tcPr>
          <w:p w14:paraId="5D7A6532">
            <w:pPr>
              <w:keepNext/>
              <w:spacing w:line="360" w:lineRule="auto"/>
              <w:rPr>
                <w:rFonts w:hint="eastAsia" w:ascii="宋体" w:hAnsi="宋体" w:cs="宋体"/>
                <w:color w:val="auto"/>
                <w:szCs w:val="21"/>
                <w:highlight w:val="none"/>
              </w:rPr>
            </w:pPr>
          </w:p>
        </w:tc>
        <w:tc>
          <w:tcPr>
            <w:tcW w:w="1730" w:type="pct"/>
            <w:noWrap w:val="0"/>
            <w:vAlign w:val="center"/>
          </w:tcPr>
          <w:p w14:paraId="42228EDF">
            <w:pPr>
              <w:keepNext/>
              <w:spacing w:line="360" w:lineRule="auto"/>
              <w:rPr>
                <w:rFonts w:hint="eastAsia" w:ascii="宋体" w:hAnsi="宋体" w:cs="宋体"/>
                <w:color w:val="auto"/>
                <w:szCs w:val="21"/>
                <w:highlight w:val="none"/>
              </w:rPr>
            </w:pPr>
          </w:p>
        </w:tc>
        <w:tc>
          <w:tcPr>
            <w:tcW w:w="896" w:type="pct"/>
            <w:noWrap w:val="0"/>
            <w:vAlign w:val="top"/>
          </w:tcPr>
          <w:p w14:paraId="32BD4469">
            <w:pPr>
              <w:keepNext/>
              <w:spacing w:line="360" w:lineRule="auto"/>
              <w:rPr>
                <w:rFonts w:hint="eastAsia" w:ascii="宋体" w:hAnsi="宋体" w:cs="宋体"/>
                <w:color w:val="auto"/>
                <w:szCs w:val="21"/>
                <w:highlight w:val="none"/>
              </w:rPr>
            </w:pPr>
          </w:p>
        </w:tc>
      </w:tr>
      <w:tr w14:paraId="21B083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6" w:type="pct"/>
            <w:noWrap w:val="0"/>
            <w:vAlign w:val="top"/>
          </w:tcPr>
          <w:p w14:paraId="5DC93EA2">
            <w:pPr>
              <w:spacing w:line="360" w:lineRule="auto"/>
              <w:rPr>
                <w:rFonts w:hint="eastAsia" w:ascii="宋体" w:hAnsi="宋体" w:cs="宋体"/>
                <w:color w:val="auto"/>
                <w:szCs w:val="22"/>
                <w:highlight w:val="none"/>
              </w:rPr>
            </w:pPr>
            <w:r>
              <w:rPr>
                <w:rFonts w:hint="eastAsia" w:ascii="宋体" w:hAnsi="宋体" w:cs="宋体"/>
                <w:color w:val="auto"/>
                <w:szCs w:val="22"/>
                <w:highlight w:val="none"/>
              </w:rPr>
              <w:t>资料员</w:t>
            </w:r>
          </w:p>
        </w:tc>
        <w:tc>
          <w:tcPr>
            <w:tcW w:w="641" w:type="pct"/>
            <w:noWrap w:val="0"/>
            <w:vAlign w:val="center"/>
          </w:tcPr>
          <w:p w14:paraId="4C5B151B">
            <w:pPr>
              <w:keepNext/>
              <w:spacing w:line="360" w:lineRule="auto"/>
              <w:rPr>
                <w:rFonts w:hint="eastAsia" w:ascii="宋体" w:hAnsi="宋体" w:cs="宋体"/>
                <w:color w:val="auto"/>
                <w:szCs w:val="21"/>
                <w:highlight w:val="none"/>
              </w:rPr>
            </w:pPr>
          </w:p>
        </w:tc>
        <w:tc>
          <w:tcPr>
            <w:tcW w:w="513" w:type="pct"/>
            <w:noWrap w:val="0"/>
            <w:vAlign w:val="center"/>
          </w:tcPr>
          <w:p w14:paraId="67EA7DAE">
            <w:pPr>
              <w:keepNext/>
              <w:spacing w:line="360" w:lineRule="auto"/>
              <w:rPr>
                <w:rFonts w:hint="eastAsia" w:ascii="宋体" w:hAnsi="宋体" w:cs="宋体"/>
                <w:color w:val="auto"/>
                <w:szCs w:val="21"/>
                <w:highlight w:val="none"/>
              </w:rPr>
            </w:pPr>
          </w:p>
        </w:tc>
        <w:tc>
          <w:tcPr>
            <w:tcW w:w="374" w:type="pct"/>
            <w:noWrap w:val="0"/>
            <w:vAlign w:val="center"/>
          </w:tcPr>
          <w:p w14:paraId="527A0670">
            <w:pPr>
              <w:keepNext/>
              <w:spacing w:line="360" w:lineRule="auto"/>
              <w:rPr>
                <w:rFonts w:hint="eastAsia" w:ascii="宋体" w:hAnsi="宋体" w:cs="宋体"/>
                <w:color w:val="auto"/>
                <w:szCs w:val="21"/>
                <w:highlight w:val="none"/>
              </w:rPr>
            </w:pPr>
          </w:p>
        </w:tc>
        <w:tc>
          <w:tcPr>
            <w:tcW w:w="1730" w:type="pct"/>
            <w:noWrap w:val="0"/>
            <w:vAlign w:val="center"/>
          </w:tcPr>
          <w:p w14:paraId="641C42DB">
            <w:pPr>
              <w:keepNext/>
              <w:spacing w:line="360" w:lineRule="auto"/>
              <w:rPr>
                <w:rFonts w:hint="eastAsia" w:ascii="宋体" w:hAnsi="宋体" w:cs="宋体"/>
                <w:color w:val="auto"/>
                <w:szCs w:val="21"/>
                <w:highlight w:val="none"/>
              </w:rPr>
            </w:pPr>
          </w:p>
        </w:tc>
        <w:tc>
          <w:tcPr>
            <w:tcW w:w="896" w:type="pct"/>
            <w:noWrap w:val="0"/>
            <w:vAlign w:val="top"/>
          </w:tcPr>
          <w:p w14:paraId="4D542842">
            <w:pPr>
              <w:keepNext/>
              <w:spacing w:line="360" w:lineRule="auto"/>
              <w:rPr>
                <w:rFonts w:hint="eastAsia" w:ascii="宋体" w:hAnsi="宋体" w:cs="宋体"/>
                <w:color w:val="auto"/>
                <w:szCs w:val="21"/>
                <w:highlight w:val="none"/>
              </w:rPr>
            </w:pPr>
          </w:p>
        </w:tc>
      </w:tr>
      <w:tr w14:paraId="0269C8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6" w:type="pct"/>
            <w:vMerge w:val="restart"/>
            <w:noWrap w:val="0"/>
            <w:vAlign w:val="center"/>
          </w:tcPr>
          <w:p w14:paraId="537A7C40">
            <w:pPr>
              <w:keepNext/>
              <w:spacing w:line="360" w:lineRule="auto"/>
              <w:rPr>
                <w:rFonts w:hint="eastAsia" w:ascii="宋体" w:hAnsi="宋体" w:cs="宋体"/>
                <w:color w:val="auto"/>
                <w:szCs w:val="21"/>
                <w:highlight w:val="none"/>
              </w:rPr>
            </w:pPr>
            <w:r>
              <w:rPr>
                <w:rFonts w:hint="eastAsia" w:ascii="宋体" w:hAnsi="宋体" w:cs="宋体"/>
                <w:color w:val="auto"/>
                <w:szCs w:val="21"/>
                <w:highlight w:val="none"/>
              </w:rPr>
              <w:t>其他人员</w:t>
            </w:r>
          </w:p>
        </w:tc>
        <w:tc>
          <w:tcPr>
            <w:tcW w:w="641" w:type="pct"/>
            <w:noWrap w:val="0"/>
            <w:vAlign w:val="center"/>
          </w:tcPr>
          <w:p w14:paraId="0B41C5B8">
            <w:pPr>
              <w:keepNext/>
              <w:spacing w:line="360" w:lineRule="auto"/>
              <w:rPr>
                <w:rFonts w:hint="eastAsia" w:ascii="宋体" w:hAnsi="宋体" w:cs="宋体"/>
                <w:color w:val="auto"/>
                <w:szCs w:val="21"/>
                <w:highlight w:val="none"/>
              </w:rPr>
            </w:pPr>
          </w:p>
        </w:tc>
        <w:tc>
          <w:tcPr>
            <w:tcW w:w="513" w:type="pct"/>
            <w:noWrap w:val="0"/>
            <w:vAlign w:val="center"/>
          </w:tcPr>
          <w:p w14:paraId="60F2CFC8">
            <w:pPr>
              <w:keepNext/>
              <w:spacing w:line="360" w:lineRule="auto"/>
              <w:rPr>
                <w:rFonts w:hint="eastAsia" w:ascii="宋体" w:hAnsi="宋体" w:cs="宋体"/>
                <w:color w:val="auto"/>
                <w:szCs w:val="21"/>
                <w:highlight w:val="none"/>
              </w:rPr>
            </w:pPr>
          </w:p>
        </w:tc>
        <w:tc>
          <w:tcPr>
            <w:tcW w:w="374" w:type="pct"/>
            <w:noWrap w:val="0"/>
            <w:vAlign w:val="center"/>
          </w:tcPr>
          <w:p w14:paraId="5CA8EC62">
            <w:pPr>
              <w:keepNext/>
              <w:spacing w:line="360" w:lineRule="auto"/>
              <w:rPr>
                <w:rFonts w:hint="eastAsia" w:ascii="宋体" w:hAnsi="宋体" w:cs="宋体"/>
                <w:color w:val="auto"/>
                <w:szCs w:val="21"/>
                <w:highlight w:val="none"/>
              </w:rPr>
            </w:pPr>
          </w:p>
        </w:tc>
        <w:tc>
          <w:tcPr>
            <w:tcW w:w="1730" w:type="pct"/>
            <w:noWrap w:val="0"/>
            <w:vAlign w:val="center"/>
          </w:tcPr>
          <w:p w14:paraId="09EBF0AB">
            <w:pPr>
              <w:keepNext/>
              <w:spacing w:line="360" w:lineRule="auto"/>
              <w:rPr>
                <w:rFonts w:hint="eastAsia" w:ascii="宋体" w:hAnsi="宋体" w:cs="宋体"/>
                <w:color w:val="auto"/>
                <w:szCs w:val="21"/>
                <w:highlight w:val="none"/>
              </w:rPr>
            </w:pPr>
          </w:p>
        </w:tc>
        <w:tc>
          <w:tcPr>
            <w:tcW w:w="896" w:type="pct"/>
            <w:noWrap w:val="0"/>
            <w:vAlign w:val="top"/>
          </w:tcPr>
          <w:p w14:paraId="4FE47B6A">
            <w:pPr>
              <w:keepNext/>
              <w:spacing w:line="360" w:lineRule="auto"/>
              <w:rPr>
                <w:rFonts w:hint="eastAsia" w:ascii="宋体" w:hAnsi="宋体" w:cs="宋体"/>
                <w:color w:val="auto"/>
                <w:szCs w:val="21"/>
                <w:highlight w:val="none"/>
              </w:rPr>
            </w:pPr>
          </w:p>
        </w:tc>
      </w:tr>
      <w:tr w14:paraId="00EE66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6" w:type="pct"/>
            <w:vMerge w:val="continue"/>
            <w:noWrap w:val="0"/>
            <w:vAlign w:val="center"/>
          </w:tcPr>
          <w:p w14:paraId="2BD6453D">
            <w:pPr>
              <w:keepNext/>
              <w:spacing w:line="360" w:lineRule="auto"/>
              <w:rPr>
                <w:rFonts w:hint="eastAsia" w:ascii="宋体" w:hAnsi="宋体" w:cs="宋体"/>
                <w:color w:val="auto"/>
                <w:szCs w:val="21"/>
                <w:highlight w:val="none"/>
              </w:rPr>
            </w:pPr>
          </w:p>
        </w:tc>
        <w:tc>
          <w:tcPr>
            <w:tcW w:w="641" w:type="pct"/>
            <w:tcBorders>
              <w:bottom w:val="nil"/>
            </w:tcBorders>
            <w:noWrap w:val="0"/>
            <w:vAlign w:val="center"/>
          </w:tcPr>
          <w:p w14:paraId="71AD9D63">
            <w:pPr>
              <w:keepNext/>
              <w:spacing w:line="360" w:lineRule="auto"/>
              <w:rPr>
                <w:rFonts w:hint="eastAsia" w:ascii="宋体" w:hAnsi="宋体" w:cs="宋体"/>
                <w:color w:val="auto"/>
                <w:szCs w:val="21"/>
                <w:highlight w:val="none"/>
              </w:rPr>
            </w:pPr>
          </w:p>
        </w:tc>
        <w:tc>
          <w:tcPr>
            <w:tcW w:w="513" w:type="pct"/>
            <w:tcBorders>
              <w:bottom w:val="nil"/>
            </w:tcBorders>
            <w:noWrap w:val="0"/>
            <w:vAlign w:val="center"/>
          </w:tcPr>
          <w:p w14:paraId="5F3D578C">
            <w:pPr>
              <w:keepNext/>
              <w:spacing w:line="360" w:lineRule="auto"/>
              <w:rPr>
                <w:rFonts w:hint="eastAsia" w:ascii="宋体" w:hAnsi="宋体" w:cs="宋体"/>
                <w:color w:val="auto"/>
                <w:szCs w:val="21"/>
                <w:highlight w:val="none"/>
              </w:rPr>
            </w:pPr>
          </w:p>
        </w:tc>
        <w:tc>
          <w:tcPr>
            <w:tcW w:w="374" w:type="pct"/>
            <w:tcBorders>
              <w:bottom w:val="nil"/>
            </w:tcBorders>
            <w:noWrap w:val="0"/>
            <w:vAlign w:val="center"/>
          </w:tcPr>
          <w:p w14:paraId="1A6833D0">
            <w:pPr>
              <w:keepNext/>
              <w:spacing w:line="360" w:lineRule="auto"/>
              <w:rPr>
                <w:rFonts w:hint="eastAsia" w:ascii="宋体" w:hAnsi="宋体" w:cs="宋体"/>
                <w:color w:val="auto"/>
                <w:szCs w:val="21"/>
                <w:highlight w:val="none"/>
              </w:rPr>
            </w:pPr>
          </w:p>
        </w:tc>
        <w:tc>
          <w:tcPr>
            <w:tcW w:w="1730" w:type="pct"/>
            <w:tcBorders>
              <w:bottom w:val="nil"/>
            </w:tcBorders>
            <w:noWrap w:val="0"/>
            <w:vAlign w:val="center"/>
          </w:tcPr>
          <w:p w14:paraId="7503E171">
            <w:pPr>
              <w:keepNext/>
              <w:spacing w:line="360" w:lineRule="auto"/>
              <w:rPr>
                <w:rFonts w:hint="eastAsia" w:ascii="宋体" w:hAnsi="宋体" w:cs="宋体"/>
                <w:color w:val="auto"/>
                <w:szCs w:val="21"/>
                <w:highlight w:val="none"/>
              </w:rPr>
            </w:pPr>
          </w:p>
        </w:tc>
        <w:tc>
          <w:tcPr>
            <w:tcW w:w="896" w:type="pct"/>
            <w:tcBorders>
              <w:bottom w:val="nil"/>
            </w:tcBorders>
            <w:noWrap w:val="0"/>
            <w:vAlign w:val="top"/>
          </w:tcPr>
          <w:p w14:paraId="73B2E52E">
            <w:pPr>
              <w:keepNext/>
              <w:spacing w:line="360" w:lineRule="auto"/>
              <w:rPr>
                <w:rFonts w:hint="eastAsia" w:ascii="宋体" w:hAnsi="宋体" w:cs="宋体"/>
                <w:color w:val="auto"/>
                <w:szCs w:val="21"/>
                <w:highlight w:val="none"/>
              </w:rPr>
            </w:pPr>
          </w:p>
        </w:tc>
      </w:tr>
      <w:tr w14:paraId="4914E8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6" w:type="pct"/>
            <w:vMerge w:val="continue"/>
            <w:noWrap w:val="0"/>
            <w:vAlign w:val="center"/>
          </w:tcPr>
          <w:p w14:paraId="16575DF5">
            <w:pPr>
              <w:keepNext/>
              <w:spacing w:line="360" w:lineRule="auto"/>
              <w:rPr>
                <w:rFonts w:hint="eastAsia" w:ascii="宋体" w:hAnsi="宋体" w:cs="宋体"/>
                <w:color w:val="auto"/>
                <w:szCs w:val="21"/>
                <w:highlight w:val="none"/>
              </w:rPr>
            </w:pPr>
          </w:p>
        </w:tc>
        <w:tc>
          <w:tcPr>
            <w:tcW w:w="641" w:type="pct"/>
            <w:noWrap w:val="0"/>
            <w:vAlign w:val="center"/>
          </w:tcPr>
          <w:p w14:paraId="42FEB554">
            <w:pPr>
              <w:keepNext/>
              <w:spacing w:line="360" w:lineRule="auto"/>
              <w:rPr>
                <w:rFonts w:hint="eastAsia" w:ascii="宋体" w:hAnsi="宋体" w:cs="宋体"/>
                <w:color w:val="auto"/>
                <w:szCs w:val="21"/>
                <w:highlight w:val="none"/>
              </w:rPr>
            </w:pPr>
          </w:p>
        </w:tc>
        <w:tc>
          <w:tcPr>
            <w:tcW w:w="513" w:type="pct"/>
            <w:noWrap w:val="0"/>
            <w:vAlign w:val="center"/>
          </w:tcPr>
          <w:p w14:paraId="30C9679B">
            <w:pPr>
              <w:keepNext/>
              <w:spacing w:line="360" w:lineRule="auto"/>
              <w:rPr>
                <w:rFonts w:hint="eastAsia" w:ascii="宋体" w:hAnsi="宋体" w:cs="宋体"/>
                <w:color w:val="auto"/>
                <w:szCs w:val="21"/>
                <w:highlight w:val="none"/>
              </w:rPr>
            </w:pPr>
          </w:p>
        </w:tc>
        <w:tc>
          <w:tcPr>
            <w:tcW w:w="374" w:type="pct"/>
            <w:noWrap w:val="0"/>
            <w:vAlign w:val="center"/>
          </w:tcPr>
          <w:p w14:paraId="779B60D0">
            <w:pPr>
              <w:keepNext/>
              <w:spacing w:line="360" w:lineRule="auto"/>
              <w:rPr>
                <w:rFonts w:hint="eastAsia" w:ascii="宋体" w:hAnsi="宋体" w:cs="宋体"/>
                <w:color w:val="auto"/>
                <w:szCs w:val="21"/>
                <w:highlight w:val="none"/>
              </w:rPr>
            </w:pPr>
          </w:p>
        </w:tc>
        <w:tc>
          <w:tcPr>
            <w:tcW w:w="1730" w:type="pct"/>
            <w:noWrap w:val="0"/>
            <w:vAlign w:val="center"/>
          </w:tcPr>
          <w:p w14:paraId="2558E7A7">
            <w:pPr>
              <w:keepNext/>
              <w:spacing w:line="360" w:lineRule="auto"/>
              <w:rPr>
                <w:rFonts w:hint="eastAsia" w:ascii="宋体" w:hAnsi="宋体" w:cs="宋体"/>
                <w:color w:val="auto"/>
                <w:szCs w:val="21"/>
                <w:highlight w:val="none"/>
              </w:rPr>
            </w:pPr>
          </w:p>
        </w:tc>
        <w:tc>
          <w:tcPr>
            <w:tcW w:w="896" w:type="pct"/>
            <w:noWrap w:val="0"/>
            <w:vAlign w:val="top"/>
          </w:tcPr>
          <w:p w14:paraId="2A1C8261">
            <w:pPr>
              <w:keepNext/>
              <w:spacing w:line="360" w:lineRule="auto"/>
              <w:rPr>
                <w:rFonts w:hint="eastAsia" w:ascii="宋体" w:hAnsi="宋体" w:cs="宋体"/>
                <w:color w:val="auto"/>
                <w:szCs w:val="21"/>
                <w:highlight w:val="none"/>
              </w:rPr>
            </w:pPr>
          </w:p>
        </w:tc>
      </w:tr>
      <w:tr w14:paraId="3B75E6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6" w:type="pct"/>
            <w:vMerge w:val="continue"/>
            <w:noWrap w:val="0"/>
            <w:vAlign w:val="center"/>
          </w:tcPr>
          <w:p w14:paraId="5C985F21">
            <w:pPr>
              <w:keepNext/>
              <w:spacing w:line="360" w:lineRule="auto"/>
              <w:rPr>
                <w:rFonts w:hint="eastAsia" w:ascii="宋体" w:hAnsi="宋体" w:cs="宋体"/>
                <w:color w:val="auto"/>
                <w:szCs w:val="21"/>
                <w:highlight w:val="none"/>
              </w:rPr>
            </w:pPr>
          </w:p>
        </w:tc>
        <w:tc>
          <w:tcPr>
            <w:tcW w:w="641" w:type="pct"/>
            <w:noWrap w:val="0"/>
            <w:vAlign w:val="center"/>
          </w:tcPr>
          <w:p w14:paraId="348A0781">
            <w:pPr>
              <w:keepNext/>
              <w:spacing w:line="360" w:lineRule="auto"/>
              <w:rPr>
                <w:rFonts w:hint="eastAsia" w:ascii="宋体" w:hAnsi="宋体" w:cs="宋体"/>
                <w:color w:val="auto"/>
                <w:szCs w:val="21"/>
                <w:highlight w:val="none"/>
              </w:rPr>
            </w:pPr>
          </w:p>
        </w:tc>
        <w:tc>
          <w:tcPr>
            <w:tcW w:w="513" w:type="pct"/>
            <w:noWrap w:val="0"/>
            <w:vAlign w:val="center"/>
          </w:tcPr>
          <w:p w14:paraId="425FC552">
            <w:pPr>
              <w:keepNext/>
              <w:spacing w:line="360" w:lineRule="auto"/>
              <w:rPr>
                <w:rFonts w:hint="eastAsia" w:ascii="宋体" w:hAnsi="宋体" w:cs="宋体"/>
                <w:color w:val="auto"/>
                <w:szCs w:val="21"/>
                <w:highlight w:val="none"/>
              </w:rPr>
            </w:pPr>
          </w:p>
        </w:tc>
        <w:tc>
          <w:tcPr>
            <w:tcW w:w="374" w:type="pct"/>
            <w:noWrap w:val="0"/>
            <w:vAlign w:val="center"/>
          </w:tcPr>
          <w:p w14:paraId="746FDEBE">
            <w:pPr>
              <w:keepNext/>
              <w:spacing w:line="360" w:lineRule="auto"/>
              <w:rPr>
                <w:rFonts w:hint="eastAsia" w:ascii="宋体" w:hAnsi="宋体" w:cs="宋体"/>
                <w:color w:val="auto"/>
                <w:szCs w:val="21"/>
                <w:highlight w:val="none"/>
              </w:rPr>
            </w:pPr>
          </w:p>
        </w:tc>
        <w:tc>
          <w:tcPr>
            <w:tcW w:w="1730" w:type="pct"/>
            <w:noWrap w:val="0"/>
            <w:vAlign w:val="center"/>
          </w:tcPr>
          <w:p w14:paraId="6C6929D4">
            <w:pPr>
              <w:keepNext/>
              <w:spacing w:line="360" w:lineRule="auto"/>
              <w:rPr>
                <w:rFonts w:hint="eastAsia" w:ascii="宋体" w:hAnsi="宋体" w:cs="宋体"/>
                <w:color w:val="auto"/>
                <w:szCs w:val="21"/>
                <w:highlight w:val="none"/>
              </w:rPr>
            </w:pPr>
          </w:p>
        </w:tc>
        <w:tc>
          <w:tcPr>
            <w:tcW w:w="896" w:type="pct"/>
            <w:noWrap w:val="0"/>
            <w:vAlign w:val="top"/>
          </w:tcPr>
          <w:p w14:paraId="6F156017">
            <w:pPr>
              <w:keepNext/>
              <w:spacing w:line="360" w:lineRule="auto"/>
              <w:rPr>
                <w:rFonts w:hint="eastAsia" w:ascii="宋体" w:hAnsi="宋体" w:cs="宋体"/>
                <w:color w:val="auto"/>
                <w:szCs w:val="21"/>
                <w:highlight w:val="none"/>
              </w:rPr>
            </w:pPr>
          </w:p>
        </w:tc>
      </w:tr>
      <w:tr w14:paraId="687E93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6" w:type="pct"/>
            <w:vMerge w:val="continue"/>
            <w:noWrap w:val="0"/>
            <w:vAlign w:val="center"/>
          </w:tcPr>
          <w:p w14:paraId="77D6129E">
            <w:pPr>
              <w:keepNext/>
              <w:spacing w:line="360" w:lineRule="auto"/>
              <w:rPr>
                <w:rFonts w:hint="eastAsia" w:ascii="宋体" w:hAnsi="宋体" w:cs="宋体"/>
                <w:color w:val="auto"/>
                <w:szCs w:val="21"/>
                <w:highlight w:val="none"/>
              </w:rPr>
            </w:pPr>
          </w:p>
        </w:tc>
        <w:tc>
          <w:tcPr>
            <w:tcW w:w="641" w:type="pct"/>
            <w:noWrap w:val="0"/>
            <w:vAlign w:val="center"/>
          </w:tcPr>
          <w:p w14:paraId="31850FC1">
            <w:pPr>
              <w:keepNext/>
              <w:spacing w:line="360" w:lineRule="auto"/>
              <w:rPr>
                <w:rFonts w:hint="eastAsia" w:ascii="宋体" w:hAnsi="宋体" w:cs="宋体"/>
                <w:color w:val="auto"/>
                <w:szCs w:val="21"/>
                <w:highlight w:val="none"/>
              </w:rPr>
            </w:pPr>
          </w:p>
        </w:tc>
        <w:tc>
          <w:tcPr>
            <w:tcW w:w="513" w:type="pct"/>
            <w:noWrap w:val="0"/>
            <w:vAlign w:val="center"/>
          </w:tcPr>
          <w:p w14:paraId="52C54858">
            <w:pPr>
              <w:keepNext/>
              <w:spacing w:line="360" w:lineRule="auto"/>
              <w:rPr>
                <w:rFonts w:hint="eastAsia" w:ascii="宋体" w:hAnsi="宋体" w:cs="宋体"/>
                <w:color w:val="auto"/>
                <w:szCs w:val="21"/>
                <w:highlight w:val="none"/>
              </w:rPr>
            </w:pPr>
          </w:p>
        </w:tc>
        <w:tc>
          <w:tcPr>
            <w:tcW w:w="374" w:type="pct"/>
            <w:noWrap w:val="0"/>
            <w:vAlign w:val="center"/>
          </w:tcPr>
          <w:p w14:paraId="7A2E48E7">
            <w:pPr>
              <w:keepNext/>
              <w:spacing w:line="360" w:lineRule="auto"/>
              <w:rPr>
                <w:rFonts w:hint="eastAsia" w:ascii="宋体" w:hAnsi="宋体" w:cs="宋体"/>
                <w:color w:val="auto"/>
                <w:szCs w:val="21"/>
                <w:highlight w:val="none"/>
              </w:rPr>
            </w:pPr>
          </w:p>
        </w:tc>
        <w:tc>
          <w:tcPr>
            <w:tcW w:w="1730" w:type="pct"/>
            <w:noWrap w:val="0"/>
            <w:vAlign w:val="center"/>
          </w:tcPr>
          <w:p w14:paraId="2A34E6AA">
            <w:pPr>
              <w:keepNext/>
              <w:spacing w:line="360" w:lineRule="auto"/>
              <w:rPr>
                <w:rFonts w:hint="eastAsia" w:ascii="宋体" w:hAnsi="宋体" w:cs="宋体"/>
                <w:color w:val="auto"/>
                <w:szCs w:val="21"/>
                <w:highlight w:val="none"/>
              </w:rPr>
            </w:pPr>
          </w:p>
        </w:tc>
        <w:tc>
          <w:tcPr>
            <w:tcW w:w="896" w:type="pct"/>
            <w:noWrap w:val="0"/>
            <w:vAlign w:val="top"/>
          </w:tcPr>
          <w:p w14:paraId="40018662">
            <w:pPr>
              <w:keepNext/>
              <w:spacing w:line="360" w:lineRule="auto"/>
              <w:rPr>
                <w:rFonts w:hint="eastAsia" w:ascii="宋体" w:hAnsi="宋体" w:cs="宋体"/>
                <w:color w:val="auto"/>
                <w:szCs w:val="21"/>
                <w:highlight w:val="none"/>
              </w:rPr>
            </w:pPr>
          </w:p>
        </w:tc>
      </w:tr>
      <w:tr w14:paraId="6A555C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6" w:type="pct"/>
            <w:vMerge w:val="continue"/>
            <w:tcBorders>
              <w:bottom w:val="single" w:color="auto" w:sz="12" w:space="0"/>
            </w:tcBorders>
            <w:noWrap w:val="0"/>
            <w:vAlign w:val="center"/>
          </w:tcPr>
          <w:p w14:paraId="7C70C984">
            <w:pPr>
              <w:keepNext/>
              <w:spacing w:line="360" w:lineRule="auto"/>
              <w:rPr>
                <w:rFonts w:hint="eastAsia" w:ascii="宋体" w:hAnsi="宋体" w:cs="宋体"/>
                <w:color w:val="auto"/>
                <w:szCs w:val="21"/>
                <w:highlight w:val="none"/>
              </w:rPr>
            </w:pPr>
          </w:p>
        </w:tc>
        <w:tc>
          <w:tcPr>
            <w:tcW w:w="641" w:type="pct"/>
            <w:tcBorders>
              <w:bottom w:val="single" w:color="auto" w:sz="12" w:space="0"/>
            </w:tcBorders>
            <w:noWrap w:val="0"/>
            <w:vAlign w:val="center"/>
          </w:tcPr>
          <w:p w14:paraId="5A6B1897">
            <w:pPr>
              <w:keepNext/>
              <w:spacing w:line="360" w:lineRule="auto"/>
              <w:rPr>
                <w:rFonts w:hint="eastAsia" w:ascii="宋体" w:hAnsi="宋体" w:cs="宋体"/>
                <w:color w:val="auto"/>
                <w:szCs w:val="21"/>
                <w:highlight w:val="none"/>
              </w:rPr>
            </w:pPr>
          </w:p>
        </w:tc>
        <w:tc>
          <w:tcPr>
            <w:tcW w:w="513" w:type="pct"/>
            <w:tcBorders>
              <w:bottom w:val="single" w:color="auto" w:sz="12" w:space="0"/>
            </w:tcBorders>
            <w:noWrap w:val="0"/>
            <w:vAlign w:val="center"/>
          </w:tcPr>
          <w:p w14:paraId="1DB8A24A">
            <w:pPr>
              <w:keepNext/>
              <w:spacing w:line="360" w:lineRule="auto"/>
              <w:rPr>
                <w:rFonts w:hint="eastAsia" w:ascii="宋体" w:hAnsi="宋体" w:cs="宋体"/>
                <w:color w:val="auto"/>
                <w:szCs w:val="21"/>
                <w:highlight w:val="none"/>
              </w:rPr>
            </w:pPr>
          </w:p>
        </w:tc>
        <w:tc>
          <w:tcPr>
            <w:tcW w:w="374" w:type="pct"/>
            <w:tcBorders>
              <w:bottom w:val="single" w:color="auto" w:sz="12" w:space="0"/>
            </w:tcBorders>
            <w:noWrap w:val="0"/>
            <w:vAlign w:val="center"/>
          </w:tcPr>
          <w:p w14:paraId="3AC141CE">
            <w:pPr>
              <w:keepNext/>
              <w:spacing w:line="360" w:lineRule="auto"/>
              <w:rPr>
                <w:rFonts w:hint="eastAsia" w:ascii="宋体" w:hAnsi="宋体" w:cs="宋体"/>
                <w:color w:val="auto"/>
                <w:szCs w:val="21"/>
                <w:highlight w:val="none"/>
              </w:rPr>
            </w:pPr>
          </w:p>
        </w:tc>
        <w:tc>
          <w:tcPr>
            <w:tcW w:w="1730" w:type="pct"/>
            <w:tcBorders>
              <w:bottom w:val="single" w:color="auto" w:sz="12" w:space="0"/>
            </w:tcBorders>
            <w:noWrap w:val="0"/>
            <w:vAlign w:val="center"/>
          </w:tcPr>
          <w:p w14:paraId="57D3C82F">
            <w:pPr>
              <w:keepNext/>
              <w:spacing w:line="360" w:lineRule="auto"/>
              <w:rPr>
                <w:rFonts w:hint="eastAsia" w:ascii="宋体" w:hAnsi="宋体" w:cs="宋体"/>
                <w:color w:val="auto"/>
                <w:szCs w:val="21"/>
                <w:highlight w:val="none"/>
              </w:rPr>
            </w:pPr>
          </w:p>
        </w:tc>
        <w:tc>
          <w:tcPr>
            <w:tcW w:w="896" w:type="pct"/>
            <w:tcBorders>
              <w:bottom w:val="single" w:color="auto" w:sz="12" w:space="0"/>
            </w:tcBorders>
            <w:noWrap w:val="0"/>
            <w:vAlign w:val="top"/>
          </w:tcPr>
          <w:p w14:paraId="659008DC">
            <w:pPr>
              <w:keepNext/>
              <w:spacing w:line="360" w:lineRule="auto"/>
              <w:rPr>
                <w:rFonts w:hint="eastAsia" w:ascii="宋体" w:hAnsi="宋体" w:cs="宋体"/>
                <w:color w:val="auto"/>
                <w:szCs w:val="21"/>
                <w:highlight w:val="none"/>
              </w:rPr>
            </w:pPr>
          </w:p>
        </w:tc>
      </w:tr>
    </w:tbl>
    <w:p w14:paraId="49ECC600">
      <w:pPr>
        <w:keepNext/>
        <w:keepLines/>
        <w:spacing w:before="120" w:after="120" w:line="360" w:lineRule="auto"/>
        <w:jc w:val="left"/>
        <w:outlineLvl w:val="2"/>
        <w:rPr>
          <w:rFonts w:hint="eastAsia" w:ascii="宋体" w:hAnsi="宋体" w:cs="宋体"/>
          <w:bCs/>
          <w:color w:val="auto"/>
          <w:sz w:val="24"/>
          <w:highlight w:val="none"/>
        </w:rPr>
      </w:pPr>
      <w:r>
        <w:rPr>
          <w:rFonts w:hint="eastAsia" w:ascii="宋体" w:hAnsi="宋体" w:cs="宋体"/>
          <w:bCs/>
          <w:color w:val="auto"/>
          <w:sz w:val="24"/>
          <w:highlight w:val="none"/>
        </w:rPr>
        <w:br w:type="page"/>
      </w:r>
      <w:bookmarkStart w:id="1314" w:name="_Toc95223495"/>
      <w:bookmarkStart w:id="1315" w:name="_Toc25726"/>
      <w:bookmarkStart w:id="1316" w:name="_Toc7655"/>
      <w:r>
        <w:rPr>
          <w:rFonts w:hint="eastAsia" w:ascii="宋体" w:hAnsi="宋体" w:cs="宋体"/>
          <w:bCs/>
          <w:color w:val="auto"/>
          <w:sz w:val="24"/>
          <w:highlight w:val="none"/>
        </w:rPr>
        <w:t>附</w:t>
      </w:r>
      <w:bookmarkStart w:id="1317" w:name="_Toc296346732"/>
      <w:bookmarkStart w:id="1318" w:name="_Toc296347230"/>
      <w:bookmarkStart w:id="1319" w:name="_Toc296503231"/>
      <w:bookmarkStart w:id="1320" w:name="_Toc296944570"/>
      <w:bookmarkStart w:id="1321" w:name="_Toc296891059"/>
      <w:bookmarkStart w:id="1322" w:name="_Toc296891271"/>
      <w:r>
        <w:rPr>
          <w:rFonts w:hint="eastAsia" w:ascii="宋体" w:hAnsi="宋体" w:cs="宋体"/>
          <w:bCs/>
          <w:color w:val="auto"/>
          <w:sz w:val="24"/>
          <w:highlight w:val="none"/>
        </w:rPr>
        <w:t>件8：廉政协议</w:t>
      </w:r>
      <w:bookmarkEnd w:id="1314"/>
      <w:bookmarkEnd w:id="1315"/>
      <w:bookmarkEnd w:id="1316"/>
    </w:p>
    <w:bookmarkEnd w:id="1317"/>
    <w:bookmarkEnd w:id="1318"/>
    <w:bookmarkEnd w:id="1319"/>
    <w:bookmarkEnd w:id="1320"/>
    <w:bookmarkEnd w:id="1321"/>
    <w:bookmarkEnd w:id="1322"/>
    <w:p w14:paraId="4966CE2A">
      <w:pPr>
        <w:widowControl/>
        <w:spacing w:line="360" w:lineRule="auto"/>
        <w:ind w:firstLine="641"/>
        <w:jc w:val="center"/>
        <w:rPr>
          <w:rFonts w:hint="eastAsia" w:ascii="宋体" w:hAnsi="宋体" w:cs="宋体"/>
          <w:b/>
          <w:bCs/>
          <w:color w:val="auto"/>
          <w:kern w:val="0"/>
          <w:sz w:val="32"/>
          <w:szCs w:val="32"/>
          <w:highlight w:val="none"/>
        </w:rPr>
      </w:pPr>
      <w:bookmarkStart w:id="1323" w:name="_Toc7607"/>
      <w:bookmarkStart w:id="1324" w:name="_Toc9808"/>
      <w:bookmarkStart w:id="1325" w:name="_Toc95223496"/>
      <w:r>
        <w:rPr>
          <w:rFonts w:hint="eastAsia" w:ascii="宋体" w:hAnsi="宋体" w:cs="宋体"/>
          <w:b/>
          <w:bCs/>
          <w:color w:val="auto"/>
          <w:kern w:val="0"/>
          <w:sz w:val="32"/>
          <w:szCs w:val="32"/>
          <w:highlight w:val="none"/>
        </w:rPr>
        <w:t>廉 政 协 议</w:t>
      </w:r>
      <w:bookmarkEnd w:id="1323"/>
      <w:bookmarkEnd w:id="1324"/>
      <w:bookmarkEnd w:id="1325"/>
    </w:p>
    <w:p w14:paraId="18467AEA">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为促进双方诚信经营、廉洁从业，防范商业贿赂，保护国家、集体和当事人的合法权益，根据国家有关法律法规和安徽省、项目所在地廉政建设的规定，</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(以下称甲方)与</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(以下称乙方)，特此订立本协议共同遵照执行。</w:t>
      </w:r>
    </w:p>
    <w:p w14:paraId="3CA3AE29">
      <w:pPr>
        <w:widowControl/>
        <w:spacing w:line="360" w:lineRule="auto"/>
        <w:ind w:firstLine="420" w:firstLineChars="200"/>
        <w:jc w:val="left"/>
        <w:rPr>
          <w:rFonts w:hint="eastAsia" w:ascii="宋体" w:hAnsi="宋体" w:cs="宋体"/>
          <w:color w:val="auto"/>
          <w:kern w:val="0"/>
          <w:szCs w:val="21"/>
          <w:highlight w:val="none"/>
        </w:rPr>
      </w:pPr>
      <w:bookmarkStart w:id="1326" w:name="_Toc21306"/>
      <w:bookmarkStart w:id="1327" w:name="_Toc95223497"/>
      <w:bookmarkStart w:id="1328" w:name="_Toc9888"/>
      <w:r>
        <w:rPr>
          <w:rFonts w:hint="eastAsia" w:ascii="宋体" w:hAnsi="宋体" w:cs="宋体"/>
          <w:color w:val="auto"/>
          <w:kern w:val="0"/>
          <w:szCs w:val="21"/>
          <w:highlight w:val="none"/>
        </w:rPr>
        <w:t>第一条 甲乙双方的权利和义务</w:t>
      </w:r>
      <w:bookmarkEnd w:id="1326"/>
      <w:bookmarkEnd w:id="1327"/>
      <w:bookmarkEnd w:id="1328"/>
    </w:p>
    <w:p w14:paraId="2C632DEA">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一）甲乙双方自觉遵守《中华人民共和国反不正当竞争法》、国家工商行政管理局《关于禁止商业贿赂行为的暂行规定》、国家最高人民检察院、最高人民法院《关于办理受贿刑事案件适用法律若干问题的意见》及相关法律法规和廉政建设的规定。</w:t>
      </w:r>
    </w:p>
    <w:p w14:paraId="74A7ADB7">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（二）严格执行</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的合同要求，自觉履行合同约定的相关义务。</w:t>
      </w:r>
    </w:p>
    <w:p w14:paraId="56BDE7FC">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（三）在业务活动中坚持公开、公正、诚信、透明的原则，不得损害国家、集体利益。</w:t>
      </w:r>
    </w:p>
    <w:p w14:paraId="140CE433">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（四）建立健全廉政制度，开展廉政教育，公布举报电话，监督并认真查处违法违纪行为。</w:t>
      </w:r>
    </w:p>
    <w:p w14:paraId="07E7D874">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（五）发现对方在业务活动中有违反廉政规定的行为，应及时提醒对方纠正。情节严重的，应向其上级有关部门举报、建议给予处理，并有权要求告知处理结果。</w:t>
      </w:r>
    </w:p>
    <w:p w14:paraId="12FAB6F6">
      <w:pPr>
        <w:widowControl/>
        <w:spacing w:line="360" w:lineRule="auto"/>
        <w:ind w:firstLine="420" w:firstLineChars="200"/>
        <w:jc w:val="left"/>
        <w:rPr>
          <w:rFonts w:hint="eastAsia" w:ascii="宋体" w:hAnsi="宋体" w:cs="宋体"/>
          <w:color w:val="auto"/>
          <w:kern w:val="0"/>
          <w:szCs w:val="21"/>
          <w:highlight w:val="none"/>
        </w:rPr>
      </w:pPr>
      <w:bookmarkStart w:id="1329" w:name="_Toc3866"/>
      <w:bookmarkStart w:id="1330" w:name="_Toc1917"/>
      <w:bookmarkStart w:id="1331" w:name="_Toc95223498"/>
      <w:r>
        <w:rPr>
          <w:rFonts w:hint="eastAsia" w:ascii="宋体" w:hAnsi="宋体" w:cs="宋体"/>
          <w:color w:val="auto"/>
          <w:kern w:val="0"/>
          <w:szCs w:val="21"/>
          <w:highlight w:val="none"/>
        </w:rPr>
        <w:t>第二条 甲方的义务</w:t>
      </w:r>
      <w:bookmarkEnd w:id="1329"/>
      <w:bookmarkEnd w:id="1330"/>
      <w:bookmarkEnd w:id="1331"/>
    </w:p>
    <w:p w14:paraId="71CB99E9">
      <w:pPr>
        <w:widowControl/>
        <w:spacing w:line="360" w:lineRule="auto"/>
        <w:ind w:firstLine="525" w:firstLineChars="25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(一)甲方及其工作人员不得索要或接受乙方的礼金、有价证券和贵重物品，不得在乙方报销任何应由甲方单位或个人支付的费用等。</w:t>
      </w:r>
    </w:p>
    <w:p w14:paraId="44FCA4CA">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二）甲方工作人员不得参加乙方安排的可能影响相关业务公开、公正、公平性的宴请和娱乐活动；不得参与任何形式的赌博，严禁通过赌博方式取得乙方及其工作人员的财物；不得接受乙方提供的通讯工具和高档办公用品等。</w:t>
      </w:r>
    </w:p>
    <w:p w14:paraId="4543DF07">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（三） 甲方及其工作人员不得要求或者接受乙方为其住房装修、婚丧嫁娶活动、配偶子女工作安排以及出国出境、旅游等提供方便等。</w:t>
      </w:r>
    </w:p>
    <w:p w14:paraId="60A0C636">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（四） 甲方工作人员不得在乙方有股权关联的企业兼职，不得向乙方介绍家属或者亲友从事与甲方业务有关的经济活动。</w:t>
      </w:r>
    </w:p>
    <w:p w14:paraId="170B6D26">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（五）甲方工作人员不得以明显低于市场的价格向乙方购买房屋、汽车等物品；不得以明显高于市场的价格向乙方出售房屋、汽车等物品；不得以其他交易形式非法收受请托人财物。</w:t>
      </w:r>
    </w:p>
    <w:p w14:paraId="3ECAF2EC">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（六）甲方工作人员不得利用职务之便收受乙方以回扣、手续费、加班费、咨询费、劳务费、协调费、辛苦费等各种名义给予或赠送的钱物。</w:t>
      </w:r>
    </w:p>
    <w:p w14:paraId="2A612DE0">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（七）甲方工作人员不得接受乙方给予或赠送的干股或红利。</w:t>
      </w:r>
    </w:p>
    <w:p w14:paraId="77C15EF1">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（八）甲方任何人不得以个人的名义向乙方推荐设备、部件等供货商以及其他合作单位。</w:t>
      </w:r>
    </w:p>
    <w:p w14:paraId="5FB8CBAF">
      <w:pPr>
        <w:widowControl/>
        <w:spacing w:line="360" w:lineRule="auto"/>
        <w:ind w:firstLine="420" w:firstLineChars="200"/>
        <w:jc w:val="left"/>
        <w:rPr>
          <w:rFonts w:hint="eastAsia" w:ascii="宋体" w:hAnsi="宋体" w:cs="宋体"/>
          <w:color w:val="auto"/>
          <w:kern w:val="0"/>
          <w:szCs w:val="21"/>
          <w:highlight w:val="none"/>
        </w:rPr>
      </w:pPr>
      <w:bookmarkStart w:id="1332" w:name="_Toc95223499"/>
      <w:bookmarkStart w:id="1333" w:name="_Toc10556"/>
      <w:bookmarkStart w:id="1334" w:name="_Toc20831"/>
      <w:r>
        <w:rPr>
          <w:rFonts w:hint="eastAsia" w:ascii="宋体" w:hAnsi="宋体" w:cs="宋体"/>
          <w:color w:val="auto"/>
          <w:kern w:val="0"/>
          <w:szCs w:val="21"/>
          <w:highlight w:val="none"/>
        </w:rPr>
        <w:t>第三条 乙方的义务</w:t>
      </w:r>
      <w:bookmarkEnd w:id="1332"/>
      <w:bookmarkEnd w:id="1333"/>
      <w:bookmarkEnd w:id="1334"/>
    </w:p>
    <w:p w14:paraId="6B83D764">
      <w:pPr>
        <w:widowControl/>
        <w:spacing w:line="360" w:lineRule="auto"/>
        <w:ind w:firstLine="525" w:firstLineChars="25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(一)乙方不得以任何理由向甲方及其工作人员行贿或馈赠礼金、有价证券、贵重礼品。</w:t>
      </w:r>
    </w:p>
    <w:p w14:paraId="125984A0">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（二)乙方不得以任何名义为甲方及其工作人员报销应由甲方单位或个人支付的任何费用。</w:t>
      </w:r>
    </w:p>
    <w:p w14:paraId="32CD12F3">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(三)乙方不得以任何理由安排甲方工作人员参加可能影响相关业务公开、公正、公平性的宴请及娱乐活动。</w:t>
      </w:r>
    </w:p>
    <w:p w14:paraId="4812F70B">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（四）乙方不得为甲方单位和个人购置或提供通讯工具和高档办公用品等物品，也不得为甲方提供与工作无关的房屋、汽车等。</w:t>
      </w:r>
    </w:p>
    <w:p w14:paraId="10CA79F8">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（五）乙方不得与甲方工作人员就合同中的质量、数量、价格、工程量、验收等条款进行私下商谈或者达成默契。</w:t>
      </w:r>
    </w:p>
    <w:p w14:paraId="489A056D">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（六）乙方不得以回扣、手续费、加班费、咨询费、劳务费、协调费、辛苦费等各种名义向甲方工作人员给予或赠送钱物。</w:t>
      </w:r>
    </w:p>
    <w:p w14:paraId="58B98ED0">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（七）乙方不得向甲方工作人员提供干股或红利。</w:t>
      </w:r>
    </w:p>
    <w:p w14:paraId="2EE105FF">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（八）乙方须按</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专项纪检监察工作组(如有)要求开展相关工作。</w:t>
      </w:r>
    </w:p>
    <w:p w14:paraId="109EC867">
      <w:pPr>
        <w:widowControl/>
        <w:spacing w:line="360" w:lineRule="auto"/>
        <w:ind w:firstLine="420" w:firstLineChars="200"/>
        <w:jc w:val="left"/>
        <w:rPr>
          <w:rFonts w:hint="eastAsia" w:ascii="宋体" w:hAnsi="宋体" w:cs="宋体"/>
          <w:color w:val="auto"/>
          <w:kern w:val="0"/>
          <w:szCs w:val="21"/>
          <w:highlight w:val="none"/>
        </w:rPr>
      </w:pPr>
      <w:bookmarkStart w:id="1335" w:name="_Toc2198"/>
      <w:bookmarkStart w:id="1336" w:name="_Toc14507"/>
      <w:bookmarkStart w:id="1337" w:name="_Toc95223500"/>
      <w:r>
        <w:rPr>
          <w:rFonts w:hint="eastAsia" w:ascii="宋体" w:hAnsi="宋体" w:cs="宋体"/>
          <w:color w:val="auto"/>
          <w:kern w:val="0"/>
          <w:szCs w:val="21"/>
          <w:highlight w:val="none"/>
        </w:rPr>
        <w:t>第四条 违约责任</w:t>
      </w:r>
      <w:bookmarkEnd w:id="1335"/>
      <w:bookmarkEnd w:id="1336"/>
      <w:bookmarkEnd w:id="1337"/>
    </w:p>
    <w:p w14:paraId="33DA9F98">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一）甲方及其工作人员违反本协议第一、二条规定。甲方按管理权限，对相关责任人依据有关规定给予党纪、政纪处分或组织处理；涉嫌犯罪的，移交司法机关追究刑事责任；给乙方单位造成经济损失的，应予以赔偿。</w:t>
      </w:r>
    </w:p>
    <w:p w14:paraId="60B462FD">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甲方投诉联系部门：</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，联系电话：</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671E6C4A">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（二）乙方及其工作人员违反本协议第一、三条规定。根据具体情节和造成的后果，甲方有权对乙方采取以下一种或多种处理办法：</w:t>
      </w:r>
    </w:p>
    <w:p w14:paraId="5B57D50C">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1. 全额收取乙方合同履约保证金不予退还； </w:t>
      </w:r>
    </w:p>
    <w:p w14:paraId="0CB72509">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 追究乙方其他违约责任；</w:t>
      </w:r>
    </w:p>
    <w:p w14:paraId="5EC1E860">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 终止或解除双方已签订的包括本合同在内的所有合同；</w:t>
      </w:r>
    </w:p>
    <w:p w14:paraId="7EDA5706">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4. 乙方一定期限内（6个月至3年，具体由甲方根据情况而定）不得参与甲方作为发包人（业主）的工程项目投标。</w:t>
      </w:r>
    </w:p>
    <w:p w14:paraId="0A3607D8">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甲方作出的处理意见，乙方应无条件接受并承担给甲方造成的损失，全额返还通过不正当手段从甲方获取的非法所得，并承担相应的法律责任。</w:t>
      </w:r>
    </w:p>
    <w:p w14:paraId="057D94F7">
      <w:pPr>
        <w:widowControl/>
        <w:spacing w:line="360" w:lineRule="auto"/>
        <w:ind w:firstLine="420" w:firstLineChars="200"/>
        <w:jc w:val="left"/>
        <w:rPr>
          <w:rFonts w:hint="eastAsia" w:ascii="宋体" w:hAnsi="宋体" w:cs="宋体"/>
          <w:color w:val="auto"/>
          <w:kern w:val="0"/>
          <w:szCs w:val="21"/>
          <w:highlight w:val="none"/>
        </w:rPr>
      </w:pPr>
      <w:bookmarkStart w:id="1338" w:name="_Toc95223501"/>
      <w:bookmarkStart w:id="1339" w:name="_Toc10228"/>
      <w:bookmarkStart w:id="1340" w:name="_Toc2334"/>
      <w:r>
        <w:rPr>
          <w:rFonts w:hint="eastAsia" w:ascii="宋体" w:hAnsi="宋体" w:cs="宋体"/>
          <w:color w:val="auto"/>
          <w:kern w:val="0"/>
          <w:szCs w:val="21"/>
          <w:highlight w:val="none"/>
        </w:rPr>
        <w:t>第五条 双方约定</w:t>
      </w:r>
      <w:bookmarkEnd w:id="1338"/>
      <w:bookmarkEnd w:id="1339"/>
      <w:bookmarkEnd w:id="1340"/>
    </w:p>
    <w:p w14:paraId="0F6C90A0">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本协议由双方或双方上级单位负责监督。可由甲方或甲方上级单位的纪检监察部门约请乙方或乙方上级单位的纪检监察部门对本协议履行情况进行检查，提出在本协议规定范围内的裁定意见。</w:t>
      </w:r>
    </w:p>
    <w:p w14:paraId="1117D77D">
      <w:pPr>
        <w:widowControl/>
        <w:spacing w:line="360" w:lineRule="auto"/>
        <w:ind w:firstLine="420" w:firstLineChars="200"/>
        <w:jc w:val="left"/>
        <w:rPr>
          <w:rFonts w:hint="eastAsia" w:ascii="宋体" w:hAnsi="宋体" w:cs="宋体"/>
          <w:color w:val="auto"/>
          <w:kern w:val="0"/>
          <w:szCs w:val="21"/>
          <w:highlight w:val="none"/>
        </w:rPr>
      </w:pPr>
      <w:bookmarkStart w:id="1341" w:name="_Toc95223502"/>
      <w:bookmarkStart w:id="1342" w:name="_Toc32140"/>
      <w:bookmarkStart w:id="1343" w:name="_Toc17717"/>
      <w:r>
        <w:rPr>
          <w:rFonts w:hint="eastAsia" w:ascii="宋体" w:hAnsi="宋体" w:cs="宋体"/>
          <w:color w:val="auto"/>
          <w:kern w:val="0"/>
          <w:szCs w:val="21"/>
          <w:highlight w:val="none"/>
        </w:rPr>
        <w:t>第六条  本协议有效期为甲乙双方签署之日起至合同终止。</w:t>
      </w:r>
      <w:bookmarkEnd w:id="1341"/>
      <w:bookmarkEnd w:id="1342"/>
      <w:bookmarkEnd w:id="1343"/>
      <w:r>
        <w:rPr>
          <w:rFonts w:hint="eastAsia" w:ascii="宋体" w:hAnsi="宋体" w:cs="宋体"/>
          <w:color w:val="auto"/>
          <w:kern w:val="0"/>
          <w:szCs w:val="21"/>
          <w:highlight w:val="none"/>
        </w:rPr>
        <w:t xml:space="preserve">  </w:t>
      </w:r>
    </w:p>
    <w:p w14:paraId="18C9B99E">
      <w:pPr>
        <w:widowControl/>
        <w:spacing w:line="360" w:lineRule="auto"/>
        <w:ind w:firstLine="420" w:firstLineChars="200"/>
        <w:jc w:val="left"/>
        <w:rPr>
          <w:rFonts w:hint="eastAsia" w:ascii="宋体" w:hAnsi="宋体" w:cs="宋体"/>
          <w:color w:val="auto"/>
          <w:kern w:val="0"/>
          <w:szCs w:val="21"/>
          <w:highlight w:val="none"/>
        </w:rPr>
      </w:pPr>
      <w:bookmarkStart w:id="1344" w:name="_Toc24032"/>
      <w:bookmarkStart w:id="1345" w:name="_Toc95223503"/>
      <w:bookmarkStart w:id="1346" w:name="_Toc1871"/>
      <w:r>
        <w:rPr>
          <w:rFonts w:hint="eastAsia" w:ascii="宋体" w:hAnsi="宋体" w:cs="宋体"/>
          <w:color w:val="auto"/>
          <w:kern w:val="0"/>
          <w:szCs w:val="21"/>
          <w:highlight w:val="none"/>
        </w:rPr>
        <w:t>第七条  本协议作为合同的附件，与本合同具有同等法律效力。</w:t>
      </w:r>
      <w:bookmarkEnd w:id="1344"/>
      <w:bookmarkEnd w:id="1345"/>
      <w:bookmarkEnd w:id="1346"/>
    </w:p>
    <w:p w14:paraId="74E6A18A">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 </w:t>
      </w:r>
    </w:p>
    <w:p w14:paraId="44A5AD4C">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甲方（盖章）：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 xml:space="preserve">       乙方（盖章）：</w:t>
      </w:r>
      <w:r>
        <w:rPr>
          <w:rFonts w:hint="eastAsia" w:ascii="宋体" w:hAnsi="宋体" w:cs="宋体"/>
          <w:color w:val="auto"/>
          <w:kern w:val="0"/>
          <w:szCs w:val="21"/>
          <w:highlight w:val="none"/>
          <w:u w:val="single"/>
        </w:rPr>
        <w:t xml:space="preserve">                      </w:t>
      </w:r>
    </w:p>
    <w:p w14:paraId="3B2AFAD8">
      <w:pPr>
        <w:widowControl/>
        <w:spacing w:line="360" w:lineRule="auto"/>
        <w:ind w:firstLine="420" w:firstLineChars="200"/>
        <w:jc w:val="left"/>
        <w:rPr>
          <w:rFonts w:hint="eastAsia" w:ascii="宋体" w:hAnsi="宋体" w:cs="宋体"/>
          <w:color w:val="auto"/>
          <w:kern w:val="0"/>
          <w:szCs w:val="21"/>
          <w:highlight w:val="none"/>
        </w:rPr>
      </w:pPr>
    </w:p>
    <w:p w14:paraId="3D1C0B4A">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法定代表人或                                法定代表人或</w:t>
      </w:r>
    </w:p>
    <w:p w14:paraId="1C75D8FF">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授权代表：</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(职务)              授权代表：</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(职务)</w:t>
      </w:r>
    </w:p>
    <w:p w14:paraId="5640E0C5">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姓名：</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 xml:space="preserve">                         姓名：</w:t>
      </w:r>
      <w:r>
        <w:rPr>
          <w:rFonts w:hint="eastAsia" w:ascii="宋体" w:hAnsi="宋体" w:cs="宋体"/>
          <w:color w:val="auto"/>
          <w:kern w:val="0"/>
          <w:szCs w:val="21"/>
          <w:highlight w:val="none"/>
          <w:u w:val="single"/>
        </w:rPr>
        <w:t xml:space="preserve">             </w:t>
      </w:r>
    </w:p>
    <w:p w14:paraId="725E0179">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签字：</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 xml:space="preserve">                         签字：</w:t>
      </w:r>
      <w:r>
        <w:rPr>
          <w:rFonts w:hint="eastAsia" w:ascii="宋体" w:hAnsi="宋体" w:cs="宋体"/>
          <w:color w:val="auto"/>
          <w:kern w:val="0"/>
          <w:szCs w:val="21"/>
          <w:highlight w:val="none"/>
          <w:u w:val="single"/>
        </w:rPr>
        <w:t xml:space="preserve">             </w:t>
      </w:r>
    </w:p>
    <w:p w14:paraId="266FC0E2">
      <w:pPr>
        <w:widowControl/>
        <w:spacing w:line="360" w:lineRule="auto"/>
        <w:ind w:firstLine="420" w:firstLineChars="200"/>
        <w:jc w:val="left"/>
        <w:rPr>
          <w:rFonts w:hint="eastAsia" w:ascii="宋体" w:hAnsi="宋体" w:cs="宋体"/>
          <w:color w:val="auto"/>
          <w:kern w:val="0"/>
          <w:szCs w:val="21"/>
          <w:highlight w:val="none"/>
        </w:rPr>
      </w:pPr>
    </w:p>
    <w:p w14:paraId="776DF6CC">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廉政监督联系人                              廉政监督联系人</w:t>
      </w:r>
    </w:p>
    <w:p w14:paraId="2C341145">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姓名：</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 xml:space="preserve">               姓名：</w:t>
      </w:r>
      <w:r>
        <w:rPr>
          <w:rFonts w:hint="eastAsia" w:ascii="宋体" w:hAnsi="宋体" w:cs="宋体"/>
          <w:color w:val="auto"/>
          <w:kern w:val="0"/>
          <w:szCs w:val="21"/>
          <w:highlight w:val="none"/>
          <w:u w:val="single"/>
        </w:rPr>
        <w:t xml:space="preserve">                       </w:t>
      </w:r>
    </w:p>
    <w:p w14:paraId="35861181">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签字：</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 xml:space="preserve">               签字：</w:t>
      </w:r>
      <w:r>
        <w:rPr>
          <w:rFonts w:hint="eastAsia" w:ascii="宋体" w:hAnsi="宋体" w:cs="宋体"/>
          <w:color w:val="auto"/>
          <w:kern w:val="0"/>
          <w:szCs w:val="21"/>
          <w:highlight w:val="none"/>
          <w:u w:val="single"/>
        </w:rPr>
        <w:t xml:space="preserve">                       </w:t>
      </w:r>
    </w:p>
    <w:p w14:paraId="690D570F">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电话：</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 xml:space="preserve">               电话：</w:t>
      </w:r>
      <w:r>
        <w:rPr>
          <w:rFonts w:hint="eastAsia" w:ascii="宋体" w:hAnsi="宋体" w:cs="宋体"/>
          <w:color w:val="auto"/>
          <w:kern w:val="0"/>
          <w:szCs w:val="21"/>
          <w:highlight w:val="none"/>
          <w:u w:val="single"/>
        </w:rPr>
        <w:t xml:space="preserve">                       </w:t>
      </w:r>
    </w:p>
    <w:p w14:paraId="66538019">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地址：</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 xml:space="preserve">               地址：</w:t>
      </w:r>
      <w:r>
        <w:rPr>
          <w:rFonts w:hint="eastAsia" w:ascii="宋体" w:hAnsi="宋体" w:cs="宋体"/>
          <w:color w:val="auto"/>
          <w:kern w:val="0"/>
          <w:szCs w:val="21"/>
          <w:highlight w:val="none"/>
          <w:u w:val="single"/>
        </w:rPr>
        <w:t xml:space="preserve">                       </w:t>
      </w:r>
    </w:p>
    <w:p w14:paraId="57318095">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日期：</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 xml:space="preserve">               日期：</w:t>
      </w:r>
      <w:r>
        <w:rPr>
          <w:rFonts w:hint="eastAsia" w:ascii="宋体" w:hAnsi="宋体" w:cs="宋体"/>
          <w:color w:val="auto"/>
          <w:kern w:val="0"/>
          <w:szCs w:val="21"/>
          <w:highlight w:val="none"/>
          <w:u w:val="single"/>
        </w:rPr>
        <w:t xml:space="preserve">                       </w:t>
      </w:r>
    </w:p>
    <w:p w14:paraId="37399CB3">
      <w:pPr>
        <w:keepNext/>
        <w:keepLines/>
        <w:spacing w:before="120" w:after="120" w:line="360" w:lineRule="auto"/>
        <w:jc w:val="left"/>
        <w:outlineLvl w:val="2"/>
        <w:rPr>
          <w:rFonts w:hint="eastAsia" w:ascii="宋体" w:hAnsi="宋体" w:cs="宋体"/>
          <w:color w:val="auto"/>
          <w:szCs w:val="21"/>
          <w:highlight w:val="none"/>
        </w:rPr>
      </w:pPr>
      <w:r>
        <w:rPr>
          <w:rFonts w:hint="eastAsia" w:ascii="宋体" w:hAnsi="宋体" w:cs="宋体"/>
          <w:bCs/>
          <w:color w:val="auto"/>
          <w:kern w:val="0"/>
          <w:sz w:val="24"/>
          <w:szCs w:val="21"/>
          <w:highlight w:val="none"/>
        </w:rPr>
        <w:br w:type="page"/>
      </w:r>
      <w:bookmarkStart w:id="1347" w:name="_Toc95223504"/>
      <w:r>
        <w:rPr>
          <w:rFonts w:hint="eastAsia" w:ascii="宋体" w:hAnsi="宋体" w:cs="宋体"/>
          <w:bCs/>
          <w:color w:val="auto"/>
          <w:sz w:val="24"/>
          <w:highlight w:val="none"/>
        </w:rPr>
        <w:t>附件9：履约保证金</w:t>
      </w:r>
      <w:bookmarkEnd w:id="1347"/>
    </w:p>
    <w:p w14:paraId="73B788A0">
      <w:pPr>
        <w:adjustRightInd w:val="0"/>
        <w:snapToGrid w:val="0"/>
        <w:spacing w:line="360" w:lineRule="auto"/>
        <w:jc w:val="center"/>
        <w:rPr>
          <w:rFonts w:hint="eastAsia" w:ascii="宋体" w:hAnsi="宋体" w:cs="宋体"/>
          <w:b/>
          <w:bCs/>
          <w:color w:val="auto"/>
          <w:sz w:val="32"/>
          <w:szCs w:val="32"/>
          <w:highlight w:val="none"/>
        </w:rPr>
      </w:pPr>
      <w:bookmarkStart w:id="1348" w:name="_Toc95223505"/>
      <w:bookmarkStart w:id="1349" w:name="_Toc8655"/>
      <w:bookmarkStart w:id="1350" w:name="_Toc25855"/>
      <w:r>
        <w:rPr>
          <w:rFonts w:hint="eastAsia" w:ascii="宋体" w:hAnsi="宋体" w:cs="宋体"/>
          <w:b/>
          <w:bCs/>
          <w:color w:val="auto"/>
          <w:sz w:val="32"/>
          <w:szCs w:val="32"/>
          <w:highlight w:val="none"/>
        </w:rPr>
        <w:t>履约保函示范文本</w:t>
      </w:r>
      <w:bookmarkEnd w:id="1348"/>
      <w:bookmarkEnd w:id="1349"/>
      <w:bookmarkEnd w:id="1350"/>
    </w:p>
    <w:p w14:paraId="191B12D7">
      <w:pPr>
        <w:wordWrap w:val="0"/>
        <w:adjustRightInd w:val="0"/>
        <w:snapToGrid w:val="0"/>
        <w:spacing w:line="360" w:lineRule="auto"/>
        <w:jc w:val="right"/>
        <w:rPr>
          <w:rFonts w:hint="eastAsia" w:ascii="宋体" w:hAnsi="宋体" w:cs="宋体"/>
          <w:color w:val="auto"/>
          <w:szCs w:val="21"/>
          <w:highlight w:val="none"/>
        </w:rPr>
      </w:pPr>
      <w:r>
        <w:rPr>
          <w:rFonts w:hint="eastAsia" w:ascii="宋体" w:hAnsi="宋体" w:cs="宋体"/>
          <w:color w:val="auto"/>
          <w:szCs w:val="21"/>
          <w:highlight w:val="none"/>
        </w:rPr>
        <w:t xml:space="preserve">编号：           </w:t>
      </w:r>
    </w:p>
    <w:p w14:paraId="1DB5E965">
      <w:pPr>
        <w:adjustRightInd w:val="0"/>
        <w:snapToGrid w:val="0"/>
        <w:spacing w:line="360" w:lineRule="auto"/>
        <w:rPr>
          <w:rFonts w:hint="eastAsia" w:ascii="宋体" w:hAnsi="宋体" w:cs="宋体"/>
          <w:color w:val="auto"/>
          <w:szCs w:val="21"/>
          <w:highlight w:val="none"/>
        </w:rPr>
      </w:pPr>
    </w:p>
    <w:p w14:paraId="6A031B3A">
      <w:pPr>
        <w:adjustRightInd w:val="0"/>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（受益人名称）： </w:t>
      </w:r>
    </w:p>
    <w:p w14:paraId="7F6A6002">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鉴于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（以下简称“受益人”）与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（以下简称“申请人”）于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日就</w:t>
      </w:r>
      <w:r>
        <w:rPr>
          <w:rFonts w:hint="eastAsia" w:ascii="宋体" w:hAnsi="宋体" w:cs="宋体"/>
          <w:snapToGrid w:val="0"/>
          <w:color w:val="auto"/>
          <w:kern w:val="0"/>
          <w:szCs w:val="21"/>
          <w:highlight w:val="none"/>
          <w:u w:val="single"/>
        </w:rPr>
        <w:t xml:space="preserve">        </w:t>
      </w:r>
      <w:r>
        <w:rPr>
          <w:rFonts w:hint="eastAsia" w:ascii="宋体" w:hAnsi="宋体" w:cs="宋体"/>
          <w:snapToGrid w:val="0"/>
          <w:color w:val="auto"/>
          <w:kern w:val="0"/>
          <w:szCs w:val="21"/>
          <w:highlight w:val="none"/>
        </w:rPr>
        <w:t>（标段编号）的</w:t>
      </w:r>
      <w:r>
        <w:rPr>
          <w:rFonts w:hint="eastAsia" w:ascii="宋体" w:hAnsi="宋体" w:cs="宋体"/>
          <w:snapToGrid w:val="0"/>
          <w:color w:val="auto"/>
          <w:kern w:val="0"/>
          <w:szCs w:val="21"/>
          <w:highlight w:val="none"/>
          <w:u w:val="single"/>
        </w:rPr>
        <w:t xml:space="preserve">         </w:t>
      </w:r>
      <w:r>
        <w:rPr>
          <w:rFonts w:hint="eastAsia" w:ascii="宋体" w:hAnsi="宋体" w:cs="宋体"/>
          <w:snapToGrid w:val="0"/>
          <w:color w:val="auto"/>
          <w:kern w:val="0"/>
          <w:szCs w:val="21"/>
          <w:highlight w:val="none"/>
        </w:rPr>
        <w:t>（标段名称）</w:t>
      </w:r>
      <w:r>
        <w:rPr>
          <w:rFonts w:hint="eastAsia" w:ascii="宋体" w:hAnsi="宋体" w:cs="宋体"/>
          <w:color w:val="auto"/>
          <w:szCs w:val="21"/>
          <w:highlight w:val="none"/>
        </w:rPr>
        <w:t>有关事项协商一致共同签订</w:t>
      </w:r>
      <w:r>
        <w:rPr>
          <w:rFonts w:hint="eastAsia" w:ascii="宋体" w:hAnsi="宋体" w:cs="宋体"/>
          <w:color w:val="auto"/>
          <w:szCs w:val="21"/>
          <w:highlight w:val="none"/>
          <w:u w:val="single"/>
        </w:rPr>
        <w:t>《        》</w:t>
      </w:r>
      <w:r>
        <w:rPr>
          <w:rFonts w:hint="eastAsia" w:ascii="宋体" w:hAnsi="宋体" w:cs="宋体"/>
          <w:color w:val="auto"/>
          <w:szCs w:val="21"/>
          <w:highlight w:val="none"/>
        </w:rPr>
        <w:t xml:space="preserve">（以下简称“基础合同”），开立人根据基础合同了解到申请人为基础合同项下之承包人，受益人为基础合同项下之发包人，基于申请人的请求，开立人同意就申请人履行与受益人签订的基础合同项下的义务，向受益人提供不可撤销、不可转让的见索即付独立保函（以下简称“本保函”）。 </w:t>
      </w:r>
    </w:p>
    <w:p w14:paraId="3EE6242A">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一、本保函担保范围：承包人未按照基础合同的约定履行义务，应当向受益人承担的违约责任和赔偿因此造成的损失、利息、律师费、诉讼费用等实现债权的费用。</w:t>
      </w:r>
    </w:p>
    <w:p w14:paraId="460743F3">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二、本保函担保金额最高不超过人民币（大写）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5B09C371">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三、本保函有效期自开立之日起至基础合同约定的缺陷责任期满之日止。 </w:t>
      </w:r>
    </w:p>
    <w:p w14:paraId="23492488">
      <w:pPr>
        <w:adjustRightInd w:val="0"/>
        <w:snapToGrid w:val="0"/>
        <w:spacing w:line="360" w:lineRule="auto"/>
        <w:ind w:firstLine="480"/>
        <w:rPr>
          <w:rFonts w:hint="eastAsia" w:ascii="宋体" w:hAnsi="宋体" w:cs="宋体"/>
          <w:color w:val="auto"/>
          <w:szCs w:val="21"/>
          <w:highlight w:val="none"/>
        </w:rPr>
      </w:pPr>
      <w:bookmarkStart w:id="1351" w:name="_Hlk40302764"/>
      <w:r>
        <w:rPr>
          <w:rFonts w:hint="eastAsia" w:ascii="宋体" w:hAnsi="宋体" w:cs="宋体"/>
          <w:color w:val="auto"/>
          <w:szCs w:val="21"/>
          <w:highlight w:val="none"/>
        </w:rPr>
        <w:t>四、开立人承诺，在收到受益人发来的书面付款通知后的七日内无条件支付，前述书面付款通知即为付款要求之单据，且应满足以下要求：</w:t>
      </w:r>
    </w:p>
    <w:bookmarkEnd w:id="1351"/>
    <w:p w14:paraId="3F28D9AD">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（1）付款通知到达的日期在本保函的有效期内；</w:t>
      </w:r>
    </w:p>
    <w:p w14:paraId="038491F8">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（2）载明要求支付的金额；</w:t>
      </w:r>
    </w:p>
    <w:p w14:paraId="6ADBBE1A">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（3）载明申请人违反合同义务的条款和内容；</w:t>
      </w:r>
    </w:p>
    <w:p w14:paraId="76154413">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（4）声明不存在合同文件约定或我国法律规定免除申请人或开立人支付责任的情形；</w:t>
      </w:r>
    </w:p>
    <w:p w14:paraId="77269801">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（5）付款通知应在本保函有效期内到达的地址是：</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BD019F3">
      <w:pPr>
        <w:adjustRightInd w:val="0"/>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w:t>
      </w:r>
      <w:bookmarkStart w:id="1352" w:name="_Hlk40303486"/>
      <w:r>
        <w:rPr>
          <w:rFonts w:hint="eastAsia" w:ascii="宋体" w:hAnsi="宋体" w:cs="宋体"/>
          <w:color w:val="auto"/>
          <w:szCs w:val="21"/>
          <w:highlight w:val="none"/>
        </w:rPr>
        <w:t>受益人发出的书面付款通知应由其法定代表人（负责人）或授权代理人签字并加盖公章。</w:t>
      </w:r>
      <w:bookmarkEnd w:id="1352"/>
    </w:p>
    <w:p w14:paraId="3BACB8AC">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五、本保函项下的权利不得转让，不得设定担保。受益人未经我方书面同意转 让本保函或其项下任何权利，对我方不发生法律效力。 </w:t>
      </w:r>
    </w:p>
    <w:p w14:paraId="6C797DA1">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六、与本保函有关的基础合同不成立、不生效、无效、被撤销、被解除，不影响本保函的独立有效。 </w:t>
      </w:r>
    </w:p>
    <w:p w14:paraId="64C8FA94">
      <w:pPr>
        <w:adjustRightInd w:val="0"/>
        <w:snapToGrid w:val="0"/>
        <w:spacing w:line="360" w:lineRule="auto"/>
        <w:ind w:firstLine="420" w:firstLineChars="200"/>
        <w:rPr>
          <w:rFonts w:hint="eastAsia" w:ascii="宋体" w:hAnsi="宋体" w:cs="宋体"/>
          <w:color w:val="auto"/>
          <w:szCs w:val="21"/>
          <w:highlight w:val="none"/>
        </w:rPr>
      </w:pPr>
      <w:bookmarkStart w:id="1353" w:name="_Hlk40303383"/>
      <w:bookmarkStart w:id="1354" w:name="_Hlk40354981"/>
      <w:r>
        <w:rPr>
          <w:rFonts w:hint="eastAsia" w:ascii="宋体" w:hAnsi="宋体" w:cs="宋体"/>
          <w:color w:val="auto"/>
          <w:szCs w:val="21"/>
          <w:highlight w:val="none"/>
        </w:rPr>
        <w:t xml:space="preserve">七、本保函项下的义务和责任均在保函有效期到期后自动消灭。 </w:t>
      </w:r>
    </w:p>
    <w:p w14:paraId="19F59AB8">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八、本保函适用的法律为中华人民共和国法律，因本保函产生的纠纷案件，</w:t>
      </w:r>
      <w:bookmarkEnd w:id="1353"/>
      <w:r>
        <w:rPr>
          <w:rFonts w:hint="eastAsia" w:ascii="宋体" w:hAnsi="宋体" w:cs="宋体"/>
          <w:color w:val="auto"/>
          <w:szCs w:val="21"/>
          <w:highlight w:val="none"/>
        </w:rPr>
        <w:t xml:space="preserve">由受益人所在地人民法院管辖。 </w:t>
      </w:r>
    </w:p>
    <w:bookmarkEnd w:id="1354"/>
    <w:p w14:paraId="760A5B3B">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九、本保函自我方法定代表人或授权代表签字并加盖公章之日起生效。 </w:t>
      </w:r>
    </w:p>
    <w:p w14:paraId="55511CE6">
      <w:pPr>
        <w:adjustRightInd w:val="0"/>
        <w:snapToGrid w:val="0"/>
        <w:spacing w:line="360" w:lineRule="auto"/>
        <w:ind w:firstLine="420" w:firstLineChars="200"/>
        <w:rPr>
          <w:rFonts w:hint="eastAsia" w:ascii="宋体" w:hAnsi="宋体" w:cs="宋体"/>
          <w:color w:val="auto"/>
          <w:szCs w:val="21"/>
          <w:highlight w:val="none"/>
        </w:rPr>
      </w:pPr>
    </w:p>
    <w:p w14:paraId="46113FD7">
      <w:pPr>
        <w:adjustRightInd w:val="0"/>
        <w:snapToGrid w:val="0"/>
        <w:spacing w:line="360" w:lineRule="auto"/>
        <w:ind w:firstLine="420" w:firstLineChars="200"/>
        <w:rPr>
          <w:rFonts w:hint="eastAsia" w:ascii="宋体" w:hAnsi="宋体" w:cs="宋体"/>
          <w:color w:val="auto"/>
          <w:szCs w:val="21"/>
          <w:highlight w:val="none"/>
        </w:rPr>
      </w:pPr>
    </w:p>
    <w:p w14:paraId="33447417">
      <w:pPr>
        <w:adjustRightInd w:val="0"/>
        <w:snapToGrid w:val="0"/>
        <w:spacing w:line="360" w:lineRule="auto"/>
        <w:ind w:firstLine="420" w:firstLineChars="200"/>
        <w:rPr>
          <w:rFonts w:hint="eastAsia" w:ascii="宋体" w:hAnsi="宋体" w:cs="宋体"/>
          <w:color w:val="auto"/>
          <w:szCs w:val="21"/>
          <w:highlight w:val="none"/>
        </w:rPr>
      </w:pPr>
    </w:p>
    <w:p w14:paraId="16D6E4B9">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开 立 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（公章） </w:t>
      </w:r>
    </w:p>
    <w:p w14:paraId="247E7DD1">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法定代表人（或授权代表）：</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（签字） </w:t>
      </w:r>
    </w:p>
    <w:p w14:paraId="3F236C00">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 xml:space="preserve">                                       </w:t>
      </w:r>
    </w:p>
    <w:p w14:paraId="0F30F182">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 xml:space="preserve">                 </w:t>
      </w:r>
    </w:p>
    <w:p w14:paraId="6BC94AA0">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电    话：</w:t>
      </w:r>
      <w:r>
        <w:rPr>
          <w:rFonts w:hint="eastAsia" w:ascii="宋体" w:hAnsi="宋体" w:cs="宋体"/>
          <w:color w:val="auto"/>
          <w:szCs w:val="21"/>
          <w:highlight w:val="none"/>
          <w:u w:val="single"/>
        </w:rPr>
        <w:t xml:space="preserve">                 </w:t>
      </w:r>
    </w:p>
    <w:p w14:paraId="7390ED07">
      <w:pPr>
        <w:adjustRightInd w:val="0"/>
        <w:snapToGrid w:val="0"/>
        <w:spacing w:line="360"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 xml:space="preserve">                 </w:t>
      </w:r>
    </w:p>
    <w:p w14:paraId="0B54DBFD">
      <w:pPr>
        <w:adjustRightInd w:val="0"/>
        <w:snapToGrid w:val="0"/>
        <w:spacing w:line="360" w:lineRule="auto"/>
        <w:ind w:left="1323" w:leftChars="200" w:hanging="903" w:hangingChars="430"/>
        <w:rPr>
          <w:rFonts w:hint="eastAsia" w:ascii="宋体" w:hAnsi="宋体" w:cs="宋体"/>
          <w:color w:val="auto"/>
          <w:szCs w:val="21"/>
          <w:highlight w:val="none"/>
        </w:rPr>
      </w:pPr>
      <w:r>
        <w:rPr>
          <w:rFonts w:hint="eastAsia" w:ascii="宋体" w:hAnsi="宋体" w:cs="宋体"/>
          <w:color w:val="auto"/>
          <w:szCs w:val="21"/>
          <w:highlight w:val="none"/>
        </w:rPr>
        <w:t>开立时间：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6B7D52DE">
      <w:pPr>
        <w:spacing w:line="360" w:lineRule="auto"/>
        <w:ind w:left="1329" w:hanging="1329" w:hangingChars="633"/>
        <w:rPr>
          <w:rFonts w:hint="eastAsia" w:ascii="宋体" w:hAnsi="宋体" w:cs="宋体"/>
          <w:color w:val="auto"/>
          <w:szCs w:val="21"/>
          <w:highlight w:val="none"/>
        </w:rPr>
      </w:pPr>
    </w:p>
    <w:p w14:paraId="58F25415">
      <w:pPr>
        <w:pStyle w:val="19"/>
        <w:rPr>
          <w:rFonts w:hint="eastAsia"/>
          <w:color w:val="auto"/>
          <w:highlight w:val="none"/>
        </w:rPr>
      </w:pPr>
    </w:p>
    <w:p w14:paraId="3C86E321">
      <w:pPr>
        <w:rPr>
          <w:rFonts w:hint="eastAsia"/>
          <w:color w:val="auto"/>
          <w:highlight w:val="none"/>
        </w:rPr>
      </w:pPr>
    </w:p>
    <w:p w14:paraId="421E9B29">
      <w:pPr>
        <w:pStyle w:val="19"/>
        <w:rPr>
          <w:rFonts w:hint="eastAsia"/>
          <w:color w:val="auto"/>
          <w:highlight w:val="none"/>
        </w:rPr>
      </w:pPr>
    </w:p>
    <w:p w14:paraId="25A74BBC">
      <w:pPr>
        <w:rPr>
          <w:rFonts w:hint="eastAsia"/>
          <w:color w:val="auto"/>
          <w:highlight w:val="none"/>
        </w:rPr>
      </w:pPr>
    </w:p>
    <w:p w14:paraId="00318F98">
      <w:pPr>
        <w:pStyle w:val="19"/>
        <w:rPr>
          <w:rFonts w:hint="eastAsia"/>
          <w:color w:val="auto"/>
          <w:highlight w:val="none"/>
        </w:rPr>
      </w:pPr>
    </w:p>
    <w:p w14:paraId="31056E2D">
      <w:pPr>
        <w:rPr>
          <w:rFonts w:hint="eastAsia"/>
          <w:color w:val="auto"/>
          <w:highlight w:val="none"/>
        </w:rPr>
      </w:pPr>
    </w:p>
    <w:p w14:paraId="5B957CCA">
      <w:pPr>
        <w:pStyle w:val="19"/>
        <w:rPr>
          <w:rFonts w:hint="eastAsia"/>
          <w:color w:val="auto"/>
          <w:highlight w:val="none"/>
        </w:rPr>
      </w:pPr>
    </w:p>
    <w:p w14:paraId="52035F2B">
      <w:pPr>
        <w:rPr>
          <w:rFonts w:hint="eastAsia"/>
          <w:color w:val="auto"/>
          <w:highlight w:val="none"/>
        </w:rPr>
      </w:pPr>
    </w:p>
    <w:p w14:paraId="1544D9FF">
      <w:pPr>
        <w:pStyle w:val="19"/>
        <w:rPr>
          <w:rFonts w:hint="eastAsia"/>
          <w:color w:val="auto"/>
          <w:highlight w:val="none"/>
        </w:rPr>
      </w:pPr>
    </w:p>
    <w:p w14:paraId="00D4F261">
      <w:pPr>
        <w:rPr>
          <w:rFonts w:hint="eastAsia"/>
          <w:color w:val="auto"/>
          <w:highlight w:val="none"/>
        </w:rPr>
      </w:pPr>
    </w:p>
    <w:p w14:paraId="0DCD61E8">
      <w:pPr>
        <w:pStyle w:val="19"/>
        <w:rPr>
          <w:rFonts w:hint="eastAsia"/>
          <w:color w:val="auto"/>
          <w:highlight w:val="none"/>
        </w:rPr>
      </w:pPr>
    </w:p>
    <w:p w14:paraId="6624EA2B">
      <w:pPr>
        <w:rPr>
          <w:rFonts w:hint="eastAsia"/>
          <w:color w:val="auto"/>
          <w:highlight w:val="none"/>
        </w:rPr>
      </w:pPr>
    </w:p>
    <w:p w14:paraId="13154D33">
      <w:pPr>
        <w:pStyle w:val="19"/>
        <w:rPr>
          <w:rFonts w:hint="eastAsia"/>
          <w:color w:val="auto"/>
          <w:highlight w:val="none"/>
        </w:rPr>
      </w:pPr>
    </w:p>
    <w:p w14:paraId="11464B10">
      <w:pPr>
        <w:rPr>
          <w:rFonts w:hint="eastAsia"/>
          <w:color w:val="auto"/>
          <w:highlight w:val="none"/>
        </w:rPr>
      </w:pPr>
    </w:p>
    <w:p w14:paraId="6F69E6A2">
      <w:pPr>
        <w:pStyle w:val="19"/>
        <w:rPr>
          <w:rFonts w:hint="eastAsia"/>
          <w:color w:val="auto"/>
          <w:highlight w:val="none"/>
        </w:rPr>
      </w:pPr>
    </w:p>
    <w:p w14:paraId="12309E6B">
      <w:pPr>
        <w:rPr>
          <w:rFonts w:hint="eastAsia"/>
          <w:color w:val="auto"/>
          <w:highlight w:val="none"/>
        </w:rPr>
      </w:pPr>
    </w:p>
    <w:p w14:paraId="06362620">
      <w:pPr>
        <w:pStyle w:val="19"/>
        <w:rPr>
          <w:rFonts w:hint="eastAsia"/>
          <w:color w:val="auto"/>
          <w:highlight w:val="none"/>
        </w:rPr>
      </w:pPr>
    </w:p>
    <w:p w14:paraId="682E19B9">
      <w:pPr>
        <w:rPr>
          <w:rFonts w:hint="eastAsia"/>
          <w:color w:val="auto"/>
          <w:highlight w:val="none"/>
        </w:rPr>
      </w:pPr>
    </w:p>
    <w:p w14:paraId="594B559D">
      <w:pPr>
        <w:pStyle w:val="19"/>
        <w:rPr>
          <w:rFonts w:hint="eastAsia"/>
          <w:color w:val="auto"/>
          <w:highlight w:val="none"/>
        </w:rPr>
      </w:pPr>
    </w:p>
    <w:p w14:paraId="26A8125F">
      <w:pPr>
        <w:rPr>
          <w:rFonts w:hint="eastAsia"/>
          <w:color w:val="auto"/>
          <w:highlight w:val="none"/>
        </w:rPr>
      </w:pPr>
    </w:p>
    <w:p w14:paraId="468250FE">
      <w:pPr>
        <w:pStyle w:val="19"/>
        <w:rPr>
          <w:rFonts w:hint="eastAsia"/>
          <w:color w:val="auto"/>
          <w:highlight w:val="none"/>
        </w:rPr>
      </w:pPr>
    </w:p>
    <w:p w14:paraId="316D0E6F">
      <w:pPr>
        <w:rPr>
          <w:rFonts w:hint="eastAsia"/>
          <w:color w:val="auto"/>
          <w:highlight w:val="none"/>
        </w:rPr>
      </w:pPr>
    </w:p>
    <w:p w14:paraId="731F2795">
      <w:pPr>
        <w:pStyle w:val="19"/>
        <w:rPr>
          <w:rFonts w:hint="eastAsia"/>
          <w:color w:val="auto"/>
          <w:highlight w:val="none"/>
        </w:rPr>
      </w:pPr>
    </w:p>
    <w:p w14:paraId="03468979">
      <w:pPr>
        <w:pStyle w:val="19"/>
        <w:ind w:left="0" w:leftChars="0" w:firstLine="0" w:firstLineChars="0"/>
        <w:rPr>
          <w:rFonts w:hint="eastAsia"/>
          <w:color w:val="auto"/>
          <w:highlight w:val="none"/>
        </w:rPr>
      </w:pPr>
    </w:p>
    <w:p w14:paraId="59771464">
      <w:pPr>
        <w:pStyle w:val="19"/>
        <w:rPr>
          <w:rFonts w:hint="eastAsia"/>
          <w:color w:val="auto"/>
          <w:highlight w:val="none"/>
        </w:rPr>
      </w:pPr>
    </w:p>
    <w:p w14:paraId="35F006D6">
      <w:pPr>
        <w:rPr>
          <w:rFonts w:hint="eastAsia"/>
          <w:color w:val="auto"/>
          <w:highlight w:val="none"/>
        </w:rPr>
      </w:pPr>
    </w:p>
    <w:p w14:paraId="0D527360">
      <w:pPr>
        <w:pStyle w:val="19"/>
        <w:rPr>
          <w:rFonts w:hint="eastAsia"/>
          <w:color w:val="auto"/>
          <w:highlight w:val="none"/>
        </w:rPr>
      </w:pPr>
    </w:p>
    <w:p w14:paraId="02D4FF34">
      <w:pPr>
        <w:rPr>
          <w:rFonts w:hint="eastAsia"/>
          <w:color w:val="auto"/>
          <w:highlight w:val="none"/>
        </w:rPr>
      </w:pPr>
    </w:p>
    <w:p w14:paraId="5F7A9E62">
      <w:pPr>
        <w:pStyle w:val="19"/>
        <w:rPr>
          <w:rFonts w:hint="eastAsia"/>
          <w:color w:val="auto"/>
          <w:highlight w:val="none"/>
        </w:rPr>
      </w:pPr>
    </w:p>
    <w:p w14:paraId="541B6B0D">
      <w:pPr>
        <w:rPr>
          <w:rFonts w:hint="eastAsia"/>
          <w:color w:val="auto"/>
          <w:highlight w:val="none"/>
        </w:rPr>
      </w:pPr>
    </w:p>
    <w:p w14:paraId="4B221EB8">
      <w:pPr>
        <w:pStyle w:val="19"/>
        <w:rPr>
          <w:rFonts w:hint="eastAsia"/>
          <w:color w:val="auto"/>
          <w:highlight w:val="none"/>
        </w:rPr>
      </w:pPr>
    </w:p>
    <w:p w14:paraId="5C450C0E">
      <w:pPr>
        <w:rPr>
          <w:rFonts w:hint="eastAsia"/>
          <w:color w:val="auto"/>
          <w:highlight w:val="none"/>
        </w:rPr>
      </w:pPr>
    </w:p>
    <w:p w14:paraId="22AB1455">
      <w:pPr>
        <w:pStyle w:val="19"/>
        <w:rPr>
          <w:rFonts w:hint="eastAsia"/>
          <w:color w:val="auto"/>
          <w:highlight w:val="none"/>
        </w:rPr>
      </w:pPr>
    </w:p>
    <w:p w14:paraId="7F88EA1F">
      <w:pPr>
        <w:spacing w:line="360" w:lineRule="auto"/>
        <w:rPr>
          <w:rFonts w:hint="eastAsia" w:ascii="宋体" w:hAnsi="宋体" w:cs="宋体"/>
          <w:color w:val="auto"/>
          <w:szCs w:val="21"/>
          <w:highlight w:val="none"/>
        </w:rPr>
      </w:pPr>
    </w:p>
    <w:p w14:paraId="47072DBB">
      <w:pPr>
        <w:keepNext/>
        <w:keepLines/>
        <w:spacing w:before="120" w:after="120" w:line="360" w:lineRule="auto"/>
        <w:jc w:val="left"/>
        <w:outlineLvl w:val="2"/>
        <w:rPr>
          <w:rFonts w:ascii="宋体" w:hAnsi="宋体" w:cs="宋体"/>
          <w:bCs/>
          <w:color w:val="auto"/>
          <w:sz w:val="24"/>
          <w:highlight w:val="none"/>
        </w:rPr>
        <w:sectPr>
          <w:footnotePr>
            <w:numFmt w:val="decimalEnclosedCircleChinese"/>
            <w:numRestart w:val="eachPage"/>
          </w:footnotePr>
          <w:pgSz w:w="11907" w:h="16840"/>
          <w:pgMar w:top="1474" w:right="1474" w:bottom="1474" w:left="1474" w:header="799" w:footer="907" w:gutter="0"/>
          <w:pgNumType w:fmt="numberInDash"/>
          <w:cols w:space="720" w:num="1"/>
          <w:docGrid w:linePitch="271" w:charSpace="0"/>
        </w:sectPr>
      </w:pPr>
      <w:bookmarkStart w:id="1355" w:name="_Toc95223508"/>
    </w:p>
    <w:p w14:paraId="7C0BDEBE">
      <w:pPr>
        <w:keepNext/>
        <w:keepLines/>
        <w:spacing w:before="120" w:after="120" w:line="360" w:lineRule="auto"/>
        <w:jc w:val="left"/>
        <w:outlineLvl w:val="2"/>
        <w:rPr>
          <w:rFonts w:hint="eastAsia" w:ascii="宋体" w:hAnsi="宋体" w:cs="宋体"/>
          <w:bCs/>
          <w:color w:val="auto"/>
          <w:sz w:val="24"/>
          <w:highlight w:val="none"/>
        </w:rPr>
      </w:pPr>
      <w:r>
        <w:rPr>
          <w:rFonts w:hint="eastAsia" w:ascii="宋体" w:hAnsi="宋体" w:cs="宋体"/>
          <w:bCs/>
          <w:color w:val="auto"/>
          <w:sz w:val="24"/>
          <w:highlight w:val="none"/>
        </w:rPr>
        <w:t>附</w:t>
      </w:r>
      <w:bookmarkStart w:id="1356" w:name="_Toc296503233"/>
      <w:bookmarkStart w:id="1357" w:name="_Toc296891273"/>
      <w:bookmarkStart w:id="1358" w:name="_Toc296891061"/>
      <w:bookmarkStart w:id="1359" w:name="_Toc296347232"/>
      <w:bookmarkStart w:id="1360" w:name="_Toc296346734"/>
      <w:bookmarkStart w:id="1361" w:name="_Toc296944572"/>
      <w:r>
        <w:rPr>
          <w:rFonts w:hint="eastAsia" w:ascii="宋体" w:hAnsi="宋体" w:cs="宋体"/>
          <w:bCs/>
          <w:color w:val="auto"/>
          <w:sz w:val="24"/>
          <w:highlight w:val="none"/>
        </w:rPr>
        <w:t>件10：支付担保</w:t>
      </w:r>
      <w:bookmarkEnd w:id="1355"/>
      <w:bookmarkEnd w:id="1356"/>
      <w:bookmarkEnd w:id="1357"/>
      <w:bookmarkEnd w:id="1358"/>
      <w:bookmarkEnd w:id="1359"/>
      <w:bookmarkEnd w:id="1360"/>
      <w:bookmarkEnd w:id="1361"/>
    </w:p>
    <w:p w14:paraId="162FAA55">
      <w:pPr>
        <w:adjustRightInd w:val="0"/>
        <w:snapToGrid w:val="0"/>
        <w:spacing w:line="360" w:lineRule="auto"/>
        <w:jc w:val="center"/>
        <w:rPr>
          <w:rFonts w:hint="eastAsia" w:ascii="宋体" w:hAnsi="宋体" w:cs="宋体"/>
          <w:b/>
          <w:bCs/>
          <w:color w:val="auto"/>
          <w:sz w:val="32"/>
          <w:szCs w:val="32"/>
          <w:highlight w:val="none"/>
        </w:rPr>
      </w:pPr>
      <w:bookmarkStart w:id="1362" w:name="_Toc95223509"/>
      <w:bookmarkStart w:id="1363" w:name="_Toc3562"/>
      <w:bookmarkStart w:id="1364" w:name="_Toc8319"/>
      <w:r>
        <w:rPr>
          <w:rFonts w:hint="eastAsia" w:ascii="宋体" w:hAnsi="宋体" w:cs="宋体"/>
          <w:b/>
          <w:bCs/>
          <w:color w:val="auto"/>
          <w:sz w:val="32"/>
          <w:szCs w:val="32"/>
          <w:highlight w:val="none"/>
        </w:rPr>
        <w:t>支付保函示范文本</w:t>
      </w:r>
      <w:bookmarkEnd w:id="1362"/>
      <w:bookmarkEnd w:id="1363"/>
      <w:bookmarkEnd w:id="1364"/>
    </w:p>
    <w:p w14:paraId="4AEA7492">
      <w:pPr>
        <w:wordWrap w:val="0"/>
        <w:adjustRightInd w:val="0"/>
        <w:snapToGrid w:val="0"/>
        <w:spacing w:line="360" w:lineRule="auto"/>
        <w:jc w:val="right"/>
        <w:rPr>
          <w:rFonts w:hint="eastAsia" w:ascii="宋体" w:hAnsi="宋体" w:cs="宋体"/>
          <w:color w:val="auto"/>
          <w:szCs w:val="21"/>
          <w:highlight w:val="none"/>
        </w:rPr>
      </w:pPr>
      <w:r>
        <w:rPr>
          <w:rFonts w:hint="eastAsia" w:ascii="宋体" w:hAnsi="宋体" w:cs="宋体"/>
          <w:color w:val="auto"/>
          <w:szCs w:val="21"/>
          <w:highlight w:val="none"/>
        </w:rPr>
        <w:t xml:space="preserve">编号：           </w:t>
      </w:r>
    </w:p>
    <w:p w14:paraId="456416B3">
      <w:pPr>
        <w:adjustRightInd w:val="0"/>
        <w:snapToGrid w:val="0"/>
        <w:spacing w:line="360" w:lineRule="auto"/>
        <w:rPr>
          <w:rFonts w:hint="eastAsia" w:ascii="宋体" w:hAnsi="宋体" w:cs="宋体"/>
          <w:color w:val="auto"/>
          <w:szCs w:val="21"/>
          <w:highlight w:val="none"/>
        </w:rPr>
      </w:pPr>
    </w:p>
    <w:p w14:paraId="4FEA9BFE">
      <w:pPr>
        <w:adjustRightInd w:val="0"/>
        <w:snapToGrid w:val="0"/>
        <w:spacing w:line="360" w:lineRule="auto"/>
        <w:rPr>
          <w:rFonts w:hint="eastAsia" w:ascii="宋体" w:hAnsi="宋体" w:cs="宋体"/>
          <w:color w:val="auto"/>
          <w:szCs w:val="21"/>
          <w:highlight w:val="none"/>
        </w:rPr>
      </w:pPr>
      <w:bookmarkStart w:id="1365" w:name="_Hlk40355074"/>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（受益人名称）： </w:t>
      </w:r>
    </w:p>
    <w:bookmarkEnd w:id="1365"/>
    <w:p w14:paraId="5AF03AA6">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鉴于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（以下简称“受益人”）与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（以下简称“申请人”）于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日就</w:t>
      </w:r>
      <w:r>
        <w:rPr>
          <w:rFonts w:hint="eastAsia" w:ascii="宋体" w:hAnsi="宋体" w:cs="宋体"/>
          <w:snapToGrid w:val="0"/>
          <w:color w:val="auto"/>
          <w:kern w:val="0"/>
          <w:szCs w:val="21"/>
          <w:highlight w:val="none"/>
          <w:u w:val="single"/>
        </w:rPr>
        <w:t xml:space="preserve">        </w:t>
      </w:r>
      <w:r>
        <w:rPr>
          <w:rFonts w:hint="eastAsia" w:ascii="宋体" w:hAnsi="宋体" w:cs="宋体"/>
          <w:snapToGrid w:val="0"/>
          <w:color w:val="auto"/>
          <w:kern w:val="0"/>
          <w:szCs w:val="21"/>
          <w:highlight w:val="none"/>
        </w:rPr>
        <w:t>（标段编号）的</w:t>
      </w:r>
      <w:r>
        <w:rPr>
          <w:rFonts w:hint="eastAsia" w:ascii="宋体" w:hAnsi="宋体" w:cs="宋体"/>
          <w:snapToGrid w:val="0"/>
          <w:color w:val="auto"/>
          <w:kern w:val="0"/>
          <w:szCs w:val="21"/>
          <w:highlight w:val="none"/>
          <w:u w:val="single"/>
        </w:rPr>
        <w:t xml:space="preserve">         </w:t>
      </w:r>
      <w:r>
        <w:rPr>
          <w:rFonts w:hint="eastAsia" w:ascii="宋体" w:hAnsi="宋体" w:cs="宋体"/>
          <w:snapToGrid w:val="0"/>
          <w:color w:val="auto"/>
          <w:kern w:val="0"/>
          <w:szCs w:val="21"/>
          <w:highlight w:val="none"/>
        </w:rPr>
        <w:t>（标段名称）</w:t>
      </w:r>
      <w:r>
        <w:rPr>
          <w:rFonts w:hint="eastAsia" w:ascii="宋体" w:hAnsi="宋体" w:cs="宋体"/>
          <w:color w:val="auto"/>
          <w:szCs w:val="21"/>
          <w:highlight w:val="none"/>
        </w:rPr>
        <w:t>有关事项协商一致共同签订</w:t>
      </w:r>
      <w:r>
        <w:rPr>
          <w:rFonts w:hint="eastAsia" w:ascii="宋体" w:hAnsi="宋体" w:cs="宋体"/>
          <w:color w:val="auto"/>
          <w:szCs w:val="21"/>
          <w:highlight w:val="none"/>
          <w:u w:val="single"/>
        </w:rPr>
        <w:t>《        》</w:t>
      </w:r>
      <w:r>
        <w:rPr>
          <w:rFonts w:hint="eastAsia" w:ascii="宋体" w:hAnsi="宋体" w:cs="宋体"/>
          <w:color w:val="auto"/>
          <w:szCs w:val="21"/>
          <w:highlight w:val="none"/>
        </w:rPr>
        <w:t xml:space="preserve">（以下简称基础合同”），开立人根据基础合同了解到申请人为基础合同项下之发包人，受益人为基础合同项下之承包人，基于申请人的请求，开立人同意就申请人履行与受益人签订的基础合同项下的工程款（指基础合同约定的除工程质量保修金以外的工程款）付款义务，向受益人提供不可撤销、不可转让的见索即付独立保函（以下简称“本保函”）。 </w:t>
      </w:r>
    </w:p>
    <w:p w14:paraId="0BED8E74">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一、本保函担保范围：申请人未履行基础合同约定的工程款支付义务，应当向受益人承担的违约责任和赔偿因此造成的损失、利息、律师费、诉讼费用等实现债权的费用。</w:t>
      </w:r>
    </w:p>
    <w:p w14:paraId="51F3304B">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二、本保函担保金额最高不超过人民币（大写）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35676EDB">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三、本保函有效期自开立之日起至基础合同约定的除工程质量保修金以外的全部工程结算款项支付之日后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日止。 </w:t>
      </w:r>
    </w:p>
    <w:p w14:paraId="189597AF">
      <w:pPr>
        <w:adjustRightInd w:val="0"/>
        <w:snapToGrid w:val="0"/>
        <w:spacing w:line="360" w:lineRule="auto"/>
        <w:ind w:firstLine="480"/>
        <w:rPr>
          <w:rFonts w:hint="eastAsia" w:ascii="宋体" w:hAnsi="宋体" w:cs="宋体"/>
          <w:color w:val="auto"/>
          <w:szCs w:val="21"/>
          <w:highlight w:val="none"/>
        </w:rPr>
      </w:pPr>
      <w:r>
        <w:rPr>
          <w:rFonts w:hint="eastAsia" w:ascii="宋体" w:hAnsi="宋体" w:cs="宋体"/>
          <w:color w:val="auto"/>
          <w:szCs w:val="21"/>
          <w:highlight w:val="none"/>
        </w:rPr>
        <w:t>四、开立人承诺，在收到受益人发来的书面付款通知后的七日内无条件支付，前述书面付款通知即为付款要求之单据，且应满足以下要求：</w:t>
      </w:r>
    </w:p>
    <w:p w14:paraId="1ACBC28F">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（1）付款通知到达的日期在本保函的有效期内；</w:t>
      </w:r>
    </w:p>
    <w:p w14:paraId="7957118D">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（2）载明要求支付的金额；</w:t>
      </w:r>
    </w:p>
    <w:p w14:paraId="1ACBA2D9">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（3）载明申请人违反合同义务的条款和内容；</w:t>
      </w:r>
    </w:p>
    <w:p w14:paraId="26D8FC79">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（4）声明不存在合同文件约定或我国法律规定免除申请人或开立人支付责任的情形；</w:t>
      </w:r>
    </w:p>
    <w:p w14:paraId="72A772B9">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（5）付款通知应在本保函有效期内到达的地址是：</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B24892C">
      <w:pPr>
        <w:adjustRightInd w:val="0"/>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受益人发出的书面付款通知应由其法定代表人（负责人）或授权代理人签字并加盖公章。</w:t>
      </w:r>
    </w:p>
    <w:p w14:paraId="2B532CFF">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五、本保函项下的权利不得转让，不得设定担保。受益人未经开立人书面同意转让本保函或其项下任何权利，对开立人不发生法律效力。 </w:t>
      </w:r>
    </w:p>
    <w:p w14:paraId="5BDCBD61">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六、本保函项下的基础交易不成立、不生效、无效、被撤销、被解除，不影响本保函的独立有效。</w:t>
      </w:r>
    </w:p>
    <w:p w14:paraId="19FD66A7">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七、本保函项下的义务和责任均在保函有效期到期后自动消灭。 </w:t>
      </w:r>
    </w:p>
    <w:p w14:paraId="20A4A4D0">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八、本保函适用的法律为中华人民共和国法律，因本保函产生的纠纷案件，由申请人所在地人民法院管辖。 </w:t>
      </w:r>
    </w:p>
    <w:p w14:paraId="3A5CC2C8">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九、本保函自我方法定代表人或授权代表签字并加盖公章之日起生效。 </w:t>
      </w:r>
    </w:p>
    <w:p w14:paraId="2A35A2FD">
      <w:pPr>
        <w:adjustRightInd w:val="0"/>
        <w:snapToGrid w:val="0"/>
        <w:spacing w:line="360" w:lineRule="auto"/>
        <w:ind w:firstLine="420" w:firstLineChars="200"/>
        <w:rPr>
          <w:rFonts w:hint="eastAsia" w:ascii="宋体" w:hAnsi="宋体" w:cs="宋体"/>
          <w:color w:val="auto"/>
          <w:szCs w:val="21"/>
          <w:highlight w:val="none"/>
        </w:rPr>
      </w:pPr>
    </w:p>
    <w:p w14:paraId="5AB74D0E">
      <w:pPr>
        <w:adjustRightInd w:val="0"/>
        <w:snapToGrid w:val="0"/>
        <w:spacing w:line="360" w:lineRule="auto"/>
        <w:ind w:firstLine="420" w:firstLineChars="200"/>
        <w:rPr>
          <w:rFonts w:hint="eastAsia" w:ascii="宋体" w:hAnsi="宋体" w:cs="宋体"/>
          <w:color w:val="auto"/>
          <w:szCs w:val="21"/>
          <w:highlight w:val="none"/>
        </w:rPr>
      </w:pPr>
    </w:p>
    <w:p w14:paraId="21E79112">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开 立 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（公章） </w:t>
      </w:r>
    </w:p>
    <w:p w14:paraId="32D23B74">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法定代表人（或授权代表）：</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（签字） </w:t>
      </w:r>
    </w:p>
    <w:p w14:paraId="39EB0C34">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 xml:space="preserve">                                       </w:t>
      </w:r>
    </w:p>
    <w:p w14:paraId="73494382">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 xml:space="preserve">                 </w:t>
      </w:r>
    </w:p>
    <w:p w14:paraId="395FB9E2">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电    话：</w:t>
      </w:r>
      <w:r>
        <w:rPr>
          <w:rFonts w:hint="eastAsia" w:ascii="宋体" w:hAnsi="宋体" w:cs="宋体"/>
          <w:color w:val="auto"/>
          <w:szCs w:val="21"/>
          <w:highlight w:val="none"/>
          <w:u w:val="single"/>
        </w:rPr>
        <w:t xml:space="preserve">                 </w:t>
      </w:r>
    </w:p>
    <w:p w14:paraId="4C4EA4B3">
      <w:pPr>
        <w:adjustRightInd w:val="0"/>
        <w:snapToGrid w:val="0"/>
        <w:spacing w:line="360"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 xml:space="preserve">                 </w:t>
      </w:r>
    </w:p>
    <w:p w14:paraId="3B3768D0">
      <w:pPr>
        <w:adjustRightInd w:val="0"/>
        <w:snapToGrid w:val="0"/>
        <w:spacing w:line="360" w:lineRule="auto"/>
        <w:ind w:left="1323" w:leftChars="200" w:hanging="903" w:hangingChars="430"/>
        <w:rPr>
          <w:rFonts w:hint="eastAsia" w:ascii="宋体" w:hAnsi="宋体" w:cs="宋体"/>
          <w:color w:val="auto"/>
          <w:szCs w:val="21"/>
          <w:highlight w:val="none"/>
        </w:rPr>
      </w:pPr>
      <w:r>
        <w:rPr>
          <w:rFonts w:hint="eastAsia" w:ascii="宋体" w:hAnsi="宋体" w:cs="宋体"/>
          <w:color w:val="auto"/>
          <w:szCs w:val="21"/>
          <w:highlight w:val="none"/>
        </w:rPr>
        <w:t>开立时间：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48476237">
      <w:pPr>
        <w:adjustRightInd w:val="0"/>
        <w:snapToGrid w:val="0"/>
        <w:spacing w:line="360" w:lineRule="auto"/>
        <w:rPr>
          <w:rFonts w:hint="eastAsia" w:ascii="宋体" w:hAnsi="宋体" w:cs="宋体"/>
          <w:color w:val="auto"/>
          <w:szCs w:val="21"/>
          <w:highlight w:val="none"/>
        </w:rPr>
      </w:pPr>
    </w:p>
    <w:p w14:paraId="71EE749F">
      <w:pPr>
        <w:adjustRightInd w:val="0"/>
        <w:snapToGrid w:val="0"/>
        <w:spacing w:line="360" w:lineRule="auto"/>
        <w:rPr>
          <w:rFonts w:hint="eastAsia" w:ascii="宋体" w:hAnsi="宋体" w:cs="宋体"/>
          <w:color w:val="auto"/>
          <w:szCs w:val="21"/>
          <w:highlight w:val="none"/>
        </w:rPr>
      </w:pPr>
    </w:p>
    <w:p w14:paraId="5BFA1B8A">
      <w:pPr>
        <w:adjustRightInd w:val="0"/>
        <w:snapToGrid w:val="0"/>
        <w:spacing w:line="360" w:lineRule="auto"/>
        <w:rPr>
          <w:rFonts w:hint="eastAsia" w:ascii="宋体" w:hAnsi="宋体" w:cs="宋体"/>
          <w:color w:val="auto"/>
          <w:szCs w:val="21"/>
          <w:highlight w:val="none"/>
        </w:rPr>
      </w:pPr>
    </w:p>
    <w:p w14:paraId="2F979FAA">
      <w:pPr>
        <w:keepNext/>
        <w:keepLines/>
        <w:adjustRightInd w:val="0"/>
        <w:snapToGrid w:val="0"/>
        <w:spacing w:line="360" w:lineRule="auto"/>
        <w:jc w:val="left"/>
        <w:outlineLvl w:val="2"/>
        <w:rPr>
          <w:rFonts w:hint="eastAsia" w:ascii="宋体" w:hAnsi="宋体" w:cs="宋体"/>
          <w:bCs/>
          <w:color w:val="auto"/>
          <w:sz w:val="24"/>
          <w:highlight w:val="none"/>
        </w:rPr>
      </w:pPr>
      <w:r>
        <w:rPr>
          <w:rFonts w:hint="eastAsia" w:ascii="宋体" w:hAnsi="宋体" w:cs="宋体"/>
          <w:bCs/>
          <w:color w:val="auto"/>
          <w:sz w:val="24"/>
          <w:highlight w:val="none"/>
        </w:rPr>
        <w:br w:type="page"/>
      </w:r>
      <w:bookmarkStart w:id="1366" w:name="_Toc95223510"/>
      <w:r>
        <w:rPr>
          <w:rFonts w:hint="eastAsia" w:ascii="宋体" w:hAnsi="宋体" w:cs="宋体"/>
          <w:bCs/>
          <w:color w:val="auto"/>
          <w:sz w:val="24"/>
          <w:highlight w:val="none"/>
        </w:rPr>
        <w:t>附件11：暂估价一览表</w:t>
      </w:r>
      <w:bookmarkEnd w:id="1366"/>
    </w:p>
    <w:p w14:paraId="146F20F8">
      <w:pPr>
        <w:spacing w:before="120" w:beforeLines="50" w:after="120" w:afterLines="50"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12-1：材料暂估价表</w:t>
      </w:r>
    </w:p>
    <w:tbl>
      <w:tblPr>
        <w:tblStyle w:val="20"/>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216BF8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1868CBCC">
            <w:pPr>
              <w:keepNext/>
              <w:spacing w:line="440" w:lineRule="exact"/>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984" w:type="dxa"/>
            <w:tcBorders>
              <w:top w:val="single" w:color="auto" w:sz="12" w:space="0"/>
              <w:bottom w:val="double" w:color="auto" w:sz="6" w:space="0"/>
            </w:tcBorders>
            <w:noWrap w:val="0"/>
            <w:vAlign w:val="top"/>
          </w:tcPr>
          <w:p w14:paraId="3C59F3D4">
            <w:pPr>
              <w:keepNext/>
              <w:spacing w:line="440" w:lineRule="exact"/>
              <w:rPr>
                <w:rFonts w:hint="eastAsia" w:ascii="宋体" w:hAnsi="宋体" w:cs="宋体"/>
                <w:color w:val="auto"/>
                <w:szCs w:val="21"/>
                <w:highlight w:val="none"/>
              </w:rPr>
            </w:pPr>
            <w:r>
              <w:rPr>
                <w:rFonts w:hint="eastAsia" w:ascii="宋体" w:hAnsi="宋体" w:cs="宋体"/>
                <w:color w:val="auto"/>
                <w:szCs w:val="21"/>
                <w:highlight w:val="none"/>
              </w:rPr>
              <w:t>名称</w:t>
            </w:r>
          </w:p>
        </w:tc>
        <w:tc>
          <w:tcPr>
            <w:tcW w:w="851" w:type="dxa"/>
            <w:tcBorders>
              <w:top w:val="single" w:color="auto" w:sz="12" w:space="0"/>
              <w:bottom w:val="double" w:color="auto" w:sz="6" w:space="0"/>
            </w:tcBorders>
            <w:noWrap w:val="0"/>
            <w:vAlign w:val="top"/>
          </w:tcPr>
          <w:p w14:paraId="5C5DDCAA">
            <w:pPr>
              <w:keepNext/>
              <w:spacing w:line="440" w:lineRule="exact"/>
              <w:rPr>
                <w:rFonts w:hint="eastAsia" w:ascii="宋体" w:hAnsi="宋体" w:cs="宋体"/>
                <w:color w:val="auto"/>
                <w:szCs w:val="21"/>
                <w:highlight w:val="none"/>
              </w:rPr>
            </w:pPr>
            <w:r>
              <w:rPr>
                <w:rFonts w:hint="eastAsia" w:ascii="宋体" w:hAnsi="宋体" w:cs="宋体"/>
                <w:color w:val="auto"/>
                <w:szCs w:val="21"/>
                <w:highlight w:val="none"/>
              </w:rPr>
              <w:t>单位</w:t>
            </w:r>
          </w:p>
        </w:tc>
        <w:tc>
          <w:tcPr>
            <w:tcW w:w="774" w:type="dxa"/>
            <w:tcBorders>
              <w:top w:val="single" w:color="auto" w:sz="12" w:space="0"/>
              <w:bottom w:val="double" w:color="auto" w:sz="6" w:space="0"/>
            </w:tcBorders>
            <w:noWrap w:val="0"/>
            <w:vAlign w:val="top"/>
          </w:tcPr>
          <w:p w14:paraId="57A448B1">
            <w:pPr>
              <w:keepNext/>
              <w:spacing w:line="440" w:lineRule="exact"/>
              <w:rPr>
                <w:rFonts w:hint="eastAsia" w:ascii="宋体" w:hAnsi="宋体" w:cs="宋体"/>
                <w:color w:val="auto"/>
                <w:szCs w:val="21"/>
                <w:highlight w:val="none"/>
              </w:rPr>
            </w:pPr>
            <w:r>
              <w:rPr>
                <w:rFonts w:hint="eastAsia" w:ascii="宋体" w:hAnsi="宋体" w:cs="宋体"/>
                <w:color w:val="auto"/>
                <w:szCs w:val="21"/>
                <w:highlight w:val="none"/>
              </w:rPr>
              <w:t>数量</w:t>
            </w:r>
          </w:p>
        </w:tc>
        <w:tc>
          <w:tcPr>
            <w:tcW w:w="1352" w:type="dxa"/>
            <w:tcBorders>
              <w:top w:val="single" w:color="auto" w:sz="12" w:space="0"/>
              <w:bottom w:val="double" w:color="auto" w:sz="6" w:space="0"/>
            </w:tcBorders>
            <w:noWrap w:val="0"/>
            <w:vAlign w:val="top"/>
          </w:tcPr>
          <w:p w14:paraId="76E84C9F">
            <w:pPr>
              <w:keepNext/>
              <w:spacing w:line="440" w:lineRule="exact"/>
              <w:rPr>
                <w:rFonts w:hint="eastAsia" w:ascii="宋体" w:hAnsi="宋体" w:cs="宋体"/>
                <w:color w:val="auto"/>
                <w:szCs w:val="21"/>
                <w:highlight w:val="none"/>
              </w:rPr>
            </w:pPr>
            <w:r>
              <w:rPr>
                <w:rFonts w:hint="eastAsia" w:ascii="宋体" w:hAnsi="宋体" w:cs="宋体"/>
                <w:color w:val="auto"/>
                <w:szCs w:val="21"/>
                <w:highlight w:val="none"/>
              </w:rPr>
              <w:t>单价（元）</w:t>
            </w:r>
          </w:p>
        </w:tc>
        <w:tc>
          <w:tcPr>
            <w:tcW w:w="1418" w:type="dxa"/>
            <w:tcBorders>
              <w:top w:val="single" w:color="auto" w:sz="12" w:space="0"/>
              <w:bottom w:val="double" w:color="auto" w:sz="6" w:space="0"/>
            </w:tcBorders>
            <w:noWrap w:val="0"/>
            <w:vAlign w:val="top"/>
          </w:tcPr>
          <w:p w14:paraId="165476F9">
            <w:pPr>
              <w:keepNext/>
              <w:spacing w:line="440" w:lineRule="exact"/>
              <w:rPr>
                <w:rFonts w:hint="eastAsia" w:ascii="宋体" w:hAnsi="宋体" w:cs="宋体"/>
                <w:color w:val="auto"/>
                <w:szCs w:val="21"/>
                <w:highlight w:val="none"/>
              </w:rPr>
            </w:pPr>
            <w:r>
              <w:rPr>
                <w:rFonts w:hint="eastAsia" w:ascii="宋体" w:hAnsi="宋体" w:cs="宋体"/>
                <w:color w:val="auto"/>
                <w:szCs w:val="21"/>
                <w:highlight w:val="none"/>
              </w:rPr>
              <w:t>合价（元）</w:t>
            </w:r>
          </w:p>
        </w:tc>
        <w:tc>
          <w:tcPr>
            <w:tcW w:w="1701" w:type="dxa"/>
            <w:tcBorders>
              <w:top w:val="single" w:color="auto" w:sz="12" w:space="0"/>
              <w:bottom w:val="double" w:color="auto" w:sz="6" w:space="0"/>
            </w:tcBorders>
            <w:noWrap w:val="0"/>
            <w:vAlign w:val="top"/>
          </w:tcPr>
          <w:p w14:paraId="03CB6C63">
            <w:pPr>
              <w:keepNext/>
              <w:spacing w:line="440" w:lineRule="exact"/>
              <w:rPr>
                <w:rFonts w:hint="eastAsia" w:ascii="宋体" w:hAnsi="宋体" w:cs="宋体"/>
                <w:color w:val="auto"/>
                <w:szCs w:val="21"/>
                <w:highlight w:val="none"/>
              </w:rPr>
            </w:pPr>
            <w:r>
              <w:rPr>
                <w:rFonts w:hint="eastAsia" w:ascii="宋体" w:hAnsi="宋体" w:cs="宋体"/>
                <w:color w:val="auto"/>
                <w:szCs w:val="21"/>
                <w:highlight w:val="none"/>
              </w:rPr>
              <w:t>备注</w:t>
            </w:r>
          </w:p>
        </w:tc>
      </w:tr>
      <w:tr w14:paraId="028A76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tcBorders>
            <w:noWrap w:val="0"/>
            <w:vAlign w:val="top"/>
          </w:tcPr>
          <w:p w14:paraId="1A4034B7">
            <w:pPr>
              <w:keepNext/>
              <w:spacing w:line="440" w:lineRule="exact"/>
              <w:rPr>
                <w:rFonts w:hint="eastAsia" w:ascii="宋体" w:hAnsi="宋体" w:cs="宋体"/>
                <w:color w:val="auto"/>
                <w:szCs w:val="21"/>
                <w:highlight w:val="none"/>
              </w:rPr>
            </w:pPr>
          </w:p>
        </w:tc>
        <w:tc>
          <w:tcPr>
            <w:tcW w:w="1984" w:type="dxa"/>
            <w:tcBorders>
              <w:top w:val="double" w:color="auto" w:sz="6" w:space="0"/>
            </w:tcBorders>
            <w:noWrap w:val="0"/>
            <w:vAlign w:val="top"/>
          </w:tcPr>
          <w:p w14:paraId="28686243">
            <w:pPr>
              <w:keepNext/>
              <w:spacing w:line="440" w:lineRule="exact"/>
              <w:rPr>
                <w:rFonts w:hint="eastAsia" w:ascii="宋体" w:hAnsi="宋体" w:cs="宋体"/>
                <w:color w:val="auto"/>
                <w:szCs w:val="21"/>
                <w:highlight w:val="none"/>
              </w:rPr>
            </w:pPr>
          </w:p>
        </w:tc>
        <w:tc>
          <w:tcPr>
            <w:tcW w:w="851" w:type="dxa"/>
            <w:tcBorders>
              <w:top w:val="double" w:color="auto" w:sz="6" w:space="0"/>
            </w:tcBorders>
            <w:noWrap w:val="0"/>
            <w:vAlign w:val="top"/>
          </w:tcPr>
          <w:p w14:paraId="23FA4275">
            <w:pPr>
              <w:keepNext/>
              <w:spacing w:line="440" w:lineRule="exact"/>
              <w:rPr>
                <w:rFonts w:hint="eastAsia" w:ascii="宋体" w:hAnsi="宋体" w:cs="宋体"/>
                <w:color w:val="auto"/>
                <w:szCs w:val="21"/>
                <w:highlight w:val="none"/>
              </w:rPr>
            </w:pPr>
          </w:p>
        </w:tc>
        <w:tc>
          <w:tcPr>
            <w:tcW w:w="774" w:type="dxa"/>
            <w:tcBorders>
              <w:top w:val="double" w:color="auto" w:sz="6" w:space="0"/>
            </w:tcBorders>
            <w:noWrap w:val="0"/>
            <w:vAlign w:val="top"/>
          </w:tcPr>
          <w:p w14:paraId="0497628F">
            <w:pPr>
              <w:keepNext/>
              <w:spacing w:line="440" w:lineRule="exact"/>
              <w:rPr>
                <w:rFonts w:hint="eastAsia" w:ascii="宋体" w:hAnsi="宋体" w:cs="宋体"/>
                <w:color w:val="auto"/>
                <w:szCs w:val="21"/>
                <w:highlight w:val="none"/>
              </w:rPr>
            </w:pPr>
          </w:p>
        </w:tc>
        <w:tc>
          <w:tcPr>
            <w:tcW w:w="1352" w:type="dxa"/>
            <w:tcBorders>
              <w:top w:val="double" w:color="auto" w:sz="6" w:space="0"/>
            </w:tcBorders>
            <w:noWrap w:val="0"/>
            <w:vAlign w:val="top"/>
          </w:tcPr>
          <w:p w14:paraId="00883DEF">
            <w:pPr>
              <w:keepNext/>
              <w:spacing w:line="440" w:lineRule="exact"/>
              <w:rPr>
                <w:rFonts w:hint="eastAsia" w:ascii="宋体" w:hAnsi="宋体" w:cs="宋体"/>
                <w:color w:val="auto"/>
                <w:szCs w:val="21"/>
                <w:highlight w:val="none"/>
              </w:rPr>
            </w:pPr>
          </w:p>
        </w:tc>
        <w:tc>
          <w:tcPr>
            <w:tcW w:w="1418" w:type="dxa"/>
            <w:tcBorders>
              <w:top w:val="double" w:color="auto" w:sz="6" w:space="0"/>
            </w:tcBorders>
            <w:noWrap w:val="0"/>
            <w:vAlign w:val="top"/>
          </w:tcPr>
          <w:p w14:paraId="7CAABD59">
            <w:pPr>
              <w:keepNext/>
              <w:spacing w:line="440" w:lineRule="exact"/>
              <w:rPr>
                <w:rFonts w:hint="eastAsia" w:ascii="宋体" w:hAnsi="宋体" w:cs="宋体"/>
                <w:color w:val="auto"/>
                <w:szCs w:val="21"/>
                <w:highlight w:val="none"/>
              </w:rPr>
            </w:pPr>
          </w:p>
        </w:tc>
        <w:tc>
          <w:tcPr>
            <w:tcW w:w="1701" w:type="dxa"/>
            <w:tcBorders>
              <w:top w:val="double" w:color="auto" w:sz="6" w:space="0"/>
            </w:tcBorders>
            <w:noWrap w:val="0"/>
            <w:vAlign w:val="top"/>
          </w:tcPr>
          <w:p w14:paraId="30DBB0F1">
            <w:pPr>
              <w:keepNext/>
              <w:spacing w:line="440" w:lineRule="exact"/>
              <w:rPr>
                <w:rFonts w:hint="eastAsia" w:ascii="宋体" w:hAnsi="宋体" w:cs="宋体"/>
                <w:color w:val="auto"/>
                <w:szCs w:val="21"/>
                <w:highlight w:val="none"/>
              </w:rPr>
            </w:pPr>
          </w:p>
        </w:tc>
      </w:tr>
      <w:tr w14:paraId="606218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000F3157">
            <w:pPr>
              <w:keepNext/>
              <w:spacing w:line="440" w:lineRule="exact"/>
              <w:rPr>
                <w:rFonts w:hint="eastAsia" w:ascii="宋体" w:hAnsi="宋体" w:cs="宋体"/>
                <w:color w:val="auto"/>
                <w:szCs w:val="21"/>
                <w:highlight w:val="none"/>
              </w:rPr>
            </w:pPr>
          </w:p>
        </w:tc>
        <w:tc>
          <w:tcPr>
            <w:tcW w:w="1984" w:type="dxa"/>
            <w:tcBorders>
              <w:top w:val="nil"/>
            </w:tcBorders>
            <w:noWrap w:val="0"/>
            <w:vAlign w:val="top"/>
          </w:tcPr>
          <w:p w14:paraId="75227686">
            <w:pPr>
              <w:keepNext/>
              <w:spacing w:line="440" w:lineRule="exact"/>
              <w:rPr>
                <w:rFonts w:hint="eastAsia" w:ascii="宋体" w:hAnsi="宋体" w:cs="宋体"/>
                <w:color w:val="auto"/>
                <w:szCs w:val="21"/>
                <w:highlight w:val="none"/>
              </w:rPr>
            </w:pPr>
          </w:p>
        </w:tc>
        <w:tc>
          <w:tcPr>
            <w:tcW w:w="851" w:type="dxa"/>
            <w:tcBorders>
              <w:top w:val="nil"/>
            </w:tcBorders>
            <w:noWrap w:val="0"/>
            <w:vAlign w:val="top"/>
          </w:tcPr>
          <w:p w14:paraId="784F79D5">
            <w:pPr>
              <w:keepNext/>
              <w:spacing w:line="440" w:lineRule="exact"/>
              <w:rPr>
                <w:rFonts w:hint="eastAsia" w:ascii="宋体" w:hAnsi="宋体" w:cs="宋体"/>
                <w:color w:val="auto"/>
                <w:szCs w:val="21"/>
                <w:highlight w:val="none"/>
              </w:rPr>
            </w:pPr>
          </w:p>
        </w:tc>
        <w:tc>
          <w:tcPr>
            <w:tcW w:w="774" w:type="dxa"/>
            <w:tcBorders>
              <w:top w:val="nil"/>
            </w:tcBorders>
            <w:noWrap w:val="0"/>
            <w:vAlign w:val="top"/>
          </w:tcPr>
          <w:p w14:paraId="0384B8A4">
            <w:pPr>
              <w:keepNext/>
              <w:spacing w:line="440" w:lineRule="exact"/>
              <w:rPr>
                <w:rFonts w:hint="eastAsia" w:ascii="宋体" w:hAnsi="宋体" w:cs="宋体"/>
                <w:color w:val="auto"/>
                <w:szCs w:val="21"/>
                <w:highlight w:val="none"/>
              </w:rPr>
            </w:pPr>
          </w:p>
        </w:tc>
        <w:tc>
          <w:tcPr>
            <w:tcW w:w="1352" w:type="dxa"/>
            <w:tcBorders>
              <w:top w:val="nil"/>
            </w:tcBorders>
            <w:noWrap w:val="0"/>
            <w:vAlign w:val="top"/>
          </w:tcPr>
          <w:p w14:paraId="157533EA">
            <w:pPr>
              <w:keepNext/>
              <w:spacing w:line="440" w:lineRule="exact"/>
              <w:rPr>
                <w:rFonts w:hint="eastAsia" w:ascii="宋体" w:hAnsi="宋体" w:cs="宋体"/>
                <w:color w:val="auto"/>
                <w:szCs w:val="21"/>
                <w:highlight w:val="none"/>
              </w:rPr>
            </w:pPr>
          </w:p>
        </w:tc>
        <w:tc>
          <w:tcPr>
            <w:tcW w:w="1418" w:type="dxa"/>
            <w:tcBorders>
              <w:top w:val="nil"/>
            </w:tcBorders>
            <w:noWrap w:val="0"/>
            <w:vAlign w:val="top"/>
          </w:tcPr>
          <w:p w14:paraId="0CD9C2FA">
            <w:pPr>
              <w:keepNext/>
              <w:spacing w:line="440" w:lineRule="exact"/>
              <w:rPr>
                <w:rFonts w:hint="eastAsia" w:ascii="宋体" w:hAnsi="宋体" w:cs="宋体"/>
                <w:color w:val="auto"/>
                <w:szCs w:val="21"/>
                <w:highlight w:val="none"/>
              </w:rPr>
            </w:pPr>
          </w:p>
        </w:tc>
        <w:tc>
          <w:tcPr>
            <w:tcW w:w="1701" w:type="dxa"/>
            <w:tcBorders>
              <w:top w:val="nil"/>
            </w:tcBorders>
            <w:noWrap w:val="0"/>
            <w:vAlign w:val="top"/>
          </w:tcPr>
          <w:p w14:paraId="01B27AEB">
            <w:pPr>
              <w:keepNext/>
              <w:spacing w:line="440" w:lineRule="exact"/>
              <w:rPr>
                <w:rFonts w:hint="eastAsia" w:ascii="宋体" w:hAnsi="宋体" w:cs="宋体"/>
                <w:color w:val="auto"/>
                <w:szCs w:val="21"/>
                <w:highlight w:val="none"/>
              </w:rPr>
            </w:pPr>
          </w:p>
        </w:tc>
      </w:tr>
      <w:tr w14:paraId="65EC98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698C22F">
            <w:pPr>
              <w:keepNext/>
              <w:spacing w:line="440" w:lineRule="exact"/>
              <w:rPr>
                <w:rFonts w:hint="eastAsia" w:ascii="宋体" w:hAnsi="宋体" w:cs="宋体"/>
                <w:color w:val="auto"/>
                <w:szCs w:val="21"/>
                <w:highlight w:val="none"/>
              </w:rPr>
            </w:pPr>
          </w:p>
        </w:tc>
        <w:tc>
          <w:tcPr>
            <w:tcW w:w="1984" w:type="dxa"/>
            <w:noWrap w:val="0"/>
            <w:vAlign w:val="top"/>
          </w:tcPr>
          <w:p w14:paraId="441A724E">
            <w:pPr>
              <w:keepNext/>
              <w:spacing w:line="440" w:lineRule="exact"/>
              <w:rPr>
                <w:rFonts w:hint="eastAsia" w:ascii="宋体" w:hAnsi="宋体" w:cs="宋体"/>
                <w:color w:val="auto"/>
                <w:szCs w:val="21"/>
                <w:highlight w:val="none"/>
              </w:rPr>
            </w:pPr>
          </w:p>
        </w:tc>
        <w:tc>
          <w:tcPr>
            <w:tcW w:w="851" w:type="dxa"/>
            <w:noWrap w:val="0"/>
            <w:vAlign w:val="top"/>
          </w:tcPr>
          <w:p w14:paraId="4CE910BA">
            <w:pPr>
              <w:keepNext/>
              <w:spacing w:line="440" w:lineRule="exact"/>
              <w:rPr>
                <w:rFonts w:hint="eastAsia" w:ascii="宋体" w:hAnsi="宋体" w:cs="宋体"/>
                <w:color w:val="auto"/>
                <w:szCs w:val="21"/>
                <w:highlight w:val="none"/>
              </w:rPr>
            </w:pPr>
          </w:p>
        </w:tc>
        <w:tc>
          <w:tcPr>
            <w:tcW w:w="774" w:type="dxa"/>
            <w:noWrap w:val="0"/>
            <w:vAlign w:val="top"/>
          </w:tcPr>
          <w:p w14:paraId="14F2A243">
            <w:pPr>
              <w:keepNext/>
              <w:spacing w:line="440" w:lineRule="exact"/>
              <w:rPr>
                <w:rFonts w:hint="eastAsia" w:ascii="宋体" w:hAnsi="宋体" w:cs="宋体"/>
                <w:color w:val="auto"/>
                <w:szCs w:val="21"/>
                <w:highlight w:val="none"/>
              </w:rPr>
            </w:pPr>
          </w:p>
        </w:tc>
        <w:tc>
          <w:tcPr>
            <w:tcW w:w="1352" w:type="dxa"/>
            <w:noWrap w:val="0"/>
            <w:vAlign w:val="top"/>
          </w:tcPr>
          <w:p w14:paraId="07C6EB56">
            <w:pPr>
              <w:keepNext/>
              <w:spacing w:line="440" w:lineRule="exact"/>
              <w:rPr>
                <w:rFonts w:hint="eastAsia" w:ascii="宋体" w:hAnsi="宋体" w:cs="宋体"/>
                <w:color w:val="auto"/>
                <w:szCs w:val="21"/>
                <w:highlight w:val="none"/>
              </w:rPr>
            </w:pPr>
          </w:p>
        </w:tc>
        <w:tc>
          <w:tcPr>
            <w:tcW w:w="1418" w:type="dxa"/>
            <w:noWrap w:val="0"/>
            <w:vAlign w:val="top"/>
          </w:tcPr>
          <w:p w14:paraId="305AA19F">
            <w:pPr>
              <w:keepNext/>
              <w:spacing w:line="440" w:lineRule="exact"/>
              <w:rPr>
                <w:rFonts w:hint="eastAsia" w:ascii="宋体" w:hAnsi="宋体" w:cs="宋体"/>
                <w:color w:val="auto"/>
                <w:szCs w:val="21"/>
                <w:highlight w:val="none"/>
              </w:rPr>
            </w:pPr>
          </w:p>
        </w:tc>
        <w:tc>
          <w:tcPr>
            <w:tcW w:w="1701" w:type="dxa"/>
            <w:noWrap w:val="0"/>
            <w:vAlign w:val="top"/>
          </w:tcPr>
          <w:p w14:paraId="4EF50CD9">
            <w:pPr>
              <w:keepNext/>
              <w:spacing w:line="440" w:lineRule="exact"/>
              <w:rPr>
                <w:rFonts w:hint="eastAsia" w:ascii="宋体" w:hAnsi="宋体" w:cs="宋体"/>
                <w:color w:val="auto"/>
                <w:szCs w:val="21"/>
                <w:highlight w:val="none"/>
              </w:rPr>
            </w:pPr>
          </w:p>
        </w:tc>
      </w:tr>
      <w:tr w14:paraId="2571FE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06777F3">
            <w:pPr>
              <w:keepNext/>
              <w:spacing w:line="440" w:lineRule="exact"/>
              <w:rPr>
                <w:rFonts w:hint="eastAsia" w:ascii="宋体" w:hAnsi="宋体" w:cs="宋体"/>
                <w:color w:val="auto"/>
                <w:szCs w:val="21"/>
                <w:highlight w:val="none"/>
              </w:rPr>
            </w:pPr>
          </w:p>
        </w:tc>
        <w:tc>
          <w:tcPr>
            <w:tcW w:w="1984" w:type="dxa"/>
            <w:noWrap w:val="0"/>
            <w:vAlign w:val="top"/>
          </w:tcPr>
          <w:p w14:paraId="5C0C39B8">
            <w:pPr>
              <w:keepNext/>
              <w:spacing w:line="440" w:lineRule="exact"/>
              <w:rPr>
                <w:rFonts w:hint="eastAsia" w:ascii="宋体" w:hAnsi="宋体" w:cs="宋体"/>
                <w:color w:val="auto"/>
                <w:szCs w:val="21"/>
                <w:highlight w:val="none"/>
              </w:rPr>
            </w:pPr>
          </w:p>
        </w:tc>
        <w:tc>
          <w:tcPr>
            <w:tcW w:w="851" w:type="dxa"/>
            <w:noWrap w:val="0"/>
            <w:vAlign w:val="top"/>
          </w:tcPr>
          <w:p w14:paraId="3C41DEF1">
            <w:pPr>
              <w:keepNext/>
              <w:spacing w:line="440" w:lineRule="exact"/>
              <w:rPr>
                <w:rFonts w:hint="eastAsia" w:ascii="宋体" w:hAnsi="宋体" w:cs="宋体"/>
                <w:color w:val="auto"/>
                <w:szCs w:val="21"/>
                <w:highlight w:val="none"/>
              </w:rPr>
            </w:pPr>
          </w:p>
        </w:tc>
        <w:tc>
          <w:tcPr>
            <w:tcW w:w="774" w:type="dxa"/>
            <w:noWrap w:val="0"/>
            <w:vAlign w:val="top"/>
          </w:tcPr>
          <w:p w14:paraId="3EC5120A">
            <w:pPr>
              <w:keepNext/>
              <w:spacing w:line="440" w:lineRule="exact"/>
              <w:rPr>
                <w:rFonts w:hint="eastAsia" w:ascii="宋体" w:hAnsi="宋体" w:cs="宋体"/>
                <w:color w:val="auto"/>
                <w:szCs w:val="21"/>
                <w:highlight w:val="none"/>
              </w:rPr>
            </w:pPr>
          </w:p>
        </w:tc>
        <w:tc>
          <w:tcPr>
            <w:tcW w:w="1352" w:type="dxa"/>
            <w:noWrap w:val="0"/>
            <w:vAlign w:val="top"/>
          </w:tcPr>
          <w:p w14:paraId="643924C6">
            <w:pPr>
              <w:keepNext/>
              <w:spacing w:line="440" w:lineRule="exact"/>
              <w:rPr>
                <w:rFonts w:hint="eastAsia" w:ascii="宋体" w:hAnsi="宋体" w:cs="宋体"/>
                <w:color w:val="auto"/>
                <w:szCs w:val="21"/>
                <w:highlight w:val="none"/>
              </w:rPr>
            </w:pPr>
          </w:p>
        </w:tc>
        <w:tc>
          <w:tcPr>
            <w:tcW w:w="1418" w:type="dxa"/>
            <w:noWrap w:val="0"/>
            <w:vAlign w:val="top"/>
          </w:tcPr>
          <w:p w14:paraId="1F996C6C">
            <w:pPr>
              <w:keepNext/>
              <w:spacing w:line="440" w:lineRule="exact"/>
              <w:rPr>
                <w:rFonts w:hint="eastAsia" w:ascii="宋体" w:hAnsi="宋体" w:cs="宋体"/>
                <w:color w:val="auto"/>
                <w:szCs w:val="21"/>
                <w:highlight w:val="none"/>
              </w:rPr>
            </w:pPr>
          </w:p>
        </w:tc>
        <w:tc>
          <w:tcPr>
            <w:tcW w:w="1701" w:type="dxa"/>
            <w:noWrap w:val="0"/>
            <w:vAlign w:val="top"/>
          </w:tcPr>
          <w:p w14:paraId="3678AD62">
            <w:pPr>
              <w:keepNext/>
              <w:spacing w:line="440" w:lineRule="exact"/>
              <w:rPr>
                <w:rFonts w:hint="eastAsia" w:ascii="宋体" w:hAnsi="宋体" w:cs="宋体"/>
                <w:color w:val="auto"/>
                <w:szCs w:val="21"/>
                <w:highlight w:val="none"/>
              </w:rPr>
            </w:pPr>
          </w:p>
        </w:tc>
      </w:tr>
      <w:tr w14:paraId="11C57E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bottom w:val="single" w:color="auto" w:sz="12" w:space="0"/>
            </w:tcBorders>
            <w:noWrap w:val="0"/>
            <w:vAlign w:val="top"/>
          </w:tcPr>
          <w:p w14:paraId="40C983FB">
            <w:pPr>
              <w:keepNext/>
              <w:spacing w:line="440" w:lineRule="exact"/>
              <w:rPr>
                <w:rFonts w:hint="eastAsia" w:ascii="宋体" w:hAnsi="宋体" w:cs="宋体"/>
                <w:color w:val="auto"/>
                <w:szCs w:val="21"/>
                <w:highlight w:val="none"/>
              </w:rPr>
            </w:pPr>
          </w:p>
        </w:tc>
        <w:tc>
          <w:tcPr>
            <w:tcW w:w="1984" w:type="dxa"/>
            <w:tcBorders>
              <w:bottom w:val="single" w:color="auto" w:sz="12" w:space="0"/>
            </w:tcBorders>
            <w:noWrap w:val="0"/>
            <w:vAlign w:val="top"/>
          </w:tcPr>
          <w:p w14:paraId="476B123B">
            <w:pPr>
              <w:keepNext/>
              <w:spacing w:line="440" w:lineRule="exact"/>
              <w:rPr>
                <w:rFonts w:hint="eastAsia" w:ascii="宋体" w:hAnsi="宋体" w:cs="宋体"/>
                <w:color w:val="auto"/>
                <w:szCs w:val="21"/>
                <w:highlight w:val="none"/>
              </w:rPr>
            </w:pPr>
          </w:p>
        </w:tc>
        <w:tc>
          <w:tcPr>
            <w:tcW w:w="851" w:type="dxa"/>
            <w:tcBorders>
              <w:bottom w:val="single" w:color="auto" w:sz="12" w:space="0"/>
            </w:tcBorders>
            <w:noWrap w:val="0"/>
            <w:vAlign w:val="top"/>
          </w:tcPr>
          <w:p w14:paraId="1EEC0A71">
            <w:pPr>
              <w:keepNext/>
              <w:spacing w:line="440" w:lineRule="exact"/>
              <w:rPr>
                <w:rFonts w:hint="eastAsia" w:ascii="宋体" w:hAnsi="宋体" w:cs="宋体"/>
                <w:color w:val="auto"/>
                <w:szCs w:val="21"/>
                <w:highlight w:val="none"/>
              </w:rPr>
            </w:pPr>
          </w:p>
        </w:tc>
        <w:tc>
          <w:tcPr>
            <w:tcW w:w="774" w:type="dxa"/>
            <w:tcBorders>
              <w:bottom w:val="single" w:color="auto" w:sz="12" w:space="0"/>
            </w:tcBorders>
            <w:noWrap w:val="0"/>
            <w:vAlign w:val="top"/>
          </w:tcPr>
          <w:p w14:paraId="4656ACD9">
            <w:pPr>
              <w:keepNext/>
              <w:spacing w:line="440" w:lineRule="exact"/>
              <w:rPr>
                <w:rFonts w:hint="eastAsia" w:ascii="宋体" w:hAnsi="宋体" w:cs="宋体"/>
                <w:color w:val="auto"/>
                <w:szCs w:val="21"/>
                <w:highlight w:val="none"/>
              </w:rPr>
            </w:pPr>
          </w:p>
        </w:tc>
        <w:tc>
          <w:tcPr>
            <w:tcW w:w="1352" w:type="dxa"/>
            <w:tcBorders>
              <w:bottom w:val="single" w:color="auto" w:sz="12" w:space="0"/>
            </w:tcBorders>
            <w:noWrap w:val="0"/>
            <w:vAlign w:val="top"/>
          </w:tcPr>
          <w:p w14:paraId="62FEE887">
            <w:pPr>
              <w:keepNext/>
              <w:spacing w:line="440" w:lineRule="exact"/>
              <w:rPr>
                <w:rFonts w:hint="eastAsia" w:ascii="宋体" w:hAnsi="宋体" w:cs="宋体"/>
                <w:color w:val="auto"/>
                <w:szCs w:val="21"/>
                <w:highlight w:val="none"/>
              </w:rPr>
            </w:pPr>
          </w:p>
        </w:tc>
        <w:tc>
          <w:tcPr>
            <w:tcW w:w="1418" w:type="dxa"/>
            <w:tcBorders>
              <w:bottom w:val="single" w:color="auto" w:sz="12" w:space="0"/>
            </w:tcBorders>
            <w:noWrap w:val="0"/>
            <w:vAlign w:val="top"/>
          </w:tcPr>
          <w:p w14:paraId="09F43A1F">
            <w:pPr>
              <w:keepNext/>
              <w:spacing w:line="440" w:lineRule="exact"/>
              <w:rPr>
                <w:rFonts w:hint="eastAsia" w:ascii="宋体" w:hAnsi="宋体" w:cs="宋体"/>
                <w:color w:val="auto"/>
                <w:szCs w:val="21"/>
                <w:highlight w:val="none"/>
              </w:rPr>
            </w:pPr>
          </w:p>
        </w:tc>
        <w:tc>
          <w:tcPr>
            <w:tcW w:w="1701" w:type="dxa"/>
            <w:tcBorders>
              <w:bottom w:val="single" w:color="auto" w:sz="12" w:space="0"/>
            </w:tcBorders>
            <w:noWrap w:val="0"/>
            <w:vAlign w:val="top"/>
          </w:tcPr>
          <w:p w14:paraId="2D2C3443">
            <w:pPr>
              <w:keepNext/>
              <w:spacing w:line="440" w:lineRule="exact"/>
              <w:rPr>
                <w:rFonts w:hint="eastAsia" w:ascii="宋体" w:hAnsi="宋体" w:cs="宋体"/>
                <w:color w:val="auto"/>
                <w:szCs w:val="21"/>
                <w:highlight w:val="none"/>
              </w:rPr>
            </w:pPr>
          </w:p>
        </w:tc>
      </w:tr>
    </w:tbl>
    <w:p w14:paraId="1A076EA8">
      <w:pPr>
        <w:spacing w:before="120" w:beforeLines="50" w:after="120" w:afterLines="50" w:line="440" w:lineRule="exact"/>
        <w:rPr>
          <w:rFonts w:hint="eastAsia" w:ascii="宋体" w:hAnsi="宋体" w:cs="宋体"/>
          <w:color w:val="auto"/>
          <w:szCs w:val="21"/>
          <w:highlight w:val="none"/>
        </w:rPr>
      </w:pPr>
    </w:p>
    <w:p w14:paraId="7BCCDA81">
      <w:pPr>
        <w:spacing w:before="120" w:beforeLines="50" w:after="120" w:afterLines="50"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12-2：工程设备暂估价表</w:t>
      </w:r>
    </w:p>
    <w:tbl>
      <w:tblPr>
        <w:tblStyle w:val="20"/>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687A88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128B8C4D">
            <w:pPr>
              <w:keepNext/>
              <w:spacing w:line="440" w:lineRule="exact"/>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984" w:type="dxa"/>
            <w:tcBorders>
              <w:top w:val="single" w:color="auto" w:sz="12" w:space="0"/>
              <w:bottom w:val="double" w:color="auto" w:sz="6" w:space="0"/>
            </w:tcBorders>
            <w:noWrap w:val="0"/>
            <w:vAlign w:val="top"/>
          </w:tcPr>
          <w:p w14:paraId="170635B7">
            <w:pPr>
              <w:keepNext/>
              <w:spacing w:line="440" w:lineRule="exact"/>
              <w:rPr>
                <w:rFonts w:hint="eastAsia" w:ascii="宋体" w:hAnsi="宋体" w:cs="宋体"/>
                <w:color w:val="auto"/>
                <w:szCs w:val="21"/>
                <w:highlight w:val="none"/>
              </w:rPr>
            </w:pPr>
            <w:r>
              <w:rPr>
                <w:rFonts w:hint="eastAsia" w:ascii="宋体" w:hAnsi="宋体" w:cs="宋体"/>
                <w:color w:val="auto"/>
                <w:szCs w:val="21"/>
                <w:highlight w:val="none"/>
              </w:rPr>
              <w:t>名称</w:t>
            </w:r>
          </w:p>
        </w:tc>
        <w:tc>
          <w:tcPr>
            <w:tcW w:w="851" w:type="dxa"/>
            <w:tcBorders>
              <w:top w:val="single" w:color="auto" w:sz="12" w:space="0"/>
              <w:bottom w:val="double" w:color="auto" w:sz="6" w:space="0"/>
            </w:tcBorders>
            <w:noWrap w:val="0"/>
            <w:vAlign w:val="top"/>
          </w:tcPr>
          <w:p w14:paraId="1C20622B">
            <w:pPr>
              <w:keepNext/>
              <w:spacing w:line="440" w:lineRule="exact"/>
              <w:rPr>
                <w:rFonts w:hint="eastAsia" w:ascii="宋体" w:hAnsi="宋体" w:cs="宋体"/>
                <w:color w:val="auto"/>
                <w:szCs w:val="21"/>
                <w:highlight w:val="none"/>
              </w:rPr>
            </w:pPr>
            <w:r>
              <w:rPr>
                <w:rFonts w:hint="eastAsia" w:ascii="宋体" w:hAnsi="宋体" w:cs="宋体"/>
                <w:color w:val="auto"/>
                <w:szCs w:val="21"/>
                <w:highlight w:val="none"/>
              </w:rPr>
              <w:t>单位</w:t>
            </w:r>
          </w:p>
        </w:tc>
        <w:tc>
          <w:tcPr>
            <w:tcW w:w="774" w:type="dxa"/>
            <w:tcBorders>
              <w:top w:val="single" w:color="auto" w:sz="12" w:space="0"/>
              <w:bottom w:val="double" w:color="auto" w:sz="6" w:space="0"/>
            </w:tcBorders>
            <w:noWrap w:val="0"/>
            <w:vAlign w:val="top"/>
          </w:tcPr>
          <w:p w14:paraId="44ADA9FA">
            <w:pPr>
              <w:keepNext/>
              <w:spacing w:line="440" w:lineRule="exact"/>
              <w:rPr>
                <w:rFonts w:hint="eastAsia" w:ascii="宋体" w:hAnsi="宋体" w:cs="宋体"/>
                <w:color w:val="auto"/>
                <w:szCs w:val="21"/>
                <w:highlight w:val="none"/>
              </w:rPr>
            </w:pPr>
            <w:r>
              <w:rPr>
                <w:rFonts w:hint="eastAsia" w:ascii="宋体" w:hAnsi="宋体" w:cs="宋体"/>
                <w:color w:val="auto"/>
                <w:szCs w:val="21"/>
                <w:highlight w:val="none"/>
              </w:rPr>
              <w:t>数量</w:t>
            </w:r>
          </w:p>
        </w:tc>
        <w:tc>
          <w:tcPr>
            <w:tcW w:w="1352" w:type="dxa"/>
            <w:tcBorders>
              <w:top w:val="single" w:color="auto" w:sz="12" w:space="0"/>
              <w:bottom w:val="double" w:color="auto" w:sz="6" w:space="0"/>
            </w:tcBorders>
            <w:noWrap w:val="0"/>
            <w:vAlign w:val="top"/>
          </w:tcPr>
          <w:p w14:paraId="16FF35B9">
            <w:pPr>
              <w:keepNext/>
              <w:spacing w:line="440" w:lineRule="exact"/>
              <w:rPr>
                <w:rFonts w:hint="eastAsia" w:ascii="宋体" w:hAnsi="宋体" w:cs="宋体"/>
                <w:color w:val="auto"/>
                <w:szCs w:val="21"/>
                <w:highlight w:val="none"/>
              </w:rPr>
            </w:pPr>
            <w:r>
              <w:rPr>
                <w:rFonts w:hint="eastAsia" w:ascii="宋体" w:hAnsi="宋体" w:cs="宋体"/>
                <w:color w:val="auto"/>
                <w:szCs w:val="21"/>
                <w:highlight w:val="none"/>
              </w:rPr>
              <w:t>单价（元）</w:t>
            </w:r>
          </w:p>
        </w:tc>
        <w:tc>
          <w:tcPr>
            <w:tcW w:w="1418" w:type="dxa"/>
            <w:tcBorders>
              <w:top w:val="single" w:color="auto" w:sz="12" w:space="0"/>
              <w:bottom w:val="double" w:color="auto" w:sz="6" w:space="0"/>
            </w:tcBorders>
            <w:noWrap w:val="0"/>
            <w:vAlign w:val="top"/>
          </w:tcPr>
          <w:p w14:paraId="60622D0B">
            <w:pPr>
              <w:keepNext/>
              <w:spacing w:line="440" w:lineRule="exact"/>
              <w:rPr>
                <w:rFonts w:hint="eastAsia" w:ascii="宋体" w:hAnsi="宋体" w:cs="宋体"/>
                <w:color w:val="auto"/>
                <w:szCs w:val="21"/>
                <w:highlight w:val="none"/>
              </w:rPr>
            </w:pPr>
            <w:r>
              <w:rPr>
                <w:rFonts w:hint="eastAsia" w:ascii="宋体" w:hAnsi="宋体" w:cs="宋体"/>
                <w:color w:val="auto"/>
                <w:szCs w:val="21"/>
                <w:highlight w:val="none"/>
              </w:rPr>
              <w:t>合价（元）</w:t>
            </w:r>
          </w:p>
        </w:tc>
        <w:tc>
          <w:tcPr>
            <w:tcW w:w="1701" w:type="dxa"/>
            <w:tcBorders>
              <w:top w:val="single" w:color="auto" w:sz="12" w:space="0"/>
              <w:bottom w:val="double" w:color="auto" w:sz="6" w:space="0"/>
            </w:tcBorders>
            <w:noWrap w:val="0"/>
            <w:vAlign w:val="top"/>
          </w:tcPr>
          <w:p w14:paraId="124FC529">
            <w:pPr>
              <w:keepNext/>
              <w:spacing w:line="440" w:lineRule="exact"/>
              <w:rPr>
                <w:rFonts w:hint="eastAsia" w:ascii="宋体" w:hAnsi="宋体" w:cs="宋体"/>
                <w:color w:val="auto"/>
                <w:szCs w:val="21"/>
                <w:highlight w:val="none"/>
              </w:rPr>
            </w:pPr>
            <w:r>
              <w:rPr>
                <w:rFonts w:hint="eastAsia" w:ascii="宋体" w:hAnsi="宋体" w:cs="宋体"/>
                <w:color w:val="auto"/>
                <w:szCs w:val="21"/>
                <w:highlight w:val="none"/>
              </w:rPr>
              <w:t>备注</w:t>
            </w:r>
          </w:p>
        </w:tc>
      </w:tr>
      <w:tr w14:paraId="1ABCB4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tcBorders>
            <w:noWrap w:val="0"/>
            <w:vAlign w:val="top"/>
          </w:tcPr>
          <w:p w14:paraId="4F92AF04">
            <w:pPr>
              <w:keepNext/>
              <w:spacing w:line="440" w:lineRule="exact"/>
              <w:rPr>
                <w:rFonts w:hint="eastAsia" w:ascii="宋体" w:hAnsi="宋体" w:cs="宋体"/>
                <w:color w:val="auto"/>
                <w:szCs w:val="21"/>
                <w:highlight w:val="none"/>
              </w:rPr>
            </w:pPr>
          </w:p>
        </w:tc>
        <w:tc>
          <w:tcPr>
            <w:tcW w:w="1984" w:type="dxa"/>
            <w:tcBorders>
              <w:top w:val="double" w:color="auto" w:sz="6" w:space="0"/>
            </w:tcBorders>
            <w:noWrap w:val="0"/>
            <w:vAlign w:val="top"/>
          </w:tcPr>
          <w:p w14:paraId="6E6026F4">
            <w:pPr>
              <w:keepNext/>
              <w:spacing w:line="440" w:lineRule="exact"/>
              <w:rPr>
                <w:rFonts w:hint="eastAsia" w:ascii="宋体" w:hAnsi="宋体" w:cs="宋体"/>
                <w:color w:val="auto"/>
                <w:szCs w:val="21"/>
                <w:highlight w:val="none"/>
              </w:rPr>
            </w:pPr>
          </w:p>
        </w:tc>
        <w:tc>
          <w:tcPr>
            <w:tcW w:w="851" w:type="dxa"/>
            <w:tcBorders>
              <w:top w:val="double" w:color="auto" w:sz="6" w:space="0"/>
            </w:tcBorders>
            <w:noWrap w:val="0"/>
            <w:vAlign w:val="top"/>
          </w:tcPr>
          <w:p w14:paraId="4AFB4DF9">
            <w:pPr>
              <w:keepNext/>
              <w:spacing w:line="440" w:lineRule="exact"/>
              <w:rPr>
                <w:rFonts w:hint="eastAsia" w:ascii="宋体" w:hAnsi="宋体" w:cs="宋体"/>
                <w:color w:val="auto"/>
                <w:szCs w:val="21"/>
                <w:highlight w:val="none"/>
              </w:rPr>
            </w:pPr>
          </w:p>
        </w:tc>
        <w:tc>
          <w:tcPr>
            <w:tcW w:w="774" w:type="dxa"/>
            <w:tcBorders>
              <w:top w:val="double" w:color="auto" w:sz="6" w:space="0"/>
            </w:tcBorders>
            <w:noWrap w:val="0"/>
            <w:vAlign w:val="top"/>
          </w:tcPr>
          <w:p w14:paraId="4B4B72D8">
            <w:pPr>
              <w:keepNext/>
              <w:spacing w:line="440" w:lineRule="exact"/>
              <w:rPr>
                <w:rFonts w:hint="eastAsia" w:ascii="宋体" w:hAnsi="宋体" w:cs="宋体"/>
                <w:color w:val="auto"/>
                <w:szCs w:val="21"/>
                <w:highlight w:val="none"/>
              </w:rPr>
            </w:pPr>
          </w:p>
        </w:tc>
        <w:tc>
          <w:tcPr>
            <w:tcW w:w="1352" w:type="dxa"/>
            <w:tcBorders>
              <w:top w:val="double" w:color="auto" w:sz="6" w:space="0"/>
            </w:tcBorders>
            <w:noWrap w:val="0"/>
            <w:vAlign w:val="top"/>
          </w:tcPr>
          <w:p w14:paraId="3B914D08">
            <w:pPr>
              <w:keepNext/>
              <w:spacing w:line="440" w:lineRule="exact"/>
              <w:rPr>
                <w:rFonts w:hint="eastAsia" w:ascii="宋体" w:hAnsi="宋体" w:cs="宋体"/>
                <w:color w:val="auto"/>
                <w:szCs w:val="21"/>
                <w:highlight w:val="none"/>
              </w:rPr>
            </w:pPr>
          </w:p>
        </w:tc>
        <w:tc>
          <w:tcPr>
            <w:tcW w:w="1418" w:type="dxa"/>
            <w:tcBorders>
              <w:top w:val="double" w:color="auto" w:sz="6" w:space="0"/>
            </w:tcBorders>
            <w:noWrap w:val="0"/>
            <w:vAlign w:val="top"/>
          </w:tcPr>
          <w:p w14:paraId="35710CDF">
            <w:pPr>
              <w:keepNext/>
              <w:spacing w:line="440" w:lineRule="exact"/>
              <w:rPr>
                <w:rFonts w:hint="eastAsia" w:ascii="宋体" w:hAnsi="宋体" w:cs="宋体"/>
                <w:color w:val="auto"/>
                <w:szCs w:val="21"/>
                <w:highlight w:val="none"/>
              </w:rPr>
            </w:pPr>
          </w:p>
        </w:tc>
        <w:tc>
          <w:tcPr>
            <w:tcW w:w="1701" w:type="dxa"/>
            <w:tcBorders>
              <w:top w:val="double" w:color="auto" w:sz="6" w:space="0"/>
            </w:tcBorders>
            <w:noWrap w:val="0"/>
            <w:vAlign w:val="top"/>
          </w:tcPr>
          <w:p w14:paraId="5EA0C569">
            <w:pPr>
              <w:keepNext/>
              <w:spacing w:line="440" w:lineRule="exact"/>
              <w:rPr>
                <w:rFonts w:hint="eastAsia" w:ascii="宋体" w:hAnsi="宋体" w:cs="宋体"/>
                <w:color w:val="auto"/>
                <w:szCs w:val="21"/>
                <w:highlight w:val="none"/>
              </w:rPr>
            </w:pPr>
          </w:p>
        </w:tc>
      </w:tr>
      <w:tr w14:paraId="2C204C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64589B30">
            <w:pPr>
              <w:keepNext/>
              <w:spacing w:line="440" w:lineRule="exact"/>
              <w:rPr>
                <w:rFonts w:hint="eastAsia" w:ascii="宋体" w:hAnsi="宋体" w:cs="宋体"/>
                <w:color w:val="auto"/>
                <w:szCs w:val="21"/>
                <w:highlight w:val="none"/>
              </w:rPr>
            </w:pPr>
          </w:p>
        </w:tc>
        <w:tc>
          <w:tcPr>
            <w:tcW w:w="1984" w:type="dxa"/>
            <w:tcBorders>
              <w:top w:val="nil"/>
            </w:tcBorders>
            <w:noWrap w:val="0"/>
            <w:vAlign w:val="top"/>
          </w:tcPr>
          <w:p w14:paraId="16F91195">
            <w:pPr>
              <w:keepNext/>
              <w:spacing w:line="440" w:lineRule="exact"/>
              <w:rPr>
                <w:rFonts w:hint="eastAsia" w:ascii="宋体" w:hAnsi="宋体" w:cs="宋体"/>
                <w:color w:val="auto"/>
                <w:szCs w:val="21"/>
                <w:highlight w:val="none"/>
              </w:rPr>
            </w:pPr>
          </w:p>
        </w:tc>
        <w:tc>
          <w:tcPr>
            <w:tcW w:w="851" w:type="dxa"/>
            <w:tcBorders>
              <w:top w:val="nil"/>
            </w:tcBorders>
            <w:noWrap w:val="0"/>
            <w:vAlign w:val="top"/>
          </w:tcPr>
          <w:p w14:paraId="352909D0">
            <w:pPr>
              <w:keepNext/>
              <w:spacing w:line="440" w:lineRule="exact"/>
              <w:rPr>
                <w:rFonts w:hint="eastAsia" w:ascii="宋体" w:hAnsi="宋体" w:cs="宋体"/>
                <w:color w:val="auto"/>
                <w:szCs w:val="21"/>
                <w:highlight w:val="none"/>
              </w:rPr>
            </w:pPr>
          </w:p>
        </w:tc>
        <w:tc>
          <w:tcPr>
            <w:tcW w:w="774" w:type="dxa"/>
            <w:tcBorders>
              <w:top w:val="nil"/>
            </w:tcBorders>
            <w:noWrap w:val="0"/>
            <w:vAlign w:val="top"/>
          </w:tcPr>
          <w:p w14:paraId="17329027">
            <w:pPr>
              <w:keepNext/>
              <w:spacing w:line="440" w:lineRule="exact"/>
              <w:rPr>
                <w:rFonts w:hint="eastAsia" w:ascii="宋体" w:hAnsi="宋体" w:cs="宋体"/>
                <w:color w:val="auto"/>
                <w:szCs w:val="21"/>
                <w:highlight w:val="none"/>
              </w:rPr>
            </w:pPr>
          </w:p>
        </w:tc>
        <w:tc>
          <w:tcPr>
            <w:tcW w:w="1352" w:type="dxa"/>
            <w:tcBorders>
              <w:top w:val="nil"/>
            </w:tcBorders>
            <w:noWrap w:val="0"/>
            <w:vAlign w:val="top"/>
          </w:tcPr>
          <w:p w14:paraId="48696F6D">
            <w:pPr>
              <w:keepNext/>
              <w:spacing w:line="440" w:lineRule="exact"/>
              <w:rPr>
                <w:rFonts w:hint="eastAsia" w:ascii="宋体" w:hAnsi="宋体" w:cs="宋体"/>
                <w:color w:val="auto"/>
                <w:szCs w:val="21"/>
                <w:highlight w:val="none"/>
              </w:rPr>
            </w:pPr>
          </w:p>
        </w:tc>
        <w:tc>
          <w:tcPr>
            <w:tcW w:w="1418" w:type="dxa"/>
            <w:tcBorders>
              <w:top w:val="nil"/>
            </w:tcBorders>
            <w:noWrap w:val="0"/>
            <w:vAlign w:val="top"/>
          </w:tcPr>
          <w:p w14:paraId="0CF252B3">
            <w:pPr>
              <w:keepNext/>
              <w:spacing w:line="440" w:lineRule="exact"/>
              <w:rPr>
                <w:rFonts w:hint="eastAsia" w:ascii="宋体" w:hAnsi="宋体" w:cs="宋体"/>
                <w:color w:val="auto"/>
                <w:szCs w:val="21"/>
                <w:highlight w:val="none"/>
              </w:rPr>
            </w:pPr>
          </w:p>
        </w:tc>
        <w:tc>
          <w:tcPr>
            <w:tcW w:w="1701" w:type="dxa"/>
            <w:tcBorders>
              <w:top w:val="nil"/>
            </w:tcBorders>
            <w:noWrap w:val="0"/>
            <w:vAlign w:val="top"/>
          </w:tcPr>
          <w:p w14:paraId="3A0B0479">
            <w:pPr>
              <w:keepNext/>
              <w:spacing w:line="440" w:lineRule="exact"/>
              <w:rPr>
                <w:rFonts w:hint="eastAsia" w:ascii="宋体" w:hAnsi="宋体" w:cs="宋体"/>
                <w:color w:val="auto"/>
                <w:szCs w:val="21"/>
                <w:highlight w:val="none"/>
              </w:rPr>
            </w:pPr>
          </w:p>
        </w:tc>
      </w:tr>
      <w:tr w14:paraId="4CBA25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AB9D94A">
            <w:pPr>
              <w:keepNext/>
              <w:spacing w:line="440" w:lineRule="exact"/>
              <w:rPr>
                <w:rFonts w:hint="eastAsia" w:ascii="宋体" w:hAnsi="宋体" w:cs="宋体"/>
                <w:color w:val="auto"/>
                <w:szCs w:val="21"/>
                <w:highlight w:val="none"/>
              </w:rPr>
            </w:pPr>
          </w:p>
        </w:tc>
        <w:tc>
          <w:tcPr>
            <w:tcW w:w="1984" w:type="dxa"/>
            <w:noWrap w:val="0"/>
            <w:vAlign w:val="top"/>
          </w:tcPr>
          <w:p w14:paraId="67E81133">
            <w:pPr>
              <w:keepNext/>
              <w:spacing w:line="440" w:lineRule="exact"/>
              <w:rPr>
                <w:rFonts w:hint="eastAsia" w:ascii="宋体" w:hAnsi="宋体" w:cs="宋体"/>
                <w:color w:val="auto"/>
                <w:szCs w:val="21"/>
                <w:highlight w:val="none"/>
              </w:rPr>
            </w:pPr>
          </w:p>
        </w:tc>
        <w:tc>
          <w:tcPr>
            <w:tcW w:w="851" w:type="dxa"/>
            <w:noWrap w:val="0"/>
            <w:vAlign w:val="top"/>
          </w:tcPr>
          <w:p w14:paraId="468B1612">
            <w:pPr>
              <w:keepNext/>
              <w:spacing w:line="440" w:lineRule="exact"/>
              <w:rPr>
                <w:rFonts w:hint="eastAsia" w:ascii="宋体" w:hAnsi="宋体" w:cs="宋体"/>
                <w:color w:val="auto"/>
                <w:szCs w:val="21"/>
                <w:highlight w:val="none"/>
              </w:rPr>
            </w:pPr>
          </w:p>
        </w:tc>
        <w:tc>
          <w:tcPr>
            <w:tcW w:w="774" w:type="dxa"/>
            <w:noWrap w:val="0"/>
            <w:vAlign w:val="top"/>
          </w:tcPr>
          <w:p w14:paraId="3E06D97A">
            <w:pPr>
              <w:keepNext/>
              <w:spacing w:line="440" w:lineRule="exact"/>
              <w:rPr>
                <w:rFonts w:hint="eastAsia" w:ascii="宋体" w:hAnsi="宋体" w:cs="宋体"/>
                <w:color w:val="auto"/>
                <w:szCs w:val="21"/>
                <w:highlight w:val="none"/>
              </w:rPr>
            </w:pPr>
          </w:p>
        </w:tc>
        <w:tc>
          <w:tcPr>
            <w:tcW w:w="1352" w:type="dxa"/>
            <w:noWrap w:val="0"/>
            <w:vAlign w:val="top"/>
          </w:tcPr>
          <w:p w14:paraId="64CDE5BB">
            <w:pPr>
              <w:keepNext/>
              <w:spacing w:line="440" w:lineRule="exact"/>
              <w:rPr>
                <w:rFonts w:hint="eastAsia" w:ascii="宋体" w:hAnsi="宋体" w:cs="宋体"/>
                <w:color w:val="auto"/>
                <w:szCs w:val="21"/>
                <w:highlight w:val="none"/>
              </w:rPr>
            </w:pPr>
          </w:p>
        </w:tc>
        <w:tc>
          <w:tcPr>
            <w:tcW w:w="1418" w:type="dxa"/>
            <w:noWrap w:val="0"/>
            <w:vAlign w:val="top"/>
          </w:tcPr>
          <w:p w14:paraId="194967BE">
            <w:pPr>
              <w:keepNext/>
              <w:spacing w:line="440" w:lineRule="exact"/>
              <w:rPr>
                <w:rFonts w:hint="eastAsia" w:ascii="宋体" w:hAnsi="宋体" w:cs="宋体"/>
                <w:color w:val="auto"/>
                <w:szCs w:val="21"/>
                <w:highlight w:val="none"/>
              </w:rPr>
            </w:pPr>
          </w:p>
        </w:tc>
        <w:tc>
          <w:tcPr>
            <w:tcW w:w="1701" w:type="dxa"/>
            <w:noWrap w:val="0"/>
            <w:vAlign w:val="top"/>
          </w:tcPr>
          <w:p w14:paraId="5A0AB210">
            <w:pPr>
              <w:keepNext/>
              <w:spacing w:line="440" w:lineRule="exact"/>
              <w:rPr>
                <w:rFonts w:hint="eastAsia" w:ascii="宋体" w:hAnsi="宋体" w:cs="宋体"/>
                <w:color w:val="auto"/>
                <w:szCs w:val="21"/>
                <w:highlight w:val="none"/>
              </w:rPr>
            </w:pPr>
          </w:p>
        </w:tc>
      </w:tr>
      <w:tr w14:paraId="3679B9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bottom w:val="single" w:color="auto" w:sz="12" w:space="0"/>
            </w:tcBorders>
            <w:noWrap w:val="0"/>
            <w:vAlign w:val="top"/>
          </w:tcPr>
          <w:p w14:paraId="6C073B6D">
            <w:pPr>
              <w:keepNext/>
              <w:spacing w:line="440" w:lineRule="exact"/>
              <w:rPr>
                <w:rFonts w:hint="eastAsia" w:ascii="宋体" w:hAnsi="宋体" w:cs="宋体"/>
                <w:color w:val="auto"/>
                <w:szCs w:val="21"/>
                <w:highlight w:val="none"/>
              </w:rPr>
            </w:pPr>
          </w:p>
        </w:tc>
        <w:tc>
          <w:tcPr>
            <w:tcW w:w="1984" w:type="dxa"/>
            <w:tcBorders>
              <w:bottom w:val="single" w:color="auto" w:sz="12" w:space="0"/>
            </w:tcBorders>
            <w:noWrap w:val="0"/>
            <w:vAlign w:val="top"/>
          </w:tcPr>
          <w:p w14:paraId="345F567D">
            <w:pPr>
              <w:keepNext/>
              <w:spacing w:line="440" w:lineRule="exact"/>
              <w:rPr>
                <w:rFonts w:hint="eastAsia" w:ascii="宋体" w:hAnsi="宋体" w:cs="宋体"/>
                <w:color w:val="auto"/>
                <w:szCs w:val="21"/>
                <w:highlight w:val="none"/>
              </w:rPr>
            </w:pPr>
          </w:p>
        </w:tc>
        <w:tc>
          <w:tcPr>
            <w:tcW w:w="851" w:type="dxa"/>
            <w:tcBorders>
              <w:bottom w:val="single" w:color="auto" w:sz="12" w:space="0"/>
            </w:tcBorders>
            <w:noWrap w:val="0"/>
            <w:vAlign w:val="top"/>
          </w:tcPr>
          <w:p w14:paraId="4AD30864">
            <w:pPr>
              <w:keepNext/>
              <w:spacing w:line="440" w:lineRule="exact"/>
              <w:rPr>
                <w:rFonts w:hint="eastAsia" w:ascii="宋体" w:hAnsi="宋体" w:cs="宋体"/>
                <w:color w:val="auto"/>
                <w:szCs w:val="21"/>
                <w:highlight w:val="none"/>
              </w:rPr>
            </w:pPr>
          </w:p>
        </w:tc>
        <w:tc>
          <w:tcPr>
            <w:tcW w:w="774" w:type="dxa"/>
            <w:tcBorders>
              <w:bottom w:val="single" w:color="auto" w:sz="12" w:space="0"/>
            </w:tcBorders>
            <w:noWrap w:val="0"/>
            <w:vAlign w:val="top"/>
          </w:tcPr>
          <w:p w14:paraId="38BA02CF">
            <w:pPr>
              <w:keepNext/>
              <w:spacing w:line="440" w:lineRule="exact"/>
              <w:rPr>
                <w:rFonts w:hint="eastAsia" w:ascii="宋体" w:hAnsi="宋体" w:cs="宋体"/>
                <w:color w:val="auto"/>
                <w:szCs w:val="21"/>
                <w:highlight w:val="none"/>
              </w:rPr>
            </w:pPr>
          </w:p>
        </w:tc>
        <w:tc>
          <w:tcPr>
            <w:tcW w:w="1352" w:type="dxa"/>
            <w:tcBorders>
              <w:bottom w:val="single" w:color="auto" w:sz="12" w:space="0"/>
            </w:tcBorders>
            <w:noWrap w:val="0"/>
            <w:vAlign w:val="top"/>
          </w:tcPr>
          <w:p w14:paraId="51CDFB74">
            <w:pPr>
              <w:keepNext/>
              <w:spacing w:line="440" w:lineRule="exact"/>
              <w:rPr>
                <w:rFonts w:hint="eastAsia" w:ascii="宋体" w:hAnsi="宋体" w:cs="宋体"/>
                <w:color w:val="auto"/>
                <w:szCs w:val="21"/>
                <w:highlight w:val="none"/>
              </w:rPr>
            </w:pPr>
          </w:p>
        </w:tc>
        <w:tc>
          <w:tcPr>
            <w:tcW w:w="1418" w:type="dxa"/>
            <w:tcBorders>
              <w:bottom w:val="single" w:color="auto" w:sz="12" w:space="0"/>
            </w:tcBorders>
            <w:noWrap w:val="0"/>
            <w:vAlign w:val="top"/>
          </w:tcPr>
          <w:p w14:paraId="4A8204FB">
            <w:pPr>
              <w:keepNext/>
              <w:spacing w:line="440" w:lineRule="exact"/>
              <w:rPr>
                <w:rFonts w:hint="eastAsia" w:ascii="宋体" w:hAnsi="宋体" w:cs="宋体"/>
                <w:color w:val="auto"/>
                <w:szCs w:val="21"/>
                <w:highlight w:val="none"/>
              </w:rPr>
            </w:pPr>
          </w:p>
        </w:tc>
        <w:tc>
          <w:tcPr>
            <w:tcW w:w="1701" w:type="dxa"/>
            <w:tcBorders>
              <w:bottom w:val="single" w:color="auto" w:sz="12" w:space="0"/>
            </w:tcBorders>
            <w:noWrap w:val="0"/>
            <w:vAlign w:val="top"/>
          </w:tcPr>
          <w:p w14:paraId="705E0C24">
            <w:pPr>
              <w:keepNext/>
              <w:spacing w:line="440" w:lineRule="exact"/>
              <w:rPr>
                <w:rFonts w:hint="eastAsia" w:ascii="宋体" w:hAnsi="宋体" w:cs="宋体"/>
                <w:color w:val="auto"/>
                <w:szCs w:val="21"/>
                <w:highlight w:val="none"/>
              </w:rPr>
            </w:pPr>
          </w:p>
        </w:tc>
      </w:tr>
    </w:tbl>
    <w:p w14:paraId="0EB1FA7D">
      <w:pPr>
        <w:spacing w:line="440" w:lineRule="exact"/>
        <w:rPr>
          <w:rFonts w:hint="eastAsia" w:ascii="宋体" w:hAnsi="宋体" w:cs="宋体"/>
          <w:color w:val="auto"/>
          <w:szCs w:val="21"/>
          <w:highlight w:val="none"/>
        </w:rPr>
      </w:pPr>
    </w:p>
    <w:p w14:paraId="0A7E2156">
      <w:pPr>
        <w:spacing w:before="120" w:beforeLines="50" w:after="120" w:afterLines="50"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12-3：专业工程暂估价表</w:t>
      </w:r>
    </w:p>
    <w:tbl>
      <w:tblPr>
        <w:tblStyle w:val="20"/>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063133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1A73E702">
            <w:pPr>
              <w:keepNext/>
              <w:spacing w:line="440" w:lineRule="exact"/>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984" w:type="dxa"/>
            <w:tcBorders>
              <w:top w:val="single" w:color="auto" w:sz="12" w:space="0"/>
              <w:bottom w:val="double" w:color="auto" w:sz="6" w:space="0"/>
            </w:tcBorders>
            <w:noWrap w:val="0"/>
            <w:vAlign w:val="top"/>
          </w:tcPr>
          <w:p w14:paraId="5326C7C6">
            <w:pPr>
              <w:keepNext/>
              <w:spacing w:line="440" w:lineRule="exact"/>
              <w:rPr>
                <w:rFonts w:hint="eastAsia" w:ascii="宋体" w:hAnsi="宋体" w:cs="宋体"/>
                <w:color w:val="auto"/>
                <w:szCs w:val="21"/>
                <w:highlight w:val="none"/>
              </w:rPr>
            </w:pPr>
            <w:r>
              <w:rPr>
                <w:rFonts w:hint="eastAsia" w:ascii="宋体" w:hAnsi="宋体" w:cs="宋体"/>
                <w:color w:val="auto"/>
                <w:szCs w:val="21"/>
                <w:highlight w:val="none"/>
              </w:rPr>
              <w:t>名称</w:t>
            </w:r>
          </w:p>
        </w:tc>
        <w:tc>
          <w:tcPr>
            <w:tcW w:w="851" w:type="dxa"/>
            <w:tcBorders>
              <w:top w:val="single" w:color="auto" w:sz="12" w:space="0"/>
              <w:bottom w:val="double" w:color="auto" w:sz="6" w:space="0"/>
            </w:tcBorders>
            <w:noWrap w:val="0"/>
            <w:vAlign w:val="top"/>
          </w:tcPr>
          <w:p w14:paraId="41B18E00">
            <w:pPr>
              <w:keepNext/>
              <w:spacing w:line="440" w:lineRule="exact"/>
              <w:rPr>
                <w:rFonts w:hint="eastAsia" w:ascii="宋体" w:hAnsi="宋体" w:cs="宋体"/>
                <w:color w:val="auto"/>
                <w:szCs w:val="21"/>
                <w:highlight w:val="none"/>
              </w:rPr>
            </w:pPr>
            <w:r>
              <w:rPr>
                <w:rFonts w:hint="eastAsia" w:ascii="宋体" w:hAnsi="宋体" w:cs="宋体"/>
                <w:color w:val="auto"/>
                <w:szCs w:val="21"/>
                <w:highlight w:val="none"/>
              </w:rPr>
              <w:t>单位</w:t>
            </w:r>
          </w:p>
        </w:tc>
        <w:tc>
          <w:tcPr>
            <w:tcW w:w="774" w:type="dxa"/>
            <w:tcBorders>
              <w:top w:val="single" w:color="auto" w:sz="12" w:space="0"/>
              <w:bottom w:val="double" w:color="auto" w:sz="6" w:space="0"/>
            </w:tcBorders>
            <w:noWrap w:val="0"/>
            <w:vAlign w:val="top"/>
          </w:tcPr>
          <w:p w14:paraId="0794FC9A">
            <w:pPr>
              <w:keepNext/>
              <w:spacing w:line="440" w:lineRule="exact"/>
              <w:rPr>
                <w:rFonts w:hint="eastAsia" w:ascii="宋体" w:hAnsi="宋体" w:cs="宋体"/>
                <w:color w:val="auto"/>
                <w:szCs w:val="21"/>
                <w:highlight w:val="none"/>
              </w:rPr>
            </w:pPr>
            <w:r>
              <w:rPr>
                <w:rFonts w:hint="eastAsia" w:ascii="宋体" w:hAnsi="宋体" w:cs="宋体"/>
                <w:color w:val="auto"/>
                <w:szCs w:val="21"/>
                <w:highlight w:val="none"/>
              </w:rPr>
              <w:t>数量</w:t>
            </w:r>
          </w:p>
        </w:tc>
        <w:tc>
          <w:tcPr>
            <w:tcW w:w="1352" w:type="dxa"/>
            <w:tcBorders>
              <w:top w:val="single" w:color="auto" w:sz="12" w:space="0"/>
              <w:bottom w:val="double" w:color="auto" w:sz="6" w:space="0"/>
            </w:tcBorders>
            <w:noWrap w:val="0"/>
            <w:vAlign w:val="top"/>
          </w:tcPr>
          <w:p w14:paraId="68576067">
            <w:pPr>
              <w:keepNext/>
              <w:spacing w:line="440" w:lineRule="exact"/>
              <w:rPr>
                <w:rFonts w:hint="eastAsia" w:ascii="宋体" w:hAnsi="宋体" w:cs="宋体"/>
                <w:color w:val="auto"/>
                <w:szCs w:val="21"/>
                <w:highlight w:val="none"/>
              </w:rPr>
            </w:pPr>
            <w:r>
              <w:rPr>
                <w:rFonts w:hint="eastAsia" w:ascii="宋体" w:hAnsi="宋体" w:cs="宋体"/>
                <w:color w:val="auto"/>
                <w:szCs w:val="21"/>
                <w:highlight w:val="none"/>
              </w:rPr>
              <w:t>单价（元）</w:t>
            </w:r>
          </w:p>
        </w:tc>
        <w:tc>
          <w:tcPr>
            <w:tcW w:w="1418" w:type="dxa"/>
            <w:tcBorders>
              <w:top w:val="single" w:color="auto" w:sz="12" w:space="0"/>
              <w:bottom w:val="double" w:color="auto" w:sz="6" w:space="0"/>
            </w:tcBorders>
            <w:noWrap w:val="0"/>
            <w:vAlign w:val="top"/>
          </w:tcPr>
          <w:p w14:paraId="7E50E7FD">
            <w:pPr>
              <w:keepNext/>
              <w:spacing w:line="440" w:lineRule="exact"/>
              <w:rPr>
                <w:rFonts w:hint="eastAsia" w:ascii="宋体" w:hAnsi="宋体" w:cs="宋体"/>
                <w:color w:val="auto"/>
                <w:szCs w:val="21"/>
                <w:highlight w:val="none"/>
              </w:rPr>
            </w:pPr>
            <w:r>
              <w:rPr>
                <w:rFonts w:hint="eastAsia" w:ascii="宋体" w:hAnsi="宋体" w:cs="宋体"/>
                <w:color w:val="auto"/>
                <w:szCs w:val="21"/>
                <w:highlight w:val="none"/>
              </w:rPr>
              <w:t>合价（元）</w:t>
            </w:r>
          </w:p>
        </w:tc>
        <w:tc>
          <w:tcPr>
            <w:tcW w:w="1701" w:type="dxa"/>
            <w:tcBorders>
              <w:top w:val="single" w:color="auto" w:sz="12" w:space="0"/>
              <w:bottom w:val="double" w:color="auto" w:sz="6" w:space="0"/>
            </w:tcBorders>
            <w:noWrap w:val="0"/>
            <w:vAlign w:val="top"/>
          </w:tcPr>
          <w:p w14:paraId="2895DB28">
            <w:pPr>
              <w:keepNext/>
              <w:spacing w:line="440" w:lineRule="exact"/>
              <w:rPr>
                <w:rFonts w:hint="eastAsia" w:ascii="宋体" w:hAnsi="宋体" w:cs="宋体"/>
                <w:color w:val="auto"/>
                <w:szCs w:val="21"/>
                <w:highlight w:val="none"/>
              </w:rPr>
            </w:pPr>
            <w:r>
              <w:rPr>
                <w:rFonts w:hint="eastAsia" w:ascii="宋体" w:hAnsi="宋体" w:cs="宋体"/>
                <w:color w:val="auto"/>
                <w:szCs w:val="21"/>
                <w:highlight w:val="none"/>
              </w:rPr>
              <w:t>备注</w:t>
            </w:r>
          </w:p>
        </w:tc>
      </w:tr>
      <w:tr w14:paraId="2A506B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tcBorders>
            <w:noWrap w:val="0"/>
            <w:vAlign w:val="top"/>
          </w:tcPr>
          <w:p w14:paraId="1882441E">
            <w:pPr>
              <w:keepNext/>
              <w:spacing w:line="440" w:lineRule="exact"/>
              <w:rPr>
                <w:rFonts w:hint="eastAsia" w:ascii="宋体" w:hAnsi="宋体" w:cs="宋体"/>
                <w:color w:val="auto"/>
                <w:szCs w:val="21"/>
                <w:highlight w:val="none"/>
              </w:rPr>
            </w:pPr>
          </w:p>
        </w:tc>
        <w:tc>
          <w:tcPr>
            <w:tcW w:w="1984" w:type="dxa"/>
            <w:tcBorders>
              <w:top w:val="double" w:color="auto" w:sz="6" w:space="0"/>
            </w:tcBorders>
            <w:noWrap w:val="0"/>
            <w:vAlign w:val="top"/>
          </w:tcPr>
          <w:p w14:paraId="752E666C">
            <w:pPr>
              <w:keepNext/>
              <w:spacing w:line="440" w:lineRule="exact"/>
              <w:rPr>
                <w:rFonts w:hint="eastAsia" w:ascii="宋体" w:hAnsi="宋体" w:cs="宋体"/>
                <w:color w:val="auto"/>
                <w:szCs w:val="21"/>
                <w:highlight w:val="none"/>
              </w:rPr>
            </w:pPr>
          </w:p>
        </w:tc>
        <w:tc>
          <w:tcPr>
            <w:tcW w:w="851" w:type="dxa"/>
            <w:tcBorders>
              <w:top w:val="double" w:color="auto" w:sz="6" w:space="0"/>
            </w:tcBorders>
            <w:noWrap w:val="0"/>
            <w:vAlign w:val="top"/>
          </w:tcPr>
          <w:p w14:paraId="68F096EF">
            <w:pPr>
              <w:keepNext/>
              <w:spacing w:line="440" w:lineRule="exact"/>
              <w:rPr>
                <w:rFonts w:hint="eastAsia" w:ascii="宋体" w:hAnsi="宋体" w:cs="宋体"/>
                <w:color w:val="auto"/>
                <w:szCs w:val="21"/>
                <w:highlight w:val="none"/>
              </w:rPr>
            </w:pPr>
          </w:p>
        </w:tc>
        <w:tc>
          <w:tcPr>
            <w:tcW w:w="774" w:type="dxa"/>
            <w:tcBorders>
              <w:top w:val="double" w:color="auto" w:sz="6" w:space="0"/>
            </w:tcBorders>
            <w:noWrap w:val="0"/>
            <w:vAlign w:val="top"/>
          </w:tcPr>
          <w:p w14:paraId="6E742011">
            <w:pPr>
              <w:keepNext/>
              <w:spacing w:line="440" w:lineRule="exact"/>
              <w:rPr>
                <w:rFonts w:hint="eastAsia" w:ascii="宋体" w:hAnsi="宋体" w:cs="宋体"/>
                <w:color w:val="auto"/>
                <w:szCs w:val="21"/>
                <w:highlight w:val="none"/>
              </w:rPr>
            </w:pPr>
          </w:p>
        </w:tc>
        <w:tc>
          <w:tcPr>
            <w:tcW w:w="1352" w:type="dxa"/>
            <w:tcBorders>
              <w:top w:val="double" w:color="auto" w:sz="6" w:space="0"/>
            </w:tcBorders>
            <w:noWrap w:val="0"/>
            <w:vAlign w:val="top"/>
          </w:tcPr>
          <w:p w14:paraId="06196F87">
            <w:pPr>
              <w:keepNext/>
              <w:spacing w:line="440" w:lineRule="exact"/>
              <w:rPr>
                <w:rFonts w:hint="eastAsia" w:ascii="宋体" w:hAnsi="宋体" w:cs="宋体"/>
                <w:color w:val="auto"/>
                <w:szCs w:val="21"/>
                <w:highlight w:val="none"/>
              </w:rPr>
            </w:pPr>
          </w:p>
        </w:tc>
        <w:tc>
          <w:tcPr>
            <w:tcW w:w="1418" w:type="dxa"/>
            <w:tcBorders>
              <w:top w:val="double" w:color="auto" w:sz="6" w:space="0"/>
            </w:tcBorders>
            <w:noWrap w:val="0"/>
            <w:vAlign w:val="top"/>
          </w:tcPr>
          <w:p w14:paraId="1A2836AE">
            <w:pPr>
              <w:keepNext/>
              <w:spacing w:line="440" w:lineRule="exact"/>
              <w:rPr>
                <w:rFonts w:hint="eastAsia" w:ascii="宋体" w:hAnsi="宋体" w:cs="宋体"/>
                <w:color w:val="auto"/>
                <w:szCs w:val="21"/>
                <w:highlight w:val="none"/>
              </w:rPr>
            </w:pPr>
          </w:p>
        </w:tc>
        <w:tc>
          <w:tcPr>
            <w:tcW w:w="1701" w:type="dxa"/>
            <w:tcBorders>
              <w:top w:val="double" w:color="auto" w:sz="6" w:space="0"/>
            </w:tcBorders>
            <w:noWrap w:val="0"/>
            <w:vAlign w:val="top"/>
          </w:tcPr>
          <w:p w14:paraId="0E82423B">
            <w:pPr>
              <w:keepNext/>
              <w:spacing w:line="440" w:lineRule="exact"/>
              <w:rPr>
                <w:rFonts w:hint="eastAsia" w:ascii="宋体" w:hAnsi="宋体" w:cs="宋体"/>
                <w:color w:val="auto"/>
                <w:szCs w:val="21"/>
                <w:highlight w:val="none"/>
              </w:rPr>
            </w:pPr>
          </w:p>
        </w:tc>
      </w:tr>
      <w:tr w14:paraId="0B7C16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13744AA6">
            <w:pPr>
              <w:keepNext/>
              <w:spacing w:line="440" w:lineRule="exact"/>
              <w:rPr>
                <w:rFonts w:hint="eastAsia" w:ascii="宋体" w:hAnsi="宋体" w:cs="宋体"/>
                <w:color w:val="auto"/>
                <w:szCs w:val="21"/>
                <w:highlight w:val="none"/>
              </w:rPr>
            </w:pPr>
          </w:p>
        </w:tc>
        <w:tc>
          <w:tcPr>
            <w:tcW w:w="1984" w:type="dxa"/>
            <w:tcBorders>
              <w:top w:val="nil"/>
            </w:tcBorders>
            <w:noWrap w:val="0"/>
            <w:vAlign w:val="top"/>
          </w:tcPr>
          <w:p w14:paraId="1CE8108D">
            <w:pPr>
              <w:keepNext/>
              <w:spacing w:line="440" w:lineRule="exact"/>
              <w:rPr>
                <w:rFonts w:hint="eastAsia" w:ascii="宋体" w:hAnsi="宋体" w:cs="宋体"/>
                <w:color w:val="auto"/>
                <w:szCs w:val="21"/>
                <w:highlight w:val="none"/>
              </w:rPr>
            </w:pPr>
          </w:p>
        </w:tc>
        <w:tc>
          <w:tcPr>
            <w:tcW w:w="851" w:type="dxa"/>
            <w:tcBorders>
              <w:top w:val="nil"/>
            </w:tcBorders>
            <w:noWrap w:val="0"/>
            <w:vAlign w:val="top"/>
          </w:tcPr>
          <w:p w14:paraId="6F9C1C0A">
            <w:pPr>
              <w:keepNext/>
              <w:spacing w:line="440" w:lineRule="exact"/>
              <w:rPr>
                <w:rFonts w:hint="eastAsia" w:ascii="宋体" w:hAnsi="宋体" w:cs="宋体"/>
                <w:color w:val="auto"/>
                <w:szCs w:val="21"/>
                <w:highlight w:val="none"/>
              </w:rPr>
            </w:pPr>
          </w:p>
        </w:tc>
        <w:tc>
          <w:tcPr>
            <w:tcW w:w="774" w:type="dxa"/>
            <w:tcBorders>
              <w:top w:val="nil"/>
            </w:tcBorders>
            <w:noWrap w:val="0"/>
            <w:vAlign w:val="top"/>
          </w:tcPr>
          <w:p w14:paraId="4840022D">
            <w:pPr>
              <w:keepNext/>
              <w:spacing w:line="440" w:lineRule="exact"/>
              <w:rPr>
                <w:rFonts w:hint="eastAsia" w:ascii="宋体" w:hAnsi="宋体" w:cs="宋体"/>
                <w:color w:val="auto"/>
                <w:szCs w:val="21"/>
                <w:highlight w:val="none"/>
              </w:rPr>
            </w:pPr>
          </w:p>
        </w:tc>
        <w:tc>
          <w:tcPr>
            <w:tcW w:w="1352" w:type="dxa"/>
            <w:tcBorders>
              <w:top w:val="nil"/>
            </w:tcBorders>
            <w:noWrap w:val="0"/>
            <w:vAlign w:val="top"/>
          </w:tcPr>
          <w:p w14:paraId="1EEC642A">
            <w:pPr>
              <w:keepNext/>
              <w:spacing w:line="440" w:lineRule="exact"/>
              <w:rPr>
                <w:rFonts w:hint="eastAsia" w:ascii="宋体" w:hAnsi="宋体" w:cs="宋体"/>
                <w:color w:val="auto"/>
                <w:szCs w:val="21"/>
                <w:highlight w:val="none"/>
              </w:rPr>
            </w:pPr>
          </w:p>
        </w:tc>
        <w:tc>
          <w:tcPr>
            <w:tcW w:w="1418" w:type="dxa"/>
            <w:tcBorders>
              <w:top w:val="nil"/>
            </w:tcBorders>
            <w:noWrap w:val="0"/>
            <w:vAlign w:val="top"/>
          </w:tcPr>
          <w:p w14:paraId="4313B2DB">
            <w:pPr>
              <w:keepNext/>
              <w:spacing w:line="440" w:lineRule="exact"/>
              <w:rPr>
                <w:rFonts w:hint="eastAsia" w:ascii="宋体" w:hAnsi="宋体" w:cs="宋体"/>
                <w:color w:val="auto"/>
                <w:szCs w:val="21"/>
                <w:highlight w:val="none"/>
              </w:rPr>
            </w:pPr>
          </w:p>
        </w:tc>
        <w:tc>
          <w:tcPr>
            <w:tcW w:w="1701" w:type="dxa"/>
            <w:tcBorders>
              <w:top w:val="nil"/>
            </w:tcBorders>
            <w:noWrap w:val="0"/>
            <w:vAlign w:val="top"/>
          </w:tcPr>
          <w:p w14:paraId="2007A04A">
            <w:pPr>
              <w:keepNext/>
              <w:spacing w:line="440" w:lineRule="exact"/>
              <w:rPr>
                <w:rFonts w:hint="eastAsia" w:ascii="宋体" w:hAnsi="宋体" w:cs="宋体"/>
                <w:color w:val="auto"/>
                <w:szCs w:val="21"/>
                <w:highlight w:val="none"/>
              </w:rPr>
            </w:pPr>
          </w:p>
        </w:tc>
      </w:tr>
      <w:tr w14:paraId="401BDB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F3B6E3A">
            <w:pPr>
              <w:keepNext/>
              <w:spacing w:line="440" w:lineRule="exact"/>
              <w:rPr>
                <w:rFonts w:hint="eastAsia" w:ascii="宋体" w:hAnsi="宋体" w:cs="宋体"/>
                <w:color w:val="auto"/>
                <w:szCs w:val="21"/>
                <w:highlight w:val="none"/>
              </w:rPr>
            </w:pPr>
          </w:p>
        </w:tc>
        <w:tc>
          <w:tcPr>
            <w:tcW w:w="1984" w:type="dxa"/>
            <w:noWrap w:val="0"/>
            <w:vAlign w:val="top"/>
          </w:tcPr>
          <w:p w14:paraId="71D27D80">
            <w:pPr>
              <w:keepNext/>
              <w:spacing w:line="440" w:lineRule="exact"/>
              <w:rPr>
                <w:rFonts w:hint="eastAsia" w:ascii="宋体" w:hAnsi="宋体" w:cs="宋体"/>
                <w:color w:val="auto"/>
                <w:szCs w:val="21"/>
                <w:highlight w:val="none"/>
              </w:rPr>
            </w:pPr>
          </w:p>
        </w:tc>
        <w:tc>
          <w:tcPr>
            <w:tcW w:w="851" w:type="dxa"/>
            <w:noWrap w:val="0"/>
            <w:vAlign w:val="top"/>
          </w:tcPr>
          <w:p w14:paraId="1772DBA8">
            <w:pPr>
              <w:keepNext/>
              <w:spacing w:line="440" w:lineRule="exact"/>
              <w:rPr>
                <w:rFonts w:hint="eastAsia" w:ascii="宋体" w:hAnsi="宋体" w:cs="宋体"/>
                <w:color w:val="auto"/>
                <w:szCs w:val="21"/>
                <w:highlight w:val="none"/>
              </w:rPr>
            </w:pPr>
          </w:p>
        </w:tc>
        <w:tc>
          <w:tcPr>
            <w:tcW w:w="774" w:type="dxa"/>
            <w:noWrap w:val="0"/>
            <w:vAlign w:val="top"/>
          </w:tcPr>
          <w:p w14:paraId="68001062">
            <w:pPr>
              <w:keepNext/>
              <w:spacing w:line="440" w:lineRule="exact"/>
              <w:rPr>
                <w:rFonts w:hint="eastAsia" w:ascii="宋体" w:hAnsi="宋体" w:cs="宋体"/>
                <w:color w:val="auto"/>
                <w:szCs w:val="21"/>
                <w:highlight w:val="none"/>
              </w:rPr>
            </w:pPr>
          </w:p>
        </w:tc>
        <w:tc>
          <w:tcPr>
            <w:tcW w:w="1352" w:type="dxa"/>
            <w:noWrap w:val="0"/>
            <w:vAlign w:val="top"/>
          </w:tcPr>
          <w:p w14:paraId="314E8EEE">
            <w:pPr>
              <w:keepNext/>
              <w:spacing w:line="440" w:lineRule="exact"/>
              <w:rPr>
                <w:rFonts w:hint="eastAsia" w:ascii="宋体" w:hAnsi="宋体" w:cs="宋体"/>
                <w:color w:val="auto"/>
                <w:szCs w:val="21"/>
                <w:highlight w:val="none"/>
              </w:rPr>
            </w:pPr>
          </w:p>
        </w:tc>
        <w:tc>
          <w:tcPr>
            <w:tcW w:w="1418" w:type="dxa"/>
            <w:noWrap w:val="0"/>
            <w:vAlign w:val="top"/>
          </w:tcPr>
          <w:p w14:paraId="4BE32129">
            <w:pPr>
              <w:keepNext/>
              <w:spacing w:line="440" w:lineRule="exact"/>
              <w:rPr>
                <w:rFonts w:hint="eastAsia" w:ascii="宋体" w:hAnsi="宋体" w:cs="宋体"/>
                <w:color w:val="auto"/>
                <w:szCs w:val="21"/>
                <w:highlight w:val="none"/>
              </w:rPr>
            </w:pPr>
          </w:p>
        </w:tc>
        <w:tc>
          <w:tcPr>
            <w:tcW w:w="1701" w:type="dxa"/>
            <w:noWrap w:val="0"/>
            <w:vAlign w:val="top"/>
          </w:tcPr>
          <w:p w14:paraId="21208CEF">
            <w:pPr>
              <w:keepNext/>
              <w:spacing w:line="440" w:lineRule="exact"/>
              <w:rPr>
                <w:rFonts w:hint="eastAsia" w:ascii="宋体" w:hAnsi="宋体" w:cs="宋体"/>
                <w:color w:val="auto"/>
                <w:szCs w:val="21"/>
                <w:highlight w:val="none"/>
              </w:rPr>
            </w:pPr>
          </w:p>
        </w:tc>
      </w:tr>
      <w:tr w14:paraId="399585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bottom w:val="single" w:color="auto" w:sz="12" w:space="0"/>
            </w:tcBorders>
            <w:noWrap w:val="0"/>
            <w:vAlign w:val="top"/>
          </w:tcPr>
          <w:p w14:paraId="7CB4E974">
            <w:pPr>
              <w:keepNext/>
              <w:spacing w:line="440" w:lineRule="exact"/>
              <w:rPr>
                <w:rFonts w:hint="eastAsia" w:ascii="宋体" w:hAnsi="宋体" w:cs="宋体"/>
                <w:color w:val="auto"/>
                <w:szCs w:val="21"/>
                <w:highlight w:val="none"/>
              </w:rPr>
            </w:pPr>
          </w:p>
        </w:tc>
        <w:tc>
          <w:tcPr>
            <w:tcW w:w="1984" w:type="dxa"/>
            <w:tcBorders>
              <w:bottom w:val="single" w:color="auto" w:sz="12" w:space="0"/>
            </w:tcBorders>
            <w:noWrap w:val="0"/>
            <w:vAlign w:val="top"/>
          </w:tcPr>
          <w:p w14:paraId="16DD4A99">
            <w:pPr>
              <w:keepNext/>
              <w:spacing w:line="440" w:lineRule="exact"/>
              <w:rPr>
                <w:rFonts w:hint="eastAsia" w:ascii="宋体" w:hAnsi="宋体" w:cs="宋体"/>
                <w:color w:val="auto"/>
                <w:szCs w:val="21"/>
                <w:highlight w:val="none"/>
              </w:rPr>
            </w:pPr>
          </w:p>
        </w:tc>
        <w:tc>
          <w:tcPr>
            <w:tcW w:w="851" w:type="dxa"/>
            <w:tcBorders>
              <w:bottom w:val="single" w:color="auto" w:sz="12" w:space="0"/>
            </w:tcBorders>
            <w:noWrap w:val="0"/>
            <w:vAlign w:val="top"/>
          </w:tcPr>
          <w:p w14:paraId="7A962C17">
            <w:pPr>
              <w:keepNext/>
              <w:spacing w:line="440" w:lineRule="exact"/>
              <w:rPr>
                <w:rFonts w:hint="eastAsia" w:ascii="宋体" w:hAnsi="宋体" w:cs="宋体"/>
                <w:color w:val="auto"/>
                <w:szCs w:val="21"/>
                <w:highlight w:val="none"/>
              </w:rPr>
            </w:pPr>
          </w:p>
        </w:tc>
        <w:tc>
          <w:tcPr>
            <w:tcW w:w="774" w:type="dxa"/>
            <w:tcBorders>
              <w:bottom w:val="single" w:color="auto" w:sz="12" w:space="0"/>
            </w:tcBorders>
            <w:noWrap w:val="0"/>
            <w:vAlign w:val="top"/>
          </w:tcPr>
          <w:p w14:paraId="54635857">
            <w:pPr>
              <w:keepNext/>
              <w:spacing w:line="440" w:lineRule="exact"/>
              <w:rPr>
                <w:rFonts w:hint="eastAsia" w:ascii="宋体" w:hAnsi="宋体" w:cs="宋体"/>
                <w:color w:val="auto"/>
                <w:szCs w:val="21"/>
                <w:highlight w:val="none"/>
              </w:rPr>
            </w:pPr>
          </w:p>
        </w:tc>
        <w:tc>
          <w:tcPr>
            <w:tcW w:w="1352" w:type="dxa"/>
            <w:tcBorders>
              <w:bottom w:val="single" w:color="auto" w:sz="12" w:space="0"/>
            </w:tcBorders>
            <w:noWrap w:val="0"/>
            <w:vAlign w:val="top"/>
          </w:tcPr>
          <w:p w14:paraId="548154F5">
            <w:pPr>
              <w:keepNext/>
              <w:spacing w:line="440" w:lineRule="exact"/>
              <w:rPr>
                <w:rFonts w:hint="eastAsia" w:ascii="宋体" w:hAnsi="宋体" w:cs="宋体"/>
                <w:color w:val="auto"/>
                <w:szCs w:val="21"/>
                <w:highlight w:val="none"/>
              </w:rPr>
            </w:pPr>
          </w:p>
        </w:tc>
        <w:tc>
          <w:tcPr>
            <w:tcW w:w="1418" w:type="dxa"/>
            <w:tcBorders>
              <w:bottom w:val="single" w:color="auto" w:sz="12" w:space="0"/>
            </w:tcBorders>
            <w:noWrap w:val="0"/>
            <w:vAlign w:val="top"/>
          </w:tcPr>
          <w:p w14:paraId="7D6A805F">
            <w:pPr>
              <w:keepNext/>
              <w:spacing w:line="440" w:lineRule="exact"/>
              <w:rPr>
                <w:rFonts w:hint="eastAsia" w:ascii="宋体" w:hAnsi="宋体" w:cs="宋体"/>
                <w:color w:val="auto"/>
                <w:szCs w:val="21"/>
                <w:highlight w:val="none"/>
              </w:rPr>
            </w:pPr>
          </w:p>
        </w:tc>
        <w:tc>
          <w:tcPr>
            <w:tcW w:w="1701" w:type="dxa"/>
            <w:tcBorders>
              <w:bottom w:val="single" w:color="auto" w:sz="12" w:space="0"/>
            </w:tcBorders>
            <w:noWrap w:val="0"/>
            <w:vAlign w:val="top"/>
          </w:tcPr>
          <w:p w14:paraId="32406104">
            <w:pPr>
              <w:keepNext/>
              <w:spacing w:line="440" w:lineRule="exact"/>
              <w:rPr>
                <w:rFonts w:hint="eastAsia" w:ascii="宋体" w:hAnsi="宋体" w:cs="宋体"/>
                <w:color w:val="auto"/>
                <w:szCs w:val="21"/>
                <w:highlight w:val="none"/>
              </w:rPr>
            </w:pPr>
          </w:p>
        </w:tc>
      </w:tr>
    </w:tbl>
    <w:p w14:paraId="24537184">
      <w:pPr>
        <w:rPr>
          <w:rFonts w:hint="eastAsia" w:ascii="宋体" w:hAnsi="宋体" w:cs="宋体"/>
          <w:color w:val="auto"/>
          <w:szCs w:val="21"/>
          <w:highlight w:val="none"/>
        </w:rPr>
      </w:pPr>
    </w:p>
    <w:p w14:paraId="62C33048">
      <w:pPr>
        <w:rPr>
          <w:rFonts w:hint="eastAsia" w:ascii="宋体" w:hAnsi="宋体" w:cs="宋体"/>
          <w:color w:val="auto"/>
          <w:szCs w:val="22"/>
          <w:highlight w:val="none"/>
        </w:rPr>
      </w:pPr>
    </w:p>
    <w:p w14:paraId="64BD3CAB">
      <w:pPr>
        <w:rPr>
          <w:rFonts w:hint="eastAsia" w:ascii="宋体" w:hAnsi="宋体" w:cs="宋体"/>
          <w:color w:val="auto"/>
          <w:szCs w:val="22"/>
          <w:highlight w:val="none"/>
        </w:rPr>
      </w:pPr>
    </w:p>
    <w:p w14:paraId="0FCB3CC3">
      <w:pPr>
        <w:keepNext/>
        <w:keepLines/>
        <w:spacing w:before="120" w:after="120" w:line="360" w:lineRule="auto"/>
        <w:jc w:val="left"/>
        <w:outlineLvl w:val="2"/>
        <w:rPr>
          <w:rFonts w:hint="eastAsia" w:ascii="宋体" w:hAnsi="宋体" w:cs="宋体"/>
          <w:color w:val="auto"/>
          <w:highlight w:val="none"/>
        </w:rPr>
        <w:sectPr>
          <w:footnotePr>
            <w:numFmt w:val="decimalEnclosedCircleChinese"/>
            <w:numRestart w:val="eachPage"/>
          </w:footnotePr>
          <w:pgSz w:w="11907" w:h="16840"/>
          <w:pgMar w:top="1474" w:right="1474" w:bottom="1474" w:left="1474" w:header="799" w:footer="907" w:gutter="0"/>
          <w:pgNumType w:fmt="numberInDash"/>
          <w:cols w:space="720" w:num="1"/>
          <w:docGrid w:linePitch="271" w:charSpace="0"/>
        </w:sectPr>
      </w:pPr>
    </w:p>
    <w:p w14:paraId="0ECB0BB5">
      <w:pPr>
        <w:keepNext/>
        <w:keepLines/>
        <w:spacing w:before="120" w:after="120" w:line="360" w:lineRule="auto"/>
        <w:jc w:val="left"/>
        <w:outlineLvl w:val="2"/>
        <w:rPr>
          <w:rFonts w:hint="eastAsia" w:ascii="宋体" w:hAnsi="宋体" w:cs="宋体"/>
          <w:bCs/>
          <w:color w:val="auto"/>
          <w:sz w:val="24"/>
          <w:highlight w:val="none"/>
        </w:rPr>
      </w:pPr>
      <w:bookmarkStart w:id="1367" w:name="_Toc95223511"/>
      <w:r>
        <w:rPr>
          <w:rFonts w:hint="eastAsia" w:ascii="宋体" w:hAnsi="宋体" w:cs="宋体"/>
          <w:bCs/>
          <w:color w:val="auto"/>
          <w:sz w:val="24"/>
          <w:highlight w:val="none"/>
        </w:rPr>
        <w:t>附件12：安全生产合同</w:t>
      </w:r>
      <w:bookmarkEnd w:id="1367"/>
    </w:p>
    <w:p w14:paraId="62E5B8A0">
      <w:pPr>
        <w:adjustRightInd w:val="0"/>
        <w:snapToGrid w:val="0"/>
        <w:spacing w:line="360" w:lineRule="auto"/>
        <w:jc w:val="center"/>
        <w:rPr>
          <w:rFonts w:hint="eastAsia" w:ascii="宋体" w:hAnsi="宋体" w:cs="宋体"/>
          <w:b/>
          <w:color w:val="auto"/>
          <w:sz w:val="32"/>
          <w:szCs w:val="32"/>
          <w:highlight w:val="none"/>
        </w:rPr>
      </w:pPr>
      <w:bookmarkStart w:id="1368" w:name="_Toc16956"/>
      <w:bookmarkStart w:id="1369" w:name="_Toc32439"/>
      <w:bookmarkStart w:id="1370" w:name="_Toc95223512"/>
      <w:r>
        <w:rPr>
          <w:rFonts w:hint="eastAsia" w:ascii="宋体" w:hAnsi="宋体" w:cs="宋体"/>
          <w:b/>
          <w:color w:val="auto"/>
          <w:sz w:val="32"/>
          <w:szCs w:val="32"/>
          <w:highlight w:val="none"/>
        </w:rPr>
        <w:t>安全生产合同</w:t>
      </w:r>
      <w:bookmarkEnd w:id="1368"/>
      <w:bookmarkEnd w:id="1369"/>
      <w:bookmarkEnd w:id="1370"/>
    </w:p>
    <w:p w14:paraId="7A92DCB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为在</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（项目名称）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（标段）施工合同的实施过程中创造安全、高效的施工环境，切实搞好本项目的安全管理工作，本项目发包人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（发包人名称，以下简称“发包人”）与承包人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（承包人名称，以下简称“承包人”）特此签订安全生产合同：</w:t>
      </w:r>
    </w:p>
    <w:p w14:paraId="0392741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1.发包人职责</w:t>
      </w:r>
    </w:p>
    <w:p w14:paraId="49DCAD4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（1）严格遵守国家有关安全生产的法律法规，认真执行工程承包合同中的有关安全要求。</w:t>
      </w:r>
    </w:p>
    <w:p w14:paraId="2F76A03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（2）按照“安全第一、预防为主”和坚持“管生产必须管安全”的原则进行安全生产管理，做到生产与安全工作同时计划、布置、检查、总结和评比。</w:t>
      </w:r>
    </w:p>
    <w:p w14:paraId="7A7D635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（3）重要的安全设施必须坚持与主体工程“三同时”的原则，即：同时设计、审批，同时施工，同时验收，投入使用。</w:t>
      </w:r>
    </w:p>
    <w:p w14:paraId="6011CFF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（4）定期召开安全生产调度会，及时传达中央及地方有关安全生产的精神。</w:t>
      </w:r>
    </w:p>
    <w:p w14:paraId="6C707A6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（5）组织对承包人施工现场安全生产检查，监督承包人及时处理发现的各种安全隐患。</w:t>
      </w:r>
    </w:p>
    <w:p w14:paraId="7336E5C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2.承包人职责</w:t>
      </w:r>
    </w:p>
    <w:p w14:paraId="639C1F0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严格遵守《中华人民共和国安全生产法》、《建设工程安全生产管理条例》等国家有关安全生产的法律法规、《建设项目安全设施“三同时”监督管理办法》等有关安全生产的规定。认真执行工程承包合同中的有关安全要求。</w:t>
      </w:r>
    </w:p>
    <w:p w14:paraId="08DD050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合同的各项规定，做到生产与安全工作同时计划、布置、检查、总结和评比。</w:t>
      </w:r>
    </w:p>
    <w:p w14:paraId="38C7B66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建立健全安全生产责任制。从派往项目实施的项目经理到生产工人（包括临时雇请的民工）的安全生产管理系统必须做到纵向到底，—环不漏；各职能部门、人员的安全生产责任制做到横向到边，人人有责。项目经理是安全生产的第一责任人。现场设置的安全机构，应按《建设工程安全生产管理条例》及有关规定的配备专职安全生产管理人员，专职负责所有员工的安全和治安保卫工作及预防事故的发生。安全机构人员有权按有关规定发布指令，并采取保护性措施防止事故发生。</w:t>
      </w:r>
    </w:p>
    <w:p w14:paraId="049AB90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（4）承包人在任何时候都应采取各种合理的预防措施，防止其员工发生任何违法、违禁、暴力或妨碍治安的行为。</w:t>
      </w:r>
    </w:p>
    <w:p w14:paraId="55F4C04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承包人必须具有劳动安全管理部门颁发的安全生产考核合格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14:paraId="07D98A6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w:t>
      </w:r>
    </w:p>
    <w:p w14:paraId="2023C38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（7）操作人员上岗，必须按规定穿戴防护用品。施工负责人和安全检查员应随时检查劳动防护用品的穿戴情况，不按规定穿戴防护用品的人员不得上岗。</w:t>
      </w:r>
    </w:p>
    <w:p w14:paraId="3A8CDA4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（8）所有施工机具设备和高空作业的设备均应定期检查，并有安全员的签字记录，保证其经常处于完好状态；不合格的机具、设备和劳动保护用品严禁使用：</w:t>
      </w:r>
    </w:p>
    <w:p w14:paraId="79CA73C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（9）施工中采用新技术、新工艺、新设备、新材料时，必须制定相应的安全技术措施，施工现场必须具有相关的安全标志牌。</w:t>
      </w:r>
    </w:p>
    <w:p w14:paraId="11478AA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承包人必须按照本工程项目特点，组织制定本工程实施中的生产安全事故应急救援预案；如果发生安全事故，应按照《国务院关于特大安全事故行政责任追究的规定》以及其他有关规定，及时上报有关部门，并坚持“四不放过”的原则．严肃处理相关责任人。</w:t>
      </w:r>
    </w:p>
    <w:p w14:paraId="7FF35F5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（11）安全生产费用按照《建设工程安全生产管理条例》的相关规定使用和管理。</w:t>
      </w:r>
    </w:p>
    <w:p w14:paraId="366422E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3.违约责任</w:t>
      </w:r>
    </w:p>
    <w:p w14:paraId="55B31B2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如因发包人或承包人违约造成安全事故，将依法追究责任。</w:t>
      </w:r>
    </w:p>
    <w:p w14:paraId="491A3EB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4.本合同由双方法定代表人或其授权的代理人签署并加盖单位章后生效，全部工程竣工验收后失效。</w:t>
      </w:r>
    </w:p>
    <w:p w14:paraId="29A7A3A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5.本合同正本—式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份，副本</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份，合同双方各执正本—份，副本</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份，当正本与副本的内容不一致时，以正本为准。</w:t>
      </w:r>
    </w:p>
    <w:p w14:paraId="04CBF6C8">
      <w:pPr>
        <w:spacing w:line="360" w:lineRule="auto"/>
        <w:rPr>
          <w:rFonts w:hint="eastAsia" w:ascii="宋体" w:hAnsi="宋体" w:cs="宋体"/>
          <w:color w:val="auto"/>
          <w:szCs w:val="21"/>
          <w:highlight w:val="none"/>
        </w:rPr>
      </w:pPr>
    </w:p>
    <w:p w14:paraId="5383189D">
      <w:pPr>
        <w:spacing w:line="360" w:lineRule="auto"/>
        <w:rPr>
          <w:rFonts w:hint="eastAsia" w:ascii="宋体" w:hAnsi="宋体" w:cs="宋体"/>
          <w:color w:val="auto"/>
          <w:szCs w:val="21"/>
          <w:highlight w:val="none"/>
        </w:rPr>
      </w:pPr>
    </w:p>
    <w:p w14:paraId="0FB93F3E">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发包人：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（盖单位章）           承包人：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（盖单位章）</w:t>
      </w:r>
    </w:p>
    <w:p w14:paraId="1B5F4138">
      <w:pPr>
        <w:spacing w:line="360" w:lineRule="auto"/>
        <w:rPr>
          <w:rFonts w:hint="eastAsia" w:ascii="宋体" w:hAnsi="宋体" w:cs="宋体"/>
          <w:color w:val="auto"/>
          <w:szCs w:val="21"/>
          <w:highlight w:val="none"/>
        </w:rPr>
      </w:pPr>
    </w:p>
    <w:p w14:paraId="31DF1EB1">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法定代表人或其委托代理人：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（签字）           法定代表人或其委托代理人：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（签字）</w:t>
      </w:r>
    </w:p>
    <w:p w14:paraId="3D099C89">
      <w:pPr>
        <w:spacing w:line="360" w:lineRule="auto"/>
        <w:rPr>
          <w:rFonts w:hint="eastAsia" w:ascii="宋体" w:hAnsi="宋体" w:cs="宋体"/>
          <w:color w:val="auto"/>
          <w:szCs w:val="21"/>
          <w:highlight w:val="none"/>
        </w:rPr>
      </w:pPr>
    </w:p>
    <w:p w14:paraId="51FA3828">
      <w:pPr>
        <w:spacing w:line="360" w:lineRule="auto"/>
        <w:ind w:firstLine="840"/>
        <w:rPr>
          <w:rFonts w:ascii="宋体" w:hAnsi="宋体" w:cs="宋体"/>
          <w:bCs/>
          <w:color w:val="auto"/>
          <w:kern w:val="44"/>
          <w:sz w:val="32"/>
          <w:szCs w:val="44"/>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日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0B26FA25">
      <w:pPr>
        <w:rPr>
          <w:rFonts w:ascii="宋体" w:hAnsi="宋体" w:cs="宋体"/>
          <w:color w:val="auto"/>
          <w:sz w:val="32"/>
          <w:szCs w:val="44"/>
          <w:highlight w:val="none"/>
        </w:rPr>
      </w:pPr>
    </w:p>
    <w:p w14:paraId="2BA7C0BE">
      <w:pPr>
        <w:rPr>
          <w:rFonts w:ascii="宋体" w:hAnsi="宋体" w:cs="宋体"/>
          <w:color w:val="auto"/>
          <w:sz w:val="32"/>
          <w:szCs w:val="44"/>
          <w:highlight w:val="none"/>
        </w:rPr>
      </w:pPr>
    </w:p>
    <w:p w14:paraId="6A7B4498">
      <w:pPr>
        <w:tabs>
          <w:tab w:val="left" w:pos="2820"/>
        </w:tabs>
        <w:outlineLvl w:val="2"/>
        <w:rPr>
          <w:rFonts w:hint="eastAsia" w:ascii="宋体" w:hAnsi="宋体" w:cs="宋体"/>
          <w:color w:val="auto"/>
          <w:sz w:val="32"/>
          <w:szCs w:val="44"/>
          <w:highlight w:val="none"/>
        </w:rPr>
      </w:pPr>
      <w:r>
        <w:rPr>
          <w:rFonts w:hint="eastAsia" w:ascii="宋体" w:hAnsi="宋体" w:cs="宋体"/>
          <w:color w:val="auto"/>
          <w:sz w:val="32"/>
          <w:szCs w:val="44"/>
          <w:highlight w:val="none"/>
        </w:rPr>
        <w:br w:type="page"/>
      </w:r>
      <w:bookmarkStart w:id="1371" w:name="_Toc95223513"/>
      <w:r>
        <w:rPr>
          <w:rFonts w:hint="eastAsia" w:ascii="宋体" w:hAnsi="宋体" w:cs="宋体"/>
          <w:bCs/>
          <w:color w:val="auto"/>
          <w:sz w:val="24"/>
          <w:highlight w:val="none"/>
        </w:rPr>
        <w:t>附件14：项目经理质量终身责任制承诺</w:t>
      </w:r>
      <w:bookmarkEnd w:id="1371"/>
    </w:p>
    <w:p w14:paraId="2FCA2C95">
      <w:pPr>
        <w:adjustRightInd w:val="0"/>
        <w:snapToGrid w:val="0"/>
        <w:spacing w:line="360" w:lineRule="auto"/>
        <w:jc w:val="center"/>
        <w:rPr>
          <w:rFonts w:hint="eastAsia" w:ascii="宋体" w:hAnsi="宋体" w:cs="宋体"/>
          <w:b/>
          <w:color w:val="auto"/>
          <w:sz w:val="32"/>
          <w:szCs w:val="32"/>
          <w:highlight w:val="none"/>
        </w:rPr>
      </w:pPr>
      <w:bookmarkStart w:id="1372" w:name="_Toc95223514"/>
      <w:bookmarkStart w:id="1373" w:name="_Toc19059"/>
      <w:bookmarkStart w:id="1374" w:name="_Toc20282"/>
    </w:p>
    <w:p w14:paraId="7A5C5ED9">
      <w:pPr>
        <w:adjustRightInd w:val="0"/>
        <w:snapToGrid w:val="0"/>
        <w:spacing w:line="360" w:lineRule="auto"/>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项目经理质量终身责任制承诺</w:t>
      </w:r>
      <w:bookmarkEnd w:id="1372"/>
      <w:bookmarkEnd w:id="1373"/>
      <w:bookmarkEnd w:id="1374"/>
    </w:p>
    <w:p w14:paraId="7BA0E053">
      <w:pPr>
        <w:adjustRightInd w:val="0"/>
        <w:snapToGrid w:val="0"/>
        <w:spacing w:line="360" w:lineRule="auto"/>
        <w:rPr>
          <w:rFonts w:hint="eastAsia" w:ascii="宋体" w:hAnsi="宋体" w:cs="宋体"/>
          <w:bCs/>
          <w:color w:val="auto"/>
          <w:sz w:val="24"/>
          <w:szCs w:val="21"/>
          <w:highlight w:val="none"/>
        </w:rPr>
      </w:pPr>
      <w:r>
        <w:rPr>
          <w:rFonts w:hint="eastAsia" w:ascii="宋体" w:hAnsi="宋体" w:cs="宋体"/>
          <w:bCs/>
          <w:color w:val="auto"/>
          <w:sz w:val="24"/>
          <w:szCs w:val="21"/>
          <w:highlight w:val="none"/>
        </w:rPr>
        <w:t>致：______________(招标人名称)</w:t>
      </w:r>
    </w:p>
    <w:p w14:paraId="0387034A">
      <w:pPr>
        <w:adjustRightInd w:val="0"/>
        <w:snapToGrid w:val="0"/>
        <w:spacing w:line="360" w:lineRule="auto"/>
        <w:ind w:firstLine="480" w:firstLineChars="200"/>
        <w:rPr>
          <w:rFonts w:hint="eastAsia" w:ascii="宋体" w:hAnsi="宋体" w:cs="宋体"/>
          <w:bCs/>
          <w:color w:val="auto"/>
          <w:sz w:val="24"/>
          <w:szCs w:val="21"/>
          <w:highlight w:val="none"/>
        </w:rPr>
      </w:pPr>
      <w:r>
        <w:rPr>
          <w:rFonts w:hint="eastAsia" w:ascii="宋体" w:hAnsi="宋体" w:cs="宋体"/>
          <w:bCs/>
          <w:color w:val="auto"/>
          <w:sz w:val="24"/>
          <w:szCs w:val="21"/>
          <w:highlight w:val="none"/>
        </w:rPr>
        <w:t>本人作为拟委任的施工项目经理，承担相关质量终身责任，现郑重承诺如下：</w:t>
      </w:r>
    </w:p>
    <w:p w14:paraId="4390D60A">
      <w:pPr>
        <w:adjustRightInd w:val="0"/>
        <w:snapToGrid w:val="0"/>
        <w:spacing w:line="360" w:lineRule="auto"/>
        <w:ind w:firstLine="480" w:firstLineChars="200"/>
        <w:rPr>
          <w:rFonts w:hint="eastAsia" w:ascii="宋体" w:hAnsi="宋体" w:cs="宋体"/>
          <w:bCs/>
          <w:color w:val="auto"/>
          <w:sz w:val="24"/>
          <w:szCs w:val="21"/>
          <w:highlight w:val="none"/>
        </w:rPr>
      </w:pPr>
      <w:r>
        <w:rPr>
          <w:rFonts w:hint="eastAsia" w:ascii="宋体" w:hAnsi="宋体" w:cs="宋体"/>
          <w:bCs/>
          <w:color w:val="auto"/>
          <w:sz w:val="24"/>
          <w:szCs w:val="21"/>
          <w:highlight w:val="none"/>
        </w:rPr>
        <w:t>一、在取得施工许可证后进行施工。</w:t>
      </w:r>
    </w:p>
    <w:p w14:paraId="0EB8171F">
      <w:pPr>
        <w:adjustRightInd w:val="0"/>
        <w:snapToGrid w:val="0"/>
        <w:spacing w:line="360" w:lineRule="auto"/>
        <w:ind w:firstLine="480" w:firstLineChars="200"/>
        <w:rPr>
          <w:rFonts w:hint="eastAsia" w:ascii="宋体" w:hAnsi="宋体" w:cs="宋体"/>
          <w:bCs/>
          <w:color w:val="auto"/>
          <w:sz w:val="24"/>
          <w:szCs w:val="21"/>
          <w:highlight w:val="none"/>
        </w:rPr>
      </w:pPr>
      <w:r>
        <w:rPr>
          <w:rFonts w:hint="eastAsia" w:ascii="宋体" w:hAnsi="宋体" w:cs="宋体"/>
          <w:bCs/>
          <w:color w:val="auto"/>
          <w:sz w:val="24"/>
          <w:szCs w:val="21"/>
          <w:highlight w:val="none"/>
        </w:rPr>
        <w:t>二、严格执行施工规范及标准。</w:t>
      </w:r>
    </w:p>
    <w:p w14:paraId="08B58BC2">
      <w:pPr>
        <w:adjustRightInd w:val="0"/>
        <w:snapToGrid w:val="0"/>
        <w:spacing w:line="360" w:lineRule="auto"/>
        <w:ind w:firstLine="480" w:firstLineChars="200"/>
        <w:rPr>
          <w:rFonts w:hint="eastAsia" w:ascii="宋体" w:hAnsi="宋体" w:cs="宋体"/>
          <w:bCs/>
          <w:color w:val="auto"/>
          <w:sz w:val="24"/>
          <w:szCs w:val="21"/>
          <w:highlight w:val="none"/>
        </w:rPr>
      </w:pPr>
      <w:r>
        <w:rPr>
          <w:rFonts w:hint="eastAsia" w:ascii="宋体" w:hAnsi="宋体" w:cs="宋体"/>
          <w:bCs/>
          <w:color w:val="auto"/>
          <w:sz w:val="24"/>
          <w:szCs w:val="21"/>
          <w:highlight w:val="none"/>
        </w:rPr>
        <w:t>三、严格按规定配备施工项目部关键岗位人员，并确保所有人员到岗履职。</w:t>
      </w:r>
    </w:p>
    <w:p w14:paraId="6ECC55EB">
      <w:pPr>
        <w:adjustRightInd w:val="0"/>
        <w:snapToGrid w:val="0"/>
        <w:spacing w:line="360" w:lineRule="auto"/>
        <w:ind w:firstLine="480" w:firstLineChars="200"/>
        <w:rPr>
          <w:rFonts w:hint="eastAsia" w:ascii="宋体" w:hAnsi="宋体" w:cs="宋体"/>
          <w:bCs/>
          <w:color w:val="auto"/>
          <w:sz w:val="24"/>
          <w:szCs w:val="21"/>
          <w:highlight w:val="none"/>
        </w:rPr>
      </w:pPr>
      <w:r>
        <w:rPr>
          <w:rFonts w:hint="eastAsia" w:ascii="宋体" w:hAnsi="宋体" w:cs="宋体"/>
          <w:bCs/>
          <w:color w:val="auto"/>
          <w:sz w:val="24"/>
          <w:szCs w:val="21"/>
          <w:highlight w:val="none"/>
        </w:rPr>
        <w:t>四、严格按照经施工图审查机构审查合格的工程设计文件及合同约定的质量标准精心组织施工。</w:t>
      </w:r>
    </w:p>
    <w:p w14:paraId="707174DD">
      <w:pPr>
        <w:adjustRightInd w:val="0"/>
        <w:snapToGrid w:val="0"/>
        <w:spacing w:line="360" w:lineRule="auto"/>
        <w:ind w:firstLine="480" w:firstLineChars="200"/>
        <w:rPr>
          <w:rFonts w:hint="eastAsia" w:ascii="宋体" w:hAnsi="宋体" w:cs="宋体"/>
          <w:bCs/>
          <w:color w:val="auto"/>
          <w:sz w:val="24"/>
          <w:szCs w:val="21"/>
          <w:highlight w:val="none"/>
        </w:rPr>
      </w:pPr>
      <w:r>
        <w:rPr>
          <w:rFonts w:hint="eastAsia" w:ascii="宋体" w:hAnsi="宋体" w:cs="宋体"/>
          <w:bCs/>
          <w:color w:val="auto"/>
          <w:sz w:val="24"/>
          <w:szCs w:val="21"/>
          <w:highlight w:val="none"/>
        </w:rPr>
        <w:t>五、施工中采用合格的建筑材料、建筑构配件和设备等，并严格按规定执行见证取样制度。</w:t>
      </w:r>
    </w:p>
    <w:p w14:paraId="48D844E2">
      <w:pPr>
        <w:adjustRightInd w:val="0"/>
        <w:snapToGrid w:val="0"/>
        <w:spacing w:line="360" w:lineRule="auto"/>
        <w:ind w:firstLine="480" w:firstLineChars="200"/>
        <w:rPr>
          <w:rFonts w:hint="eastAsia" w:ascii="宋体" w:hAnsi="宋体" w:cs="宋体"/>
          <w:bCs/>
          <w:color w:val="auto"/>
          <w:sz w:val="24"/>
          <w:szCs w:val="21"/>
          <w:highlight w:val="none"/>
        </w:rPr>
      </w:pPr>
      <w:r>
        <w:rPr>
          <w:rFonts w:hint="eastAsia" w:ascii="宋体" w:hAnsi="宋体" w:cs="宋体"/>
          <w:bCs/>
          <w:color w:val="auto"/>
          <w:sz w:val="24"/>
          <w:szCs w:val="21"/>
          <w:highlight w:val="none"/>
        </w:rPr>
        <w:t>六、建立、健全质量检查、验收制度，严格工序管理，做好隐蔽工程质量的检查和记录。</w:t>
      </w:r>
    </w:p>
    <w:p w14:paraId="211914EE">
      <w:pPr>
        <w:adjustRightInd w:val="0"/>
        <w:snapToGrid w:val="0"/>
        <w:spacing w:line="360" w:lineRule="auto"/>
        <w:ind w:firstLine="480" w:firstLineChars="200"/>
        <w:rPr>
          <w:rFonts w:hint="eastAsia" w:ascii="宋体" w:hAnsi="宋体" w:cs="宋体"/>
          <w:bCs/>
          <w:color w:val="auto"/>
          <w:sz w:val="24"/>
          <w:szCs w:val="21"/>
          <w:highlight w:val="none"/>
        </w:rPr>
      </w:pPr>
      <w:r>
        <w:rPr>
          <w:rFonts w:hint="eastAsia" w:ascii="宋体" w:hAnsi="宋体" w:cs="宋体"/>
          <w:bCs/>
          <w:color w:val="auto"/>
          <w:sz w:val="24"/>
          <w:szCs w:val="21"/>
          <w:highlight w:val="none"/>
        </w:rPr>
        <w:t>七、对施工中出现的质量问题，及时进行整改。严格依法依规履行义务。</w:t>
      </w:r>
    </w:p>
    <w:p w14:paraId="137E8C51">
      <w:pPr>
        <w:adjustRightInd w:val="0"/>
        <w:snapToGrid w:val="0"/>
        <w:spacing w:line="360" w:lineRule="auto"/>
        <w:ind w:firstLine="480" w:firstLineChars="200"/>
        <w:rPr>
          <w:rFonts w:hint="eastAsia" w:ascii="宋体" w:hAnsi="宋体" w:cs="宋体"/>
          <w:bCs/>
          <w:color w:val="auto"/>
          <w:sz w:val="24"/>
          <w:szCs w:val="21"/>
          <w:highlight w:val="none"/>
        </w:rPr>
      </w:pPr>
      <w:r>
        <w:rPr>
          <w:rFonts w:hint="eastAsia" w:ascii="宋体" w:hAnsi="宋体" w:cs="宋体"/>
          <w:bCs/>
          <w:color w:val="auto"/>
          <w:sz w:val="24"/>
          <w:szCs w:val="21"/>
          <w:highlight w:val="none"/>
        </w:rPr>
        <w:t>八、履行相关工程质量检查、验收及事故处理等职责。</w:t>
      </w:r>
    </w:p>
    <w:p w14:paraId="6AAEC943">
      <w:pPr>
        <w:adjustRightInd w:val="0"/>
        <w:snapToGrid w:val="0"/>
        <w:spacing w:line="360" w:lineRule="auto"/>
        <w:ind w:firstLine="480" w:firstLineChars="200"/>
        <w:rPr>
          <w:rFonts w:hint="eastAsia" w:ascii="宋体" w:hAnsi="宋体" w:cs="宋体"/>
          <w:bCs/>
          <w:color w:val="auto"/>
          <w:sz w:val="24"/>
          <w:szCs w:val="21"/>
          <w:highlight w:val="none"/>
        </w:rPr>
      </w:pPr>
      <w:r>
        <w:rPr>
          <w:rFonts w:hint="eastAsia" w:ascii="宋体" w:hAnsi="宋体" w:cs="宋体"/>
          <w:bCs/>
          <w:color w:val="auto"/>
          <w:sz w:val="24"/>
          <w:szCs w:val="21"/>
          <w:highlight w:val="none"/>
        </w:rPr>
        <w:t>九、履行其他法律法规规定的职责。</w:t>
      </w:r>
    </w:p>
    <w:p w14:paraId="4FC16411">
      <w:pPr>
        <w:spacing w:line="360" w:lineRule="auto"/>
        <w:ind w:left="359" w:leftChars="171" w:firstLine="720" w:firstLineChars="300"/>
        <w:rPr>
          <w:rFonts w:hint="eastAsia" w:ascii="宋体" w:hAnsi="宋体" w:cs="宋体"/>
          <w:bCs/>
          <w:color w:val="auto"/>
          <w:sz w:val="24"/>
          <w:szCs w:val="21"/>
          <w:highlight w:val="none"/>
        </w:rPr>
      </w:pPr>
    </w:p>
    <w:p w14:paraId="4DA1625A">
      <w:pPr>
        <w:spacing w:line="360" w:lineRule="auto"/>
        <w:ind w:left="359" w:leftChars="171" w:firstLine="720" w:firstLineChars="300"/>
        <w:rPr>
          <w:rFonts w:hint="eastAsia" w:ascii="宋体" w:hAnsi="宋体" w:cs="宋体"/>
          <w:bCs/>
          <w:color w:val="auto"/>
          <w:sz w:val="24"/>
          <w:szCs w:val="21"/>
          <w:highlight w:val="none"/>
        </w:rPr>
      </w:pPr>
    </w:p>
    <w:p w14:paraId="2352AC91">
      <w:pPr>
        <w:spacing w:line="360" w:lineRule="auto"/>
        <w:ind w:left="359" w:leftChars="171" w:firstLine="720" w:firstLineChars="300"/>
        <w:rPr>
          <w:rFonts w:hint="eastAsia" w:ascii="宋体" w:hAnsi="宋体" w:cs="宋体"/>
          <w:bCs/>
          <w:color w:val="auto"/>
          <w:sz w:val="24"/>
          <w:szCs w:val="21"/>
          <w:highlight w:val="none"/>
        </w:rPr>
      </w:pPr>
      <w:r>
        <w:rPr>
          <w:rFonts w:hint="eastAsia" w:ascii="宋体" w:hAnsi="宋体" w:cs="宋体"/>
          <w:bCs/>
          <w:color w:val="auto"/>
          <w:sz w:val="24"/>
          <w:szCs w:val="21"/>
          <w:highlight w:val="none"/>
        </w:rPr>
        <w:t>项目经理：</w:t>
      </w:r>
      <w:r>
        <w:rPr>
          <w:rFonts w:hint="eastAsia" w:ascii="宋体" w:hAnsi="宋体" w:cs="宋体"/>
          <w:bCs/>
          <w:color w:val="auto"/>
          <w:sz w:val="24"/>
          <w:szCs w:val="21"/>
          <w:highlight w:val="none"/>
          <w:u w:val="single"/>
        </w:rPr>
        <w:t xml:space="preserve">                   </w:t>
      </w:r>
      <w:r>
        <w:rPr>
          <w:rFonts w:hint="eastAsia" w:ascii="宋体" w:hAnsi="宋体" w:cs="宋体"/>
          <w:bCs/>
          <w:color w:val="auto"/>
          <w:sz w:val="24"/>
          <w:szCs w:val="21"/>
          <w:highlight w:val="none"/>
        </w:rPr>
        <w:t>（签字）</w:t>
      </w:r>
    </w:p>
    <w:p w14:paraId="1C59FBC0">
      <w:pPr>
        <w:spacing w:line="360" w:lineRule="auto"/>
        <w:ind w:left="359" w:leftChars="171" w:firstLine="720" w:firstLineChars="300"/>
        <w:rPr>
          <w:rFonts w:hint="eastAsia" w:ascii="宋体" w:hAnsi="宋体" w:cs="宋体"/>
          <w:bCs/>
          <w:color w:val="auto"/>
          <w:sz w:val="24"/>
          <w:szCs w:val="21"/>
          <w:highlight w:val="none"/>
        </w:rPr>
      </w:pPr>
      <w:r>
        <w:rPr>
          <w:rFonts w:hint="eastAsia" w:ascii="宋体" w:hAnsi="宋体" w:cs="宋体"/>
          <w:bCs/>
          <w:color w:val="auto"/>
          <w:sz w:val="24"/>
          <w:szCs w:val="21"/>
          <w:highlight w:val="none"/>
        </w:rPr>
        <w:t>日期：_____年____月____日</w:t>
      </w:r>
    </w:p>
    <w:p w14:paraId="120A606A">
      <w:pPr>
        <w:pStyle w:val="19"/>
        <w:rPr>
          <w:rFonts w:hint="eastAsia"/>
          <w:color w:val="auto"/>
          <w:highlight w:val="none"/>
        </w:rPr>
      </w:pPr>
    </w:p>
    <w:p w14:paraId="301A9373">
      <w:pPr>
        <w:ind w:firstLine="630"/>
        <w:rPr>
          <w:rFonts w:hint="eastAsia"/>
          <w:color w:val="auto"/>
          <w:highlight w:val="none"/>
        </w:rPr>
      </w:pPr>
    </w:p>
    <w:p w14:paraId="546F33CA">
      <w:pPr>
        <w:pStyle w:val="19"/>
        <w:rPr>
          <w:rFonts w:hint="eastAsia"/>
          <w:color w:val="auto"/>
          <w:highlight w:val="none"/>
        </w:rPr>
      </w:pPr>
    </w:p>
    <w:p w14:paraId="2FBCC5F0">
      <w:pPr>
        <w:ind w:firstLine="630"/>
        <w:rPr>
          <w:rFonts w:hint="eastAsia"/>
          <w:color w:val="auto"/>
          <w:highlight w:val="none"/>
        </w:rPr>
      </w:pPr>
    </w:p>
    <w:p w14:paraId="52F502B0">
      <w:pPr>
        <w:pStyle w:val="19"/>
        <w:ind w:left="0" w:leftChars="0" w:firstLine="0" w:firstLineChars="0"/>
        <w:outlineLvl w:val="2"/>
        <w:rPr>
          <w:rFonts w:hint="eastAsia"/>
          <w:color w:val="auto"/>
          <w:highlight w:val="none"/>
        </w:rPr>
      </w:pPr>
      <w:r>
        <w:rPr>
          <w:rFonts w:hint="eastAsia"/>
          <w:color w:val="auto"/>
          <w:highlight w:val="none"/>
        </w:rPr>
        <w:t>其他需要补充的材料</w:t>
      </w:r>
    </w:p>
    <w:p w14:paraId="05FC88CB">
      <w:pPr>
        <w:pStyle w:val="19"/>
        <w:ind w:left="0" w:leftChars="0" w:firstLine="0" w:firstLineChars="0"/>
        <w:jc w:val="center"/>
        <w:outlineLvl w:val="0"/>
        <w:rPr>
          <w:rFonts w:hint="eastAsia"/>
          <w:color w:val="auto"/>
          <w:highlight w:val="none"/>
        </w:rPr>
      </w:pPr>
      <w:r>
        <w:rPr>
          <w:rFonts w:hint="eastAsia" w:ascii="宋体" w:hAnsi="宋体" w:cs="宋体"/>
          <w:color w:val="auto"/>
          <w:szCs w:val="21"/>
          <w:highlight w:val="none"/>
        </w:rPr>
        <w:br w:type="page"/>
      </w:r>
      <w:bookmarkStart w:id="1375" w:name="_Toc95223515"/>
      <w:bookmarkStart w:id="1376" w:name="_Toc4767"/>
      <w:r>
        <w:rPr>
          <w:rFonts w:hint="eastAsia" w:ascii="宋体" w:hAnsi="宋体" w:cs="宋体"/>
          <w:bCs/>
          <w:color w:val="auto"/>
          <w:kern w:val="44"/>
          <w:sz w:val="36"/>
          <w:szCs w:val="36"/>
          <w:highlight w:val="none"/>
        </w:rPr>
        <w:t>第六章  工程量清单</w:t>
      </w:r>
      <w:bookmarkEnd w:id="1375"/>
      <w:bookmarkEnd w:id="1376"/>
    </w:p>
    <w:p w14:paraId="0DC6FEED">
      <w:pPr>
        <w:keepNext/>
        <w:keepLines/>
        <w:adjustRightInd w:val="0"/>
        <w:snapToGrid w:val="0"/>
        <w:spacing w:line="480" w:lineRule="auto"/>
        <w:outlineLvl w:val="1"/>
        <w:rPr>
          <w:rFonts w:hint="eastAsia" w:ascii="宋体" w:hAnsi="宋体" w:cs="宋体"/>
          <w:b/>
          <w:bCs/>
          <w:color w:val="auto"/>
          <w:sz w:val="32"/>
          <w:szCs w:val="32"/>
          <w:highlight w:val="none"/>
        </w:rPr>
      </w:pPr>
      <w:bookmarkStart w:id="1377" w:name="_Toc7103"/>
      <w:bookmarkStart w:id="1378" w:name="_Toc95223516"/>
      <w:bookmarkStart w:id="1379" w:name="_Toc1620"/>
      <w:r>
        <w:rPr>
          <w:rFonts w:hint="eastAsia" w:ascii="宋体" w:hAnsi="宋体" w:cs="宋体"/>
          <w:b/>
          <w:bCs/>
          <w:color w:val="auto"/>
          <w:sz w:val="32"/>
          <w:szCs w:val="32"/>
          <w:highlight w:val="none"/>
        </w:rPr>
        <w:t>1. 计价依据</w:t>
      </w:r>
      <w:bookmarkEnd w:id="1377"/>
      <w:bookmarkEnd w:id="1378"/>
      <w:bookmarkEnd w:id="1379"/>
    </w:p>
    <w:p w14:paraId="7E75CF3B">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 计价依据的确定符合国家法律法规、现行有关标准与规范，工程所在地的省、市工程定额和工程造价的规定以及工程造价信息要求。</w:t>
      </w:r>
    </w:p>
    <w:p w14:paraId="4D39EE1F">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1.2 安全文明施工费按下表执行： </w:t>
      </w:r>
    </w:p>
    <w:tbl>
      <w:tblPr>
        <w:tblStyle w:val="20"/>
        <w:tblW w:w="4751" w:type="pct"/>
        <w:tblInd w:w="2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15"/>
        <w:gridCol w:w="3254"/>
        <w:gridCol w:w="2395"/>
        <w:gridCol w:w="2267"/>
      </w:tblGrid>
      <w:tr w14:paraId="26E85F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74" w:type="pct"/>
            <w:vMerge w:val="restart"/>
            <w:tcBorders>
              <w:top w:val="single" w:color="auto" w:sz="4" w:space="0"/>
              <w:left w:val="single" w:color="auto" w:sz="4" w:space="0"/>
              <w:bottom w:val="single" w:color="auto" w:sz="4" w:space="0"/>
              <w:right w:val="single" w:color="auto" w:sz="4" w:space="0"/>
            </w:tcBorders>
            <w:noWrap w:val="0"/>
            <w:vAlign w:val="center"/>
          </w:tcPr>
          <w:p w14:paraId="33F2268F">
            <w:pPr>
              <w:adjustRightInd w:val="0"/>
              <w:snapToGrid w:val="0"/>
              <w:spacing w:line="360" w:lineRule="auto"/>
              <w:jc w:val="center"/>
              <w:rPr>
                <w:color w:val="auto"/>
                <w:kern w:val="0"/>
                <w:sz w:val="24"/>
                <w:highlight w:val="none"/>
              </w:rPr>
            </w:pPr>
            <w:r>
              <w:rPr>
                <w:rFonts w:hint="eastAsia"/>
                <w:color w:val="auto"/>
                <w:kern w:val="0"/>
                <w:sz w:val="24"/>
                <w:highlight w:val="none"/>
              </w:rPr>
              <w:t>项目名称</w:t>
            </w:r>
          </w:p>
        </w:tc>
        <w:tc>
          <w:tcPr>
            <w:tcW w:w="1655" w:type="pct"/>
            <w:vMerge w:val="restart"/>
            <w:tcBorders>
              <w:top w:val="single" w:color="auto" w:sz="4" w:space="0"/>
              <w:left w:val="single" w:color="auto" w:sz="4" w:space="0"/>
              <w:bottom w:val="single" w:color="auto" w:sz="4" w:space="0"/>
              <w:right w:val="single" w:color="auto" w:sz="4" w:space="0"/>
            </w:tcBorders>
            <w:noWrap w:val="0"/>
            <w:vAlign w:val="center"/>
          </w:tcPr>
          <w:p w14:paraId="6F4257E3">
            <w:pPr>
              <w:adjustRightInd w:val="0"/>
              <w:snapToGrid w:val="0"/>
              <w:spacing w:line="360" w:lineRule="auto"/>
              <w:jc w:val="center"/>
              <w:rPr>
                <w:color w:val="auto"/>
                <w:kern w:val="0"/>
                <w:sz w:val="24"/>
                <w:highlight w:val="none"/>
              </w:rPr>
            </w:pPr>
            <w:r>
              <w:rPr>
                <w:rFonts w:hint="eastAsia"/>
                <w:color w:val="auto"/>
                <w:kern w:val="0"/>
                <w:sz w:val="24"/>
                <w:highlight w:val="none"/>
              </w:rPr>
              <w:t>计费基础</w:t>
            </w:r>
          </w:p>
        </w:tc>
        <w:tc>
          <w:tcPr>
            <w:tcW w:w="2372" w:type="pct"/>
            <w:gridSpan w:val="2"/>
            <w:tcBorders>
              <w:top w:val="single" w:color="auto" w:sz="4" w:space="0"/>
              <w:left w:val="single" w:color="auto" w:sz="4" w:space="0"/>
              <w:bottom w:val="single" w:color="auto" w:sz="4" w:space="0"/>
              <w:right w:val="single" w:color="auto" w:sz="4" w:space="0"/>
            </w:tcBorders>
            <w:noWrap w:val="0"/>
            <w:vAlign w:val="center"/>
          </w:tcPr>
          <w:p w14:paraId="238054D0">
            <w:pPr>
              <w:adjustRightInd w:val="0"/>
              <w:snapToGrid w:val="0"/>
              <w:spacing w:line="360" w:lineRule="auto"/>
              <w:jc w:val="center"/>
              <w:rPr>
                <w:color w:val="auto"/>
                <w:kern w:val="0"/>
                <w:sz w:val="24"/>
                <w:highlight w:val="none"/>
              </w:rPr>
            </w:pPr>
            <w:r>
              <w:rPr>
                <w:rFonts w:hint="eastAsia"/>
                <w:color w:val="auto"/>
                <w:kern w:val="0"/>
                <w:sz w:val="24"/>
                <w:highlight w:val="none"/>
              </w:rPr>
              <w:t>费率（%）</w:t>
            </w:r>
          </w:p>
        </w:tc>
      </w:tr>
      <w:tr w14:paraId="361907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74" w:type="pct"/>
            <w:vMerge w:val="continue"/>
            <w:tcBorders>
              <w:top w:val="single" w:color="auto" w:sz="4" w:space="0"/>
              <w:left w:val="single" w:color="auto" w:sz="4" w:space="0"/>
              <w:bottom w:val="single" w:color="auto" w:sz="4" w:space="0"/>
              <w:right w:val="single" w:color="auto" w:sz="4" w:space="0"/>
            </w:tcBorders>
            <w:noWrap w:val="0"/>
            <w:vAlign w:val="center"/>
          </w:tcPr>
          <w:p w14:paraId="23715B6C">
            <w:pPr>
              <w:widowControl/>
              <w:snapToGrid w:val="0"/>
              <w:spacing w:line="360" w:lineRule="auto"/>
              <w:jc w:val="center"/>
              <w:rPr>
                <w:color w:val="auto"/>
                <w:kern w:val="0"/>
                <w:sz w:val="24"/>
                <w:highlight w:val="none"/>
              </w:rPr>
            </w:pPr>
          </w:p>
        </w:tc>
        <w:tc>
          <w:tcPr>
            <w:tcW w:w="1655" w:type="pct"/>
            <w:vMerge w:val="continue"/>
            <w:tcBorders>
              <w:top w:val="single" w:color="auto" w:sz="4" w:space="0"/>
              <w:left w:val="single" w:color="auto" w:sz="4" w:space="0"/>
              <w:bottom w:val="single" w:color="auto" w:sz="4" w:space="0"/>
              <w:right w:val="single" w:color="auto" w:sz="4" w:space="0"/>
            </w:tcBorders>
            <w:noWrap w:val="0"/>
            <w:vAlign w:val="center"/>
          </w:tcPr>
          <w:p w14:paraId="404C5350">
            <w:pPr>
              <w:widowControl/>
              <w:snapToGrid w:val="0"/>
              <w:spacing w:line="360" w:lineRule="auto"/>
              <w:jc w:val="center"/>
              <w:rPr>
                <w:color w:val="auto"/>
                <w:kern w:val="0"/>
                <w:sz w:val="24"/>
                <w:highlight w:val="none"/>
              </w:rPr>
            </w:pPr>
          </w:p>
        </w:tc>
        <w:tc>
          <w:tcPr>
            <w:tcW w:w="1218" w:type="pct"/>
            <w:vMerge w:val="restart"/>
            <w:tcBorders>
              <w:top w:val="single" w:color="auto" w:sz="4" w:space="0"/>
              <w:left w:val="single" w:color="auto" w:sz="4" w:space="0"/>
              <w:bottom w:val="single" w:color="000000" w:sz="4" w:space="0"/>
              <w:right w:val="single" w:color="auto" w:sz="4" w:space="0"/>
            </w:tcBorders>
            <w:noWrap w:val="0"/>
            <w:vAlign w:val="center"/>
          </w:tcPr>
          <w:p w14:paraId="707D2E59">
            <w:pPr>
              <w:adjustRightInd w:val="0"/>
              <w:snapToGrid w:val="0"/>
              <w:spacing w:line="360" w:lineRule="auto"/>
              <w:jc w:val="center"/>
              <w:rPr>
                <w:color w:val="auto"/>
                <w:kern w:val="0"/>
                <w:sz w:val="24"/>
                <w:highlight w:val="none"/>
              </w:rPr>
            </w:pPr>
            <w:r>
              <w:rPr>
                <w:rFonts w:hint="eastAsia"/>
                <w:color w:val="auto"/>
                <w:kern w:val="0"/>
                <w:sz w:val="24"/>
                <w:highlight w:val="none"/>
              </w:rPr>
              <w:t>建筑工程</w:t>
            </w:r>
          </w:p>
        </w:tc>
        <w:tc>
          <w:tcPr>
            <w:tcW w:w="1154" w:type="pct"/>
            <w:vMerge w:val="restart"/>
            <w:tcBorders>
              <w:top w:val="single" w:color="auto" w:sz="4" w:space="0"/>
              <w:left w:val="single" w:color="auto" w:sz="4" w:space="0"/>
              <w:right w:val="single" w:color="auto" w:sz="4" w:space="0"/>
            </w:tcBorders>
            <w:noWrap w:val="0"/>
            <w:vAlign w:val="center"/>
          </w:tcPr>
          <w:p w14:paraId="24A85552">
            <w:pPr>
              <w:adjustRightInd w:val="0"/>
              <w:snapToGrid w:val="0"/>
              <w:spacing w:line="360" w:lineRule="auto"/>
              <w:jc w:val="center"/>
              <w:rPr>
                <w:rFonts w:eastAsia="仿宋"/>
                <w:color w:val="auto"/>
                <w:kern w:val="0"/>
                <w:sz w:val="24"/>
                <w:highlight w:val="none"/>
              </w:rPr>
            </w:pPr>
            <w:r>
              <w:rPr>
                <w:rFonts w:hint="eastAsia"/>
                <w:color w:val="auto"/>
                <w:kern w:val="0"/>
                <w:sz w:val="24"/>
                <w:highlight w:val="none"/>
              </w:rPr>
              <w:t>市政公用工程</w:t>
            </w:r>
          </w:p>
        </w:tc>
      </w:tr>
      <w:tr w14:paraId="40676D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974" w:type="pct"/>
            <w:vMerge w:val="continue"/>
            <w:tcBorders>
              <w:top w:val="single" w:color="000000" w:sz="4" w:space="0"/>
              <w:left w:val="single" w:color="auto" w:sz="4" w:space="0"/>
              <w:bottom w:val="single" w:color="auto" w:sz="4" w:space="0"/>
              <w:right w:val="single" w:color="auto" w:sz="4" w:space="0"/>
            </w:tcBorders>
            <w:noWrap w:val="0"/>
            <w:vAlign w:val="center"/>
          </w:tcPr>
          <w:p w14:paraId="680C9C78">
            <w:pPr>
              <w:widowControl/>
              <w:snapToGrid w:val="0"/>
              <w:spacing w:line="360" w:lineRule="auto"/>
              <w:jc w:val="center"/>
              <w:rPr>
                <w:color w:val="auto"/>
                <w:kern w:val="0"/>
                <w:sz w:val="24"/>
                <w:highlight w:val="none"/>
              </w:rPr>
            </w:pPr>
          </w:p>
        </w:tc>
        <w:tc>
          <w:tcPr>
            <w:tcW w:w="1655" w:type="pct"/>
            <w:vMerge w:val="continue"/>
            <w:tcBorders>
              <w:top w:val="single" w:color="000000" w:sz="4" w:space="0"/>
              <w:left w:val="single" w:color="auto" w:sz="4" w:space="0"/>
              <w:bottom w:val="single" w:color="auto" w:sz="4" w:space="0"/>
              <w:right w:val="single" w:color="auto" w:sz="4" w:space="0"/>
            </w:tcBorders>
            <w:noWrap w:val="0"/>
            <w:vAlign w:val="center"/>
          </w:tcPr>
          <w:p w14:paraId="2890AD2C">
            <w:pPr>
              <w:widowControl/>
              <w:snapToGrid w:val="0"/>
              <w:spacing w:line="360" w:lineRule="auto"/>
              <w:jc w:val="center"/>
              <w:rPr>
                <w:color w:val="auto"/>
                <w:kern w:val="0"/>
                <w:sz w:val="24"/>
                <w:highlight w:val="none"/>
              </w:rPr>
            </w:pPr>
          </w:p>
        </w:tc>
        <w:tc>
          <w:tcPr>
            <w:tcW w:w="1218" w:type="pct"/>
            <w:vMerge w:val="continue"/>
            <w:tcBorders>
              <w:top w:val="single" w:color="000000" w:sz="4" w:space="0"/>
              <w:left w:val="single" w:color="auto" w:sz="4" w:space="0"/>
              <w:bottom w:val="single" w:color="auto" w:sz="4" w:space="0"/>
              <w:right w:val="single" w:color="auto" w:sz="4" w:space="0"/>
            </w:tcBorders>
            <w:noWrap w:val="0"/>
            <w:vAlign w:val="center"/>
          </w:tcPr>
          <w:p w14:paraId="34F3F5CE">
            <w:pPr>
              <w:adjustRightInd w:val="0"/>
              <w:snapToGrid w:val="0"/>
              <w:spacing w:line="360" w:lineRule="auto"/>
              <w:jc w:val="center"/>
              <w:rPr>
                <w:color w:val="auto"/>
                <w:kern w:val="0"/>
                <w:sz w:val="24"/>
                <w:highlight w:val="none"/>
              </w:rPr>
            </w:pPr>
          </w:p>
        </w:tc>
        <w:tc>
          <w:tcPr>
            <w:tcW w:w="1154" w:type="pct"/>
            <w:vMerge w:val="continue"/>
            <w:tcBorders>
              <w:left w:val="single" w:color="auto" w:sz="4" w:space="0"/>
              <w:bottom w:val="single" w:color="auto" w:sz="4" w:space="0"/>
              <w:right w:val="single" w:color="auto" w:sz="4" w:space="0"/>
            </w:tcBorders>
            <w:noWrap w:val="0"/>
            <w:vAlign w:val="center"/>
          </w:tcPr>
          <w:p w14:paraId="3E518894">
            <w:pPr>
              <w:adjustRightInd w:val="0"/>
              <w:snapToGrid w:val="0"/>
              <w:spacing w:line="360" w:lineRule="auto"/>
              <w:jc w:val="center"/>
              <w:rPr>
                <w:color w:val="auto"/>
                <w:kern w:val="0"/>
                <w:sz w:val="24"/>
                <w:highlight w:val="none"/>
              </w:rPr>
            </w:pPr>
          </w:p>
        </w:tc>
      </w:tr>
      <w:tr w14:paraId="0D4205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74" w:type="pct"/>
            <w:tcBorders>
              <w:top w:val="single" w:color="auto" w:sz="4" w:space="0"/>
              <w:left w:val="single" w:color="auto" w:sz="4" w:space="0"/>
              <w:bottom w:val="single" w:color="000000" w:sz="4" w:space="0"/>
              <w:right w:val="single" w:color="auto" w:sz="4" w:space="0"/>
            </w:tcBorders>
            <w:noWrap w:val="0"/>
            <w:vAlign w:val="center"/>
          </w:tcPr>
          <w:p w14:paraId="2FA5073F">
            <w:pPr>
              <w:adjustRightInd w:val="0"/>
              <w:snapToGrid w:val="0"/>
              <w:spacing w:line="360" w:lineRule="auto"/>
              <w:jc w:val="center"/>
              <w:rPr>
                <w:color w:val="auto"/>
                <w:kern w:val="0"/>
                <w:sz w:val="24"/>
                <w:highlight w:val="none"/>
              </w:rPr>
            </w:pPr>
            <w:r>
              <w:rPr>
                <w:rFonts w:hint="eastAsia"/>
                <w:color w:val="auto"/>
                <w:kern w:val="0"/>
                <w:sz w:val="24"/>
                <w:highlight w:val="none"/>
              </w:rPr>
              <w:t>环境保护费</w:t>
            </w:r>
          </w:p>
        </w:tc>
        <w:tc>
          <w:tcPr>
            <w:tcW w:w="1655" w:type="pct"/>
            <w:vMerge w:val="restart"/>
            <w:tcBorders>
              <w:top w:val="single" w:color="auto" w:sz="4" w:space="0"/>
              <w:left w:val="single" w:color="auto" w:sz="4" w:space="0"/>
              <w:bottom w:val="single" w:color="auto" w:sz="4" w:space="0"/>
              <w:right w:val="single" w:color="auto" w:sz="4" w:space="0"/>
            </w:tcBorders>
            <w:noWrap w:val="0"/>
            <w:vAlign w:val="center"/>
          </w:tcPr>
          <w:p w14:paraId="55FF60C2">
            <w:pPr>
              <w:adjustRightInd w:val="0"/>
              <w:snapToGrid w:val="0"/>
              <w:spacing w:line="360" w:lineRule="auto"/>
              <w:jc w:val="center"/>
              <w:rPr>
                <w:color w:val="auto"/>
                <w:kern w:val="0"/>
                <w:sz w:val="24"/>
                <w:highlight w:val="none"/>
              </w:rPr>
            </w:pPr>
            <w:r>
              <w:rPr>
                <w:rFonts w:hint="eastAsia"/>
                <w:color w:val="auto"/>
                <w:kern w:val="0"/>
                <w:sz w:val="24"/>
                <w:highlight w:val="none"/>
              </w:rPr>
              <w:t>定额人工费+定额机械费</w:t>
            </w:r>
          </w:p>
        </w:tc>
        <w:tc>
          <w:tcPr>
            <w:tcW w:w="1218" w:type="pct"/>
            <w:tcBorders>
              <w:top w:val="single" w:color="auto" w:sz="4" w:space="0"/>
              <w:left w:val="single" w:color="auto" w:sz="4" w:space="0"/>
              <w:bottom w:val="single" w:color="auto" w:sz="4" w:space="0"/>
              <w:right w:val="single" w:color="auto" w:sz="4" w:space="0"/>
            </w:tcBorders>
            <w:noWrap w:val="0"/>
            <w:vAlign w:val="center"/>
          </w:tcPr>
          <w:p w14:paraId="77F28E62">
            <w:pPr>
              <w:adjustRightInd w:val="0"/>
              <w:snapToGrid w:val="0"/>
              <w:spacing w:line="360" w:lineRule="auto"/>
              <w:jc w:val="center"/>
              <w:rPr>
                <w:color w:val="auto"/>
                <w:kern w:val="0"/>
                <w:sz w:val="24"/>
                <w:highlight w:val="none"/>
              </w:rPr>
            </w:pPr>
            <w:r>
              <w:rPr>
                <w:rFonts w:hint="eastAsia"/>
                <w:color w:val="auto"/>
                <w:kern w:val="0"/>
                <w:sz w:val="24"/>
                <w:highlight w:val="none"/>
              </w:rPr>
              <w:t>3.28</w:t>
            </w:r>
          </w:p>
        </w:tc>
        <w:tc>
          <w:tcPr>
            <w:tcW w:w="1154" w:type="pct"/>
            <w:tcBorders>
              <w:top w:val="single" w:color="auto" w:sz="4" w:space="0"/>
              <w:left w:val="single" w:color="auto" w:sz="4" w:space="0"/>
              <w:bottom w:val="single" w:color="auto" w:sz="4" w:space="0"/>
              <w:right w:val="single" w:color="auto" w:sz="4" w:space="0"/>
            </w:tcBorders>
            <w:noWrap w:val="0"/>
            <w:vAlign w:val="center"/>
          </w:tcPr>
          <w:p w14:paraId="5D55DF6F">
            <w:pPr>
              <w:adjustRightInd w:val="0"/>
              <w:snapToGrid w:val="0"/>
              <w:spacing w:line="360" w:lineRule="auto"/>
              <w:jc w:val="center"/>
              <w:rPr>
                <w:rFonts w:eastAsia="仿宋"/>
                <w:color w:val="auto"/>
                <w:kern w:val="0"/>
                <w:sz w:val="24"/>
                <w:highlight w:val="none"/>
              </w:rPr>
            </w:pPr>
            <w:r>
              <w:rPr>
                <w:rFonts w:hint="eastAsia"/>
                <w:color w:val="auto"/>
                <w:kern w:val="0"/>
                <w:sz w:val="24"/>
                <w:highlight w:val="none"/>
              </w:rPr>
              <w:t>3.57</w:t>
            </w:r>
          </w:p>
        </w:tc>
      </w:tr>
      <w:tr w14:paraId="58DC28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74" w:type="pct"/>
            <w:tcBorders>
              <w:top w:val="single" w:color="auto" w:sz="4" w:space="0"/>
              <w:left w:val="single" w:color="auto" w:sz="4" w:space="0"/>
              <w:bottom w:val="single" w:color="auto" w:sz="4" w:space="0"/>
              <w:right w:val="single" w:color="auto" w:sz="4" w:space="0"/>
            </w:tcBorders>
            <w:noWrap w:val="0"/>
            <w:vAlign w:val="center"/>
          </w:tcPr>
          <w:p w14:paraId="16BB6FB4">
            <w:pPr>
              <w:adjustRightInd w:val="0"/>
              <w:snapToGrid w:val="0"/>
              <w:spacing w:line="360" w:lineRule="auto"/>
              <w:jc w:val="center"/>
              <w:rPr>
                <w:color w:val="auto"/>
                <w:kern w:val="0"/>
                <w:sz w:val="24"/>
                <w:highlight w:val="none"/>
              </w:rPr>
            </w:pPr>
            <w:r>
              <w:rPr>
                <w:rFonts w:hint="eastAsia"/>
                <w:color w:val="auto"/>
                <w:kern w:val="0"/>
                <w:sz w:val="24"/>
                <w:highlight w:val="none"/>
              </w:rPr>
              <w:t>文明施工费</w:t>
            </w:r>
          </w:p>
        </w:tc>
        <w:tc>
          <w:tcPr>
            <w:tcW w:w="1655" w:type="pct"/>
            <w:vMerge w:val="continue"/>
            <w:tcBorders>
              <w:top w:val="single" w:color="auto" w:sz="4" w:space="0"/>
              <w:left w:val="single" w:color="auto" w:sz="4" w:space="0"/>
              <w:bottom w:val="single" w:color="auto" w:sz="4" w:space="0"/>
              <w:right w:val="single" w:color="auto" w:sz="4" w:space="0"/>
            </w:tcBorders>
            <w:noWrap w:val="0"/>
            <w:vAlign w:val="center"/>
          </w:tcPr>
          <w:p w14:paraId="435FC516">
            <w:pPr>
              <w:widowControl/>
              <w:snapToGrid w:val="0"/>
              <w:spacing w:line="360" w:lineRule="auto"/>
              <w:jc w:val="center"/>
              <w:rPr>
                <w:color w:val="auto"/>
                <w:kern w:val="0"/>
                <w:sz w:val="24"/>
                <w:highlight w:val="none"/>
              </w:rPr>
            </w:pPr>
          </w:p>
        </w:tc>
        <w:tc>
          <w:tcPr>
            <w:tcW w:w="1218" w:type="pct"/>
            <w:tcBorders>
              <w:top w:val="single" w:color="auto" w:sz="4" w:space="0"/>
              <w:left w:val="single" w:color="auto" w:sz="4" w:space="0"/>
              <w:bottom w:val="single" w:color="auto" w:sz="4" w:space="0"/>
              <w:right w:val="single" w:color="auto" w:sz="4" w:space="0"/>
            </w:tcBorders>
            <w:noWrap w:val="0"/>
            <w:vAlign w:val="center"/>
          </w:tcPr>
          <w:p w14:paraId="7C26B0AC">
            <w:pPr>
              <w:adjustRightInd w:val="0"/>
              <w:snapToGrid w:val="0"/>
              <w:spacing w:line="360" w:lineRule="auto"/>
              <w:jc w:val="center"/>
              <w:rPr>
                <w:color w:val="auto"/>
                <w:kern w:val="0"/>
                <w:sz w:val="24"/>
                <w:highlight w:val="none"/>
              </w:rPr>
            </w:pPr>
            <w:r>
              <w:rPr>
                <w:rFonts w:hint="eastAsia"/>
                <w:color w:val="auto"/>
                <w:kern w:val="0"/>
                <w:sz w:val="24"/>
                <w:highlight w:val="none"/>
              </w:rPr>
              <w:t>5.12</w:t>
            </w:r>
          </w:p>
        </w:tc>
        <w:tc>
          <w:tcPr>
            <w:tcW w:w="1154" w:type="pct"/>
            <w:tcBorders>
              <w:top w:val="single" w:color="auto" w:sz="4" w:space="0"/>
              <w:left w:val="single" w:color="auto" w:sz="4" w:space="0"/>
              <w:bottom w:val="single" w:color="auto" w:sz="4" w:space="0"/>
              <w:right w:val="single" w:color="auto" w:sz="4" w:space="0"/>
            </w:tcBorders>
            <w:noWrap w:val="0"/>
            <w:vAlign w:val="center"/>
          </w:tcPr>
          <w:p w14:paraId="6AE2181C">
            <w:pPr>
              <w:adjustRightInd w:val="0"/>
              <w:snapToGrid w:val="0"/>
              <w:spacing w:line="360" w:lineRule="auto"/>
              <w:jc w:val="center"/>
              <w:rPr>
                <w:rFonts w:eastAsia="仿宋"/>
                <w:color w:val="auto"/>
                <w:kern w:val="0"/>
                <w:sz w:val="24"/>
                <w:highlight w:val="none"/>
              </w:rPr>
            </w:pPr>
            <w:r>
              <w:rPr>
                <w:rFonts w:hint="eastAsia"/>
                <w:color w:val="auto"/>
                <w:kern w:val="0"/>
                <w:sz w:val="24"/>
                <w:highlight w:val="none"/>
              </w:rPr>
              <w:t>7.33</w:t>
            </w:r>
          </w:p>
        </w:tc>
      </w:tr>
      <w:tr w14:paraId="539A0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74" w:type="pct"/>
            <w:tcBorders>
              <w:top w:val="single" w:color="auto" w:sz="4" w:space="0"/>
              <w:left w:val="single" w:color="auto" w:sz="4" w:space="0"/>
              <w:bottom w:val="single" w:color="auto" w:sz="4" w:space="0"/>
              <w:right w:val="single" w:color="auto" w:sz="4" w:space="0"/>
            </w:tcBorders>
            <w:noWrap w:val="0"/>
            <w:vAlign w:val="center"/>
          </w:tcPr>
          <w:p w14:paraId="27727B0A">
            <w:pPr>
              <w:adjustRightInd w:val="0"/>
              <w:snapToGrid w:val="0"/>
              <w:spacing w:line="360" w:lineRule="auto"/>
              <w:jc w:val="center"/>
              <w:rPr>
                <w:color w:val="auto"/>
                <w:kern w:val="0"/>
                <w:sz w:val="24"/>
                <w:highlight w:val="none"/>
              </w:rPr>
            </w:pPr>
            <w:r>
              <w:rPr>
                <w:rFonts w:hint="eastAsia"/>
                <w:color w:val="auto"/>
                <w:kern w:val="0"/>
                <w:sz w:val="24"/>
                <w:highlight w:val="none"/>
              </w:rPr>
              <w:t>安全施工费</w:t>
            </w:r>
          </w:p>
        </w:tc>
        <w:tc>
          <w:tcPr>
            <w:tcW w:w="1655" w:type="pct"/>
            <w:vMerge w:val="continue"/>
            <w:tcBorders>
              <w:top w:val="single" w:color="auto" w:sz="4" w:space="0"/>
              <w:left w:val="single" w:color="auto" w:sz="4" w:space="0"/>
              <w:bottom w:val="single" w:color="auto" w:sz="4" w:space="0"/>
              <w:right w:val="single" w:color="auto" w:sz="4" w:space="0"/>
            </w:tcBorders>
            <w:noWrap w:val="0"/>
            <w:vAlign w:val="center"/>
          </w:tcPr>
          <w:p w14:paraId="421FD7B5">
            <w:pPr>
              <w:widowControl/>
              <w:snapToGrid w:val="0"/>
              <w:spacing w:line="360" w:lineRule="auto"/>
              <w:jc w:val="center"/>
              <w:rPr>
                <w:color w:val="auto"/>
                <w:kern w:val="0"/>
                <w:sz w:val="24"/>
                <w:highlight w:val="none"/>
              </w:rPr>
            </w:pPr>
          </w:p>
        </w:tc>
        <w:tc>
          <w:tcPr>
            <w:tcW w:w="1218" w:type="pct"/>
            <w:tcBorders>
              <w:top w:val="single" w:color="auto" w:sz="4" w:space="0"/>
              <w:left w:val="single" w:color="auto" w:sz="4" w:space="0"/>
              <w:bottom w:val="single" w:color="auto" w:sz="4" w:space="0"/>
              <w:right w:val="single" w:color="auto" w:sz="4" w:space="0"/>
            </w:tcBorders>
            <w:noWrap w:val="0"/>
            <w:vAlign w:val="center"/>
          </w:tcPr>
          <w:p w14:paraId="57941C0F">
            <w:pPr>
              <w:adjustRightInd w:val="0"/>
              <w:snapToGrid w:val="0"/>
              <w:spacing w:line="360" w:lineRule="auto"/>
              <w:jc w:val="center"/>
              <w:rPr>
                <w:color w:val="auto"/>
                <w:kern w:val="0"/>
                <w:sz w:val="24"/>
                <w:highlight w:val="none"/>
              </w:rPr>
            </w:pPr>
            <w:r>
              <w:rPr>
                <w:rFonts w:hint="eastAsia"/>
                <w:color w:val="auto"/>
                <w:kern w:val="0"/>
                <w:sz w:val="24"/>
                <w:highlight w:val="none"/>
              </w:rPr>
              <w:t>4.13</w:t>
            </w:r>
          </w:p>
        </w:tc>
        <w:tc>
          <w:tcPr>
            <w:tcW w:w="1154" w:type="pct"/>
            <w:tcBorders>
              <w:top w:val="single" w:color="auto" w:sz="4" w:space="0"/>
              <w:left w:val="single" w:color="auto" w:sz="4" w:space="0"/>
              <w:bottom w:val="single" w:color="auto" w:sz="4" w:space="0"/>
              <w:right w:val="single" w:color="auto" w:sz="4" w:space="0"/>
            </w:tcBorders>
            <w:noWrap w:val="0"/>
            <w:vAlign w:val="center"/>
          </w:tcPr>
          <w:p w14:paraId="52DAA1EB">
            <w:pPr>
              <w:adjustRightInd w:val="0"/>
              <w:snapToGrid w:val="0"/>
              <w:spacing w:line="360" w:lineRule="auto"/>
              <w:jc w:val="center"/>
              <w:rPr>
                <w:rFonts w:eastAsia="仿宋"/>
                <w:color w:val="auto"/>
                <w:kern w:val="0"/>
                <w:sz w:val="24"/>
                <w:highlight w:val="none"/>
              </w:rPr>
            </w:pPr>
            <w:r>
              <w:rPr>
                <w:rFonts w:hint="eastAsia"/>
                <w:color w:val="auto"/>
                <w:kern w:val="0"/>
                <w:sz w:val="24"/>
                <w:highlight w:val="none"/>
              </w:rPr>
              <w:t>5.28</w:t>
            </w:r>
          </w:p>
        </w:tc>
      </w:tr>
      <w:tr w14:paraId="5D844F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74" w:type="pct"/>
            <w:tcBorders>
              <w:top w:val="single" w:color="auto" w:sz="4" w:space="0"/>
              <w:left w:val="single" w:color="auto" w:sz="4" w:space="0"/>
              <w:bottom w:val="single" w:color="auto" w:sz="4" w:space="0"/>
              <w:right w:val="single" w:color="auto" w:sz="4" w:space="0"/>
            </w:tcBorders>
            <w:noWrap w:val="0"/>
            <w:vAlign w:val="center"/>
          </w:tcPr>
          <w:p w14:paraId="19260799">
            <w:pPr>
              <w:adjustRightInd w:val="0"/>
              <w:snapToGrid w:val="0"/>
              <w:spacing w:line="360" w:lineRule="auto"/>
              <w:jc w:val="center"/>
              <w:rPr>
                <w:color w:val="auto"/>
                <w:kern w:val="0"/>
                <w:sz w:val="24"/>
                <w:highlight w:val="none"/>
              </w:rPr>
            </w:pPr>
            <w:r>
              <w:rPr>
                <w:rFonts w:hint="eastAsia"/>
                <w:color w:val="auto"/>
                <w:kern w:val="0"/>
                <w:sz w:val="24"/>
                <w:highlight w:val="none"/>
              </w:rPr>
              <w:t>临时设施费</w:t>
            </w:r>
          </w:p>
        </w:tc>
        <w:tc>
          <w:tcPr>
            <w:tcW w:w="1655" w:type="pct"/>
            <w:vMerge w:val="continue"/>
            <w:tcBorders>
              <w:top w:val="single" w:color="auto" w:sz="4" w:space="0"/>
              <w:left w:val="single" w:color="auto" w:sz="4" w:space="0"/>
              <w:bottom w:val="single" w:color="auto" w:sz="4" w:space="0"/>
              <w:right w:val="single" w:color="auto" w:sz="4" w:space="0"/>
            </w:tcBorders>
            <w:noWrap w:val="0"/>
            <w:vAlign w:val="center"/>
          </w:tcPr>
          <w:p w14:paraId="6A0621CB">
            <w:pPr>
              <w:widowControl/>
              <w:snapToGrid w:val="0"/>
              <w:spacing w:line="360" w:lineRule="auto"/>
              <w:jc w:val="center"/>
              <w:rPr>
                <w:color w:val="auto"/>
                <w:kern w:val="0"/>
                <w:sz w:val="24"/>
                <w:highlight w:val="none"/>
              </w:rPr>
            </w:pPr>
          </w:p>
        </w:tc>
        <w:tc>
          <w:tcPr>
            <w:tcW w:w="1218" w:type="pct"/>
            <w:tcBorders>
              <w:top w:val="single" w:color="auto" w:sz="4" w:space="0"/>
              <w:left w:val="single" w:color="auto" w:sz="4" w:space="0"/>
              <w:bottom w:val="single" w:color="auto" w:sz="4" w:space="0"/>
              <w:right w:val="single" w:color="auto" w:sz="4" w:space="0"/>
            </w:tcBorders>
            <w:noWrap w:val="0"/>
            <w:vAlign w:val="center"/>
          </w:tcPr>
          <w:p w14:paraId="6FB2F2E2">
            <w:pPr>
              <w:adjustRightInd w:val="0"/>
              <w:snapToGrid w:val="0"/>
              <w:spacing w:line="360" w:lineRule="auto"/>
              <w:jc w:val="center"/>
              <w:rPr>
                <w:color w:val="auto"/>
                <w:kern w:val="0"/>
                <w:sz w:val="24"/>
                <w:highlight w:val="none"/>
              </w:rPr>
            </w:pPr>
            <w:r>
              <w:rPr>
                <w:rFonts w:hint="eastAsia"/>
                <w:color w:val="auto"/>
                <w:kern w:val="0"/>
                <w:sz w:val="24"/>
                <w:highlight w:val="none"/>
              </w:rPr>
              <w:t>8.10</w:t>
            </w:r>
          </w:p>
        </w:tc>
        <w:tc>
          <w:tcPr>
            <w:tcW w:w="1154" w:type="pct"/>
            <w:tcBorders>
              <w:top w:val="single" w:color="auto" w:sz="4" w:space="0"/>
              <w:left w:val="single" w:color="auto" w:sz="4" w:space="0"/>
              <w:bottom w:val="single" w:color="auto" w:sz="4" w:space="0"/>
              <w:right w:val="single" w:color="auto" w:sz="4" w:space="0"/>
            </w:tcBorders>
            <w:noWrap w:val="0"/>
            <w:vAlign w:val="center"/>
          </w:tcPr>
          <w:p w14:paraId="43B66F98">
            <w:pPr>
              <w:adjustRightInd w:val="0"/>
              <w:snapToGrid w:val="0"/>
              <w:spacing w:line="360" w:lineRule="auto"/>
              <w:jc w:val="center"/>
              <w:rPr>
                <w:rFonts w:eastAsia="仿宋"/>
                <w:color w:val="auto"/>
                <w:kern w:val="0"/>
                <w:sz w:val="24"/>
                <w:highlight w:val="none"/>
              </w:rPr>
            </w:pPr>
            <w:r>
              <w:rPr>
                <w:rFonts w:hint="eastAsia"/>
                <w:color w:val="auto"/>
                <w:kern w:val="0"/>
                <w:sz w:val="24"/>
                <w:highlight w:val="none"/>
              </w:rPr>
              <w:t>9.99</w:t>
            </w:r>
          </w:p>
        </w:tc>
      </w:tr>
    </w:tbl>
    <w:p w14:paraId="245B2CD7">
      <w:pPr>
        <w:keepNext/>
        <w:keepLines/>
        <w:adjustRightInd w:val="0"/>
        <w:snapToGrid w:val="0"/>
        <w:spacing w:line="480" w:lineRule="exact"/>
        <w:outlineLvl w:val="1"/>
        <w:rPr>
          <w:rFonts w:hint="eastAsia" w:ascii="宋体" w:hAnsi="宋体" w:cs="宋体"/>
          <w:b/>
          <w:bCs/>
          <w:color w:val="auto"/>
          <w:sz w:val="32"/>
          <w:szCs w:val="32"/>
          <w:highlight w:val="none"/>
        </w:rPr>
      </w:pPr>
      <w:bookmarkStart w:id="1380" w:name="_Toc7039"/>
      <w:bookmarkStart w:id="1381" w:name="_Toc7049"/>
      <w:bookmarkStart w:id="1382" w:name="_Toc95223517"/>
      <w:r>
        <w:rPr>
          <w:rFonts w:hint="eastAsia" w:ascii="宋体" w:hAnsi="宋体" w:cs="宋体"/>
          <w:b/>
          <w:bCs/>
          <w:color w:val="auto"/>
          <w:sz w:val="32"/>
          <w:szCs w:val="32"/>
          <w:highlight w:val="none"/>
        </w:rPr>
        <w:t>2. 工程造价确定</w:t>
      </w:r>
      <w:bookmarkEnd w:id="1380"/>
      <w:bookmarkEnd w:id="1381"/>
      <w:bookmarkEnd w:id="1382"/>
    </w:p>
    <w:p w14:paraId="1DE3745F">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 本项目采用工程量清单计价。</w:t>
      </w:r>
    </w:p>
    <w:p w14:paraId="446800ED">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2.2 除招标文件另有约定外，本项目计税采用增值税一般计税方法。</w:t>
      </w:r>
    </w:p>
    <w:p w14:paraId="623F22E6">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2.3 建设工程造价由分部分项工程费、措施项目费、不可竞争费、其他项目费和税金构成。</w:t>
      </w:r>
    </w:p>
    <w:p w14:paraId="52B29B36">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 分部分项工程项目清单采用综合单价计价。综合单价是指完成一个规定计量单位的分部分项工程和措施清单项目所需的人工费、材料和工程设备费、施工机具使用费和综合费（企业管理费和利润）以及一定范围内的风险费用。</w:t>
      </w:r>
    </w:p>
    <w:p w14:paraId="3CAD25A1">
      <w:pPr>
        <w:keepNext/>
        <w:keepLines/>
        <w:adjustRightInd w:val="0"/>
        <w:snapToGrid w:val="0"/>
        <w:spacing w:line="360" w:lineRule="auto"/>
        <w:outlineLvl w:val="1"/>
        <w:rPr>
          <w:rFonts w:hint="eastAsia" w:ascii="宋体" w:hAnsi="宋体" w:cs="宋体"/>
          <w:b/>
          <w:bCs/>
          <w:color w:val="auto"/>
          <w:sz w:val="32"/>
          <w:szCs w:val="32"/>
          <w:highlight w:val="none"/>
        </w:rPr>
      </w:pPr>
      <w:bookmarkStart w:id="1383" w:name="_Toc95223518"/>
      <w:bookmarkStart w:id="1384" w:name="_Toc26810"/>
      <w:bookmarkStart w:id="1385" w:name="_Toc19788"/>
      <w:r>
        <w:rPr>
          <w:rFonts w:hint="eastAsia" w:ascii="宋体" w:hAnsi="宋体" w:cs="宋体"/>
          <w:b/>
          <w:bCs/>
          <w:color w:val="auto"/>
          <w:sz w:val="32"/>
          <w:szCs w:val="32"/>
          <w:highlight w:val="none"/>
        </w:rPr>
        <w:t>3. 招标工程量清单编制要求</w:t>
      </w:r>
      <w:bookmarkEnd w:id="1383"/>
      <w:bookmarkEnd w:id="1384"/>
      <w:bookmarkEnd w:id="1385"/>
    </w:p>
    <w:p w14:paraId="1A34CA82">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3.1 招标工程量清单编制依据如下：</w:t>
      </w:r>
    </w:p>
    <w:p w14:paraId="7F4BD2D9">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（1）2018版安徽省建设工程工程量清单计价办法；</w:t>
      </w:r>
    </w:p>
    <w:p w14:paraId="27054BA8">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（2）《关于调整安徽省建设工程不可竞争费构成及计费标准的通知》（建标〔2021〕42号）； </w:t>
      </w:r>
    </w:p>
    <w:p w14:paraId="30305917">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（3）建设工程设计文件及相关资料；</w:t>
      </w:r>
    </w:p>
    <w:p w14:paraId="67DC7D46">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（4）与建设项目有关的标准、规范、技术资料；</w:t>
      </w:r>
    </w:p>
    <w:p w14:paraId="6C4B8FDE">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（5）拟定的招标文件及其补充通知答疑纪要； </w:t>
      </w:r>
    </w:p>
    <w:p w14:paraId="1AC461D3">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（6）施工现场情况、地勘水文资料、工程特点及常规施工方案；</w:t>
      </w:r>
    </w:p>
    <w:p w14:paraId="4CEA8560">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（7）招标人对项目其他相关要求文件。</w:t>
      </w:r>
    </w:p>
    <w:p w14:paraId="5D80FD61">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3.2 招标工程量清单作为招标文件的组成部分，是编制最高投标限价、投标报价、计算工程量、调整合同价款、办理工程竣工结算以及工程索赔等的依据。</w:t>
      </w:r>
    </w:p>
    <w:p w14:paraId="1B3875F4">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3.3 投标人在投标报价过程中有责任和义务对招标人提供的工程量清单进行分析和核对,发现问题应按招标文件要求以书面形式告知招标人。</w:t>
      </w:r>
    </w:p>
    <w:p w14:paraId="30229B0E">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3.4 工程量清单由分部分项工程量清单、措施项目清单、不可竞争项目清单、其他项目清单、税金项目清单组成。采用统一格式和表格，具体构成内容见“工程量清单”。</w:t>
      </w:r>
    </w:p>
    <w:p w14:paraId="5682BAB4">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3.5 分部分项工程量清单项目特征是结合本工程项目的实际情况予以描述的，对清单项目的技术和质量有要求的，见招标文件技术部分。措施项目清单中通用部分遵循计价规范编制，专业工程措施项目按规定和工程实际情况确定。</w:t>
      </w:r>
    </w:p>
    <w:p w14:paraId="23F35591">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3.6 招标工程量清单编制范围应与招标文件中明确的工程招标范围一致。工程量清单的组成内容应当完整、项目特征描述应准确全面，与施工图纸保持一致。</w:t>
      </w:r>
    </w:p>
    <w:p w14:paraId="4DA0B07E">
      <w:pPr>
        <w:keepNext/>
        <w:keepLines/>
        <w:adjustRightInd w:val="0"/>
        <w:snapToGrid w:val="0"/>
        <w:spacing w:line="360" w:lineRule="auto"/>
        <w:outlineLvl w:val="1"/>
        <w:rPr>
          <w:rFonts w:hint="eastAsia" w:ascii="宋体" w:hAnsi="宋体" w:cs="宋体"/>
          <w:b/>
          <w:bCs/>
          <w:color w:val="auto"/>
          <w:sz w:val="32"/>
          <w:szCs w:val="32"/>
          <w:highlight w:val="none"/>
        </w:rPr>
      </w:pPr>
      <w:bookmarkStart w:id="1386" w:name="_Toc25387"/>
      <w:bookmarkStart w:id="1387" w:name="_Toc95223519"/>
      <w:bookmarkStart w:id="1388" w:name="_Toc23910"/>
      <w:r>
        <w:rPr>
          <w:rFonts w:hint="eastAsia" w:ascii="宋体" w:hAnsi="宋体" w:cs="宋体"/>
          <w:b/>
          <w:bCs/>
          <w:color w:val="auto"/>
          <w:sz w:val="32"/>
          <w:szCs w:val="32"/>
          <w:highlight w:val="none"/>
        </w:rPr>
        <w:t>4. 最高投标限价编制要求</w:t>
      </w:r>
      <w:bookmarkEnd w:id="1386"/>
      <w:bookmarkEnd w:id="1387"/>
      <w:bookmarkEnd w:id="1388"/>
    </w:p>
    <w:p w14:paraId="74A1D2A7">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4.1 最高投标限价编制依据如下：</w:t>
      </w:r>
    </w:p>
    <w:p w14:paraId="03E87DDC">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（1）2018版安徽省建设工程费用定额；</w:t>
      </w:r>
    </w:p>
    <w:p w14:paraId="797A11A6">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（2）2018版安徽省建设工程施工机械台班费用编制规则；</w:t>
      </w:r>
    </w:p>
    <w:p w14:paraId="4C22155E">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（3）2018版安徽省配套计价定额；</w:t>
      </w:r>
    </w:p>
    <w:p w14:paraId="55BD72F9">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（4）《关于调整安徽省建设工程不可竞争费构成及计费标准的通知》（建标〔2021〕42号）； </w:t>
      </w:r>
    </w:p>
    <w:p w14:paraId="1CBDAF8A">
      <w:pPr>
        <w:adjustRightInd w:val="0"/>
        <w:snapToGrid w:val="0"/>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（5）关于发布《安徽省建设工程计价依据动态调整(第</w:t>
      </w:r>
      <w:r>
        <w:rPr>
          <w:rFonts w:hint="eastAsia" w:ascii="宋体" w:hAnsi="宋体" w:cs="宋体"/>
          <w:color w:val="auto"/>
          <w:szCs w:val="21"/>
          <w:highlight w:val="none"/>
          <w:lang w:val="en-US" w:eastAsia="zh-CN"/>
        </w:rPr>
        <w:t xml:space="preserve">2 </w:t>
      </w:r>
      <w:r>
        <w:rPr>
          <w:rFonts w:hint="eastAsia" w:ascii="宋体" w:hAnsi="宋体" w:cs="宋体"/>
          <w:color w:val="auto"/>
          <w:szCs w:val="21"/>
          <w:highlight w:val="none"/>
        </w:rPr>
        <w:t>期)》的公告</w:t>
      </w:r>
      <w:r>
        <w:rPr>
          <w:rFonts w:hint="eastAsia" w:ascii="宋体" w:hAnsi="宋体" w:cs="宋体"/>
          <w:color w:val="auto"/>
          <w:szCs w:val="21"/>
          <w:highlight w:val="none"/>
          <w:lang w:eastAsia="zh-CN"/>
        </w:rPr>
        <w:t>；</w:t>
      </w:r>
    </w:p>
    <w:p w14:paraId="352A56E2">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（6）建设工程设计文件及相关资料；</w:t>
      </w:r>
    </w:p>
    <w:p w14:paraId="3B8FF61A">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（7）与建设项目有关的标准、规范、技术资料；</w:t>
      </w:r>
    </w:p>
    <w:p w14:paraId="4A583C39">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（8）招标文件及招标工程量清单及其补充通知答疑纪要； </w:t>
      </w:r>
    </w:p>
    <w:p w14:paraId="6A2F84AA">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（9）施工现场情况、工程特点及常规施工方案；</w:t>
      </w:r>
    </w:p>
    <w:p w14:paraId="609F411E">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（10）工程造价管理机构发布的工程造价信息（</w:t>
      </w:r>
      <w:r>
        <w:rPr>
          <w:rFonts w:hint="eastAsia" w:ascii="宋体" w:hAnsi="宋体" w:cs="宋体"/>
          <w:color w:val="auto"/>
          <w:szCs w:val="21"/>
          <w:highlight w:val="none"/>
          <w:lang w:val="en-US" w:eastAsia="zh-CN"/>
        </w:rPr>
        <w:t>2026年第5期</w:t>
      </w:r>
      <w:r>
        <w:rPr>
          <w:rFonts w:hint="eastAsia" w:ascii="宋体" w:hAnsi="宋体" w:cs="宋体"/>
          <w:color w:val="auto"/>
          <w:szCs w:val="21"/>
          <w:highlight w:val="none"/>
        </w:rPr>
        <w:t>）；</w:t>
      </w:r>
    </w:p>
    <w:p w14:paraId="67B1B19F">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（11）施工期间的风险因素；</w:t>
      </w:r>
    </w:p>
    <w:p w14:paraId="44D5506A">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（12）其他相关材料。</w:t>
      </w:r>
    </w:p>
    <w:p w14:paraId="60D2DC0C">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4.2 最高投标限价为本次招标工程限定的最高投标限价，应当在工程所在地建设主管部门备案。最高投标限价不做上调或下浮。如最高投标限价超过批准的概算，招标人应将其报原概算审批部门审核。</w:t>
      </w:r>
    </w:p>
    <w:p w14:paraId="22471164">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4.3 最高投标限价应采用工程单价计价，正确、全面地使用国家、省市标准、计价定额以及相关文件，成果文件质量应符合相关标准及规程的规定。最高投标限价包括分部分项工程费、措施项目费、不可竞争费、其他项目费和税金。</w:t>
      </w:r>
    </w:p>
    <w:p w14:paraId="5618FB65">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4.4 分部分项工程费按本招标文件的分部分项工程量清单的特征描述及有关要求，结合第4.1款编制依据确定。</w:t>
      </w:r>
    </w:p>
    <w:p w14:paraId="74B627F7">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（1）综合单价中人工和施工机械台班单价按省级和工程所在地的市级工程造价管理机构公布的单价计算；</w:t>
      </w:r>
    </w:p>
    <w:p w14:paraId="4B4D3E6D">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（2）综合单价中材料、工程设备单价按省级和工程所在地的市级工程造价管理机构公布的单价以及本招标文件规定的暂估价、市场调查价格计算；</w:t>
      </w:r>
    </w:p>
    <w:p w14:paraId="39A2E4C6">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（3）本招标文件中列有材料、设备暂估价的，按暂估价计算；</w:t>
      </w:r>
    </w:p>
    <w:p w14:paraId="176CA882">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（4）综合单价中人工、材料和施工机械台班消耗量均按2018版安徽省定额消耗量计算；</w:t>
      </w:r>
    </w:p>
    <w:p w14:paraId="52752D97">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（5）综合单价中综合费费率按2018版安徽省建设工程计价依据；</w:t>
      </w:r>
    </w:p>
    <w:p w14:paraId="157DA2E8">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（6）综合单价中应包括招标文件约定的应由投标人承担的风险范围及其费用，风险按本招标文件第4.1款约定计算。</w:t>
      </w:r>
    </w:p>
    <w:p w14:paraId="7B867A93">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4.5 措施项目费按本招标文件中的措施项目清单，根据拟定的招标文件和常规施工方案确定。对于施工机械设备的选型根据工程特点和施工条件，本着经济实用、先进高效的原则确定。措施项目费依据项目具体情况进行合理确定，复杂项目需按专家论证后的方案编制。</w:t>
      </w:r>
    </w:p>
    <w:p w14:paraId="7F93695B">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4.6 不可竞争费（含安全文明施工费、</w:t>
      </w:r>
      <w:r>
        <w:rPr>
          <w:rFonts w:hint="eastAsia"/>
          <w:color w:val="auto"/>
          <w:highlight w:val="none"/>
        </w:rPr>
        <w:t>环境保护税</w:t>
      </w:r>
      <w:r>
        <w:rPr>
          <w:rFonts w:hint="eastAsia" w:ascii="宋体" w:hAnsi="宋体" w:cs="宋体"/>
          <w:color w:val="auto"/>
          <w:szCs w:val="21"/>
          <w:highlight w:val="none"/>
        </w:rPr>
        <w:t>）按本招标文件中的不可竞争项目清单编制确定。</w:t>
      </w:r>
    </w:p>
    <w:p w14:paraId="280BC05E">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4.7 其他项目费用应按照下列规定计价:</w:t>
      </w:r>
    </w:p>
    <w:p w14:paraId="7B61985A">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（1）暂列金额按招标工程量清单中列出的金额填写；</w:t>
      </w:r>
    </w:p>
    <w:p w14:paraId="492CC3B6">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（2）专业工程暂估价按招标工程量清单中列出的金额填写；</w:t>
      </w:r>
    </w:p>
    <w:p w14:paraId="51861563">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（3）计日工按招标人列出项目和数量，结合第4.1款编制依据的要求确定综合单价并计算费用； </w:t>
      </w:r>
    </w:p>
    <w:p w14:paraId="42516DAF">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（4）总承包服务费根据招标文件列出的内容和要求计算。</w:t>
      </w:r>
    </w:p>
    <w:p w14:paraId="5DDAF595">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4.8 税金（增值税）按税金项目清单，结合第4.1款编制依据的要求编制，不得降低标准。</w:t>
      </w:r>
    </w:p>
    <w:p w14:paraId="5A892996">
      <w:pPr>
        <w:keepNext/>
        <w:keepLines/>
        <w:adjustRightInd w:val="0"/>
        <w:snapToGrid w:val="0"/>
        <w:spacing w:line="360" w:lineRule="auto"/>
        <w:outlineLvl w:val="1"/>
        <w:rPr>
          <w:rFonts w:hint="eastAsia" w:ascii="宋体" w:hAnsi="宋体" w:cs="宋体"/>
          <w:b/>
          <w:bCs/>
          <w:color w:val="auto"/>
          <w:sz w:val="32"/>
          <w:szCs w:val="32"/>
          <w:highlight w:val="none"/>
        </w:rPr>
      </w:pPr>
      <w:bookmarkStart w:id="1389" w:name="_Toc14007"/>
      <w:bookmarkStart w:id="1390" w:name="_Toc4166"/>
      <w:bookmarkStart w:id="1391" w:name="_Toc95223520"/>
      <w:r>
        <w:rPr>
          <w:rFonts w:hint="eastAsia" w:ascii="宋体" w:hAnsi="宋体" w:cs="宋体"/>
          <w:b/>
          <w:bCs/>
          <w:color w:val="auto"/>
          <w:sz w:val="32"/>
          <w:szCs w:val="32"/>
          <w:highlight w:val="none"/>
        </w:rPr>
        <w:t>5. 投标报价参考编制要求</w:t>
      </w:r>
      <w:bookmarkEnd w:id="1389"/>
      <w:bookmarkEnd w:id="1390"/>
      <w:bookmarkEnd w:id="1391"/>
    </w:p>
    <w:p w14:paraId="3E60F83A">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 投标报价编制参考依据如下：</w:t>
      </w:r>
    </w:p>
    <w:p w14:paraId="73DA74D5">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（1）2018版安徽省建设工程费用定额；</w:t>
      </w:r>
    </w:p>
    <w:p w14:paraId="1B67BF91">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（2）2018版安徽省建设工程施工机械台班费用编制规则；</w:t>
      </w:r>
    </w:p>
    <w:p w14:paraId="1E855EC5">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（3）2018版安徽省配套计价定额；</w:t>
      </w:r>
    </w:p>
    <w:p w14:paraId="5B0481C5">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（4）《关于调整安徽省建设工程不可竞争费构成及计费标准的通知》（建标〔2021〕42号）； </w:t>
      </w:r>
    </w:p>
    <w:p w14:paraId="5A7DB10C">
      <w:pPr>
        <w:adjustRightInd w:val="0"/>
        <w:snapToGrid w:val="0"/>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（5）关于发布《安徽省建设工程计价依据动态调整(第</w:t>
      </w:r>
      <w:r>
        <w:rPr>
          <w:rFonts w:hint="eastAsia" w:ascii="宋体" w:hAnsi="宋体" w:cs="宋体"/>
          <w:color w:val="auto"/>
          <w:szCs w:val="21"/>
          <w:highlight w:val="none"/>
          <w:lang w:val="en-US" w:eastAsia="zh-CN"/>
        </w:rPr>
        <w:t xml:space="preserve">2 </w:t>
      </w:r>
      <w:r>
        <w:rPr>
          <w:rFonts w:hint="eastAsia" w:ascii="宋体" w:hAnsi="宋体" w:cs="宋体"/>
          <w:color w:val="auto"/>
          <w:szCs w:val="21"/>
          <w:highlight w:val="none"/>
        </w:rPr>
        <w:t>期)》的公告</w:t>
      </w:r>
      <w:r>
        <w:rPr>
          <w:rFonts w:hint="eastAsia" w:ascii="宋体" w:hAnsi="宋体" w:cs="宋体"/>
          <w:color w:val="auto"/>
          <w:szCs w:val="21"/>
          <w:highlight w:val="none"/>
          <w:lang w:eastAsia="zh-CN"/>
        </w:rPr>
        <w:t>；</w:t>
      </w:r>
    </w:p>
    <w:p w14:paraId="1A84F8BB">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（6）建设工程设计文件及相关资料；</w:t>
      </w:r>
    </w:p>
    <w:p w14:paraId="2275FED9">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（7）与建设项目有关的标准、规范、技术资料；</w:t>
      </w:r>
    </w:p>
    <w:p w14:paraId="7F9869F2">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（8）招标文件及招标工程量清单及其补充通知答疑纪要； </w:t>
      </w:r>
    </w:p>
    <w:p w14:paraId="46C03BF5">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（9）施工现场情况、工程特点及常规施工方案；</w:t>
      </w:r>
    </w:p>
    <w:p w14:paraId="7B074BD0">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（10）工程造价管理机构发布的工程造价信息（</w:t>
      </w:r>
      <w:r>
        <w:rPr>
          <w:rFonts w:hint="eastAsia" w:ascii="宋体" w:hAnsi="宋体" w:cs="宋体"/>
          <w:color w:val="auto"/>
          <w:szCs w:val="21"/>
          <w:highlight w:val="none"/>
          <w:lang w:val="en-US" w:eastAsia="zh-CN"/>
        </w:rPr>
        <w:t>2026年第5期</w:t>
      </w:r>
      <w:r>
        <w:rPr>
          <w:rFonts w:hint="eastAsia" w:ascii="宋体" w:hAnsi="宋体" w:cs="宋体"/>
          <w:color w:val="auto"/>
          <w:szCs w:val="21"/>
          <w:highlight w:val="none"/>
        </w:rPr>
        <w:t>）；</w:t>
      </w:r>
    </w:p>
    <w:p w14:paraId="3FF8D727">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（11）施工期间的风险因素；</w:t>
      </w:r>
    </w:p>
    <w:p w14:paraId="792D563A">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（12）其他相关材料。</w:t>
      </w:r>
    </w:p>
    <w:p w14:paraId="16517D2F">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5.2 投标人应仔细阅读招标文件，了解拟投标合同段的全部工程内容。投标人的投标报价应是招标文件所确定的招标范围内全部工程内容的价格体现，但其投标报价不得低于投标人个别成本价。</w:t>
      </w:r>
    </w:p>
    <w:p w14:paraId="04DFA93B">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5.3 投标人应按招标人提供的招标工程量清单填报综合单价和合价，未填报的综合单价和合价，视为此项费用已合在工程量清单的其他综合单价和合价中。</w:t>
      </w:r>
    </w:p>
    <w:p w14:paraId="292B8814">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5.4 分部分项工程费根据招标文件中的工程量清单项目及项目特征描述等确定综合单价。其中综合单价是指完成一个规定清单项目所需的人工费、材料和工程设备费、施工机具使用费和综合费（企业管理费和利润）以及一定范围内投标人承担的风险费用。</w:t>
      </w:r>
    </w:p>
    <w:p w14:paraId="5407D252">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5.5 措施项目费根据招标文件中的工程量清单措施项目，结合第5.1款编制依据确定。投标人对招标人所列的措施项目可根据工程实际情况结合施工组织设计进行增补。</w:t>
      </w:r>
    </w:p>
    <w:p w14:paraId="4FF3F74E">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5.6 不可竞争费（含安全文明施工费、</w:t>
      </w:r>
      <w:r>
        <w:rPr>
          <w:rFonts w:hint="eastAsia"/>
          <w:color w:val="auto"/>
          <w:highlight w:val="none"/>
        </w:rPr>
        <w:t>环境保护税</w:t>
      </w:r>
      <w:r>
        <w:rPr>
          <w:rFonts w:hint="eastAsia" w:ascii="宋体" w:hAnsi="宋体" w:cs="宋体"/>
          <w:color w:val="auto"/>
          <w:szCs w:val="21"/>
          <w:highlight w:val="none"/>
        </w:rPr>
        <w:t>）根据工程量清单不可竞争项目，结合第5.1款编制依据确定，安全文明施工费费率不得调整。</w:t>
      </w:r>
    </w:p>
    <w:p w14:paraId="1E767992">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5.7 其他项目费用应按照下列规定计价:</w:t>
      </w:r>
    </w:p>
    <w:p w14:paraId="2BBAFF84">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（1）暂列金额按招标工程量清单中列出的金额填写，不得更改；</w:t>
      </w:r>
    </w:p>
    <w:p w14:paraId="7548588C">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（2）专业工程暂估价按招标工程量清单中列出的金额填写，不得更改；</w:t>
      </w:r>
    </w:p>
    <w:p w14:paraId="03A22F14">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（3）计日工按招标人列出项目和数量，结合第5.1款编制依据的要求确定综合单价并计算费用； </w:t>
      </w:r>
    </w:p>
    <w:p w14:paraId="1AAC7304">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（4）总承包服务费根据招标文件列出的内容和要求计算。</w:t>
      </w:r>
    </w:p>
    <w:p w14:paraId="793279DA">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5.8 税金（增值税）按税金项目清单，结合第5.1款编制依据的要求编制，不得调整。</w:t>
      </w:r>
    </w:p>
    <w:p w14:paraId="0DCBC8D2">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5.9 投标报价编制注意事项</w:t>
      </w:r>
    </w:p>
    <w:p w14:paraId="4D9C16AA">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除可调整价格的主要材料和甲供材及实行暂估价的材料及设备以外，其他由投标人自行采购的材料确定投标报价时应充分考虑材料价格上涨等市场风险因素，中标后不作调整，综合单价中的材料费应包含材料运杂费、采保费等一切应有费用；</w:t>
      </w:r>
    </w:p>
    <w:p w14:paraId="5DC54EE2">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（2）结算时实行暂估价的材料和设备的价差仅计取税金，不再计取其他费用；</w:t>
      </w:r>
    </w:p>
    <w:p w14:paraId="10BC3949">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本招标工程的施工地点为本须知前附表所述，投标人应自行到施工现场踏勘以充分了解工地位置、情况、道路、储存空间、装卸限制及任何其他足以影响投标报价的情况，任何因忽视或误解施工场地情况而导致的索赔或工期延长申请将不被批准。对于受施工现场场地限制，如需要另外寻找场地解决临时住宿、材料及设备堆放，由此所产生的费用应包含在投标报价范围内，招标人不再承担该费用；</w:t>
      </w:r>
    </w:p>
    <w:p w14:paraId="2CA2225F">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开标前，投标人应认真对照施工设计图纸等文件核对招标人提供的工程量清单，发现工程量存在项目划分误差、计量单位误差、数量误差、遗漏项目的，必须在招标文件规定的时间内向招标人提出异议或修正要求，否则招标人可不予答复；</w:t>
      </w:r>
    </w:p>
    <w:p w14:paraId="4D1814E2">
      <w:pPr>
        <w:adjustRightInd w:val="0"/>
        <w:snapToGrid w:val="0"/>
        <w:spacing w:line="360" w:lineRule="auto"/>
        <w:ind w:firstLine="420" w:firstLineChars="200"/>
        <w:rPr>
          <w:rFonts w:hint="eastAsia" w:ascii="宋体" w:hAnsi="宋体" w:cs="宋体"/>
          <w:b/>
          <w:bCs/>
          <w:color w:val="auto"/>
          <w:szCs w:val="21"/>
          <w:highlight w:val="none"/>
        </w:rPr>
      </w:pPr>
      <w:r>
        <w:rPr>
          <w:rFonts w:hint="eastAsia" w:ascii="宋体" w:hAnsi="宋体" w:cs="宋体"/>
          <w:color w:val="auto"/>
          <w:szCs w:val="21"/>
          <w:highlight w:val="none"/>
        </w:rPr>
        <w:t>（5）招标人对异议或修正要求应进行核实，确认工程量单项子目误差在±3%（含±3%）以内的，招标人可不予调整工程量，投标人应将其误差考虑在综合单价内；若有遗漏项目或单项子目工</w:t>
      </w:r>
      <w:r>
        <w:rPr>
          <w:rFonts w:hint="eastAsia" w:ascii="宋体" w:hAnsi="宋体" w:cs="宋体"/>
          <w:b/>
          <w:bCs/>
          <w:color w:val="auto"/>
          <w:szCs w:val="21"/>
          <w:highlight w:val="none"/>
        </w:rPr>
        <w:t>程量误差超过±3%的，招标人应进行修正并重新公布准确的工程量清单；</w:t>
      </w:r>
    </w:p>
    <w:p w14:paraId="5372A169">
      <w:pPr>
        <w:adjustRightInd w:val="0"/>
        <w:snapToGrid w:val="0"/>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（6） 除合同另有约定外，中标人在工程量清单报价书中所报的综合单价在施工图纸和合同约定范围一律不予调整；</w:t>
      </w:r>
    </w:p>
    <w:p w14:paraId="5BE3DE6A">
      <w:pPr>
        <w:adjustRightInd w:val="0"/>
        <w:snapToGrid w:val="0"/>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（7）本招标工程不接受恶意不平衡报价，不保证最低价中标。</w:t>
      </w:r>
    </w:p>
    <w:p w14:paraId="088CAF8E">
      <w:pPr>
        <w:keepNext/>
        <w:keepLines/>
        <w:adjustRightInd w:val="0"/>
        <w:snapToGrid w:val="0"/>
        <w:spacing w:line="360" w:lineRule="auto"/>
        <w:outlineLvl w:val="1"/>
        <w:rPr>
          <w:rFonts w:hint="eastAsia" w:ascii="宋体" w:hAnsi="宋体" w:cs="宋体"/>
          <w:b/>
          <w:bCs/>
          <w:color w:val="auto"/>
          <w:sz w:val="32"/>
          <w:szCs w:val="32"/>
          <w:highlight w:val="none"/>
        </w:rPr>
      </w:pPr>
      <w:bookmarkStart w:id="1392" w:name="_Toc30885"/>
      <w:bookmarkStart w:id="1393" w:name="_Toc4881"/>
      <w:bookmarkStart w:id="1394" w:name="_Toc95223521"/>
      <w:r>
        <w:rPr>
          <w:rFonts w:hint="eastAsia" w:ascii="宋体" w:hAnsi="宋体" w:cs="宋体"/>
          <w:b/>
          <w:bCs/>
          <w:color w:val="auto"/>
          <w:sz w:val="32"/>
          <w:szCs w:val="32"/>
          <w:highlight w:val="none"/>
        </w:rPr>
        <w:t>6. 工程量清单</w:t>
      </w:r>
      <w:bookmarkEnd w:id="1392"/>
      <w:bookmarkEnd w:id="1393"/>
      <w:bookmarkEnd w:id="1394"/>
    </w:p>
    <w:p w14:paraId="6895D46D">
      <w:pPr>
        <w:adjustRightInd w:val="0"/>
        <w:snapToGrid w:val="0"/>
        <w:spacing w:line="360" w:lineRule="auto"/>
        <w:ind w:firstLine="840" w:firstLineChars="400"/>
        <w:rPr>
          <w:rFonts w:hint="eastAsia" w:ascii="宋体" w:hAnsi="宋体" w:cs="宋体"/>
          <w:bCs/>
          <w:color w:val="auto"/>
          <w:kern w:val="44"/>
          <w:sz w:val="32"/>
          <w:szCs w:val="44"/>
          <w:highlight w:val="none"/>
        </w:rPr>
      </w:pPr>
      <w:r>
        <w:rPr>
          <w:rFonts w:hint="eastAsia" w:ascii="宋体" w:hAnsi="宋体" w:cs="宋体"/>
          <w:color w:val="auto"/>
          <w:szCs w:val="21"/>
          <w:highlight w:val="none"/>
        </w:rPr>
        <w:t>另册。</w:t>
      </w:r>
    </w:p>
    <w:p w14:paraId="430E9538">
      <w:pPr>
        <w:adjustRightInd w:val="0"/>
        <w:snapToGrid w:val="0"/>
        <w:spacing w:line="360" w:lineRule="auto"/>
        <w:ind w:firstLine="1280" w:firstLineChars="400"/>
        <w:rPr>
          <w:rFonts w:hint="eastAsia" w:ascii="宋体" w:hAnsi="宋体" w:cs="宋体"/>
          <w:bCs/>
          <w:color w:val="auto"/>
          <w:kern w:val="44"/>
          <w:sz w:val="32"/>
          <w:szCs w:val="44"/>
          <w:highlight w:val="none"/>
        </w:rPr>
      </w:pPr>
    </w:p>
    <w:p w14:paraId="6ECAE99A">
      <w:pPr>
        <w:rPr>
          <w:rFonts w:hint="eastAsia" w:ascii="宋体" w:hAnsi="宋体" w:cs="宋体"/>
          <w:b/>
          <w:color w:val="auto"/>
          <w:highlight w:val="none"/>
        </w:rPr>
      </w:pPr>
    </w:p>
    <w:p w14:paraId="10254BB4">
      <w:pPr>
        <w:rPr>
          <w:rFonts w:hint="eastAsia" w:ascii="宋体" w:hAnsi="宋体" w:cs="宋体"/>
          <w:b/>
          <w:bCs/>
          <w:color w:val="auto"/>
          <w:kern w:val="44"/>
          <w:sz w:val="32"/>
          <w:szCs w:val="44"/>
          <w:highlight w:val="none"/>
        </w:rPr>
      </w:pPr>
      <w:bookmarkStart w:id="1395" w:name="_Toc95223522"/>
      <w:r>
        <w:rPr>
          <w:rFonts w:hint="eastAsia" w:ascii="宋体" w:hAnsi="宋体" w:cs="宋体"/>
          <w:b/>
          <w:bCs/>
          <w:color w:val="auto"/>
          <w:kern w:val="44"/>
          <w:sz w:val="32"/>
          <w:szCs w:val="44"/>
          <w:highlight w:val="none"/>
        </w:rPr>
        <w:br w:type="page"/>
      </w:r>
    </w:p>
    <w:p w14:paraId="23EAD3F3">
      <w:pPr>
        <w:keepNext/>
        <w:keepLines/>
        <w:spacing w:line="360" w:lineRule="auto"/>
        <w:jc w:val="center"/>
        <w:outlineLvl w:val="0"/>
        <w:rPr>
          <w:rFonts w:hint="eastAsia" w:ascii="宋体" w:hAnsi="宋体" w:cs="宋体"/>
          <w:b/>
          <w:bCs/>
          <w:color w:val="auto"/>
          <w:kern w:val="44"/>
          <w:sz w:val="32"/>
          <w:szCs w:val="44"/>
          <w:highlight w:val="none"/>
        </w:rPr>
      </w:pPr>
      <w:r>
        <w:rPr>
          <w:rFonts w:hint="eastAsia" w:ascii="宋体" w:hAnsi="宋体" w:cs="宋体"/>
          <w:b/>
          <w:bCs/>
          <w:color w:val="auto"/>
          <w:kern w:val="44"/>
          <w:sz w:val="32"/>
          <w:szCs w:val="44"/>
          <w:highlight w:val="none"/>
        </w:rPr>
        <w:t xml:space="preserve">第七章 </w:t>
      </w:r>
      <w:bookmarkStart w:id="1396" w:name="_Toc10656"/>
      <w:r>
        <w:rPr>
          <w:rFonts w:hint="eastAsia" w:ascii="宋体" w:hAnsi="宋体" w:cs="宋体"/>
          <w:b/>
          <w:bCs/>
          <w:color w:val="auto"/>
          <w:kern w:val="44"/>
          <w:sz w:val="32"/>
          <w:szCs w:val="44"/>
          <w:highlight w:val="none"/>
        </w:rPr>
        <w:t>图  纸</w:t>
      </w:r>
      <w:bookmarkEnd w:id="1395"/>
      <w:bookmarkEnd w:id="1396"/>
    </w:p>
    <w:p w14:paraId="7AFE00C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图纸已经审查合格，设计深度符合施工要求。技术标准符合国家、行业以及地方标准、规范和规程，具体内容见下表。</w:t>
      </w:r>
    </w:p>
    <w:p w14:paraId="20E89E26">
      <w:pPr>
        <w:keepNext/>
        <w:keepLines/>
        <w:adjustRightInd w:val="0"/>
        <w:snapToGrid w:val="0"/>
        <w:spacing w:before="120" w:after="120" w:line="360" w:lineRule="auto"/>
        <w:outlineLvl w:val="1"/>
        <w:rPr>
          <w:rFonts w:hint="eastAsia" w:ascii="宋体" w:hAnsi="宋体" w:cs="宋体"/>
          <w:bCs/>
          <w:color w:val="auto"/>
          <w:szCs w:val="21"/>
          <w:highlight w:val="none"/>
        </w:rPr>
      </w:pPr>
      <w:bookmarkStart w:id="1397" w:name="_Toc30096"/>
      <w:bookmarkStart w:id="1398" w:name="_Toc95223523"/>
      <w:r>
        <w:rPr>
          <w:rFonts w:hint="eastAsia" w:ascii="宋体" w:hAnsi="宋体" w:cs="宋体"/>
          <w:bCs/>
          <w:color w:val="auto"/>
          <w:szCs w:val="21"/>
          <w:highlight w:val="none"/>
        </w:rPr>
        <w:t>1</w:t>
      </w:r>
      <w:r>
        <w:rPr>
          <w:rFonts w:hint="eastAsia" w:ascii="宋体" w:hAnsi="宋体" w:cs="宋体"/>
          <w:color w:val="auto"/>
          <w:sz w:val="24"/>
          <w:szCs w:val="21"/>
          <w:highlight w:val="none"/>
        </w:rPr>
        <w:t>.</w:t>
      </w:r>
      <w:r>
        <w:rPr>
          <w:rFonts w:hint="eastAsia" w:ascii="宋体" w:hAnsi="宋体" w:cs="宋体"/>
          <w:bCs/>
          <w:color w:val="auto"/>
          <w:szCs w:val="21"/>
          <w:highlight w:val="none"/>
        </w:rPr>
        <w:t>图纸目录（表6-1）</w:t>
      </w:r>
      <w:bookmarkEnd w:id="1397"/>
      <w:bookmarkEnd w:id="1398"/>
    </w:p>
    <w:p w14:paraId="72301F7D">
      <w:pPr>
        <w:rPr>
          <w:rFonts w:hint="eastAsia" w:ascii="宋体" w:hAnsi="宋体" w:cs="宋体"/>
          <w:color w:val="auto"/>
          <w:highlight w:val="none"/>
        </w:rPr>
      </w:pPr>
    </w:p>
    <w:tbl>
      <w:tblPr>
        <w:tblStyle w:val="20"/>
        <w:tblW w:w="9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2160"/>
        <w:gridCol w:w="1344"/>
        <w:gridCol w:w="1588"/>
        <w:gridCol w:w="1588"/>
        <w:gridCol w:w="1589"/>
      </w:tblGrid>
      <w:tr w14:paraId="7E75D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260" w:type="dxa"/>
            <w:noWrap w:val="0"/>
            <w:vAlign w:val="center"/>
          </w:tcPr>
          <w:p w14:paraId="65391E4E">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序号</w:t>
            </w:r>
          </w:p>
        </w:tc>
        <w:tc>
          <w:tcPr>
            <w:tcW w:w="2160" w:type="dxa"/>
            <w:noWrap w:val="0"/>
            <w:vAlign w:val="center"/>
          </w:tcPr>
          <w:p w14:paraId="5A35EA5B">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图名</w:t>
            </w:r>
          </w:p>
        </w:tc>
        <w:tc>
          <w:tcPr>
            <w:tcW w:w="1344" w:type="dxa"/>
            <w:noWrap w:val="0"/>
            <w:vAlign w:val="center"/>
          </w:tcPr>
          <w:p w14:paraId="0C5A0F52">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图号</w:t>
            </w:r>
          </w:p>
        </w:tc>
        <w:tc>
          <w:tcPr>
            <w:tcW w:w="1588" w:type="dxa"/>
            <w:noWrap w:val="0"/>
            <w:vAlign w:val="center"/>
          </w:tcPr>
          <w:p w14:paraId="0015C111">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版本</w:t>
            </w:r>
          </w:p>
        </w:tc>
        <w:tc>
          <w:tcPr>
            <w:tcW w:w="1588" w:type="dxa"/>
            <w:noWrap w:val="0"/>
            <w:vAlign w:val="center"/>
          </w:tcPr>
          <w:p w14:paraId="6EC8BA41">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出图日期</w:t>
            </w:r>
          </w:p>
        </w:tc>
        <w:tc>
          <w:tcPr>
            <w:tcW w:w="1589" w:type="dxa"/>
            <w:noWrap w:val="0"/>
            <w:vAlign w:val="center"/>
          </w:tcPr>
          <w:p w14:paraId="5D7CA029">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备注</w:t>
            </w:r>
          </w:p>
        </w:tc>
      </w:tr>
      <w:tr w14:paraId="6A846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260" w:type="dxa"/>
            <w:noWrap w:val="0"/>
            <w:vAlign w:val="top"/>
          </w:tcPr>
          <w:p w14:paraId="31DD9570">
            <w:pPr>
              <w:rPr>
                <w:rFonts w:hint="eastAsia" w:ascii="宋体" w:hAnsi="宋体" w:cs="宋体"/>
                <w:color w:val="auto"/>
                <w:highlight w:val="none"/>
              </w:rPr>
            </w:pPr>
          </w:p>
        </w:tc>
        <w:tc>
          <w:tcPr>
            <w:tcW w:w="2160" w:type="dxa"/>
            <w:noWrap w:val="0"/>
            <w:vAlign w:val="top"/>
          </w:tcPr>
          <w:p w14:paraId="65D2E5AC">
            <w:pPr>
              <w:keepNext/>
              <w:keepLines/>
              <w:spacing w:before="120" w:after="120" w:line="360" w:lineRule="auto"/>
              <w:jc w:val="left"/>
              <w:outlineLvl w:val="2"/>
              <w:rPr>
                <w:rFonts w:hint="eastAsia" w:ascii="宋体" w:hAnsi="宋体" w:cs="宋体"/>
                <w:bCs/>
                <w:color w:val="auto"/>
                <w:sz w:val="24"/>
                <w:highlight w:val="none"/>
              </w:rPr>
            </w:pPr>
          </w:p>
        </w:tc>
        <w:tc>
          <w:tcPr>
            <w:tcW w:w="1344" w:type="dxa"/>
            <w:noWrap w:val="0"/>
            <w:vAlign w:val="top"/>
          </w:tcPr>
          <w:p w14:paraId="2581747F">
            <w:pPr>
              <w:rPr>
                <w:rFonts w:hint="eastAsia" w:ascii="宋体" w:hAnsi="宋体" w:cs="宋体"/>
                <w:color w:val="auto"/>
                <w:highlight w:val="none"/>
              </w:rPr>
            </w:pPr>
          </w:p>
        </w:tc>
        <w:tc>
          <w:tcPr>
            <w:tcW w:w="1588" w:type="dxa"/>
            <w:noWrap w:val="0"/>
            <w:vAlign w:val="top"/>
          </w:tcPr>
          <w:p w14:paraId="5ABC831C">
            <w:pPr>
              <w:rPr>
                <w:rFonts w:hint="eastAsia" w:ascii="宋体" w:hAnsi="宋体" w:cs="宋体"/>
                <w:color w:val="auto"/>
                <w:highlight w:val="none"/>
              </w:rPr>
            </w:pPr>
          </w:p>
        </w:tc>
        <w:tc>
          <w:tcPr>
            <w:tcW w:w="1588" w:type="dxa"/>
            <w:noWrap w:val="0"/>
            <w:vAlign w:val="top"/>
          </w:tcPr>
          <w:p w14:paraId="302C9D2E">
            <w:pPr>
              <w:rPr>
                <w:rFonts w:hint="eastAsia" w:ascii="宋体" w:hAnsi="宋体" w:cs="宋体"/>
                <w:color w:val="auto"/>
                <w:highlight w:val="none"/>
              </w:rPr>
            </w:pPr>
          </w:p>
        </w:tc>
        <w:tc>
          <w:tcPr>
            <w:tcW w:w="1589" w:type="dxa"/>
            <w:noWrap w:val="0"/>
            <w:vAlign w:val="top"/>
          </w:tcPr>
          <w:p w14:paraId="5B2C270E">
            <w:pPr>
              <w:rPr>
                <w:rFonts w:hint="eastAsia" w:ascii="宋体" w:hAnsi="宋体" w:cs="宋体"/>
                <w:color w:val="auto"/>
                <w:highlight w:val="none"/>
              </w:rPr>
            </w:pPr>
          </w:p>
        </w:tc>
      </w:tr>
      <w:tr w14:paraId="3B29F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260" w:type="dxa"/>
            <w:noWrap w:val="0"/>
            <w:vAlign w:val="top"/>
          </w:tcPr>
          <w:p w14:paraId="3F1C9A7A">
            <w:pPr>
              <w:spacing w:line="360" w:lineRule="auto"/>
              <w:ind w:firstLine="420" w:firstLineChars="200"/>
              <w:rPr>
                <w:rFonts w:hint="eastAsia" w:ascii="宋体" w:hAnsi="宋体" w:cs="宋体"/>
                <w:color w:val="auto"/>
                <w:highlight w:val="none"/>
              </w:rPr>
            </w:pPr>
          </w:p>
        </w:tc>
        <w:tc>
          <w:tcPr>
            <w:tcW w:w="2160" w:type="dxa"/>
            <w:noWrap w:val="0"/>
            <w:vAlign w:val="top"/>
          </w:tcPr>
          <w:p w14:paraId="6F665ECC">
            <w:pPr>
              <w:rPr>
                <w:rFonts w:hint="eastAsia" w:ascii="宋体" w:hAnsi="宋体" w:cs="宋体"/>
                <w:color w:val="auto"/>
                <w:highlight w:val="none"/>
              </w:rPr>
            </w:pPr>
          </w:p>
        </w:tc>
        <w:tc>
          <w:tcPr>
            <w:tcW w:w="1344" w:type="dxa"/>
            <w:noWrap w:val="0"/>
            <w:vAlign w:val="top"/>
          </w:tcPr>
          <w:p w14:paraId="4FFA6006">
            <w:pPr>
              <w:rPr>
                <w:rFonts w:hint="eastAsia" w:ascii="宋体" w:hAnsi="宋体" w:cs="宋体"/>
                <w:color w:val="auto"/>
                <w:highlight w:val="none"/>
              </w:rPr>
            </w:pPr>
          </w:p>
        </w:tc>
        <w:tc>
          <w:tcPr>
            <w:tcW w:w="1588" w:type="dxa"/>
            <w:noWrap w:val="0"/>
            <w:vAlign w:val="top"/>
          </w:tcPr>
          <w:p w14:paraId="444F3784">
            <w:pPr>
              <w:rPr>
                <w:rFonts w:hint="eastAsia" w:ascii="宋体" w:hAnsi="宋体" w:cs="宋体"/>
                <w:color w:val="auto"/>
                <w:highlight w:val="none"/>
              </w:rPr>
            </w:pPr>
          </w:p>
        </w:tc>
        <w:tc>
          <w:tcPr>
            <w:tcW w:w="1588" w:type="dxa"/>
            <w:noWrap w:val="0"/>
            <w:vAlign w:val="top"/>
          </w:tcPr>
          <w:p w14:paraId="5760F46F">
            <w:pPr>
              <w:rPr>
                <w:rFonts w:hint="eastAsia" w:ascii="宋体" w:hAnsi="宋体" w:cs="宋体"/>
                <w:color w:val="auto"/>
                <w:highlight w:val="none"/>
              </w:rPr>
            </w:pPr>
          </w:p>
        </w:tc>
        <w:tc>
          <w:tcPr>
            <w:tcW w:w="1589" w:type="dxa"/>
            <w:noWrap w:val="0"/>
            <w:vAlign w:val="top"/>
          </w:tcPr>
          <w:p w14:paraId="0617D75E">
            <w:pPr>
              <w:rPr>
                <w:rFonts w:hint="eastAsia" w:ascii="宋体" w:hAnsi="宋体" w:cs="宋体"/>
                <w:color w:val="auto"/>
                <w:highlight w:val="none"/>
              </w:rPr>
            </w:pPr>
          </w:p>
        </w:tc>
      </w:tr>
      <w:tr w14:paraId="7C2B1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260" w:type="dxa"/>
            <w:noWrap w:val="0"/>
            <w:vAlign w:val="top"/>
          </w:tcPr>
          <w:p w14:paraId="5F8208C9">
            <w:pPr>
              <w:rPr>
                <w:rFonts w:hint="eastAsia" w:ascii="宋体" w:hAnsi="宋体" w:cs="宋体"/>
                <w:color w:val="auto"/>
                <w:highlight w:val="none"/>
              </w:rPr>
            </w:pPr>
          </w:p>
        </w:tc>
        <w:tc>
          <w:tcPr>
            <w:tcW w:w="2160" w:type="dxa"/>
            <w:noWrap w:val="0"/>
            <w:vAlign w:val="top"/>
          </w:tcPr>
          <w:p w14:paraId="3E7DA789">
            <w:pPr>
              <w:rPr>
                <w:rFonts w:hint="eastAsia" w:ascii="宋体" w:hAnsi="宋体" w:cs="宋体"/>
                <w:color w:val="auto"/>
                <w:highlight w:val="none"/>
              </w:rPr>
            </w:pPr>
          </w:p>
        </w:tc>
        <w:tc>
          <w:tcPr>
            <w:tcW w:w="1344" w:type="dxa"/>
            <w:noWrap w:val="0"/>
            <w:vAlign w:val="top"/>
          </w:tcPr>
          <w:p w14:paraId="6155C823">
            <w:pPr>
              <w:rPr>
                <w:rFonts w:hint="eastAsia" w:ascii="宋体" w:hAnsi="宋体" w:cs="宋体"/>
                <w:color w:val="auto"/>
                <w:highlight w:val="none"/>
              </w:rPr>
            </w:pPr>
          </w:p>
        </w:tc>
        <w:tc>
          <w:tcPr>
            <w:tcW w:w="1588" w:type="dxa"/>
            <w:noWrap w:val="0"/>
            <w:vAlign w:val="top"/>
          </w:tcPr>
          <w:p w14:paraId="01CBB7BC">
            <w:pPr>
              <w:rPr>
                <w:rFonts w:hint="eastAsia" w:ascii="宋体" w:hAnsi="宋体" w:cs="宋体"/>
                <w:color w:val="auto"/>
                <w:highlight w:val="none"/>
              </w:rPr>
            </w:pPr>
          </w:p>
        </w:tc>
        <w:tc>
          <w:tcPr>
            <w:tcW w:w="1588" w:type="dxa"/>
            <w:noWrap w:val="0"/>
            <w:vAlign w:val="top"/>
          </w:tcPr>
          <w:p w14:paraId="01CDBE81">
            <w:pPr>
              <w:rPr>
                <w:rFonts w:hint="eastAsia" w:ascii="宋体" w:hAnsi="宋体" w:cs="宋体"/>
                <w:color w:val="auto"/>
                <w:highlight w:val="none"/>
              </w:rPr>
            </w:pPr>
          </w:p>
        </w:tc>
        <w:tc>
          <w:tcPr>
            <w:tcW w:w="1589" w:type="dxa"/>
            <w:noWrap w:val="0"/>
            <w:vAlign w:val="top"/>
          </w:tcPr>
          <w:p w14:paraId="7E78883E">
            <w:pPr>
              <w:rPr>
                <w:rFonts w:hint="eastAsia" w:ascii="宋体" w:hAnsi="宋体" w:cs="宋体"/>
                <w:color w:val="auto"/>
                <w:highlight w:val="none"/>
              </w:rPr>
            </w:pPr>
          </w:p>
        </w:tc>
      </w:tr>
      <w:tr w14:paraId="449B9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260" w:type="dxa"/>
            <w:noWrap w:val="0"/>
            <w:vAlign w:val="top"/>
          </w:tcPr>
          <w:p w14:paraId="1F2FBE02">
            <w:pPr>
              <w:rPr>
                <w:rFonts w:hint="eastAsia" w:ascii="宋体" w:hAnsi="宋体" w:cs="宋体"/>
                <w:color w:val="auto"/>
                <w:highlight w:val="none"/>
              </w:rPr>
            </w:pPr>
          </w:p>
        </w:tc>
        <w:tc>
          <w:tcPr>
            <w:tcW w:w="2160" w:type="dxa"/>
            <w:noWrap w:val="0"/>
            <w:vAlign w:val="top"/>
          </w:tcPr>
          <w:p w14:paraId="2A3EEB70">
            <w:pPr>
              <w:rPr>
                <w:rFonts w:hint="eastAsia" w:ascii="宋体" w:hAnsi="宋体" w:cs="宋体"/>
                <w:color w:val="auto"/>
                <w:highlight w:val="none"/>
              </w:rPr>
            </w:pPr>
          </w:p>
        </w:tc>
        <w:tc>
          <w:tcPr>
            <w:tcW w:w="1344" w:type="dxa"/>
            <w:noWrap w:val="0"/>
            <w:vAlign w:val="top"/>
          </w:tcPr>
          <w:p w14:paraId="4CD35402">
            <w:pPr>
              <w:rPr>
                <w:rFonts w:hint="eastAsia" w:ascii="宋体" w:hAnsi="宋体" w:cs="宋体"/>
                <w:color w:val="auto"/>
                <w:highlight w:val="none"/>
              </w:rPr>
            </w:pPr>
          </w:p>
        </w:tc>
        <w:tc>
          <w:tcPr>
            <w:tcW w:w="1588" w:type="dxa"/>
            <w:noWrap w:val="0"/>
            <w:vAlign w:val="top"/>
          </w:tcPr>
          <w:p w14:paraId="47C60293">
            <w:pPr>
              <w:rPr>
                <w:rFonts w:hint="eastAsia" w:ascii="宋体" w:hAnsi="宋体" w:cs="宋体"/>
                <w:color w:val="auto"/>
                <w:highlight w:val="none"/>
              </w:rPr>
            </w:pPr>
          </w:p>
        </w:tc>
        <w:tc>
          <w:tcPr>
            <w:tcW w:w="1588" w:type="dxa"/>
            <w:noWrap w:val="0"/>
            <w:vAlign w:val="top"/>
          </w:tcPr>
          <w:p w14:paraId="14D67768">
            <w:pPr>
              <w:rPr>
                <w:rFonts w:hint="eastAsia" w:ascii="宋体" w:hAnsi="宋体" w:cs="宋体"/>
                <w:color w:val="auto"/>
                <w:highlight w:val="none"/>
              </w:rPr>
            </w:pPr>
          </w:p>
        </w:tc>
        <w:tc>
          <w:tcPr>
            <w:tcW w:w="1589" w:type="dxa"/>
            <w:noWrap w:val="0"/>
            <w:vAlign w:val="top"/>
          </w:tcPr>
          <w:p w14:paraId="426876F2">
            <w:pPr>
              <w:rPr>
                <w:rFonts w:hint="eastAsia" w:ascii="宋体" w:hAnsi="宋体" w:cs="宋体"/>
                <w:color w:val="auto"/>
                <w:highlight w:val="none"/>
              </w:rPr>
            </w:pPr>
          </w:p>
        </w:tc>
      </w:tr>
      <w:tr w14:paraId="3B50F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260" w:type="dxa"/>
            <w:noWrap w:val="0"/>
            <w:vAlign w:val="top"/>
          </w:tcPr>
          <w:p w14:paraId="3B4BB0BA">
            <w:pPr>
              <w:rPr>
                <w:rFonts w:hint="eastAsia" w:ascii="宋体" w:hAnsi="宋体" w:cs="宋体"/>
                <w:color w:val="auto"/>
                <w:highlight w:val="none"/>
              </w:rPr>
            </w:pPr>
          </w:p>
        </w:tc>
        <w:tc>
          <w:tcPr>
            <w:tcW w:w="2160" w:type="dxa"/>
            <w:noWrap w:val="0"/>
            <w:vAlign w:val="top"/>
          </w:tcPr>
          <w:p w14:paraId="6AC08533">
            <w:pPr>
              <w:rPr>
                <w:rFonts w:hint="eastAsia" w:ascii="宋体" w:hAnsi="宋体" w:cs="宋体"/>
                <w:color w:val="auto"/>
                <w:highlight w:val="none"/>
              </w:rPr>
            </w:pPr>
          </w:p>
        </w:tc>
        <w:tc>
          <w:tcPr>
            <w:tcW w:w="1344" w:type="dxa"/>
            <w:noWrap w:val="0"/>
            <w:vAlign w:val="top"/>
          </w:tcPr>
          <w:p w14:paraId="06AB0F9B">
            <w:pPr>
              <w:rPr>
                <w:rFonts w:hint="eastAsia" w:ascii="宋体" w:hAnsi="宋体" w:cs="宋体"/>
                <w:color w:val="auto"/>
                <w:highlight w:val="none"/>
              </w:rPr>
            </w:pPr>
          </w:p>
        </w:tc>
        <w:tc>
          <w:tcPr>
            <w:tcW w:w="1588" w:type="dxa"/>
            <w:noWrap w:val="0"/>
            <w:vAlign w:val="top"/>
          </w:tcPr>
          <w:p w14:paraId="29AC2994">
            <w:pPr>
              <w:rPr>
                <w:rFonts w:hint="eastAsia" w:ascii="宋体" w:hAnsi="宋体" w:cs="宋体"/>
                <w:color w:val="auto"/>
                <w:highlight w:val="none"/>
              </w:rPr>
            </w:pPr>
          </w:p>
        </w:tc>
        <w:tc>
          <w:tcPr>
            <w:tcW w:w="1588" w:type="dxa"/>
            <w:noWrap w:val="0"/>
            <w:vAlign w:val="top"/>
          </w:tcPr>
          <w:p w14:paraId="40BF3918">
            <w:pPr>
              <w:rPr>
                <w:rFonts w:hint="eastAsia" w:ascii="宋体" w:hAnsi="宋体" w:cs="宋体"/>
                <w:color w:val="auto"/>
                <w:highlight w:val="none"/>
              </w:rPr>
            </w:pPr>
          </w:p>
        </w:tc>
        <w:tc>
          <w:tcPr>
            <w:tcW w:w="1589" w:type="dxa"/>
            <w:noWrap w:val="0"/>
            <w:vAlign w:val="top"/>
          </w:tcPr>
          <w:p w14:paraId="0C177024">
            <w:pPr>
              <w:rPr>
                <w:rFonts w:hint="eastAsia" w:ascii="宋体" w:hAnsi="宋体" w:cs="宋体"/>
                <w:color w:val="auto"/>
                <w:highlight w:val="none"/>
              </w:rPr>
            </w:pPr>
          </w:p>
        </w:tc>
      </w:tr>
      <w:tr w14:paraId="11CCC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260" w:type="dxa"/>
            <w:noWrap w:val="0"/>
            <w:vAlign w:val="top"/>
          </w:tcPr>
          <w:p w14:paraId="6C98CF05">
            <w:pPr>
              <w:rPr>
                <w:rFonts w:hint="eastAsia" w:ascii="宋体" w:hAnsi="宋体" w:cs="宋体"/>
                <w:color w:val="auto"/>
                <w:highlight w:val="none"/>
              </w:rPr>
            </w:pPr>
          </w:p>
        </w:tc>
        <w:tc>
          <w:tcPr>
            <w:tcW w:w="2160" w:type="dxa"/>
            <w:noWrap w:val="0"/>
            <w:vAlign w:val="top"/>
          </w:tcPr>
          <w:p w14:paraId="394C83FA">
            <w:pPr>
              <w:rPr>
                <w:rFonts w:hint="eastAsia" w:ascii="宋体" w:hAnsi="宋体" w:cs="宋体"/>
                <w:color w:val="auto"/>
                <w:highlight w:val="none"/>
              </w:rPr>
            </w:pPr>
          </w:p>
        </w:tc>
        <w:tc>
          <w:tcPr>
            <w:tcW w:w="1344" w:type="dxa"/>
            <w:noWrap w:val="0"/>
            <w:vAlign w:val="top"/>
          </w:tcPr>
          <w:p w14:paraId="5A29FCD4">
            <w:pPr>
              <w:rPr>
                <w:rFonts w:hint="eastAsia" w:ascii="宋体" w:hAnsi="宋体" w:cs="宋体"/>
                <w:color w:val="auto"/>
                <w:highlight w:val="none"/>
              </w:rPr>
            </w:pPr>
          </w:p>
        </w:tc>
        <w:tc>
          <w:tcPr>
            <w:tcW w:w="1588" w:type="dxa"/>
            <w:noWrap w:val="0"/>
            <w:vAlign w:val="top"/>
          </w:tcPr>
          <w:p w14:paraId="78AB904C">
            <w:pPr>
              <w:rPr>
                <w:rFonts w:hint="eastAsia" w:ascii="宋体" w:hAnsi="宋体" w:cs="宋体"/>
                <w:color w:val="auto"/>
                <w:highlight w:val="none"/>
              </w:rPr>
            </w:pPr>
          </w:p>
        </w:tc>
        <w:tc>
          <w:tcPr>
            <w:tcW w:w="1588" w:type="dxa"/>
            <w:noWrap w:val="0"/>
            <w:vAlign w:val="top"/>
          </w:tcPr>
          <w:p w14:paraId="51A1EAA5">
            <w:pPr>
              <w:rPr>
                <w:rFonts w:hint="eastAsia" w:ascii="宋体" w:hAnsi="宋体" w:cs="宋体"/>
                <w:color w:val="auto"/>
                <w:highlight w:val="none"/>
              </w:rPr>
            </w:pPr>
          </w:p>
        </w:tc>
        <w:tc>
          <w:tcPr>
            <w:tcW w:w="1589" w:type="dxa"/>
            <w:noWrap w:val="0"/>
            <w:vAlign w:val="top"/>
          </w:tcPr>
          <w:p w14:paraId="69F896C6">
            <w:pPr>
              <w:rPr>
                <w:rFonts w:hint="eastAsia" w:ascii="宋体" w:hAnsi="宋体" w:cs="宋体"/>
                <w:color w:val="auto"/>
                <w:highlight w:val="none"/>
              </w:rPr>
            </w:pPr>
          </w:p>
        </w:tc>
      </w:tr>
      <w:tr w14:paraId="0AA5A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260" w:type="dxa"/>
            <w:noWrap w:val="0"/>
            <w:vAlign w:val="top"/>
          </w:tcPr>
          <w:p w14:paraId="148387DB">
            <w:pPr>
              <w:rPr>
                <w:rFonts w:hint="eastAsia" w:ascii="宋体" w:hAnsi="宋体" w:cs="宋体"/>
                <w:color w:val="auto"/>
                <w:highlight w:val="none"/>
              </w:rPr>
            </w:pPr>
          </w:p>
        </w:tc>
        <w:tc>
          <w:tcPr>
            <w:tcW w:w="2160" w:type="dxa"/>
            <w:noWrap w:val="0"/>
            <w:vAlign w:val="top"/>
          </w:tcPr>
          <w:p w14:paraId="0F314CEF">
            <w:pPr>
              <w:rPr>
                <w:rFonts w:hint="eastAsia" w:ascii="宋体" w:hAnsi="宋体" w:cs="宋体"/>
                <w:color w:val="auto"/>
                <w:highlight w:val="none"/>
              </w:rPr>
            </w:pPr>
          </w:p>
        </w:tc>
        <w:tc>
          <w:tcPr>
            <w:tcW w:w="1344" w:type="dxa"/>
            <w:noWrap w:val="0"/>
            <w:vAlign w:val="top"/>
          </w:tcPr>
          <w:p w14:paraId="3C95745E">
            <w:pPr>
              <w:rPr>
                <w:rFonts w:hint="eastAsia" w:ascii="宋体" w:hAnsi="宋体" w:cs="宋体"/>
                <w:color w:val="auto"/>
                <w:highlight w:val="none"/>
              </w:rPr>
            </w:pPr>
          </w:p>
        </w:tc>
        <w:tc>
          <w:tcPr>
            <w:tcW w:w="1588" w:type="dxa"/>
            <w:noWrap w:val="0"/>
            <w:vAlign w:val="top"/>
          </w:tcPr>
          <w:p w14:paraId="5CF51C3F">
            <w:pPr>
              <w:rPr>
                <w:rFonts w:hint="eastAsia" w:ascii="宋体" w:hAnsi="宋体" w:cs="宋体"/>
                <w:color w:val="auto"/>
                <w:highlight w:val="none"/>
              </w:rPr>
            </w:pPr>
          </w:p>
        </w:tc>
        <w:tc>
          <w:tcPr>
            <w:tcW w:w="1588" w:type="dxa"/>
            <w:noWrap w:val="0"/>
            <w:vAlign w:val="top"/>
          </w:tcPr>
          <w:p w14:paraId="19956C75">
            <w:pPr>
              <w:rPr>
                <w:rFonts w:hint="eastAsia" w:ascii="宋体" w:hAnsi="宋体" w:cs="宋体"/>
                <w:color w:val="auto"/>
                <w:highlight w:val="none"/>
              </w:rPr>
            </w:pPr>
          </w:p>
        </w:tc>
        <w:tc>
          <w:tcPr>
            <w:tcW w:w="1589" w:type="dxa"/>
            <w:noWrap w:val="0"/>
            <w:vAlign w:val="top"/>
          </w:tcPr>
          <w:p w14:paraId="6B28FF73">
            <w:pPr>
              <w:rPr>
                <w:rFonts w:hint="eastAsia" w:ascii="宋体" w:hAnsi="宋体" w:cs="宋体"/>
                <w:color w:val="auto"/>
                <w:highlight w:val="none"/>
              </w:rPr>
            </w:pPr>
          </w:p>
        </w:tc>
      </w:tr>
      <w:tr w14:paraId="2EDB7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260" w:type="dxa"/>
            <w:noWrap w:val="0"/>
            <w:vAlign w:val="top"/>
          </w:tcPr>
          <w:p w14:paraId="702D8B8A">
            <w:pPr>
              <w:rPr>
                <w:rFonts w:hint="eastAsia" w:ascii="宋体" w:hAnsi="宋体" w:cs="宋体"/>
                <w:color w:val="auto"/>
                <w:highlight w:val="none"/>
              </w:rPr>
            </w:pPr>
          </w:p>
        </w:tc>
        <w:tc>
          <w:tcPr>
            <w:tcW w:w="2160" w:type="dxa"/>
            <w:noWrap w:val="0"/>
            <w:vAlign w:val="top"/>
          </w:tcPr>
          <w:p w14:paraId="408EE8DA">
            <w:pPr>
              <w:rPr>
                <w:rFonts w:hint="eastAsia" w:ascii="宋体" w:hAnsi="宋体" w:cs="宋体"/>
                <w:color w:val="auto"/>
                <w:highlight w:val="none"/>
              </w:rPr>
            </w:pPr>
          </w:p>
        </w:tc>
        <w:tc>
          <w:tcPr>
            <w:tcW w:w="1344" w:type="dxa"/>
            <w:noWrap w:val="0"/>
            <w:vAlign w:val="top"/>
          </w:tcPr>
          <w:p w14:paraId="01A8B9BE">
            <w:pPr>
              <w:rPr>
                <w:rFonts w:hint="eastAsia" w:ascii="宋体" w:hAnsi="宋体" w:cs="宋体"/>
                <w:color w:val="auto"/>
                <w:highlight w:val="none"/>
              </w:rPr>
            </w:pPr>
          </w:p>
        </w:tc>
        <w:tc>
          <w:tcPr>
            <w:tcW w:w="1588" w:type="dxa"/>
            <w:noWrap w:val="0"/>
            <w:vAlign w:val="top"/>
          </w:tcPr>
          <w:p w14:paraId="7A51BE67">
            <w:pPr>
              <w:rPr>
                <w:rFonts w:hint="eastAsia" w:ascii="宋体" w:hAnsi="宋体" w:cs="宋体"/>
                <w:color w:val="auto"/>
                <w:highlight w:val="none"/>
              </w:rPr>
            </w:pPr>
          </w:p>
        </w:tc>
        <w:tc>
          <w:tcPr>
            <w:tcW w:w="1588" w:type="dxa"/>
            <w:noWrap w:val="0"/>
            <w:vAlign w:val="top"/>
          </w:tcPr>
          <w:p w14:paraId="1B59B41F">
            <w:pPr>
              <w:rPr>
                <w:rFonts w:hint="eastAsia" w:ascii="宋体" w:hAnsi="宋体" w:cs="宋体"/>
                <w:color w:val="auto"/>
                <w:highlight w:val="none"/>
              </w:rPr>
            </w:pPr>
          </w:p>
        </w:tc>
        <w:tc>
          <w:tcPr>
            <w:tcW w:w="1589" w:type="dxa"/>
            <w:noWrap w:val="0"/>
            <w:vAlign w:val="top"/>
          </w:tcPr>
          <w:p w14:paraId="0CA00BF4">
            <w:pPr>
              <w:rPr>
                <w:rFonts w:hint="eastAsia" w:ascii="宋体" w:hAnsi="宋体" w:cs="宋体"/>
                <w:color w:val="auto"/>
                <w:highlight w:val="none"/>
              </w:rPr>
            </w:pPr>
          </w:p>
        </w:tc>
      </w:tr>
      <w:tr w14:paraId="6A3DC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260" w:type="dxa"/>
            <w:noWrap w:val="0"/>
            <w:vAlign w:val="top"/>
          </w:tcPr>
          <w:p w14:paraId="17E874D9">
            <w:pPr>
              <w:rPr>
                <w:rFonts w:hint="eastAsia" w:ascii="宋体" w:hAnsi="宋体" w:cs="宋体"/>
                <w:color w:val="auto"/>
                <w:highlight w:val="none"/>
              </w:rPr>
            </w:pPr>
          </w:p>
        </w:tc>
        <w:tc>
          <w:tcPr>
            <w:tcW w:w="2160" w:type="dxa"/>
            <w:noWrap w:val="0"/>
            <w:vAlign w:val="top"/>
          </w:tcPr>
          <w:p w14:paraId="53498CF3">
            <w:pPr>
              <w:rPr>
                <w:rFonts w:hint="eastAsia" w:ascii="宋体" w:hAnsi="宋体" w:cs="宋体"/>
                <w:color w:val="auto"/>
                <w:highlight w:val="none"/>
              </w:rPr>
            </w:pPr>
          </w:p>
        </w:tc>
        <w:tc>
          <w:tcPr>
            <w:tcW w:w="1344" w:type="dxa"/>
            <w:noWrap w:val="0"/>
            <w:vAlign w:val="top"/>
          </w:tcPr>
          <w:p w14:paraId="0ED6416C">
            <w:pPr>
              <w:rPr>
                <w:rFonts w:hint="eastAsia" w:ascii="宋体" w:hAnsi="宋体" w:cs="宋体"/>
                <w:color w:val="auto"/>
                <w:highlight w:val="none"/>
              </w:rPr>
            </w:pPr>
          </w:p>
        </w:tc>
        <w:tc>
          <w:tcPr>
            <w:tcW w:w="1588" w:type="dxa"/>
            <w:noWrap w:val="0"/>
            <w:vAlign w:val="top"/>
          </w:tcPr>
          <w:p w14:paraId="4773CB05">
            <w:pPr>
              <w:rPr>
                <w:rFonts w:hint="eastAsia" w:ascii="宋体" w:hAnsi="宋体" w:cs="宋体"/>
                <w:color w:val="auto"/>
                <w:highlight w:val="none"/>
              </w:rPr>
            </w:pPr>
          </w:p>
        </w:tc>
        <w:tc>
          <w:tcPr>
            <w:tcW w:w="1588" w:type="dxa"/>
            <w:noWrap w:val="0"/>
            <w:vAlign w:val="top"/>
          </w:tcPr>
          <w:p w14:paraId="0068A916">
            <w:pPr>
              <w:rPr>
                <w:rFonts w:hint="eastAsia" w:ascii="宋体" w:hAnsi="宋体" w:cs="宋体"/>
                <w:color w:val="auto"/>
                <w:highlight w:val="none"/>
              </w:rPr>
            </w:pPr>
          </w:p>
        </w:tc>
        <w:tc>
          <w:tcPr>
            <w:tcW w:w="1589" w:type="dxa"/>
            <w:noWrap w:val="0"/>
            <w:vAlign w:val="top"/>
          </w:tcPr>
          <w:p w14:paraId="5967CC3B">
            <w:pPr>
              <w:rPr>
                <w:rFonts w:hint="eastAsia" w:ascii="宋体" w:hAnsi="宋体" w:cs="宋体"/>
                <w:color w:val="auto"/>
                <w:highlight w:val="none"/>
              </w:rPr>
            </w:pPr>
          </w:p>
        </w:tc>
      </w:tr>
      <w:tr w14:paraId="6C5FB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260" w:type="dxa"/>
            <w:noWrap w:val="0"/>
            <w:vAlign w:val="top"/>
          </w:tcPr>
          <w:p w14:paraId="7433F68D">
            <w:pPr>
              <w:rPr>
                <w:rFonts w:hint="eastAsia" w:ascii="宋体" w:hAnsi="宋体" w:cs="宋体"/>
                <w:color w:val="auto"/>
                <w:highlight w:val="none"/>
              </w:rPr>
            </w:pPr>
          </w:p>
        </w:tc>
        <w:tc>
          <w:tcPr>
            <w:tcW w:w="2160" w:type="dxa"/>
            <w:noWrap w:val="0"/>
            <w:vAlign w:val="top"/>
          </w:tcPr>
          <w:p w14:paraId="7CBDC19E">
            <w:pPr>
              <w:rPr>
                <w:rFonts w:hint="eastAsia" w:ascii="宋体" w:hAnsi="宋体" w:cs="宋体"/>
                <w:color w:val="auto"/>
                <w:highlight w:val="none"/>
              </w:rPr>
            </w:pPr>
          </w:p>
        </w:tc>
        <w:tc>
          <w:tcPr>
            <w:tcW w:w="1344" w:type="dxa"/>
            <w:noWrap w:val="0"/>
            <w:vAlign w:val="top"/>
          </w:tcPr>
          <w:p w14:paraId="0C80144F">
            <w:pPr>
              <w:rPr>
                <w:rFonts w:hint="eastAsia" w:ascii="宋体" w:hAnsi="宋体" w:cs="宋体"/>
                <w:color w:val="auto"/>
                <w:highlight w:val="none"/>
              </w:rPr>
            </w:pPr>
          </w:p>
        </w:tc>
        <w:tc>
          <w:tcPr>
            <w:tcW w:w="1588" w:type="dxa"/>
            <w:noWrap w:val="0"/>
            <w:vAlign w:val="top"/>
          </w:tcPr>
          <w:p w14:paraId="44042F57">
            <w:pPr>
              <w:rPr>
                <w:rFonts w:hint="eastAsia" w:ascii="宋体" w:hAnsi="宋体" w:cs="宋体"/>
                <w:color w:val="auto"/>
                <w:highlight w:val="none"/>
              </w:rPr>
            </w:pPr>
          </w:p>
        </w:tc>
        <w:tc>
          <w:tcPr>
            <w:tcW w:w="1588" w:type="dxa"/>
            <w:noWrap w:val="0"/>
            <w:vAlign w:val="top"/>
          </w:tcPr>
          <w:p w14:paraId="7BC54282">
            <w:pPr>
              <w:rPr>
                <w:rFonts w:hint="eastAsia" w:ascii="宋体" w:hAnsi="宋体" w:cs="宋体"/>
                <w:color w:val="auto"/>
                <w:highlight w:val="none"/>
              </w:rPr>
            </w:pPr>
          </w:p>
        </w:tc>
        <w:tc>
          <w:tcPr>
            <w:tcW w:w="1589" w:type="dxa"/>
            <w:noWrap w:val="0"/>
            <w:vAlign w:val="top"/>
          </w:tcPr>
          <w:p w14:paraId="4B467D74">
            <w:pPr>
              <w:rPr>
                <w:rFonts w:hint="eastAsia" w:ascii="宋体" w:hAnsi="宋体" w:cs="宋体"/>
                <w:color w:val="auto"/>
                <w:highlight w:val="none"/>
              </w:rPr>
            </w:pPr>
          </w:p>
        </w:tc>
      </w:tr>
    </w:tbl>
    <w:p w14:paraId="43633849">
      <w:pPr>
        <w:rPr>
          <w:rFonts w:hint="eastAsia" w:ascii="宋体" w:hAnsi="宋体" w:cs="宋体"/>
          <w:color w:val="auto"/>
          <w:highlight w:val="none"/>
        </w:rPr>
      </w:pPr>
    </w:p>
    <w:p w14:paraId="609B7A8B">
      <w:pPr>
        <w:outlineLvl w:val="1"/>
        <w:rPr>
          <w:rFonts w:hint="eastAsia" w:ascii="宋体" w:hAnsi="宋体" w:cs="宋体"/>
          <w:color w:val="auto"/>
          <w:highlight w:val="none"/>
        </w:rPr>
      </w:pPr>
      <w:bookmarkStart w:id="1399" w:name="_Toc95223524"/>
      <w:bookmarkStart w:id="1400" w:name="_Toc23955"/>
      <w:r>
        <w:rPr>
          <w:rFonts w:hint="eastAsia" w:ascii="宋体" w:hAnsi="宋体" w:cs="宋体"/>
          <w:color w:val="auto"/>
          <w:szCs w:val="21"/>
          <w:highlight w:val="none"/>
        </w:rPr>
        <w:t>2.图纸</w:t>
      </w:r>
      <w:r>
        <w:rPr>
          <w:rFonts w:hint="eastAsia" w:ascii="宋体" w:hAnsi="宋体" w:cs="宋体"/>
          <w:color w:val="auto"/>
          <w:highlight w:val="none"/>
        </w:rPr>
        <w:t>（另册）</w:t>
      </w:r>
      <w:bookmarkEnd w:id="1399"/>
      <w:bookmarkEnd w:id="1400"/>
    </w:p>
    <w:p w14:paraId="68C54829">
      <w:pPr>
        <w:rPr>
          <w:rFonts w:hint="eastAsia" w:ascii="宋体" w:hAnsi="宋体" w:cs="宋体"/>
          <w:color w:val="auto"/>
          <w:highlight w:val="none"/>
        </w:rPr>
      </w:pPr>
    </w:p>
    <w:p w14:paraId="4E2D73F0">
      <w:pPr>
        <w:pStyle w:val="2"/>
        <w:adjustRightInd w:val="0"/>
        <w:snapToGrid w:val="0"/>
        <w:spacing w:before="0" w:after="0" w:line="560" w:lineRule="exact"/>
        <w:jc w:val="center"/>
        <w:rPr>
          <w:rFonts w:hint="eastAsia" w:ascii="宋体" w:hAnsi="宋体" w:cs="宋体"/>
          <w:bCs w:val="0"/>
          <w:color w:val="auto"/>
          <w:sz w:val="32"/>
          <w:highlight w:val="none"/>
        </w:rPr>
      </w:pPr>
      <w:r>
        <w:rPr>
          <w:rFonts w:hint="eastAsia" w:ascii="宋体" w:hAnsi="宋体" w:cs="宋体"/>
          <w:b w:val="0"/>
          <w:bCs w:val="0"/>
          <w:color w:val="auto"/>
          <w:sz w:val="32"/>
          <w:highlight w:val="none"/>
        </w:rPr>
        <w:br w:type="page"/>
      </w:r>
      <w:bookmarkStart w:id="1401" w:name="_Toc4608"/>
      <w:bookmarkStart w:id="1402" w:name="_Toc95223525"/>
      <w:r>
        <w:rPr>
          <w:rFonts w:hint="eastAsia"/>
          <w:color w:val="auto"/>
          <w:highlight w:val="none"/>
        </w:rPr>
        <w:t>第八章  技术标准和要求</w:t>
      </w:r>
      <w:bookmarkEnd w:id="1401"/>
      <w:bookmarkEnd w:id="1402"/>
    </w:p>
    <w:p w14:paraId="0E52509C">
      <w:pPr>
        <w:keepNext w:val="0"/>
        <w:keepLines w:val="0"/>
        <w:pageBreakBefore w:val="0"/>
        <w:widowControl w:val="0"/>
        <w:kinsoku/>
        <w:wordWrap/>
        <w:overflowPunct/>
        <w:topLinePunct w:val="0"/>
        <w:autoSpaceDE/>
        <w:autoSpaceDN/>
        <w:bidi w:val="0"/>
        <w:adjustRightInd/>
        <w:snapToGrid/>
        <w:spacing w:line="500" w:lineRule="exact"/>
        <w:jc w:val="left"/>
        <w:textAlignment w:val="auto"/>
        <w:outlineLvl w:val="1"/>
        <w:rPr>
          <w:rFonts w:hint="eastAsia" w:ascii="宋体" w:hAnsi="宋体" w:cs="宋体"/>
          <w:b/>
          <w:bCs/>
          <w:color w:val="auto"/>
          <w:highlight w:val="none"/>
          <w:lang w:val="en-US" w:eastAsia="zh-CN"/>
        </w:rPr>
      </w:pPr>
      <w:bookmarkStart w:id="1403" w:name="_Toc32647"/>
      <w:bookmarkStart w:id="1404" w:name="_Toc95223526"/>
    </w:p>
    <w:p w14:paraId="2035365B">
      <w:pPr>
        <w:keepNext w:val="0"/>
        <w:keepLines w:val="0"/>
        <w:pageBreakBefore w:val="0"/>
        <w:widowControl w:val="0"/>
        <w:kinsoku/>
        <w:wordWrap/>
        <w:overflowPunct/>
        <w:topLinePunct w:val="0"/>
        <w:autoSpaceDE/>
        <w:autoSpaceDN/>
        <w:bidi w:val="0"/>
        <w:adjustRightInd/>
        <w:snapToGrid/>
        <w:spacing w:line="500" w:lineRule="exact"/>
        <w:ind w:firstLine="241" w:firstLineChars="100"/>
        <w:jc w:val="left"/>
        <w:textAlignment w:val="auto"/>
        <w:outlineLvl w:val="1"/>
        <w:rPr>
          <w:rFonts w:hint="eastAsia" w:ascii="宋体" w:hAnsi="宋体" w:cs="宋体"/>
          <w:b/>
          <w:bCs/>
          <w:color w:val="auto"/>
          <w:sz w:val="24"/>
          <w:szCs w:val="24"/>
          <w:highlight w:val="none"/>
        </w:rPr>
      </w:pPr>
      <w:r>
        <w:rPr>
          <w:rFonts w:hint="eastAsia" w:ascii="宋体" w:hAnsi="宋体" w:cs="宋体"/>
          <w:b/>
          <w:bCs/>
          <w:color w:val="auto"/>
          <w:sz w:val="24"/>
          <w:szCs w:val="32"/>
          <w:highlight w:val="none"/>
          <w:lang w:val="en-US" w:eastAsia="zh-CN"/>
        </w:rPr>
        <w:t>特别说明：</w:t>
      </w:r>
      <w:r>
        <w:rPr>
          <w:rFonts w:hint="default" w:ascii="宋体" w:hAnsi="宋体" w:cs="宋体"/>
          <w:b/>
          <w:bCs/>
          <w:color w:val="auto"/>
          <w:sz w:val="24"/>
          <w:szCs w:val="32"/>
          <w:highlight w:val="none"/>
          <w:lang w:val="en-US" w:eastAsia="zh-CN"/>
        </w:rPr>
        <w:t>本本次发布的技术规范书在本项目评审阶段不作要求，但项目施工过程中必须严格执行。请各潜在投标人按照招标文件、技术规范书，施工图纸、工程量清单及最高投标限价制作投标文件。</w:t>
      </w:r>
    </w:p>
    <w:p w14:paraId="1F0B046E">
      <w:pPr>
        <w:keepNext w:val="0"/>
        <w:keepLines w:val="0"/>
        <w:pageBreakBefore w:val="0"/>
        <w:widowControl w:val="0"/>
        <w:kinsoku/>
        <w:wordWrap/>
        <w:overflowPunct/>
        <w:topLinePunct w:val="0"/>
        <w:autoSpaceDE/>
        <w:autoSpaceDN/>
        <w:bidi w:val="0"/>
        <w:adjustRightInd/>
        <w:snapToGrid/>
        <w:spacing w:line="500" w:lineRule="exact"/>
        <w:jc w:val="left"/>
        <w:textAlignment w:val="auto"/>
        <w:outlineLvl w:val="1"/>
        <w:rPr>
          <w:rFonts w:hint="eastAsia" w:ascii="宋体" w:hAnsi="宋体" w:cs="宋体"/>
          <w:color w:val="auto"/>
          <w:highlight w:val="none"/>
        </w:rPr>
      </w:pPr>
      <w:r>
        <w:rPr>
          <w:rFonts w:hint="eastAsia" w:ascii="宋体" w:hAnsi="宋体" w:cs="宋体"/>
          <w:bCs/>
          <w:color w:val="auto"/>
          <w:szCs w:val="21"/>
          <w:highlight w:val="none"/>
        </w:rPr>
        <w:t>1.</w:t>
      </w:r>
      <w:r>
        <w:rPr>
          <w:rFonts w:hint="eastAsia" w:ascii="宋体" w:hAnsi="宋体" w:cs="宋体"/>
          <w:b/>
          <w:color w:val="auto"/>
          <w:highlight w:val="none"/>
        </w:rPr>
        <w:t xml:space="preserve"> </w:t>
      </w:r>
      <w:r>
        <w:rPr>
          <w:rFonts w:hint="eastAsia" w:ascii="宋体" w:hAnsi="宋体" w:cs="宋体"/>
          <w:color w:val="auto"/>
          <w:highlight w:val="none"/>
        </w:rPr>
        <w:t>一般要求</w:t>
      </w:r>
      <w:bookmarkEnd w:id="1403"/>
      <w:bookmarkEnd w:id="1404"/>
    </w:p>
    <w:p w14:paraId="2DE27362">
      <w:pPr>
        <w:keepNext w:val="0"/>
        <w:keepLines w:val="0"/>
        <w:pageBreakBefore w:val="0"/>
        <w:widowControl w:val="0"/>
        <w:kinsoku/>
        <w:wordWrap/>
        <w:overflowPunct/>
        <w:topLinePunct w:val="0"/>
        <w:autoSpaceDE/>
        <w:autoSpaceDN/>
        <w:bidi w:val="0"/>
        <w:adjustRightInd/>
        <w:snapToGrid/>
        <w:spacing w:line="500" w:lineRule="exact"/>
        <w:jc w:val="left"/>
        <w:textAlignment w:val="auto"/>
        <w:outlineLvl w:val="1"/>
        <w:rPr>
          <w:rFonts w:hint="eastAsia" w:ascii="宋体" w:hAnsi="宋体" w:cs="宋体"/>
          <w:color w:val="auto"/>
          <w:highlight w:val="none"/>
        </w:rPr>
      </w:pPr>
      <w:bookmarkStart w:id="1405" w:name="_Toc95223527"/>
      <w:bookmarkStart w:id="1406" w:name="_Toc26107"/>
      <w:r>
        <w:rPr>
          <w:rFonts w:hint="eastAsia" w:ascii="宋体" w:hAnsi="宋体" w:cs="宋体"/>
          <w:bCs/>
          <w:color w:val="auto"/>
          <w:szCs w:val="21"/>
          <w:highlight w:val="none"/>
        </w:rPr>
        <w:t>2.</w:t>
      </w:r>
      <w:r>
        <w:rPr>
          <w:rFonts w:hint="eastAsia" w:ascii="宋体" w:hAnsi="宋体" w:cs="宋体"/>
          <w:b/>
          <w:color w:val="auto"/>
          <w:highlight w:val="none"/>
        </w:rPr>
        <w:t xml:space="preserve"> </w:t>
      </w:r>
      <w:r>
        <w:rPr>
          <w:rFonts w:hint="eastAsia" w:ascii="宋体" w:hAnsi="宋体" w:cs="宋体"/>
          <w:color w:val="auto"/>
          <w:highlight w:val="none"/>
        </w:rPr>
        <w:t>特殊技术标准和要求</w:t>
      </w:r>
      <w:bookmarkEnd w:id="1405"/>
      <w:bookmarkEnd w:id="1406"/>
      <w:r>
        <w:rPr>
          <w:rFonts w:hint="eastAsia" w:ascii="宋体" w:hAnsi="宋体" w:cs="宋体"/>
          <w:color w:val="auto"/>
          <w:highlight w:val="none"/>
        </w:rPr>
        <w:t xml:space="preserve"> </w:t>
      </w:r>
    </w:p>
    <w:p w14:paraId="5F8D15BE">
      <w:pPr>
        <w:keepNext w:val="0"/>
        <w:keepLines w:val="0"/>
        <w:pageBreakBefore w:val="0"/>
        <w:widowControl w:val="0"/>
        <w:kinsoku/>
        <w:wordWrap/>
        <w:overflowPunct/>
        <w:topLinePunct w:val="0"/>
        <w:autoSpaceDE/>
        <w:autoSpaceDN/>
        <w:bidi w:val="0"/>
        <w:adjustRightInd/>
        <w:snapToGrid/>
        <w:spacing w:line="500" w:lineRule="exact"/>
        <w:jc w:val="left"/>
        <w:textAlignment w:val="auto"/>
        <w:outlineLvl w:val="1"/>
        <w:rPr>
          <w:rFonts w:hint="eastAsia" w:ascii="宋体" w:hAnsi="宋体" w:cs="宋体"/>
          <w:color w:val="auto"/>
          <w:highlight w:val="none"/>
        </w:rPr>
      </w:pPr>
      <w:bookmarkStart w:id="1407" w:name="_Toc30517"/>
      <w:bookmarkStart w:id="1408" w:name="_Toc95223528"/>
      <w:r>
        <w:rPr>
          <w:rFonts w:hint="eastAsia" w:ascii="宋体" w:hAnsi="宋体" w:cs="宋体"/>
          <w:bCs/>
          <w:color w:val="auto"/>
          <w:szCs w:val="21"/>
          <w:highlight w:val="none"/>
        </w:rPr>
        <w:t>3.</w:t>
      </w:r>
      <w:r>
        <w:rPr>
          <w:rFonts w:hint="eastAsia" w:ascii="宋体" w:hAnsi="宋体" w:cs="宋体"/>
          <w:b/>
          <w:color w:val="auto"/>
          <w:highlight w:val="none"/>
        </w:rPr>
        <w:t xml:space="preserve"> </w:t>
      </w:r>
      <w:r>
        <w:rPr>
          <w:rFonts w:hint="eastAsia" w:ascii="宋体" w:hAnsi="宋体" w:cs="宋体"/>
          <w:color w:val="auto"/>
          <w:highlight w:val="none"/>
        </w:rPr>
        <w:t>适用的国家、行业以及地方标准、规范和规程</w:t>
      </w:r>
      <w:bookmarkEnd w:id="1407"/>
      <w:bookmarkEnd w:id="1408"/>
      <w:r>
        <w:rPr>
          <w:rFonts w:hint="eastAsia" w:ascii="宋体" w:hAnsi="宋体" w:cs="宋体"/>
          <w:color w:val="auto"/>
          <w:highlight w:val="none"/>
        </w:rPr>
        <w:t xml:space="preserve"> </w:t>
      </w:r>
    </w:p>
    <w:p w14:paraId="15CA79D1">
      <w:pPr>
        <w:keepNext w:val="0"/>
        <w:keepLines w:val="0"/>
        <w:pageBreakBefore w:val="0"/>
        <w:widowControl w:val="0"/>
        <w:kinsoku/>
        <w:wordWrap/>
        <w:overflowPunct/>
        <w:topLinePunct w:val="0"/>
        <w:autoSpaceDE/>
        <w:autoSpaceDN/>
        <w:bidi w:val="0"/>
        <w:adjustRightInd/>
        <w:snapToGrid/>
        <w:spacing w:line="500" w:lineRule="exact"/>
        <w:jc w:val="left"/>
        <w:textAlignment w:val="auto"/>
        <w:outlineLvl w:val="1"/>
        <w:rPr>
          <w:rFonts w:hint="default" w:ascii="宋体" w:hAnsi="宋体" w:eastAsia="宋体" w:cs="宋体"/>
          <w:color w:val="auto"/>
          <w:highlight w:val="none"/>
          <w:lang w:val="en-US" w:eastAsia="zh-CN"/>
        </w:rPr>
      </w:pPr>
      <w:bookmarkStart w:id="1409" w:name="_Toc95223529"/>
      <w:bookmarkStart w:id="1410" w:name="_Toc16564"/>
      <w:r>
        <w:rPr>
          <w:rFonts w:hint="eastAsia" w:ascii="宋体" w:hAnsi="宋体" w:cs="宋体"/>
          <w:color w:val="auto"/>
          <w:highlight w:val="none"/>
        </w:rPr>
        <w:t>4. 招标人推荐品牌</w:t>
      </w:r>
      <w:bookmarkEnd w:id="1409"/>
      <w:bookmarkEnd w:id="1410"/>
      <w:r>
        <w:rPr>
          <w:rFonts w:hint="eastAsia" w:ascii="宋体" w:hAnsi="宋体" w:cs="宋体"/>
          <w:b/>
          <w:bCs/>
          <w:color w:val="auto"/>
          <w:highlight w:val="none"/>
          <w:lang w:eastAsia="zh-CN"/>
        </w:rPr>
        <w:t>（</w:t>
      </w:r>
      <w:r>
        <w:rPr>
          <w:rFonts w:hint="eastAsia" w:ascii="宋体" w:hAnsi="宋体" w:cs="宋体"/>
          <w:b/>
          <w:bCs/>
          <w:color w:val="auto"/>
          <w:highlight w:val="none"/>
          <w:lang w:val="en-US" w:eastAsia="zh-CN"/>
        </w:rPr>
        <w:t>此表中的材料、设备具体参数要求详见技术规范书）</w:t>
      </w:r>
    </w:p>
    <w:tbl>
      <w:tblPr>
        <w:tblStyle w:val="20"/>
        <w:tblW w:w="5017" w:type="pct"/>
        <w:jc w:val="center"/>
        <w:tblLayout w:type="fixed"/>
        <w:tblCellMar>
          <w:top w:w="0" w:type="dxa"/>
          <w:left w:w="108" w:type="dxa"/>
          <w:bottom w:w="0" w:type="dxa"/>
          <w:right w:w="108" w:type="dxa"/>
        </w:tblCellMar>
      </w:tblPr>
      <w:tblGrid>
        <w:gridCol w:w="821"/>
        <w:gridCol w:w="1904"/>
        <w:gridCol w:w="1080"/>
        <w:gridCol w:w="1095"/>
        <w:gridCol w:w="1140"/>
        <w:gridCol w:w="1275"/>
        <w:gridCol w:w="1165"/>
        <w:gridCol w:w="957"/>
        <w:gridCol w:w="945"/>
      </w:tblGrid>
      <w:tr w14:paraId="6DD4E91A">
        <w:tblPrEx>
          <w:tblCellMar>
            <w:top w:w="0" w:type="dxa"/>
            <w:left w:w="108" w:type="dxa"/>
            <w:bottom w:w="0" w:type="dxa"/>
            <w:right w:w="108" w:type="dxa"/>
          </w:tblCellMar>
        </w:tblPrEx>
        <w:trPr>
          <w:trHeight w:val="463" w:hRule="atLeast"/>
          <w:jc w:val="center"/>
        </w:trPr>
        <w:tc>
          <w:tcPr>
            <w:tcW w:w="395" w:type="pct"/>
            <w:tcBorders>
              <w:top w:val="single" w:color="auto" w:sz="4" w:space="0"/>
              <w:left w:val="single" w:color="auto" w:sz="4" w:space="0"/>
              <w:bottom w:val="single" w:color="auto" w:sz="4" w:space="0"/>
              <w:right w:val="single" w:color="auto" w:sz="4" w:space="0"/>
            </w:tcBorders>
            <w:noWrap w:val="0"/>
            <w:vAlign w:val="center"/>
          </w:tcPr>
          <w:p w14:paraId="21E20286">
            <w:pPr>
              <w:widowControl/>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序号</w:t>
            </w:r>
          </w:p>
        </w:tc>
        <w:tc>
          <w:tcPr>
            <w:tcW w:w="916" w:type="pct"/>
            <w:tcBorders>
              <w:top w:val="single" w:color="auto" w:sz="4" w:space="0"/>
              <w:left w:val="nil"/>
              <w:bottom w:val="single" w:color="auto" w:sz="4" w:space="0"/>
              <w:right w:val="single" w:color="auto" w:sz="4" w:space="0"/>
            </w:tcBorders>
            <w:noWrap w:val="0"/>
            <w:vAlign w:val="center"/>
          </w:tcPr>
          <w:p w14:paraId="133DCF71">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材料、设备名称</w:t>
            </w:r>
          </w:p>
        </w:tc>
        <w:tc>
          <w:tcPr>
            <w:tcW w:w="520" w:type="pct"/>
            <w:tcBorders>
              <w:top w:val="single" w:color="auto" w:sz="4" w:space="0"/>
              <w:left w:val="nil"/>
              <w:bottom w:val="single" w:color="auto" w:sz="4" w:space="0"/>
              <w:right w:val="single" w:color="auto" w:sz="4" w:space="0"/>
            </w:tcBorders>
            <w:noWrap w:val="0"/>
            <w:vAlign w:val="center"/>
          </w:tcPr>
          <w:p w14:paraId="460091D3">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品牌1</w:t>
            </w:r>
          </w:p>
        </w:tc>
        <w:tc>
          <w:tcPr>
            <w:tcW w:w="527" w:type="pct"/>
            <w:tcBorders>
              <w:top w:val="single" w:color="auto" w:sz="4" w:space="0"/>
              <w:left w:val="nil"/>
              <w:bottom w:val="single" w:color="auto" w:sz="4" w:space="0"/>
              <w:right w:val="single" w:color="auto" w:sz="4" w:space="0"/>
            </w:tcBorders>
            <w:noWrap w:val="0"/>
            <w:vAlign w:val="center"/>
          </w:tcPr>
          <w:p w14:paraId="1EEF13AA">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品牌2</w:t>
            </w:r>
          </w:p>
        </w:tc>
        <w:tc>
          <w:tcPr>
            <w:tcW w:w="549" w:type="pct"/>
            <w:tcBorders>
              <w:top w:val="single" w:color="auto" w:sz="4" w:space="0"/>
              <w:left w:val="nil"/>
              <w:bottom w:val="single" w:color="auto" w:sz="4" w:space="0"/>
              <w:right w:val="single" w:color="auto" w:sz="4" w:space="0"/>
            </w:tcBorders>
            <w:noWrap w:val="0"/>
            <w:vAlign w:val="center"/>
          </w:tcPr>
          <w:p w14:paraId="689ADEA0">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品牌3</w:t>
            </w:r>
          </w:p>
        </w:tc>
        <w:tc>
          <w:tcPr>
            <w:tcW w:w="614" w:type="pct"/>
            <w:tcBorders>
              <w:top w:val="single" w:color="auto" w:sz="4" w:space="0"/>
              <w:left w:val="nil"/>
              <w:bottom w:val="single" w:color="auto" w:sz="4" w:space="0"/>
              <w:right w:val="single" w:color="auto" w:sz="4" w:space="0"/>
            </w:tcBorders>
            <w:noWrap w:val="0"/>
            <w:vAlign w:val="center"/>
          </w:tcPr>
          <w:p w14:paraId="4064B413">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品牌4</w:t>
            </w:r>
          </w:p>
        </w:tc>
        <w:tc>
          <w:tcPr>
            <w:tcW w:w="561" w:type="pct"/>
            <w:tcBorders>
              <w:top w:val="single" w:color="auto" w:sz="4" w:space="0"/>
              <w:left w:val="nil"/>
              <w:bottom w:val="single" w:color="auto" w:sz="4" w:space="0"/>
              <w:right w:val="single" w:color="auto" w:sz="4" w:space="0"/>
            </w:tcBorders>
            <w:noWrap w:val="0"/>
            <w:vAlign w:val="center"/>
          </w:tcPr>
          <w:p w14:paraId="23A067DB">
            <w:pPr>
              <w:widowControl/>
              <w:jc w:val="center"/>
              <w:rPr>
                <w:rFonts w:hint="default" w:ascii="宋体" w:hAnsi="宋体" w:eastAsia="宋体" w:cs="宋体"/>
                <w:b/>
                <w:bCs/>
                <w:color w:val="auto"/>
                <w:kern w:val="0"/>
                <w:szCs w:val="21"/>
                <w:highlight w:val="none"/>
                <w:lang w:val="en-US" w:eastAsia="zh-CN"/>
              </w:rPr>
            </w:pPr>
            <w:r>
              <w:rPr>
                <w:rFonts w:hint="eastAsia" w:ascii="宋体" w:hAnsi="宋体" w:cs="宋体"/>
                <w:b/>
                <w:bCs/>
                <w:color w:val="auto"/>
                <w:kern w:val="0"/>
                <w:szCs w:val="21"/>
                <w:highlight w:val="none"/>
                <w:lang w:val="en-US" w:eastAsia="zh-CN"/>
              </w:rPr>
              <w:t>品牌5</w:t>
            </w:r>
          </w:p>
        </w:tc>
        <w:tc>
          <w:tcPr>
            <w:tcW w:w="460" w:type="pct"/>
            <w:tcBorders>
              <w:top w:val="single" w:color="auto" w:sz="4" w:space="0"/>
              <w:left w:val="nil"/>
              <w:bottom w:val="single" w:color="auto" w:sz="4" w:space="0"/>
              <w:right w:val="single" w:color="auto" w:sz="4" w:space="0"/>
            </w:tcBorders>
            <w:noWrap w:val="0"/>
            <w:vAlign w:val="center"/>
          </w:tcPr>
          <w:p w14:paraId="6894E99F">
            <w:pPr>
              <w:widowControl/>
              <w:jc w:val="center"/>
              <w:rPr>
                <w:rFonts w:hint="default" w:ascii="宋体" w:hAnsi="宋体" w:eastAsia="宋体" w:cs="宋体"/>
                <w:b/>
                <w:bCs/>
                <w:color w:val="auto"/>
                <w:kern w:val="0"/>
                <w:szCs w:val="21"/>
                <w:highlight w:val="none"/>
                <w:lang w:val="en-US" w:eastAsia="zh-CN"/>
              </w:rPr>
            </w:pPr>
            <w:r>
              <w:rPr>
                <w:rFonts w:hint="eastAsia" w:ascii="宋体" w:hAnsi="宋体" w:cs="宋体"/>
                <w:b/>
                <w:bCs/>
                <w:color w:val="auto"/>
                <w:kern w:val="0"/>
                <w:szCs w:val="21"/>
                <w:highlight w:val="none"/>
                <w:lang w:val="en-US" w:eastAsia="zh-CN"/>
              </w:rPr>
              <w:t>品牌6</w:t>
            </w:r>
          </w:p>
        </w:tc>
        <w:tc>
          <w:tcPr>
            <w:tcW w:w="455" w:type="pct"/>
            <w:tcBorders>
              <w:top w:val="single" w:color="auto" w:sz="4" w:space="0"/>
              <w:left w:val="nil"/>
              <w:bottom w:val="single" w:color="auto" w:sz="4" w:space="0"/>
              <w:right w:val="single" w:color="auto" w:sz="4" w:space="0"/>
            </w:tcBorders>
            <w:noWrap w:val="0"/>
            <w:vAlign w:val="center"/>
          </w:tcPr>
          <w:p w14:paraId="1ED43DB5">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备注</w:t>
            </w:r>
          </w:p>
        </w:tc>
      </w:tr>
      <w:tr w14:paraId="21453606">
        <w:tblPrEx>
          <w:tblCellMar>
            <w:top w:w="0" w:type="dxa"/>
            <w:left w:w="108" w:type="dxa"/>
            <w:bottom w:w="0" w:type="dxa"/>
            <w:right w:w="108" w:type="dxa"/>
          </w:tblCellMar>
        </w:tblPrEx>
        <w:trPr>
          <w:trHeight w:val="487" w:hRule="atLeast"/>
          <w:jc w:val="center"/>
        </w:trPr>
        <w:tc>
          <w:tcPr>
            <w:tcW w:w="5000" w:type="pct"/>
            <w:gridSpan w:val="9"/>
            <w:tcBorders>
              <w:top w:val="nil"/>
              <w:left w:val="single" w:color="auto" w:sz="4" w:space="0"/>
              <w:bottom w:val="single" w:color="auto" w:sz="4" w:space="0"/>
              <w:right w:val="single" w:color="auto" w:sz="4" w:space="0"/>
            </w:tcBorders>
            <w:noWrap w:val="0"/>
            <w:vAlign w:val="center"/>
          </w:tcPr>
          <w:p w14:paraId="340FF418">
            <w:pPr>
              <w:widowControl/>
              <w:rPr>
                <w:rFonts w:hint="eastAsia" w:ascii="宋体" w:hAnsi="宋体" w:cs="宋体"/>
                <w:color w:val="auto"/>
                <w:kern w:val="0"/>
                <w:szCs w:val="21"/>
                <w:highlight w:val="none"/>
              </w:rPr>
            </w:pPr>
            <w:r>
              <w:rPr>
                <w:rFonts w:hint="eastAsia" w:ascii="宋体" w:hAnsi="宋体" w:cs="宋体"/>
                <w:color w:val="auto"/>
                <w:kern w:val="0"/>
                <w:szCs w:val="21"/>
                <w:highlight w:val="none"/>
              </w:rPr>
              <w:t>专业包类</w:t>
            </w:r>
          </w:p>
        </w:tc>
      </w:tr>
      <w:tr w14:paraId="382C24CD">
        <w:tblPrEx>
          <w:tblCellMar>
            <w:top w:w="0" w:type="dxa"/>
            <w:left w:w="108" w:type="dxa"/>
            <w:bottom w:w="0" w:type="dxa"/>
            <w:right w:w="108" w:type="dxa"/>
          </w:tblCellMar>
        </w:tblPrEx>
        <w:trPr>
          <w:trHeight w:val="487" w:hRule="atLeast"/>
          <w:jc w:val="center"/>
        </w:trPr>
        <w:tc>
          <w:tcPr>
            <w:tcW w:w="395" w:type="pct"/>
            <w:tcBorders>
              <w:top w:val="nil"/>
              <w:left w:val="single" w:color="auto" w:sz="4" w:space="0"/>
              <w:bottom w:val="single" w:color="auto" w:sz="4" w:space="0"/>
              <w:right w:val="single" w:color="auto" w:sz="4" w:space="0"/>
            </w:tcBorders>
            <w:noWrap w:val="0"/>
            <w:vAlign w:val="center"/>
          </w:tcPr>
          <w:p w14:paraId="34B6BFF2">
            <w:pPr>
              <w:widowControl/>
              <w:jc w:val="center"/>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w:t>
            </w:r>
          </w:p>
        </w:tc>
        <w:tc>
          <w:tcPr>
            <w:tcW w:w="916" w:type="pct"/>
            <w:tcBorders>
              <w:top w:val="nil"/>
              <w:left w:val="nil"/>
              <w:bottom w:val="single" w:color="auto" w:sz="4" w:space="0"/>
              <w:right w:val="single" w:color="auto" w:sz="4" w:space="0"/>
            </w:tcBorders>
            <w:noWrap w:val="0"/>
            <w:vAlign w:val="center"/>
          </w:tcPr>
          <w:p w14:paraId="45CDD79D">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0"/>
                <w:szCs w:val="20"/>
                <w:u w:val="none"/>
                <w:lang w:val="en-US" w:eastAsia="zh-CN" w:bidi="ar"/>
              </w:rPr>
              <w:t>废气</w:t>
            </w:r>
          </w:p>
        </w:tc>
        <w:tc>
          <w:tcPr>
            <w:tcW w:w="520" w:type="pct"/>
            <w:tcBorders>
              <w:top w:val="single" w:color="auto" w:sz="4" w:space="0"/>
              <w:left w:val="nil"/>
              <w:bottom w:val="single" w:color="auto" w:sz="4" w:space="0"/>
              <w:right w:val="single" w:color="auto" w:sz="4" w:space="0"/>
            </w:tcBorders>
            <w:noWrap w:val="0"/>
            <w:vAlign w:val="center"/>
          </w:tcPr>
          <w:p w14:paraId="33B74D8C">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北京万义</w:t>
            </w:r>
          </w:p>
        </w:tc>
        <w:tc>
          <w:tcPr>
            <w:tcW w:w="527" w:type="pct"/>
            <w:tcBorders>
              <w:top w:val="single" w:color="auto" w:sz="4" w:space="0"/>
              <w:left w:val="nil"/>
              <w:bottom w:val="single" w:color="auto" w:sz="4" w:space="0"/>
              <w:right w:val="single" w:color="auto" w:sz="4" w:space="0"/>
            </w:tcBorders>
            <w:noWrap w:val="0"/>
            <w:vAlign w:val="center"/>
          </w:tcPr>
          <w:p w14:paraId="65CF8645">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上海朗蔚</w:t>
            </w:r>
          </w:p>
        </w:tc>
        <w:tc>
          <w:tcPr>
            <w:tcW w:w="549" w:type="pct"/>
            <w:tcBorders>
              <w:top w:val="single" w:color="auto" w:sz="4" w:space="0"/>
              <w:left w:val="nil"/>
              <w:bottom w:val="single" w:color="auto" w:sz="4" w:space="0"/>
              <w:right w:val="single" w:color="auto" w:sz="4" w:space="0"/>
            </w:tcBorders>
            <w:noWrap w:val="0"/>
            <w:vAlign w:val="center"/>
          </w:tcPr>
          <w:p w14:paraId="1B14B6E5">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江苏飓风</w:t>
            </w:r>
          </w:p>
        </w:tc>
        <w:tc>
          <w:tcPr>
            <w:tcW w:w="614" w:type="pct"/>
            <w:tcBorders>
              <w:top w:val="single" w:color="auto" w:sz="4" w:space="0"/>
              <w:left w:val="nil"/>
              <w:bottom w:val="single" w:color="auto" w:sz="4" w:space="0"/>
              <w:right w:val="single" w:color="auto" w:sz="4" w:space="0"/>
            </w:tcBorders>
            <w:noWrap w:val="0"/>
            <w:vAlign w:val="center"/>
          </w:tcPr>
          <w:p w14:paraId="3CC9B44D">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昆山杰瑞雅</w:t>
            </w:r>
          </w:p>
        </w:tc>
        <w:tc>
          <w:tcPr>
            <w:tcW w:w="561" w:type="pct"/>
            <w:tcBorders>
              <w:top w:val="nil"/>
              <w:left w:val="nil"/>
              <w:bottom w:val="single" w:color="auto" w:sz="4" w:space="0"/>
              <w:right w:val="single" w:color="auto" w:sz="4" w:space="0"/>
            </w:tcBorders>
            <w:noWrap w:val="0"/>
            <w:vAlign w:val="center"/>
          </w:tcPr>
          <w:p w14:paraId="0A5C644F">
            <w:pPr>
              <w:widowControl/>
              <w:rPr>
                <w:rFonts w:hint="eastAsia" w:ascii="宋体" w:hAnsi="宋体" w:cs="宋体"/>
                <w:color w:val="auto"/>
                <w:kern w:val="0"/>
                <w:szCs w:val="21"/>
                <w:highlight w:val="none"/>
              </w:rPr>
            </w:pPr>
          </w:p>
        </w:tc>
        <w:tc>
          <w:tcPr>
            <w:tcW w:w="460" w:type="pct"/>
            <w:tcBorders>
              <w:top w:val="nil"/>
              <w:left w:val="nil"/>
              <w:bottom w:val="single" w:color="auto" w:sz="4" w:space="0"/>
              <w:right w:val="single" w:color="auto" w:sz="4" w:space="0"/>
            </w:tcBorders>
            <w:noWrap w:val="0"/>
            <w:vAlign w:val="center"/>
          </w:tcPr>
          <w:p w14:paraId="256498F0">
            <w:pPr>
              <w:widowControl/>
              <w:rPr>
                <w:rFonts w:hint="eastAsia" w:ascii="宋体" w:hAnsi="宋体" w:cs="宋体"/>
                <w:color w:val="auto"/>
                <w:kern w:val="0"/>
                <w:szCs w:val="21"/>
                <w:highlight w:val="none"/>
              </w:rPr>
            </w:pPr>
          </w:p>
        </w:tc>
        <w:tc>
          <w:tcPr>
            <w:tcW w:w="455" w:type="pct"/>
            <w:tcBorders>
              <w:top w:val="nil"/>
              <w:left w:val="nil"/>
              <w:bottom w:val="single" w:color="auto" w:sz="4" w:space="0"/>
              <w:right w:val="single" w:color="auto" w:sz="4" w:space="0"/>
            </w:tcBorders>
            <w:noWrap w:val="0"/>
            <w:vAlign w:val="center"/>
          </w:tcPr>
          <w:p w14:paraId="35D9A65A">
            <w:pPr>
              <w:widowControl/>
              <w:rPr>
                <w:rFonts w:hint="eastAsia" w:ascii="宋体" w:hAnsi="宋体" w:cs="宋体"/>
                <w:color w:val="auto"/>
                <w:kern w:val="0"/>
                <w:szCs w:val="21"/>
                <w:highlight w:val="none"/>
              </w:rPr>
            </w:pPr>
          </w:p>
        </w:tc>
      </w:tr>
      <w:tr w14:paraId="0F72F001">
        <w:tblPrEx>
          <w:tblCellMar>
            <w:top w:w="0" w:type="dxa"/>
            <w:left w:w="108" w:type="dxa"/>
            <w:bottom w:w="0" w:type="dxa"/>
            <w:right w:w="108" w:type="dxa"/>
          </w:tblCellMar>
        </w:tblPrEx>
        <w:trPr>
          <w:trHeight w:val="487" w:hRule="atLeast"/>
          <w:jc w:val="center"/>
        </w:trPr>
        <w:tc>
          <w:tcPr>
            <w:tcW w:w="395" w:type="pct"/>
            <w:tcBorders>
              <w:top w:val="nil"/>
              <w:left w:val="single" w:color="auto" w:sz="4" w:space="0"/>
              <w:bottom w:val="single" w:color="auto" w:sz="4" w:space="0"/>
              <w:right w:val="single" w:color="auto" w:sz="4" w:space="0"/>
            </w:tcBorders>
            <w:noWrap w:val="0"/>
            <w:vAlign w:val="center"/>
          </w:tcPr>
          <w:p w14:paraId="50BEC163">
            <w:pPr>
              <w:widowControl/>
              <w:jc w:val="center"/>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2</w:t>
            </w:r>
          </w:p>
        </w:tc>
        <w:tc>
          <w:tcPr>
            <w:tcW w:w="916" w:type="pct"/>
            <w:tcBorders>
              <w:top w:val="nil"/>
              <w:left w:val="nil"/>
              <w:bottom w:val="single" w:color="auto" w:sz="4" w:space="0"/>
              <w:right w:val="single" w:color="auto" w:sz="4" w:space="0"/>
            </w:tcBorders>
            <w:noWrap w:val="0"/>
            <w:vAlign w:val="center"/>
          </w:tcPr>
          <w:p w14:paraId="2C812158">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0"/>
                <w:szCs w:val="20"/>
                <w:u w:val="none"/>
                <w:lang w:val="en-US" w:eastAsia="zh-CN" w:bidi="ar"/>
              </w:rPr>
              <w:t>FMCS厂务自控系统</w:t>
            </w:r>
          </w:p>
        </w:tc>
        <w:tc>
          <w:tcPr>
            <w:tcW w:w="520" w:type="pct"/>
            <w:tcBorders>
              <w:top w:val="single" w:color="auto" w:sz="4" w:space="0"/>
              <w:left w:val="nil"/>
              <w:bottom w:val="single" w:color="auto" w:sz="4" w:space="0"/>
              <w:right w:val="single" w:color="auto" w:sz="4" w:space="0"/>
            </w:tcBorders>
            <w:noWrap w:val="0"/>
            <w:vAlign w:val="center"/>
          </w:tcPr>
          <w:p w14:paraId="67280CCB">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格致智能</w:t>
            </w:r>
          </w:p>
        </w:tc>
        <w:tc>
          <w:tcPr>
            <w:tcW w:w="527" w:type="pct"/>
            <w:tcBorders>
              <w:top w:val="single" w:color="auto" w:sz="4" w:space="0"/>
              <w:left w:val="nil"/>
              <w:bottom w:val="single" w:color="auto" w:sz="4" w:space="0"/>
              <w:right w:val="single" w:color="auto" w:sz="4" w:space="0"/>
            </w:tcBorders>
            <w:noWrap w:val="0"/>
            <w:vAlign w:val="center"/>
          </w:tcPr>
          <w:p w14:paraId="36A97A28">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安徽首荣</w:t>
            </w:r>
          </w:p>
        </w:tc>
        <w:tc>
          <w:tcPr>
            <w:tcW w:w="549" w:type="pct"/>
            <w:tcBorders>
              <w:top w:val="single" w:color="auto" w:sz="4" w:space="0"/>
              <w:left w:val="nil"/>
              <w:bottom w:val="single" w:color="auto" w:sz="4" w:space="0"/>
              <w:right w:val="single" w:color="auto" w:sz="4" w:space="0"/>
            </w:tcBorders>
            <w:noWrap w:val="0"/>
            <w:vAlign w:val="center"/>
          </w:tcPr>
          <w:p w14:paraId="15E88D03">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常州德众</w:t>
            </w:r>
          </w:p>
        </w:tc>
        <w:tc>
          <w:tcPr>
            <w:tcW w:w="614" w:type="pct"/>
            <w:tcBorders>
              <w:top w:val="single" w:color="auto" w:sz="4" w:space="0"/>
              <w:left w:val="nil"/>
              <w:bottom w:val="single" w:color="auto" w:sz="4" w:space="0"/>
              <w:right w:val="single" w:color="auto" w:sz="4" w:space="0"/>
            </w:tcBorders>
            <w:noWrap w:val="0"/>
            <w:vAlign w:val="center"/>
          </w:tcPr>
          <w:p w14:paraId="26FBBE4F">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西安锦威</w:t>
            </w:r>
          </w:p>
        </w:tc>
        <w:tc>
          <w:tcPr>
            <w:tcW w:w="561" w:type="pct"/>
            <w:tcBorders>
              <w:top w:val="nil"/>
              <w:left w:val="nil"/>
              <w:bottom w:val="single" w:color="auto" w:sz="4" w:space="0"/>
              <w:right w:val="single" w:color="auto" w:sz="4" w:space="0"/>
            </w:tcBorders>
            <w:noWrap w:val="0"/>
            <w:vAlign w:val="center"/>
          </w:tcPr>
          <w:p w14:paraId="534B3648">
            <w:pPr>
              <w:widowControl/>
              <w:rPr>
                <w:rFonts w:hint="eastAsia" w:ascii="宋体" w:hAnsi="宋体" w:cs="宋体"/>
                <w:color w:val="auto"/>
                <w:kern w:val="0"/>
                <w:szCs w:val="21"/>
                <w:highlight w:val="none"/>
              </w:rPr>
            </w:pPr>
          </w:p>
        </w:tc>
        <w:tc>
          <w:tcPr>
            <w:tcW w:w="460" w:type="pct"/>
            <w:tcBorders>
              <w:top w:val="nil"/>
              <w:left w:val="nil"/>
              <w:bottom w:val="single" w:color="auto" w:sz="4" w:space="0"/>
              <w:right w:val="single" w:color="auto" w:sz="4" w:space="0"/>
            </w:tcBorders>
            <w:noWrap w:val="0"/>
            <w:vAlign w:val="center"/>
          </w:tcPr>
          <w:p w14:paraId="300B4BBB">
            <w:pPr>
              <w:widowControl/>
              <w:rPr>
                <w:rFonts w:hint="eastAsia" w:ascii="宋体" w:hAnsi="宋体" w:cs="宋体"/>
                <w:color w:val="auto"/>
                <w:kern w:val="0"/>
                <w:szCs w:val="21"/>
                <w:highlight w:val="none"/>
              </w:rPr>
            </w:pPr>
          </w:p>
        </w:tc>
        <w:tc>
          <w:tcPr>
            <w:tcW w:w="455" w:type="pct"/>
            <w:tcBorders>
              <w:top w:val="nil"/>
              <w:left w:val="nil"/>
              <w:bottom w:val="single" w:color="auto" w:sz="4" w:space="0"/>
              <w:right w:val="single" w:color="auto" w:sz="4" w:space="0"/>
            </w:tcBorders>
            <w:shd w:val="clear" w:color="auto" w:fill="auto"/>
            <w:noWrap w:val="0"/>
            <w:vAlign w:val="center"/>
          </w:tcPr>
          <w:p w14:paraId="1F3A842D">
            <w:pPr>
              <w:keepNext w:val="0"/>
              <w:keepLines w:val="0"/>
              <w:widowControl/>
              <w:suppressLineNumbers w:val="0"/>
              <w:jc w:val="left"/>
              <w:textAlignment w:val="center"/>
              <w:rPr>
                <w:rFonts w:hint="eastAsia" w:ascii="等线" w:hAnsi="等线" w:eastAsia="等线" w:cs="等线"/>
                <w:i w:val="0"/>
                <w:iCs w:val="0"/>
                <w:color w:val="000000"/>
                <w:kern w:val="2"/>
                <w:sz w:val="20"/>
                <w:szCs w:val="20"/>
                <w:u w:val="none"/>
                <w:lang w:val="en-US" w:eastAsia="zh-CN" w:bidi="ar-SA"/>
              </w:rPr>
            </w:pPr>
            <w:r>
              <w:rPr>
                <w:rFonts w:hint="eastAsia" w:ascii="等线" w:hAnsi="等线" w:eastAsia="等线" w:cs="等线"/>
                <w:i w:val="0"/>
                <w:iCs w:val="0"/>
                <w:color w:val="000000"/>
                <w:kern w:val="0"/>
                <w:sz w:val="20"/>
                <w:szCs w:val="20"/>
                <w:u w:val="none"/>
                <w:lang w:val="en-US" w:eastAsia="zh-CN" w:bidi="ar"/>
              </w:rPr>
              <w:t>包含除土建施工以外的所有设计、设备供货、安装、调试工作</w:t>
            </w:r>
          </w:p>
        </w:tc>
      </w:tr>
      <w:tr w14:paraId="7DAC2F27">
        <w:tblPrEx>
          <w:tblCellMar>
            <w:top w:w="0" w:type="dxa"/>
            <w:left w:w="108" w:type="dxa"/>
            <w:bottom w:w="0" w:type="dxa"/>
            <w:right w:w="108" w:type="dxa"/>
          </w:tblCellMar>
        </w:tblPrEx>
        <w:trPr>
          <w:trHeight w:val="487" w:hRule="atLeast"/>
          <w:jc w:val="center"/>
        </w:trPr>
        <w:tc>
          <w:tcPr>
            <w:tcW w:w="5000" w:type="pct"/>
            <w:gridSpan w:val="9"/>
            <w:tcBorders>
              <w:top w:val="nil"/>
              <w:left w:val="single" w:color="auto" w:sz="4" w:space="0"/>
              <w:bottom w:val="single" w:color="auto" w:sz="4" w:space="0"/>
              <w:right w:val="single" w:color="auto" w:sz="4" w:space="0"/>
            </w:tcBorders>
            <w:noWrap w:val="0"/>
            <w:vAlign w:val="center"/>
          </w:tcPr>
          <w:p w14:paraId="5E5EBF07">
            <w:pPr>
              <w:widowControl/>
              <w:rPr>
                <w:rFonts w:hint="eastAsia" w:ascii="宋体" w:hAnsi="宋体" w:cs="宋体"/>
                <w:color w:val="auto"/>
                <w:kern w:val="0"/>
                <w:szCs w:val="21"/>
                <w:highlight w:val="none"/>
              </w:rPr>
            </w:pPr>
            <w:r>
              <w:rPr>
                <w:rFonts w:hint="eastAsia" w:ascii="宋体" w:hAnsi="宋体" w:cs="宋体"/>
                <w:color w:val="auto"/>
                <w:kern w:val="0"/>
                <w:szCs w:val="21"/>
                <w:highlight w:val="none"/>
              </w:rPr>
              <w:t>备注：上述各专业包中的设备、阀门、仪表、传感器等材料品牌以专业包技术要求规定范围为准。</w:t>
            </w:r>
          </w:p>
        </w:tc>
      </w:tr>
      <w:tr w14:paraId="0F9D5CCE">
        <w:tblPrEx>
          <w:tblCellMar>
            <w:top w:w="0" w:type="dxa"/>
            <w:left w:w="108" w:type="dxa"/>
            <w:bottom w:w="0" w:type="dxa"/>
            <w:right w:w="108" w:type="dxa"/>
          </w:tblCellMar>
        </w:tblPrEx>
        <w:trPr>
          <w:trHeight w:val="487" w:hRule="atLeast"/>
          <w:jc w:val="center"/>
        </w:trPr>
        <w:tc>
          <w:tcPr>
            <w:tcW w:w="5000" w:type="pct"/>
            <w:gridSpan w:val="9"/>
            <w:tcBorders>
              <w:top w:val="nil"/>
              <w:left w:val="single" w:color="auto" w:sz="4" w:space="0"/>
              <w:bottom w:val="single" w:color="auto" w:sz="4" w:space="0"/>
              <w:right w:val="single" w:color="auto" w:sz="4" w:space="0"/>
            </w:tcBorders>
            <w:noWrap w:val="0"/>
            <w:vAlign w:val="center"/>
          </w:tcPr>
          <w:p w14:paraId="76893A10">
            <w:pPr>
              <w:widowControl/>
              <w:rPr>
                <w:rFonts w:hint="eastAsia" w:ascii="宋体" w:hAnsi="宋体" w:cs="宋体"/>
                <w:color w:val="auto"/>
                <w:kern w:val="0"/>
                <w:szCs w:val="21"/>
                <w:highlight w:val="none"/>
              </w:rPr>
            </w:pPr>
            <w:r>
              <w:rPr>
                <w:rFonts w:hint="eastAsia" w:ascii="宋体" w:hAnsi="宋体" w:cs="宋体"/>
                <w:color w:val="auto"/>
                <w:kern w:val="0"/>
                <w:szCs w:val="21"/>
                <w:highlight w:val="none"/>
              </w:rPr>
              <w:t>机电设备-电气类</w:t>
            </w:r>
          </w:p>
        </w:tc>
      </w:tr>
      <w:tr w14:paraId="6EA3DA65">
        <w:tblPrEx>
          <w:tblCellMar>
            <w:top w:w="0" w:type="dxa"/>
            <w:left w:w="108" w:type="dxa"/>
            <w:bottom w:w="0" w:type="dxa"/>
            <w:right w:w="108" w:type="dxa"/>
          </w:tblCellMar>
        </w:tblPrEx>
        <w:trPr>
          <w:trHeight w:val="487" w:hRule="atLeast"/>
          <w:jc w:val="center"/>
        </w:trPr>
        <w:tc>
          <w:tcPr>
            <w:tcW w:w="395" w:type="pct"/>
            <w:tcBorders>
              <w:top w:val="nil"/>
              <w:left w:val="single" w:color="auto" w:sz="4" w:space="0"/>
              <w:bottom w:val="single" w:color="auto" w:sz="4" w:space="0"/>
              <w:right w:val="single" w:color="auto" w:sz="4" w:space="0"/>
            </w:tcBorders>
            <w:noWrap w:val="0"/>
            <w:vAlign w:val="center"/>
          </w:tcPr>
          <w:p w14:paraId="67E3862C">
            <w:pPr>
              <w:widowControl/>
              <w:jc w:val="center"/>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w:t>
            </w:r>
          </w:p>
        </w:tc>
        <w:tc>
          <w:tcPr>
            <w:tcW w:w="916" w:type="pct"/>
            <w:tcBorders>
              <w:top w:val="nil"/>
              <w:left w:val="nil"/>
              <w:bottom w:val="single" w:color="auto" w:sz="4" w:space="0"/>
              <w:right w:val="single" w:color="auto" w:sz="4" w:space="0"/>
            </w:tcBorders>
            <w:noWrap w:val="0"/>
            <w:vAlign w:val="center"/>
          </w:tcPr>
          <w:p w14:paraId="6944D6F3">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0"/>
                <w:szCs w:val="20"/>
                <w:u w:val="none"/>
                <w:lang w:val="en-US" w:eastAsia="zh-CN" w:bidi="ar"/>
              </w:rPr>
              <w:t>10kV真空断路器</w:t>
            </w:r>
          </w:p>
        </w:tc>
        <w:tc>
          <w:tcPr>
            <w:tcW w:w="520" w:type="pct"/>
            <w:tcBorders>
              <w:top w:val="single" w:color="auto" w:sz="4" w:space="0"/>
              <w:left w:val="nil"/>
              <w:bottom w:val="single" w:color="auto" w:sz="4" w:space="0"/>
              <w:right w:val="single" w:color="auto" w:sz="4" w:space="0"/>
            </w:tcBorders>
            <w:noWrap w:val="0"/>
            <w:vAlign w:val="center"/>
          </w:tcPr>
          <w:p w14:paraId="3A5B0EBD">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ABB</w:t>
            </w:r>
          </w:p>
        </w:tc>
        <w:tc>
          <w:tcPr>
            <w:tcW w:w="527" w:type="pct"/>
            <w:tcBorders>
              <w:top w:val="single" w:color="auto" w:sz="4" w:space="0"/>
              <w:left w:val="nil"/>
              <w:bottom w:val="single" w:color="auto" w:sz="4" w:space="0"/>
              <w:right w:val="single" w:color="auto" w:sz="4" w:space="0"/>
            </w:tcBorders>
            <w:noWrap w:val="0"/>
            <w:vAlign w:val="center"/>
          </w:tcPr>
          <w:p w14:paraId="7292CE16">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施耐德</w:t>
            </w:r>
          </w:p>
        </w:tc>
        <w:tc>
          <w:tcPr>
            <w:tcW w:w="549" w:type="pct"/>
            <w:tcBorders>
              <w:top w:val="single" w:color="auto" w:sz="4" w:space="0"/>
              <w:left w:val="nil"/>
              <w:bottom w:val="single" w:color="auto" w:sz="4" w:space="0"/>
              <w:right w:val="single" w:color="auto" w:sz="4" w:space="0"/>
            </w:tcBorders>
            <w:noWrap w:val="0"/>
            <w:vAlign w:val="center"/>
          </w:tcPr>
          <w:p w14:paraId="3F3D3129">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西门子</w:t>
            </w:r>
          </w:p>
        </w:tc>
        <w:tc>
          <w:tcPr>
            <w:tcW w:w="614" w:type="pct"/>
            <w:tcBorders>
              <w:top w:val="single" w:color="auto" w:sz="4" w:space="0"/>
              <w:left w:val="nil"/>
              <w:bottom w:val="single" w:color="auto" w:sz="4" w:space="0"/>
              <w:right w:val="single" w:color="auto" w:sz="4" w:space="0"/>
            </w:tcBorders>
            <w:noWrap w:val="0"/>
            <w:vAlign w:val="center"/>
          </w:tcPr>
          <w:p w14:paraId="50BC2A70">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库柏</w:t>
            </w:r>
          </w:p>
        </w:tc>
        <w:tc>
          <w:tcPr>
            <w:tcW w:w="561" w:type="pct"/>
            <w:tcBorders>
              <w:top w:val="nil"/>
              <w:left w:val="nil"/>
              <w:bottom w:val="single" w:color="auto" w:sz="4" w:space="0"/>
              <w:right w:val="single" w:color="auto" w:sz="4" w:space="0"/>
            </w:tcBorders>
            <w:noWrap w:val="0"/>
            <w:vAlign w:val="center"/>
          </w:tcPr>
          <w:p w14:paraId="7ED028B7">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0"/>
                <w:szCs w:val="20"/>
                <w:u w:val="none"/>
                <w:lang w:val="en-US" w:eastAsia="zh-CN" w:bidi="ar"/>
              </w:rPr>
              <w:t>伊顿</w:t>
            </w:r>
          </w:p>
        </w:tc>
        <w:tc>
          <w:tcPr>
            <w:tcW w:w="460" w:type="pct"/>
            <w:tcBorders>
              <w:top w:val="nil"/>
              <w:left w:val="nil"/>
              <w:bottom w:val="single" w:color="auto" w:sz="4" w:space="0"/>
              <w:right w:val="single" w:color="auto" w:sz="4" w:space="0"/>
            </w:tcBorders>
            <w:noWrap w:val="0"/>
            <w:vAlign w:val="center"/>
          </w:tcPr>
          <w:p w14:paraId="0E246BE1">
            <w:pPr>
              <w:jc w:val="center"/>
              <w:rPr>
                <w:rFonts w:hint="eastAsia" w:ascii="宋体" w:hAnsi="宋体" w:cs="宋体"/>
                <w:color w:val="auto"/>
                <w:kern w:val="0"/>
                <w:szCs w:val="21"/>
                <w:highlight w:val="none"/>
              </w:rPr>
            </w:pPr>
          </w:p>
        </w:tc>
        <w:tc>
          <w:tcPr>
            <w:tcW w:w="455" w:type="pct"/>
            <w:tcBorders>
              <w:top w:val="nil"/>
              <w:left w:val="nil"/>
              <w:bottom w:val="single" w:color="auto" w:sz="4" w:space="0"/>
              <w:right w:val="single" w:color="auto" w:sz="4" w:space="0"/>
            </w:tcBorders>
            <w:noWrap w:val="0"/>
            <w:vAlign w:val="center"/>
          </w:tcPr>
          <w:p w14:paraId="1C89026E">
            <w:pPr>
              <w:jc w:val="center"/>
              <w:rPr>
                <w:rFonts w:hint="eastAsia" w:ascii="宋体" w:hAnsi="宋体" w:cs="宋体"/>
                <w:color w:val="auto"/>
                <w:kern w:val="0"/>
                <w:szCs w:val="21"/>
                <w:highlight w:val="none"/>
              </w:rPr>
            </w:pPr>
          </w:p>
        </w:tc>
      </w:tr>
      <w:tr w14:paraId="3450B0CD">
        <w:tblPrEx>
          <w:tblCellMar>
            <w:top w:w="0" w:type="dxa"/>
            <w:left w:w="108" w:type="dxa"/>
            <w:bottom w:w="0" w:type="dxa"/>
            <w:right w:w="108" w:type="dxa"/>
          </w:tblCellMar>
        </w:tblPrEx>
        <w:trPr>
          <w:trHeight w:val="427" w:hRule="atLeast"/>
          <w:jc w:val="center"/>
        </w:trPr>
        <w:tc>
          <w:tcPr>
            <w:tcW w:w="395" w:type="pct"/>
            <w:tcBorders>
              <w:top w:val="nil"/>
              <w:left w:val="single" w:color="auto" w:sz="4" w:space="0"/>
              <w:bottom w:val="single" w:color="auto" w:sz="4" w:space="0"/>
              <w:right w:val="single" w:color="auto" w:sz="4" w:space="0"/>
            </w:tcBorders>
            <w:noWrap w:val="0"/>
            <w:vAlign w:val="center"/>
          </w:tcPr>
          <w:p w14:paraId="1E31D205">
            <w:pPr>
              <w:widowControl/>
              <w:jc w:val="center"/>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2</w:t>
            </w:r>
          </w:p>
        </w:tc>
        <w:tc>
          <w:tcPr>
            <w:tcW w:w="916" w:type="pct"/>
            <w:tcBorders>
              <w:top w:val="nil"/>
              <w:left w:val="nil"/>
              <w:bottom w:val="single" w:color="auto" w:sz="4" w:space="0"/>
              <w:right w:val="single" w:color="auto" w:sz="4" w:space="0"/>
            </w:tcBorders>
            <w:noWrap w:val="0"/>
            <w:vAlign w:val="center"/>
          </w:tcPr>
          <w:p w14:paraId="3DFE4BEE">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0"/>
                <w:szCs w:val="20"/>
                <w:u w:val="none"/>
                <w:lang w:val="en-US" w:eastAsia="zh-CN" w:bidi="ar"/>
              </w:rPr>
              <w:t>10/0.4KV干式变压器</w:t>
            </w:r>
          </w:p>
        </w:tc>
        <w:tc>
          <w:tcPr>
            <w:tcW w:w="520" w:type="pct"/>
            <w:tcBorders>
              <w:top w:val="single" w:color="auto" w:sz="4" w:space="0"/>
              <w:left w:val="nil"/>
              <w:bottom w:val="single" w:color="auto" w:sz="4" w:space="0"/>
              <w:right w:val="single" w:color="auto" w:sz="4" w:space="0"/>
            </w:tcBorders>
            <w:noWrap w:val="0"/>
            <w:vAlign w:val="center"/>
          </w:tcPr>
          <w:p w14:paraId="542F09AC">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天津特变</w:t>
            </w:r>
          </w:p>
        </w:tc>
        <w:tc>
          <w:tcPr>
            <w:tcW w:w="527" w:type="pct"/>
            <w:tcBorders>
              <w:top w:val="single" w:color="auto" w:sz="4" w:space="0"/>
              <w:left w:val="nil"/>
              <w:bottom w:val="single" w:color="auto" w:sz="4" w:space="0"/>
              <w:right w:val="single" w:color="auto" w:sz="4" w:space="0"/>
            </w:tcBorders>
            <w:noWrap w:val="0"/>
            <w:vAlign w:val="center"/>
          </w:tcPr>
          <w:p w14:paraId="61115B9B">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顺特电气</w:t>
            </w:r>
          </w:p>
        </w:tc>
        <w:tc>
          <w:tcPr>
            <w:tcW w:w="549" w:type="pct"/>
            <w:tcBorders>
              <w:top w:val="single" w:color="auto" w:sz="4" w:space="0"/>
              <w:left w:val="nil"/>
              <w:bottom w:val="single" w:color="auto" w:sz="4" w:space="0"/>
              <w:right w:val="single" w:color="auto" w:sz="4" w:space="0"/>
            </w:tcBorders>
            <w:noWrap w:val="0"/>
            <w:vAlign w:val="center"/>
          </w:tcPr>
          <w:p w14:paraId="620C8118">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海南金盘</w:t>
            </w:r>
          </w:p>
        </w:tc>
        <w:tc>
          <w:tcPr>
            <w:tcW w:w="614" w:type="pct"/>
            <w:tcBorders>
              <w:top w:val="single" w:color="auto" w:sz="4" w:space="0"/>
              <w:left w:val="nil"/>
              <w:bottom w:val="single" w:color="auto" w:sz="4" w:space="0"/>
              <w:right w:val="single" w:color="auto" w:sz="4" w:space="0"/>
            </w:tcBorders>
            <w:noWrap w:val="0"/>
            <w:vAlign w:val="center"/>
          </w:tcPr>
          <w:p w14:paraId="064F5C80">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南京大全</w:t>
            </w:r>
          </w:p>
        </w:tc>
        <w:tc>
          <w:tcPr>
            <w:tcW w:w="561" w:type="pct"/>
            <w:tcBorders>
              <w:top w:val="nil"/>
              <w:left w:val="nil"/>
              <w:bottom w:val="single" w:color="auto" w:sz="4" w:space="0"/>
              <w:right w:val="single" w:color="auto" w:sz="4" w:space="0"/>
            </w:tcBorders>
            <w:noWrap w:val="0"/>
            <w:vAlign w:val="center"/>
          </w:tcPr>
          <w:p w14:paraId="55493CFB">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0"/>
                <w:szCs w:val="20"/>
                <w:u w:val="none"/>
                <w:lang w:val="en-US" w:eastAsia="zh-CN" w:bidi="ar"/>
              </w:rPr>
              <w:t>西电济南</w:t>
            </w:r>
          </w:p>
        </w:tc>
        <w:tc>
          <w:tcPr>
            <w:tcW w:w="460" w:type="pct"/>
            <w:tcBorders>
              <w:top w:val="nil"/>
              <w:left w:val="nil"/>
              <w:bottom w:val="single" w:color="auto" w:sz="4" w:space="0"/>
              <w:right w:val="single" w:color="auto" w:sz="4" w:space="0"/>
            </w:tcBorders>
            <w:noWrap w:val="0"/>
            <w:vAlign w:val="center"/>
          </w:tcPr>
          <w:p w14:paraId="33DA0A24">
            <w:pPr>
              <w:jc w:val="center"/>
              <w:rPr>
                <w:rFonts w:hint="eastAsia" w:ascii="宋体" w:hAnsi="宋体" w:cs="宋体"/>
                <w:color w:val="auto"/>
                <w:kern w:val="0"/>
                <w:szCs w:val="21"/>
                <w:highlight w:val="none"/>
              </w:rPr>
            </w:pPr>
          </w:p>
        </w:tc>
        <w:tc>
          <w:tcPr>
            <w:tcW w:w="455" w:type="pct"/>
            <w:tcBorders>
              <w:top w:val="nil"/>
              <w:left w:val="nil"/>
              <w:bottom w:val="single" w:color="auto" w:sz="4" w:space="0"/>
              <w:right w:val="single" w:color="auto" w:sz="4" w:space="0"/>
            </w:tcBorders>
            <w:noWrap w:val="0"/>
            <w:vAlign w:val="center"/>
          </w:tcPr>
          <w:p w14:paraId="395AC682">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0"/>
                <w:szCs w:val="20"/>
                <w:u w:val="none"/>
                <w:lang w:val="en-US" w:eastAsia="zh-CN" w:bidi="ar"/>
              </w:rPr>
              <w:t>适用各专业配电系统</w:t>
            </w:r>
          </w:p>
        </w:tc>
      </w:tr>
      <w:tr w14:paraId="6ED26CBD">
        <w:tblPrEx>
          <w:tblCellMar>
            <w:top w:w="0" w:type="dxa"/>
            <w:left w:w="108" w:type="dxa"/>
            <w:bottom w:w="0" w:type="dxa"/>
            <w:right w:w="108" w:type="dxa"/>
          </w:tblCellMar>
        </w:tblPrEx>
        <w:trPr>
          <w:trHeight w:val="487" w:hRule="atLeast"/>
          <w:jc w:val="center"/>
        </w:trPr>
        <w:tc>
          <w:tcPr>
            <w:tcW w:w="395" w:type="pct"/>
            <w:tcBorders>
              <w:top w:val="single" w:color="auto" w:sz="4" w:space="0"/>
              <w:left w:val="single" w:color="auto" w:sz="4" w:space="0"/>
              <w:bottom w:val="single" w:color="auto" w:sz="4" w:space="0"/>
              <w:right w:val="single" w:color="auto" w:sz="4" w:space="0"/>
            </w:tcBorders>
            <w:noWrap w:val="0"/>
            <w:vAlign w:val="center"/>
          </w:tcPr>
          <w:p w14:paraId="73C07802">
            <w:pPr>
              <w:widowControl/>
              <w:jc w:val="center"/>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3</w:t>
            </w:r>
          </w:p>
        </w:tc>
        <w:tc>
          <w:tcPr>
            <w:tcW w:w="916" w:type="pct"/>
            <w:tcBorders>
              <w:top w:val="single" w:color="auto" w:sz="4" w:space="0"/>
              <w:left w:val="single" w:color="auto" w:sz="4" w:space="0"/>
              <w:bottom w:val="single" w:color="auto" w:sz="4" w:space="0"/>
              <w:right w:val="single" w:color="auto" w:sz="4" w:space="0"/>
            </w:tcBorders>
            <w:noWrap w:val="0"/>
            <w:vAlign w:val="center"/>
          </w:tcPr>
          <w:p w14:paraId="3029039F">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0"/>
                <w:szCs w:val="20"/>
                <w:u w:val="none"/>
                <w:lang w:val="en-US" w:eastAsia="zh-CN" w:bidi="ar"/>
              </w:rPr>
              <w:t>高低压柜成套商</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605C686B">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河南森源</w:t>
            </w:r>
          </w:p>
        </w:tc>
        <w:tc>
          <w:tcPr>
            <w:tcW w:w="527" w:type="pct"/>
            <w:tcBorders>
              <w:top w:val="single" w:color="auto" w:sz="4" w:space="0"/>
              <w:left w:val="single" w:color="auto" w:sz="4" w:space="0"/>
              <w:bottom w:val="single" w:color="auto" w:sz="4" w:space="0"/>
              <w:right w:val="single" w:color="auto" w:sz="4" w:space="0"/>
            </w:tcBorders>
            <w:noWrap w:val="0"/>
            <w:vAlign w:val="center"/>
          </w:tcPr>
          <w:p w14:paraId="4D9959A8">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武汉盛隆</w:t>
            </w:r>
          </w:p>
        </w:tc>
        <w:tc>
          <w:tcPr>
            <w:tcW w:w="549" w:type="pct"/>
            <w:tcBorders>
              <w:top w:val="single" w:color="auto" w:sz="4" w:space="0"/>
              <w:left w:val="single" w:color="auto" w:sz="4" w:space="0"/>
              <w:bottom w:val="single" w:color="auto" w:sz="4" w:space="0"/>
              <w:right w:val="single" w:color="auto" w:sz="4" w:space="0"/>
            </w:tcBorders>
            <w:noWrap w:val="0"/>
            <w:vAlign w:val="center"/>
          </w:tcPr>
          <w:p w14:paraId="194F8381">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江苏大全</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4362405E">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江苏亿能</w:t>
            </w:r>
          </w:p>
        </w:tc>
        <w:tc>
          <w:tcPr>
            <w:tcW w:w="561" w:type="pct"/>
            <w:tcBorders>
              <w:top w:val="single" w:color="auto" w:sz="4" w:space="0"/>
              <w:left w:val="single" w:color="auto" w:sz="4" w:space="0"/>
              <w:bottom w:val="single" w:color="auto" w:sz="4" w:space="0"/>
              <w:right w:val="single" w:color="auto" w:sz="4" w:space="0"/>
            </w:tcBorders>
            <w:noWrap w:val="0"/>
            <w:vAlign w:val="center"/>
          </w:tcPr>
          <w:p w14:paraId="73ABFC87">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0"/>
                <w:szCs w:val="20"/>
                <w:u w:val="none"/>
                <w:lang w:val="en-US" w:eastAsia="zh-CN" w:bidi="ar"/>
              </w:rPr>
              <w:t>百川汇龙</w:t>
            </w:r>
          </w:p>
        </w:tc>
        <w:tc>
          <w:tcPr>
            <w:tcW w:w="460" w:type="pct"/>
            <w:tcBorders>
              <w:top w:val="single" w:color="auto" w:sz="4" w:space="0"/>
              <w:left w:val="single" w:color="auto" w:sz="4" w:space="0"/>
              <w:bottom w:val="single" w:color="auto" w:sz="4" w:space="0"/>
              <w:right w:val="single" w:color="auto" w:sz="4" w:space="0"/>
            </w:tcBorders>
            <w:noWrap w:val="0"/>
            <w:vAlign w:val="center"/>
          </w:tcPr>
          <w:p w14:paraId="18D6745E">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0"/>
                <w:szCs w:val="20"/>
                <w:u w:val="none"/>
                <w:lang w:val="en-US" w:eastAsia="zh-CN" w:bidi="ar"/>
              </w:rPr>
              <w:t>迪康</w:t>
            </w:r>
          </w:p>
        </w:tc>
        <w:tc>
          <w:tcPr>
            <w:tcW w:w="455" w:type="pct"/>
            <w:tcBorders>
              <w:top w:val="single" w:color="auto" w:sz="4" w:space="0"/>
              <w:left w:val="single" w:color="auto" w:sz="4" w:space="0"/>
              <w:bottom w:val="single" w:color="auto" w:sz="4" w:space="0"/>
              <w:right w:val="single" w:color="auto" w:sz="4" w:space="0"/>
            </w:tcBorders>
            <w:noWrap w:val="0"/>
            <w:vAlign w:val="center"/>
          </w:tcPr>
          <w:p w14:paraId="32AB1E24">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0"/>
                <w:szCs w:val="20"/>
                <w:u w:val="none"/>
                <w:lang w:val="en-US" w:eastAsia="zh-CN" w:bidi="ar"/>
              </w:rPr>
              <w:t>适用各专业配电系统</w:t>
            </w:r>
          </w:p>
        </w:tc>
      </w:tr>
      <w:tr w14:paraId="2CCEB149">
        <w:tblPrEx>
          <w:tblCellMar>
            <w:top w:w="0" w:type="dxa"/>
            <w:left w:w="108" w:type="dxa"/>
            <w:bottom w:w="0" w:type="dxa"/>
            <w:right w:w="108" w:type="dxa"/>
          </w:tblCellMar>
        </w:tblPrEx>
        <w:trPr>
          <w:trHeight w:val="487" w:hRule="atLeast"/>
          <w:jc w:val="center"/>
        </w:trPr>
        <w:tc>
          <w:tcPr>
            <w:tcW w:w="395" w:type="pct"/>
            <w:tcBorders>
              <w:top w:val="single" w:color="auto" w:sz="4" w:space="0"/>
              <w:left w:val="single" w:color="auto" w:sz="4" w:space="0"/>
              <w:bottom w:val="single" w:color="auto" w:sz="4" w:space="0"/>
              <w:right w:val="single" w:color="auto" w:sz="4" w:space="0"/>
            </w:tcBorders>
            <w:noWrap w:val="0"/>
            <w:vAlign w:val="center"/>
          </w:tcPr>
          <w:p w14:paraId="492350AD">
            <w:pPr>
              <w:widowControl/>
              <w:jc w:val="both"/>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4</w:t>
            </w:r>
          </w:p>
        </w:tc>
        <w:tc>
          <w:tcPr>
            <w:tcW w:w="916" w:type="pct"/>
            <w:tcBorders>
              <w:top w:val="single" w:color="auto" w:sz="4" w:space="0"/>
              <w:left w:val="single" w:color="auto" w:sz="4" w:space="0"/>
              <w:bottom w:val="single" w:color="auto" w:sz="4" w:space="0"/>
              <w:right w:val="single" w:color="auto" w:sz="4" w:space="0"/>
            </w:tcBorders>
            <w:noWrap w:val="0"/>
            <w:vAlign w:val="center"/>
          </w:tcPr>
          <w:p w14:paraId="42058846">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0"/>
                <w:szCs w:val="20"/>
                <w:u w:val="none"/>
                <w:lang w:val="en-US" w:eastAsia="zh-CN" w:bidi="ar"/>
              </w:rPr>
              <w:t>现场盘柜</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742A199A">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江苏大全</w:t>
            </w:r>
          </w:p>
        </w:tc>
        <w:tc>
          <w:tcPr>
            <w:tcW w:w="527" w:type="pct"/>
            <w:tcBorders>
              <w:top w:val="single" w:color="auto" w:sz="4" w:space="0"/>
              <w:left w:val="single" w:color="auto" w:sz="4" w:space="0"/>
              <w:bottom w:val="single" w:color="auto" w:sz="4" w:space="0"/>
              <w:right w:val="single" w:color="auto" w:sz="4" w:space="0"/>
            </w:tcBorders>
            <w:noWrap w:val="0"/>
            <w:vAlign w:val="center"/>
          </w:tcPr>
          <w:p w14:paraId="2A6E6169">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江苏亿能</w:t>
            </w:r>
          </w:p>
        </w:tc>
        <w:tc>
          <w:tcPr>
            <w:tcW w:w="549" w:type="pct"/>
            <w:tcBorders>
              <w:top w:val="single" w:color="auto" w:sz="4" w:space="0"/>
              <w:left w:val="single" w:color="auto" w:sz="4" w:space="0"/>
              <w:bottom w:val="single" w:color="auto" w:sz="4" w:space="0"/>
              <w:right w:val="single" w:color="auto" w:sz="4" w:space="0"/>
            </w:tcBorders>
            <w:noWrap w:val="0"/>
            <w:vAlign w:val="center"/>
          </w:tcPr>
          <w:p w14:paraId="6FA6595D">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百川汇龙</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669C3EEC">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迪康</w:t>
            </w:r>
          </w:p>
        </w:tc>
        <w:tc>
          <w:tcPr>
            <w:tcW w:w="561" w:type="pct"/>
            <w:tcBorders>
              <w:top w:val="single" w:color="auto" w:sz="4" w:space="0"/>
              <w:left w:val="single" w:color="auto" w:sz="4" w:space="0"/>
              <w:bottom w:val="single" w:color="auto" w:sz="4" w:space="0"/>
              <w:right w:val="single" w:color="auto" w:sz="4" w:space="0"/>
            </w:tcBorders>
            <w:noWrap w:val="0"/>
            <w:vAlign w:val="center"/>
          </w:tcPr>
          <w:p w14:paraId="2D9376FE">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0"/>
                <w:szCs w:val="20"/>
                <w:u w:val="none"/>
                <w:lang w:val="en-US" w:eastAsia="zh-CN" w:bidi="ar"/>
              </w:rPr>
              <w:t>正帆电气</w:t>
            </w:r>
          </w:p>
        </w:tc>
        <w:tc>
          <w:tcPr>
            <w:tcW w:w="460" w:type="pct"/>
            <w:tcBorders>
              <w:top w:val="single" w:color="auto" w:sz="4" w:space="0"/>
              <w:left w:val="single" w:color="auto" w:sz="4" w:space="0"/>
              <w:bottom w:val="single" w:color="auto" w:sz="4" w:space="0"/>
              <w:right w:val="single" w:color="auto" w:sz="4" w:space="0"/>
            </w:tcBorders>
            <w:noWrap w:val="0"/>
            <w:vAlign w:val="center"/>
          </w:tcPr>
          <w:p w14:paraId="68AE3478">
            <w:pPr>
              <w:rPr>
                <w:rFonts w:hint="eastAsia" w:ascii="宋体" w:hAnsi="宋体" w:cs="宋体"/>
                <w:color w:val="auto"/>
                <w:kern w:val="0"/>
                <w:szCs w:val="21"/>
                <w:highlight w:val="none"/>
              </w:rPr>
            </w:pPr>
          </w:p>
        </w:tc>
        <w:tc>
          <w:tcPr>
            <w:tcW w:w="455" w:type="pct"/>
            <w:tcBorders>
              <w:top w:val="single" w:color="auto" w:sz="4" w:space="0"/>
              <w:left w:val="single" w:color="auto" w:sz="4" w:space="0"/>
              <w:bottom w:val="single" w:color="auto" w:sz="4" w:space="0"/>
              <w:right w:val="single" w:color="auto" w:sz="4" w:space="0"/>
            </w:tcBorders>
            <w:noWrap w:val="0"/>
            <w:vAlign w:val="center"/>
          </w:tcPr>
          <w:p w14:paraId="58224DAA">
            <w:pPr>
              <w:jc w:val="center"/>
              <w:rPr>
                <w:rFonts w:hint="eastAsia" w:ascii="宋体" w:hAnsi="宋体" w:cs="宋体"/>
                <w:color w:val="auto"/>
                <w:kern w:val="0"/>
                <w:szCs w:val="21"/>
                <w:highlight w:val="none"/>
              </w:rPr>
            </w:pPr>
          </w:p>
        </w:tc>
      </w:tr>
      <w:tr w14:paraId="016C1855">
        <w:tblPrEx>
          <w:tblCellMar>
            <w:top w:w="0" w:type="dxa"/>
            <w:left w:w="108" w:type="dxa"/>
            <w:bottom w:w="0" w:type="dxa"/>
            <w:right w:w="108" w:type="dxa"/>
          </w:tblCellMar>
        </w:tblPrEx>
        <w:trPr>
          <w:trHeight w:val="487" w:hRule="atLeast"/>
          <w:jc w:val="center"/>
        </w:trPr>
        <w:tc>
          <w:tcPr>
            <w:tcW w:w="395" w:type="pct"/>
            <w:tcBorders>
              <w:top w:val="single" w:color="auto" w:sz="4" w:space="0"/>
              <w:left w:val="single" w:color="auto" w:sz="4" w:space="0"/>
              <w:bottom w:val="single" w:color="auto" w:sz="4" w:space="0"/>
              <w:right w:val="single" w:color="auto" w:sz="4" w:space="0"/>
            </w:tcBorders>
            <w:noWrap w:val="0"/>
            <w:vAlign w:val="center"/>
          </w:tcPr>
          <w:p w14:paraId="53D3515F">
            <w:pPr>
              <w:widowControl/>
              <w:jc w:val="both"/>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w:t>
            </w:r>
          </w:p>
        </w:tc>
        <w:tc>
          <w:tcPr>
            <w:tcW w:w="916" w:type="pct"/>
            <w:tcBorders>
              <w:top w:val="single" w:color="auto" w:sz="4" w:space="0"/>
              <w:left w:val="single" w:color="auto" w:sz="4" w:space="0"/>
              <w:bottom w:val="single" w:color="auto" w:sz="4" w:space="0"/>
              <w:right w:val="single" w:color="auto" w:sz="4" w:space="0"/>
            </w:tcBorders>
            <w:noWrap w:val="0"/>
            <w:vAlign w:val="center"/>
          </w:tcPr>
          <w:p w14:paraId="23856872">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0"/>
                <w:szCs w:val="20"/>
                <w:u w:val="none"/>
                <w:lang w:val="en-US" w:eastAsia="zh-CN" w:bidi="ar"/>
              </w:rPr>
              <w:t>直流屏</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6797C2B4">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绵阳富邦</w:t>
            </w:r>
          </w:p>
        </w:tc>
        <w:tc>
          <w:tcPr>
            <w:tcW w:w="527" w:type="pct"/>
            <w:tcBorders>
              <w:top w:val="single" w:color="auto" w:sz="4" w:space="0"/>
              <w:left w:val="single" w:color="auto" w:sz="4" w:space="0"/>
              <w:bottom w:val="single" w:color="auto" w:sz="4" w:space="0"/>
              <w:right w:val="single" w:color="auto" w:sz="4" w:space="0"/>
            </w:tcBorders>
            <w:noWrap w:val="0"/>
            <w:vAlign w:val="center"/>
          </w:tcPr>
          <w:p w14:paraId="62B037E6">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西安科高</w:t>
            </w:r>
          </w:p>
        </w:tc>
        <w:tc>
          <w:tcPr>
            <w:tcW w:w="549" w:type="pct"/>
            <w:tcBorders>
              <w:top w:val="single" w:color="auto" w:sz="4" w:space="0"/>
              <w:left w:val="single" w:color="auto" w:sz="4" w:space="0"/>
              <w:bottom w:val="single" w:color="auto" w:sz="4" w:space="0"/>
              <w:right w:val="single" w:color="auto" w:sz="4" w:space="0"/>
            </w:tcBorders>
            <w:noWrap w:val="0"/>
            <w:vAlign w:val="center"/>
          </w:tcPr>
          <w:p w14:paraId="6F9A8704">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陕西欧瑞特</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5A3EAA4C">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北京国电光宇</w:t>
            </w:r>
          </w:p>
        </w:tc>
        <w:tc>
          <w:tcPr>
            <w:tcW w:w="561" w:type="pct"/>
            <w:tcBorders>
              <w:top w:val="single" w:color="auto" w:sz="4" w:space="0"/>
              <w:left w:val="single" w:color="auto" w:sz="4" w:space="0"/>
              <w:bottom w:val="single" w:color="auto" w:sz="4" w:space="0"/>
              <w:right w:val="single" w:color="auto" w:sz="4" w:space="0"/>
            </w:tcBorders>
            <w:noWrap w:val="0"/>
            <w:vAlign w:val="center"/>
          </w:tcPr>
          <w:p w14:paraId="536E8A36">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0"/>
                <w:szCs w:val="20"/>
                <w:u w:val="none"/>
                <w:lang w:val="en-US" w:eastAsia="zh-CN" w:bidi="ar"/>
              </w:rPr>
              <w:t>深圳英可瑞</w:t>
            </w:r>
          </w:p>
        </w:tc>
        <w:tc>
          <w:tcPr>
            <w:tcW w:w="460" w:type="pct"/>
            <w:tcBorders>
              <w:top w:val="single" w:color="auto" w:sz="4" w:space="0"/>
              <w:left w:val="single" w:color="auto" w:sz="4" w:space="0"/>
              <w:bottom w:val="single" w:color="auto" w:sz="4" w:space="0"/>
              <w:right w:val="single" w:color="auto" w:sz="4" w:space="0"/>
            </w:tcBorders>
            <w:noWrap w:val="0"/>
            <w:vAlign w:val="center"/>
          </w:tcPr>
          <w:p w14:paraId="4BC2BBA4">
            <w:pPr>
              <w:jc w:val="center"/>
              <w:rPr>
                <w:rFonts w:hint="eastAsia" w:ascii="宋体" w:hAnsi="宋体" w:cs="宋体"/>
                <w:color w:val="auto"/>
                <w:kern w:val="0"/>
                <w:szCs w:val="21"/>
                <w:highlight w:val="none"/>
              </w:rPr>
            </w:pPr>
          </w:p>
        </w:tc>
        <w:tc>
          <w:tcPr>
            <w:tcW w:w="455" w:type="pct"/>
            <w:tcBorders>
              <w:top w:val="single" w:color="auto" w:sz="4" w:space="0"/>
              <w:left w:val="single" w:color="auto" w:sz="4" w:space="0"/>
              <w:bottom w:val="single" w:color="auto" w:sz="4" w:space="0"/>
              <w:right w:val="single" w:color="auto" w:sz="4" w:space="0"/>
            </w:tcBorders>
            <w:noWrap w:val="0"/>
            <w:vAlign w:val="center"/>
          </w:tcPr>
          <w:p w14:paraId="3F85A53B">
            <w:pPr>
              <w:jc w:val="center"/>
              <w:rPr>
                <w:rFonts w:hint="eastAsia" w:ascii="宋体" w:hAnsi="宋体" w:cs="宋体"/>
                <w:color w:val="auto"/>
                <w:kern w:val="0"/>
                <w:szCs w:val="21"/>
                <w:highlight w:val="none"/>
              </w:rPr>
            </w:pPr>
          </w:p>
        </w:tc>
      </w:tr>
      <w:tr w14:paraId="37ADE4F8">
        <w:tblPrEx>
          <w:tblCellMar>
            <w:top w:w="0" w:type="dxa"/>
            <w:left w:w="108" w:type="dxa"/>
            <w:bottom w:w="0" w:type="dxa"/>
            <w:right w:w="108" w:type="dxa"/>
          </w:tblCellMar>
        </w:tblPrEx>
        <w:trPr>
          <w:trHeight w:val="487" w:hRule="atLeast"/>
          <w:jc w:val="center"/>
        </w:trPr>
        <w:tc>
          <w:tcPr>
            <w:tcW w:w="395" w:type="pct"/>
            <w:tcBorders>
              <w:top w:val="single" w:color="auto" w:sz="4" w:space="0"/>
              <w:left w:val="single" w:color="auto" w:sz="4" w:space="0"/>
              <w:bottom w:val="single" w:color="auto" w:sz="4" w:space="0"/>
              <w:right w:val="single" w:color="auto" w:sz="4" w:space="0"/>
            </w:tcBorders>
            <w:noWrap w:val="0"/>
            <w:vAlign w:val="center"/>
          </w:tcPr>
          <w:p w14:paraId="25BD57B1">
            <w:pPr>
              <w:widowControl/>
              <w:jc w:val="both"/>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6</w:t>
            </w:r>
          </w:p>
        </w:tc>
        <w:tc>
          <w:tcPr>
            <w:tcW w:w="916" w:type="pct"/>
            <w:tcBorders>
              <w:top w:val="single" w:color="auto" w:sz="4" w:space="0"/>
              <w:left w:val="single" w:color="auto" w:sz="4" w:space="0"/>
              <w:bottom w:val="single" w:color="auto" w:sz="4" w:space="0"/>
              <w:right w:val="single" w:color="auto" w:sz="4" w:space="0"/>
            </w:tcBorders>
            <w:noWrap w:val="0"/>
            <w:vAlign w:val="center"/>
          </w:tcPr>
          <w:p w14:paraId="5A257A93">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0"/>
                <w:szCs w:val="20"/>
                <w:u w:val="none"/>
                <w:lang w:val="en-US" w:eastAsia="zh-CN" w:bidi="ar"/>
              </w:rPr>
              <w:t>框架、塑壳断路器</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747A5C3E">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常熟</w:t>
            </w:r>
          </w:p>
        </w:tc>
        <w:tc>
          <w:tcPr>
            <w:tcW w:w="527" w:type="pct"/>
            <w:tcBorders>
              <w:top w:val="single" w:color="auto" w:sz="4" w:space="0"/>
              <w:left w:val="single" w:color="auto" w:sz="4" w:space="0"/>
              <w:bottom w:val="single" w:color="auto" w:sz="4" w:space="0"/>
              <w:right w:val="single" w:color="auto" w:sz="4" w:space="0"/>
            </w:tcBorders>
            <w:noWrap w:val="0"/>
            <w:vAlign w:val="center"/>
          </w:tcPr>
          <w:p w14:paraId="38CC6D1F">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上海人民</w:t>
            </w:r>
          </w:p>
        </w:tc>
        <w:tc>
          <w:tcPr>
            <w:tcW w:w="549" w:type="pct"/>
            <w:tcBorders>
              <w:top w:val="single" w:color="auto" w:sz="4" w:space="0"/>
              <w:left w:val="single" w:color="auto" w:sz="4" w:space="0"/>
              <w:bottom w:val="single" w:color="auto" w:sz="4" w:space="0"/>
              <w:right w:val="single" w:color="auto" w:sz="4" w:space="0"/>
            </w:tcBorders>
            <w:noWrap w:val="0"/>
            <w:vAlign w:val="center"/>
          </w:tcPr>
          <w:p w14:paraId="189675CB">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上海良信</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28748BD7">
            <w:pPr>
              <w:jc w:val="center"/>
              <w:rPr>
                <w:rFonts w:hint="eastAsia" w:ascii="宋体" w:hAnsi="宋体" w:cs="宋体"/>
                <w:color w:val="auto"/>
                <w:sz w:val="22"/>
                <w:highlight w:val="none"/>
              </w:rPr>
            </w:pPr>
          </w:p>
        </w:tc>
        <w:tc>
          <w:tcPr>
            <w:tcW w:w="561" w:type="pct"/>
            <w:tcBorders>
              <w:top w:val="single" w:color="auto" w:sz="4" w:space="0"/>
              <w:left w:val="single" w:color="auto" w:sz="4" w:space="0"/>
              <w:bottom w:val="single" w:color="auto" w:sz="4" w:space="0"/>
              <w:right w:val="single" w:color="auto" w:sz="4" w:space="0"/>
            </w:tcBorders>
            <w:noWrap w:val="0"/>
            <w:vAlign w:val="center"/>
          </w:tcPr>
          <w:p w14:paraId="0CC5A206">
            <w:pPr>
              <w:jc w:val="center"/>
              <w:rPr>
                <w:rFonts w:hint="eastAsia" w:ascii="宋体" w:hAnsi="宋体" w:cs="宋体"/>
                <w:color w:val="auto"/>
                <w:kern w:val="0"/>
                <w:szCs w:val="21"/>
                <w:highlight w:val="none"/>
              </w:rPr>
            </w:pPr>
          </w:p>
        </w:tc>
        <w:tc>
          <w:tcPr>
            <w:tcW w:w="460" w:type="pct"/>
            <w:tcBorders>
              <w:top w:val="single" w:color="auto" w:sz="4" w:space="0"/>
              <w:left w:val="single" w:color="auto" w:sz="4" w:space="0"/>
              <w:bottom w:val="single" w:color="auto" w:sz="4" w:space="0"/>
              <w:right w:val="single" w:color="auto" w:sz="4" w:space="0"/>
            </w:tcBorders>
            <w:noWrap w:val="0"/>
            <w:vAlign w:val="center"/>
          </w:tcPr>
          <w:p w14:paraId="25A2E040">
            <w:pPr>
              <w:jc w:val="center"/>
              <w:rPr>
                <w:rFonts w:hint="eastAsia" w:ascii="宋体" w:hAnsi="宋体" w:cs="宋体"/>
                <w:color w:val="auto"/>
                <w:kern w:val="0"/>
                <w:szCs w:val="21"/>
                <w:highlight w:val="none"/>
              </w:rPr>
            </w:pPr>
          </w:p>
        </w:tc>
        <w:tc>
          <w:tcPr>
            <w:tcW w:w="455" w:type="pct"/>
            <w:tcBorders>
              <w:top w:val="single" w:color="auto" w:sz="4" w:space="0"/>
              <w:left w:val="single" w:color="auto" w:sz="4" w:space="0"/>
              <w:bottom w:val="single" w:color="auto" w:sz="4" w:space="0"/>
              <w:right w:val="single" w:color="auto" w:sz="4" w:space="0"/>
            </w:tcBorders>
            <w:noWrap w:val="0"/>
            <w:vAlign w:val="center"/>
          </w:tcPr>
          <w:p w14:paraId="395B4563">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0"/>
                <w:szCs w:val="20"/>
                <w:u w:val="none"/>
                <w:lang w:val="en-US" w:eastAsia="zh-CN" w:bidi="ar"/>
              </w:rPr>
              <w:t>适用各专业配电系统</w:t>
            </w:r>
          </w:p>
        </w:tc>
      </w:tr>
      <w:tr w14:paraId="50205839">
        <w:tblPrEx>
          <w:tblCellMar>
            <w:top w:w="0" w:type="dxa"/>
            <w:left w:w="108" w:type="dxa"/>
            <w:bottom w:w="0" w:type="dxa"/>
            <w:right w:w="108" w:type="dxa"/>
          </w:tblCellMar>
        </w:tblPrEx>
        <w:trPr>
          <w:trHeight w:val="487" w:hRule="atLeast"/>
          <w:jc w:val="center"/>
        </w:trPr>
        <w:tc>
          <w:tcPr>
            <w:tcW w:w="395" w:type="pct"/>
            <w:tcBorders>
              <w:top w:val="single" w:color="auto" w:sz="4" w:space="0"/>
              <w:left w:val="single" w:color="auto" w:sz="4" w:space="0"/>
              <w:bottom w:val="single" w:color="auto" w:sz="4" w:space="0"/>
              <w:right w:val="single" w:color="auto" w:sz="4" w:space="0"/>
            </w:tcBorders>
            <w:noWrap w:val="0"/>
            <w:vAlign w:val="center"/>
          </w:tcPr>
          <w:p w14:paraId="382063B8">
            <w:pPr>
              <w:widowControl/>
              <w:jc w:val="both"/>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7</w:t>
            </w:r>
          </w:p>
        </w:tc>
        <w:tc>
          <w:tcPr>
            <w:tcW w:w="916" w:type="pct"/>
            <w:tcBorders>
              <w:top w:val="single" w:color="auto" w:sz="4" w:space="0"/>
              <w:left w:val="single" w:color="auto" w:sz="4" w:space="0"/>
              <w:bottom w:val="single" w:color="auto" w:sz="4" w:space="0"/>
              <w:right w:val="single" w:color="auto" w:sz="4" w:space="0"/>
            </w:tcBorders>
            <w:noWrap w:val="0"/>
            <w:vAlign w:val="center"/>
          </w:tcPr>
          <w:p w14:paraId="1FCCA526">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0"/>
                <w:szCs w:val="20"/>
                <w:u w:val="none"/>
                <w:lang w:val="en-US" w:eastAsia="zh-CN" w:bidi="ar"/>
              </w:rPr>
              <w:t>微断</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68EF5EF9">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常熟</w:t>
            </w:r>
          </w:p>
        </w:tc>
        <w:tc>
          <w:tcPr>
            <w:tcW w:w="527" w:type="pct"/>
            <w:tcBorders>
              <w:top w:val="single" w:color="auto" w:sz="4" w:space="0"/>
              <w:left w:val="single" w:color="auto" w:sz="4" w:space="0"/>
              <w:bottom w:val="single" w:color="auto" w:sz="4" w:space="0"/>
              <w:right w:val="single" w:color="auto" w:sz="4" w:space="0"/>
            </w:tcBorders>
            <w:noWrap w:val="0"/>
            <w:vAlign w:val="center"/>
          </w:tcPr>
          <w:p w14:paraId="1F8DAF12">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良信</w:t>
            </w:r>
          </w:p>
        </w:tc>
        <w:tc>
          <w:tcPr>
            <w:tcW w:w="549" w:type="pct"/>
            <w:tcBorders>
              <w:top w:val="single" w:color="auto" w:sz="4" w:space="0"/>
              <w:left w:val="single" w:color="auto" w:sz="4" w:space="0"/>
              <w:bottom w:val="single" w:color="auto" w:sz="4" w:space="0"/>
              <w:right w:val="single" w:color="auto" w:sz="4" w:space="0"/>
            </w:tcBorders>
            <w:noWrap w:val="0"/>
            <w:vAlign w:val="center"/>
          </w:tcPr>
          <w:p w14:paraId="2CE3B9A9">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人民</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6873E9CB">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北元</w:t>
            </w:r>
          </w:p>
        </w:tc>
        <w:tc>
          <w:tcPr>
            <w:tcW w:w="561" w:type="pct"/>
            <w:tcBorders>
              <w:top w:val="single" w:color="auto" w:sz="4" w:space="0"/>
              <w:left w:val="single" w:color="auto" w:sz="4" w:space="0"/>
              <w:bottom w:val="single" w:color="auto" w:sz="4" w:space="0"/>
              <w:right w:val="single" w:color="auto" w:sz="4" w:space="0"/>
            </w:tcBorders>
            <w:noWrap w:val="0"/>
            <w:vAlign w:val="center"/>
          </w:tcPr>
          <w:p w14:paraId="09AF551A">
            <w:pPr>
              <w:jc w:val="center"/>
              <w:rPr>
                <w:rFonts w:hint="eastAsia" w:ascii="宋体" w:hAnsi="宋体" w:cs="宋体"/>
                <w:color w:val="auto"/>
                <w:kern w:val="0"/>
                <w:szCs w:val="21"/>
                <w:highlight w:val="none"/>
              </w:rPr>
            </w:pPr>
          </w:p>
        </w:tc>
        <w:tc>
          <w:tcPr>
            <w:tcW w:w="460" w:type="pct"/>
            <w:tcBorders>
              <w:top w:val="single" w:color="auto" w:sz="4" w:space="0"/>
              <w:left w:val="single" w:color="auto" w:sz="4" w:space="0"/>
              <w:bottom w:val="single" w:color="auto" w:sz="4" w:space="0"/>
              <w:right w:val="single" w:color="auto" w:sz="4" w:space="0"/>
            </w:tcBorders>
            <w:noWrap w:val="0"/>
            <w:vAlign w:val="center"/>
          </w:tcPr>
          <w:p w14:paraId="37EA62DA">
            <w:pPr>
              <w:jc w:val="center"/>
              <w:rPr>
                <w:rFonts w:hint="eastAsia" w:ascii="宋体" w:hAnsi="宋体" w:cs="宋体"/>
                <w:color w:val="auto"/>
                <w:kern w:val="0"/>
                <w:szCs w:val="21"/>
                <w:highlight w:val="none"/>
              </w:rPr>
            </w:pPr>
          </w:p>
        </w:tc>
        <w:tc>
          <w:tcPr>
            <w:tcW w:w="455" w:type="pct"/>
            <w:tcBorders>
              <w:top w:val="single" w:color="auto" w:sz="4" w:space="0"/>
              <w:left w:val="single" w:color="auto" w:sz="4" w:space="0"/>
              <w:bottom w:val="single" w:color="auto" w:sz="4" w:space="0"/>
              <w:right w:val="single" w:color="auto" w:sz="4" w:space="0"/>
            </w:tcBorders>
            <w:noWrap w:val="0"/>
            <w:vAlign w:val="center"/>
          </w:tcPr>
          <w:p w14:paraId="7EA328B9">
            <w:pPr>
              <w:jc w:val="center"/>
              <w:rPr>
                <w:rFonts w:hint="eastAsia" w:ascii="宋体" w:hAnsi="宋体" w:cs="宋体"/>
                <w:color w:val="auto"/>
                <w:kern w:val="0"/>
                <w:szCs w:val="21"/>
                <w:highlight w:val="none"/>
              </w:rPr>
            </w:pPr>
          </w:p>
        </w:tc>
      </w:tr>
      <w:tr w14:paraId="00898F73">
        <w:tblPrEx>
          <w:tblCellMar>
            <w:top w:w="0" w:type="dxa"/>
            <w:left w:w="108" w:type="dxa"/>
            <w:bottom w:w="0" w:type="dxa"/>
            <w:right w:w="108" w:type="dxa"/>
          </w:tblCellMar>
        </w:tblPrEx>
        <w:trPr>
          <w:trHeight w:val="487" w:hRule="atLeast"/>
          <w:jc w:val="center"/>
        </w:trPr>
        <w:tc>
          <w:tcPr>
            <w:tcW w:w="395" w:type="pct"/>
            <w:tcBorders>
              <w:top w:val="single" w:color="auto" w:sz="4" w:space="0"/>
              <w:left w:val="single" w:color="auto" w:sz="4" w:space="0"/>
              <w:bottom w:val="single" w:color="auto" w:sz="4" w:space="0"/>
              <w:right w:val="single" w:color="auto" w:sz="4" w:space="0"/>
            </w:tcBorders>
            <w:noWrap w:val="0"/>
            <w:vAlign w:val="center"/>
          </w:tcPr>
          <w:p w14:paraId="68EAFDCE">
            <w:pPr>
              <w:widowControl/>
              <w:jc w:val="both"/>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8</w:t>
            </w:r>
          </w:p>
        </w:tc>
        <w:tc>
          <w:tcPr>
            <w:tcW w:w="916" w:type="pct"/>
            <w:tcBorders>
              <w:top w:val="single" w:color="auto" w:sz="4" w:space="0"/>
              <w:left w:val="single" w:color="auto" w:sz="4" w:space="0"/>
              <w:bottom w:val="single" w:color="auto" w:sz="4" w:space="0"/>
              <w:right w:val="single" w:color="auto" w:sz="4" w:space="0"/>
            </w:tcBorders>
            <w:noWrap w:val="0"/>
            <w:vAlign w:val="center"/>
          </w:tcPr>
          <w:p w14:paraId="545E900A">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0"/>
                <w:szCs w:val="20"/>
                <w:u w:val="none"/>
                <w:lang w:val="en-US" w:eastAsia="zh-CN" w:bidi="ar"/>
              </w:rPr>
              <w:t>低压交流接触器</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1E7CF3B0">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ABB</w:t>
            </w:r>
          </w:p>
        </w:tc>
        <w:tc>
          <w:tcPr>
            <w:tcW w:w="527" w:type="pct"/>
            <w:tcBorders>
              <w:top w:val="single" w:color="auto" w:sz="4" w:space="0"/>
              <w:left w:val="single" w:color="auto" w:sz="4" w:space="0"/>
              <w:bottom w:val="single" w:color="auto" w:sz="4" w:space="0"/>
              <w:right w:val="single" w:color="auto" w:sz="4" w:space="0"/>
            </w:tcBorders>
            <w:noWrap w:val="0"/>
            <w:vAlign w:val="center"/>
          </w:tcPr>
          <w:p w14:paraId="1AC5DE6E">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西门子</w:t>
            </w:r>
          </w:p>
        </w:tc>
        <w:tc>
          <w:tcPr>
            <w:tcW w:w="549" w:type="pct"/>
            <w:tcBorders>
              <w:top w:val="single" w:color="auto" w:sz="4" w:space="0"/>
              <w:left w:val="single" w:color="auto" w:sz="4" w:space="0"/>
              <w:bottom w:val="single" w:color="auto" w:sz="4" w:space="0"/>
              <w:right w:val="single" w:color="auto" w:sz="4" w:space="0"/>
            </w:tcBorders>
            <w:noWrap w:val="0"/>
            <w:vAlign w:val="center"/>
          </w:tcPr>
          <w:p w14:paraId="3B8759F3">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施耐德</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76F3E9A8">
            <w:pPr>
              <w:jc w:val="center"/>
              <w:rPr>
                <w:rFonts w:hint="eastAsia" w:ascii="宋体" w:hAnsi="宋体" w:cs="宋体"/>
                <w:color w:val="auto"/>
                <w:sz w:val="22"/>
                <w:highlight w:val="none"/>
              </w:rPr>
            </w:pPr>
          </w:p>
        </w:tc>
        <w:tc>
          <w:tcPr>
            <w:tcW w:w="561" w:type="pct"/>
            <w:tcBorders>
              <w:top w:val="single" w:color="auto" w:sz="4" w:space="0"/>
              <w:left w:val="single" w:color="auto" w:sz="4" w:space="0"/>
              <w:bottom w:val="single" w:color="auto" w:sz="4" w:space="0"/>
              <w:right w:val="single" w:color="auto" w:sz="4" w:space="0"/>
            </w:tcBorders>
            <w:noWrap w:val="0"/>
            <w:vAlign w:val="center"/>
          </w:tcPr>
          <w:p w14:paraId="62A8BAEC">
            <w:pPr>
              <w:jc w:val="center"/>
              <w:rPr>
                <w:rFonts w:hint="eastAsia" w:ascii="宋体" w:hAnsi="宋体" w:cs="宋体"/>
                <w:color w:val="auto"/>
                <w:kern w:val="0"/>
                <w:szCs w:val="21"/>
                <w:highlight w:val="none"/>
              </w:rPr>
            </w:pPr>
          </w:p>
        </w:tc>
        <w:tc>
          <w:tcPr>
            <w:tcW w:w="460" w:type="pct"/>
            <w:tcBorders>
              <w:top w:val="single" w:color="auto" w:sz="4" w:space="0"/>
              <w:left w:val="single" w:color="auto" w:sz="4" w:space="0"/>
              <w:bottom w:val="single" w:color="auto" w:sz="4" w:space="0"/>
              <w:right w:val="single" w:color="auto" w:sz="4" w:space="0"/>
            </w:tcBorders>
            <w:noWrap w:val="0"/>
            <w:vAlign w:val="center"/>
          </w:tcPr>
          <w:p w14:paraId="27E0D32F">
            <w:pPr>
              <w:jc w:val="center"/>
              <w:rPr>
                <w:rFonts w:hint="eastAsia" w:ascii="宋体" w:hAnsi="宋体" w:cs="宋体"/>
                <w:color w:val="auto"/>
                <w:kern w:val="0"/>
                <w:szCs w:val="21"/>
                <w:highlight w:val="none"/>
              </w:rPr>
            </w:pPr>
          </w:p>
        </w:tc>
        <w:tc>
          <w:tcPr>
            <w:tcW w:w="455" w:type="pct"/>
            <w:tcBorders>
              <w:top w:val="single" w:color="auto" w:sz="4" w:space="0"/>
              <w:left w:val="single" w:color="auto" w:sz="4" w:space="0"/>
              <w:bottom w:val="single" w:color="auto" w:sz="4" w:space="0"/>
              <w:right w:val="single" w:color="auto" w:sz="4" w:space="0"/>
            </w:tcBorders>
            <w:noWrap w:val="0"/>
            <w:vAlign w:val="center"/>
          </w:tcPr>
          <w:p w14:paraId="3043AE05">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0"/>
                <w:szCs w:val="20"/>
                <w:u w:val="none"/>
                <w:lang w:val="en-US" w:eastAsia="zh-CN" w:bidi="ar"/>
              </w:rPr>
              <w:t>适用各专业配电系统</w:t>
            </w:r>
          </w:p>
        </w:tc>
      </w:tr>
      <w:tr w14:paraId="14DFDD75">
        <w:tblPrEx>
          <w:tblCellMar>
            <w:top w:w="0" w:type="dxa"/>
            <w:left w:w="108" w:type="dxa"/>
            <w:bottom w:w="0" w:type="dxa"/>
            <w:right w:w="108" w:type="dxa"/>
          </w:tblCellMar>
        </w:tblPrEx>
        <w:trPr>
          <w:trHeight w:val="487" w:hRule="atLeast"/>
          <w:jc w:val="center"/>
        </w:trPr>
        <w:tc>
          <w:tcPr>
            <w:tcW w:w="395" w:type="pct"/>
            <w:tcBorders>
              <w:top w:val="single" w:color="auto" w:sz="4" w:space="0"/>
              <w:left w:val="single" w:color="auto" w:sz="4" w:space="0"/>
              <w:bottom w:val="single" w:color="auto" w:sz="4" w:space="0"/>
              <w:right w:val="single" w:color="auto" w:sz="4" w:space="0"/>
            </w:tcBorders>
            <w:noWrap w:val="0"/>
            <w:vAlign w:val="center"/>
          </w:tcPr>
          <w:p w14:paraId="2EA3B295">
            <w:pPr>
              <w:widowControl/>
              <w:jc w:val="center"/>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9</w:t>
            </w:r>
          </w:p>
        </w:tc>
        <w:tc>
          <w:tcPr>
            <w:tcW w:w="916" w:type="pct"/>
            <w:tcBorders>
              <w:top w:val="single" w:color="auto" w:sz="4" w:space="0"/>
              <w:left w:val="single" w:color="auto" w:sz="4" w:space="0"/>
              <w:bottom w:val="single" w:color="auto" w:sz="4" w:space="0"/>
              <w:right w:val="single" w:color="auto" w:sz="4" w:space="0"/>
            </w:tcBorders>
            <w:noWrap w:val="0"/>
            <w:vAlign w:val="center"/>
          </w:tcPr>
          <w:p w14:paraId="51F302AC">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0"/>
                <w:szCs w:val="20"/>
                <w:u w:val="none"/>
                <w:lang w:val="en-US" w:eastAsia="zh-CN" w:bidi="ar"/>
              </w:rPr>
              <w:t>高低压电流互感器、</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电压互感器</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0A58A9E6">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大连一互</w:t>
            </w:r>
          </w:p>
        </w:tc>
        <w:tc>
          <w:tcPr>
            <w:tcW w:w="527" w:type="pct"/>
            <w:tcBorders>
              <w:top w:val="single" w:color="auto" w:sz="4" w:space="0"/>
              <w:left w:val="single" w:color="auto" w:sz="4" w:space="0"/>
              <w:bottom w:val="single" w:color="auto" w:sz="4" w:space="0"/>
              <w:right w:val="single" w:color="auto" w:sz="4" w:space="0"/>
            </w:tcBorders>
            <w:noWrap w:val="0"/>
            <w:vAlign w:val="center"/>
          </w:tcPr>
          <w:p w14:paraId="3CB449E1">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大连北方</w:t>
            </w:r>
          </w:p>
        </w:tc>
        <w:tc>
          <w:tcPr>
            <w:tcW w:w="549" w:type="pct"/>
            <w:tcBorders>
              <w:top w:val="single" w:color="auto" w:sz="4" w:space="0"/>
              <w:left w:val="single" w:color="auto" w:sz="4" w:space="0"/>
              <w:bottom w:val="single" w:color="auto" w:sz="4" w:space="0"/>
              <w:right w:val="single" w:color="auto" w:sz="4" w:space="0"/>
            </w:tcBorders>
            <w:noWrap w:val="0"/>
            <w:vAlign w:val="center"/>
          </w:tcPr>
          <w:p w14:paraId="5923D1A3">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上海雷兹</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04B3D6F6">
            <w:pPr>
              <w:jc w:val="center"/>
              <w:rPr>
                <w:rFonts w:hint="eastAsia" w:ascii="宋体" w:hAnsi="宋体" w:cs="宋体"/>
                <w:color w:val="auto"/>
                <w:sz w:val="22"/>
                <w:highlight w:val="none"/>
              </w:rPr>
            </w:pPr>
          </w:p>
        </w:tc>
        <w:tc>
          <w:tcPr>
            <w:tcW w:w="561" w:type="pct"/>
            <w:tcBorders>
              <w:top w:val="single" w:color="auto" w:sz="4" w:space="0"/>
              <w:left w:val="single" w:color="auto" w:sz="4" w:space="0"/>
              <w:bottom w:val="single" w:color="auto" w:sz="4" w:space="0"/>
              <w:right w:val="single" w:color="auto" w:sz="4" w:space="0"/>
            </w:tcBorders>
            <w:noWrap w:val="0"/>
            <w:vAlign w:val="center"/>
          </w:tcPr>
          <w:p w14:paraId="61C52786">
            <w:pPr>
              <w:jc w:val="center"/>
              <w:rPr>
                <w:rFonts w:hint="eastAsia" w:ascii="宋体" w:hAnsi="宋体" w:cs="宋体"/>
                <w:color w:val="auto"/>
                <w:kern w:val="0"/>
                <w:szCs w:val="21"/>
                <w:highlight w:val="none"/>
              </w:rPr>
            </w:pPr>
          </w:p>
        </w:tc>
        <w:tc>
          <w:tcPr>
            <w:tcW w:w="460" w:type="pct"/>
            <w:tcBorders>
              <w:top w:val="single" w:color="auto" w:sz="4" w:space="0"/>
              <w:left w:val="single" w:color="auto" w:sz="4" w:space="0"/>
              <w:bottom w:val="single" w:color="auto" w:sz="4" w:space="0"/>
              <w:right w:val="single" w:color="auto" w:sz="4" w:space="0"/>
            </w:tcBorders>
            <w:noWrap w:val="0"/>
            <w:vAlign w:val="center"/>
          </w:tcPr>
          <w:p w14:paraId="2A8C2C95">
            <w:pPr>
              <w:jc w:val="center"/>
              <w:rPr>
                <w:rFonts w:hint="eastAsia" w:ascii="宋体" w:hAnsi="宋体" w:cs="宋体"/>
                <w:color w:val="auto"/>
                <w:kern w:val="0"/>
                <w:szCs w:val="21"/>
                <w:highlight w:val="none"/>
              </w:rPr>
            </w:pPr>
          </w:p>
        </w:tc>
        <w:tc>
          <w:tcPr>
            <w:tcW w:w="455" w:type="pct"/>
            <w:tcBorders>
              <w:top w:val="single" w:color="auto" w:sz="4" w:space="0"/>
              <w:left w:val="single" w:color="auto" w:sz="4" w:space="0"/>
              <w:bottom w:val="single" w:color="auto" w:sz="4" w:space="0"/>
              <w:right w:val="single" w:color="auto" w:sz="4" w:space="0"/>
            </w:tcBorders>
            <w:noWrap w:val="0"/>
            <w:vAlign w:val="center"/>
          </w:tcPr>
          <w:p w14:paraId="4DA9477F">
            <w:pPr>
              <w:jc w:val="center"/>
              <w:rPr>
                <w:rFonts w:hint="eastAsia" w:ascii="宋体" w:hAnsi="宋体" w:cs="宋体"/>
                <w:color w:val="auto"/>
                <w:kern w:val="0"/>
                <w:szCs w:val="21"/>
                <w:highlight w:val="none"/>
              </w:rPr>
            </w:pPr>
          </w:p>
        </w:tc>
      </w:tr>
      <w:tr w14:paraId="1E7EF6B7">
        <w:tblPrEx>
          <w:tblCellMar>
            <w:top w:w="0" w:type="dxa"/>
            <w:left w:w="108" w:type="dxa"/>
            <w:bottom w:w="0" w:type="dxa"/>
            <w:right w:w="108" w:type="dxa"/>
          </w:tblCellMar>
        </w:tblPrEx>
        <w:trPr>
          <w:trHeight w:val="487" w:hRule="atLeast"/>
          <w:jc w:val="center"/>
        </w:trPr>
        <w:tc>
          <w:tcPr>
            <w:tcW w:w="395" w:type="pct"/>
            <w:tcBorders>
              <w:top w:val="single" w:color="auto" w:sz="4" w:space="0"/>
              <w:left w:val="single" w:color="auto" w:sz="4" w:space="0"/>
              <w:bottom w:val="single" w:color="auto" w:sz="4" w:space="0"/>
              <w:right w:val="single" w:color="auto" w:sz="4" w:space="0"/>
            </w:tcBorders>
            <w:noWrap w:val="0"/>
            <w:vAlign w:val="center"/>
          </w:tcPr>
          <w:p w14:paraId="02B006D2">
            <w:pPr>
              <w:widowControl/>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10</w:t>
            </w:r>
          </w:p>
        </w:tc>
        <w:tc>
          <w:tcPr>
            <w:tcW w:w="916" w:type="pct"/>
            <w:tcBorders>
              <w:top w:val="single" w:color="auto" w:sz="4" w:space="0"/>
              <w:left w:val="single" w:color="auto" w:sz="4" w:space="0"/>
              <w:bottom w:val="single" w:color="auto" w:sz="4" w:space="0"/>
              <w:right w:val="single" w:color="auto" w:sz="4" w:space="0"/>
            </w:tcBorders>
            <w:noWrap w:val="0"/>
            <w:vAlign w:val="center"/>
          </w:tcPr>
          <w:p w14:paraId="135C7348">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0"/>
                <w:szCs w:val="20"/>
                <w:u w:val="none"/>
                <w:lang w:val="en-US" w:eastAsia="zh-CN" w:bidi="ar"/>
              </w:rPr>
              <w:t>SVG</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7EE14C44">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英博</w:t>
            </w:r>
          </w:p>
        </w:tc>
        <w:tc>
          <w:tcPr>
            <w:tcW w:w="527" w:type="pct"/>
            <w:tcBorders>
              <w:top w:val="single" w:color="auto" w:sz="4" w:space="0"/>
              <w:left w:val="single" w:color="auto" w:sz="4" w:space="0"/>
              <w:bottom w:val="single" w:color="auto" w:sz="4" w:space="0"/>
              <w:right w:val="single" w:color="auto" w:sz="4" w:space="0"/>
            </w:tcBorders>
            <w:noWrap w:val="0"/>
            <w:vAlign w:val="center"/>
          </w:tcPr>
          <w:p w14:paraId="55AC24AC">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深圳盛弘</w:t>
            </w:r>
          </w:p>
        </w:tc>
        <w:tc>
          <w:tcPr>
            <w:tcW w:w="549" w:type="pct"/>
            <w:tcBorders>
              <w:top w:val="single" w:color="auto" w:sz="4" w:space="0"/>
              <w:left w:val="single" w:color="auto" w:sz="4" w:space="0"/>
              <w:bottom w:val="single" w:color="auto" w:sz="4" w:space="0"/>
              <w:right w:val="single" w:color="auto" w:sz="4" w:space="0"/>
            </w:tcBorders>
            <w:noWrap w:val="0"/>
            <w:vAlign w:val="center"/>
          </w:tcPr>
          <w:p w14:paraId="356B1BE9">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上能电气</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3EBCBE25">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东方博沃</w:t>
            </w:r>
          </w:p>
        </w:tc>
        <w:tc>
          <w:tcPr>
            <w:tcW w:w="561" w:type="pct"/>
            <w:tcBorders>
              <w:top w:val="single" w:color="auto" w:sz="4" w:space="0"/>
              <w:left w:val="single" w:color="auto" w:sz="4" w:space="0"/>
              <w:bottom w:val="single" w:color="auto" w:sz="4" w:space="0"/>
              <w:right w:val="single" w:color="auto" w:sz="4" w:space="0"/>
            </w:tcBorders>
            <w:noWrap w:val="0"/>
            <w:vAlign w:val="center"/>
          </w:tcPr>
          <w:p w14:paraId="4D153650">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0"/>
                <w:szCs w:val="20"/>
                <w:u w:val="none"/>
                <w:lang w:val="en-US" w:eastAsia="zh-CN" w:bidi="ar"/>
              </w:rPr>
              <w:t>爱科赛博</w:t>
            </w:r>
          </w:p>
        </w:tc>
        <w:tc>
          <w:tcPr>
            <w:tcW w:w="460" w:type="pct"/>
            <w:tcBorders>
              <w:top w:val="single" w:color="auto" w:sz="4" w:space="0"/>
              <w:left w:val="single" w:color="auto" w:sz="4" w:space="0"/>
              <w:bottom w:val="single" w:color="auto" w:sz="4" w:space="0"/>
              <w:right w:val="single" w:color="auto" w:sz="4" w:space="0"/>
            </w:tcBorders>
            <w:noWrap w:val="0"/>
            <w:vAlign w:val="center"/>
          </w:tcPr>
          <w:p w14:paraId="7BB1663E">
            <w:pPr>
              <w:jc w:val="center"/>
              <w:rPr>
                <w:rFonts w:hint="eastAsia" w:ascii="宋体" w:hAnsi="宋体" w:cs="宋体"/>
                <w:color w:val="auto"/>
                <w:kern w:val="0"/>
                <w:szCs w:val="21"/>
                <w:highlight w:val="none"/>
              </w:rPr>
            </w:pPr>
          </w:p>
        </w:tc>
        <w:tc>
          <w:tcPr>
            <w:tcW w:w="455" w:type="pct"/>
            <w:tcBorders>
              <w:top w:val="single" w:color="auto" w:sz="4" w:space="0"/>
              <w:left w:val="single" w:color="auto" w:sz="4" w:space="0"/>
              <w:bottom w:val="single" w:color="auto" w:sz="4" w:space="0"/>
              <w:right w:val="single" w:color="auto" w:sz="4" w:space="0"/>
            </w:tcBorders>
            <w:noWrap w:val="0"/>
            <w:vAlign w:val="center"/>
          </w:tcPr>
          <w:p w14:paraId="0592B0FB">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0"/>
                <w:szCs w:val="20"/>
                <w:u w:val="none"/>
                <w:lang w:val="en-US" w:eastAsia="zh-CN" w:bidi="ar"/>
              </w:rPr>
              <w:t>适用各专业配电系统</w:t>
            </w:r>
          </w:p>
        </w:tc>
      </w:tr>
      <w:tr w14:paraId="7823FE43">
        <w:tblPrEx>
          <w:tblCellMar>
            <w:top w:w="0" w:type="dxa"/>
            <w:left w:w="108" w:type="dxa"/>
            <w:bottom w:w="0" w:type="dxa"/>
            <w:right w:w="108" w:type="dxa"/>
          </w:tblCellMar>
        </w:tblPrEx>
        <w:trPr>
          <w:trHeight w:val="487" w:hRule="atLeast"/>
          <w:jc w:val="center"/>
        </w:trPr>
        <w:tc>
          <w:tcPr>
            <w:tcW w:w="395" w:type="pct"/>
            <w:tcBorders>
              <w:top w:val="single" w:color="auto" w:sz="4" w:space="0"/>
              <w:left w:val="single" w:color="auto" w:sz="4" w:space="0"/>
              <w:bottom w:val="single" w:color="auto" w:sz="4" w:space="0"/>
              <w:right w:val="single" w:color="auto" w:sz="4" w:space="0"/>
            </w:tcBorders>
            <w:noWrap w:val="0"/>
            <w:vAlign w:val="center"/>
          </w:tcPr>
          <w:p w14:paraId="1A6DAD0E">
            <w:pPr>
              <w:widowControl/>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11</w:t>
            </w:r>
          </w:p>
        </w:tc>
        <w:tc>
          <w:tcPr>
            <w:tcW w:w="916" w:type="pct"/>
            <w:tcBorders>
              <w:top w:val="single" w:color="auto" w:sz="4" w:space="0"/>
              <w:left w:val="single" w:color="auto" w:sz="4" w:space="0"/>
              <w:bottom w:val="single" w:color="auto" w:sz="4" w:space="0"/>
              <w:right w:val="single" w:color="auto" w:sz="4" w:space="0"/>
            </w:tcBorders>
            <w:noWrap w:val="0"/>
            <w:vAlign w:val="center"/>
          </w:tcPr>
          <w:p w14:paraId="3A920116">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0"/>
                <w:szCs w:val="20"/>
                <w:u w:val="none"/>
                <w:lang w:val="en-US" w:eastAsia="zh-CN" w:bidi="ar"/>
              </w:rPr>
              <w:t>有源滤波柜</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5EB385B9">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深圳盛弘</w:t>
            </w:r>
          </w:p>
        </w:tc>
        <w:tc>
          <w:tcPr>
            <w:tcW w:w="527" w:type="pct"/>
            <w:tcBorders>
              <w:top w:val="single" w:color="auto" w:sz="4" w:space="0"/>
              <w:left w:val="single" w:color="auto" w:sz="4" w:space="0"/>
              <w:bottom w:val="single" w:color="auto" w:sz="4" w:space="0"/>
              <w:right w:val="single" w:color="auto" w:sz="4" w:space="0"/>
            </w:tcBorders>
            <w:noWrap w:val="0"/>
            <w:vAlign w:val="center"/>
          </w:tcPr>
          <w:p w14:paraId="27F47600">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上能电气</w:t>
            </w:r>
          </w:p>
        </w:tc>
        <w:tc>
          <w:tcPr>
            <w:tcW w:w="549" w:type="pct"/>
            <w:tcBorders>
              <w:top w:val="single" w:color="auto" w:sz="4" w:space="0"/>
              <w:left w:val="single" w:color="auto" w:sz="4" w:space="0"/>
              <w:bottom w:val="single" w:color="auto" w:sz="4" w:space="0"/>
              <w:right w:val="single" w:color="auto" w:sz="4" w:space="0"/>
            </w:tcBorders>
            <w:noWrap w:val="0"/>
            <w:vAlign w:val="center"/>
          </w:tcPr>
          <w:p w14:paraId="3F536DA6">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英博</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44F65E04">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爱科赛博</w:t>
            </w:r>
          </w:p>
        </w:tc>
        <w:tc>
          <w:tcPr>
            <w:tcW w:w="561" w:type="pct"/>
            <w:tcBorders>
              <w:top w:val="single" w:color="auto" w:sz="4" w:space="0"/>
              <w:left w:val="single" w:color="auto" w:sz="4" w:space="0"/>
              <w:bottom w:val="single" w:color="auto" w:sz="4" w:space="0"/>
              <w:right w:val="single" w:color="auto" w:sz="4" w:space="0"/>
            </w:tcBorders>
            <w:noWrap w:val="0"/>
            <w:vAlign w:val="center"/>
          </w:tcPr>
          <w:p w14:paraId="78840965">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0"/>
                <w:szCs w:val="20"/>
                <w:u w:val="none"/>
                <w:lang w:val="en-US" w:eastAsia="zh-CN" w:bidi="ar"/>
              </w:rPr>
              <w:t>浙江南德</w:t>
            </w:r>
          </w:p>
        </w:tc>
        <w:tc>
          <w:tcPr>
            <w:tcW w:w="460" w:type="pct"/>
            <w:tcBorders>
              <w:top w:val="single" w:color="auto" w:sz="4" w:space="0"/>
              <w:left w:val="single" w:color="auto" w:sz="4" w:space="0"/>
              <w:bottom w:val="single" w:color="auto" w:sz="4" w:space="0"/>
              <w:right w:val="single" w:color="auto" w:sz="4" w:space="0"/>
            </w:tcBorders>
            <w:noWrap w:val="0"/>
            <w:vAlign w:val="center"/>
          </w:tcPr>
          <w:p w14:paraId="3EC98399">
            <w:pPr>
              <w:jc w:val="center"/>
              <w:rPr>
                <w:rFonts w:hint="eastAsia" w:ascii="宋体" w:hAnsi="宋体" w:cs="宋体"/>
                <w:color w:val="auto"/>
                <w:kern w:val="0"/>
                <w:szCs w:val="21"/>
                <w:highlight w:val="none"/>
              </w:rPr>
            </w:pPr>
          </w:p>
        </w:tc>
        <w:tc>
          <w:tcPr>
            <w:tcW w:w="455" w:type="pct"/>
            <w:tcBorders>
              <w:top w:val="single" w:color="auto" w:sz="4" w:space="0"/>
              <w:left w:val="single" w:color="auto" w:sz="4" w:space="0"/>
              <w:bottom w:val="single" w:color="auto" w:sz="4" w:space="0"/>
              <w:right w:val="single" w:color="auto" w:sz="4" w:space="0"/>
            </w:tcBorders>
            <w:noWrap w:val="0"/>
            <w:vAlign w:val="center"/>
          </w:tcPr>
          <w:p w14:paraId="1607F142">
            <w:pPr>
              <w:jc w:val="center"/>
              <w:rPr>
                <w:rFonts w:hint="eastAsia" w:ascii="宋体" w:hAnsi="宋体" w:cs="宋体"/>
                <w:color w:val="auto"/>
                <w:kern w:val="0"/>
                <w:szCs w:val="21"/>
                <w:highlight w:val="none"/>
              </w:rPr>
            </w:pPr>
          </w:p>
        </w:tc>
      </w:tr>
      <w:tr w14:paraId="23245555">
        <w:tblPrEx>
          <w:tblCellMar>
            <w:top w:w="0" w:type="dxa"/>
            <w:left w:w="108" w:type="dxa"/>
            <w:bottom w:w="0" w:type="dxa"/>
            <w:right w:w="108" w:type="dxa"/>
          </w:tblCellMar>
        </w:tblPrEx>
        <w:trPr>
          <w:trHeight w:val="487" w:hRule="atLeast"/>
          <w:jc w:val="center"/>
        </w:trPr>
        <w:tc>
          <w:tcPr>
            <w:tcW w:w="395" w:type="pct"/>
            <w:tcBorders>
              <w:top w:val="single" w:color="auto" w:sz="4" w:space="0"/>
              <w:left w:val="single" w:color="auto" w:sz="4" w:space="0"/>
              <w:bottom w:val="single" w:color="auto" w:sz="4" w:space="0"/>
              <w:right w:val="single" w:color="auto" w:sz="4" w:space="0"/>
            </w:tcBorders>
            <w:noWrap w:val="0"/>
            <w:vAlign w:val="center"/>
          </w:tcPr>
          <w:p w14:paraId="4A8569B0">
            <w:pPr>
              <w:widowControl/>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12</w:t>
            </w:r>
          </w:p>
        </w:tc>
        <w:tc>
          <w:tcPr>
            <w:tcW w:w="916" w:type="pct"/>
            <w:tcBorders>
              <w:top w:val="single" w:color="auto" w:sz="4" w:space="0"/>
              <w:left w:val="single" w:color="auto" w:sz="4" w:space="0"/>
              <w:bottom w:val="single" w:color="auto" w:sz="4" w:space="0"/>
              <w:right w:val="single" w:color="auto" w:sz="4" w:space="0"/>
            </w:tcBorders>
            <w:noWrap w:val="0"/>
            <w:vAlign w:val="center"/>
          </w:tcPr>
          <w:p w14:paraId="2F2979D4">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0"/>
                <w:szCs w:val="20"/>
                <w:u w:val="none"/>
                <w:lang w:val="en-US" w:eastAsia="zh-CN" w:bidi="ar"/>
              </w:rPr>
              <w:t>封闭母线（含插接箱）</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5C75AEA2">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施耐德</w:t>
            </w:r>
          </w:p>
        </w:tc>
        <w:tc>
          <w:tcPr>
            <w:tcW w:w="527" w:type="pct"/>
            <w:tcBorders>
              <w:top w:val="single" w:color="auto" w:sz="4" w:space="0"/>
              <w:left w:val="single" w:color="auto" w:sz="4" w:space="0"/>
              <w:bottom w:val="single" w:color="auto" w:sz="4" w:space="0"/>
              <w:right w:val="single" w:color="auto" w:sz="4" w:space="0"/>
            </w:tcBorders>
            <w:noWrap w:val="0"/>
            <w:vAlign w:val="center"/>
          </w:tcPr>
          <w:p w14:paraId="1B856934">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西门子</w:t>
            </w:r>
          </w:p>
        </w:tc>
        <w:tc>
          <w:tcPr>
            <w:tcW w:w="549" w:type="pct"/>
            <w:tcBorders>
              <w:top w:val="single" w:color="auto" w:sz="4" w:space="0"/>
              <w:left w:val="single" w:color="auto" w:sz="4" w:space="0"/>
              <w:bottom w:val="single" w:color="auto" w:sz="4" w:space="0"/>
              <w:right w:val="single" w:color="auto" w:sz="4" w:space="0"/>
            </w:tcBorders>
            <w:noWrap w:val="0"/>
            <w:vAlign w:val="center"/>
          </w:tcPr>
          <w:p w14:paraId="6DF884B1">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ABB</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73516B82">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加勒</w:t>
            </w:r>
          </w:p>
        </w:tc>
        <w:tc>
          <w:tcPr>
            <w:tcW w:w="561" w:type="pct"/>
            <w:tcBorders>
              <w:top w:val="single" w:color="auto" w:sz="4" w:space="0"/>
              <w:left w:val="single" w:color="auto" w:sz="4" w:space="0"/>
              <w:bottom w:val="single" w:color="auto" w:sz="4" w:space="0"/>
              <w:right w:val="single" w:color="auto" w:sz="4" w:space="0"/>
            </w:tcBorders>
            <w:noWrap w:val="0"/>
            <w:vAlign w:val="center"/>
          </w:tcPr>
          <w:p w14:paraId="29FC39FF">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0"/>
                <w:szCs w:val="20"/>
                <w:u w:val="none"/>
                <w:lang w:val="en-US" w:eastAsia="zh-CN" w:bidi="ar"/>
              </w:rPr>
              <w:t>勒新</w:t>
            </w:r>
          </w:p>
        </w:tc>
        <w:tc>
          <w:tcPr>
            <w:tcW w:w="460" w:type="pct"/>
            <w:tcBorders>
              <w:top w:val="single" w:color="auto" w:sz="4" w:space="0"/>
              <w:left w:val="single" w:color="auto" w:sz="4" w:space="0"/>
              <w:bottom w:val="single" w:color="auto" w:sz="4" w:space="0"/>
              <w:right w:val="single" w:color="auto" w:sz="4" w:space="0"/>
            </w:tcBorders>
            <w:noWrap w:val="0"/>
            <w:vAlign w:val="center"/>
          </w:tcPr>
          <w:p w14:paraId="55130BA5">
            <w:pPr>
              <w:jc w:val="center"/>
              <w:rPr>
                <w:rFonts w:hint="eastAsia" w:ascii="宋体" w:hAnsi="宋体" w:cs="宋体"/>
                <w:color w:val="auto"/>
                <w:kern w:val="0"/>
                <w:szCs w:val="21"/>
                <w:highlight w:val="none"/>
              </w:rPr>
            </w:pPr>
          </w:p>
        </w:tc>
        <w:tc>
          <w:tcPr>
            <w:tcW w:w="455" w:type="pct"/>
            <w:tcBorders>
              <w:top w:val="single" w:color="auto" w:sz="4" w:space="0"/>
              <w:left w:val="single" w:color="auto" w:sz="4" w:space="0"/>
              <w:bottom w:val="single" w:color="auto" w:sz="4" w:space="0"/>
              <w:right w:val="single" w:color="auto" w:sz="4" w:space="0"/>
            </w:tcBorders>
            <w:noWrap w:val="0"/>
            <w:vAlign w:val="center"/>
          </w:tcPr>
          <w:p w14:paraId="16A7616E">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0"/>
                <w:szCs w:val="20"/>
                <w:u w:val="none"/>
                <w:lang w:val="en-US" w:eastAsia="zh-CN" w:bidi="ar"/>
              </w:rPr>
              <w:t>适用各专业配电系统</w:t>
            </w:r>
          </w:p>
        </w:tc>
      </w:tr>
      <w:tr w14:paraId="0B3F5B97">
        <w:tblPrEx>
          <w:tblCellMar>
            <w:top w:w="0" w:type="dxa"/>
            <w:left w:w="108" w:type="dxa"/>
            <w:bottom w:w="0" w:type="dxa"/>
            <w:right w:w="108" w:type="dxa"/>
          </w:tblCellMar>
        </w:tblPrEx>
        <w:trPr>
          <w:trHeight w:val="487" w:hRule="atLeast"/>
          <w:jc w:val="center"/>
        </w:trPr>
        <w:tc>
          <w:tcPr>
            <w:tcW w:w="395" w:type="pct"/>
            <w:tcBorders>
              <w:top w:val="single" w:color="auto" w:sz="4" w:space="0"/>
              <w:left w:val="single" w:color="auto" w:sz="4" w:space="0"/>
              <w:bottom w:val="single" w:color="auto" w:sz="4" w:space="0"/>
              <w:right w:val="single" w:color="auto" w:sz="4" w:space="0"/>
            </w:tcBorders>
            <w:noWrap w:val="0"/>
            <w:vAlign w:val="center"/>
          </w:tcPr>
          <w:p w14:paraId="32E987CE">
            <w:pPr>
              <w:widowControl/>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13</w:t>
            </w:r>
          </w:p>
        </w:tc>
        <w:tc>
          <w:tcPr>
            <w:tcW w:w="916" w:type="pct"/>
            <w:tcBorders>
              <w:top w:val="single" w:color="auto" w:sz="4" w:space="0"/>
              <w:left w:val="single" w:color="auto" w:sz="4" w:space="0"/>
              <w:bottom w:val="single" w:color="auto" w:sz="4" w:space="0"/>
              <w:right w:val="single" w:color="auto" w:sz="4" w:space="0"/>
            </w:tcBorders>
            <w:noWrap w:val="0"/>
            <w:vAlign w:val="center"/>
          </w:tcPr>
          <w:p w14:paraId="0286B3CF">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0"/>
                <w:szCs w:val="20"/>
                <w:u w:val="none"/>
                <w:lang w:val="en-US" w:eastAsia="zh-CN" w:bidi="ar"/>
              </w:rPr>
              <w:t>变频器</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14958F68">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ABB</w:t>
            </w:r>
          </w:p>
        </w:tc>
        <w:tc>
          <w:tcPr>
            <w:tcW w:w="527" w:type="pct"/>
            <w:tcBorders>
              <w:top w:val="single" w:color="auto" w:sz="4" w:space="0"/>
              <w:left w:val="single" w:color="auto" w:sz="4" w:space="0"/>
              <w:bottom w:val="single" w:color="auto" w:sz="4" w:space="0"/>
              <w:right w:val="single" w:color="auto" w:sz="4" w:space="0"/>
            </w:tcBorders>
            <w:noWrap w:val="0"/>
            <w:vAlign w:val="center"/>
          </w:tcPr>
          <w:p w14:paraId="17AD7452">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西门子</w:t>
            </w:r>
          </w:p>
        </w:tc>
        <w:tc>
          <w:tcPr>
            <w:tcW w:w="549" w:type="pct"/>
            <w:tcBorders>
              <w:top w:val="single" w:color="auto" w:sz="4" w:space="0"/>
              <w:left w:val="single" w:color="auto" w:sz="4" w:space="0"/>
              <w:bottom w:val="single" w:color="auto" w:sz="4" w:space="0"/>
              <w:right w:val="single" w:color="auto" w:sz="4" w:space="0"/>
            </w:tcBorders>
            <w:noWrap w:val="0"/>
            <w:vAlign w:val="center"/>
          </w:tcPr>
          <w:p w14:paraId="22BBE296">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施耐德</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03280E3F">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丹弗斯</w:t>
            </w:r>
          </w:p>
        </w:tc>
        <w:tc>
          <w:tcPr>
            <w:tcW w:w="561" w:type="pct"/>
            <w:tcBorders>
              <w:top w:val="single" w:color="auto" w:sz="4" w:space="0"/>
              <w:left w:val="single" w:color="auto" w:sz="4" w:space="0"/>
              <w:bottom w:val="single" w:color="auto" w:sz="4" w:space="0"/>
              <w:right w:val="single" w:color="auto" w:sz="4" w:space="0"/>
            </w:tcBorders>
            <w:noWrap w:val="0"/>
            <w:vAlign w:val="center"/>
          </w:tcPr>
          <w:p w14:paraId="4F878969">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2"/>
                <w:szCs w:val="22"/>
                <w:u w:val="none"/>
                <w:lang w:val="en-US" w:eastAsia="zh-CN" w:bidi="ar"/>
              </w:rPr>
              <w:t>-</w:t>
            </w:r>
          </w:p>
        </w:tc>
        <w:tc>
          <w:tcPr>
            <w:tcW w:w="460" w:type="pct"/>
            <w:tcBorders>
              <w:top w:val="single" w:color="auto" w:sz="4" w:space="0"/>
              <w:left w:val="single" w:color="auto" w:sz="4" w:space="0"/>
              <w:bottom w:val="single" w:color="auto" w:sz="4" w:space="0"/>
              <w:right w:val="single" w:color="auto" w:sz="4" w:space="0"/>
            </w:tcBorders>
            <w:noWrap w:val="0"/>
            <w:vAlign w:val="center"/>
          </w:tcPr>
          <w:p w14:paraId="2EB21262">
            <w:pPr>
              <w:jc w:val="center"/>
              <w:rPr>
                <w:rFonts w:hint="eastAsia" w:ascii="宋体" w:hAnsi="宋体" w:cs="宋体"/>
                <w:color w:val="auto"/>
                <w:kern w:val="0"/>
                <w:szCs w:val="21"/>
                <w:highlight w:val="none"/>
              </w:rPr>
            </w:pPr>
          </w:p>
        </w:tc>
        <w:tc>
          <w:tcPr>
            <w:tcW w:w="455" w:type="pct"/>
            <w:tcBorders>
              <w:top w:val="single" w:color="auto" w:sz="4" w:space="0"/>
              <w:left w:val="single" w:color="auto" w:sz="4" w:space="0"/>
              <w:bottom w:val="single" w:color="auto" w:sz="4" w:space="0"/>
              <w:right w:val="single" w:color="auto" w:sz="4" w:space="0"/>
            </w:tcBorders>
            <w:noWrap w:val="0"/>
            <w:vAlign w:val="center"/>
          </w:tcPr>
          <w:p w14:paraId="0C1F9D3D">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0"/>
                <w:szCs w:val="20"/>
                <w:u w:val="none"/>
                <w:lang w:val="en-US" w:eastAsia="zh-CN" w:bidi="ar"/>
              </w:rPr>
              <w:t>适用各专业配电系统</w:t>
            </w:r>
          </w:p>
        </w:tc>
      </w:tr>
      <w:tr w14:paraId="63D40938">
        <w:tblPrEx>
          <w:tblCellMar>
            <w:top w:w="0" w:type="dxa"/>
            <w:left w:w="108" w:type="dxa"/>
            <w:bottom w:w="0" w:type="dxa"/>
            <w:right w:w="108" w:type="dxa"/>
          </w:tblCellMar>
        </w:tblPrEx>
        <w:trPr>
          <w:trHeight w:val="487" w:hRule="atLeast"/>
          <w:jc w:val="center"/>
        </w:trPr>
        <w:tc>
          <w:tcPr>
            <w:tcW w:w="395" w:type="pct"/>
            <w:tcBorders>
              <w:top w:val="single" w:color="auto" w:sz="4" w:space="0"/>
              <w:left w:val="single" w:color="auto" w:sz="4" w:space="0"/>
              <w:bottom w:val="single" w:color="auto" w:sz="4" w:space="0"/>
              <w:right w:val="single" w:color="auto" w:sz="4" w:space="0"/>
            </w:tcBorders>
            <w:noWrap w:val="0"/>
            <w:vAlign w:val="center"/>
          </w:tcPr>
          <w:p w14:paraId="384EBF81">
            <w:pPr>
              <w:widowControl/>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14</w:t>
            </w:r>
          </w:p>
        </w:tc>
        <w:tc>
          <w:tcPr>
            <w:tcW w:w="916" w:type="pct"/>
            <w:tcBorders>
              <w:top w:val="single" w:color="auto" w:sz="4" w:space="0"/>
              <w:left w:val="single" w:color="auto" w:sz="4" w:space="0"/>
              <w:bottom w:val="single" w:color="auto" w:sz="4" w:space="0"/>
              <w:right w:val="single" w:color="auto" w:sz="4" w:space="0"/>
            </w:tcBorders>
            <w:noWrap w:val="0"/>
            <w:vAlign w:val="center"/>
          </w:tcPr>
          <w:p w14:paraId="17FA3354">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0"/>
                <w:szCs w:val="20"/>
                <w:u w:val="none"/>
                <w:lang w:val="en-US" w:eastAsia="zh-CN" w:bidi="ar"/>
              </w:rPr>
              <w:t>电力监控</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29B9A65B">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南自</w:t>
            </w:r>
          </w:p>
        </w:tc>
        <w:tc>
          <w:tcPr>
            <w:tcW w:w="527" w:type="pct"/>
            <w:tcBorders>
              <w:top w:val="single" w:color="auto" w:sz="4" w:space="0"/>
              <w:left w:val="single" w:color="auto" w:sz="4" w:space="0"/>
              <w:bottom w:val="single" w:color="auto" w:sz="4" w:space="0"/>
              <w:right w:val="single" w:color="auto" w:sz="4" w:space="0"/>
            </w:tcBorders>
            <w:noWrap w:val="0"/>
            <w:vAlign w:val="center"/>
          </w:tcPr>
          <w:p w14:paraId="6619A208">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南瑞</w:t>
            </w:r>
          </w:p>
        </w:tc>
        <w:tc>
          <w:tcPr>
            <w:tcW w:w="549" w:type="pct"/>
            <w:tcBorders>
              <w:top w:val="single" w:color="auto" w:sz="4" w:space="0"/>
              <w:left w:val="single" w:color="auto" w:sz="4" w:space="0"/>
              <w:bottom w:val="single" w:color="auto" w:sz="4" w:space="0"/>
              <w:right w:val="single" w:color="auto" w:sz="4" w:space="0"/>
            </w:tcBorders>
            <w:noWrap w:val="0"/>
            <w:vAlign w:val="center"/>
          </w:tcPr>
          <w:p w14:paraId="253C6640">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四方</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3229147A">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许继</w:t>
            </w:r>
          </w:p>
        </w:tc>
        <w:tc>
          <w:tcPr>
            <w:tcW w:w="561" w:type="pct"/>
            <w:tcBorders>
              <w:top w:val="single" w:color="auto" w:sz="4" w:space="0"/>
              <w:left w:val="single" w:color="auto" w:sz="4" w:space="0"/>
              <w:bottom w:val="single" w:color="auto" w:sz="4" w:space="0"/>
              <w:right w:val="single" w:color="auto" w:sz="4" w:space="0"/>
            </w:tcBorders>
            <w:noWrap w:val="0"/>
            <w:vAlign w:val="center"/>
          </w:tcPr>
          <w:p w14:paraId="1B628885">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2"/>
                <w:szCs w:val="22"/>
                <w:u w:val="none"/>
                <w:lang w:val="en-US" w:eastAsia="zh-CN" w:bidi="ar"/>
              </w:rPr>
              <w:t>中电</w:t>
            </w:r>
          </w:p>
        </w:tc>
        <w:tc>
          <w:tcPr>
            <w:tcW w:w="460" w:type="pct"/>
            <w:tcBorders>
              <w:top w:val="single" w:color="auto" w:sz="4" w:space="0"/>
              <w:left w:val="single" w:color="auto" w:sz="4" w:space="0"/>
              <w:bottom w:val="single" w:color="auto" w:sz="4" w:space="0"/>
              <w:right w:val="single" w:color="auto" w:sz="4" w:space="0"/>
            </w:tcBorders>
            <w:noWrap w:val="0"/>
            <w:vAlign w:val="center"/>
          </w:tcPr>
          <w:p w14:paraId="7A667375">
            <w:pPr>
              <w:jc w:val="center"/>
              <w:rPr>
                <w:rFonts w:hint="eastAsia" w:ascii="宋体" w:hAnsi="宋体" w:cs="宋体"/>
                <w:color w:val="auto"/>
                <w:kern w:val="0"/>
                <w:szCs w:val="21"/>
                <w:highlight w:val="none"/>
              </w:rPr>
            </w:pPr>
          </w:p>
        </w:tc>
        <w:tc>
          <w:tcPr>
            <w:tcW w:w="455" w:type="pct"/>
            <w:tcBorders>
              <w:top w:val="single" w:color="auto" w:sz="4" w:space="0"/>
              <w:left w:val="single" w:color="auto" w:sz="4" w:space="0"/>
              <w:bottom w:val="single" w:color="auto" w:sz="4" w:space="0"/>
              <w:right w:val="single" w:color="auto" w:sz="4" w:space="0"/>
            </w:tcBorders>
            <w:noWrap w:val="0"/>
            <w:vAlign w:val="center"/>
          </w:tcPr>
          <w:p w14:paraId="1F6837DD">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0"/>
                <w:szCs w:val="20"/>
                <w:u w:val="none"/>
                <w:lang w:val="en-US" w:eastAsia="zh-CN" w:bidi="ar"/>
              </w:rPr>
              <w:t>适用各专业配电系统</w:t>
            </w:r>
          </w:p>
        </w:tc>
      </w:tr>
      <w:tr w14:paraId="6C4A6E63">
        <w:tblPrEx>
          <w:tblCellMar>
            <w:top w:w="0" w:type="dxa"/>
            <w:left w:w="108" w:type="dxa"/>
            <w:bottom w:w="0" w:type="dxa"/>
            <w:right w:w="108" w:type="dxa"/>
          </w:tblCellMar>
        </w:tblPrEx>
        <w:trPr>
          <w:trHeight w:val="487" w:hRule="atLeast"/>
          <w:jc w:val="center"/>
        </w:trPr>
        <w:tc>
          <w:tcPr>
            <w:tcW w:w="395" w:type="pct"/>
            <w:tcBorders>
              <w:top w:val="single" w:color="auto" w:sz="4" w:space="0"/>
              <w:left w:val="single" w:color="auto" w:sz="4" w:space="0"/>
              <w:bottom w:val="single" w:color="auto" w:sz="4" w:space="0"/>
              <w:right w:val="single" w:color="auto" w:sz="4" w:space="0"/>
            </w:tcBorders>
            <w:noWrap w:val="0"/>
            <w:vAlign w:val="center"/>
          </w:tcPr>
          <w:p w14:paraId="4FE0C229">
            <w:pPr>
              <w:widowControl/>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15</w:t>
            </w:r>
          </w:p>
        </w:tc>
        <w:tc>
          <w:tcPr>
            <w:tcW w:w="916" w:type="pct"/>
            <w:tcBorders>
              <w:top w:val="single" w:color="auto" w:sz="4" w:space="0"/>
              <w:left w:val="single" w:color="auto" w:sz="4" w:space="0"/>
              <w:bottom w:val="single" w:color="auto" w:sz="4" w:space="0"/>
              <w:right w:val="single" w:color="auto" w:sz="4" w:space="0"/>
            </w:tcBorders>
            <w:noWrap w:val="0"/>
            <w:vAlign w:val="center"/>
          </w:tcPr>
          <w:p w14:paraId="5154B0D4">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0"/>
                <w:szCs w:val="20"/>
                <w:u w:val="none"/>
                <w:lang w:val="en-US" w:eastAsia="zh-CN" w:bidi="ar"/>
              </w:rPr>
              <w:t>智能仪表</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378ED2C8">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珠海派诺</w:t>
            </w:r>
          </w:p>
        </w:tc>
        <w:tc>
          <w:tcPr>
            <w:tcW w:w="527" w:type="pct"/>
            <w:tcBorders>
              <w:top w:val="single" w:color="auto" w:sz="4" w:space="0"/>
              <w:left w:val="single" w:color="auto" w:sz="4" w:space="0"/>
              <w:bottom w:val="single" w:color="auto" w:sz="4" w:space="0"/>
              <w:right w:val="single" w:color="auto" w:sz="4" w:space="0"/>
            </w:tcBorders>
            <w:noWrap w:val="0"/>
            <w:vAlign w:val="center"/>
          </w:tcPr>
          <w:p w14:paraId="01B0D06D">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中电</w:t>
            </w:r>
          </w:p>
        </w:tc>
        <w:tc>
          <w:tcPr>
            <w:tcW w:w="549" w:type="pct"/>
            <w:tcBorders>
              <w:top w:val="single" w:color="auto" w:sz="4" w:space="0"/>
              <w:left w:val="single" w:color="auto" w:sz="4" w:space="0"/>
              <w:bottom w:val="single" w:color="auto" w:sz="4" w:space="0"/>
              <w:right w:val="single" w:color="auto" w:sz="4" w:space="0"/>
            </w:tcBorders>
            <w:noWrap w:val="0"/>
            <w:vAlign w:val="center"/>
          </w:tcPr>
          <w:p w14:paraId="190A6C62">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安科瑞</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02F528E6">
            <w:pPr>
              <w:jc w:val="center"/>
              <w:rPr>
                <w:rFonts w:hint="eastAsia" w:ascii="宋体" w:hAnsi="宋体" w:cs="宋体"/>
                <w:color w:val="auto"/>
                <w:sz w:val="22"/>
                <w:highlight w:val="none"/>
              </w:rPr>
            </w:pPr>
          </w:p>
        </w:tc>
        <w:tc>
          <w:tcPr>
            <w:tcW w:w="561" w:type="pct"/>
            <w:tcBorders>
              <w:top w:val="single" w:color="auto" w:sz="4" w:space="0"/>
              <w:left w:val="single" w:color="auto" w:sz="4" w:space="0"/>
              <w:bottom w:val="single" w:color="auto" w:sz="4" w:space="0"/>
              <w:right w:val="single" w:color="auto" w:sz="4" w:space="0"/>
            </w:tcBorders>
            <w:noWrap w:val="0"/>
            <w:vAlign w:val="center"/>
          </w:tcPr>
          <w:p w14:paraId="17203DB6">
            <w:pPr>
              <w:jc w:val="center"/>
              <w:rPr>
                <w:rFonts w:hint="eastAsia" w:ascii="宋体" w:hAnsi="宋体" w:cs="宋体"/>
                <w:color w:val="auto"/>
                <w:kern w:val="0"/>
                <w:szCs w:val="21"/>
                <w:highlight w:val="none"/>
              </w:rPr>
            </w:pPr>
          </w:p>
        </w:tc>
        <w:tc>
          <w:tcPr>
            <w:tcW w:w="460" w:type="pct"/>
            <w:tcBorders>
              <w:top w:val="single" w:color="auto" w:sz="4" w:space="0"/>
              <w:left w:val="single" w:color="auto" w:sz="4" w:space="0"/>
              <w:bottom w:val="single" w:color="auto" w:sz="4" w:space="0"/>
              <w:right w:val="single" w:color="auto" w:sz="4" w:space="0"/>
            </w:tcBorders>
            <w:noWrap w:val="0"/>
            <w:vAlign w:val="center"/>
          </w:tcPr>
          <w:p w14:paraId="21EE52D9">
            <w:pPr>
              <w:jc w:val="center"/>
              <w:rPr>
                <w:rFonts w:hint="eastAsia" w:ascii="宋体" w:hAnsi="宋体" w:cs="宋体"/>
                <w:color w:val="auto"/>
                <w:kern w:val="0"/>
                <w:szCs w:val="21"/>
                <w:highlight w:val="none"/>
              </w:rPr>
            </w:pPr>
          </w:p>
        </w:tc>
        <w:tc>
          <w:tcPr>
            <w:tcW w:w="455" w:type="pct"/>
            <w:tcBorders>
              <w:top w:val="single" w:color="auto" w:sz="4" w:space="0"/>
              <w:left w:val="single" w:color="auto" w:sz="4" w:space="0"/>
              <w:bottom w:val="single" w:color="auto" w:sz="4" w:space="0"/>
              <w:right w:val="single" w:color="auto" w:sz="4" w:space="0"/>
            </w:tcBorders>
            <w:noWrap w:val="0"/>
            <w:vAlign w:val="center"/>
          </w:tcPr>
          <w:p w14:paraId="0782657D">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0"/>
                <w:szCs w:val="20"/>
                <w:u w:val="none"/>
                <w:lang w:val="en-US" w:eastAsia="zh-CN" w:bidi="ar"/>
              </w:rPr>
              <w:t>适用各专业配电系统</w:t>
            </w:r>
          </w:p>
        </w:tc>
      </w:tr>
      <w:tr w14:paraId="5B1ACF6B">
        <w:tblPrEx>
          <w:tblCellMar>
            <w:top w:w="0" w:type="dxa"/>
            <w:left w:w="108" w:type="dxa"/>
            <w:bottom w:w="0" w:type="dxa"/>
            <w:right w:w="108" w:type="dxa"/>
          </w:tblCellMar>
        </w:tblPrEx>
        <w:trPr>
          <w:trHeight w:val="487" w:hRule="atLeast"/>
          <w:jc w:val="center"/>
        </w:trPr>
        <w:tc>
          <w:tcPr>
            <w:tcW w:w="395" w:type="pct"/>
            <w:tcBorders>
              <w:top w:val="single" w:color="auto" w:sz="4" w:space="0"/>
              <w:left w:val="single" w:color="auto" w:sz="4" w:space="0"/>
              <w:bottom w:val="single" w:color="auto" w:sz="4" w:space="0"/>
              <w:right w:val="single" w:color="auto" w:sz="4" w:space="0"/>
            </w:tcBorders>
            <w:noWrap w:val="0"/>
            <w:vAlign w:val="center"/>
          </w:tcPr>
          <w:p w14:paraId="346EC5C8">
            <w:pPr>
              <w:widowControl/>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16</w:t>
            </w:r>
          </w:p>
        </w:tc>
        <w:tc>
          <w:tcPr>
            <w:tcW w:w="916" w:type="pct"/>
            <w:tcBorders>
              <w:top w:val="single" w:color="auto" w:sz="4" w:space="0"/>
              <w:left w:val="single" w:color="auto" w:sz="4" w:space="0"/>
              <w:bottom w:val="single" w:color="auto" w:sz="4" w:space="0"/>
              <w:right w:val="single" w:color="auto" w:sz="4" w:space="0"/>
            </w:tcBorders>
            <w:noWrap w:val="0"/>
            <w:vAlign w:val="center"/>
          </w:tcPr>
          <w:p w14:paraId="408C0E6C">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0"/>
                <w:szCs w:val="20"/>
                <w:u w:val="none"/>
                <w:lang w:val="en-US" w:eastAsia="zh-CN" w:bidi="ar"/>
              </w:rPr>
              <w:t>电力电缆</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71CC34D9">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上上</w:t>
            </w:r>
          </w:p>
        </w:tc>
        <w:tc>
          <w:tcPr>
            <w:tcW w:w="527" w:type="pct"/>
            <w:tcBorders>
              <w:top w:val="single" w:color="auto" w:sz="4" w:space="0"/>
              <w:left w:val="single" w:color="auto" w:sz="4" w:space="0"/>
              <w:bottom w:val="single" w:color="auto" w:sz="4" w:space="0"/>
              <w:right w:val="single" w:color="auto" w:sz="4" w:space="0"/>
            </w:tcBorders>
            <w:noWrap w:val="0"/>
            <w:vAlign w:val="center"/>
          </w:tcPr>
          <w:p w14:paraId="13E1AEAC">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宝胜</w:t>
            </w:r>
          </w:p>
        </w:tc>
        <w:tc>
          <w:tcPr>
            <w:tcW w:w="549" w:type="pct"/>
            <w:tcBorders>
              <w:top w:val="single" w:color="auto" w:sz="4" w:space="0"/>
              <w:left w:val="single" w:color="auto" w:sz="4" w:space="0"/>
              <w:bottom w:val="single" w:color="auto" w:sz="4" w:space="0"/>
              <w:right w:val="single" w:color="auto" w:sz="4" w:space="0"/>
            </w:tcBorders>
            <w:noWrap w:val="0"/>
            <w:vAlign w:val="center"/>
          </w:tcPr>
          <w:p w14:paraId="0FA93A10">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远东</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2ED6C44F">
            <w:pPr>
              <w:jc w:val="center"/>
              <w:rPr>
                <w:rFonts w:hint="eastAsia" w:ascii="宋体" w:hAnsi="宋体" w:cs="宋体"/>
                <w:color w:val="auto"/>
                <w:sz w:val="22"/>
                <w:highlight w:val="none"/>
              </w:rPr>
            </w:pPr>
          </w:p>
        </w:tc>
        <w:tc>
          <w:tcPr>
            <w:tcW w:w="561" w:type="pct"/>
            <w:tcBorders>
              <w:top w:val="single" w:color="auto" w:sz="4" w:space="0"/>
              <w:left w:val="single" w:color="auto" w:sz="4" w:space="0"/>
              <w:bottom w:val="single" w:color="auto" w:sz="4" w:space="0"/>
              <w:right w:val="single" w:color="auto" w:sz="4" w:space="0"/>
            </w:tcBorders>
            <w:noWrap w:val="0"/>
            <w:vAlign w:val="center"/>
          </w:tcPr>
          <w:p w14:paraId="16EC6202">
            <w:pPr>
              <w:jc w:val="center"/>
              <w:rPr>
                <w:rFonts w:hint="eastAsia" w:ascii="宋体" w:hAnsi="宋体" w:cs="宋体"/>
                <w:color w:val="auto"/>
                <w:kern w:val="0"/>
                <w:szCs w:val="21"/>
                <w:highlight w:val="none"/>
              </w:rPr>
            </w:pPr>
          </w:p>
        </w:tc>
        <w:tc>
          <w:tcPr>
            <w:tcW w:w="460" w:type="pct"/>
            <w:tcBorders>
              <w:top w:val="single" w:color="auto" w:sz="4" w:space="0"/>
              <w:left w:val="single" w:color="auto" w:sz="4" w:space="0"/>
              <w:bottom w:val="single" w:color="auto" w:sz="4" w:space="0"/>
              <w:right w:val="single" w:color="auto" w:sz="4" w:space="0"/>
            </w:tcBorders>
            <w:noWrap w:val="0"/>
            <w:vAlign w:val="center"/>
          </w:tcPr>
          <w:p w14:paraId="23A289E9">
            <w:pPr>
              <w:jc w:val="center"/>
              <w:rPr>
                <w:rFonts w:hint="eastAsia" w:ascii="宋体" w:hAnsi="宋体" w:cs="宋体"/>
                <w:color w:val="auto"/>
                <w:kern w:val="0"/>
                <w:szCs w:val="21"/>
                <w:highlight w:val="none"/>
              </w:rPr>
            </w:pPr>
          </w:p>
        </w:tc>
        <w:tc>
          <w:tcPr>
            <w:tcW w:w="455" w:type="pct"/>
            <w:tcBorders>
              <w:top w:val="single" w:color="auto" w:sz="4" w:space="0"/>
              <w:left w:val="single" w:color="auto" w:sz="4" w:space="0"/>
              <w:bottom w:val="single" w:color="auto" w:sz="4" w:space="0"/>
              <w:right w:val="single" w:color="auto" w:sz="4" w:space="0"/>
            </w:tcBorders>
            <w:noWrap w:val="0"/>
            <w:vAlign w:val="center"/>
          </w:tcPr>
          <w:p w14:paraId="1DFB715E">
            <w:pPr>
              <w:jc w:val="center"/>
              <w:rPr>
                <w:rFonts w:hint="eastAsia" w:ascii="宋体" w:hAnsi="宋体" w:cs="宋体"/>
                <w:color w:val="auto"/>
                <w:kern w:val="0"/>
                <w:szCs w:val="21"/>
                <w:highlight w:val="none"/>
              </w:rPr>
            </w:pPr>
          </w:p>
        </w:tc>
      </w:tr>
      <w:tr w14:paraId="198518F4">
        <w:tblPrEx>
          <w:tblCellMar>
            <w:top w:w="0" w:type="dxa"/>
            <w:left w:w="108" w:type="dxa"/>
            <w:bottom w:w="0" w:type="dxa"/>
            <w:right w:w="108" w:type="dxa"/>
          </w:tblCellMar>
        </w:tblPrEx>
        <w:trPr>
          <w:trHeight w:val="487" w:hRule="atLeast"/>
          <w:jc w:val="center"/>
        </w:trPr>
        <w:tc>
          <w:tcPr>
            <w:tcW w:w="395" w:type="pct"/>
            <w:tcBorders>
              <w:top w:val="single" w:color="auto" w:sz="4" w:space="0"/>
              <w:left w:val="single" w:color="auto" w:sz="4" w:space="0"/>
              <w:bottom w:val="single" w:color="auto" w:sz="4" w:space="0"/>
              <w:right w:val="single" w:color="auto" w:sz="4" w:space="0"/>
            </w:tcBorders>
            <w:noWrap w:val="0"/>
            <w:vAlign w:val="center"/>
          </w:tcPr>
          <w:p w14:paraId="3A49D59F">
            <w:pPr>
              <w:widowControl/>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17</w:t>
            </w:r>
          </w:p>
        </w:tc>
        <w:tc>
          <w:tcPr>
            <w:tcW w:w="916" w:type="pct"/>
            <w:tcBorders>
              <w:top w:val="single" w:color="auto" w:sz="4" w:space="0"/>
              <w:left w:val="single" w:color="auto" w:sz="4" w:space="0"/>
              <w:bottom w:val="single" w:color="auto" w:sz="4" w:space="0"/>
              <w:right w:val="single" w:color="auto" w:sz="4" w:space="0"/>
            </w:tcBorders>
            <w:noWrap w:val="0"/>
            <w:vAlign w:val="center"/>
          </w:tcPr>
          <w:p w14:paraId="1FFF17BF">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0"/>
                <w:szCs w:val="20"/>
                <w:u w:val="none"/>
                <w:lang w:val="en-US" w:eastAsia="zh-CN" w:bidi="ar"/>
              </w:rPr>
              <w:t>高效照明灯具</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3B078069">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普为</w:t>
            </w:r>
          </w:p>
        </w:tc>
        <w:tc>
          <w:tcPr>
            <w:tcW w:w="527" w:type="pct"/>
            <w:tcBorders>
              <w:top w:val="single" w:color="auto" w:sz="4" w:space="0"/>
              <w:left w:val="single" w:color="auto" w:sz="4" w:space="0"/>
              <w:bottom w:val="single" w:color="auto" w:sz="4" w:space="0"/>
              <w:right w:val="single" w:color="auto" w:sz="4" w:space="0"/>
            </w:tcBorders>
            <w:noWrap w:val="0"/>
            <w:vAlign w:val="center"/>
          </w:tcPr>
          <w:p w14:paraId="793F5A88">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欧普</w:t>
            </w:r>
          </w:p>
        </w:tc>
        <w:tc>
          <w:tcPr>
            <w:tcW w:w="549" w:type="pct"/>
            <w:tcBorders>
              <w:top w:val="single" w:color="auto" w:sz="4" w:space="0"/>
              <w:left w:val="single" w:color="auto" w:sz="4" w:space="0"/>
              <w:bottom w:val="single" w:color="auto" w:sz="4" w:space="0"/>
              <w:right w:val="single" w:color="auto" w:sz="4" w:space="0"/>
            </w:tcBorders>
            <w:noWrap w:val="0"/>
            <w:vAlign w:val="center"/>
          </w:tcPr>
          <w:p w14:paraId="6EE34870">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领誉</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116F8D18">
            <w:pPr>
              <w:jc w:val="center"/>
              <w:rPr>
                <w:rFonts w:hint="eastAsia" w:ascii="宋体" w:hAnsi="宋体" w:cs="宋体"/>
                <w:color w:val="auto"/>
                <w:sz w:val="22"/>
                <w:highlight w:val="none"/>
              </w:rPr>
            </w:pPr>
          </w:p>
        </w:tc>
        <w:tc>
          <w:tcPr>
            <w:tcW w:w="561" w:type="pct"/>
            <w:tcBorders>
              <w:top w:val="single" w:color="auto" w:sz="4" w:space="0"/>
              <w:left w:val="single" w:color="auto" w:sz="4" w:space="0"/>
              <w:bottom w:val="single" w:color="auto" w:sz="4" w:space="0"/>
              <w:right w:val="single" w:color="auto" w:sz="4" w:space="0"/>
            </w:tcBorders>
            <w:noWrap w:val="0"/>
            <w:vAlign w:val="center"/>
          </w:tcPr>
          <w:p w14:paraId="39F531B6">
            <w:pPr>
              <w:jc w:val="center"/>
              <w:rPr>
                <w:rFonts w:hint="eastAsia" w:ascii="宋体" w:hAnsi="宋体" w:cs="宋体"/>
                <w:color w:val="auto"/>
                <w:kern w:val="0"/>
                <w:szCs w:val="21"/>
                <w:highlight w:val="none"/>
              </w:rPr>
            </w:pPr>
          </w:p>
        </w:tc>
        <w:tc>
          <w:tcPr>
            <w:tcW w:w="460" w:type="pct"/>
            <w:tcBorders>
              <w:top w:val="single" w:color="auto" w:sz="4" w:space="0"/>
              <w:left w:val="single" w:color="auto" w:sz="4" w:space="0"/>
              <w:bottom w:val="single" w:color="auto" w:sz="4" w:space="0"/>
              <w:right w:val="single" w:color="auto" w:sz="4" w:space="0"/>
            </w:tcBorders>
            <w:noWrap w:val="0"/>
            <w:vAlign w:val="center"/>
          </w:tcPr>
          <w:p w14:paraId="62585191">
            <w:pPr>
              <w:jc w:val="center"/>
              <w:rPr>
                <w:rFonts w:hint="eastAsia" w:ascii="宋体" w:hAnsi="宋体" w:cs="宋体"/>
                <w:color w:val="auto"/>
                <w:kern w:val="0"/>
                <w:szCs w:val="21"/>
                <w:highlight w:val="none"/>
              </w:rPr>
            </w:pPr>
          </w:p>
        </w:tc>
        <w:tc>
          <w:tcPr>
            <w:tcW w:w="455" w:type="pct"/>
            <w:tcBorders>
              <w:top w:val="single" w:color="auto" w:sz="4" w:space="0"/>
              <w:left w:val="single" w:color="auto" w:sz="4" w:space="0"/>
              <w:bottom w:val="single" w:color="auto" w:sz="4" w:space="0"/>
              <w:right w:val="single" w:color="auto" w:sz="4" w:space="0"/>
            </w:tcBorders>
            <w:noWrap w:val="0"/>
            <w:vAlign w:val="center"/>
          </w:tcPr>
          <w:p w14:paraId="19AE0965">
            <w:pPr>
              <w:jc w:val="center"/>
              <w:rPr>
                <w:rFonts w:hint="eastAsia" w:ascii="宋体" w:hAnsi="宋体" w:cs="宋体"/>
                <w:color w:val="auto"/>
                <w:kern w:val="0"/>
                <w:szCs w:val="21"/>
                <w:highlight w:val="none"/>
              </w:rPr>
            </w:pPr>
          </w:p>
        </w:tc>
      </w:tr>
      <w:tr w14:paraId="6512B660">
        <w:tblPrEx>
          <w:tblCellMar>
            <w:top w:w="0" w:type="dxa"/>
            <w:left w:w="108" w:type="dxa"/>
            <w:bottom w:w="0" w:type="dxa"/>
            <w:right w:w="108" w:type="dxa"/>
          </w:tblCellMar>
        </w:tblPrEx>
        <w:trPr>
          <w:trHeight w:val="487" w:hRule="atLeast"/>
          <w:jc w:val="center"/>
        </w:trPr>
        <w:tc>
          <w:tcPr>
            <w:tcW w:w="5000" w:type="pct"/>
            <w:gridSpan w:val="9"/>
            <w:tcBorders>
              <w:top w:val="single" w:color="auto" w:sz="4" w:space="0"/>
              <w:left w:val="single" w:color="auto" w:sz="4" w:space="0"/>
              <w:bottom w:val="single" w:color="auto" w:sz="4" w:space="0"/>
              <w:right w:val="single" w:color="auto" w:sz="4" w:space="0"/>
            </w:tcBorders>
            <w:noWrap w:val="0"/>
            <w:vAlign w:val="center"/>
          </w:tcPr>
          <w:p w14:paraId="14A85157">
            <w:pPr>
              <w:widowControl/>
              <w:rPr>
                <w:rFonts w:hint="eastAsia" w:ascii="宋体" w:hAnsi="宋体" w:cs="宋体"/>
                <w:color w:val="auto"/>
                <w:kern w:val="0"/>
                <w:szCs w:val="21"/>
                <w:highlight w:val="none"/>
              </w:rPr>
            </w:pPr>
            <w:r>
              <w:rPr>
                <w:rFonts w:hint="eastAsia" w:ascii="宋体" w:hAnsi="宋体" w:cs="宋体"/>
                <w:color w:val="auto"/>
                <w:kern w:val="0"/>
                <w:szCs w:val="21"/>
                <w:highlight w:val="none"/>
              </w:rPr>
              <w:t>机电设备-动力、暖通、给排水类</w:t>
            </w:r>
          </w:p>
        </w:tc>
      </w:tr>
      <w:tr w14:paraId="058E0C74">
        <w:tblPrEx>
          <w:tblCellMar>
            <w:top w:w="0" w:type="dxa"/>
            <w:left w:w="108" w:type="dxa"/>
            <w:bottom w:w="0" w:type="dxa"/>
            <w:right w:w="108" w:type="dxa"/>
          </w:tblCellMar>
        </w:tblPrEx>
        <w:trPr>
          <w:trHeight w:val="487" w:hRule="atLeast"/>
          <w:jc w:val="center"/>
        </w:trPr>
        <w:tc>
          <w:tcPr>
            <w:tcW w:w="395" w:type="pct"/>
            <w:tcBorders>
              <w:top w:val="single" w:color="auto" w:sz="4" w:space="0"/>
              <w:left w:val="single" w:color="auto" w:sz="4" w:space="0"/>
              <w:bottom w:val="single" w:color="auto" w:sz="4" w:space="0"/>
              <w:right w:val="single" w:color="auto" w:sz="4" w:space="0"/>
            </w:tcBorders>
            <w:noWrap w:val="0"/>
            <w:vAlign w:val="center"/>
          </w:tcPr>
          <w:p w14:paraId="26CC0D88">
            <w:pPr>
              <w:widowControl/>
              <w:jc w:val="center"/>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w:t>
            </w:r>
          </w:p>
        </w:tc>
        <w:tc>
          <w:tcPr>
            <w:tcW w:w="916" w:type="pct"/>
            <w:tcBorders>
              <w:top w:val="single" w:color="auto" w:sz="4" w:space="0"/>
              <w:left w:val="single" w:color="auto" w:sz="4" w:space="0"/>
              <w:bottom w:val="single" w:color="auto" w:sz="4" w:space="0"/>
              <w:right w:val="single" w:color="auto" w:sz="4" w:space="0"/>
            </w:tcBorders>
            <w:noWrap w:val="0"/>
            <w:vAlign w:val="center"/>
          </w:tcPr>
          <w:p w14:paraId="698D7A3B">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0"/>
                <w:szCs w:val="20"/>
                <w:u w:val="none"/>
                <w:lang w:val="en-US" w:eastAsia="zh-CN" w:bidi="ar"/>
              </w:rPr>
              <w:t>冰机</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7CDB9CA9">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约克</w:t>
            </w:r>
          </w:p>
        </w:tc>
        <w:tc>
          <w:tcPr>
            <w:tcW w:w="527" w:type="pct"/>
            <w:tcBorders>
              <w:top w:val="single" w:color="auto" w:sz="4" w:space="0"/>
              <w:left w:val="single" w:color="auto" w:sz="4" w:space="0"/>
              <w:bottom w:val="single" w:color="auto" w:sz="4" w:space="0"/>
              <w:right w:val="single" w:color="auto" w:sz="4" w:space="0"/>
            </w:tcBorders>
            <w:noWrap w:val="0"/>
            <w:vAlign w:val="center"/>
          </w:tcPr>
          <w:p w14:paraId="61445DFD">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开利</w:t>
            </w:r>
          </w:p>
        </w:tc>
        <w:tc>
          <w:tcPr>
            <w:tcW w:w="549" w:type="pct"/>
            <w:tcBorders>
              <w:top w:val="single" w:color="auto" w:sz="4" w:space="0"/>
              <w:left w:val="single" w:color="auto" w:sz="4" w:space="0"/>
              <w:bottom w:val="single" w:color="auto" w:sz="4" w:space="0"/>
              <w:right w:val="single" w:color="auto" w:sz="4" w:space="0"/>
            </w:tcBorders>
            <w:noWrap w:val="0"/>
            <w:vAlign w:val="center"/>
          </w:tcPr>
          <w:p w14:paraId="68C7D0C6">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特灵</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765D2496">
            <w:pPr>
              <w:jc w:val="center"/>
              <w:rPr>
                <w:rFonts w:hint="eastAsia" w:ascii="宋体" w:hAnsi="宋体" w:cs="宋体"/>
                <w:color w:val="auto"/>
                <w:sz w:val="22"/>
                <w:highlight w:val="none"/>
              </w:rPr>
            </w:pPr>
          </w:p>
        </w:tc>
        <w:tc>
          <w:tcPr>
            <w:tcW w:w="561" w:type="pct"/>
            <w:tcBorders>
              <w:top w:val="single" w:color="auto" w:sz="4" w:space="0"/>
              <w:left w:val="single" w:color="auto" w:sz="4" w:space="0"/>
              <w:bottom w:val="single" w:color="auto" w:sz="4" w:space="0"/>
              <w:right w:val="single" w:color="auto" w:sz="4" w:space="0"/>
            </w:tcBorders>
            <w:noWrap w:val="0"/>
            <w:vAlign w:val="center"/>
          </w:tcPr>
          <w:p w14:paraId="3B491125">
            <w:pPr>
              <w:jc w:val="center"/>
              <w:rPr>
                <w:rFonts w:hint="eastAsia" w:ascii="宋体" w:hAnsi="宋体" w:cs="宋体"/>
                <w:color w:val="auto"/>
                <w:kern w:val="0"/>
                <w:szCs w:val="21"/>
                <w:highlight w:val="none"/>
              </w:rPr>
            </w:pPr>
          </w:p>
        </w:tc>
        <w:tc>
          <w:tcPr>
            <w:tcW w:w="460" w:type="pct"/>
            <w:tcBorders>
              <w:top w:val="single" w:color="auto" w:sz="4" w:space="0"/>
              <w:left w:val="single" w:color="auto" w:sz="4" w:space="0"/>
              <w:bottom w:val="single" w:color="auto" w:sz="4" w:space="0"/>
              <w:right w:val="single" w:color="auto" w:sz="4" w:space="0"/>
            </w:tcBorders>
            <w:noWrap w:val="0"/>
            <w:vAlign w:val="center"/>
          </w:tcPr>
          <w:p w14:paraId="5378BF75">
            <w:pPr>
              <w:jc w:val="center"/>
              <w:rPr>
                <w:rFonts w:hint="eastAsia" w:ascii="宋体" w:hAnsi="宋体" w:cs="宋体"/>
                <w:color w:val="auto"/>
                <w:kern w:val="0"/>
                <w:szCs w:val="21"/>
                <w:highlight w:val="none"/>
              </w:rPr>
            </w:pPr>
          </w:p>
        </w:tc>
        <w:tc>
          <w:tcPr>
            <w:tcW w:w="455" w:type="pct"/>
            <w:tcBorders>
              <w:top w:val="single" w:color="auto" w:sz="4" w:space="0"/>
              <w:left w:val="single" w:color="auto" w:sz="4" w:space="0"/>
              <w:bottom w:val="single" w:color="auto" w:sz="4" w:space="0"/>
              <w:right w:val="single" w:color="auto" w:sz="4" w:space="0"/>
            </w:tcBorders>
            <w:noWrap w:val="0"/>
            <w:vAlign w:val="center"/>
          </w:tcPr>
          <w:p w14:paraId="384E705C">
            <w:pPr>
              <w:widowControl/>
              <w:rPr>
                <w:rFonts w:hint="eastAsia" w:ascii="宋体" w:hAnsi="宋体" w:cs="宋体"/>
                <w:color w:val="auto"/>
                <w:kern w:val="0"/>
                <w:szCs w:val="21"/>
                <w:highlight w:val="none"/>
              </w:rPr>
            </w:pPr>
            <w:r>
              <w:rPr>
                <w:rFonts w:hint="eastAsia" w:ascii="宋体" w:hAnsi="宋体" w:cs="宋体"/>
                <w:color w:val="auto"/>
                <w:kern w:val="0"/>
                <w:szCs w:val="21"/>
                <w:highlight w:val="none"/>
              </w:rPr>
              <w:t>含群控系统</w:t>
            </w:r>
          </w:p>
        </w:tc>
      </w:tr>
      <w:tr w14:paraId="4E97CD51">
        <w:tblPrEx>
          <w:tblCellMar>
            <w:top w:w="0" w:type="dxa"/>
            <w:left w:w="108" w:type="dxa"/>
            <w:bottom w:w="0" w:type="dxa"/>
            <w:right w:w="108" w:type="dxa"/>
          </w:tblCellMar>
        </w:tblPrEx>
        <w:trPr>
          <w:trHeight w:val="487" w:hRule="atLeast"/>
          <w:jc w:val="center"/>
        </w:trPr>
        <w:tc>
          <w:tcPr>
            <w:tcW w:w="395" w:type="pct"/>
            <w:tcBorders>
              <w:top w:val="single" w:color="auto" w:sz="4" w:space="0"/>
              <w:left w:val="single" w:color="auto" w:sz="4" w:space="0"/>
              <w:bottom w:val="single" w:color="auto" w:sz="4" w:space="0"/>
              <w:right w:val="single" w:color="auto" w:sz="4" w:space="0"/>
            </w:tcBorders>
            <w:noWrap w:val="0"/>
            <w:vAlign w:val="center"/>
          </w:tcPr>
          <w:p w14:paraId="6B702726">
            <w:pPr>
              <w:widowControl/>
              <w:jc w:val="center"/>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2</w:t>
            </w:r>
          </w:p>
        </w:tc>
        <w:tc>
          <w:tcPr>
            <w:tcW w:w="916" w:type="pct"/>
            <w:tcBorders>
              <w:top w:val="single" w:color="auto" w:sz="4" w:space="0"/>
              <w:left w:val="single" w:color="auto" w:sz="4" w:space="0"/>
              <w:bottom w:val="single" w:color="auto" w:sz="4" w:space="0"/>
              <w:right w:val="single" w:color="auto" w:sz="4" w:space="0"/>
            </w:tcBorders>
            <w:noWrap w:val="0"/>
            <w:vAlign w:val="center"/>
          </w:tcPr>
          <w:p w14:paraId="5739D4C7">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0"/>
                <w:szCs w:val="20"/>
                <w:u w:val="none"/>
                <w:lang w:val="en-US" w:eastAsia="zh-CN" w:bidi="ar"/>
              </w:rPr>
              <w:t>组空</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5E5FB4E9">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南京创元</w:t>
            </w:r>
          </w:p>
        </w:tc>
        <w:tc>
          <w:tcPr>
            <w:tcW w:w="527" w:type="pct"/>
            <w:tcBorders>
              <w:top w:val="single" w:color="auto" w:sz="4" w:space="0"/>
              <w:left w:val="single" w:color="auto" w:sz="4" w:space="0"/>
              <w:bottom w:val="single" w:color="auto" w:sz="4" w:space="0"/>
              <w:right w:val="single" w:color="auto" w:sz="4" w:space="0"/>
            </w:tcBorders>
            <w:noWrap w:val="0"/>
            <w:vAlign w:val="center"/>
          </w:tcPr>
          <w:p w14:paraId="742E917E">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堃霖</w:t>
            </w:r>
          </w:p>
        </w:tc>
        <w:tc>
          <w:tcPr>
            <w:tcW w:w="549" w:type="pct"/>
            <w:tcBorders>
              <w:top w:val="single" w:color="auto" w:sz="4" w:space="0"/>
              <w:left w:val="single" w:color="auto" w:sz="4" w:space="0"/>
              <w:bottom w:val="single" w:color="auto" w:sz="4" w:space="0"/>
              <w:right w:val="single" w:color="auto" w:sz="4" w:space="0"/>
            </w:tcBorders>
            <w:noWrap w:val="0"/>
            <w:vAlign w:val="center"/>
          </w:tcPr>
          <w:p w14:paraId="231B8F48">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天加</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4BA96FD1">
            <w:pPr>
              <w:rPr>
                <w:rFonts w:hint="eastAsia" w:ascii="宋体" w:hAnsi="宋体" w:cs="宋体"/>
                <w:color w:val="auto"/>
                <w:sz w:val="22"/>
                <w:highlight w:val="none"/>
              </w:rPr>
            </w:pPr>
          </w:p>
        </w:tc>
        <w:tc>
          <w:tcPr>
            <w:tcW w:w="561" w:type="pct"/>
            <w:tcBorders>
              <w:top w:val="single" w:color="auto" w:sz="4" w:space="0"/>
              <w:left w:val="single" w:color="auto" w:sz="4" w:space="0"/>
              <w:bottom w:val="single" w:color="auto" w:sz="4" w:space="0"/>
              <w:right w:val="single" w:color="auto" w:sz="4" w:space="0"/>
            </w:tcBorders>
            <w:noWrap w:val="0"/>
            <w:vAlign w:val="center"/>
          </w:tcPr>
          <w:p w14:paraId="49B73046">
            <w:pPr>
              <w:jc w:val="center"/>
              <w:rPr>
                <w:rFonts w:hint="eastAsia" w:ascii="宋体" w:hAnsi="宋体" w:cs="宋体"/>
                <w:color w:val="auto"/>
                <w:kern w:val="0"/>
                <w:szCs w:val="21"/>
                <w:highlight w:val="none"/>
              </w:rPr>
            </w:pPr>
          </w:p>
        </w:tc>
        <w:tc>
          <w:tcPr>
            <w:tcW w:w="460" w:type="pct"/>
            <w:tcBorders>
              <w:top w:val="single" w:color="auto" w:sz="4" w:space="0"/>
              <w:left w:val="single" w:color="auto" w:sz="4" w:space="0"/>
              <w:bottom w:val="single" w:color="auto" w:sz="4" w:space="0"/>
              <w:right w:val="single" w:color="auto" w:sz="4" w:space="0"/>
            </w:tcBorders>
            <w:noWrap w:val="0"/>
            <w:vAlign w:val="center"/>
          </w:tcPr>
          <w:p w14:paraId="7FB55458">
            <w:pPr>
              <w:jc w:val="center"/>
              <w:rPr>
                <w:rFonts w:hint="eastAsia" w:ascii="宋体" w:hAnsi="宋体" w:cs="宋体"/>
                <w:color w:val="auto"/>
                <w:kern w:val="0"/>
                <w:szCs w:val="21"/>
                <w:highlight w:val="none"/>
              </w:rPr>
            </w:pPr>
          </w:p>
        </w:tc>
        <w:tc>
          <w:tcPr>
            <w:tcW w:w="455" w:type="pct"/>
            <w:tcBorders>
              <w:top w:val="single" w:color="auto" w:sz="4" w:space="0"/>
              <w:left w:val="single" w:color="auto" w:sz="4" w:space="0"/>
              <w:bottom w:val="single" w:color="auto" w:sz="4" w:space="0"/>
              <w:right w:val="single" w:color="auto" w:sz="4" w:space="0"/>
            </w:tcBorders>
            <w:noWrap w:val="0"/>
            <w:vAlign w:val="center"/>
          </w:tcPr>
          <w:p w14:paraId="7207782D">
            <w:pPr>
              <w:widowControl/>
              <w:rPr>
                <w:rFonts w:hint="eastAsia" w:ascii="宋体" w:hAnsi="宋体" w:cs="宋体"/>
                <w:color w:val="auto"/>
                <w:kern w:val="0"/>
                <w:szCs w:val="21"/>
                <w:highlight w:val="none"/>
              </w:rPr>
            </w:pPr>
          </w:p>
        </w:tc>
      </w:tr>
      <w:tr w14:paraId="522CDB25">
        <w:tblPrEx>
          <w:tblCellMar>
            <w:top w:w="0" w:type="dxa"/>
            <w:left w:w="108" w:type="dxa"/>
            <w:bottom w:w="0" w:type="dxa"/>
            <w:right w:w="108" w:type="dxa"/>
          </w:tblCellMar>
        </w:tblPrEx>
        <w:trPr>
          <w:trHeight w:val="487" w:hRule="atLeast"/>
          <w:jc w:val="center"/>
        </w:trPr>
        <w:tc>
          <w:tcPr>
            <w:tcW w:w="395" w:type="pct"/>
            <w:tcBorders>
              <w:top w:val="single" w:color="auto" w:sz="4" w:space="0"/>
              <w:left w:val="single" w:color="auto" w:sz="4" w:space="0"/>
              <w:bottom w:val="single" w:color="auto" w:sz="4" w:space="0"/>
              <w:right w:val="single" w:color="auto" w:sz="4" w:space="0"/>
            </w:tcBorders>
            <w:noWrap w:val="0"/>
            <w:vAlign w:val="center"/>
          </w:tcPr>
          <w:p w14:paraId="06E733BA">
            <w:pPr>
              <w:widowControl/>
              <w:jc w:val="center"/>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3</w:t>
            </w:r>
          </w:p>
        </w:tc>
        <w:tc>
          <w:tcPr>
            <w:tcW w:w="916" w:type="pct"/>
            <w:tcBorders>
              <w:top w:val="single" w:color="auto" w:sz="4" w:space="0"/>
              <w:left w:val="single" w:color="auto" w:sz="4" w:space="0"/>
              <w:bottom w:val="single" w:color="auto" w:sz="4" w:space="0"/>
              <w:right w:val="single" w:color="auto" w:sz="4" w:space="0"/>
            </w:tcBorders>
            <w:noWrap w:val="0"/>
            <w:vAlign w:val="center"/>
          </w:tcPr>
          <w:p w14:paraId="059AB4BD">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0"/>
                <w:szCs w:val="20"/>
                <w:u w:val="none"/>
                <w:lang w:val="en-US" w:eastAsia="zh-CN" w:bidi="ar"/>
              </w:rPr>
              <w:t>冷却塔</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6F641251">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上海金日</w:t>
            </w:r>
          </w:p>
        </w:tc>
        <w:tc>
          <w:tcPr>
            <w:tcW w:w="527" w:type="pct"/>
            <w:tcBorders>
              <w:top w:val="single" w:color="auto" w:sz="4" w:space="0"/>
              <w:left w:val="single" w:color="auto" w:sz="4" w:space="0"/>
              <w:bottom w:val="single" w:color="auto" w:sz="4" w:space="0"/>
              <w:right w:val="single" w:color="auto" w:sz="4" w:space="0"/>
            </w:tcBorders>
            <w:noWrap w:val="0"/>
            <w:vAlign w:val="center"/>
          </w:tcPr>
          <w:p w14:paraId="7FE45900">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元亨</w:t>
            </w:r>
          </w:p>
        </w:tc>
        <w:tc>
          <w:tcPr>
            <w:tcW w:w="549" w:type="pct"/>
            <w:tcBorders>
              <w:top w:val="single" w:color="auto" w:sz="4" w:space="0"/>
              <w:left w:val="single" w:color="auto" w:sz="4" w:space="0"/>
              <w:bottom w:val="single" w:color="auto" w:sz="4" w:space="0"/>
              <w:right w:val="single" w:color="auto" w:sz="4" w:space="0"/>
            </w:tcBorders>
            <w:noWrap w:val="0"/>
            <w:vAlign w:val="center"/>
          </w:tcPr>
          <w:p w14:paraId="09AA2563">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金菱</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46280B9E">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览讯</w:t>
            </w:r>
          </w:p>
        </w:tc>
        <w:tc>
          <w:tcPr>
            <w:tcW w:w="561" w:type="pct"/>
            <w:tcBorders>
              <w:top w:val="single" w:color="auto" w:sz="4" w:space="0"/>
              <w:left w:val="single" w:color="auto" w:sz="4" w:space="0"/>
              <w:bottom w:val="single" w:color="auto" w:sz="4" w:space="0"/>
              <w:right w:val="single" w:color="auto" w:sz="4" w:space="0"/>
            </w:tcBorders>
            <w:noWrap w:val="0"/>
            <w:vAlign w:val="center"/>
          </w:tcPr>
          <w:p w14:paraId="1238AA48">
            <w:pPr>
              <w:jc w:val="center"/>
              <w:rPr>
                <w:rFonts w:hint="eastAsia" w:ascii="宋体" w:hAnsi="宋体" w:cs="宋体"/>
                <w:color w:val="auto"/>
                <w:kern w:val="0"/>
                <w:szCs w:val="21"/>
                <w:highlight w:val="none"/>
              </w:rPr>
            </w:pPr>
          </w:p>
        </w:tc>
        <w:tc>
          <w:tcPr>
            <w:tcW w:w="460" w:type="pct"/>
            <w:tcBorders>
              <w:top w:val="single" w:color="auto" w:sz="4" w:space="0"/>
              <w:left w:val="single" w:color="auto" w:sz="4" w:space="0"/>
              <w:bottom w:val="single" w:color="auto" w:sz="4" w:space="0"/>
              <w:right w:val="single" w:color="auto" w:sz="4" w:space="0"/>
            </w:tcBorders>
            <w:noWrap w:val="0"/>
            <w:vAlign w:val="center"/>
          </w:tcPr>
          <w:p w14:paraId="48593E3B">
            <w:pPr>
              <w:jc w:val="center"/>
              <w:rPr>
                <w:rFonts w:hint="eastAsia" w:ascii="宋体" w:hAnsi="宋体" w:cs="宋体"/>
                <w:color w:val="auto"/>
                <w:kern w:val="0"/>
                <w:szCs w:val="21"/>
                <w:highlight w:val="none"/>
              </w:rPr>
            </w:pPr>
          </w:p>
        </w:tc>
        <w:tc>
          <w:tcPr>
            <w:tcW w:w="455" w:type="pct"/>
            <w:tcBorders>
              <w:top w:val="single" w:color="auto" w:sz="4" w:space="0"/>
              <w:left w:val="single" w:color="auto" w:sz="4" w:space="0"/>
              <w:bottom w:val="single" w:color="auto" w:sz="4" w:space="0"/>
              <w:right w:val="single" w:color="auto" w:sz="4" w:space="0"/>
            </w:tcBorders>
            <w:noWrap w:val="0"/>
            <w:vAlign w:val="center"/>
          </w:tcPr>
          <w:p w14:paraId="5FC8A5B2">
            <w:pPr>
              <w:widowControl/>
              <w:rPr>
                <w:rFonts w:hint="eastAsia" w:ascii="宋体" w:hAnsi="宋体" w:cs="宋体"/>
                <w:color w:val="auto"/>
                <w:kern w:val="0"/>
                <w:szCs w:val="21"/>
                <w:highlight w:val="none"/>
              </w:rPr>
            </w:pPr>
          </w:p>
        </w:tc>
      </w:tr>
      <w:tr w14:paraId="14582B38">
        <w:tblPrEx>
          <w:tblCellMar>
            <w:top w:w="0" w:type="dxa"/>
            <w:left w:w="108" w:type="dxa"/>
            <w:bottom w:w="0" w:type="dxa"/>
            <w:right w:w="108" w:type="dxa"/>
          </w:tblCellMar>
        </w:tblPrEx>
        <w:trPr>
          <w:trHeight w:val="487" w:hRule="atLeast"/>
          <w:jc w:val="center"/>
        </w:trPr>
        <w:tc>
          <w:tcPr>
            <w:tcW w:w="395" w:type="pct"/>
            <w:tcBorders>
              <w:top w:val="single" w:color="auto" w:sz="4" w:space="0"/>
              <w:left w:val="single" w:color="auto" w:sz="4" w:space="0"/>
              <w:bottom w:val="single" w:color="auto" w:sz="4" w:space="0"/>
              <w:right w:val="single" w:color="auto" w:sz="4" w:space="0"/>
            </w:tcBorders>
            <w:noWrap w:val="0"/>
            <w:vAlign w:val="center"/>
          </w:tcPr>
          <w:p w14:paraId="2CC099C7">
            <w:pPr>
              <w:widowControl/>
              <w:jc w:val="both"/>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4</w:t>
            </w:r>
          </w:p>
        </w:tc>
        <w:tc>
          <w:tcPr>
            <w:tcW w:w="916" w:type="pct"/>
            <w:tcBorders>
              <w:top w:val="single" w:color="auto" w:sz="4" w:space="0"/>
              <w:left w:val="single" w:color="auto" w:sz="4" w:space="0"/>
              <w:bottom w:val="single" w:color="auto" w:sz="4" w:space="0"/>
              <w:right w:val="single" w:color="auto" w:sz="4" w:space="0"/>
            </w:tcBorders>
            <w:noWrap w:val="0"/>
            <w:vAlign w:val="center"/>
          </w:tcPr>
          <w:p w14:paraId="3B29CFB3">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0"/>
                <w:szCs w:val="20"/>
                <w:u w:val="none"/>
                <w:lang w:val="en-US" w:eastAsia="zh-CN" w:bidi="ar"/>
              </w:rPr>
              <w:t>板式换热器</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38F568F8">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 xml:space="preserve">阿法拉伐 </w:t>
            </w:r>
          </w:p>
        </w:tc>
        <w:tc>
          <w:tcPr>
            <w:tcW w:w="527" w:type="pct"/>
            <w:tcBorders>
              <w:top w:val="single" w:color="auto" w:sz="4" w:space="0"/>
              <w:left w:val="single" w:color="auto" w:sz="4" w:space="0"/>
              <w:bottom w:val="single" w:color="auto" w:sz="4" w:space="0"/>
              <w:right w:val="single" w:color="auto" w:sz="4" w:space="0"/>
            </w:tcBorders>
            <w:noWrap w:val="0"/>
            <w:vAlign w:val="center"/>
          </w:tcPr>
          <w:p w14:paraId="04387FAA">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维克斯</w:t>
            </w:r>
          </w:p>
        </w:tc>
        <w:tc>
          <w:tcPr>
            <w:tcW w:w="549" w:type="pct"/>
            <w:tcBorders>
              <w:top w:val="single" w:color="auto" w:sz="4" w:space="0"/>
              <w:left w:val="single" w:color="auto" w:sz="4" w:space="0"/>
              <w:bottom w:val="single" w:color="auto" w:sz="4" w:space="0"/>
              <w:right w:val="single" w:color="auto" w:sz="4" w:space="0"/>
            </w:tcBorders>
            <w:noWrap w:val="0"/>
            <w:vAlign w:val="center"/>
          </w:tcPr>
          <w:p w14:paraId="1CFE8285">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艾克森</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04EB93E3">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欧梅塞尔</w:t>
            </w:r>
          </w:p>
        </w:tc>
        <w:tc>
          <w:tcPr>
            <w:tcW w:w="561" w:type="pct"/>
            <w:tcBorders>
              <w:top w:val="single" w:color="auto" w:sz="4" w:space="0"/>
              <w:left w:val="single" w:color="auto" w:sz="4" w:space="0"/>
              <w:bottom w:val="single" w:color="auto" w:sz="4" w:space="0"/>
              <w:right w:val="single" w:color="auto" w:sz="4" w:space="0"/>
            </w:tcBorders>
            <w:noWrap w:val="0"/>
            <w:vAlign w:val="center"/>
          </w:tcPr>
          <w:p w14:paraId="47951694">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0"/>
                <w:szCs w:val="20"/>
                <w:u w:val="none"/>
                <w:lang w:val="en-US" w:eastAsia="zh-CN" w:bidi="ar"/>
              </w:rPr>
              <w:t>传特</w:t>
            </w:r>
          </w:p>
        </w:tc>
        <w:tc>
          <w:tcPr>
            <w:tcW w:w="460" w:type="pct"/>
            <w:tcBorders>
              <w:top w:val="single" w:color="auto" w:sz="4" w:space="0"/>
              <w:left w:val="single" w:color="auto" w:sz="4" w:space="0"/>
              <w:bottom w:val="single" w:color="auto" w:sz="4" w:space="0"/>
              <w:right w:val="single" w:color="auto" w:sz="4" w:space="0"/>
            </w:tcBorders>
            <w:noWrap w:val="0"/>
            <w:vAlign w:val="center"/>
          </w:tcPr>
          <w:p w14:paraId="139748DD">
            <w:pPr>
              <w:jc w:val="center"/>
              <w:rPr>
                <w:rFonts w:hint="eastAsia" w:ascii="宋体" w:hAnsi="宋体" w:cs="宋体"/>
                <w:color w:val="auto"/>
                <w:kern w:val="0"/>
                <w:szCs w:val="21"/>
                <w:highlight w:val="none"/>
              </w:rPr>
            </w:pPr>
          </w:p>
        </w:tc>
        <w:tc>
          <w:tcPr>
            <w:tcW w:w="455" w:type="pct"/>
            <w:tcBorders>
              <w:top w:val="single" w:color="auto" w:sz="4" w:space="0"/>
              <w:left w:val="single" w:color="auto" w:sz="4" w:space="0"/>
              <w:bottom w:val="single" w:color="auto" w:sz="4" w:space="0"/>
              <w:right w:val="single" w:color="auto" w:sz="4" w:space="0"/>
            </w:tcBorders>
            <w:noWrap w:val="0"/>
            <w:vAlign w:val="center"/>
          </w:tcPr>
          <w:p w14:paraId="61338C7A">
            <w:pPr>
              <w:widowControl/>
              <w:rPr>
                <w:rFonts w:hint="eastAsia" w:ascii="宋体" w:hAnsi="宋体" w:cs="宋体"/>
                <w:color w:val="auto"/>
                <w:kern w:val="0"/>
                <w:szCs w:val="21"/>
                <w:highlight w:val="none"/>
              </w:rPr>
            </w:pPr>
          </w:p>
        </w:tc>
      </w:tr>
      <w:tr w14:paraId="7F11E8BE">
        <w:tblPrEx>
          <w:tblCellMar>
            <w:top w:w="0" w:type="dxa"/>
            <w:left w:w="108" w:type="dxa"/>
            <w:bottom w:w="0" w:type="dxa"/>
            <w:right w:w="108" w:type="dxa"/>
          </w:tblCellMar>
        </w:tblPrEx>
        <w:trPr>
          <w:trHeight w:val="487" w:hRule="atLeast"/>
          <w:jc w:val="center"/>
        </w:trPr>
        <w:tc>
          <w:tcPr>
            <w:tcW w:w="395" w:type="pct"/>
            <w:tcBorders>
              <w:top w:val="single" w:color="auto" w:sz="4" w:space="0"/>
              <w:left w:val="single" w:color="auto" w:sz="4" w:space="0"/>
              <w:bottom w:val="single" w:color="auto" w:sz="4" w:space="0"/>
              <w:right w:val="single" w:color="auto" w:sz="4" w:space="0"/>
            </w:tcBorders>
            <w:noWrap w:val="0"/>
            <w:vAlign w:val="center"/>
          </w:tcPr>
          <w:p w14:paraId="4FD94CDC">
            <w:pPr>
              <w:widowControl/>
              <w:jc w:val="both"/>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w:t>
            </w:r>
          </w:p>
        </w:tc>
        <w:tc>
          <w:tcPr>
            <w:tcW w:w="916" w:type="pct"/>
            <w:tcBorders>
              <w:top w:val="single" w:color="auto" w:sz="4" w:space="0"/>
              <w:left w:val="single" w:color="auto" w:sz="4" w:space="0"/>
              <w:bottom w:val="single" w:color="auto" w:sz="4" w:space="0"/>
              <w:right w:val="single" w:color="auto" w:sz="4" w:space="0"/>
            </w:tcBorders>
            <w:noWrap w:val="0"/>
            <w:vAlign w:val="center"/>
          </w:tcPr>
          <w:p w14:paraId="36FF9C07">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0"/>
                <w:szCs w:val="20"/>
                <w:u w:val="none"/>
                <w:lang w:val="en-US" w:eastAsia="zh-CN" w:bidi="ar"/>
              </w:rPr>
              <w:t>水泵</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59AB9CD9">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上海凯泉</w:t>
            </w:r>
          </w:p>
        </w:tc>
        <w:tc>
          <w:tcPr>
            <w:tcW w:w="527" w:type="pct"/>
            <w:tcBorders>
              <w:top w:val="single" w:color="auto" w:sz="4" w:space="0"/>
              <w:left w:val="single" w:color="auto" w:sz="4" w:space="0"/>
              <w:bottom w:val="single" w:color="auto" w:sz="4" w:space="0"/>
              <w:right w:val="single" w:color="auto" w:sz="4" w:space="0"/>
            </w:tcBorders>
            <w:noWrap w:val="0"/>
            <w:vAlign w:val="center"/>
          </w:tcPr>
          <w:p w14:paraId="287BDADE">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上海连城</w:t>
            </w:r>
          </w:p>
        </w:tc>
        <w:tc>
          <w:tcPr>
            <w:tcW w:w="549" w:type="pct"/>
            <w:tcBorders>
              <w:top w:val="single" w:color="auto" w:sz="4" w:space="0"/>
              <w:left w:val="single" w:color="auto" w:sz="4" w:space="0"/>
              <w:bottom w:val="single" w:color="auto" w:sz="4" w:space="0"/>
              <w:right w:val="single" w:color="auto" w:sz="4" w:space="0"/>
            </w:tcBorders>
            <w:noWrap w:val="0"/>
            <w:vAlign w:val="center"/>
          </w:tcPr>
          <w:p w14:paraId="367FE2AF">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山东双轮</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0169D682">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上海东方</w:t>
            </w:r>
          </w:p>
        </w:tc>
        <w:tc>
          <w:tcPr>
            <w:tcW w:w="561" w:type="pct"/>
            <w:tcBorders>
              <w:top w:val="single" w:color="auto" w:sz="4" w:space="0"/>
              <w:left w:val="single" w:color="auto" w:sz="4" w:space="0"/>
              <w:bottom w:val="single" w:color="auto" w:sz="4" w:space="0"/>
              <w:right w:val="single" w:color="auto" w:sz="4" w:space="0"/>
            </w:tcBorders>
            <w:noWrap w:val="0"/>
            <w:vAlign w:val="center"/>
          </w:tcPr>
          <w:p w14:paraId="6A82F8D6">
            <w:pPr>
              <w:jc w:val="center"/>
              <w:rPr>
                <w:rFonts w:hint="eastAsia" w:ascii="宋体" w:hAnsi="宋体" w:cs="宋体"/>
                <w:color w:val="auto"/>
                <w:kern w:val="0"/>
                <w:szCs w:val="21"/>
                <w:highlight w:val="none"/>
              </w:rPr>
            </w:pPr>
          </w:p>
        </w:tc>
        <w:tc>
          <w:tcPr>
            <w:tcW w:w="460" w:type="pct"/>
            <w:tcBorders>
              <w:top w:val="single" w:color="auto" w:sz="4" w:space="0"/>
              <w:left w:val="single" w:color="auto" w:sz="4" w:space="0"/>
              <w:bottom w:val="single" w:color="auto" w:sz="4" w:space="0"/>
              <w:right w:val="single" w:color="auto" w:sz="4" w:space="0"/>
            </w:tcBorders>
            <w:noWrap w:val="0"/>
            <w:vAlign w:val="center"/>
          </w:tcPr>
          <w:p w14:paraId="11BCA1DD">
            <w:pPr>
              <w:jc w:val="center"/>
              <w:rPr>
                <w:rFonts w:hint="eastAsia" w:ascii="宋体" w:hAnsi="宋体" w:cs="宋体"/>
                <w:color w:val="auto"/>
                <w:kern w:val="0"/>
                <w:szCs w:val="21"/>
                <w:highlight w:val="none"/>
              </w:rPr>
            </w:pPr>
          </w:p>
        </w:tc>
        <w:tc>
          <w:tcPr>
            <w:tcW w:w="455" w:type="pct"/>
            <w:tcBorders>
              <w:top w:val="single" w:color="auto" w:sz="4" w:space="0"/>
              <w:left w:val="single" w:color="auto" w:sz="4" w:space="0"/>
              <w:bottom w:val="single" w:color="auto" w:sz="4" w:space="0"/>
              <w:right w:val="single" w:color="auto" w:sz="4" w:space="0"/>
            </w:tcBorders>
            <w:noWrap w:val="0"/>
            <w:vAlign w:val="center"/>
          </w:tcPr>
          <w:p w14:paraId="219EDE42">
            <w:pPr>
              <w:widowControl/>
              <w:rPr>
                <w:rFonts w:hint="eastAsia" w:ascii="宋体" w:hAnsi="宋体" w:cs="宋体"/>
                <w:color w:val="auto"/>
                <w:kern w:val="0"/>
                <w:szCs w:val="21"/>
                <w:highlight w:val="none"/>
              </w:rPr>
            </w:pPr>
          </w:p>
        </w:tc>
      </w:tr>
      <w:tr w14:paraId="35622E9F">
        <w:tblPrEx>
          <w:tblCellMar>
            <w:top w:w="0" w:type="dxa"/>
            <w:left w:w="108" w:type="dxa"/>
            <w:bottom w:w="0" w:type="dxa"/>
            <w:right w:w="108" w:type="dxa"/>
          </w:tblCellMar>
        </w:tblPrEx>
        <w:trPr>
          <w:trHeight w:val="487" w:hRule="atLeast"/>
          <w:jc w:val="center"/>
        </w:trPr>
        <w:tc>
          <w:tcPr>
            <w:tcW w:w="395" w:type="pct"/>
            <w:tcBorders>
              <w:top w:val="single" w:color="auto" w:sz="4" w:space="0"/>
              <w:left w:val="single" w:color="auto" w:sz="4" w:space="0"/>
              <w:bottom w:val="single" w:color="auto" w:sz="4" w:space="0"/>
              <w:right w:val="single" w:color="auto" w:sz="4" w:space="0"/>
            </w:tcBorders>
            <w:noWrap w:val="0"/>
            <w:vAlign w:val="center"/>
          </w:tcPr>
          <w:p w14:paraId="78F6C78C">
            <w:pPr>
              <w:widowControl/>
              <w:jc w:val="both"/>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6</w:t>
            </w:r>
          </w:p>
        </w:tc>
        <w:tc>
          <w:tcPr>
            <w:tcW w:w="916" w:type="pct"/>
            <w:tcBorders>
              <w:top w:val="single" w:color="auto" w:sz="4" w:space="0"/>
              <w:left w:val="single" w:color="auto" w:sz="4" w:space="0"/>
              <w:bottom w:val="single" w:color="auto" w:sz="4" w:space="0"/>
              <w:right w:val="single" w:color="auto" w:sz="4" w:space="0"/>
            </w:tcBorders>
            <w:noWrap w:val="0"/>
            <w:vAlign w:val="center"/>
          </w:tcPr>
          <w:p w14:paraId="69692C38">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0"/>
                <w:szCs w:val="20"/>
                <w:u w:val="none"/>
                <w:lang w:val="en-US" w:eastAsia="zh-CN" w:bidi="ar"/>
              </w:rPr>
              <w:t>热排风机</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60383A86">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聚英</w:t>
            </w:r>
          </w:p>
        </w:tc>
        <w:tc>
          <w:tcPr>
            <w:tcW w:w="527" w:type="pct"/>
            <w:tcBorders>
              <w:top w:val="single" w:color="auto" w:sz="4" w:space="0"/>
              <w:left w:val="single" w:color="auto" w:sz="4" w:space="0"/>
              <w:bottom w:val="single" w:color="auto" w:sz="4" w:space="0"/>
              <w:right w:val="single" w:color="auto" w:sz="4" w:space="0"/>
            </w:tcBorders>
            <w:noWrap w:val="0"/>
            <w:vAlign w:val="center"/>
          </w:tcPr>
          <w:p w14:paraId="04CDDFF7">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英飞</w:t>
            </w:r>
          </w:p>
        </w:tc>
        <w:tc>
          <w:tcPr>
            <w:tcW w:w="549" w:type="pct"/>
            <w:tcBorders>
              <w:top w:val="single" w:color="auto" w:sz="4" w:space="0"/>
              <w:left w:val="single" w:color="auto" w:sz="4" w:space="0"/>
              <w:bottom w:val="single" w:color="auto" w:sz="4" w:space="0"/>
              <w:right w:val="single" w:color="auto" w:sz="4" w:space="0"/>
            </w:tcBorders>
            <w:noWrap w:val="0"/>
            <w:vAlign w:val="center"/>
          </w:tcPr>
          <w:p w14:paraId="447A9D78">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沃克</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4CC2646B">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顶裕</w:t>
            </w:r>
          </w:p>
        </w:tc>
        <w:tc>
          <w:tcPr>
            <w:tcW w:w="561" w:type="pct"/>
            <w:tcBorders>
              <w:top w:val="single" w:color="auto" w:sz="4" w:space="0"/>
              <w:left w:val="single" w:color="auto" w:sz="4" w:space="0"/>
              <w:bottom w:val="single" w:color="auto" w:sz="4" w:space="0"/>
              <w:right w:val="single" w:color="auto" w:sz="4" w:space="0"/>
            </w:tcBorders>
            <w:noWrap w:val="0"/>
            <w:vAlign w:val="center"/>
          </w:tcPr>
          <w:p w14:paraId="21884663">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0"/>
                <w:szCs w:val="20"/>
                <w:u w:val="none"/>
                <w:lang w:val="en-US" w:eastAsia="zh-CN" w:bidi="ar"/>
              </w:rPr>
              <w:t>恒驰</w:t>
            </w:r>
          </w:p>
        </w:tc>
        <w:tc>
          <w:tcPr>
            <w:tcW w:w="460" w:type="pct"/>
            <w:tcBorders>
              <w:top w:val="single" w:color="auto" w:sz="4" w:space="0"/>
              <w:left w:val="single" w:color="auto" w:sz="4" w:space="0"/>
              <w:bottom w:val="single" w:color="auto" w:sz="4" w:space="0"/>
              <w:right w:val="single" w:color="auto" w:sz="4" w:space="0"/>
            </w:tcBorders>
            <w:noWrap w:val="0"/>
            <w:vAlign w:val="center"/>
          </w:tcPr>
          <w:p w14:paraId="2A04E502">
            <w:pPr>
              <w:jc w:val="center"/>
              <w:rPr>
                <w:rFonts w:hint="eastAsia" w:ascii="宋体" w:hAnsi="宋体" w:cs="宋体"/>
                <w:color w:val="auto"/>
                <w:kern w:val="0"/>
                <w:szCs w:val="21"/>
                <w:highlight w:val="none"/>
              </w:rPr>
            </w:pPr>
          </w:p>
        </w:tc>
        <w:tc>
          <w:tcPr>
            <w:tcW w:w="455" w:type="pct"/>
            <w:tcBorders>
              <w:top w:val="single" w:color="auto" w:sz="4" w:space="0"/>
              <w:left w:val="single" w:color="auto" w:sz="4" w:space="0"/>
              <w:bottom w:val="single" w:color="auto" w:sz="4" w:space="0"/>
              <w:right w:val="single" w:color="auto" w:sz="4" w:space="0"/>
            </w:tcBorders>
            <w:noWrap w:val="0"/>
            <w:vAlign w:val="center"/>
          </w:tcPr>
          <w:p w14:paraId="037CB9B8">
            <w:pPr>
              <w:widowControl/>
              <w:rPr>
                <w:rFonts w:hint="eastAsia" w:ascii="宋体" w:hAnsi="宋体" w:cs="宋体"/>
                <w:color w:val="auto"/>
                <w:kern w:val="0"/>
                <w:szCs w:val="21"/>
                <w:highlight w:val="none"/>
              </w:rPr>
            </w:pPr>
          </w:p>
        </w:tc>
      </w:tr>
      <w:tr w14:paraId="4A93BC9A">
        <w:tblPrEx>
          <w:tblCellMar>
            <w:top w:w="0" w:type="dxa"/>
            <w:left w:w="108" w:type="dxa"/>
            <w:bottom w:w="0" w:type="dxa"/>
            <w:right w:w="108" w:type="dxa"/>
          </w:tblCellMar>
        </w:tblPrEx>
        <w:trPr>
          <w:trHeight w:val="487" w:hRule="atLeast"/>
          <w:jc w:val="center"/>
        </w:trPr>
        <w:tc>
          <w:tcPr>
            <w:tcW w:w="395" w:type="pct"/>
            <w:tcBorders>
              <w:top w:val="single" w:color="auto" w:sz="4" w:space="0"/>
              <w:left w:val="single" w:color="auto" w:sz="4" w:space="0"/>
              <w:bottom w:val="single" w:color="auto" w:sz="4" w:space="0"/>
              <w:right w:val="single" w:color="auto" w:sz="4" w:space="0"/>
            </w:tcBorders>
            <w:noWrap w:val="0"/>
            <w:vAlign w:val="center"/>
          </w:tcPr>
          <w:p w14:paraId="1BF56590">
            <w:pPr>
              <w:widowControl/>
              <w:jc w:val="both"/>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7</w:t>
            </w:r>
          </w:p>
        </w:tc>
        <w:tc>
          <w:tcPr>
            <w:tcW w:w="916" w:type="pct"/>
            <w:tcBorders>
              <w:top w:val="single" w:color="auto" w:sz="4" w:space="0"/>
              <w:left w:val="single" w:color="auto" w:sz="4" w:space="0"/>
              <w:bottom w:val="single" w:color="auto" w:sz="4" w:space="0"/>
              <w:right w:val="single" w:color="auto" w:sz="4" w:space="0"/>
            </w:tcBorders>
            <w:noWrap w:val="0"/>
            <w:vAlign w:val="center"/>
          </w:tcPr>
          <w:p w14:paraId="6EC8686E">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0"/>
                <w:szCs w:val="20"/>
                <w:u w:val="none"/>
                <w:lang w:val="en-US" w:eastAsia="zh-CN" w:bidi="ar"/>
              </w:rPr>
              <w:t>加湿器</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333B413C">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思探德</w:t>
            </w:r>
          </w:p>
        </w:tc>
        <w:tc>
          <w:tcPr>
            <w:tcW w:w="527" w:type="pct"/>
            <w:tcBorders>
              <w:top w:val="single" w:color="auto" w:sz="4" w:space="0"/>
              <w:left w:val="single" w:color="auto" w:sz="4" w:space="0"/>
              <w:bottom w:val="single" w:color="auto" w:sz="4" w:space="0"/>
              <w:right w:val="single" w:color="auto" w:sz="4" w:space="0"/>
            </w:tcBorders>
            <w:noWrap w:val="0"/>
            <w:vAlign w:val="center"/>
          </w:tcPr>
          <w:p w14:paraId="7A5F4602">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康迪</w:t>
            </w:r>
          </w:p>
        </w:tc>
        <w:tc>
          <w:tcPr>
            <w:tcW w:w="549" w:type="pct"/>
            <w:tcBorders>
              <w:top w:val="single" w:color="auto" w:sz="4" w:space="0"/>
              <w:left w:val="single" w:color="auto" w:sz="4" w:space="0"/>
              <w:bottom w:val="single" w:color="auto" w:sz="4" w:space="0"/>
              <w:right w:val="single" w:color="auto" w:sz="4" w:space="0"/>
            </w:tcBorders>
            <w:noWrap w:val="0"/>
            <w:vAlign w:val="center"/>
          </w:tcPr>
          <w:p w14:paraId="13FD1187">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湿王</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716CEC2B">
            <w:pPr>
              <w:jc w:val="center"/>
              <w:rPr>
                <w:rFonts w:hint="eastAsia" w:ascii="宋体" w:hAnsi="宋体" w:cs="宋体"/>
                <w:color w:val="auto"/>
                <w:sz w:val="22"/>
                <w:highlight w:val="none"/>
              </w:rPr>
            </w:pPr>
          </w:p>
        </w:tc>
        <w:tc>
          <w:tcPr>
            <w:tcW w:w="561" w:type="pct"/>
            <w:tcBorders>
              <w:top w:val="single" w:color="auto" w:sz="4" w:space="0"/>
              <w:left w:val="single" w:color="auto" w:sz="4" w:space="0"/>
              <w:bottom w:val="single" w:color="auto" w:sz="4" w:space="0"/>
              <w:right w:val="single" w:color="auto" w:sz="4" w:space="0"/>
            </w:tcBorders>
            <w:noWrap w:val="0"/>
            <w:vAlign w:val="center"/>
          </w:tcPr>
          <w:p w14:paraId="5A6D6317">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0"/>
                <w:szCs w:val="20"/>
                <w:u w:val="none"/>
                <w:lang w:val="en-US" w:eastAsia="zh-CN" w:bidi="ar"/>
              </w:rPr>
              <w:t>-</w:t>
            </w:r>
          </w:p>
        </w:tc>
        <w:tc>
          <w:tcPr>
            <w:tcW w:w="460" w:type="pct"/>
            <w:tcBorders>
              <w:top w:val="single" w:color="auto" w:sz="4" w:space="0"/>
              <w:left w:val="single" w:color="auto" w:sz="4" w:space="0"/>
              <w:bottom w:val="single" w:color="auto" w:sz="4" w:space="0"/>
              <w:right w:val="single" w:color="auto" w:sz="4" w:space="0"/>
            </w:tcBorders>
            <w:noWrap w:val="0"/>
            <w:vAlign w:val="center"/>
          </w:tcPr>
          <w:p w14:paraId="232028F9">
            <w:pPr>
              <w:jc w:val="center"/>
              <w:rPr>
                <w:rFonts w:hint="eastAsia" w:ascii="宋体" w:hAnsi="宋体" w:cs="宋体"/>
                <w:color w:val="auto"/>
                <w:kern w:val="0"/>
                <w:szCs w:val="21"/>
                <w:highlight w:val="none"/>
              </w:rPr>
            </w:pPr>
          </w:p>
        </w:tc>
        <w:tc>
          <w:tcPr>
            <w:tcW w:w="455" w:type="pct"/>
            <w:tcBorders>
              <w:top w:val="single" w:color="auto" w:sz="4" w:space="0"/>
              <w:left w:val="single" w:color="auto" w:sz="4" w:space="0"/>
              <w:bottom w:val="single" w:color="auto" w:sz="4" w:space="0"/>
              <w:right w:val="single" w:color="auto" w:sz="4" w:space="0"/>
            </w:tcBorders>
            <w:noWrap w:val="0"/>
            <w:vAlign w:val="center"/>
          </w:tcPr>
          <w:p w14:paraId="68CED4B1">
            <w:pPr>
              <w:widowControl/>
              <w:rPr>
                <w:rFonts w:hint="eastAsia" w:ascii="宋体" w:hAnsi="宋体" w:cs="宋体"/>
                <w:color w:val="auto"/>
                <w:kern w:val="0"/>
                <w:szCs w:val="21"/>
                <w:highlight w:val="none"/>
              </w:rPr>
            </w:pPr>
          </w:p>
        </w:tc>
      </w:tr>
      <w:tr w14:paraId="6AC8C332">
        <w:tblPrEx>
          <w:tblCellMar>
            <w:top w:w="0" w:type="dxa"/>
            <w:left w:w="108" w:type="dxa"/>
            <w:bottom w:w="0" w:type="dxa"/>
            <w:right w:w="108" w:type="dxa"/>
          </w:tblCellMar>
        </w:tblPrEx>
        <w:trPr>
          <w:trHeight w:val="487" w:hRule="atLeast"/>
          <w:jc w:val="center"/>
        </w:trPr>
        <w:tc>
          <w:tcPr>
            <w:tcW w:w="395" w:type="pct"/>
            <w:tcBorders>
              <w:top w:val="single" w:color="auto" w:sz="4" w:space="0"/>
              <w:left w:val="single" w:color="auto" w:sz="4" w:space="0"/>
              <w:bottom w:val="single" w:color="auto" w:sz="4" w:space="0"/>
              <w:right w:val="single" w:color="auto" w:sz="4" w:space="0"/>
            </w:tcBorders>
            <w:noWrap w:val="0"/>
            <w:vAlign w:val="center"/>
          </w:tcPr>
          <w:p w14:paraId="072D6C3E">
            <w:pPr>
              <w:widowControl/>
              <w:jc w:val="both"/>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8</w:t>
            </w:r>
          </w:p>
        </w:tc>
        <w:tc>
          <w:tcPr>
            <w:tcW w:w="916" w:type="pct"/>
            <w:tcBorders>
              <w:top w:val="single" w:color="auto" w:sz="4" w:space="0"/>
              <w:left w:val="single" w:color="auto" w:sz="4" w:space="0"/>
              <w:bottom w:val="single" w:color="auto" w:sz="4" w:space="0"/>
              <w:right w:val="single" w:color="auto" w:sz="4" w:space="0"/>
            </w:tcBorders>
            <w:noWrap w:val="0"/>
            <w:vAlign w:val="center"/>
          </w:tcPr>
          <w:p w14:paraId="66EC11D6">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0"/>
                <w:szCs w:val="20"/>
                <w:u w:val="none"/>
                <w:lang w:val="en-US" w:eastAsia="zh-CN" w:bidi="ar"/>
              </w:rPr>
              <w:t>多联机及分体空调</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25543AC7">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格力</w:t>
            </w:r>
          </w:p>
        </w:tc>
        <w:tc>
          <w:tcPr>
            <w:tcW w:w="527" w:type="pct"/>
            <w:tcBorders>
              <w:top w:val="single" w:color="auto" w:sz="4" w:space="0"/>
              <w:left w:val="single" w:color="auto" w:sz="4" w:space="0"/>
              <w:bottom w:val="single" w:color="auto" w:sz="4" w:space="0"/>
              <w:right w:val="single" w:color="auto" w:sz="4" w:space="0"/>
            </w:tcBorders>
            <w:noWrap w:val="0"/>
            <w:vAlign w:val="center"/>
          </w:tcPr>
          <w:p w14:paraId="167B262B">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美的</w:t>
            </w:r>
          </w:p>
        </w:tc>
        <w:tc>
          <w:tcPr>
            <w:tcW w:w="549" w:type="pct"/>
            <w:tcBorders>
              <w:top w:val="single" w:color="auto" w:sz="4" w:space="0"/>
              <w:left w:val="single" w:color="auto" w:sz="4" w:space="0"/>
              <w:bottom w:val="single" w:color="auto" w:sz="4" w:space="0"/>
              <w:right w:val="single" w:color="auto" w:sz="4" w:space="0"/>
            </w:tcBorders>
            <w:noWrap w:val="0"/>
            <w:vAlign w:val="center"/>
          </w:tcPr>
          <w:p w14:paraId="62062DF1">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天加</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4CF0D050">
            <w:pPr>
              <w:rPr>
                <w:rFonts w:hint="eastAsia" w:ascii="宋体" w:hAnsi="宋体" w:cs="宋体"/>
                <w:color w:val="auto"/>
                <w:sz w:val="22"/>
                <w:highlight w:val="none"/>
              </w:rPr>
            </w:pPr>
          </w:p>
        </w:tc>
        <w:tc>
          <w:tcPr>
            <w:tcW w:w="561" w:type="pct"/>
            <w:tcBorders>
              <w:top w:val="single" w:color="auto" w:sz="4" w:space="0"/>
              <w:left w:val="single" w:color="auto" w:sz="4" w:space="0"/>
              <w:bottom w:val="single" w:color="auto" w:sz="4" w:space="0"/>
              <w:right w:val="single" w:color="auto" w:sz="4" w:space="0"/>
            </w:tcBorders>
            <w:noWrap w:val="0"/>
            <w:vAlign w:val="center"/>
          </w:tcPr>
          <w:p w14:paraId="5E26E580">
            <w:pPr>
              <w:jc w:val="center"/>
              <w:rPr>
                <w:rFonts w:hint="eastAsia" w:ascii="宋体" w:hAnsi="宋体" w:cs="宋体"/>
                <w:color w:val="auto"/>
                <w:kern w:val="0"/>
                <w:szCs w:val="21"/>
                <w:highlight w:val="none"/>
              </w:rPr>
            </w:pPr>
          </w:p>
        </w:tc>
        <w:tc>
          <w:tcPr>
            <w:tcW w:w="460" w:type="pct"/>
            <w:tcBorders>
              <w:top w:val="single" w:color="auto" w:sz="4" w:space="0"/>
              <w:left w:val="single" w:color="auto" w:sz="4" w:space="0"/>
              <w:bottom w:val="single" w:color="auto" w:sz="4" w:space="0"/>
              <w:right w:val="single" w:color="auto" w:sz="4" w:space="0"/>
            </w:tcBorders>
            <w:noWrap w:val="0"/>
            <w:vAlign w:val="center"/>
          </w:tcPr>
          <w:p w14:paraId="508A28F2">
            <w:pPr>
              <w:jc w:val="center"/>
              <w:rPr>
                <w:rFonts w:hint="eastAsia" w:ascii="宋体" w:hAnsi="宋体" w:cs="宋体"/>
                <w:color w:val="auto"/>
                <w:kern w:val="0"/>
                <w:szCs w:val="21"/>
                <w:highlight w:val="none"/>
              </w:rPr>
            </w:pPr>
          </w:p>
        </w:tc>
        <w:tc>
          <w:tcPr>
            <w:tcW w:w="455" w:type="pct"/>
            <w:tcBorders>
              <w:top w:val="single" w:color="auto" w:sz="4" w:space="0"/>
              <w:left w:val="single" w:color="auto" w:sz="4" w:space="0"/>
              <w:bottom w:val="single" w:color="auto" w:sz="4" w:space="0"/>
              <w:right w:val="single" w:color="auto" w:sz="4" w:space="0"/>
            </w:tcBorders>
            <w:noWrap w:val="0"/>
            <w:vAlign w:val="center"/>
          </w:tcPr>
          <w:p w14:paraId="0CC53ECE">
            <w:pPr>
              <w:widowControl/>
              <w:rPr>
                <w:rFonts w:hint="eastAsia" w:ascii="宋体" w:hAnsi="宋体" w:cs="宋体"/>
                <w:color w:val="auto"/>
                <w:kern w:val="0"/>
                <w:szCs w:val="21"/>
                <w:highlight w:val="none"/>
              </w:rPr>
            </w:pPr>
          </w:p>
        </w:tc>
      </w:tr>
      <w:tr w14:paraId="471028E5">
        <w:tblPrEx>
          <w:tblCellMar>
            <w:top w:w="0" w:type="dxa"/>
            <w:left w:w="108" w:type="dxa"/>
            <w:bottom w:w="0" w:type="dxa"/>
            <w:right w:w="108" w:type="dxa"/>
          </w:tblCellMar>
        </w:tblPrEx>
        <w:trPr>
          <w:trHeight w:val="487" w:hRule="atLeast"/>
          <w:jc w:val="center"/>
        </w:trPr>
        <w:tc>
          <w:tcPr>
            <w:tcW w:w="395" w:type="pct"/>
            <w:tcBorders>
              <w:top w:val="single" w:color="auto" w:sz="4" w:space="0"/>
              <w:left w:val="single" w:color="auto" w:sz="4" w:space="0"/>
              <w:bottom w:val="single" w:color="auto" w:sz="4" w:space="0"/>
              <w:right w:val="single" w:color="auto" w:sz="4" w:space="0"/>
            </w:tcBorders>
            <w:noWrap w:val="0"/>
            <w:vAlign w:val="center"/>
          </w:tcPr>
          <w:p w14:paraId="09853529">
            <w:pPr>
              <w:widowControl/>
              <w:jc w:val="center"/>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9</w:t>
            </w:r>
          </w:p>
        </w:tc>
        <w:tc>
          <w:tcPr>
            <w:tcW w:w="916" w:type="pct"/>
            <w:tcBorders>
              <w:top w:val="single" w:color="auto" w:sz="4" w:space="0"/>
              <w:left w:val="single" w:color="auto" w:sz="4" w:space="0"/>
              <w:bottom w:val="single" w:color="auto" w:sz="4" w:space="0"/>
              <w:right w:val="single" w:color="auto" w:sz="4" w:space="0"/>
            </w:tcBorders>
            <w:noWrap w:val="0"/>
            <w:vAlign w:val="center"/>
          </w:tcPr>
          <w:p w14:paraId="624E9822">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0"/>
                <w:szCs w:val="20"/>
                <w:u w:val="none"/>
                <w:lang w:val="en-US" w:eastAsia="zh-CN" w:bidi="ar"/>
              </w:rPr>
              <w:t>空压机</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059C4FA5">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阿特拉斯</w:t>
            </w:r>
          </w:p>
        </w:tc>
        <w:tc>
          <w:tcPr>
            <w:tcW w:w="527" w:type="pct"/>
            <w:tcBorders>
              <w:top w:val="single" w:color="auto" w:sz="4" w:space="0"/>
              <w:left w:val="single" w:color="auto" w:sz="4" w:space="0"/>
              <w:bottom w:val="single" w:color="auto" w:sz="4" w:space="0"/>
              <w:right w:val="single" w:color="auto" w:sz="4" w:space="0"/>
            </w:tcBorders>
            <w:noWrap w:val="0"/>
            <w:vAlign w:val="center"/>
          </w:tcPr>
          <w:p w14:paraId="34930A51">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英格索兰</w:t>
            </w:r>
          </w:p>
        </w:tc>
        <w:tc>
          <w:tcPr>
            <w:tcW w:w="549" w:type="pct"/>
            <w:tcBorders>
              <w:top w:val="single" w:color="auto" w:sz="4" w:space="0"/>
              <w:left w:val="single" w:color="auto" w:sz="4" w:space="0"/>
              <w:bottom w:val="single" w:color="auto" w:sz="4" w:space="0"/>
              <w:right w:val="single" w:color="auto" w:sz="4" w:space="0"/>
            </w:tcBorders>
            <w:noWrap w:val="0"/>
            <w:vAlign w:val="center"/>
          </w:tcPr>
          <w:p w14:paraId="09BE347B">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寿力</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30C32F9C">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复盛</w:t>
            </w:r>
          </w:p>
        </w:tc>
        <w:tc>
          <w:tcPr>
            <w:tcW w:w="561" w:type="pct"/>
            <w:tcBorders>
              <w:top w:val="single" w:color="auto" w:sz="4" w:space="0"/>
              <w:left w:val="single" w:color="auto" w:sz="4" w:space="0"/>
              <w:bottom w:val="single" w:color="auto" w:sz="4" w:space="0"/>
              <w:right w:val="single" w:color="auto" w:sz="4" w:space="0"/>
            </w:tcBorders>
            <w:noWrap w:val="0"/>
            <w:vAlign w:val="center"/>
          </w:tcPr>
          <w:p w14:paraId="2858C16A">
            <w:pPr>
              <w:jc w:val="center"/>
              <w:rPr>
                <w:rFonts w:hint="eastAsia" w:ascii="宋体" w:hAnsi="宋体" w:cs="宋体"/>
                <w:color w:val="auto"/>
                <w:kern w:val="0"/>
                <w:szCs w:val="21"/>
                <w:highlight w:val="none"/>
              </w:rPr>
            </w:pPr>
          </w:p>
        </w:tc>
        <w:tc>
          <w:tcPr>
            <w:tcW w:w="460" w:type="pct"/>
            <w:tcBorders>
              <w:top w:val="single" w:color="auto" w:sz="4" w:space="0"/>
              <w:left w:val="single" w:color="auto" w:sz="4" w:space="0"/>
              <w:bottom w:val="single" w:color="auto" w:sz="4" w:space="0"/>
              <w:right w:val="single" w:color="auto" w:sz="4" w:space="0"/>
            </w:tcBorders>
            <w:noWrap w:val="0"/>
            <w:vAlign w:val="center"/>
          </w:tcPr>
          <w:p w14:paraId="4A009DDF">
            <w:pPr>
              <w:jc w:val="center"/>
              <w:rPr>
                <w:rFonts w:hint="eastAsia" w:ascii="宋体" w:hAnsi="宋体" w:cs="宋体"/>
                <w:color w:val="auto"/>
                <w:kern w:val="0"/>
                <w:szCs w:val="21"/>
                <w:highlight w:val="none"/>
              </w:rPr>
            </w:pPr>
          </w:p>
        </w:tc>
        <w:tc>
          <w:tcPr>
            <w:tcW w:w="455" w:type="pct"/>
            <w:tcBorders>
              <w:top w:val="single" w:color="auto" w:sz="4" w:space="0"/>
              <w:left w:val="single" w:color="auto" w:sz="4" w:space="0"/>
              <w:bottom w:val="single" w:color="auto" w:sz="4" w:space="0"/>
              <w:right w:val="single" w:color="auto" w:sz="4" w:space="0"/>
            </w:tcBorders>
            <w:noWrap w:val="0"/>
            <w:vAlign w:val="center"/>
          </w:tcPr>
          <w:p w14:paraId="0C3027CA">
            <w:pPr>
              <w:widowControl/>
              <w:rPr>
                <w:rFonts w:hint="eastAsia" w:ascii="宋体" w:hAnsi="宋体" w:cs="宋体"/>
                <w:color w:val="auto"/>
                <w:kern w:val="0"/>
                <w:szCs w:val="21"/>
                <w:highlight w:val="none"/>
              </w:rPr>
            </w:pPr>
          </w:p>
        </w:tc>
      </w:tr>
      <w:tr w14:paraId="4E2502C0">
        <w:tblPrEx>
          <w:tblCellMar>
            <w:top w:w="0" w:type="dxa"/>
            <w:left w:w="108" w:type="dxa"/>
            <w:bottom w:w="0" w:type="dxa"/>
            <w:right w:w="108" w:type="dxa"/>
          </w:tblCellMar>
        </w:tblPrEx>
        <w:trPr>
          <w:trHeight w:val="487" w:hRule="atLeast"/>
          <w:jc w:val="center"/>
        </w:trPr>
        <w:tc>
          <w:tcPr>
            <w:tcW w:w="395" w:type="pct"/>
            <w:tcBorders>
              <w:top w:val="single" w:color="auto" w:sz="4" w:space="0"/>
              <w:left w:val="single" w:color="auto" w:sz="4" w:space="0"/>
              <w:bottom w:val="single" w:color="auto" w:sz="4" w:space="0"/>
              <w:right w:val="single" w:color="auto" w:sz="4" w:space="0"/>
            </w:tcBorders>
            <w:noWrap w:val="0"/>
            <w:vAlign w:val="center"/>
          </w:tcPr>
          <w:p w14:paraId="656616D4">
            <w:pPr>
              <w:widowControl/>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10</w:t>
            </w:r>
          </w:p>
        </w:tc>
        <w:tc>
          <w:tcPr>
            <w:tcW w:w="916" w:type="pct"/>
            <w:tcBorders>
              <w:top w:val="single" w:color="auto" w:sz="4" w:space="0"/>
              <w:left w:val="single" w:color="auto" w:sz="4" w:space="0"/>
              <w:bottom w:val="single" w:color="auto" w:sz="4" w:space="0"/>
              <w:right w:val="single" w:color="auto" w:sz="4" w:space="0"/>
            </w:tcBorders>
            <w:noWrap w:val="0"/>
            <w:vAlign w:val="center"/>
          </w:tcPr>
          <w:p w14:paraId="58455453">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0"/>
                <w:szCs w:val="20"/>
                <w:u w:val="none"/>
                <w:lang w:val="en-US" w:eastAsia="zh-CN" w:bidi="ar"/>
              </w:rPr>
              <w:t>吸干机</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11CF9500">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汉粤</w:t>
            </w:r>
          </w:p>
        </w:tc>
        <w:tc>
          <w:tcPr>
            <w:tcW w:w="527" w:type="pct"/>
            <w:tcBorders>
              <w:top w:val="single" w:color="auto" w:sz="4" w:space="0"/>
              <w:left w:val="single" w:color="auto" w:sz="4" w:space="0"/>
              <w:bottom w:val="single" w:color="auto" w:sz="4" w:space="0"/>
              <w:right w:val="single" w:color="auto" w:sz="4" w:space="0"/>
            </w:tcBorders>
            <w:noWrap w:val="0"/>
            <w:vAlign w:val="center"/>
          </w:tcPr>
          <w:p w14:paraId="6CCF85D2">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山立</w:t>
            </w:r>
          </w:p>
        </w:tc>
        <w:tc>
          <w:tcPr>
            <w:tcW w:w="549" w:type="pct"/>
            <w:tcBorders>
              <w:top w:val="single" w:color="auto" w:sz="4" w:space="0"/>
              <w:left w:val="single" w:color="auto" w:sz="4" w:space="0"/>
              <w:bottom w:val="single" w:color="auto" w:sz="4" w:space="0"/>
              <w:right w:val="single" w:color="auto" w:sz="4" w:space="0"/>
            </w:tcBorders>
            <w:noWrap w:val="0"/>
            <w:vAlign w:val="center"/>
          </w:tcPr>
          <w:p w14:paraId="3F6B573A">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德马度</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05FD9013">
            <w:pPr>
              <w:jc w:val="center"/>
              <w:rPr>
                <w:rFonts w:hint="eastAsia" w:ascii="宋体" w:hAnsi="宋体" w:cs="宋体"/>
                <w:color w:val="auto"/>
                <w:sz w:val="22"/>
                <w:highlight w:val="none"/>
              </w:rPr>
            </w:pPr>
          </w:p>
        </w:tc>
        <w:tc>
          <w:tcPr>
            <w:tcW w:w="561" w:type="pct"/>
            <w:tcBorders>
              <w:top w:val="single" w:color="auto" w:sz="4" w:space="0"/>
              <w:left w:val="single" w:color="auto" w:sz="4" w:space="0"/>
              <w:bottom w:val="single" w:color="auto" w:sz="4" w:space="0"/>
              <w:right w:val="single" w:color="auto" w:sz="4" w:space="0"/>
            </w:tcBorders>
            <w:noWrap w:val="0"/>
            <w:vAlign w:val="center"/>
          </w:tcPr>
          <w:p w14:paraId="79B0EC4D">
            <w:pPr>
              <w:jc w:val="center"/>
              <w:rPr>
                <w:rFonts w:hint="eastAsia" w:ascii="宋体" w:hAnsi="宋体" w:cs="宋体"/>
                <w:color w:val="auto"/>
                <w:kern w:val="0"/>
                <w:szCs w:val="21"/>
                <w:highlight w:val="none"/>
              </w:rPr>
            </w:pPr>
          </w:p>
        </w:tc>
        <w:tc>
          <w:tcPr>
            <w:tcW w:w="460" w:type="pct"/>
            <w:tcBorders>
              <w:top w:val="single" w:color="auto" w:sz="4" w:space="0"/>
              <w:left w:val="single" w:color="auto" w:sz="4" w:space="0"/>
              <w:bottom w:val="single" w:color="auto" w:sz="4" w:space="0"/>
              <w:right w:val="single" w:color="auto" w:sz="4" w:space="0"/>
            </w:tcBorders>
            <w:noWrap w:val="0"/>
            <w:vAlign w:val="center"/>
          </w:tcPr>
          <w:p w14:paraId="3B179085">
            <w:pPr>
              <w:jc w:val="center"/>
              <w:rPr>
                <w:rFonts w:hint="eastAsia" w:ascii="宋体" w:hAnsi="宋体" w:cs="宋体"/>
                <w:color w:val="auto"/>
                <w:kern w:val="0"/>
                <w:szCs w:val="21"/>
                <w:highlight w:val="none"/>
              </w:rPr>
            </w:pPr>
          </w:p>
        </w:tc>
        <w:tc>
          <w:tcPr>
            <w:tcW w:w="455" w:type="pct"/>
            <w:tcBorders>
              <w:top w:val="single" w:color="auto" w:sz="4" w:space="0"/>
              <w:left w:val="single" w:color="auto" w:sz="4" w:space="0"/>
              <w:bottom w:val="single" w:color="auto" w:sz="4" w:space="0"/>
              <w:right w:val="single" w:color="auto" w:sz="4" w:space="0"/>
            </w:tcBorders>
            <w:noWrap w:val="0"/>
            <w:vAlign w:val="center"/>
          </w:tcPr>
          <w:p w14:paraId="4DA8A483">
            <w:pPr>
              <w:widowControl/>
              <w:rPr>
                <w:rFonts w:hint="eastAsia" w:ascii="宋体" w:hAnsi="宋体" w:cs="宋体"/>
                <w:color w:val="auto"/>
                <w:kern w:val="0"/>
                <w:szCs w:val="21"/>
                <w:highlight w:val="none"/>
              </w:rPr>
            </w:pPr>
          </w:p>
        </w:tc>
      </w:tr>
      <w:tr w14:paraId="0E7E2567">
        <w:tblPrEx>
          <w:tblCellMar>
            <w:top w:w="0" w:type="dxa"/>
            <w:left w:w="108" w:type="dxa"/>
            <w:bottom w:w="0" w:type="dxa"/>
            <w:right w:w="108" w:type="dxa"/>
          </w:tblCellMar>
        </w:tblPrEx>
        <w:trPr>
          <w:trHeight w:val="487" w:hRule="atLeast"/>
          <w:jc w:val="center"/>
        </w:trPr>
        <w:tc>
          <w:tcPr>
            <w:tcW w:w="395" w:type="pct"/>
            <w:tcBorders>
              <w:top w:val="single" w:color="auto" w:sz="4" w:space="0"/>
              <w:left w:val="single" w:color="auto" w:sz="4" w:space="0"/>
              <w:bottom w:val="single" w:color="auto" w:sz="4" w:space="0"/>
              <w:right w:val="single" w:color="auto" w:sz="4" w:space="0"/>
            </w:tcBorders>
            <w:noWrap w:val="0"/>
            <w:vAlign w:val="center"/>
          </w:tcPr>
          <w:p w14:paraId="17AA8FE7">
            <w:pPr>
              <w:widowControl/>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11</w:t>
            </w:r>
          </w:p>
        </w:tc>
        <w:tc>
          <w:tcPr>
            <w:tcW w:w="916" w:type="pct"/>
            <w:tcBorders>
              <w:top w:val="single" w:color="auto" w:sz="4" w:space="0"/>
              <w:left w:val="single" w:color="auto" w:sz="4" w:space="0"/>
              <w:bottom w:val="single" w:color="auto" w:sz="4" w:space="0"/>
              <w:right w:val="single" w:color="auto" w:sz="4" w:space="0"/>
            </w:tcBorders>
            <w:noWrap w:val="0"/>
            <w:vAlign w:val="center"/>
          </w:tcPr>
          <w:p w14:paraId="6A11ED3F">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0"/>
                <w:szCs w:val="20"/>
                <w:u w:val="none"/>
                <w:lang w:val="en-US" w:eastAsia="zh-CN" w:bidi="ar"/>
              </w:rPr>
              <w:t>真空泵</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23E3373C">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VPS</w:t>
            </w:r>
          </w:p>
        </w:tc>
        <w:tc>
          <w:tcPr>
            <w:tcW w:w="527" w:type="pct"/>
            <w:tcBorders>
              <w:top w:val="single" w:color="auto" w:sz="4" w:space="0"/>
              <w:left w:val="single" w:color="auto" w:sz="4" w:space="0"/>
              <w:bottom w:val="single" w:color="auto" w:sz="4" w:space="0"/>
              <w:right w:val="single" w:color="auto" w:sz="4" w:space="0"/>
            </w:tcBorders>
            <w:noWrap w:val="0"/>
            <w:vAlign w:val="center"/>
          </w:tcPr>
          <w:p w14:paraId="7C5943A6">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LK</w:t>
            </w:r>
          </w:p>
        </w:tc>
        <w:tc>
          <w:tcPr>
            <w:tcW w:w="549" w:type="pct"/>
            <w:tcBorders>
              <w:top w:val="single" w:color="auto" w:sz="4" w:space="0"/>
              <w:left w:val="single" w:color="auto" w:sz="4" w:space="0"/>
              <w:bottom w:val="single" w:color="auto" w:sz="4" w:space="0"/>
              <w:right w:val="single" w:color="auto" w:sz="4" w:space="0"/>
            </w:tcBorders>
            <w:noWrap w:val="0"/>
            <w:vAlign w:val="center"/>
          </w:tcPr>
          <w:p w14:paraId="4A0C03C3">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BUSCH</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1F08AAE1">
            <w:pPr>
              <w:jc w:val="center"/>
              <w:rPr>
                <w:rFonts w:hint="eastAsia" w:ascii="宋体" w:hAnsi="宋体" w:cs="宋体"/>
                <w:color w:val="auto"/>
                <w:sz w:val="22"/>
                <w:highlight w:val="none"/>
              </w:rPr>
            </w:pPr>
          </w:p>
        </w:tc>
        <w:tc>
          <w:tcPr>
            <w:tcW w:w="561" w:type="pct"/>
            <w:tcBorders>
              <w:top w:val="single" w:color="auto" w:sz="4" w:space="0"/>
              <w:left w:val="single" w:color="auto" w:sz="4" w:space="0"/>
              <w:bottom w:val="single" w:color="auto" w:sz="4" w:space="0"/>
              <w:right w:val="single" w:color="auto" w:sz="4" w:space="0"/>
            </w:tcBorders>
            <w:noWrap w:val="0"/>
            <w:vAlign w:val="center"/>
          </w:tcPr>
          <w:p w14:paraId="7101EBE2">
            <w:pPr>
              <w:jc w:val="center"/>
              <w:rPr>
                <w:rFonts w:hint="eastAsia" w:ascii="宋体" w:hAnsi="宋体" w:cs="宋体"/>
                <w:color w:val="auto"/>
                <w:kern w:val="0"/>
                <w:szCs w:val="21"/>
                <w:highlight w:val="none"/>
              </w:rPr>
            </w:pPr>
          </w:p>
        </w:tc>
        <w:tc>
          <w:tcPr>
            <w:tcW w:w="460" w:type="pct"/>
            <w:tcBorders>
              <w:top w:val="single" w:color="auto" w:sz="4" w:space="0"/>
              <w:left w:val="single" w:color="auto" w:sz="4" w:space="0"/>
              <w:bottom w:val="single" w:color="auto" w:sz="4" w:space="0"/>
              <w:right w:val="single" w:color="auto" w:sz="4" w:space="0"/>
            </w:tcBorders>
            <w:noWrap w:val="0"/>
            <w:vAlign w:val="center"/>
          </w:tcPr>
          <w:p w14:paraId="7D05A59B">
            <w:pPr>
              <w:jc w:val="center"/>
              <w:rPr>
                <w:rFonts w:hint="eastAsia" w:ascii="宋体" w:hAnsi="宋体" w:cs="宋体"/>
                <w:color w:val="auto"/>
                <w:kern w:val="0"/>
                <w:szCs w:val="21"/>
                <w:highlight w:val="none"/>
              </w:rPr>
            </w:pPr>
          </w:p>
        </w:tc>
        <w:tc>
          <w:tcPr>
            <w:tcW w:w="455" w:type="pct"/>
            <w:tcBorders>
              <w:top w:val="single" w:color="auto" w:sz="4" w:space="0"/>
              <w:left w:val="single" w:color="auto" w:sz="4" w:space="0"/>
              <w:bottom w:val="single" w:color="auto" w:sz="4" w:space="0"/>
              <w:right w:val="single" w:color="auto" w:sz="4" w:space="0"/>
            </w:tcBorders>
            <w:noWrap w:val="0"/>
            <w:vAlign w:val="center"/>
          </w:tcPr>
          <w:p w14:paraId="04F05771">
            <w:pPr>
              <w:widowControl/>
              <w:rPr>
                <w:rFonts w:hint="eastAsia" w:ascii="宋体" w:hAnsi="宋体" w:cs="宋体"/>
                <w:color w:val="auto"/>
                <w:kern w:val="0"/>
                <w:szCs w:val="21"/>
                <w:highlight w:val="none"/>
              </w:rPr>
            </w:pPr>
          </w:p>
        </w:tc>
      </w:tr>
      <w:tr w14:paraId="6651EF30">
        <w:tblPrEx>
          <w:tblCellMar>
            <w:top w:w="0" w:type="dxa"/>
            <w:left w:w="108" w:type="dxa"/>
            <w:bottom w:w="0" w:type="dxa"/>
            <w:right w:w="108" w:type="dxa"/>
          </w:tblCellMar>
        </w:tblPrEx>
        <w:trPr>
          <w:trHeight w:val="487" w:hRule="atLeast"/>
          <w:jc w:val="center"/>
        </w:trPr>
        <w:tc>
          <w:tcPr>
            <w:tcW w:w="395" w:type="pct"/>
            <w:tcBorders>
              <w:top w:val="single" w:color="auto" w:sz="4" w:space="0"/>
              <w:left w:val="single" w:color="auto" w:sz="4" w:space="0"/>
              <w:bottom w:val="single" w:color="auto" w:sz="4" w:space="0"/>
              <w:right w:val="single" w:color="auto" w:sz="4" w:space="0"/>
            </w:tcBorders>
            <w:noWrap w:val="0"/>
            <w:vAlign w:val="center"/>
          </w:tcPr>
          <w:p w14:paraId="06EEA40E">
            <w:pPr>
              <w:widowControl/>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12</w:t>
            </w:r>
          </w:p>
        </w:tc>
        <w:tc>
          <w:tcPr>
            <w:tcW w:w="916" w:type="pct"/>
            <w:tcBorders>
              <w:top w:val="single" w:color="auto" w:sz="4" w:space="0"/>
              <w:left w:val="single" w:color="auto" w:sz="4" w:space="0"/>
              <w:bottom w:val="single" w:color="auto" w:sz="4" w:space="0"/>
              <w:right w:val="single" w:color="auto" w:sz="4" w:space="0"/>
            </w:tcBorders>
            <w:noWrap w:val="0"/>
            <w:vAlign w:val="center"/>
          </w:tcPr>
          <w:p w14:paraId="145A0CE1">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0"/>
                <w:szCs w:val="20"/>
                <w:u w:val="none"/>
                <w:lang w:val="en-US" w:eastAsia="zh-CN" w:bidi="ar"/>
              </w:rPr>
              <w:t>布袋风管</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193830E2">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索斯风管</w:t>
            </w:r>
          </w:p>
        </w:tc>
        <w:tc>
          <w:tcPr>
            <w:tcW w:w="527" w:type="pct"/>
            <w:tcBorders>
              <w:top w:val="single" w:color="auto" w:sz="4" w:space="0"/>
              <w:left w:val="single" w:color="auto" w:sz="4" w:space="0"/>
              <w:bottom w:val="single" w:color="auto" w:sz="4" w:space="0"/>
              <w:right w:val="single" w:color="auto" w:sz="4" w:space="0"/>
            </w:tcBorders>
            <w:noWrap w:val="0"/>
            <w:vAlign w:val="center"/>
          </w:tcPr>
          <w:p w14:paraId="59EE4A5E">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博新布风管</w:t>
            </w:r>
          </w:p>
        </w:tc>
        <w:tc>
          <w:tcPr>
            <w:tcW w:w="549" w:type="pct"/>
            <w:tcBorders>
              <w:top w:val="single" w:color="auto" w:sz="4" w:space="0"/>
              <w:left w:val="single" w:color="auto" w:sz="4" w:space="0"/>
              <w:bottom w:val="single" w:color="auto" w:sz="4" w:space="0"/>
              <w:right w:val="single" w:color="auto" w:sz="4" w:space="0"/>
            </w:tcBorders>
            <w:noWrap w:val="0"/>
            <w:vAlign w:val="center"/>
          </w:tcPr>
          <w:p w14:paraId="4EA8ABC2">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互赢风管</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5F6E22BA">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0"/>
                <w:szCs w:val="20"/>
                <w:u w:val="none"/>
                <w:lang w:val="en-US" w:eastAsia="zh-CN" w:bidi="ar"/>
              </w:rPr>
              <w:t>织物空气</w:t>
            </w:r>
          </w:p>
        </w:tc>
        <w:tc>
          <w:tcPr>
            <w:tcW w:w="561" w:type="pct"/>
            <w:tcBorders>
              <w:top w:val="single" w:color="auto" w:sz="4" w:space="0"/>
              <w:left w:val="single" w:color="auto" w:sz="4" w:space="0"/>
              <w:bottom w:val="single" w:color="auto" w:sz="4" w:space="0"/>
              <w:right w:val="single" w:color="auto" w:sz="4" w:space="0"/>
            </w:tcBorders>
            <w:noWrap w:val="0"/>
            <w:vAlign w:val="center"/>
          </w:tcPr>
          <w:p w14:paraId="40229569">
            <w:pPr>
              <w:jc w:val="center"/>
              <w:rPr>
                <w:rFonts w:hint="eastAsia" w:ascii="宋体" w:hAnsi="宋体" w:cs="宋体"/>
                <w:color w:val="auto"/>
                <w:kern w:val="0"/>
                <w:szCs w:val="21"/>
                <w:highlight w:val="none"/>
              </w:rPr>
            </w:pPr>
          </w:p>
        </w:tc>
        <w:tc>
          <w:tcPr>
            <w:tcW w:w="460" w:type="pct"/>
            <w:tcBorders>
              <w:top w:val="single" w:color="auto" w:sz="4" w:space="0"/>
              <w:left w:val="single" w:color="auto" w:sz="4" w:space="0"/>
              <w:bottom w:val="single" w:color="auto" w:sz="4" w:space="0"/>
              <w:right w:val="single" w:color="auto" w:sz="4" w:space="0"/>
            </w:tcBorders>
            <w:noWrap w:val="0"/>
            <w:vAlign w:val="center"/>
          </w:tcPr>
          <w:p w14:paraId="64A0A533">
            <w:pPr>
              <w:jc w:val="center"/>
              <w:rPr>
                <w:rFonts w:hint="eastAsia" w:ascii="宋体" w:hAnsi="宋体" w:cs="宋体"/>
                <w:color w:val="auto"/>
                <w:kern w:val="0"/>
                <w:szCs w:val="21"/>
                <w:highlight w:val="none"/>
              </w:rPr>
            </w:pPr>
          </w:p>
        </w:tc>
        <w:tc>
          <w:tcPr>
            <w:tcW w:w="455" w:type="pct"/>
            <w:tcBorders>
              <w:top w:val="single" w:color="auto" w:sz="4" w:space="0"/>
              <w:left w:val="single" w:color="auto" w:sz="4" w:space="0"/>
              <w:bottom w:val="single" w:color="auto" w:sz="4" w:space="0"/>
              <w:right w:val="single" w:color="auto" w:sz="4" w:space="0"/>
            </w:tcBorders>
            <w:noWrap w:val="0"/>
            <w:vAlign w:val="center"/>
          </w:tcPr>
          <w:p w14:paraId="1396E536">
            <w:pPr>
              <w:widowControl/>
              <w:rPr>
                <w:rFonts w:hint="eastAsia" w:ascii="宋体" w:hAnsi="宋体" w:cs="宋体"/>
                <w:color w:val="auto"/>
                <w:kern w:val="0"/>
                <w:szCs w:val="21"/>
                <w:highlight w:val="none"/>
              </w:rPr>
            </w:pPr>
          </w:p>
        </w:tc>
      </w:tr>
      <w:tr w14:paraId="36D1A172">
        <w:tblPrEx>
          <w:tblCellMar>
            <w:top w:w="0" w:type="dxa"/>
            <w:left w:w="108" w:type="dxa"/>
            <w:bottom w:w="0" w:type="dxa"/>
            <w:right w:w="108" w:type="dxa"/>
          </w:tblCellMar>
        </w:tblPrEx>
        <w:trPr>
          <w:trHeight w:val="487" w:hRule="atLeast"/>
          <w:jc w:val="center"/>
        </w:trPr>
        <w:tc>
          <w:tcPr>
            <w:tcW w:w="5000" w:type="pct"/>
            <w:gridSpan w:val="9"/>
            <w:tcBorders>
              <w:top w:val="single" w:color="auto" w:sz="4" w:space="0"/>
              <w:left w:val="single" w:color="auto" w:sz="4" w:space="0"/>
              <w:bottom w:val="single" w:color="auto" w:sz="4" w:space="0"/>
              <w:right w:val="single" w:color="auto" w:sz="4" w:space="0"/>
            </w:tcBorders>
            <w:noWrap w:val="0"/>
            <w:vAlign w:val="center"/>
          </w:tcPr>
          <w:p w14:paraId="7DC5A305">
            <w:pPr>
              <w:widowControl/>
              <w:rPr>
                <w:rFonts w:hint="eastAsia" w:ascii="宋体" w:hAnsi="宋体" w:cs="宋体"/>
                <w:color w:val="auto"/>
                <w:kern w:val="0"/>
                <w:szCs w:val="21"/>
                <w:highlight w:val="none"/>
              </w:rPr>
            </w:pPr>
            <w:r>
              <w:rPr>
                <w:rFonts w:hint="eastAsia" w:ascii="宋体" w:hAnsi="宋体" w:cs="宋体"/>
                <w:color w:val="auto"/>
                <w:kern w:val="0"/>
                <w:szCs w:val="21"/>
                <w:highlight w:val="none"/>
              </w:rPr>
              <w:t>材料类——仪表类</w:t>
            </w:r>
          </w:p>
        </w:tc>
      </w:tr>
      <w:tr w14:paraId="15BE6105">
        <w:tblPrEx>
          <w:tblCellMar>
            <w:top w:w="0" w:type="dxa"/>
            <w:left w:w="108" w:type="dxa"/>
            <w:bottom w:w="0" w:type="dxa"/>
            <w:right w:w="108" w:type="dxa"/>
          </w:tblCellMar>
        </w:tblPrEx>
        <w:trPr>
          <w:trHeight w:val="487" w:hRule="atLeast"/>
          <w:jc w:val="center"/>
        </w:trPr>
        <w:tc>
          <w:tcPr>
            <w:tcW w:w="395" w:type="pct"/>
            <w:tcBorders>
              <w:top w:val="single" w:color="auto" w:sz="4" w:space="0"/>
              <w:left w:val="single" w:color="auto" w:sz="4" w:space="0"/>
              <w:bottom w:val="single" w:color="auto" w:sz="4" w:space="0"/>
              <w:right w:val="single" w:color="auto" w:sz="4" w:space="0"/>
            </w:tcBorders>
            <w:noWrap w:val="0"/>
            <w:vAlign w:val="center"/>
          </w:tcPr>
          <w:p w14:paraId="36382214">
            <w:pPr>
              <w:widowControl/>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w:t>
            </w:r>
          </w:p>
        </w:tc>
        <w:tc>
          <w:tcPr>
            <w:tcW w:w="916" w:type="pct"/>
            <w:tcBorders>
              <w:top w:val="single" w:color="auto" w:sz="4" w:space="0"/>
              <w:left w:val="single" w:color="auto" w:sz="4" w:space="0"/>
              <w:bottom w:val="single" w:color="auto" w:sz="4" w:space="0"/>
              <w:right w:val="single" w:color="auto" w:sz="4" w:space="0"/>
            </w:tcBorders>
            <w:noWrap w:val="0"/>
            <w:vAlign w:val="center"/>
          </w:tcPr>
          <w:p w14:paraId="1932A813">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2"/>
                <w:szCs w:val="22"/>
                <w:u w:val="none"/>
                <w:lang w:val="en-US" w:eastAsia="zh-CN" w:bidi="ar"/>
              </w:rPr>
              <w:t>流量计</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7FD313AA">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E+H</w:t>
            </w:r>
          </w:p>
        </w:tc>
        <w:tc>
          <w:tcPr>
            <w:tcW w:w="527" w:type="pct"/>
            <w:tcBorders>
              <w:top w:val="single" w:color="auto" w:sz="4" w:space="0"/>
              <w:left w:val="single" w:color="auto" w:sz="4" w:space="0"/>
              <w:bottom w:val="single" w:color="auto" w:sz="4" w:space="0"/>
              <w:right w:val="single" w:color="auto" w:sz="4" w:space="0"/>
            </w:tcBorders>
            <w:noWrap w:val="0"/>
            <w:vAlign w:val="center"/>
          </w:tcPr>
          <w:p w14:paraId="629DAF5D">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BANNA</w:t>
            </w:r>
          </w:p>
        </w:tc>
        <w:tc>
          <w:tcPr>
            <w:tcW w:w="549" w:type="pct"/>
            <w:tcBorders>
              <w:top w:val="single" w:color="auto" w:sz="4" w:space="0"/>
              <w:left w:val="single" w:color="auto" w:sz="4" w:space="0"/>
              <w:bottom w:val="single" w:color="auto" w:sz="4" w:space="0"/>
              <w:right w:val="single" w:color="auto" w:sz="4" w:space="0"/>
            </w:tcBorders>
            <w:noWrap w:val="0"/>
            <w:vAlign w:val="center"/>
          </w:tcPr>
          <w:p w14:paraId="0706E67F">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西门子</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40457E04">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CS</w:t>
            </w:r>
          </w:p>
        </w:tc>
        <w:tc>
          <w:tcPr>
            <w:tcW w:w="561" w:type="pct"/>
            <w:tcBorders>
              <w:top w:val="single" w:color="auto" w:sz="4" w:space="0"/>
              <w:left w:val="single" w:color="auto" w:sz="4" w:space="0"/>
              <w:bottom w:val="single" w:color="auto" w:sz="4" w:space="0"/>
              <w:right w:val="single" w:color="auto" w:sz="4" w:space="0"/>
            </w:tcBorders>
            <w:noWrap w:val="0"/>
            <w:vAlign w:val="center"/>
          </w:tcPr>
          <w:p w14:paraId="3D70CCC4">
            <w:pPr>
              <w:jc w:val="center"/>
              <w:rPr>
                <w:rFonts w:hint="eastAsia" w:ascii="宋体" w:hAnsi="宋体" w:cs="宋体"/>
                <w:color w:val="auto"/>
                <w:kern w:val="0"/>
                <w:szCs w:val="21"/>
                <w:highlight w:val="none"/>
              </w:rPr>
            </w:pPr>
          </w:p>
        </w:tc>
        <w:tc>
          <w:tcPr>
            <w:tcW w:w="460" w:type="pct"/>
            <w:tcBorders>
              <w:top w:val="single" w:color="auto" w:sz="4" w:space="0"/>
              <w:left w:val="single" w:color="auto" w:sz="4" w:space="0"/>
              <w:bottom w:val="single" w:color="auto" w:sz="4" w:space="0"/>
              <w:right w:val="single" w:color="auto" w:sz="4" w:space="0"/>
            </w:tcBorders>
            <w:noWrap w:val="0"/>
            <w:vAlign w:val="center"/>
          </w:tcPr>
          <w:p w14:paraId="26CF5A77">
            <w:pPr>
              <w:jc w:val="center"/>
              <w:rPr>
                <w:rFonts w:hint="eastAsia" w:ascii="宋体" w:hAnsi="宋体" w:cs="宋体"/>
                <w:color w:val="auto"/>
                <w:kern w:val="0"/>
                <w:szCs w:val="21"/>
                <w:highlight w:val="none"/>
              </w:rPr>
            </w:pPr>
          </w:p>
        </w:tc>
        <w:tc>
          <w:tcPr>
            <w:tcW w:w="455" w:type="pct"/>
            <w:tcBorders>
              <w:top w:val="single" w:color="auto" w:sz="4" w:space="0"/>
              <w:left w:val="single" w:color="auto" w:sz="4" w:space="0"/>
              <w:bottom w:val="single" w:color="auto" w:sz="4" w:space="0"/>
              <w:right w:val="single" w:color="auto" w:sz="4" w:space="0"/>
            </w:tcBorders>
            <w:noWrap w:val="0"/>
            <w:vAlign w:val="center"/>
          </w:tcPr>
          <w:p w14:paraId="542B3621">
            <w:pPr>
              <w:widowControl/>
              <w:rPr>
                <w:rFonts w:hint="eastAsia" w:ascii="宋体" w:hAnsi="宋体" w:cs="宋体"/>
                <w:color w:val="auto"/>
                <w:kern w:val="0"/>
                <w:szCs w:val="21"/>
                <w:highlight w:val="none"/>
              </w:rPr>
            </w:pPr>
          </w:p>
        </w:tc>
      </w:tr>
      <w:tr w14:paraId="6D8DD2EC">
        <w:tblPrEx>
          <w:tblCellMar>
            <w:top w:w="0" w:type="dxa"/>
            <w:left w:w="108" w:type="dxa"/>
            <w:bottom w:w="0" w:type="dxa"/>
            <w:right w:w="108" w:type="dxa"/>
          </w:tblCellMar>
        </w:tblPrEx>
        <w:trPr>
          <w:trHeight w:val="487" w:hRule="atLeast"/>
          <w:jc w:val="center"/>
        </w:trPr>
        <w:tc>
          <w:tcPr>
            <w:tcW w:w="395" w:type="pct"/>
            <w:tcBorders>
              <w:top w:val="single" w:color="auto" w:sz="4" w:space="0"/>
              <w:left w:val="single" w:color="auto" w:sz="4" w:space="0"/>
              <w:bottom w:val="single" w:color="auto" w:sz="4" w:space="0"/>
              <w:right w:val="single" w:color="auto" w:sz="4" w:space="0"/>
            </w:tcBorders>
            <w:noWrap w:val="0"/>
            <w:vAlign w:val="center"/>
          </w:tcPr>
          <w:p w14:paraId="1B35217A">
            <w:pPr>
              <w:widowControl/>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2</w:t>
            </w:r>
          </w:p>
        </w:tc>
        <w:tc>
          <w:tcPr>
            <w:tcW w:w="916" w:type="pct"/>
            <w:tcBorders>
              <w:top w:val="single" w:color="auto" w:sz="4" w:space="0"/>
              <w:left w:val="single" w:color="auto" w:sz="4" w:space="0"/>
              <w:bottom w:val="single" w:color="auto" w:sz="4" w:space="0"/>
              <w:right w:val="single" w:color="auto" w:sz="4" w:space="0"/>
            </w:tcBorders>
            <w:noWrap w:val="0"/>
            <w:vAlign w:val="center"/>
          </w:tcPr>
          <w:p w14:paraId="7185062A">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2"/>
                <w:szCs w:val="22"/>
                <w:u w:val="none"/>
                <w:lang w:val="en-US" w:eastAsia="zh-CN" w:bidi="ar"/>
              </w:rPr>
              <w:t>冷热量计</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3775D3B0">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深圳建恒</w:t>
            </w:r>
          </w:p>
        </w:tc>
        <w:tc>
          <w:tcPr>
            <w:tcW w:w="527" w:type="pct"/>
            <w:tcBorders>
              <w:top w:val="single" w:color="auto" w:sz="4" w:space="0"/>
              <w:left w:val="single" w:color="auto" w:sz="4" w:space="0"/>
              <w:bottom w:val="single" w:color="auto" w:sz="4" w:space="0"/>
              <w:right w:val="single" w:color="auto" w:sz="4" w:space="0"/>
            </w:tcBorders>
            <w:noWrap w:val="0"/>
            <w:vAlign w:val="center"/>
          </w:tcPr>
          <w:p w14:paraId="11C10EA9">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川仪</w:t>
            </w:r>
          </w:p>
        </w:tc>
        <w:tc>
          <w:tcPr>
            <w:tcW w:w="549" w:type="pct"/>
            <w:tcBorders>
              <w:top w:val="single" w:color="auto" w:sz="4" w:space="0"/>
              <w:left w:val="single" w:color="auto" w:sz="4" w:space="0"/>
              <w:bottom w:val="single" w:color="auto" w:sz="4" w:space="0"/>
              <w:right w:val="single" w:color="auto" w:sz="4" w:space="0"/>
            </w:tcBorders>
            <w:noWrap w:val="0"/>
            <w:vAlign w:val="center"/>
          </w:tcPr>
          <w:p w14:paraId="1A4323DA">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上海安钧</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035ECF42">
            <w:pPr>
              <w:jc w:val="center"/>
              <w:rPr>
                <w:rFonts w:hint="eastAsia" w:ascii="宋体" w:hAnsi="宋体" w:cs="宋体"/>
                <w:color w:val="auto"/>
                <w:sz w:val="22"/>
                <w:highlight w:val="none"/>
              </w:rPr>
            </w:pPr>
          </w:p>
        </w:tc>
        <w:tc>
          <w:tcPr>
            <w:tcW w:w="561" w:type="pct"/>
            <w:tcBorders>
              <w:top w:val="single" w:color="auto" w:sz="4" w:space="0"/>
              <w:left w:val="single" w:color="auto" w:sz="4" w:space="0"/>
              <w:bottom w:val="single" w:color="auto" w:sz="4" w:space="0"/>
              <w:right w:val="single" w:color="auto" w:sz="4" w:space="0"/>
            </w:tcBorders>
            <w:noWrap w:val="0"/>
            <w:vAlign w:val="center"/>
          </w:tcPr>
          <w:p w14:paraId="24563678">
            <w:pPr>
              <w:jc w:val="center"/>
              <w:rPr>
                <w:rFonts w:hint="eastAsia" w:ascii="宋体" w:hAnsi="宋体" w:cs="宋体"/>
                <w:color w:val="auto"/>
                <w:kern w:val="0"/>
                <w:szCs w:val="21"/>
                <w:highlight w:val="none"/>
              </w:rPr>
            </w:pPr>
          </w:p>
        </w:tc>
        <w:tc>
          <w:tcPr>
            <w:tcW w:w="460" w:type="pct"/>
            <w:tcBorders>
              <w:top w:val="single" w:color="auto" w:sz="4" w:space="0"/>
              <w:left w:val="single" w:color="auto" w:sz="4" w:space="0"/>
              <w:bottom w:val="single" w:color="auto" w:sz="4" w:space="0"/>
              <w:right w:val="single" w:color="auto" w:sz="4" w:space="0"/>
            </w:tcBorders>
            <w:noWrap w:val="0"/>
            <w:vAlign w:val="center"/>
          </w:tcPr>
          <w:p w14:paraId="7E71A838">
            <w:pPr>
              <w:jc w:val="center"/>
              <w:rPr>
                <w:rFonts w:hint="eastAsia" w:ascii="宋体" w:hAnsi="宋体" w:cs="宋体"/>
                <w:color w:val="auto"/>
                <w:kern w:val="0"/>
                <w:szCs w:val="21"/>
                <w:highlight w:val="none"/>
              </w:rPr>
            </w:pPr>
          </w:p>
        </w:tc>
        <w:tc>
          <w:tcPr>
            <w:tcW w:w="455" w:type="pct"/>
            <w:tcBorders>
              <w:top w:val="single" w:color="auto" w:sz="4" w:space="0"/>
              <w:left w:val="single" w:color="auto" w:sz="4" w:space="0"/>
              <w:bottom w:val="single" w:color="auto" w:sz="4" w:space="0"/>
              <w:right w:val="single" w:color="auto" w:sz="4" w:space="0"/>
            </w:tcBorders>
            <w:noWrap w:val="0"/>
            <w:vAlign w:val="center"/>
          </w:tcPr>
          <w:p w14:paraId="2CBC8877">
            <w:pPr>
              <w:widowControl/>
              <w:rPr>
                <w:rFonts w:hint="eastAsia" w:ascii="宋体" w:hAnsi="宋体" w:cs="宋体"/>
                <w:color w:val="auto"/>
                <w:kern w:val="0"/>
                <w:szCs w:val="21"/>
                <w:highlight w:val="none"/>
              </w:rPr>
            </w:pPr>
          </w:p>
        </w:tc>
      </w:tr>
      <w:tr w14:paraId="2271D03F">
        <w:tblPrEx>
          <w:tblCellMar>
            <w:top w:w="0" w:type="dxa"/>
            <w:left w:w="108" w:type="dxa"/>
            <w:bottom w:w="0" w:type="dxa"/>
            <w:right w:w="108" w:type="dxa"/>
          </w:tblCellMar>
        </w:tblPrEx>
        <w:trPr>
          <w:trHeight w:val="487" w:hRule="atLeast"/>
          <w:jc w:val="center"/>
        </w:trPr>
        <w:tc>
          <w:tcPr>
            <w:tcW w:w="395" w:type="pct"/>
            <w:tcBorders>
              <w:top w:val="single" w:color="auto" w:sz="4" w:space="0"/>
              <w:left w:val="single" w:color="auto" w:sz="4" w:space="0"/>
              <w:bottom w:val="single" w:color="auto" w:sz="4" w:space="0"/>
              <w:right w:val="single" w:color="auto" w:sz="4" w:space="0"/>
            </w:tcBorders>
            <w:noWrap w:val="0"/>
            <w:vAlign w:val="center"/>
          </w:tcPr>
          <w:p w14:paraId="3EE833BE">
            <w:pPr>
              <w:widowControl/>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3</w:t>
            </w:r>
          </w:p>
        </w:tc>
        <w:tc>
          <w:tcPr>
            <w:tcW w:w="916" w:type="pct"/>
            <w:tcBorders>
              <w:top w:val="single" w:color="auto" w:sz="4" w:space="0"/>
              <w:left w:val="single" w:color="auto" w:sz="4" w:space="0"/>
              <w:bottom w:val="single" w:color="auto" w:sz="4" w:space="0"/>
              <w:right w:val="single" w:color="auto" w:sz="4" w:space="0"/>
            </w:tcBorders>
            <w:noWrap w:val="0"/>
            <w:vAlign w:val="center"/>
          </w:tcPr>
          <w:p w14:paraId="0536F724">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2"/>
                <w:szCs w:val="22"/>
                <w:u w:val="none"/>
                <w:lang w:val="en-US" w:eastAsia="zh-CN" w:bidi="ar"/>
              </w:rPr>
              <w:t>工业交换机</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4F9A3312">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华为</w:t>
            </w:r>
          </w:p>
        </w:tc>
        <w:tc>
          <w:tcPr>
            <w:tcW w:w="527" w:type="pct"/>
            <w:tcBorders>
              <w:top w:val="single" w:color="auto" w:sz="4" w:space="0"/>
              <w:left w:val="single" w:color="auto" w:sz="4" w:space="0"/>
              <w:bottom w:val="single" w:color="auto" w:sz="4" w:space="0"/>
              <w:right w:val="single" w:color="auto" w:sz="4" w:space="0"/>
            </w:tcBorders>
            <w:noWrap w:val="0"/>
            <w:vAlign w:val="center"/>
          </w:tcPr>
          <w:p w14:paraId="7B13C084">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H3C技</w:t>
            </w:r>
          </w:p>
        </w:tc>
        <w:tc>
          <w:tcPr>
            <w:tcW w:w="549" w:type="pct"/>
            <w:tcBorders>
              <w:top w:val="single" w:color="auto" w:sz="4" w:space="0"/>
              <w:left w:val="single" w:color="auto" w:sz="4" w:space="0"/>
              <w:bottom w:val="single" w:color="auto" w:sz="4" w:space="0"/>
              <w:right w:val="single" w:color="auto" w:sz="4" w:space="0"/>
            </w:tcBorders>
            <w:noWrap w:val="0"/>
            <w:vAlign w:val="center"/>
          </w:tcPr>
          <w:p w14:paraId="5B5B3B7F">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东土科</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4C911793">
            <w:pPr>
              <w:jc w:val="center"/>
              <w:rPr>
                <w:rFonts w:hint="eastAsia" w:ascii="宋体" w:hAnsi="宋体" w:cs="宋体"/>
                <w:color w:val="auto"/>
                <w:sz w:val="22"/>
                <w:highlight w:val="none"/>
              </w:rPr>
            </w:pPr>
          </w:p>
        </w:tc>
        <w:tc>
          <w:tcPr>
            <w:tcW w:w="561" w:type="pct"/>
            <w:tcBorders>
              <w:top w:val="single" w:color="auto" w:sz="4" w:space="0"/>
              <w:left w:val="single" w:color="auto" w:sz="4" w:space="0"/>
              <w:bottom w:val="single" w:color="auto" w:sz="4" w:space="0"/>
              <w:right w:val="single" w:color="auto" w:sz="4" w:space="0"/>
            </w:tcBorders>
            <w:noWrap w:val="0"/>
            <w:vAlign w:val="center"/>
          </w:tcPr>
          <w:p w14:paraId="08F542B4">
            <w:pPr>
              <w:jc w:val="center"/>
              <w:rPr>
                <w:rFonts w:hint="eastAsia" w:ascii="宋体" w:hAnsi="宋体" w:cs="宋体"/>
                <w:color w:val="auto"/>
                <w:kern w:val="0"/>
                <w:szCs w:val="21"/>
                <w:highlight w:val="none"/>
              </w:rPr>
            </w:pPr>
          </w:p>
        </w:tc>
        <w:tc>
          <w:tcPr>
            <w:tcW w:w="460" w:type="pct"/>
            <w:tcBorders>
              <w:top w:val="single" w:color="auto" w:sz="4" w:space="0"/>
              <w:left w:val="single" w:color="auto" w:sz="4" w:space="0"/>
              <w:bottom w:val="single" w:color="auto" w:sz="4" w:space="0"/>
              <w:right w:val="single" w:color="auto" w:sz="4" w:space="0"/>
            </w:tcBorders>
            <w:noWrap w:val="0"/>
            <w:vAlign w:val="center"/>
          </w:tcPr>
          <w:p w14:paraId="3731F1C2">
            <w:pPr>
              <w:jc w:val="center"/>
              <w:rPr>
                <w:rFonts w:hint="eastAsia" w:ascii="宋体" w:hAnsi="宋体" w:cs="宋体"/>
                <w:color w:val="auto"/>
                <w:kern w:val="0"/>
                <w:szCs w:val="21"/>
                <w:highlight w:val="none"/>
              </w:rPr>
            </w:pPr>
          </w:p>
        </w:tc>
        <w:tc>
          <w:tcPr>
            <w:tcW w:w="455" w:type="pct"/>
            <w:tcBorders>
              <w:top w:val="single" w:color="auto" w:sz="4" w:space="0"/>
              <w:left w:val="single" w:color="auto" w:sz="4" w:space="0"/>
              <w:bottom w:val="single" w:color="auto" w:sz="4" w:space="0"/>
              <w:right w:val="single" w:color="auto" w:sz="4" w:space="0"/>
            </w:tcBorders>
            <w:noWrap w:val="0"/>
            <w:vAlign w:val="center"/>
          </w:tcPr>
          <w:p w14:paraId="4E57D8AC">
            <w:pPr>
              <w:widowControl/>
              <w:rPr>
                <w:rFonts w:hint="eastAsia" w:ascii="宋体" w:hAnsi="宋体" w:cs="宋体"/>
                <w:color w:val="auto"/>
                <w:kern w:val="0"/>
                <w:szCs w:val="21"/>
                <w:highlight w:val="none"/>
              </w:rPr>
            </w:pPr>
          </w:p>
        </w:tc>
      </w:tr>
      <w:tr w14:paraId="38026263">
        <w:tblPrEx>
          <w:tblCellMar>
            <w:top w:w="0" w:type="dxa"/>
            <w:left w:w="108" w:type="dxa"/>
            <w:bottom w:w="0" w:type="dxa"/>
            <w:right w:w="108" w:type="dxa"/>
          </w:tblCellMar>
        </w:tblPrEx>
        <w:trPr>
          <w:trHeight w:val="487" w:hRule="atLeast"/>
          <w:jc w:val="center"/>
        </w:trPr>
        <w:tc>
          <w:tcPr>
            <w:tcW w:w="395" w:type="pct"/>
            <w:tcBorders>
              <w:top w:val="single" w:color="auto" w:sz="4" w:space="0"/>
              <w:left w:val="single" w:color="auto" w:sz="4" w:space="0"/>
              <w:bottom w:val="single" w:color="auto" w:sz="4" w:space="0"/>
              <w:right w:val="single" w:color="auto" w:sz="4" w:space="0"/>
            </w:tcBorders>
            <w:noWrap w:val="0"/>
            <w:vAlign w:val="center"/>
          </w:tcPr>
          <w:p w14:paraId="7FB8E592">
            <w:pPr>
              <w:widowControl/>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4</w:t>
            </w:r>
          </w:p>
        </w:tc>
        <w:tc>
          <w:tcPr>
            <w:tcW w:w="916" w:type="pct"/>
            <w:tcBorders>
              <w:top w:val="single" w:color="auto" w:sz="4" w:space="0"/>
              <w:left w:val="single" w:color="auto" w:sz="4" w:space="0"/>
              <w:bottom w:val="single" w:color="auto" w:sz="4" w:space="0"/>
              <w:right w:val="single" w:color="auto" w:sz="4" w:space="0"/>
            </w:tcBorders>
            <w:noWrap w:val="0"/>
            <w:vAlign w:val="center"/>
          </w:tcPr>
          <w:p w14:paraId="7983C473">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2"/>
                <w:szCs w:val="22"/>
                <w:u w:val="none"/>
                <w:lang w:val="en-US" w:eastAsia="zh-CN" w:bidi="ar"/>
              </w:rPr>
              <w:t>通讯网关</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0F9EF67A">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MOXA</w:t>
            </w:r>
          </w:p>
        </w:tc>
        <w:tc>
          <w:tcPr>
            <w:tcW w:w="527" w:type="pct"/>
            <w:tcBorders>
              <w:top w:val="single" w:color="auto" w:sz="4" w:space="0"/>
              <w:left w:val="single" w:color="auto" w:sz="4" w:space="0"/>
              <w:bottom w:val="single" w:color="auto" w:sz="4" w:space="0"/>
              <w:right w:val="single" w:color="auto" w:sz="4" w:space="0"/>
            </w:tcBorders>
            <w:noWrap w:val="0"/>
            <w:vAlign w:val="center"/>
          </w:tcPr>
          <w:p w14:paraId="71127B81">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三旺通信</w:t>
            </w:r>
          </w:p>
        </w:tc>
        <w:tc>
          <w:tcPr>
            <w:tcW w:w="549" w:type="pct"/>
            <w:tcBorders>
              <w:top w:val="single" w:color="auto" w:sz="4" w:space="0"/>
              <w:left w:val="single" w:color="auto" w:sz="4" w:space="0"/>
              <w:bottom w:val="single" w:color="auto" w:sz="4" w:space="0"/>
              <w:right w:val="single" w:color="auto" w:sz="4" w:space="0"/>
            </w:tcBorders>
            <w:noWrap w:val="0"/>
            <w:vAlign w:val="center"/>
          </w:tcPr>
          <w:p w14:paraId="2B3DD3C4">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东土科技</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29AA8D0C">
            <w:pPr>
              <w:jc w:val="center"/>
              <w:rPr>
                <w:rFonts w:hint="eastAsia" w:ascii="宋体" w:hAnsi="宋体" w:cs="宋体"/>
                <w:color w:val="auto"/>
                <w:sz w:val="22"/>
                <w:highlight w:val="none"/>
              </w:rPr>
            </w:pPr>
          </w:p>
        </w:tc>
        <w:tc>
          <w:tcPr>
            <w:tcW w:w="561" w:type="pct"/>
            <w:tcBorders>
              <w:top w:val="single" w:color="auto" w:sz="4" w:space="0"/>
              <w:left w:val="single" w:color="auto" w:sz="4" w:space="0"/>
              <w:bottom w:val="single" w:color="auto" w:sz="4" w:space="0"/>
              <w:right w:val="single" w:color="auto" w:sz="4" w:space="0"/>
            </w:tcBorders>
            <w:noWrap w:val="0"/>
            <w:vAlign w:val="center"/>
          </w:tcPr>
          <w:p w14:paraId="0E5D2F0D">
            <w:pPr>
              <w:jc w:val="center"/>
              <w:rPr>
                <w:rFonts w:hint="eastAsia" w:ascii="宋体" w:hAnsi="宋体" w:cs="宋体"/>
                <w:color w:val="auto"/>
                <w:kern w:val="0"/>
                <w:szCs w:val="21"/>
                <w:highlight w:val="none"/>
              </w:rPr>
            </w:pPr>
          </w:p>
        </w:tc>
        <w:tc>
          <w:tcPr>
            <w:tcW w:w="460" w:type="pct"/>
            <w:tcBorders>
              <w:top w:val="single" w:color="auto" w:sz="4" w:space="0"/>
              <w:left w:val="single" w:color="auto" w:sz="4" w:space="0"/>
              <w:bottom w:val="single" w:color="auto" w:sz="4" w:space="0"/>
              <w:right w:val="single" w:color="auto" w:sz="4" w:space="0"/>
            </w:tcBorders>
            <w:noWrap w:val="0"/>
            <w:vAlign w:val="center"/>
          </w:tcPr>
          <w:p w14:paraId="75761852">
            <w:pPr>
              <w:jc w:val="center"/>
              <w:rPr>
                <w:rFonts w:hint="eastAsia" w:ascii="宋体" w:hAnsi="宋体" w:cs="宋体"/>
                <w:color w:val="auto"/>
                <w:kern w:val="0"/>
                <w:szCs w:val="21"/>
                <w:highlight w:val="none"/>
              </w:rPr>
            </w:pPr>
          </w:p>
        </w:tc>
        <w:tc>
          <w:tcPr>
            <w:tcW w:w="455" w:type="pct"/>
            <w:tcBorders>
              <w:top w:val="single" w:color="auto" w:sz="4" w:space="0"/>
              <w:left w:val="single" w:color="auto" w:sz="4" w:space="0"/>
              <w:bottom w:val="single" w:color="auto" w:sz="4" w:space="0"/>
              <w:right w:val="single" w:color="auto" w:sz="4" w:space="0"/>
            </w:tcBorders>
            <w:noWrap w:val="0"/>
            <w:vAlign w:val="center"/>
          </w:tcPr>
          <w:p w14:paraId="781580CF">
            <w:pPr>
              <w:widowControl/>
              <w:rPr>
                <w:rFonts w:hint="eastAsia" w:ascii="宋体" w:hAnsi="宋体" w:cs="宋体"/>
                <w:color w:val="auto"/>
                <w:kern w:val="0"/>
                <w:szCs w:val="21"/>
                <w:highlight w:val="none"/>
              </w:rPr>
            </w:pPr>
          </w:p>
        </w:tc>
      </w:tr>
      <w:tr w14:paraId="16865110">
        <w:tblPrEx>
          <w:tblCellMar>
            <w:top w:w="0" w:type="dxa"/>
            <w:left w:w="108" w:type="dxa"/>
            <w:bottom w:w="0" w:type="dxa"/>
            <w:right w:w="108" w:type="dxa"/>
          </w:tblCellMar>
        </w:tblPrEx>
        <w:trPr>
          <w:trHeight w:val="487" w:hRule="atLeast"/>
          <w:jc w:val="center"/>
        </w:trPr>
        <w:tc>
          <w:tcPr>
            <w:tcW w:w="395" w:type="pct"/>
            <w:tcBorders>
              <w:top w:val="single" w:color="auto" w:sz="4" w:space="0"/>
              <w:left w:val="single" w:color="auto" w:sz="4" w:space="0"/>
              <w:bottom w:val="single" w:color="auto" w:sz="4" w:space="0"/>
              <w:right w:val="single" w:color="auto" w:sz="4" w:space="0"/>
            </w:tcBorders>
            <w:noWrap w:val="0"/>
            <w:vAlign w:val="center"/>
          </w:tcPr>
          <w:p w14:paraId="58629266">
            <w:pPr>
              <w:widowControl/>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w:t>
            </w:r>
          </w:p>
        </w:tc>
        <w:tc>
          <w:tcPr>
            <w:tcW w:w="916" w:type="pct"/>
            <w:tcBorders>
              <w:top w:val="single" w:color="auto" w:sz="4" w:space="0"/>
              <w:left w:val="single" w:color="auto" w:sz="4" w:space="0"/>
              <w:bottom w:val="single" w:color="auto" w:sz="4" w:space="0"/>
              <w:right w:val="single" w:color="auto" w:sz="4" w:space="0"/>
            </w:tcBorders>
            <w:noWrap w:val="0"/>
            <w:vAlign w:val="center"/>
          </w:tcPr>
          <w:p w14:paraId="6B90CFEF">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2"/>
                <w:szCs w:val="22"/>
                <w:u w:val="none"/>
                <w:lang w:val="en-US" w:eastAsia="zh-CN" w:bidi="ar"/>
              </w:rPr>
              <w:t>UPS</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64D46E96">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维谛</w:t>
            </w:r>
          </w:p>
        </w:tc>
        <w:tc>
          <w:tcPr>
            <w:tcW w:w="527" w:type="pct"/>
            <w:tcBorders>
              <w:top w:val="single" w:color="auto" w:sz="4" w:space="0"/>
              <w:left w:val="single" w:color="auto" w:sz="4" w:space="0"/>
              <w:bottom w:val="single" w:color="auto" w:sz="4" w:space="0"/>
              <w:right w:val="single" w:color="auto" w:sz="4" w:space="0"/>
            </w:tcBorders>
            <w:noWrap w:val="0"/>
            <w:vAlign w:val="center"/>
          </w:tcPr>
          <w:p w14:paraId="3DA36394">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施耐德</w:t>
            </w:r>
          </w:p>
        </w:tc>
        <w:tc>
          <w:tcPr>
            <w:tcW w:w="549" w:type="pct"/>
            <w:tcBorders>
              <w:top w:val="single" w:color="auto" w:sz="4" w:space="0"/>
              <w:left w:val="single" w:color="auto" w:sz="4" w:space="0"/>
              <w:bottom w:val="single" w:color="auto" w:sz="4" w:space="0"/>
              <w:right w:val="single" w:color="auto" w:sz="4" w:space="0"/>
            </w:tcBorders>
            <w:noWrap w:val="0"/>
            <w:vAlign w:val="center"/>
          </w:tcPr>
          <w:p w14:paraId="2526618A">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伊顿</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7B7C7F1A">
            <w:pPr>
              <w:jc w:val="center"/>
              <w:rPr>
                <w:rFonts w:hint="eastAsia" w:ascii="宋体" w:hAnsi="宋体" w:cs="宋体"/>
                <w:color w:val="auto"/>
                <w:sz w:val="22"/>
                <w:highlight w:val="none"/>
              </w:rPr>
            </w:pPr>
          </w:p>
        </w:tc>
        <w:tc>
          <w:tcPr>
            <w:tcW w:w="561" w:type="pct"/>
            <w:tcBorders>
              <w:top w:val="single" w:color="auto" w:sz="4" w:space="0"/>
              <w:left w:val="single" w:color="auto" w:sz="4" w:space="0"/>
              <w:bottom w:val="single" w:color="auto" w:sz="4" w:space="0"/>
              <w:right w:val="single" w:color="auto" w:sz="4" w:space="0"/>
            </w:tcBorders>
            <w:noWrap w:val="0"/>
            <w:vAlign w:val="center"/>
          </w:tcPr>
          <w:p w14:paraId="2A2ADE66">
            <w:pPr>
              <w:jc w:val="center"/>
              <w:rPr>
                <w:rFonts w:hint="eastAsia" w:ascii="宋体" w:hAnsi="宋体" w:cs="宋体"/>
                <w:color w:val="auto"/>
                <w:kern w:val="0"/>
                <w:szCs w:val="21"/>
                <w:highlight w:val="none"/>
              </w:rPr>
            </w:pPr>
          </w:p>
        </w:tc>
        <w:tc>
          <w:tcPr>
            <w:tcW w:w="460" w:type="pct"/>
            <w:tcBorders>
              <w:top w:val="single" w:color="auto" w:sz="4" w:space="0"/>
              <w:left w:val="single" w:color="auto" w:sz="4" w:space="0"/>
              <w:bottom w:val="single" w:color="auto" w:sz="4" w:space="0"/>
              <w:right w:val="single" w:color="auto" w:sz="4" w:space="0"/>
            </w:tcBorders>
            <w:noWrap w:val="0"/>
            <w:vAlign w:val="center"/>
          </w:tcPr>
          <w:p w14:paraId="3435643A">
            <w:pPr>
              <w:jc w:val="center"/>
              <w:rPr>
                <w:rFonts w:hint="eastAsia" w:ascii="宋体" w:hAnsi="宋体" w:cs="宋体"/>
                <w:color w:val="auto"/>
                <w:kern w:val="0"/>
                <w:szCs w:val="21"/>
                <w:highlight w:val="none"/>
              </w:rPr>
            </w:pPr>
          </w:p>
        </w:tc>
        <w:tc>
          <w:tcPr>
            <w:tcW w:w="455" w:type="pct"/>
            <w:tcBorders>
              <w:top w:val="single" w:color="auto" w:sz="4" w:space="0"/>
              <w:left w:val="single" w:color="auto" w:sz="4" w:space="0"/>
              <w:bottom w:val="single" w:color="auto" w:sz="4" w:space="0"/>
              <w:right w:val="single" w:color="auto" w:sz="4" w:space="0"/>
            </w:tcBorders>
            <w:noWrap w:val="0"/>
            <w:vAlign w:val="center"/>
          </w:tcPr>
          <w:p w14:paraId="2CD5C033">
            <w:pPr>
              <w:widowControl/>
              <w:rPr>
                <w:rFonts w:hint="eastAsia" w:ascii="宋体" w:hAnsi="宋体" w:cs="宋体"/>
                <w:color w:val="auto"/>
                <w:kern w:val="0"/>
                <w:szCs w:val="21"/>
                <w:highlight w:val="none"/>
              </w:rPr>
            </w:pPr>
          </w:p>
        </w:tc>
      </w:tr>
      <w:tr w14:paraId="4A438CB1">
        <w:tblPrEx>
          <w:tblCellMar>
            <w:top w:w="0" w:type="dxa"/>
            <w:left w:w="108" w:type="dxa"/>
            <w:bottom w:w="0" w:type="dxa"/>
            <w:right w:w="108" w:type="dxa"/>
          </w:tblCellMar>
        </w:tblPrEx>
        <w:trPr>
          <w:trHeight w:val="487" w:hRule="atLeast"/>
          <w:jc w:val="center"/>
        </w:trPr>
        <w:tc>
          <w:tcPr>
            <w:tcW w:w="395" w:type="pct"/>
            <w:tcBorders>
              <w:top w:val="single" w:color="auto" w:sz="4" w:space="0"/>
              <w:left w:val="single" w:color="auto" w:sz="4" w:space="0"/>
              <w:bottom w:val="single" w:color="auto" w:sz="4" w:space="0"/>
              <w:right w:val="single" w:color="auto" w:sz="4" w:space="0"/>
            </w:tcBorders>
            <w:noWrap w:val="0"/>
            <w:vAlign w:val="center"/>
          </w:tcPr>
          <w:p w14:paraId="35FBA1C3">
            <w:pPr>
              <w:widowControl/>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6</w:t>
            </w:r>
          </w:p>
        </w:tc>
        <w:tc>
          <w:tcPr>
            <w:tcW w:w="916" w:type="pct"/>
            <w:tcBorders>
              <w:top w:val="single" w:color="auto" w:sz="4" w:space="0"/>
              <w:left w:val="single" w:color="auto" w:sz="4" w:space="0"/>
              <w:bottom w:val="single" w:color="auto" w:sz="4" w:space="0"/>
              <w:right w:val="single" w:color="auto" w:sz="4" w:space="0"/>
            </w:tcBorders>
            <w:noWrap w:val="0"/>
            <w:vAlign w:val="center"/>
          </w:tcPr>
          <w:p w14:paraId="262ECEF9">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2"/>
                <w:szCs w:val="22"/>
                <w:u w:val="none"/>
                <w:lang w:val="en-US" w:eastAsia="zh-CN" w:bidi="ar"/>
              </w:rPr>
              <w:t>液位仪表</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1374310A">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西门子</w:t>
            </w:r>
          </w:p>
        </w:tc>
        <w:tc>
          <w:tcPr>
            <w:tcW w:w="527" w:type="pct"/>
            <w:tcBorders>
              <w:top w:val="single" w:color="auto" w:sz="4" w:space="0"/>
              <w:left w:val="single" w:color="auto" w:sz="4" w:space="0"/>
              <w:bottom w:val="single" w:color="auto" w:sz="4" w:space="0"/>
              <w:right w:val="single" w:color="auto" w:sz="4" w:space="0"/>
            </w:tcBorders>
            <w:noWrap w:val="0"/>
            <w:vAlign w:val="center"/>
          </w:tcPr>
          <w:p w14:paraId="398BBD53">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罗斯蒙特</w:t>
            </w:r>
          </w:p>
        </w:tc>
        <w:tc>
          <w:tcPr>
            <w:tcW w:w="549" w:type="pct"/>
            <w:tcBorders>
              <w:top w:val="single" w:color="auto" w:sz="4" w:space="0"/>
              <w:left w:val="single" w:color="auto" w:sz="4" w:space="0"/>
              <w:bottom w:val="single" w:color="auto" w:sz="4" w:space="0"/>
              <w:right w:val="single" w:color="auto" w:sz="4" w:space="0"/>
            </w:tcBorders>
            <w:noWrap w:val="0"/>
            <w:vAlign w:val="center"/>
          </w:tcPr>
          <w:p w14:paraId="395AF850">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E+H</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52AC8992">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AB</w:t>
            </w:r>
          </w:p>
        </w:tc>
        <w:tc>
          <w:tcPr>
            <w:tcW w:w="561" w:type="pct"/>
            <w:tcBorders>
              <w:top w:val="single" w:color="auto" w:sz="4" w:space="0"/>
              <w:left w:val="single" w:color="auto" w:sz="4" w:space="0"/>
              <w:bottom w:val="single" w:color="auto" w:sz="4" w:space="0"/>
              <w:right w:val="single" w:color="auto" w:sz="4" w:space="0"/>
            </w:tcBorders>
            <w:noWrap w:val="0"/>
            <w:vAlign w:val="center"/>
          </w:tcPr>
          <w:p w14:paraId="457A52B3">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2"/>
                <w:szCs w:val="22"/>
                <w:u w:val="none"/>
                <w:lang w:val="en-US" w:eastAsia="zh-CN" w:bidi="ar"/>
              </w:rPr>
              <w:t>BANNA</w:t>
            </w:r>
          </w:p>
        </w:tc>
        <w:tc>
          <w:tcPr>
            <w:tcW w:w="460" w:type="pct"/>
            <w:tcBorders>
              <w:top w:val="single" w:color="auto" w:sz="4" w:space="0"/>
              <w:left w:val="single" w:color="auto" w:sz="4" w:space="0"/>
              <w:bottom w:val="single" w:color="auto" w:sz="4" w:space="0"/>
              <w:right w:val="single" w:color="auto" w:sz="4" w:space="0"/>
            </w:tcBorders>
            <w:noWrap w:val="0"/>
            <w:vAlign w:val="center"/>
          </w:tcPr>
          <w:p w14:paraId="587981F6">
            <w:pPr>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霍尼韦尔</w:t>
            </w:r>
          </w:p>
        </w:tc>
        <w:tc>
          <w:tcPr>
            <w:tcW w:w="455" w:type="pct"/>
            <w:tcBorders>
              <w:top w:val="single" w:color="auto" w:sz="4" w:space="0"/>
              <w:left w:val="single" w:color="auto" w:sz="4" w:space="0"/>
              <w:bottom w:val="single" w:color="auto" w:sz="4" w:space="0"/>
              <w:right w:val="single" w:color="auto" w:sz="4" w:space="0"/>
            </w:tcBorders>
            <w:noWrap w:val="0"/>
            <w:vAlign w:val="center"/>
          </w:tcPr>
          <w:p w14:paraId="277697AC">
            <w:pPr>
              <w:widowControl/>
              <w:rPr>
                <w:rFonts w:hint="eastAsia" w:ascii="宋体" w:hAnsi="宋体" w:cs="宋体"/>
                <w:color w:val="auto"/>
                <w:kern w:val="0"/>
                <w:szCs w:val="21"/>
                <w:highlight w:val="none"/>
              </w:rPr>
            </w:pPr>
          </w:p>
        </w:tc>
      </w:tr>
      <w:tr w14:paraId="0DFD852E">
        <w:tblPrEx>
          <w:tblCellMar>
            <w:top w:w="0" w:type="dxa"/>
            <w:left w:w="108" w:type="dxa"/>
            <w:bottom w:w="0" w:type="dxa"/>
            <w:right w:w="108" w:type="dxa"/>
          </w:tblCellMar>
        </w:tblPrEx>
        <w:trPr>
          <w:trHeight w:val="487" w:hRule="atLeast"/>
          <w:jc w:val="center"/>
        </w:trPr>
        <w:tc>
          <w:tcPr>
            <w:tcW w:w="395" w:type="pct"/>
            <w:tcBorders>
              <w:top w:val="single" w:color="auto" w:sz="4" w:space="0"/>
              <w:left w:val="single" w:color="auto" w:sz="4" w:space="0"/>
              <w:bottom w:val="single" w:color="auto" w:sz="4" w:space="0"/>
              <w:right w:val="single" w:color="auto" w:sz="4" w:space="0"/>
            </w:tcBorders>
            <w:noWrap w:val="0"/>
            <w:vAlign w:val="center"/>
          </w:tcPr>
          <w:p w14:paraId="40A24597">
            <w:pPr>
              <w:widowControl/>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7</w:t>
            </w:r>
          </w:p>
        </w:tc>
        <w:tc>
          <w:tcPr>
            <w:tcW w:w="916" w:type="pct"/>
            <w:tcBorders>
              <w:top w:val="single" w:color="auto" w:sz="4" w:space="0"/>
              <w:left w:val="single" w:color="auto" w:sz="4" w:space="0"/>
              <w:bottom w:val="single" w:color="auto" w:sz="4" w:space="0"/>
              <w:right w:val="single" w:color="auto" w:sz="4" w:space="0"/>
            </w:tcBorders>
            <w:noWrap w:val="0"/>
            <w:vAlign w:val="center"/>
          </w:tcPr>
          <w:p w14:paraId="41FBF887">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2"/>
                <w:szCs w:val="22"/>
                <w:u w:val="none"/>
                <w:lang w:val="en-US" w:eastAsia="zh-CN" w:bidi="ar"/>
              </w:rPr>
              <w:t>压缩空气露点传感器</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26B75072">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Michell</w:t>
            </w:r>
          </w:p>
        </w:tc>
        <w:tc>
          <w:tcPr>
            <w:tcW w:w="527" w:type="pct"/>
            <w:tcBorders>
              <w:top w:val="single" w:color="auto" w:sz="4" w:space="0"/>
              <w:left w:val="single" w:color="auto" w:sz="4" w:space="0"/>
              <w:bottom w:val="single" w:color="auto" w:sz="4" w:space="0"/>
              <w:right w:val="single" w:color="auto" w:sz="4" w:space="0"/>
            </w:tcBorders>
            <w:noWrap w:val="0"/>
            <w:vAlign w:val="center"/>
          </w:tcPr>
          <w:p w14:paraId="6CEEB08E">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维萨拉</w:t>
            </w:r>
          </w:p>
        </w:tc>
        <w:tc>
          <w:tcPr>
            <w:tcW w:w="549" w:type="pct"/>
            <w:tcBorders>
              <w:top w:val="single" w:color="auto" w:sz="4" w:space="0"/>
              <w:left w:val="single" w:color="auto" w:sz="4" w:space="0"/>
              <w:bottom w:val="single" w:color="auto" w:sz="4" w:space="0"/>
              <w:right w:val="single" w:color="auto" w:sz="4" w:space="0"/>
            </w:tcBorders>
            <w:noWrap w:val="0"/>
            <w:vAlign w:val="center"/>
          </w:tcPr>
          <w:p w14:paraId="3B9B5C8D">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E+E</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223DB79E">
            <w:pPr>
              <w:jc w:val="center"/>
              <w:rPr>
                <w:rFonts w:hint="eastAsia" w:ascii="宋体" w:hAnsi="宋体" w:cs="宋体"/>
                <w:color w:val="auto"/>
                <w:sz w:val="22"/>
                <w:highlight w:val="none"/>
              </w:rPr>
            </w:pPr>
          </w:p>
        </w:tc>
        <w:tc>
          <w:tcPr>
            <w:tcW w:w="561" w:type="pct"/>
            <w:tcBorders>
              <w:top w:val="single" w:color="auto" w:sz="4" w:space="0"/>
              <w:left w:val="single" w:color="auto" w:sz="4" w:space="0"/>
              <w:bottom w:val="single" w:color="auto" w:sz="4" w:space="0"/>
              <w:right w:val="single" w:color="auto" w:sz="4" w:space="0"/>
            </w:tcBorders>
            <w:noWrap w:val="0"/>
            <w:vAlign w:val="center"/>
          </w:tcPr>
          <w:p w14:paraId="631946C6">
            <w:pPr>
              <w:jc w:val="center"/>
              <w:rPr>
                <w:rFonts w:hint="eastAsia" w:ascii="宋体" w:hAnsi="宋体" w:cs="宋体"/>
                <w:color w:val="auto"/>
                <w:kern w:val="0"/>
                <w:szCs w:val="21"/>
                <w:highlight w:val="none"/>
              </w:rPr>
            </w:pPr>
          </w:p>
        </w:tc>
        <w:tc>
          <w:tcPr>
            <w:tcW w:w="460" w:type="pct"/>
            <w:tcBorders>
              <w:top w:val="single" w:color="auto" w:sz="4" w:space="0"/>
              <w:left w:val="single" w:color="auto" w:sz="4" w:space="0"/>
              <w:bottom w:val="single" w:color="auto" w:sz="4" w:space="0"/>
              <w:right w:val="single" w:color="auto" w:sz="4" w:space="0"/>
            </w:tcBorders>
            <w:noWrap w:val="0"/>
            <w:vAlign w:val="center"/>
          </w:tcPr>
          <w:p w14:paraId="417A73E3">
            <w:pPr>
              <w:jc w:val="center"/>
              <w:rPr>
                <w:rFonts w:hint="eastAsia" w:ascii="宋体" w:hAnsi="宋体" w:cs="宋体"/>
                <w:color w:val="auto"/>
                <w:kern w:val="0"/>
                <w:szCs w:val="21"/>
                <w:highlight w:val="none"/>
              </w:rPr>
            </w:pPr>
          </w:p>
        </w:tc>
        <w:tc>
          <w:tcPr>
            <w:tcW w:w="455" w:type="pct"/>
            <w:tcBorders>
              <w:top w:val="single" w:color="auto" w:sz="4" w:space="0"/>
              <w:left w:val="single" w:color="auto" w:sz="4" w:space="0"/>
              <w:bottom w:val="single" w:color="auto" w:sz="4" w:space="0"/>
              <w:right w:val="single" w:color="auto" w:sz="4" w:space="0"/>
            </w:tcBorders>
            <w:noWrap w:val="0"/>
            <w:vAlign w:val="center"/>
          </w:tcPr>
          <w:p w14:paraId="3F80BA85">
            <w:pPr>
              <w:widowControl/>
              <w:rPr>
                <w:rFonts w:hint="eastAsia" w:ascii="宋体" w:hAnsi="宋体" w:cs="宋体"/>
                <w:color w:val="auto"/>
                <w:kern w:val="0"/>
                <w:szCs w:val="21"/>
                <w:highlight w:val="none"/>
              </w:rPr>
            </w:pPr>
          </w:p>
        </w:tc>
      </w:tr>
      <w:tr w14:paraId="781DFF2E">
        <w:tblPrEx>
          <w:tblCellMar>
            <w:top w:w="0" w:type="dxa"/>
            <w:left w:w="108" w:type="dxa"/>
            <w:bottom w:w="0" w:type="dxa"/>
            <w:right w:w="108" w:type="dxa"/>
          </w:tblCellMar>
        </w:tblPrEx>
        <w:trPr>
          <w:trHeight w:val="487" w:hRule="atLeast"/>
          <w:jc w:val="center"/>
        </w:trPr>
        <w:tc>
          <w:tcPr>
            <w:tcW w:w="395" w:type="pct"/>
            <w:tcBorders>
              <w:top w:val="single" w:color="auto" w:sz="4" w:space="0"/>
              <w:left w:val="single" w:color="auto" w:sz="4" w:space="0"/>
              <w:bottom w:val="single" w:color="auto" w:sz="4" w:space="0"/>
              <w:right w:val="single" w:color="auto" w:sz="4" w:space="0"/>
            </w:tcBorders>
            <w:noWrap w:val="0"/>
            <w:vAlign w:val="center"/>
          </w:tcPr>
          <w:p w14:paraId="64F5DDFE">
            <w:pPr>
              <w:widowControl/>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8</w:t>
            </w:r>
          </w:p>
        </w:tc>
        <w:tc>
          <w:tcPr>
            <w:tcW w:w="916" w:type="pct"/>
            <w:tcBorders>
              <w:top w:val="single" w:color="auto" w:sz="4" w:space="0"/>
              <w:left w:val="single" w:color="auto" w:sz="4" w:space="0"/>
              <w:bottom w:val="single" w:color="auto" w:sz="4" w:space="0"/>
              <w:right w:val="single" w:color="auto" w:sz="4" w:space="0"/>
            </w:tcBorders>
            <w:noWrap w:val="0"/>
            <w:vAlign w:val="center"/>
          </w:tcPr>
          <w:p w14:paraId="07A06B75">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2"/>
                <w:szCs w:val="22"/>
                <w:u w:val="none"/>
                <w:lang w:val="en-US" w:eastAsia="zh-CN" w:bidi="ar"/>
              </w:rPr>
              <w:t>温度传感器</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2A8F7F7F">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E+E</w:t>
            </w:r>
          </w:p>
        </w:tc>
        <w:tc>
          <w:tcPr>
            <w:tcW w:w="527" w:type="pct"/>
            <w:tcBorders>
              <w:top w:val="single" w:color="auto" w:sz="4" w:space="0"/>
              <w:left w:val="single" w:color="auto" w:sz="4" w:space="0"/>
              <w:bottom w:val="single" w:color="auto" w:sz="4" w:space="0"/>
              <w:right w:val="single" w:color="auto" w:sz="4" w:space="0"/>
            </w:tcBorders>
            <w:noWrap w:val="0"/>
            <w:vAlign w:val="center"/>
          </w:tcPr>
          <w:p w14:paraId="0D63B41A">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维萨拉</w:t>
            </w:r>
          </w:p>
        </w:tc>
        <w:tc>
          <w:tcPr>
            <w:tcW w:w="549" w:type="pct"/>
            <w:tcBorders>
              <w:top w:val="single" w:color="auto" w:sz="4" w:space="0"/>
              <w:left w:val="single" w:color="auto" w:sz="4" w:space="0"/>
              <w:bottom w:val="single" w:color="auto" w:sz="4" w:space="0"/>
              <w:right w:val="single" w:color="auto" w:sz="4" w:space="0"/>
            </w:tcBorders>
            <w:noWrap w:val="0"/>
            <w:vAlign w:val="center"/>
          </w:tcPr>
          <w:p w14:paraId="38DB588C">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西门子</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0544FA2B">
            <w:pPr>
              <w:jc w:val="center"/>
              <w:rPr>
                <w:rFonts w:hint="eastAsia" w:ascii="宋体" w:hAnsi="宋体" w:cs="宋体"/>
                <w:color w:val="auto"/>
                <w:sz w:val="22"/>
                <w:highlight w:val="none"/>
              </w:rPr>
            </w:pPr>
          </w:p>
        </w:tc>
        <w:tc>
          <w:tcPr>
            <w:tcW w:w="561" w:type="pct"/>
            <w:tcBorders>
              <w:top w:val="single" w:color="auto" w:sz="4" w:space="0"/>
              <w:left w:val="single" w:color="auto" w:sz="4" w:space="0"/>
              <w:bottom w:val="single" w:color="auto" w:sz="4" w:space="0"/>
              <w:right w:val="single" w:color="auto" w:sz="4" w:space="0"/>
            </w:tcBorders>
            <w:noWrap w:val="0"/>
            <w:vAlign w:val="center"/>
          </w:tcPr>
          <w:p w14:paraId="0BADC0DC">
            <w:pPr>
              <w:jc w:val="center"/>
              <w:rPr>
                <w:rFonts w:hint="eastAsia" w:ascii="宋体" w:hAnsi="宋体" w:cs="宋体"/>
                <w:color w:val="auto"/>
                <w:kern w:val="0"/>
                <w:szCs w:val="21"/>
                <w:highlight w:val="none"/>
              </w:rPr>
            </w:pPr>
          </w:p>
        </w:tc>
        <w:tc>
          <w:tcPr>
            <w:tcW w:w="460" w:type="pct"/>
            <w:tcBorders>
              <w:top w:val="single" w:color="auto" w:sz="4" w:space="0"/>
              <w:left w:val="single" w:color="auto" w:sz="4" w:space="0"/>
              <w:bottom w:val="single" w:color="auto" w:sz="4" w:space="0"/>
              <w:right w:val="single" w:color="auto" w:sz="4" w:space="0"/>
            </w:tcBorders>
            <w:noWrap w:val="0"/>
            <w:vAlign w:val="center"/>
          </w:tcPr>
          <w:p w14:paraId="5581A201">
            <w:pPr>
              <w:jc w:val="center"/>
              <w:rPr>
                <w:rFonts w:hint="eastAsia" w:ascii="宋体" w:hAnsi="宋体" w:cs="宋体"/>
                <w:color w:val="auto"/>
                <w:kern w:val="0"/>
                <w:szCs w:val="21"/>
                <w:highlight w:val="none"/>
              </w:rPr>
            </w:pPr>
          </w:p>
        </w:tc>
        <w:tc>
          <w:tcPr>
            <w:tcW w:w="455" w:type="pct"/>
            <w:tcBorders>
              <w:top w:val="single" w:color="auto" w:sz="4" w:space="0"/>
              <w:left w:val="single" w:color="auto" w:sz="4" w:space="0"/>
              <w:bottom w:val="single" w:color="auto" w:sz="4" w:space="0"/>
              <w:right w:val="single" w:color="auto" w:sz="4" w:space="0"/>
            </w:tcBorders>
            <w:noWrap w:val="0"/>
            <w:vAlign w:val="center"/>
          </w:tcPr>
          <w:p w14:paraId="7F728C16">
            <w:pPr>
              <w:widowControl/>
              <w:rPr>
                <w:rFonts w:hint="eastAsia" w:ascii="宋体" w:hAnsi="宋体" w:cs="宋体"/>
                <w:color w:val="auto"/>
                <w:kern w:val="0"/>
                <w:szCs w:val="21"/>
                <w:highlight w:val="none"/>
              </w:rPr>
            </w:pPr>
          </w:p>
        </w:tc>
      </w:tr>
      <w:tr w14:paraId="37EAB48A">
        <w:tblPrEx>
          <w:tblCellMar>
            <w:top w:w="0" w:type="dxa"/>
            <w:left w:w="108" w:type="dxa"/>
            <w:bottom w:w="0" w:type="dxa"/>
            <w:right w:w="108" w:type="dxa"/>
          </w:tblCellMar>
        </w:tblPrEx>
        <w:trPr>
          <w:trHeight w:val="487" w:hRule="atLeast"/>
          <w:jc w:val="center"/>
        </w:trPr>
        <w:tc>
          <w:tcPr>
            <w:tcW w:w="395" w:type="pct"/>
            <w:tcBorders>
              <w:top w:val="single" w:color="auto" w:sz="4" w:space="0"/>
              <w:left w:val="single" w:color="auto" w:sz="4" w:space="0"/>
              <w:bottom w:val="single" w:color="auto" w:sz="4" w:space="0"/>
              <w:right w:val="single" w:color="auto" w:sz="4" w:space="0"/>
            </w:tcBorders>
            <w:noWrap w:val="0"/>
            <w:vAlign w:val="center"/>
          </w:tcPr>
          <w:p w14:paraId="27D67786">
            <w:pPr>
              <w:widowControl/>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9</w:t>
            </w:r>
          </w:p>
        </w:tc>
        <w:tc>
          <w:tcPr>
            <w:tcW w:w="916" w:type="pct"/>
            <w:tcBorders>
              <w:top w:val="single" w:color="auto" w:sz="4" w:space="0"/>
              <w:left w:val="single" w:color="auto" w:sz="4" w:space="0"/>
              <w:bottom w:val="single" w:color="auto" w:sz="4" w:space="0"/>
              <w:right w:val="single" w:color="auto" w:sz="4" w:space="0"/>
            </w:tcBorders>
            <w:noWrap w:val="0"/>
            <w:vAlign w:val="center"/>
          </w:tcPr>
          <w:p w14:paraId="789CFF3F">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2"/>
                <w:szCs w:val="22"/>
                <w:u w:val="none"/>
                <w:lang w:val="en-US" w:eastAsia="zh-CN" w:bidi="ar"/>
              </w:rPr>
              <w:t>水阀阀体/执行器</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0CB72282">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江森</w:t>
            </w:r>
          </w:p>
        </w:tc>
        <w:tc>
          <w:tcPr>
            <w:tcW w:w="527" w:type="pct"/>
            <w:tcBorders>
              <w:top w:val="single" w:color="auto" w:sz="4" w:space="0"/>
              <w:left w:val="single" w:color="auto" w:sz="4" w:space="0"/>
              <w:bottom w:val="single" w:color="auto" w:sz="4" w:space="0"/>
              <w:right w:val="single" w:color="auto" w:sz="4" w:space="0"/>
            </w:tcBorders>
            <w:noWrap w:val="0"/>
            <w:vAlign w:val="center"/>
          </w:tcPr>
          <w:p w14:paraId="2864AFF6">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霍尼韦尔</w:t>
            </w:r>
          </w:p>
        </w:tc>
        <w:tc>
          <w:tcPr>
            <w:tcW w:w="549" w:type="pct"/>
            <w:tcBorders>
              <w:top w:val="single" w:color="auto" w:sz="4" w:space="0"/>
              <w:left w:val="single" w:color="auto" w:sz="4" w:space="0"/>
              <w:bottom w:val="single" w:color="auto" w:sz="4" w:space="0"/>
              <w:right w:val="single" w:color="auto" w:sz="4" w:space="0"/>
            </w:tcBorders>
            <w:noWrap w:val="0"/>
            <w:vAlign w:val="center"/>
          </w:tcPr>
          <w:p w14:paraId="0F72E2BD">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西门子</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401C3F7F">
            <w:pPr>
              <w:jc w:val="center"/>
              <w:rPr>
                <w:rFonts w:hint="eastAsia" w:ascii="宋体" w:hAnsi="宋体" w:cs="宋体"/>
                <w:color w:val="auto"/>
                <w:sz w:val="22"/>
                <w:highlight w:val="none"/>
              </w:rPr>
            </w:pPr>
          </w:p>
        </w:tc>
        <w:tc>
          <w:tcPr>
            <w:tcW w:w="561" w:type="pct"/>
            <w:tcBorders>
              <w:top w:val="single" w:color="auto" w:sz="4" w:space="0"/>
              <w:left w:val="single" w:color="auto" w:sz="4" w:space="0"/>
              <w:bottom w:val="single" w:color="auto" w:sz="4" w:space="0"/>
              <w:right w:val="single" w:color="auto" w:sz="4" w:space="0"/>
            </w:tcBorders>
            <w:noWrap w:val="0"/>
            <w:vAlign w:val="center"/>
          </w:tcPr>
          <w:p w14:paraId="7BB207F8">
            <w:pPr>
              <w:jc w:val="center"/>
              <w:rPr>
                <w:rFonts w:hint="eastAsia" w:ascii="宋体" w:hAnsi="宋体" w:cs="宋体"/>
                <w:color w:val="auto"/>
                <w:kern w:val="0"/>
                <w:szCs w:val="21"/>
                <w:highlight w:val="none"/>
              </w:rPr>
            </w:pPr>
          </w:p>
        </w:tc>
        <w:tc>
          <w:tcPr>
            <w:tcW w:w="460" w:type="pct"/>
            <w:tcBorders>
              <w:top w:val="single" w:color="auto" w:sz="4" w:space="0"/>
              <w:left w:val="single" w:color="auto" w:sz="4" w:space="0"/>
              <w:bottom w:val="single" w:color="auto" w:sz="4" w:space="0"/>
              <w:right w:val="single" w:color="auto" w:sz="4" w:space="0"/>
            </w:tcBorders>
            <w:noWrap w:val="0"/>
            <w:vAlign w:val="center"/>
          </w:tcPr>
          <w:p w14:paraId="710C1BCA">
            <w:pPr>
              <w:jc w:val="center"/>
              <w:rPr>
                <w:rFonts w:hint="eastAsia" w:ascii="宋体" w:hAnsi="宋体" w:cs="宋体"/>
                <w:color w:val="auto"/>
                <w:kern w:val="0"/>
                <w:szCs w:val="21"/>
                <w:highlight w:val="none"/>
              </w:rPr>
            </w:pPr>
          </w:p>
        </w:tc>
        <w:tc>
          <w:tcPr>
            <w:tcW w:w="455" w:type="pct"/>
            <w:tcBorders>
              <w:top w:val="single" w:color="auto" w:sz="4" w:space="0"/>
              <w:left w:val="single" w:color="auto" w:sz="4" w:space="0"/>
              <w:bottom w:val="single" w:color="auto" w:sz="4" w:space="0"/>
              <w:right w:val="single" w:color="auto" w:sz="4" w:space="0"/>
            </w:tcBorders>
            <w:noWrap w:val="0"/>
            <w:vAlign w:val="center"/>
          </w:tcPr>
          <w:p w14:paraId="57F278FA">
            <w:pPr>
              <w:widowControl/>
              <w:rPr>
                <w:rFonts w:hint="eastAsia" w:ascii="宋体" w:hAnsi="宋体" w:cs="宋体"/>
                <w:color w:val="auto"/>
                <w:kern w:val="0"/>
                <w:szCs w:val="21"/>
                <w:highlight w:val="none"/>
              </w:rPr>
            </w:pPr>
          </w:p>
        </w:tc>
      </w:tr>
      <w:tr w14:paraId="7DF52132">
        <w:tblPrEx>
          <w:tblCellMar>
            <w:top w:w="0" w:type="dxa"/>
            <w:left w:w="108" w:type="dxa"/>
            <w:bottom w:w="0" w:type="dxa"/>
            <w:right w:w="108" w:type="dxa"/>
          </w:tblCellMar>
        </w:tblPrEx>
        <w:trPr>
          <w:trHeight w:val="487" w:hRule="atLeast"/>
          <w:jc w:val="center"/>
        </w:trPr>
        <w:tc>
          <w:tcPr>
            <w:tcW w:w="395" w:type="pct"/>
            <w:tcBorders>
              <w:top w:val="single" w:color="auto" w:sz="4" w:space="0"/>
              <w:left w:val="single" w:color="auto" w:sz="4" w:space="0"/>
              <w:bottom w:val="single" w:color="auto" w:sz="4" w:space="0"/>
              <w:right w:val="single" w:color="auto" w:sz="4" w:space="0"/>
            </w:tcBorders>
            <w:noWrap w:val="0"/>
            <w:vAlign w:val="center"/>
          </w:tcPr>
          <w:p w14:paraId="553BE77E">
            <w:pPr>
              <w:widowControl/>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10</w:t>
            </w:r>
          </w:p>
        </w:tc>
        <w:tc>
          <w:tcPr>
            <w:tcW w:w="916" w:type="pct"/>
            <w:tcBorders>
              <w:top w:val="single" w:color="auto" w:sz="4" w:space="0"/>
              <w:left w:val="single" w:color="auto" w:sz="4" w:space="0"/>
              <w:bottom w:val="single" w:color="auto" w:sz="4" w:space="0"/>
              <w:right w:val="single" w:color="auto" w:sz="4" w:space="0"/>
            </w:tcBorders>
            <w:noWrap w:val="0"/>
            <w:vAlign w:val="center"/>
          </w:tcPr>
          <w:p w14:paraId="37E76659">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2"/>
                <w:szCs w:val="22"/>
                <w:u w:val="none"/>
                <w:lang w:val="en-US" w:eastAsia="zh-CN" w:bidi="ar"/>
              </w:rPr>
              <w:t>风阀执行器</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0DC5432D">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博力谋</w:t>
            </w:r>
          </w:p>
        </w:tc>
        <w:tc>
          <w:tcPr>
            <w:tcW w:w="527" w:type="pct"/>
            <w:tcBorders>
              <w:top w:val="single" w:color="auto" w:sz="4" w:space="0"/>
              <w:left w:val="single" w:color="auto" w:sz="4" w:space="0"/>
              <w:bottom w:val="single" w:color="auto" w:sz="4" w:space="0"/>
              <w:right w:val="single" w:color="auto" w:sz="4" w:space="0"/>
            </w:tcBorders>
            <w:noWrap w:val="0"/>
            <w:vAlign w:val="center"/>
          </w:tcPr>
          <w:p w14:paraId="6D59E265">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霍尼韦尔</w:t>
            </w:r>
          </w:p>
        </w:tc>
        <w:tc>
          <w:tcPr>
            <w:tcW w:w="549" w:type="pct"/>
            <w:tcBorders>
              <w:top w:val="single" w:color="auto" w:sz="4" w:space="0"/>
              <w:left w:val="single" w:color="auto" w:sz="4" w:space="0"/>
              <w:bottom w:val="single" w:color="auto" w:sz="4" w:space="0"/>
              <w:right w:val="single" w:color="auto" w:sz="4" w:space="0"/>
            </w:tcBorders>
            <w:noWrap w:val="0"/>
            <w:vAlign w:val="center"/>
          </w:tcPr>
          <w:p w14:paraId="52B018F1">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西门子</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009A19DF">
            <w:pPr>
              <w:jc w:val="center"/>
              <w:rPr>
                <w:rFonts w:hint="eastAsia" w:ascii="宋体" w:hAnsi="宋体" w:cs="宋体"/>
                <w:color w:val="auto"/>
                <w:sz w:val="22"/>
                <w:highlight w:val="none"/>
              </w:rPr>
            </w:pPr>
          </w:p>
        </w:tc>
        <w:tc>
          <w:tcPr>
            <w:tcW w:w="561" w:type="pct"/>
            <w:tcBorders>
              <w:top w:val="single" w:color="auto" w:sz="4" w:space="0"/>
              <w:left w:val="single" w:color="auto" w:sz="4" w:space="0"/>
              <w:bottom w:val="single" w:color="auto" w:sz="4" w:space="0"/>
              <w:right w:val="single" w:color="auto" w:sz="4" w:space="0"/>
            </w:tcBorders>
            <w:noWrap w:val="0"/>
            <w:vAlign w:val="center"/>
          </w:tcPr>
          <w:p w14:paraId="3F412297">
            <w:pPr>
              <w:jc w:val="center"/>
              <w:rPr>
                <w:rFonts w:hint="eastAsia" w:ascii="宋体" w:hAnsi="宋体" w:cs="宋体"/>
                <w:color w:val="auto"/>
                <w:kern w:val="0"/>
                <w:szCs w:val="21"/>
                <w:highlight w:val="none"/>
              </w:rPr>
            </w:pPr>
          </w:p>
        </w:tc>
        <w:tc>
          <w:tcPr>
            <w:tcW w:w="460" w:type="pct"/>
            <w:tcBorders>
              <w:top w:val="single" w:color="auto" w:sz="4" w:space="0"/>
              <w:left w:val="single" w:color="auto" w:sz="4" w:space="0"/>
              <w:bottom w:val="single" w:color="auto" w:sz="4" w:space="0"/>
              <w:right w:val="single" w:color="auto" w:sz="4" w:space="0"/>
            </w:tcBorders>
            <w:noWrap w:val="0"/>
            <w:vAlign w:val="center"/>
          </w:tcPr>
          <w:p w14:paraId="4274A713">
            <w:pPr>
              <w:jc w:val="center"/>
              <w:rPr>
                <w:rFonts w:hint="eastAsia" w:ascii="宋体" w:hAnsi="宋体" w:cs="宋体"/>
                <w:color w:val="auto"/>
                <w:kern w:val="0"/>
                <w:szCs w:val="21"/>
                <w:highlight w:val="none"/>
              </w:rPr>
            </w:pPr>
          </w:p>
        </w:tc>
        <w:tc>
          <w:tcPr>
            <w:tcW w:w="455" w:type="pct"/>
            <w:tcBorders>
              <w:top w:val="single" w:color="auto" w:sz="4" w:space="0"/>
              <w:left w:val="single" w:color="auto" w:sz="4" w:space="0"/>
              <w:bottom w:val="single" w:color="auto" w:sz="4" w:space="0"/>
              <w:right w:val="single" w:color="auto" w:sz="4" w:space="0"/>
            </w:tcBorders>
            <w:noWrap w:val="0"/>
            <w:vAlign w:val="center"/>
          </w:tcPr>
          <w:p w14:paraId="0442C950">
            <w:pPr>
              <w:widowControl/>
              <w:rPr>
                <w:rFonts w:hint="eastAsia" w:ascii="宋体" w:hAnsi="宋体" w:cs="宋体"/>
                <w:color w:val="auto"/>
                <w:kern w:val="0"/>
                <w:szCs w:val="21"/>
                <w:highlight w:val="none"/>
              </w:rPr>
            </w:pPr>
          </w:p>
        </w:tc>
      </w:tr>
      <w:tr w14:paraId="2280EE3E">
        <w:tblPrEx>
          <w:tblCellMar>
            <w:top w:w="0" w:type="dxa"/>
            <w:left w:w="108" w:type="dxa"/>
            <w:bottom w:w="0" w:type="dxa"/>
            <w:right w:w="108" w:type="dxa"/>
          </w:tblCellMar>
        </w:tblPrEx>
        <w:trPr>
          <w:trHeight w:val="487" w:hRule="atLeast"/>
          <w:jc w:val="center"/>
        </w:trPr>
        <w:tc>
          <w:tcPr>
            <w:tcW w:w="395" w:type="pct"/>
            <w:tcBorders>
              <w:top w:val="single" w:color="auto" w:sz="4" w:space="0"/>
              <w:left w:val="single" w:color="auto" w:sz="4" w:space="0"/>
              <w:bottom w:val="single" w:color="auto" w:sz="4" w:space="0"/>
              <w:right w:val="single" w:color="auto" w:sz="4" w:space="0"/>
            </w:tcBorders>
            <w:noWrap w:val="0"/>
            <w:vAlign w:val="center"/>
          </w:tcPr>
          <w:p w14:paraId="327AA6B0">
            <w:pPr>
              <w:widowControl/>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11</w:t>
            </w:r>
          </w:p>
        </w:tc>
        <w:tc>
          <w:tcPr>
            <w:tcW w:w="916" w:type="pct"/>
            <w:tcBorders>
              <w:top w:val="single" w:color="auto" w:sz="4" w:space="0"/>
              <w:left w:val="single" w:color="auto" w:sz="4" w:space="0"/>
              <w:bottom w:val="single" w:color="auto" w:sz="4" w:space="0"/>
              <w:right w:val="single" w:color="auto" w:sz="4" w:space="0"/>
            </w:tcBorders>
            <w:noWrap w:val="0"/>
            <w:vAlign w:val="center"/>
          </w:tcPr>
          <w:p w14:paraId="7CC97809">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2"/>
                <w:szCs w:val="22"/>
                <w:u w:val="none"/>
                <w:lang w:val="en-US" w:eastAsia="zh-CN" w:bidi="ar"/>
              </w:rPr>
              <w:t>压力变送器</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1E2B86C1">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霍尼韦尔</w:t>
            </w:r>
          </w:p>
        </w:tc>
        <w:tc>
          <w:tcPr>
            <w:tcW w:w="527" w:type="pct"/>
            <w:tcBorders>
              <w:top w:val="single" w:color="auto" w:sz="4" w:space="0"/>
              <w:left w:val="single" w:color="auto" w:sz="4" w:space="0"/>
              <w:bottom w:val="single" w:color="auto" w:sz="4" w:space="0"/>
              <w:right w:val="single" w:color="auto" w:sz="4" w:space="0"/>
            </w:tcBorders>
            <w:noWrap w:val="0"/>
            <w:vAlign w:val="center"/>
          </w:tcPr>
          <w:p w14:paraId="73AB4F82">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德威尔</w:t>
            </w:r>
          </w:p>
        </w:tc>
        <w:tc>
          <w:tcPr>
            <w:tcW w:w="549" w:type="pct"/>
            <w:tcBorders>
              <w:top w:val="single" w:color="auto" w:sz="4" w:space="0"/>
              <w:left w:val="single" w:color="auto" w:sz="4" w:space="0"/>
              <w:bottom w:val="single" w:color="auto" w:sz="4" w:space="0"/>
              <w:right w:val="single" w:color="auto" w:sz="4" w:space="0"/>
            </w:tcBorders>
            <w:noWrap w:val="0"/>
            <w:vAlign w:val="center"/>
          </w:tcPr>
          <w:p w14:paraId="30192879">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西特</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4DD1F886">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西门子</w:t>
            </w:r>
          </w:p>
        </w:tc>
        <w:tc>
          <w:tcPr>
            <w:tcW w:w="561" w:type="pct"/>
            <w:tcBorders>
              <w:top w:val="single" w:color="auto" w:sz="4" w:space="0"/>
              <w:left w:val="single" w:color="auto" w:sz="4" w:space="0"/>
              <w:bottom w:val="single" w:color="auto" w:sz="4" w:space="0"/>
              <w:right w:val="single" w:color="auto" w:sz="4" w:space="0"/>
            </w:tcBorders>
            <w:noWrap w:val="0"/>
            <w:vAlign w:val="center"/>
          </w:tcPr>
          <w:p w14:paraId="6FDB1E3D">
            <w:pPr>
              <w:jc w:val="center"/>
              <w:rPr>
                <w:rFonts w:hint="eastAsia" w:ascii="宋体" w:hAnsi="宋体" w:cs="宋体"/>
                <w:color w:val="auto"/>
                <w:kern w:val="0"/>
                <w:szCs w:val="21"/>
                <w:highlight w:val="none"/>
              </w:rPr>
            </w:pPr>
          </w:p>
        </w:tc>
        <w:tc>
          <w:tcPr>
            <w:tcW w:w="460" w:type="pct"/>
            <w:tcBorders>
              <w:top w:val="single" w:color="auto" w:sz="4" w:space="0"/>
              <w:left w:val="single" w:color="auto" w:sz="4" w:space="0"/>
              <w:bottom w:val="single" w:color="auto" w:sz="4" w:space="0"/>
              <w:right w:val="single" w:color="auto" w:sz="4" w:space="0"/>
            </w:tcBorders>
            <w:noWrap w:val="0"/>
            <w:vAlign w:val="center"/>
          </w:tcPr>
          <w:p w14:paraId="4C723575">
            <w:pPr>
              <w:jc w:val="center"/>
              <w:rPr>
                <w:rFonts w:hint="eastAsia" w:ascii="宋体" w:hAnsi="宋体" w:cs="宋体"/>
                <w:color w:val="auto"/>
                <w:kern w:val="0"/>
                <w:szCs w:val="21"/>
                <w:highlight w:val="none"/>
              </w:rPr>
            </w:pPr>
          </w:p>
        </w:tc>
        <w:tc>
          <w:tcPr>
            <w:tcW w:w="455" w:type="pct"/>
            <w:tcBorders>
              <w:top w:val="single" w:color="auto" w:sz="4" w:space="0"/>
              <w:left w:val="single" w:color="auto" w:sz="4" w:space="0"/>
              <w:bottom w:val="single" w:color="auto" w:sz="4" w:space="0"/>
              <w:right w:val="single" w:color="auto" w:sz="4" w:space="0"/>
            </w:tcBorders>
            <w:noWrap w:val="0"/>
            <w:vAlign w:val="center"/>
          </w:tcPr>
          <w:p w14:paraId="03722703">
            <w:pPr>
              <w:widowControl/>
              <w:rPr>
                <w:rFonts w:hint="eastAsia" w:ascii="宋体" w:hAnsi="宋体" w:cs="宋体"/>
                <w:color w:val="auto"/>
                <w:kern w:val="0"/>
                <w:szCs w:val="21"/>
                <w:highlight w:val="none"/>
              </w:rPr>
            </w:pPr>
          </w:p>
        </w:tc>
      </w:tr>
      <w:tr w14:paraId="021F2EBB">
        <w:tblPrEx>
          <w:tblCellMar>
            <w:top w:w="0" w:type="dxa"/>
            <w:left w:w="108" w:type="dxa"/>
            <w:bottom w:w="0" w:type="dxa"/>
            <w:right w:w="108" w:type="dxa"/>
          </w:tblCellMar>
        </w:tblPrEx>
        <w:trPr>
          <w:trHeight w:val="487" w:hRule="atLeast"/>
          <w:jc w:val="center"/>
        </w:trPr>
        <w:tc>
          <w:tcPr>
            <w:tcW w:w="395" w:type="pct"/>
            <w:tcBorders>
              <w:top w:val="single" w:color="auto" w:sz="4" w:space="0"/>
              <w:left w:val="single" w:color="auto" w:sz="4" w:space="0"/>
              <w:bottom w:val="single" w:color="auto" w:sz="4" w:space="0"/>
              <w:right w:val="single" w:color="auto" w:sz="4" w:space="0"/>
            </w:tcBorders>
            <w:noWrap w:val="0"/>
            <w:vAlign w:val="center"/>
          </w:tcPr>
          <w:p w14:paraId="068788F2">
            <w:pPr>
              <w:widowControl/>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12</w:t>
            </w:r>
          </w:p>
        </w:tc>
        <w:tc>
          <w:tcPr>
            <w:tcW w:w="916" w:type="pct"/>
            <w:tcBorders>
              <w:top w:val="single" w:color="auto" w:sz="4" w:space="0"/>
              <w:left w:val="single" w:color="auto" w:sz="4" w:space="0"/>
              <w:bottom w:val="single" w:color="auto" w:sz="4" w:space="0"/>
              <w:right w:val="single" w:color="auto" w:sz="4" w:space="0"/>
            </w:tcBorders>
            <w:noWrap w:val="0"/>
            <w:vAlign w:val="center"/>
          </w:tcPr>
          <w:p w14:paraId="27A7B1CC">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2"/>
                <w:szCs w:val="22"/>
                <w:u w:val="none"/>
                <w:lang w:val="en-US" w:eastAsia="zh-CN" w:bidi="ar"/>
              </w:rPr>
              <w:t>拼接大屏</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2D246544">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大华</w:t>
            </w:r>
          </w:p>
        </w:tc>
        <w:tc>
          <w:tcPr>
            <w:tcW w:w="527" w:type="pct"/>
            <w:tcBorders>
              <w:top w:val="single" w:color="auto" w:sz="4" w:space="0"/>
              <w:left w:val="single" w:color="auto" w:sz="4" w:space="0"/>
              <w:bottom w:val="single" w:color="auto" w:sz="4" w:space="0"/>
              <w:right w:val="single" w:color="auto" w:sz="4" w:space="0"/>
            </w:tcBorders>
            <w:noWrap w:val="0"/>
            <w:vAlign w:val="center"/>
          </w:tcPr>
          <w:p w14:paraId="5ABE3D97">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海康威视</w:t>
            </w:r>
          </w:p>
        </w:tc>
        <w:tc>
          <w:tcPr>
            <w:tcW w:w="549" w:type="pct"/>
            <w:tcBorders>
              <w:top w:val="single" w:color="auto" w:sz="4" w:space="0"/>
              <w:left w:val="single" w:color="auto" w:sz="4" w:space="0"/>
              <w:bottom w:val="single" w:color="auto" w:sz="4" w:space="0"/>
              <w:right w:val="single" w:color="auto" w:sz="4" w:space="0"/>
            </w:tcBorders>
            <w:noWrap w:val="0"/>
            <w:vAlign w:val="center"/>
          </w:tcPr>
          <w:p w14:paraId="5DD21E72">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三星</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3F24967E">
            <w:pPr>
              <w:jc w:val="center"/>
              <w:rPr>
                <w:rFonts w:hint="eastAsia" w:ascii="宋体" w:hAnsi="宋体" w:cs="宋体"/>
                <w:color w:val="auto"/>
                <w:sz w:val="22"/>
                <w:highlight w:val="none"/>
              </w:rPr>
            </w:pPr>
          </w:p>
        </w:tc>
        <w:tc>
          <w:tcPr>
            <w:tcW w:w="561" w:type="pct"/>
            <w:tcBorders>
              <w:top w:val="single" w:color="auto" w:sz="4" w:space="0"/>
              <w:left w:val="single" w:color="auto" w:sz="4" w:space="0"/>
              <w:bottom w:val="single" w:color="auto" w:sz="4" w:space="0"/>
              <w:right w:val="single" w:color="auto" w:sz="4" w:space="0"/>
            </w:tcBorders>
            <w:noWrap w:val="0"/>
            <w:vAlign w:val="center"/>
          </w:tcPr>
          <w:p w14:paraId="43E7AE4A">
            <w:pPr>
              <w:jc w:val="center"/>
              <w:rPr>
                <w:rFonts w:hint="eastAsia" w:ascii="宋体" w:hAnsi="宋体" w:cs="宋体"/>
                <w:color w:val="auto"/>
                <w:kern w:val="0"/>
                <w:szCs w:val="21"/>
                <w:highlight w:val="none"/>
              </w:rPr>
            </w:pPr>
          </w:p>
        </w:tc>
        <w:tc>
          <w:tcPr>
            <w:tcW w:w="460" w:type="pct"/>
            <w:tcBorders>
              <w:top w:val="single" w:color="auto" w:sz="4" w:space="0"/>
              <w:left w:val="single" w:color="auto" w:sz="4" w:space="0"/>
              <w:bottom w:val="single" w:color="auto" w:sz="4" w:space="0"/>
              <w:right w:val="single" w:color="auto" w:sz="4" w:space="0"/>
            </w:tcBorders>
            <w:noWrap w:val="0"/>
            <w:vAlign w:val="center"/>
          </w:tcPr>
          <w:p w14:paraId="31184DE4">
            <w:pPr>
              <w:jc w:val="center"/>
              <w:rPr>
                <w:rFonts w:hint="eastAsia" w:ascii="宋体" w:hAnsi="宋体" w:cs="宋体"/>
                <w:color w:val="auto"/>
                <w:kern w:val="0"/>
                <w:szCs w:val="21"/>
                <w:highlight w:val="none"/>
              </w:rPr>
            </w:pPr>
          </w:p>
        </w:tc>
        <w:tc>
          <w:tcPr>
            <w:tcW w:w="455" w:type="pct"/>
            <w:tcBorders>
              <w:top w:val="single" w:color="auto" w:sz="4" w:space="0"/>
              <w:left w:val="single" w:color="auto" w:sz="4" w:space="0"/>
              <w:bottom w:val="single" w:color="auto" w:sz="4" w:space="0"/>
              <w:right w:val="single" w:color="auto" w:sz="4" w:space="0"/>
            </w:tcBorders>
            <w:noWrap w:val="0"/>
            <w:vAlign w:val="center"/>
          </w:tcPr>
          <w:p w14:paraId="7D3DB0DB">
            <w:pPr>
              <w:widowControl/>
              <w:rPr>
                <w:rFonts w:hint="eastAsia" w:ascii="宋体" w:hAnsi="宋体" w:cs="宋体"/>
                <w:color w:val="auto"/>
                <w:kern w:val="0"/>
                <w:szCs w:val="21"/>
                <w:highlight w:val="none"/>
              </w:rPr>
            </w:pPr>
          </w:p>
        </w:tc>
      </w:tr>
      <w:tr w14:paraId="78CA876C">
        <w:tblPrEx>
          <w:tblCellMar>
            <w:top w:w="0" w:type="dxa"/>
            <w:left w:w="108" w:type="dxa"/>
            <w:bottom w:w="0" w:type="dxa"/>
            <w:right w:w="108" w:type="dxa"/>
          </w:tblCellMar>
        </w:tblPrEx>
        <w:trPr>
          <w:trHeight w:val="487" w:hRule="atLeast"/>
          <w:jc w:val="center"/>
        </w:trPr>
        <w:tc>
          <w:tcPr>
            <w:tcW w:w="395" w:type="pct"/>
            <w:tcBorders>
              <w:top w:val="single" w:color="auto" w:sz="4" w:space="0"/>
              <w:left w:val="single" w:color="auto" w:sz="4" w:space="0"/>
              <w:bottom w:val="single" w:color="auto" w:sz="4" w:space="0"/>
              <w:right w:val="single" w:color="auto" w:sz="4" w:space="0"/>
            </w:tcBorders>
            <w:noWrap w:val="0"/>
            <w:vAlign w:val="center"/>
          </w:tcPr>
          <w:p w14:paraId="7C1BAB20">
            <w:pPr>
              <w:widowControl/>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13</w:t>
            </w:r>
          </w:p>
        </w:tc>
        <w:tc>
          <w:tcPr>
            <w:tcW w:w="916" w:type="pct"/>
            <w:tcBorders>
              <w:top w:val="single" w:color="auto" w:sz="4" w:space="0"/>
              <w:left w:val="single" w:color="auto" w:sz="4" w:space="0"/>
              <w:bottom w:val="single" w:color="auto" w:sz="4" w:space="0"/>
              <w:right w:val="single" w:color="auto" w:sz="4" w:space="0"/>
            </w:tcBorders>
            <w:noWrap w:val="0"/>
            <w:vAlign w:val="center"/>
          </w:tcPr>
          <w:p w14:paraId="59E3622C">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2"/>
                <w:szCs w:val="22"/>
                <w:u w:val="none"/>
                <w:lang w:val="en-US" w:eastAsia="zh-CN" w:bidi="ar"/>
              </w:rPr>
              <w:t>冷热量表</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396D90FB">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宁波水表</w:t>
            </w:r>
          </w:p>
        </w:tc>
        <w:tc>
          <w:tcPr>
            <w:tcW w:w="527" w:type="pct"/>
            <w:tcBorders>
              <w:top w:val="single" w:color="auto" w:sz="4" w:space="0"/>
              <w:left w:val="single" w:color="auto" w:sz="4" w:space="0"/>
              <w:bottom w:val="single" w:color="auto" w:sz="4" w:space="0"/>
              <w:right w:val="single" w:color="auto" w:sz="4" w:space="0"/>
            </w:tcBorders>
            <w:noWrap w:val="0"/>
            <w:vAlign w:val="center"/>
          </w:tcPr>
          <w:p w14:paraId="34950EEA">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北京京源</w:t>
            </w:r>
          </w:p>
        </w:tc>
        <w:tc>
          <w:tcPr>
            <w:tcW w:w="549" w:type="pct"/>
            <w:tcBorders>
              <w:top w:val="single" w:color="auto" w:sz="4" w:space="0"/>
              <w:left w:val="single" w:color="auto" w:sz="4" w:space="0"/>
              <w:bottom w:val="single" w:color="auto" w:sz="4" w:space="0"/>
              <w:right w:val="single" w:color="auto" w:sz="4" w:space="0"/>
            </w:tcBorders>
            <w:noWrap w:val="0"/>
            <w:vAlign w:val="center"/>
          </w:tcPr>
          <w:p w14:paraId="648208CB">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宁波东海</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66133C37">
            <w:pPr>
              <w:jc w:val="center"/>
              <w:rPr>
                <w:rFonts w:hint="eastAsia" w:ascii="宋体" w:hAnsi="宋体" w:cs="宋体"/>
                <w:color w:val="auto"/>
                <w:sz w:val="22"/>
                <w:highlight w:val="none"/>
              </w:rPr>
            </w:pPr>
          </w:p>
        </w:tc>
        <w:tc>
          <w:tcPr>
            <w:tcW w:w="561" w:type="pct"/>
            <w:tcBorders>
              <w:top w:val="single" w:color="auto" w:sz="4" w:space="0"/>
              <w:left w:val="single" w:color="auto" w:sz="4" w:space="0"/>
              <w:bottom w:val="single" w:color="auto" w:sz="4" w:space="0"/>
              <w:right w:val="single" w:color="auto" w:sz="4" w:space="0"/>
            </w:tcBorders>
            <w:noWrap w:val="0"/>
            <w:vAlign w:val="center"/>
          </w:tcPr>
          <w:p w14:paraId="1DDA6B9E">
            <w:pPr>
              <w:jc w:val="center"/>
              <w:rPr>
                <w:rFonts w:hint="eastAsia" w:ascii="宋体" w:hAnsi="宋体" w:cs="宋体"/>
                <w:color w:val="auto"/>
                <w:kern w:val="0"/>
                <w:szCs w:val="21"/>
                <w:highlight w:val="none"/>
              </w:rPr>
            </w:pPr>
          </w:p>
        </w:tc>
        <w:tc>
          <w:tcPr>
            <w:tcW w:w="460" w:type="pct"/>
            <w:tcBorders>
              <w:top w:val="single" w:color="auto" w:sz="4" w:space="0"/>
              <w:left w:val="single" w:color="auto" w:sz="4" w:space="0"/>
              <w:bottom w:val="single" w:color="auto" w:sz="4" w:space="0"/>
              <w:right w:val="single" w:color="auto" w:sz="4" w:space="0"/>
            </w:tcBorders>
            <w:noWrap w:val="0"/>
            <w:vAlign w:val="center"/>
          </w:tcPr>
          <w:p w14:paraId="5A119B9C">
            <w:pPr>
              <w:jc w:val="center"/>
              <w:rPr>
                <w:rFonts w:hint="eastAsia" w:ascii="宋体" w:hAnsi="宋体" w:cs="宋体"/>
                <w:color w:val="auto"/>
                <w:kern w:val="0"/>
                <w:szCs w:val="21"/>
                <w:highlight w:val="none"/>
              </w:rPr>
            </w:pPr>
          </w:p>
        </w:tc>
        <w:tc>
          <w:tcPr>
            <w:tcW w:w="455" w:type="pct"/>
            <w:tcBorders>
              <w:top w:val="single" w:color="auto" w:sz="4" w:space="0"/>
              <w:left w:val="single" w:color="auto" w:sz="4" w:space="0"/>
              <w:bottom w:val="single" w:color="auto" w:sz="4" w:space="0"/>
              <w:right w:val="single" w:color="auto" w:sz="4" w:space="0"/>
            </w:tcBorders>
            <w:noWrap w:val="0"/>
            <w:vAlign w:val="center"/>
          </w:tcPr>
          <w:p w14:paraId="0BA70B78">
            <w:pPr>
              <w:widowControl/>
              <w:rPr>
                <w:rFonts w:hint="eastAsia" w:ascii="宋体" w:hAnsi="宋体" w:cs="宋体"/>
                <w:color w:val="auto"/>
                <w:kern w:val="0"/>
                <w:szCs w:val="21"/>
                <w:highlight w:val="none"/>
              </w:rPr>
            </w:pPr>
          </w:p>
        </w:tc>
      </w:tr>
      <w:tr w14:paraId="5AA042CD">
        <w:tblPrEx>
          <w:tblCellMar>
            <w:top w:w="0" w:type="dxa"/>
            <w:left w:w="108" w:type="dxa"/>
            <w:bottom w:w="0" w:type="dxa"/>
            <w:right w:w="108" w:type="dxa"/>
          </w:tblCellMar>
        </w:tblPrEx>
        <w:trPr>
          <w:trHeight w:val="487" w:hRule="atLeast"/>
          <w:jc w:val="center"/>
        </w:trPr>
        <w:tc>
          <w:tcPr>
            <w:tcW w:w="395" w:type="pct"/>
            <w:tcBorders>
              <w:top w:val="single" w:color="auto" w:sz="4" w:space="0"/>
              <w:left w:val="single" w:color="auto" w:sz="4" w:space="0"/>
              <w:bottom w:val="single" w:color="auto" w:sz="4" w:space="0"/>
              <w:right w:val="single" w:color="auto" w:sz="4" w:space="0"/>
            </w:tcBorders>
            <w:noWrap w:val="0"/>
            <w:vAlign w:val="center"/>
          </w:tcPr>
          <w:p w14:paraId="28EA816C">
            <w:pPr>
              <w:widowControl/>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14</w:t>
            </w:r>
          </w:p>
        </w:tc>
        <w:tc>
          <w:tcPr>
            <w:tcW w:w="916" w:type="pct"/>
            <w:tcBorders>
              <w:top w:val="single" w:color="auto" w:sz="4" w:space="0"/>
              <w:left w:val="single" w:color="auto" w:sz="4" w:space="0"/>
              <w:bottom w:val="single" w:color="auto" w:sz="4" w:space="0"/>
              <w:right w:val="single" w:color="auto" w:sz="4" w:space="0"/>
            </w:tcBorders>
            <w:noWrap w:val="0"/>
            <w:vAlign w:val="center"/>
          </w:tcPr>
          <w:p w14:paraId="26107518">
            <w:pPr>
              <w:keepNext w:val="0"/>
              <w:keepLines w:val="0"/>
              <w:widowControl/>
              <w:suppressLineNumbers w:val="0"/>
              <w:jc w:val="center"/>
              <w:textAlignment w:val="center"/>
              <w:rPr>
                <w:rFonts w:hint="eastAsia" w:ascii="宋体" w:hAnsi="宋体" w:cs="宋体"/>
                <w:color w:val="auto"/>
                <w:kern w:val="0"/>
                <w:szCs w:val="21"/>
                <w:highlight w:val="none"/>
              </w:rPr>
            </w:pPr>
            <w:r>
              <w:rPr>
                <w:rFonts w:hint="eastAsia" w:ascii="等线" w:hAnsi="等线" w:eastAsia="等线" w:cs="等线"/>
                <w:i w:val="0"/>
                <w:iCs w:val="0"/>
                <w:color w:val="000000"/>
                <w:kern w:val="0"/>
                <w:sz w:val="22"/>
                <w:szCs w:val="22"/>
                <w:u w:val="none"/>
                <w:lang w:val="en-US" w:eastAsia="zh-CN" w:bidi="ar"/>
              </w:rPr>
              <w:t>冗余电源</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207A8552">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创联电源</w:t>
            </w:r>
          </w:p>
        </w:tc>
        <w:tc>
          <w:tcPr>
            <w:tcW w:w="527" w:type="pct"/>
            <w:tcBorders>
              <w:top w:val="single" w:color="auto" w:sz="4" w:space="0"/>
              <w:left w:val="single" w:color="auto" w:sz="4" w:space="0"/>
              <w:bottom w:val="single" w:color="auto" w:sz="4" w:space="0"/>
              <w:right w:val="single" w:color="auto" w:sz="4" w:space="0"/>
            </w:tcBorders>
            <w:noWrap w:val="0"/>
            <w:vAlign w:val="center"/>
          </w:tcPr>
          <w:p w14:paraId="10630FBA">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台达</w:t>
            </w:r>
          </w:p>
        </w:tc>
        <w:tc>
          <w:tcPr>
            <w:tcW w:w="549" w:type="pct"/>
            <w:tcBorders>
              <w:top w:val="single" w:color="auto" w:sz="4" w:space="0"/>
              <w:left w:val="single" w:color="auto" w:sz="4" w:space="0"/>
              <w:bottom w:val="single" w:color="auto" w:sz="4" w:space="0"/>
              <w:right w:val="single" w:color="auto" w:sz="4" w:space="0"/>
            </w:tcBorders>
            <w:noWrap w:val="0"/>
            <w:vAlign w:val="center"/>
          </w:tcPr>
          <w:p w14:paraId="39CE8317">
            <w:pPr>
              <w:keepNext w:val="0"/>
              <w:keepLines w:val="0"/>
              <w:widowControl/>
              <w:suppressLineNumbers w:val="0"/>
              <w:jc w:val="center"/>
              <w:textAlignment w:val="center"/>
              <w:rPr>
                <w:rFonts w:hint="eastAsia" w:ascii="宋体" w:hAnsi="宋体" w:cs="宋体"/>
                <w:color w:val="auto"/>
                <w:sz w:val="22"/>
                <w:highlight w:val="none"/>
              </w:rPr>
            </w:pPr>
            <w:r>
              <w:rPr>
                <w:rFonts w:hint="eastAsia" w:ascii="等线" w:hAnsi="等线" w:eastAsia="等线" w:cs="等线"/>
                <w:i w:val="0"/>
                <w:iCs w:val="0"/>
                <w:color w:val="000000"/>
                <w:kern w:val="0"/>
                <w:sz w:val="22"/>
                <w:szCs w:val="22"/>
                <w:u w:val="none"/>
                <w:lang w:val="en-US" w:eastAsia="zh-CN" w:bidi="ar"/>
              </w:rPr>
              <w:t>明纬</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315A1192">
            <w:pPr>
              <w:jc w:val="center"/>
              <w:rPr>
                <w:rFonts w:hint="eastAsia" w:ascii="宋体" w:hAnsi="宋体" w:cs="宋体"/>
                <w:color w:val="auto"/>
                <w:sz w:val="22"/>
                <w:highlight w:val="none"/>
              </w:rPr>
            </w:pPr>
          </w:p>
        </w:tc>
        <w:tc>
          <w:tcPr>
            <w:tcW w:w="561" w:type="pct"/>
            <w:tcBorders>
              <w:top w:val="single" w:color="auto" w:sz="4" w:space="0"/>
              <w:left w:val="single" w:color="auto" w:sz="4" w:space="0"/>
              <w:bottom w:val="single" w:color="auto" w:sz="4" w:space="0"/>
              <w:right w:val="single" w:color="auto" w:sz="4" w:space="0"/>
            </w:tcBorders>
            <w:noWrap w:val="0"/>
            <w:vAlign w:val="center"/>
          </w:tcPr>
          <w:p w14:paraId="0D2CC1CB">
            <w:pPr>
              <w:jc w:val="center"/>
              <w:rPr>
                <w:rFonts w:hint="eastAsia" w:ascii="宋体" w:hAnsi="宋体" w:cs="宋体"/>
                <w:color w:val="auto"/>
                <w:kern w:val="0"/>
                <w:szCs w:val="21"/>
                <w:highlight w:val="none"/>
              </w:rPr>
            </w:pPr>
          </w:p>
        </w:tc>
        <w:tc>
          <w:tcPr>
            <w:tcW w:w="460" w:type="pct"/>
            <w:tcBorders>
              <w:top w:val="single" w:color="auto" w:sz="4" w:space="0"/>
              <w:left w:val="single" w:color="auto" w:sz="4" w:space="0"/>
              <w:bottom w:val="single" w:color="auto" w:sz="4" w:space="0"/>
              <w:right w:val="single" w:color="auto" w:sz="4" w:space="0"/>
            </w:tcBorders>
            <w:noWrap w:val="0"/>
            <w:vAlign w:val="center"/>
          </w:tcPr>
          <w:p w14:paraId="7CBD8FA9">
            <w:pPr>
              <w:jc w:val="center"/>
              <w:rPr>
                <w:rFonts w:hint="eastAsia" w:ascii="宋体" w:hAnsi="宋体" w:cs="宋体"/>
                <w:color w:val="auto"/>
                <w:kern w:val="0"/>
                <w:szCs w:val="21"/>
                <w:highlight w:val="none"/>
              </w:rPr>
            </w:pPr>
          </w:p>
        </w:tc>
        <w:tc>
          <w:tcPr>
            <w:tcW w:w="455" w:type="pct"/>
            <w:tcBorders>
              <w:top w:val="single" w:color="auto" w:sz="4" w:space="0"/>
              <w:left w:val="single" w:color="auto" w:sz="4" w:space="0"/>
              <w:bottom w:val="single" w:color="auto" w:sz="4" w:space="0"/>
              <w:right w:val="single" w:color="auto" w:sz="4" w:space="0"/>
            </w:tcBorders>
            <w:noWrap w:val="0"/>
            <w:vAlign w:val="center"/>
          </w:tcPr>
          <w:p w14:paraId="5A2FD31E">
            <w:pPr>
              <w:widowControl/>
              <w:rPr>
                <w:rFonts w:hint="eastAsia" w:ascii="宋体" w:hAnsi="宋体" w:cs="宋体"/>
                <w:color w:val="auto"/>
                <w:kern w:val="0"/>
                <w:szCs w:val="21"/>
                <w:highlight w:val="none"/>
              </w:rPr>
            </w:pPr>
          </w:p>
        </w:tc>
      </w:tr>
      <w:tr w14:paraId="41394B2F">
        <w:tblPrEx>
          <w:tblCellMar>
            <w:top w:w="0" w:type="dxa"/>
            <w:left w:w="108" w:type="dxa"/>
            <w:bottom w:w="0" w:type="dxa"/>
            <w:right w:w="108" w:type="dxa"/>
          </w:tblCellMar>
        </w:tblPrEx>
        <w:trPr>
          <w:trHeight w:val="487" w:hRule="atLeast"/>
          <w:jc w:val="center"/>
        </w:trPr>
        <w:tc>
          <w:tcPr>
            <w:tcW w:w="5000" w:type="pct"/>
            <w:gridSpan w:val="9"/>
            <w:tcBorders>
              <w:top w:val="single" w:color="auto" w:sz="4" w:space="0"/>
              <w:left w:val="single" w:color="auto" w:sz="4" w:space="0"/>
              <w:bottom w:val="single" w:color="auto" w:sz="4" w:space="0"/>
              <w:right w:val="single" w:color="auto" w:sz="4" w:space="0"/>
            </w:tcBorders>
            <w:noWrap w:val="0"/>
            <w:vAlign w:val="center"/>
          </w:tcPr>
          <w:p w14:paraId="1EC82427">
            <w:pPr>
              <w:adjustRightInd w:val="0"/>
              <w:snapToGrid w:val="0"/>
              <w:spacing w:line="520" w:lineRule="exact"/>
              <w:rPr>
                <w:rFonts w:hint="eastAsia" w:ascii="宋体" w:hAnsi="宋体" w:eastAsia="宋体" w:cs="宋体"/>
                <w:b/>
                <w:bCs/>
                <w:color w:val="auto"/>
                <w:kern w:val="0"/>
                <w:szCs w:val="21"/>
                <w:highlight w:val="none"/>
                <w:lang w:val="en-US" w:eastAsia="zh-CN"/>
              </w:rPr>
            </w:pPr>
            <w:r>
              <w:rPr>
                <w:rFonts w:hint="eastAsia" w:ascii="宋体" w:hAnsi="宋体" w:eastAsia="宋体" w:cs="宋体"/>
                <w:b/>
                <w:bCs/>
                <w:color w:val="auto"/>
                <w:kern w:val="0"/>
                <w:szCs w:val="21"/>
                <w:highlight w:val="none"/>
                <w:lang w:val="en-US" w:eastAsia="zh-CN"/>
              </w:rPr>
              <w:t>如未按照上表要求的专业包商、品牌实施，则最后定标的专业包商和采购的设备需同时满足以下条件：</w:t>
            </w:r>
          </w:p>
          <w:p w14:paraId="5922E4E1">
            <w:pPr>
              <w:adjustRightInd w:val="0"/>
              <w:snapToGrid w:val="0"/>
              <w:spacing w:line="520" w:lineRule="exact"/>
              <w:rPr>
                <w:rFonts w:hint="eastAsia" w:ascii="宋体" w:hAnsi="宋体" w:eastAsia="宋体" w:cs="宋体"/>
                <w:b/>
                <w:bCs/>
                <w:color w:val="auto"/>
                <w:kern w:val="0"/>
                <w:szCs w:val="21"/>
                <w:highlight w:val="none"/>
                <w:lang w:val="en-US" w:eastAsia="zh-CN"/>
              </w:rPr>
            </w:pPr>
            <w:r>
              <w:rPr>
                <w:rFonts w:hint="eastAsia" w:ascii="宋体" w:hAnsi="宋体" w:eastAsia="宋体" w:cs="宋体"/>
                <w:b/>
                <w:bCs/>
                <w:color w:val="auto"/>
                <w:kern w:val="0"/>
                <w:szCs w:val="21"/>
                <w:highlight w:val="none"/>
                <w:lang w:val="en-US" w:eastAsia="zh-CN"/>
              </w:rPr>
              <w:t>a、在总建筑规模5万平米以上的工业项目中有应用案例[本文所指工业项目：化工、半导体、面板、光伏（不含光伏电站）行业的项目］；</w:t>
            </w:r>
          </w:p>
          <w:p w14:paraId="53387871">
            <w:pPr>
              <w:adjustRightInd w:val="0"/>
              <w:snapToGrid w:val="0"/>
              <w:spacing w:line="520" w:lineRule="exact"/>
              <w:rPr>
                <w:rFonts w:hint="eastAsia" w:ascii="宋体" w:hAnsi="宋体" w:eastAsia="宋体" w:cs="宋体"/>
                <w:b/>
                <w:bCs/>
                <w:color w:val="auto"/>
                <w:kern w:val="0"/>
                <w:szCs w:val="21"/>
                <w:highlight w:val="none"/>
                <w:lang w:val="en-US" w:eastAsia="zh-CN"/>
              </w:rPr>
            </w:pPr>
            <w:r>
              <w:rPr>
                <w:rFonts w:hint="eastAsia" w:ascii="宋体" w:hAnsi="宋体" w:eastAsia="宋体" w:cs="宋体"/>
                <w:b/>
                <w:bCs/>
                <w:color w:val="auto"/>
                <w:kern w:val="0"/>
                <w:szCs w:val="21"/>
                <w:highlight w:val="none"/>
                <w:lang w:val="en-US" w:eastAsia="zh-CN"/>
              </w:rPr>
              <w:t>b、在以上案例中所使用的设备、材料的总规模至少应与本项目的实用规模的四分之一相当；</w:t>
            </w:r>
          </w:p>
          <w:p w14:paraId="31F1B5CD">
            <w:pPr>
              <w:adjustRightInd w:val="0"/>
              <w:snapToGrid w:val="0"/>
              <w:spacing w:line="520" w:lineRule="exact"/>
              <w:rPr>
                <w:rFonts w:hint="eastAsia" w:ascii="宋体" w:hAnsi="宋体" w:eastAsia="宋体" w:cs="宋体"/>
                <w:b/>
                <w:bCs/>
                <w:color w:val="auto"/>
                <w:kern w:val="0"/>
                <w:szCs w:val="21"/>
                <w:highlight w:val="none"/>
                <w:lang w:val="en-US" w:eastAsia="zh-CN"/>
              </w:rPr>
            </w:pPr>
            <w:r>
              <w:rPr>
                <w:rFonts w:hint="eastAsia" w:ascii="宋体" w:hAnsi="宋体" w:eastAsia="宋体" w:cs="宋体"/>
                <w:b/>
                <w:bCs/>
                <w:color w:val="auto"/>
                <w:kern w:val="0"/>
                <w:szCs w:val="21"/>
                <w:highlight w:val="none"/>
                <w:lang w:val="en-US" w:eastAsia="zh-CN"/>
              </w:rPr>
              <w:t>c、在以上案例中所使用的主要设备的参数需与本项目需求的参数相近；</w:t>
            </w:r>
          </w:p>
          <w:p w14:paraId="1B9332C0">
            <w:pPr>
              <w:adjustRightInd w:val="0"/>
              <w:snapToGrid w:val="0"/>
              <w:spacing w:line="520" w:lineRule="exact"/>
              <w:rPr>
                <w:rFonts w:hint="eastAsia" w:ascii="宋体" w:hAnsi="宋体" w:eastAsia="宋体" w:cs="宋体"/>
                <w:b/>
                <w:bCs/>
                <w:color w:val="auto"/>
                <w:kern w:val="0"/>
                <w:szCs w:val="21"/>
                <w:highlight w:val="none"/>
                <w:lang w:val="en-US" w:eastAsia="zh-CN"/>
              </w:rPr>
            </w:pPr>
            <w:r>
              <w:rPr>
                <w:rFonts w:hint="eastAsia" w:ascii="宋体" w:hAnsi="宋体" w:eastAsia="宋体" w:cs="宋体"/>
                <w:b/>
                <w:bCs/>
                <w:color w:val="auto"/>
                <w:kern w:val="0"/>
                <w:szCs w:val="21"/>
                <w:highlight w:val="none"/>
                <w:lang w:val="en-US" w:eastAsia="zh-CN"/>
              </w:rPr>
              <w:t>d、在以上案例的运行、使用时间超过一年；</w:t>
            </w:r>
          </w:p>
          <w:p w14:paraId="6327F86A">
            <w:pPr>
              <w:adjustRightInd w:val="0"/>
              <w:snapToGrid w:val="0"/>
              <w:spacing w:line="520" w:lineRule="exact"/>
              <w:rPr>
                <w:rFonts w:hint="eastAsia" w:ascii="宋体" w:hAnsi="宋体" w:eastAsia="宋体" w:cs="宋体"/>
                <w:b/>
                <w:bCs/>
                <w:color w:val="auto"/>
                <w:kern w:val="0"/>
                <w:szCs w:val="21"/>
                <w:highlight w:val="none"/>
                <w:lang w:val="en-US" w:eastAsia="zh-CN"/>
              </w:rPr>
            </w:pPr>
            <w:r>
              <w:rPr>
                <w:rFonts w:hint="eastAsia" w:ascii="宋体" w:hAnsi="宋体" w:eastAsia="宋体" w:cs="宋体"/>
                <w:b/>
                <w:bCs/>
                <w:color w:val="auto"/>
                <w:kern w:val="0"/>
                <w:szCs w:val="21"/>
                <w:highlight w:val="none"/>
                <w:lang w:val="en-US" w:eastAsia="zh-CN"/>
              </w:rPr>
              <w:t>e、提供此案例的合同原件；</w:t>
            </w:r>
          </w:p>
          <w:p w14:paraId="7E95FDE3">
            <w:pPr>
              <w:adjustRightInd w:val="0"/>
              <w:snapToGrid w:val="0"/>
              <w:spacing w:line="520" w:lineRule="exact"/>
              <w:rPr>
                <w:rFonts w:hint="eastAsia" w:ascii="宋体" w:hAnsi="宋体" w:eastAsia="宋体" w:cs="宋体"/>
                <w:b/>
                <w:bCs/>
                <w:color w:val="auto"/>
                <w:kern w:val="0"/>
                <w:szCs w:val="21"/>
                <w:highlight w:val="none"/>
                <w:lang w:val="en-US" w:eastAsia="zh-CN"/>
              </w:rPr>
            </w:pPr>
            <w:r>
              <w:rPr>
                <w:rFonts w:hint="eastAsia" w:ascii="宋体" w:hAnsi="宋体" w:eastAsia="宋体" w:cs="宋体"/>
                <w:b/>
                <w:bCs/>
                <w:color w:val="auto"/>
                <w:kern w:val="0"/>
                <w:szCs w:val="21"/>
                <w:highlight w:val="none"/>
                <w:lang w:val="en-US" w:eastAsia="zh-CN"/>
              </w:rPr>
              <w:t>f、提供用户使用的评价文件。</w:t>
            </w:r>
          </w:p>
          <w:p w14:paraId="74885327">
            <w:pPr>
              <w:adjustRightInd w:val="0"/>
              <w:snapToGrid w:val="0"/>
              <w:spacing w:line="520" w:lineRule="exact"/>
              <w:rPr>
                <w:rFonts w:hint="eastAsia" w:ascii="宋体" w:hAnsi="宋体" w:eastAsia="宋体" w:cs="宋体"/>
                <w:b/>
                <w:bCs/>
                <w:color w:val="auto"/>
                <w:kern w:val="0"/>
                <w:szCs w:val="21"/>
                <w:highlight w:val="none"/>
                <w:lang w:val="en-US" w:eastAsia="zh-CN"/>
              </w:rPr>
            </w:pPr>
            <w:r>
              <w:rPr>
                <w:rFonts w:hint="eastAsia" w:ascii="宋体" w:hAnsi="宋体" w:eastAsia="宋体" w:cs="宋体"/>
                <w:b/>
                <w:bCs/>
                <w:color w:val="auto"/>
                <w:kern w:val="0"/>
                <w:szCs w:val="21"/>
                <w:highlight w:val="none"/>
                <w:lang w:val="en-US" w:eastAsia="zh-CN"/>
              </w:rPr>
              <w:t>其它未列品牌的统一要求：</w:t>
            </w:r>
          </w:p>
          <w:p w14:paraId="26E585CB">
            <w:pPr>
              <w:adjustRightInd w:val="0"/>
              <w:snapToGrid w:val="0"/>
              <w:spacing w:line="520" w:lineRule="exact"/>
              <w:rPr>
                <w:rFonts w:hint="eastAsia" w:ascii="宋体" w:hAnsi="宋体" w:eastAsia="宋体" w:cs="宋体"/>
                <w:b/>
                <w:bCs/>
                <w:color w:val="auto"/>
                <w:kern w:val="0"/>
                <w:szCs w:val="21"/>
                <w:highlight w:val="none"/>
                <w:lang w:val="en-US" w:eastAsia="zh-CN"/>
              </w:rPr>
            </w:pPr>
            <w:r>
              <w:rPr>
                <w:rFonts w:hint="eastAsia" w:ascii="宋体" w:hAnsi="宋体" w:eastAsia="宋体" w:cs="宋体"/>
                <w:b/>
                <w:bCs/>
                <w:color w:val="auto"/>
                <w:kern w:val="0"/>
                <w:szCs w:val="21"/>
                <w:highlight w:val="none"/>
                <w:lang w:val="en-US" w:eastAsia="zh-CN"/>
              </w:rPr>
              <w:t>（1）普通材料的要求：普通材料不作品牌要求，但应为国标产品，满足国家规范、标准及设计要求。</w:t>
            </w:r>
          </w:p>
          <w:p w14:paraId="3A7FFB12">
            <w:pPr>
              <w:adjustRightInd w:val="0"/>
              <w:snapToGrid w:val="0"/>
              <w:spacing w:line="520" w:lineRule="exact"/>
              <w:rPr>
                <w:rFonts w:hint="eastAsia" w:ascii="宋体" w:hAnsi="宋体" w:eastAsia="宋体" w:cs="宋体"/>
                <w:b/>
                <w:bCs/>
                <w:color w:val="auto"/>
                <w:kern w:val="0"/>
                <w:szCs w:val="21"/>
                <w:highlight w:val="none"/>
                <w:lang w:val="en-US" w:eastAsia="zh-CN"/>
              </w:rPr>
            </w:pPr>
            <w:r>
              <w:rPr>
                <w:rFonts w:hint="eastAsia" w:ascii="宋体" w:hAnsi="宋体" w:eastAsia="宋体" w:cs="宋体"/>
                <w:b/>
                <w:bCs/>
                <w:color w:val="auto"/>
                <w:kern w:val="0"/>
                <w:szCs w:val="21"/>
                <w:highlight w:val="none"/>
                <w:lang w:val="en-US" w:eastAsia="zh-CN"/>
              </w:rPr>
              <w:t>（2）大宗材料、采购前确认:中标方须严格按照施工合同及设计要求，向招标组织方派驻的工程项目部提交施工所需大宗材料、采购的申请，工程项目部批准后,执行采购程序。中标方提交的材料采购申请包含：送审表，样品（如需）、使用部位、产品介绍、质量检验报告、合格证、生产厂家资质及业绩等。对不符合要求的材料，工程项目部有权拒绝使用。</w:t>
            </w:r>
          </w:p>
          <w:p w14:paraId="33DACBEE">
            <w:pPr>
              <w:adjustRightInd w:val="0"/>
              <w:snapToGrid w:val="0"/>
              <w:spacing w:line="520" w:lineRule="exact"/>
              <w:rPr>
                <w:rFonts w:hint="eastAsia" w:ascii="宋体" w:hAnsi="宋体" w:cs="宋体"/>
                <w:color w:val="auto"/>
                <w:kern w:val="0"/>
                <w:szCs w:val="21"/>
                <w:highlight w:val="none"/>
              </w:rPr>
            </w:pPr>
            <w:r>
              <w:rPr>
                <w:rFonts w:hint="eastAsia" w:ascii="宋体" w:hAnsi="宋体" w:eastAsia="宋体" w:cs="宋体"/>
                <w:b/>
                <w:bCs/>
                <w:color w:val="auto"/>
                <w:kern w:val="0"/>
                <w:szCs w:val="21"/>
                <w:highlight w:val="none"/>
                <w:lang w:val="en-US" w:eastAsia="zh-CN"/>
              </w:rPr>
              <w:t>（3）材料到货确认：中标方应根据合同条款及现行的《建筑工程检测试验技术管理规范》，执行材料封样、采购、进场检验、抽样送检（如需），质保质料提交的相关规定，并组织材料到货四方验收（招标组织方派驻的工程项目、监理单位、施工单位、厂家（如需）），验收合格后，方可入场。</w:t>
            </w:r>
          </w:p>
        </w:tc>
      </w:tr>
    </w:tbl>
    <w:p w14:paraId="1EBBAA19">
      <w:pPr>
        <w:adjustRightInd w:val="0"/>
        <w:snapToGrid w:val="0"/>
        <w:spacing w:line="520" w:lineRule="exact"/>
        <w:rPr>
          <w:rFonts w:hint="eastAsia" w:ascii="宋体" w:hAnsi="宋体" w:eastAsia="宋体" w:cs="宋体"/>
          <w:b/>
          <w:bCs/>
          <w:color w:val="auto"/>
          <w:kern w:val="0"/>
          <w:szCs w:val="21"/>
          <w:highlight w:val="none"/>
          <w:lang w:val="en-US" w:eastAsia="zh-CN"/>
        </w:rPr>
      </w:pPr>
      <w:bookmarkStart w:id="1411" w:name="_Toc4784276"/>
      <w:bookmarkEnd w:id="1411"/>
      <w:bookmarkStart w:id="1412" w:name="_Toc4784277"/>
      <w:bookmarkEnd w:id="1412"/>
      <w:bookmarkStart w:id="1413" w:name="_Toc4784272"/>
      <w:bookmarkEnd w:id="1413"/>
      <w:bookmarkStart w:id="1414" w:name="_Toc4784273"/>
      <w:bookmarkEnd w:id="1414"/>
      <w:bookmarkStart w:id="1415" w:name="_Toc95223531"/>
      <w:r>
        <w:rPr>
          <w:rFonts w:hint="eastAsia" w:ascii="宋体" w:hAnsi="宋体" w:eastAsia="宋体" w:cs="宋体"/>
          <w:b/>
          <w:bCs/>
          <w:color w:val="auto"/>
          <w:kern w:val="0"/>
          <w:szCs w:val="21"/>
          <w:highlight w:val="none"/>
          <w:lang w:val="en-US" w:eastAsia="zh-CN"/>
        </w:rPr>
        <w:t>注：1、对于招标人推荐品牌的材料、设备，投标人可选用推荐品牌或不低于推荐品牌技术性能指标的其他品牌。未在招标人推荐的材料品牌响应表中注明或未提供相关技术参数、业绩，或经评标委员会评审未通过的，中标后只能从招标人推荐品牌中进行选择，价格不予调整。</w:t>
      </w:r>
    </w:p>
    <w:p w14:paraId="39A884C7">
      <w:pPr>
        <w:adjustRightInd w:val="0"/>
        <w:snapToGrid w:val="0"/>
        <w:spacing w:line="520" w:lineRule="exact"/>
        <w:rPr>
          <w:rFonts w:hint="eastAsia"/>
          <w:color w:val="auto"/>
          <w:highlight w:val="none"/>
        </w:rPr>
      </w:pPr>
      <w:r>
        <w:rPr>
          <w:rFonts w:hint="eastAsia" w:ascii="宋体" w:hAnsi="宋体" w:eastAsia="宋体" w:cs="宋体"/>
          <w:b/>
          <w:bCs/>
          <w:color w:val="auto"/>
          <w:kern w:val="0"/>
          <w:szCs w:val="21"/>
          <w:highlight w:val="none"/>
          <w:lang w:val="en-US" w:eastAsia="zh-CN"/>
        </w:rPr>
        <w:t>2、如本项目招标文件中出现特定性、唯一性品牌的表述，该品牌仅作为参考，施工过程中不具有限定性。对于招标人推荐品牌的材料、设备等，投标人如认 为招标人推荐的品牌有限定性、唯一性、明显不在同一档次等级的或者其他疑问的，应在本项目异议提出的截止时间前通过电子交易系统向招标人提出。</w:t>
      </w:r>
      <w:r>
        <w:rPr>
          <w:rFonts w:hint="eastAsia"/>
          <w:color w:val="auto"/>
          <w:highlight w:val="none"/>
        </w:rPr>
        <w:br w:type="page"/>
      </w:r>
    </w:p>
    <w:p w14:paraId="3161E865">
      <w:pPr>
        <w:pStyle w:val="2"/>
        <w:adjustRightInd w:val="0"/>
        <w:snapToGrid w:val="0"/>
        <w:spacing w:before="0" w:after="0" w:line="560" w:lineRule="exact"/>
        <w:jc w:val="center"/>
        <w:rPr>
          <w:rFonts w:hint="eastAsia"/>
          <w:color w:val="auto"/>
          <w:highlight w:val="none"/>
        </w:rPr>
      </w:pPr>
      <w:r>
        <w:rPr>
          <w:rFonts w:hint="eastAsia"/>
          <w:color w:val="auto"/>
          <w:highlight w:val="none"/>
        </w:rPr>
        <w:t>第九章   投标文件格式</w:t>
      </w:r>
      <w:bookmarkEnd w:id="1415"/>
    </w:p>
    <w:p w14:paraId="19B0B949">
      <w:pPr>
        <w:adjustRightInd w:val="0"/>
        <w:snapToGrid w:val="0"/>
        <w:spacing w:line="560" w:lineRule="exact"/>
        <w:rPr>
          <w:rFonts w:hint="eastAsia"/>
          <w:color w:val="auto"/>
          <w:highlight w:val="none"/>
        </w:rPr>
      </w:pPr>
    </w:p>
    <w:p w14:paraId="34C1057A">
      <w:pPr>
        <w:adjustRightInd w:val="0"/>
        <w:snapToGrid w:val="0"/>
        <w:spacing w:line="560" w:lineRule="exact"/>
        <w:rPr>
          <w:rFonts w:hint="eastAsia"/>
          <w:color w:val="auto"/>
          <w:highlight w:val="none"/>
        </w:rPr>
      </w:pPr>
    </w:p>
    <w:p w14:paraId="55242FCC">
      <w:pPr>
        <w:adjustRightInd w:val="0"/>
        <w:snapToGrid w:val="0"/>
        <w:spacing w:line="560" w:lineRule="exact"/>
        <w:rPr>
          <w:rFonts w:hint="eastAsia"/>
          <w:color w:val="auto"/>
          <w:highlight w:val="none"/>
        </w:rPr>
      </w:pPr>
    </w:p>
    <w:p w14:paraId="02887CC0">
      <w:pPr>
        <w:adjustRightInd w:val="0"/>
        <w:snapToGrid w:val="0"/>
        <w:spacing w:line="560" w:lineRule="exact"/>
        <w:jc w:val="center"/>
        <w:rPr>
          <w:rFonts w:hint="eastAsia" w:eastAsia="黑体"/>
          <w:color w:val="auto"/>
          <w:sz w:val="20"/>
          <w:szCs w:val="20"/>
          <w:highlight w:val="none"/>
        </w:rPr>
      </w:pPr>
      <w:r>
        <w:rPr>
          <w:rFonts w:hint="eastAsia" w:eastAsia="黑体"/>
          <w:color w:val="auto"/>
          <w:sz w:val="28"/>
          <w:szCs w:val="28"/>
          <w:highlight w:val="none"/>
          <w:u w:val="single"/>
        </w:rPr>
        <w:t xml:space="preserve"> </w:t>
      </w:r>
      <w:bookmarkStart w:id="1416" w:name="_Toc506107339"/>
      <w:bookmarkStart w:id="1417" w:name="_Toc484173788"/>
      <w:bookmarkStart w:id="1418" w:name="_Toc60061573"/>
      <w:bookmarkStart w:id="1419" w:name="_Toc15058933"/>
      <w:r>
        <w:rPr>
          <w:rFonts w:hint="eastAsia" w:eastAsia="黑体"/>
          <w:color w:val="auto"/>
          <w:sz w:val="28"/>
          <w:szCs w:val="28"/>
          <w:highlight w:val="none"/>
          <w:u w:val="single"/>
        </w:rPr>
        <w:t xml:space="preserve">            </w:t>
      </w:r>
      <w:bookmarkEnd w:id="1416"/>
      <w:bookmarkEnd w:id="1417"/>
      <w:bookmarkEnd w:id="1418"/>
      <w:bookmarkEnd w:id="1419"/>
      <w:r>
        <w:rPr>
          <w:rFonts w:hint="eastAsia" w:eastAsia="黑体"/>
          <w:color w:val="auto"/>
          <w:sz w:val="28"/>
          <w:szCs w:val="28"/>
          <w:highlight w:val="none"/>
          <w:u w:val="single"/>
        </w:rPr>
        <w:t xml:space="preserve">   </w:t>
      </w:r>
      <w:r>
        <w:rPr>
          <w:rFonts w:eastAsia="黑体"/>
          <w:color w:val="auto"/>
          <w:sz w:val="28"/>
          <w:szCs w:val="28"/>
          <w:highlight w:val="none"/>
        </w:rPr>
        <w:t>（项目名称</w:t>
      </w:r>
      <w:bookmarkStart w:id="1420" w:name="_Toc246996354"/>
      <w:bookmarkStart w:id="1421" w:name="_Toc179632806"/>
      <w:bookmarkStart w:id="1422" w:name="_Toc246997097"/>
      <w:bookmarkStart w:id="1423" w:name="_Toc144974855"/>
      <w:bookmarkStart w:id="1424" w:name="_Toc152042575"/>
      <w:bookmarkStart w:id="1425" w:name="_Toc247085872"/>
      <w:bookmarkStart w:id="1426" w:name="_Toc152045786"/>
      <w:r>
        <w:rPr>
          <w:rFonts w:eastAsia="黑体"/>
          <w:color w:val="auto"/>
          <w:sz w:val="28"/>
          <w:szCs w:val="28"/>
          <w:highlight w:val="none"/>
        </w:rPr>
        <w:t>）</w:t>
      </w:r>
      <w:bookmarkStart w:id="1427" w:name="_Toc506107340"/>
      <w:bookmarkStart w:id="1428" w:name="_Toc15058934"/>
      <w:bookmarkStart w:id="1429" w:name="_Toc60061574"/>
      <w:bookmarkStart w:id="1430" w:name="_Toc324404888"/>
    </w:p>
    <w:p w14:paraId="153788DE">
      <w:pPr>
        <w:adjustRightInd w:val="0"/>
        <w:snapToGrid w:val="0"/>
        <w:spacing w:line="560" w:lineRule="exact"/>
        <w:jc w:val="center"/>
        <w:rPr>
          <w:rFonts w:hint="eastAsia" w:eastAsia="黑体"/>
          <w:color w:val="auto"/>
          <w:sz w:val="20"/>
          <w:szCs w:val="20"/>
          <w:highlight w:val="none"/>
        </w:rPr>
      </w:pPr>
    </w:p>
    <w:p w14:paraId="0E5F62D6">
      <w:pPr>
        <w:adjustRightInd w:val="0"/>
        <w:snapToGrid w:val="0"/>
        <w:spacing w:line="560" w:lineRule="exact"/>
        <w:jc w:val="center"/>
        <w:rPr>
          <w:rFonts w:hint="eastAsia" w:eastAsia="黑体"/>
          <w:color w:val="auto"/>
          <w:sz w:val="20"/>
          <w:szCs w:val="20"/>
          <w:highlight w:val="none"/>
        </w:rPr>
      </w:pPr>
    </w:p>
    <w:p w14:paraId="560E793E">
      <w:pPr>
        <w:adjustRightInd w:val="0"/>
        <w:snapToGrid w:val="0"/>
        <w:spacing w:line="560" w:lineRule="exact"/>
        <w:jc w:val="center"/>
        <w:rPr>
          <w:rFonts w:hint="eastAsia" w:eastAsia="黑体"/>
          <w:color w:val="auto"/>
          <w:sz w:val="20"/>
          <w:szCs w:val="20"/>
          <w:highlight w:val="none"/>
        </w:rPr>
      </w:pPr>
    </w:p>
    <w:p w14:paraId="1D0F0729">
      <w:pPr>
        <w:adjustRightInd w:val="0"/>
        <w:snapToGrid w:val="0"/>
        <w:spacing w:line="560" w:lineRule="exact"/>
        <w:rPr>
          <w:rFonts w:hint="eastAsia" w:eastAsia="黑体"/>
          <w:color w:val="auto"/>
          <w:sz w:val="20"/>
          <w:szCs w:val="20"/>
          <w:highlight w:val="none"/>
        </w:rPr>
      </w:pPr>
    </w:p>
    <w:p w14:paraId="2755FF21">
      <w:pPr>
        <w:adjustRightInd w:val="0"/>
        <w:snapToGrid w:val="0"/>
        <w:spacing w:line="560" w:lineRule="exact"/>
        <w:jc w:val="center"/>
        <w:rPr>
          <w:rFonts w:hint="eastAsia" w:eastAsia="黑体"/>
          <w:color w:val="auto"/>
          <w:sz w:val="44"/>
          <w:szCs w:val="44"/>
          <w:highlight w:val="none"/>
        </w:rPr>
      </w:pPr>
      <w:r>
        <w:rPr>
          <w:rFonts w:eastAsia="黑体"/>
          <w:color w:val="auto"/>
          <w:sz w:val="44"/>
          <w:szCs w:val="44"/>
          <w:highlight w:val="none"/>
        </w:rPr>
        <w:t>投  标  文</w:t>
      </w:r>
      <w:bookmarkEnd w:id="1420"/>
      <w:bookmarkEnd w:id="1421"/>
      <w:bookmarkEnd w:id="1422"/>
      <w:bookmarkEnd w:id="1423"/>
      <w:bookmarkEnd w:id="1424"/>
      <w:bookmarkEnd w:id="1425"/>
      <w:bookmarkEnd w:id="1426"/>
      <w:bookmarkEnd w:id="1427"/>
      <w:bookmarkEnd w:id="1428"/>
      <w:bookmarkEnd w:id="1429"/>
      <w:bookmarkEnd w:id="1430"/>
      <w:r>
        <w:rPr>
          <w:rFonts w:eastAsia="黑体"/>
          <w:color w:val="auto"/>
          <w:sz w:val="44"/>
          <w:szCs w:val="44"/>
          <w:highlight w:val="none"/>
        </w:rPr>
        <w:t xml:space="preserve">  件</w:t>
      </w:r>
      <w:r>
        <w:rPr>
          <w:rFonts w:hint="eastAsia" w:eastAsia="黑体"/>
          <w:color w:val="auto"/>
          <w:sz w:val="44"/>
          <w:szCs w:val="44"/>
          <w:highlight w:val="none"/>
        </w:rPr>
        <w:t xml:space="preserve"> 一</w:t>
      </w:r>
    </w:p>
    <w:p w14:paraId="10B57596">
      <w:pPr>
        <w:adjustRightInd w:val="0"/>
        <w:snapToGrid w:val="0"/>
        <w:spacing w:line="560" w:lineRule="exact"/>
        <w:jc w:val="center"/>
        <w:rPr>
          <w:rFonts w:hint="eastAsia" w:eastAsia="黑体"/>
          <w:color w:val="auto"/>
          <w:sz w:val="44"/>
          <w:szCs w:val="44"/>
          <w:highlight w:val="none"/>
        </w:rPr>
      </w:pPr>
      <w:r>
        <w:rPr>
          <w:rFonts w:hint="eastAsia" w:eastAsia="黑体"/>
          <w:color w:val="auto"/>
          <w:sz w:val="44"/>
          <w:szCs w:val="44"/>
          <w:highlight w:val="none"/>
        </w:rPr>
        <w:t>（资信证明文件）</w:t>
      </w:r>
    </w:p>
    <w:p w14:paraId="7A8FFA3A">
      <w:pPr>
        <w:adjustRightInd w:val="0"/>
        <w:snapToGrid w:val="0"/>
        <w:spacing w:line="560" w:lineRule="exact"/>
        <w:rPr>
          <w:rFonts w:hint="eastAsia" w:eastAsia="黑体"/>
          <w:color w:val="auto"/>
          <w:sz w:val="28"/>
          <w:szCs w:val="28"/>
          <w:highlight w:val="none"/>
        </w:rPr>
      </w:pPr>
    </w:p>
    <w:p w14:paraId="3FCABD25">
      <w:pPr>
        <w:adjustRightInd w:val="0"/>
        <w:snapToGrid w:val="0"/>
        <w:spacing w:line="560" w:lineRule="exact"/>
        <w:rPr>
          <w:rFonts w:eastAsia="黑体"/>
          <w:color w:val="auto"/>
          <w:sz w:val="28"/>
          <w:szCs w:val="28"/>
          <w:highlight w:val="none"/>
        </w:rPr>
      </w:pPr>
    </w:p>
    <w:p w14:paraId="700A5D6D">
      <w:pPr>
        <w:adjustRightInd w:val="0"/>
        <w:snapToGrid w:val="0"/>
        <w:spacing w:line="560" w:lineRule="exact"/>
        <w:rPr>
          <w:rFonts w:eastAsia="黑体"/>
          <w:color w:val="auto"/>
          <w:sz w:val="28"/>
          <w:szCs w:val="28"/>
          <w:highlight w:val="none"/>
        </w:rPr>
      </w:pPr>
    </w:p>
    <w:p w14:paraId="08FA94C3">
      <w:pPr>
        <w:adjustRightInd w:val="0"/>
        <w:snapToGrid w:val="0"/>
        <w:spacing w:line="560" w:lineRule="exact"/>
        <w:rPr>
          <w:rFonts w:eastAsia="黑体"/>
          <w:color w:val="auto"/>
          <w:sz w:val="28"/>
          <w:szCs w:val="28"/>
          <w:highlight w:val="none"/>
        </w:rPr>
      </w:pPr>
    </w:p>
    <w:p w14:paraId="0022E04B">
      <w:pPr>
        <w:adjustRightInd w:val="0"/>
        <w:snapToGrid w:val="0"/>
        <w:spacing w:line="560" w:lineRule="exact"/>
        <w:rPr>
          <w:rFonts w:hint="eastAsia" w:eastAsia="黑体"/>
          <w:color w:val="auto"/>
          <w:sz w:val="28"/>
          <w:szCs w:val="28"/>
          <w:highlight w:val="none"/>
        </w:rPr>
      </w:pPr>
    </w:p>
    <w:p w14:paraId="565690CD">
      <w:pPr>
        <w:adjustRightInd w:val="0"/>
        <w:snapToGrid w:val="0"/>
        <w:spacing w:line="560" w:lineRule="exact"/>
        <w:rPr>
          <w:rFonts w:hint="eastAsia" w:eastAsia="黑体"/>
          <w:color w:val="auto"/>
          <w:sz w:val="28"/>
          <w:szCs w:val="28"/>
          <w:highlight w:val="none"/>
        </w:rPr>
      </w:pPr>
    </w:p>
    <w:p w14:paraId="1DD058C3">
      <w:pPr>
        <w:adjustRightInd w:val="0"/>
        <w:snapToGrid w:val="0"/>
        <w:spacing w:line="560" w:lineRule="exact"/>
        <w:rPr>
          <w:rFonts w:eastAsia="黑体"/>
          <w:color w:val="auto"/>
          <w:sz w:val="28"/>
          <w:szCs w:val="28"/>
          <w:highlight w:val="none"/>
        </w:rPr>
      </w:pPr>
    </w:p>
    <w:p w14:paraId="03C62057">
      <w:pPr>
        <w:adjustRightInd w:val="0"/>
        <w:snapToGrid w:val="0"/>
        <w:spacing w:line="560" w:lineRule="exact"/>
        <w:rPr>
          <w:rFonts w:eastAsia="黑体"/>
          <w:color w:val="auto"/>
          <w:sz w:val="28"/>
          <w:szCs w:val="28"/>
          <w:highlight w:val="none"/>
        </w:rPr>
      </w:pPr>
    </w:p>
    <w:p w14:paraId="7F6CEBD5">
      <w:pPr>
        <w:adjustRightInd w:val="0"/>
        <w:snapToGrid w:val="0"/>
        <w:spacing w:line="560" w:lineRule="exact"/>
        <w:jc w:val="center"/>
        <w:rPr>
          <w:rFonts w:eastAsia="黑体"/>
          <w:color w:val="auto"/>
          <w:sz w:val="28"/>
          <w:szCs w:val="28"/>
          <w:highlight w:val="none"/>
          <w:u w:val="single"/>
        </w:rPr>
      </w:pPr>
      <w:r>
        <w:rPr>
          <w:rFonts w:eastAsia="黑体"/>
          <w:color w:val="auto"/>
          <w:sz w:val="28"/>
          <w:szCs w:val="28"/>
          <w:highlight w:val="none"/>
        </w:rPr>
        <w:t>投标人：</w:t>
      </w:r>
      <w:r>
        <w:rPr>
          <w:rFonts w:eastAsia="黑体"/>
          <w:color w:val="auto"/>
          <w:sz w:val="28"/>
          <w:szCs w:val="28"/>
          <w:highlight w:val="none"/>
          <w:u w:val="single"/>
        </w:rPr>
        <w:t xml:space="preserve">                     </w:t>
      </w:r>
      <w:r>
        <w:rPr>
          <w:rFonts w:hint="eastAsia" w:eastAsia="黑体"/>
          <w:color w:val="auto"/>
          <w:sz w:val="28"/>
          <w:szCs w:val="28"/>
          <w:highlight w:val="none"/>
          <w:u w:val="single"/>
        </w:rPr>
        <w:t xml:space="preserve">  </w:t>
      </w:r>
      <w:r>
        <w:rPr>
          <w:rFonts w:eastAsia="黑体"/>
          <w:color w:val="auto"/>
          <w:sz w:val="28"/>
          <w:szCs w:val="28"/>
          <w:highlight w:val="none"/>
          <w:u w:val="single"/>
        </w:rPr>
        <w:t xml:space="preserve">       </w:t>
      </w:r>
      <w:r>
        <w:rPr>
          <w:rFonts w:eastAsia="黑体"/>
          <w:color w:val="auto"/>
          <w:sz w:val="28"/>
          <w:szCs w:val="28"/>
          <w:highlight w:val="none"/>
        </w:rPr>
        <w:t>（</w:t>
      </w:r>
      <w:r>
        <w:rPr>
          <w:rFonts w:hint="eastAsia" w:eastAsia="黑体"/>
          <w:color w:val="auto"/>
          <w:sz w:val="28"/>
          <w:szCs w:val="28"/>
          <w:highlight w:val="none"/>
        </w:rPr>
        <w:t>签</w:t>
      </w:r>
      <w:r>
        <w:rPr>
          <w:rFonts w:eastAsia="黑体"/>
          <w:color w:val="auto"/>
          <w:sz w:val="28"/>
          <w:szCs w:val="28"/>
          <w:highlight w:val="none"/>
        </w:rPr>
        <w:t>章）</w:t>
      </w:r>
    </w:p>
    <w:p w14:paraId="2EAD02C7">
      <w:pPr>
        <w:adjustRightInd w:val="0"/>
        <w:snapToGrid w:val="0"/>
        <w:spacing w:line="560" w:lineRule="exact"/>
        <w:jc w:val="center"/>
        <w:rPr>
          <w:rFonts w:eastAsia="黑体"/>
          <w:color w:val="auto"/>
          <w:sz w:val="28"/>
          <w:szCs w:val="28"/>
          <w:highlight w:val="none"/>
        </w:rPr>
      </w:pPr>
      <w:r>
        <w:rPr>
          <w:rFonts w:eastAsia="黑体"/>
          <w:color w:val="auto"/>
          <w:sz w:val="28"/>
          <w:szCs w:val="28"/>
          <w:highlight w:val="none"/>
        </w:rPr>
        <w:t>法定代表人：</w:t>
      </w:r>
      <w:r>
        <w:rPr>
          <w:rFonts w:eastAsia="黑体"/>
          <w:color w:val="auto"/>
          <w:sz w:val="28"/>
          <w:szCs w:val="28"/>
          <w:highlight w:val="none"/>
          <w:u w:val="single"/>
        </w:rPr>
        <w:t xml:space="preserve">                </w:t>
      </w:r>
      <w:r>
        <w:rPr>
          <w:rFonts w:eastAsia="黑体"/>
          <w:color w:val="auto"/>
          <w:sz w:val="28"/>
          <w:szCs w:val="28"/>
          <w:highlight w:val="none"/>
        </w:rPr>
        <w:t>（签</w:t>
      </w:r>
      <w:r>
        <w:rPr>
          <w:rFonts w:hint="eastAsia" w:eastAsia="黑体"/>
          <w:color w:val="auto"/>
          <w:sz w:val="28"/>
          <w:szCs w:val="28"/>
          <w:highlight w:val="none"/>
        </w:rPr>
        <w:t>章</w:t>
      </w:r>
      <w:r>
        <w:rPr>
          <w:rFonts w:eastAsia="黑体"/>
          <w:color w:val="auto"/>
          <w:sz w:val="28"/>
          <w:szCs w:val="28"/>
          <w:highlight w:val="none"/>
        </w:rPr>
        <w:t>）</w:t>
      </w:r>
    </w:p>
    <w:p w14:paraId="28D9319D">
      <w:pPr>
        <w:adjustRightInd w:val="0"/>
        <w:snapToGrid w:val="0"/>
        <w:spacing w:line="560" w:lineRule="exact"/>
        <w:jc w:val="center"/>
        <w:rPr>
          <w:rFonts w:hint="eastAsia" w:eastAsia="黑体"/>
          <w:color w:val="auto"/>
          <w:sz w:val="28"/>
          <w:szCs w:val="28"/>
          <w:highlight w:val="none"/>
        </w:rPr>
      </w:pPr>
      <w:r>
        <w:rPr>
          <w:rFonts w:eastAsia="黑体"/>
          <w:color w:val="auto"/>
          <w:sz w:val="28"/>
          <w:szCs w:val="28"/>
          <w:highlight w:val="none"/>
          <w:u w:val="single"/>
        </w:rPr>
        <w:t xml:space="preserve">        </w:t>
      </w:r>
      <w:r>
        <w:rPr>
          <w:rFonts w:eastAsia="黑体"/>
          <w:color w:val="auto"/>
          <w:sz w:val="28"/>
          <w:szCs w:val="28"/>
          <w:highlight w:val="none"/>
        </w:rPr>
        <w:t>年</w:t>
      </w:r>
      <w:r>
        <w:rPr>
          <w:rFonts w:eastAsia="黑体"/>
          <w:color w:val="auto"/>
          <w:sz w:val="28"/>
          <w:szCs w:val="28"/>
          <w:highlight w:val="none"/>
          <w:u w:val="single"/>
        </w:rPr>
        <w:t xml:space="preserve">        </w:t>
      </w:r>
      <w:r>
        <w:rPr>
          <w:rFonts w:eastAsia="黑体"/>
          <w:color w:val="auto"/>
          <w:sz w:val="28"/>
          <w:szCs w:val="28"/>
          <w:highlight w:val="none"/>
        </w:rPr>
        <w:t>月</w:t>
      </w:r>
      <w:r>
        <w:rPr>
          <w:rFonts w:eastAsia="黑体"/>
          <w:color w:val="auto"/>
          <w:sz w:val="28"/>
          <w:szCs w:val="28"/>
          <w:highlight w:val="none"/>
          <w:u w:val="single"/>
        </w:rPr>
        <w:t xml:space="preserve">        </w:t>
      </w:r>
      <w:r>
        <w:rPr>
          <w:rFonts w:eastAsia="黑体"/>
          <w:color w:val="auto"/>
          <w:sz w:val="28"/>
          <w:szCs w:val="28"/>
          <w:highlight w:val="none"/>
        </w:rPr>
        <w:t>日</w:t>
      </w:r>
    </w:p>
    <w:p w14:paraId="49DD422A">
      <w:pPr>
        <w:rPr>
          <w:rFonts w:hint="eastAsia"/>
          <w:color w:val="auto"/>
          <w:highlight w:val="none"/>
        </w:rPr>
      </w:pPr>
      <w:bookmarkStart w:id="1431" w:name="_Toc95223532"/>
      <w:bookmarkStart w:id="1432" w:name="_Toc152045813"/>
      <w:bookmarkStart w:id="1433" w:name="_Toc246996374"/>
      <w:bookmarkStart w:id="1434" w:name="_Toc152042602"/>
      <w:bookmarkStart w:id="1435" w:name="_Toc144974881"/>
      <w:bookmarkStart w:id="1436" w:name="_Toc246997117"/>
      <w:bookmarkStart w:id="1437" w:name="_Toc296602622"/>
      <w:bookmarkStart w:id="1438" w:name="_Toc179632833"/>
      <w:bookmarkStart w:id="1439" w:name="_Toc247085892"/>
      <w:r>
        <w:rPr>
          <w:rFonts w:hint="eastAsia"/>
          <w:color w:val="auto"/>
          <w:highlight w:val="none"/>
        </w:rPr>
        <w:br w:type="page"/>
      </w:r>
    </w:p>
    <w:p w14:paraId="39AC752B">
      <w:pPr>
        <w:pStyle w:val="3"/>
        <w:keepNext/>
        <w:keepLines/>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eastAsia"/>
          <w:color w:val="auto"/>
          <w:highlight w:val="none"/>
        </w:rPr>
      </w:pPr>
      <w:r>
        <w:rPr>
          <w:rFonts w:hint="eastAsia"/>
          <w:color w:val="auto"/>
          <w:highlight w:val="none"/>
        </w:rPr>
        <w:t>投标文件一：资信证明文件目录</w:t>
      </w:r>
      <w:bookmarkEnd w:id="1431"/>
    </w:p>
    <w:p w14:paraId="4D264CC7">
      <w:pPr>
        <w:keepNext w:val="0"/>
        <w:keepLines w:val="0"/>
        <w:pageBreakBefore w:val="0"/>
        <w:kinsoku/>
        <w:wordWrap/>
        <w:overflowPunct/>
        <w:topLinePunct w:val="0"/>
        <w:autoSpaceDE/>
        <w:autoSpaceDN/>
        <w:bidi w:val="0"/>
        <w:adjustRightInd w:val="0"/>
        <w:snapToGrid w:val="0"/>
        <w:spacing w:line="500" w:lineRule="exact"/>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（1）投标人基本情况表</w:t>
      </w:r>
      <w:r>
        <w:rPr>
          <w:rFonts w:hint="eastAsia" w:ascii="宋体" w:hAnsi="宋体" w:cs="宋体"/>
          <w:color w:val="auto"/>
          <w:szCs w:val="21"/>
          <w:highlight w:val="none"/>
        </w:rPr>
        <w:t>（联合体投标的，联合体各方均须提供）</w:t>
      </w:r>
      <w:r>
        <w:rPr>
          <w:rFonts w:hint="eastAsia" w:ascii="宋体" w:hAnsi="宋体" w:cs="宋体"/>
          <w:color w:val="auto"/>
          <w:highlight w:val="none"/>
        </w:rPr>
        <w:t>；</w:t>
      </w:r>
    </w:p>
    <w:p w14:paraId="7892711D">
      <w:pPr>
        <w:keepNext w:val="0"/>
        <w:keepLines w:val="0"/>
        <w:pageBreakBefore w:val="0"/>
        <w:kinsoku/>
        <w:wordWrap/>
        <w:overflowPunct/>
        <w:topLinePunct w:val="0"/>
        <w:autoSpaceDE/>
        <w:autoSpaceDN/>
        <w:bidi w:val="0"/>
        <w:adjustRightInd w:val="0"/>
        <w:snapToGrid w:val="0"/>
        <w:spacing w:line="500" w:lineRule="exact"/>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（2）近年财务状况表</w:t>
      </w:r>
      <w:r>
        <w:rPr>
          <w:rFonts w:hint="eastAsia" w:ascii="宋体" w:hAnsi="宋体" w:cs="宋体"/>
          <w:color w:val="auto"/>
          <w:szCs w:val="21"/>
          <w:highlight w:val="none"/>
        </w:rPr>
        <w:t>（</w:t>
      </w:r>
      <w:r>
        <w:rPr>
          <w:rFonts w:hint="eastAsia" w:ascii="宋体" w:hAnsi="宋体" w:cs="宋体"/>
          <w:color w:val="auto"/>
          <w:highlight w:val="none"/>
          <w:lang w:val="en-US" w:eastAsia="zh-CN"/>
        </w:rPr>
        <w:t>本项目不采用</w:t>
      </w:r>
      <w:r>
        <w:rPr>
          <w:rFonts w:hint="eastAsia" w:ascii="宋体" w:hAnsi="宋体" w:cs="宋体"/>
          <w:color w:val="auto"/>
          <w:szCs w:val="21"/>
          <w:highlight w:val="none"/>
        </w:rPr>
        <w:t>）</w:t>
      </w:r>
      <w:r>
        <w:rPr>
          <w:rFonts w:hint="eastAsia" w:ascii="宋体" w:hAnsi="宋体" w:cs="宋体"/>
          <w:color w:val="auto"/>
          <w:highlight w:val="none"/>
        </w:rPr>
        <w:t>；</w:t>
      </w:r>
    </w:p>
    <w:p w14:paraId="2CCABEA1">
      <w:pPr>
        <w:keepNext w:val="0"/>
        <w:keepLines w:val="0"/>
        <w:pageBreakBefore w:val="0"/>
        <w:kinsoku/>
        <w:wordWrap/>
        <w:overflowPunct/>
        <w:topLinePunct w:val="0"/>
        <w:autoSpaceDE/>
        <w:autoSpaceDN/>
        <w:bidi w:val="0"/>
        <w:adjustRightInd w:val="0"/>
        <w:snapToGrid w:val="0"/>
        <w:spacing w:line="500" w:lineRule="exact"/>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（3）近年完成的类似项目情况表</w:t>
      </w:r>
      <w:r>
        <w:rPr>
          <w:rFonts w:hint="eastAsia" w:ascii="宋体" w:hAnsi="宋体" w:cs="宋体"/>
          <w:color w:val="auto"/>
          <w:szCs w:val="21"/>
          <w:highlight w:val="none"/>
        </w:rPr>
        <w:t>（</w:t>
      </w:r>
      <w:r>
        <w:rPr>
          <w:rFonts w:hint="eastAsia" w:ascii="宋体" w:hAnsi="宋体" w:cs="宋体"/>
          <w:color w:val="auto"/>
          <w:highlight w:val="none"/>
          <w:lang w:val="en-US" w:eastAsia="zh-CN"/>
        </w:rPr>
        <w:t>本项目不采用</w:t>
      </w:r>
      <w:r>
        <w:rPr>
          <w:rFonts w:hint="eastAsia" w:ascii="宋体" w:hAnsi="宋体" w:cs="宋体"/>
          <w:color w:val="auto"/>
          <w:szCs w:val="21"/>
          <w:highlight w:val="none"/>
        </w:rPr>
        <w:t>）</w:t>
      </w:r>
      <w:r>
        <w:rPr>
          <w:rFonts w:hint="eastAsia" w:ascii="宋体" w:hAnsi="宋体" w:cs="宋体"/>
          <w:color w:val="auto"/>
          <w:highlight w:val="none"/>
        </w:rPr>
        <w:t>；</w:t>
      </w:r>
    </w:p>
    <w:p w14:paraId="14290E36">
      <w:pPr>
        <w:keepNext w:val="0"/>
        <w:keepLines w:val="0"/>
        <w:pageBreakBefore w:val="0"/>
        <w:kinsoku/>
        <w:wordWrap/>
        <w:overflowPunct/>
        <w:topLinePunct w:val="0"/>
        <w:autoSpaceDE/>
        <w:autoSpaceDN/>
        <w:bidi w:val="0"/>
        <w:adjustRightInd w:val="0"/>
        <w:snapToGrid w:val="0"/>
        <w:spacing w:line="500" w:lineRule="exact"/>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（4）正在实施的和新承接的项目情况表</w:t>
      </w:r>
      <w:r>
        <w:rPr>
          <w:rFonts w:hint="eastAsia" w:ascii="宋体" w:hAnsi="宋体" w:cs="宋体"/>
          <w:color w:val="auto"/>
          <w:szCs w:val="21"/>
          <w:highlight w:val="none"/>
        </w:rPr>
        <w:t>（</w:t>
      </w:r>
      <w:r>
        <w:rPr>
          <w:rFonts w:hint="eastAsia" w:ascii="宋体" w:hAnsi="宋体" w:cs="宋体"/>
          <w:color w:val="auto"/>
          <w:highlight w:val="none"/>
          <w:lang w:val="en-US" w:eastAsia="zh-CN"/>
        </w:rPr>
        <w:t>本项目不采用</w:t>
      </w:r>
      <w:r>
        <w:rPr>
          <w:rFonts w:hint="eastAsia" w:ascii="宋体" w:hAnsi="宋体" w:cs="宋体"/>
          <w:color w:val="auto"/>
          <w:szCs w:val="21"/>
          <w:highlight w:val="none"/>
        </w:rPr>
        <w:t>）</w:t>
      </w:r>
      <w:r>
        <w:rPr>
          <w:rFonts w:hint="eastAsia" w:ascii="宋体" w:hAnsi="宋体" w:cs="宋体"/>
          <w:color w:val="auto"/>
          <w:highlight w:val="none"/>
        </w:rPr>
        <w:t>；</w:t>
      </w:r>
    </w:p>
    <w:p w14:paraId="7123D262">
      <w:pPr>
        <w:keepNext w:val="0"/>
        <w:keepLines w:val="0"/>
        <w:pageBreakBefore w:val="0"/>
        <w:kinsoku/>
        <w:wordWrap/>
        <w:overflowPunct/>
        <w:topLinePunct w:val="0"/>
        <w:autoSpaceDE/>
        <w:autoSpaceDN/>
        <w:bidi w:val="0"/>
        <w:adjustRightInd w:val="0"/>
        <w:snapToGrid w:val="0"/>
        <w:spacing w:line="500" w:lineRule="exact"/>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（5）联合体协议书 （如有）；</w:t>
      </w:r>
    </w:p>
    <w:p w14:paraId="71BFBC1D">
      <w:pPr>
        <w:adjustRightInd w:val="0"/>
        <w:snapToGrid w:val="0"/>
        <w:spacing w:line="560" w:lineRule="exact"/>
        <w:ind w:firstLine="420" w:firstLineChars="200"/>
        <w:rPr>
          <w:rFonts w:hint="eastAsia" w:ascii="宋体" w:hAnsi="宋体" w:cs="宋体"/>
          <w:color w:val="auto"/>
          <w:highlight w:val="none"/>
        </w:rPr>
      </w:pPr>
      <w:r>
        <w:rPr>
          <w:rFonts w:hint="eastAsia" w:ascii="宋体" w:hAnsi="宋体" w:cs="宋体"/>
          <w:color w:val="auto"/>
          <w:highlight w:val="none"/>
        </w:rPr>
        <w:t>（</w:t>
      </w:r>
      <w:r>
        <w:rPr>
          <w:rFonts w:hint="eastAsia" w:ascii="宋体" w:hAnsi="宋体" w:cs="宋体"/>
          <w:color w:val="auto"/>
          <w:highlight w:val="none"/>
          <w:lang w:val="en-US" w:eastAsia="zh-CN"/>
        </w:rPr>
        <w:t>6</w:t>
      </w:r>
      <w:r>
        <w:rPr>
          <w:rFonts w:hint="eastAsia" w:ascii="宋体" w:hAnsi="宋体" w:cs="宋体"/>
          <w:color w:val="auto"/>
          <w:highlight w:val="none"/>
        </w:rPr>
        <w:t>）</w:t>
      </w:r>
      <w:r>
        <w:rPr>
          <w:rFonts w:hint="eastAsia" w:ascii="宋体" w:hAnsi="宋体" w:cs="宋体"/>
          <w:bCs/>
          <w:snapToGrid w:val="0"/>
          <w:color w:val="auto"/>
          <w:kern w:val="0"/>
          <w:szCs w:val="21"/>
          <w:highlight w:val="none"/>
        </w:rPr>
        <w:t>拟分包项目情况表</w:t>
      </w:r>
      <w:r>
        <w:rPr>
          <w:rFonts w:hint="eastAsia" w:ascii="宋体" w:hAnsi="宋体" w:cs="宋体"/>
          <w:color w:val="auto"/>
          <w:highlight w:val="none"/>
        </w:rPr>
        <w:t xml:space="preserve"> （如有）；</w:t>
      </w:r>
    </w:p>
    <w:p w14:paraId="52DE81CE">
      <w:pPr>
        <w:keepNext w:val="0"/>
        <w:keepLines w:val="0"/>
        <w:pageBreakBefore w:val="0"/>
        <w:kinsoku/>
        <w:wordWrap/>
        <w:overflowPunct/>
        <w:topLinePunct w:val="0"/>
        <w:autoSpaceDE/>
        <w:autoSpaceDN/>
        <w:bidi w:val="0"/>
        <w:adjustRightInd w:val="0"/>
        <w:snapToGrid w:val="0"/>
        <w:spacing w:line="50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w:t>
      </w:r>
      <w:r>
        <w:rPr>
          <w:rFonts w:hint="eastAsia" w:ascii="宋体" w:hAnsi="宋体" w:cs="宋体"/>
          <w:color w:val="auto"/>
          <w:highlight w:val="none"/>
          <w:lang w:val="en-US" w:eastAsia="zh-CN"/>
        </w:rPr>
        <w:t>7</w:t>
      </w:r>
      <w:r>
        <w:rPr>
          <w:rFonts w:hint="eastAsia" w:ascii="宋体" w:hAnsi="宋体" w:cs="宋体"/>
          <w:color w:val="auto"/>
          <w:highlight w:val="none"/>
        </w:rPr>
        <w:t>）</w:t>
      </w:r>
      <w:r>
        <w:rPr>
          <w:rFonts w:ascii="宋体" w:hAnsi="宋体" w:cs="宋体"/>
          <w:color w:val="auto"/>
          <w:highlight w:val="none"/>
        </w:rPr>
        <w:t>项目管理机构</w:t>
      </w:r>
      <w:r>
        <w:rPr>
          <w:rFonts w:hint="eastAsia" w:ascii="宋体" w:hAnsi="宋体" w:cs="宋体"/>
          <w:color w:val="auto"/>
          <w:highlight w:val="none"/>
        </w:rPr>
        <w:t>；</w:t>
      </w:r>
    </w:p>
    <w:p w14:paraId="20BA5655">
      <w:pPr>
        <w:keepNext w:val="0"/>
        <w:keepLines w:val="0"/>
        <w:pageBreakBefore w:val="0"/>
        <w:kinsoku/>
        <w:wordWrap/>
        <w:overflowPunct/>
        <w:topLinePunct w:val="0"/>
        <w:autoSpaceDE/>
        <w:autoSpaceDN/>
        <w:bidi w:val="0"/>
        <w:adjustRightInd w:val="0"/>
        <w:snapToGrid w:val="0"/>
        <w:spacing w:line="500" w:lineRule="exact"/>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w:t>
      </w:r>
      <w:r>
        <w:rPr>
          <w:rFonts w:hint="eastAsia" w:ascii="宋体" w:hAnsi="宋体" w:cs="宋体"/>
          <w:color w:val="auto"/>
          <w:highlight w:val="none"/>
          <w:lang w:val="en-US" w:eastAsia="zh-CN"/>
        </w:rPr>
        <w:t>8</w:t>
      </w:r>
      <w:r>
        <w:rPr>
          <w:rFonts w:hint="eastAsia" w:ascii="宋体" w:hAnsi="宋体" w:cs="宋体"/>
          <w:color w:val="auto"/>
          <w:highlight w:val="none"/>
        </w:rPr>
        <w:t>）其他资格审查资料（由以下材料</w:t>
      </w:r>
      <w:r>
        <w:rPr>
          <w:rFonts w:hint="eastAsia" w:ascii="宋体" w:hAnsi="宋体" w:cs="宋体"/>
          <w:color w:val="auto"/>
          <w:szCs w:val="21"/>
          <w:highlight w:val="none"/>
        </w:rPr>
        <w:t>组成</w:t>
      </w:r>
      <w:r>
        <w:rPr>
          <w:rFonts w:hint="eastAsia" w:ascii="宋体" w:hAnsi="宋体" w:cs="宋体"/>
          <w:color w:val="auto"/>
          <w:highlight w:val="none"/>
        </w:rPr>
        <w:t>）：</w:t>
      </w:r>
    </w:p>
    <w:p w14:paraId="47CC6C13">
      <w:pPr>
        <w:keepNext w:val="0"/>
        <w:keepLines w:val="0"/>
        <w:pageBreakBefore w:val="0"/>
        <w:kinsoku/>
        <w:wordWrap/>
        <w:overflowPunct/>
        <w:topLinePunct w:val="0"/>
        <w:autoSpaceDE/>
        <w:autoSpaceDN/>
        <w:bidi w:val="0"/>
        <w:adjustRightInd w:val="0"/>
        <w:snapToGrid w:val="0"/>
        <w:spacing w:line="5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①法定代表人身份证明和本人身份证(或法定代表人授权委托书和委托代理人身份证)</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联合体投标均须提供）</w:t>
      </w:r>
      <w:r>
        <w:rPr>
          <w:rFonts w:hint="eastAsia" w:ascii="宋体" w:hAnsi="宋体" w:cs="宋体"/>
          <w:color w:val="auto"/>
          <w:szCs w:val="21"/>
          <w:highlight w:val="none"/>
        </w:rPr>
        <w:t>；</w:t>
      </w:r>
    </w:p>
    <w:p w14:paraId="1A5F80DD">
      <w:pPr>
        <w:keepNext w:val="0"/>
        <w:keepLines w:val="0"/>
        <w:pageBreakBefore w:val="0"/>
        <w:kinsoku/>
        <w:wordWrap/>
        <w:overflowPunct/>
        <w:topLinePunct w:val="0"/>
        <w:autoSpaceDE/>
        <w:autoSpaceDN/>
        <w:bidi w:val="0"/>
        <w:adjustRightInd w:val="0"/>
        <w:snapToGrid w:val="0"/>
        <w:spacing w:line="5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②诚信投标承诺书(或《公共信用信息报告（无违法违规证明版或核查版）》)（联合体投标的，联合体各方均须提供）；</w:t>
      </w:r>
    </w:p>
    <w:p w14:paraId="306F3458">
      <w:pPr>
        <w:keepNext w:val="0"/>
        <w:keepLines w:val="0"/>
        <w:pageBreakBefore w:val="0"/>
        <w:kinsoku/>
        <w:wordWrap/>
        <w:overflowPunct/>
        <w:topLinePunct w:val="0"/>
        <w:autoSpaceDE/>
        <w:autoSpaceDN/>
        <w:bidi w:val="0"/>
        <w:adjustRightInd w:val="0"/>
        <w:snapToGrid w:val="0"/>
        <w:spacing w:line="5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③企业法人营业执照（联合体投标的，联合体各方均须提供）；</w:t>
      </w:r>
    </w:p>
    <w:p w14:paraId="1CFF684B">
      <w:pPr>
        <w:keepNext w:val="0"/>
        <w:keepLines w:val="0"/>
        <w:pageBreakBefore w:val="0"/>
        <w:kinsoku/>
        <w:wordWrap/>
        <w:overflowPunct/>
        <w:topLinePunct w:val="0"/>
        <w:autoSpaceDE/>
        <w:autoSpaceDN/>
        <w:bidi w:val="0"/>
        <w:adjustRightInd w:val="0"/>
        <w:snapToGrid w:val="0"/>
        <w:spacing w:line="5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④企业资质证书（联合体投标的，联合体各方均须提供）；</w:t>
      </w:r>
    </w:p>
    <w:p w14:paraId="2D135DD1">
      <w:pPr>
        <w:keepNext w:val="0"/>
        <w:keepLines w:val="0"/>
        <w:pageBreakBefore w:val="0"/>
        <w:kinsoku/>
        <w:wordWrap/>
        <w:overflowPunct/>
        <w:topLinePunct w:val="0"/>
        <w:autoSpaceDE/>
        <w:autoSpaceDN/>
        <w:bidi w:val="0"/>
        <w:adjustRightInd w:val="0"/>
        <w:snapToGrid w:val="0"/>
        <w:spacing w:line="5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⑤企业安全生产许可证（联合体投标的，联合体各方均须提供）；</w:t>
      </w:r>
    </w:p>
    <w:p w14:paraId="7E8B07CA">
      <w:pPr>
        <w:keepNext w:val="0"/>
        <w:keepLines w:val="0"/>
        <w:pageBreakBefore w:val="0"/>
        <w:kinsoku/>
        <w:wordWrap/>
        <w:overflowPunct/>
        <w:topLinePunct w:val="0"/>
        <w:autoSpaceDE/>
        <w:autoSpaceDN/>
        <w:bidi w:val="0"/>
        <w:adjustRightInd w:val="0"/>
        <w:snapToGrid w:val="0"/>
        <w:spacing w:line="5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⑥建造师（拟任项目经理（建造师））身份证、建造师注册证书以及安全生产考核合格证书（B证）；</w:t>
      </w:r>
    </w:p>
    <w:p w14:paraId="1494CBC2">
      <w:pPr>
        <w:keepNext w:val="0"/>
        <w:keepLines w:val="0"/>
        <w:pageBreakBefore w:val="0"/>
        <w:kinsoku/>
        <w:wordWrap/>
        <w:overflowPunct/>
        <w:topLinePunct w:val="0"/>
        <w:autoSpaceDE/>
        <w:autoSpaceDN/>
        <w:bidi w:val="0"/>
        <w:adjustRightInd w:val="0"/>
        <w:snapToGrid w:val="0"/>
        <w:spacing w:line="5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⑦投标申请人的法定代表人(或委托代理人)和拟任项目经理（建造师）须持有社保部门出具的本单位为其缴纳的投标前近三个月连续的养老保险证明（证明文件两个月内有效）（同一人担任不同公司法定代表人的，该法定代表人参加本项目投标时须提供本人在其他公司任法定代表人的营业执照及为其缴纳养老保险证明材料） ，投标申请人是事业单位的，暂未缴纳养老保险的，须由其主管部门出具证明；</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lang w:val="en-US" w:eastAsia="zh-CN"/>
        </w:rPr>
        <w:t xml:space="preserve">联合体投标，如提供项目经理（建造师）B岗的，还须提供项目经理（建造师）B岗的养老保险证明（要求同上）。） </w:t>
      </w:r>
      <w:r>
        <w:rPr>
          <w:rFonts w:hint="eastAsia" w:ascii="宋体" w:hAnsi="宋体" w:cs="宋体"/>
          <w:color w:val="auto"/>
          <w:szCs w:val="21"/>
          <w:highlight w:val="none"/>
          <w:lang w:val="en-US" w:eastAsia="zh-CN"/>
        </w:rPr>
        <w:t xml:space="preserve">  </w:t>
      </w:r>
    </w:p>
    <w:p w14:paraId="5807BEB8">
      <w:pPr>
        <w:keepNext w:val="0"/>
        <w:keepLines w:val="0"/>
        <w:pageBreakBefore w:val="0"/>
        <w:widowControl/>
        <w:kinsoku/>
        <w:wordWrap/>
        <w:overflowPunct/>
        <w:topLinePunct w:val="0"/>
        <w:autoSpaceDE/>
        <w:autoSpaceDN/>
        <w:bidi w:val="0"/>
        <w:adjustRightInd w:val="0"/>
        <w:snapToGrid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⑧</w:t>
      </w:r>
      <w:r>
        <w:rPr>
          <w:rFonts w:hint="eastAsia" w:ascii="宋体" w:hAnsi="宋体" w:cs="宋体"/>
          <w:color w:val="auto"/>
          <w:highlight w:val="none"/>
        </w:rPr>
        <w:t>资信评审业绩、得分业绩等证明和投标人认为需要的其它证明材料</w:t>
      </w:r>
      <w:r>
        <w:rPr>
          <w:rFonts w:hint="eastAsia" w:ascii="宋体" w:hAnsi="宋体" w:cs="宋体"/>
          <w:color w:val="auto"/>
          <w:szCs w:val="21"/>
          <w:highlight w:val="none"/>
        </w:rPr>
        <w:t>；</w:t>
      </w:r>
    </w:p>
    <w:p w14:paraId="79E76915">
      <w:pPr>
        <w:keepNext w:val="0"/>
        <w:keepLines w:val="0"/>
        <w:pageBreakBefore w:val="0"/>
        <w:kinsoku/>
        <w:wordWrap/>
        <w:overflowPunct/>
        <w:topLinePunct w:val="0"/>
        <w:autoSpaceDE/>
        <w:autoSpaceDN/>
        <w:bidi w:val="0"/>
        <w:adjustRightInd w:val="0"/>
        <w:snapToGrid w:val="0"/>
        <w:spacing w:line="500" w:lineRule="exact"/>
        <w:ind w:firstLine="420" w:firstLineChars="200"/>
        <w:textAlignment w:val="auto"/>
        <w:rPr>
          <w:rFonts w:hint="eastAsia"/>
          <w:color w:val="auto"/>
          <w:highlight w:val="none"/>
        </w:rPr>
      </w:pPr>
      <w:r>
        <w:rPr>
          <w:rFonts w:hint="eastAsia" w:ascii="宋体" w:hAnsi="宋体" w:cs="宋体"/>
          <w:color w:val="auto"/>
          <w:highlight w:val="none"/>
        </w:rPr>
        <w:t>⑨资信评审业绩、得分业绩清单一览表（项目评审如有）</w:t>
      </w:r>
      <w:r>
        <w:rPr>
          <w:rFonts w:hint="eastAsia" w:eastAsia="黑体"/>
          <w:color w:val="auto"/>
          <w:sz w:val="20"/>
          <w:szCs w:val="20"/>
          <w:highlight w:val="none"/>
        </w:rPr>
        <w:t xml:space="preserve">。 </w:t>
      </w:r>
    </w:p>
    <w:p w14:paraId="2DD9A9DD">
      <w:pPr>
        <w:keepNext w:val="0"/>
        <w:keepLines w:val="0"/>
        <w:pageBreakBefore w:val="0"/>
        <w:kinsoku/>
        <w:wordWrap/>
        <w:overflowPunct/>
        <w:topLinePunct w:val="0"/>
        <w:autoSpaceDE/>
        <w:autoSpaceDN/>
        <w:bidi w:val="0"/>
        <w:adjustRightInd w:val="0"/>
        <w:snapToGrid w:val="0"/>
        <w:spacing w:line="500" w:lineRule="exact"/>
        <w:ind w:firstLine="420" w:firstLineChars="200"/>
        <w:textAlignment w:val="auto"/>
        <w:rPr>
          <w:rFonts w:hint="eastAsia" w:eastAsia="宋体"/>
          <w:color w:val="auto"/>
          <w:highlight w:val="none"/>
          <w:lang w:eastAsia="zh-CN"/>
        </w:rPr>
        <w:sectPr>
          <w:headerReference r:id="rId5" w:type="default"/>
          <w:pgSz w:w="11910" w:h="16840"/>
          <w:pgMar w:top="1060" w:right="660" w:bottom="1020" w:left="1120" w:header="0" w:footer="833" w:gutter="0"/>
          <w:pgNumType w:fmt="numberInDash"/>
          <w:cols w:space="720" w:num="1"/>
        </w:sectPr>
      </w:pPr>
      <w:bookmarkStart w:id="1440" w:name="_Toc95223533"/>
      <w:r>
        <w:rPr>
          <w:rFonts w:hint="eastAsia" w:ascii="宋体" w:hAnsi="宋体" w:cs="宋体"/>
          <w:color w:val="auto"/>
          <w:highlight w:val="none"/>
        </w:rPr>
        <w:t>（</w:t>
      </w:r>
      <w:r>
        <w:rPr>
          <w:rFonts w:hint="eastAsia" w:ascii="宋体" w:hAnsi="宋体" w:cs="宋体"/>
          <w:color w:val="auto"/>
          <w:highlight w:val="none"/>
          <w:lang w:val="en-US" w:eastAsia="zh-CN"/>
        </w:rPr>
        <w:t>9</w:t>
      </w:r>
      <w:r>
        <w:rPr>
          <w:rFonts w:hint="eastAsia" w:ascii="宋体" w:hAnsi="宋体" w:cs="宋体"/>
          <w:color w:val="auto"/>
          <w:highlight w:val="none"/>
        </w:rPr>
        <w:t>）</w:t>
      </w:r>
      <w:r>
        <w:rPr>
          <w:rFonts w:hint="eastAsia" w:ascii="宋体" w:hAnsi="宋体" w:cs="宋体"/>
          <w:color w:val="auto"/>
          <w:highlight w:val="none"/>
          <w:lang w:val="en-US" w:eastAsia="zh-CN"/>
        </w:rPr>
        <w:t>定标材料</w:t>
      </w:r>
      <w:r>
        <w:rPr>
          <w:rFonts w:hint="eastAsia" w:ascii="宋体" w:hAnsi="宋体" w:cs="宋体"/>
          <w:color w:val="auto"/>
          <w:highlight w:val="none"/>
        </w:rPr>
        <w:t>（</w:t>
      </w:r>
      <w:r>
        <w:rPr>
          <w:rFonts w:hint="eastAsia" w:ascii="宋体" w:hAnsi="宋体" w:cs="宋体"/>
          <w:color w:val="auto"/>
          <w:highlight w:val="none"/>
          <w:lang w:val="en-US" w:eastAsia="zh-CN"/>
        </w:rPr>
        <w:t>如有</w:t>
      </w:r>
      <w:r>
        <w:rPr>
          <w:rFonts w:hint="eastAsia" w:ascii="宋体" w:hAnsi="宋体" w:cs="宋体"/>
          <w:color w:val="auto"/>
          <w:highlight w:val="none"/>
        </w:rPr>
        <w:t>）</w:t>
      </w:r>
      <w:r>
        <w:rPr>
          <w:rFonts w:hint="eastAsia" w:ascii="宋体" w:hAnsi="宋体" w:cs="宋体"/>
          <w:color w:val="auto"/>
          <w:highlight w:val="none"/>
          <w:lang w:eastAsia="zh-CN"/>
        </w:rPr>
        <w:t>。</w:t>
      </w:r>
    </w:p>
    <w:p w14:paraId="228798D9">
      <w:pPr>
        <w:pStyle w:val="4"/>
        <w:pageBreakBefore/>
        <w:adjustRightInd w:val="0"/>
        <w:snapToGrid w:val="0"/>
        <w:spacing w:before="0" w:after="0" w:line="560" w:lineRule="exact"/>
        <w:jc w:val="center"/>
        <w:rPr>
          <w:rFonts w:hint="eastAsia"/>
          <w:color w:val="auto"/>
          <w:highlight w:val="none"/>
        </w:rPr>
      </w:pPr>
      <w:r>
        <w:rPr>
          <w:color w:val="auto"/>
          <w:highlight w:val="none"/>
        </w:rPr>
        <w:t>（</w:t>
      </w:r>
      <w:r>
        <w:rPr>
          <w:rFonts w:hint="eastAsia"/>
          <w:color w:val="auto"/>
          <w:highlight w:val="none"/>
        </w:rPr>
        <w:t>1</w:t>
      </w:r>
      <w:r>
        <w:rPr>
          <w:color w:val="auto"/>
          <w:highlight w:val="none"/>
        </w:rPr>
        <w:t>）投标人基本情况表</w:t>
      </w:r>
      <w:bookmarkEnd w:id="1440"/>
    </w:p>
    <w:tbl>
      <w:tblPr>
        <w:tblStyle w:val="2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93"/>
        <w:gridCol w:w="1036"/>
        <w:gridCol w:w="1096"/>
        <w:gridCol w:w="969"/>
        <w:gridCol w:w="484"/>
        <w:gridCol w:w="359"/>
        <w:gridCol w:w="1243"/>
        <w:gridCol w:w="565"/>
        <w:gridCol w:w="991"/>
        <w:gridCol w:w="1144"/>
      </w:tblGrid>
      <w:tr w14:paraId="7840CF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5" w:hRule="atLeast"/>
          <w:jc w:val="center"/>
        </w:trPr>
        <w:tc>
          <w:tcPr>
            <w:tcW w:w="1993" w:type="dxa"/>
            <w:tcBorders>
              <w:top w:val="single" w:color="auto" w:sz="4" w:space="0"/>
              <w:left w:val="single" w:color="auto" w:sz="4" w:space="0"/>
              <w:bottom w:val="single" w:color="auto" w:sz="4" w:space="0"/>
              <w:right w:val="single" w:color="auto" w:sz="4" w:space="0"/>
            </w:tcBorders>
            <w:noWrap w:val="0"/>
            <w:vAlign w:val="center"/>
          </w:tcPr>
          <w:p w14:paraId="1D398582">
            <w:pPr>
              <w:topLinePunct/>
              <w:adjustRightInd w:val="0"/>
              <w:snapToGrid w:val="0"/>
              <w:spacing w:line="560" w:lineRule="exact"/>
              <w:jc w:val="center"/>
              <w:rPr>
                <w:color w:val="auto"/>
                <w:szCs w:val="21"/>
                <w:highlight w:val="none"/>
              </w:rPr>
            </w:pPr>
            <w:r>
              <w:rPr>
                <w:color w:val="auto"/>
                <w:szCs w:val="21"/>
                <w:highlight w:val="none"/>
              </w:rPr>
              <w:t>投标人名称</w:t>
            </w:r>
          </w:p>
        </w:tc>
        <w:tc>
          <w:tcPr>
            <w:tcW w:w="7887" w:type="dxa"/>
            <w:gridSpan w:val="9"/>
            <w:tcBorders>
              <w:top w:val="single" w:color="auto" w:sz="4" w:space="0"/>
              <w:left w:val="single" w:color="auto" w:sz="4" w:space="0"/>
              <w:bottom w:val="single" w:color="auto" w:sz="4" w:space="0"/>
              <w:right w:val="single" w:color="auto" w:sz="4" w:space="0"/>
            </w:tcBorders>
            <w:noWrap w:val="0"/>
            <w:vAlign w:val="center"/>
          </w:tcPr>
          <w:p w14:paraId="40D5ACAD">
            <w:pPr>
              <w:topLinePunct/>
              <w:adjustRightInd w:val="0"/>
              <w:snapToGrid w:val="0"/>
              <w:spacing w:line="560" w:lineRule="exact"/>
              <w:jc w:val="center"/>
              <w:rPr>
                <w:color w:val="auto"/>
                <w:szCs w:val="21"/>
                <w:highlight w:val="none"/>
              </w:rPr>
            </w:pPr>
          </w:p>
        </w:tc>
      </w:tr>
      <w:tr w14:paraId="29C535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5" w:hRule="atLeast"/>
          <w:jc w:val="center"/>
        </w:trPr>
        <w:tc>
          <w:tcPr>
            <w:tcW w:w="1993" w:type="dxa"/>
            <w:tcBorders>
              <w:top w:val="single" w:color="auto" w:sz="4" w:space="0"/>
              <w:left w:val="single" w:color="auto" w:sz="4" w:space="0"/>
              <w:bottom w:val="single" w:color="auto" w:sz="4" w:space="0"/>
              <w:right w:val="single" w:color="auto" w:sz="4" w:space="0"/>
            </w:tcBorders>
            <w:noWrap w:val="0"/>
            <w:vAlign w:val="center"/>
          </w:tcPr>
          <w:p w14:paraId="1DDB6D0A">
            <w:pPr>
              <w:topLinePunct/>
              <w:adjustRightInd w:val="0"/>
              <w:snapToGrid w:val="0"/>
              <w:spacing w:line="560" w:lineRule="exact"/>
              <w:jc w:val="center"/>
              <w:rPr>
                <w:color w:val="auto"/>
                <w:szCs w:val="21"/>
                <w:highlight w:val="none"/>
              </w:rPr>
            </w:pPr>
            <w:r>
              <w:rPr>
                <w:color w:val="auto"/>
                <w:szCs w:val="21"/>
                <w:highlight w:val="none"/>
              </w:rPr>
              <w:t>注册地址</w:t>
            </w:r>
          </w:p>
        </w:tc>
        <w:tc>
          <w:tcPr>
            <w:tcW w:w="3944" w:type="dxa"/>
            <w:gridSpan w:val="5"/>
            <w:tcBorders>
              <w:top w:val="single" w:color="auto" w:sz="4" w:space="0"/>
              <w:left w:val="single" w:color="auto" w:sz="4" w:space="0"/>
              <w:bottom w:val="single" w:color="auto" w:sz="4" w:space="0"/>
              <w:right w:val="single" w:color="auto" w:sz="4" w:space="0"/>
            </w:tcBorders>
            <w:noWrap w:val="0"/>
            <w:vAlign w:val="center"/>
          </w:tcPr>
          <w:p w14:paraId="6625DCE2">
            <w:pPr>
              <w:topLinePunct/>
              <w:adjustRightInd w:val="0"/>
              <w:snapToGrid w:val="0"/>
              <w:spacing w:line="560" w:lineRule="exact"/>
              <w:jc w:val="center"/>
              <w:rPr>
                <w:color w:val="auto"/>
                <w:szCs w:val="21"/>
                <w:highlight w:val="none"/>
              </w:rPr>
            </w:pPr>
          </w:p>
        </w:tc>
        <w:tc>
          <w:tcPr>
            <w:tcW w:w="1243" w:type="dxa"/>
            <w:tcBorders>
              <w:top w:val="single" w:color="auto" w:sz="4" w:space="0"/>
              <w:left w:val="single" w:color="auto" w:sz="4" w:space="0"/>
              <w:bottom w:val="single" w:color="auto" w:sz="4" w:space="0"/>
              <w:right w:val="single" w:color="auto" w:sz="4" w:space="0"/>
            </w:tcBorders>
            <w:noWrap w:val="0"/>
            <w:vAlign w:val="center"/>
          </w:tcPr>
          <w:p w14:paraId="6E913284">
            <w:pPr>
              <w:topLinePunct/>
              <w:adjustRightInd w:val="0"/>
              <w:snapToGrid w:val="0"/>
              <w:spacing w:line="560" w:lineRule="exact"/>
              <w:jc w:val="center"/>
              <w:rPr>
                <w:color w:val="auto"/>
                <w:szCs w:val="21"/>
                <w:highlight w:val="none"/>
              </w:rPr>
            </w:pPr>
            <w:r>
              <w:rPr>
                <w:color w:val="auto"/>
                <w:szCs w:val="21"/>
                <w:highlight w:val="none"/>
              </w:rPr>
              <w:t>邮政编码</w:t>
            </w:r>
          </w:p>
        </w:tc>
        <w:tc>
          <w:tcPr>
            <w:tcW w:w="2700" w:type="dxa"/>
            <w:gridSpan w:val="3"/>
            <w:tcBorders>
              <w:top w:val="single" w:color="auto" w:sz="4" w:space="0"/>
              <w:left w:val="single" w:color="auto" w:sz="4" w:space="0"/>
              <w:bottom w:val="single" w:color="auto" w:sz="4" w:space="0"/>
              <w:right w:val="single" w:color="auto" w:sz="4" w:space="0"/>
            </w:tcBorders>
            <w:noWrap w:val="0"/>
            <w:vAlign w:val="center"/>
          </w:tcPr>
          <w:p w14:paraId="05B11C19">
            <w:pPr>
              <w:topLinePunct/>
              <w:adjustRightInd w:val="0"/>
              <w:snapToGrid w:val="0"/>
              <w:spacing w:line="560" w:lineRule="exact"/>
              <w:jc w:val="center"/>
              <w:rPr>
                <w:color w:val="auto"/>
                <w:szCs w:val="21"/>
                <w:highlight w:val="none"/>
              </w:rPr>
            </w:pPr>
          </w:p>
        </w:tc>
        <w:bookmarkStart w:id="1441" w:name="_Toc144974876"/>
        <w:bookmarkStart w:id="1442" w:name="_Toc246996373"/>
        <w:bookmarkStart w:id="1443" w:name="_Toc246997116"/>
        <w:bookmarkStart w:id="1444" w:name="_Toc152045808"/>
        <w:bookmarkStart w:id="1445" w:name="_Toc152042597"/>
        <w:bookmarkStart w:id="1446" w:name="_Toc179632828"/>
        <w:bookmarkStart w:id="1447" w:name="_Toc296602618"/>
        <w:bookmarkStart w:id="1448" w:name="_Toc324404889"/>
        <w:bookmarkStart w:id="1449" w:name="_Toc247085891"/>
      </w:tr>
      <w:tr w14:paraId="04FE81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38" w:hRule="atLeast"/>
          <w:jc w:val="center"/>
        </w:trPr>
        <w:tc>
          <w:tcPr>
            <w:tcW w:w="1993" w:type="dxa"/>
            <w:vMerge w:val="restart"/>
            <w:tcBorders>
              <w:top w:val="single" w:color="auto" w:sz="4" w:space="0"/>
              <w:left w:val="single" w:color="auto" w:sz="4" w:space="0"/>
              <w:bottom w:val="single" w:color="auto" w:sz="4" w:space="0"/>
              <w:right w:val="single" w:color="auto" w:sz="4" w:space="0"/>
            </w:tcBorders>
            <w:noWrap w:val="0"/>
            <w:vAlign w:val="center"/>
          </w:tcPr>
          <w:p w14:paraId="433A2369">
            <w:pPr>
              <w:topLinePunct/>
              <w:adjustRightInd w:val="0"/>
              <w:snapToGrid w:val="0"/>
              <w:spacing w:line="560" w:lineRule="exact"/>
              <w:jc w:val="center"/>
              <w:rPr>
                <w:color w:val="auto"/>
                <w:szCs w:val="21"/>
                <w:highlight w:val="none"/>
              </w:rPr>
            </w:pPr>
            <w:r>
              <w:rPr>
                <w:color w:val="auto"/>
                <w:szCs w:val="21"/>
                <w:highlight w:val="none"/>
              </w:rPr>
              <w:t>联系方式</w:t>
            </w:r>
            <w:bookmarkStart w:id="1450" w:name="_Toc16718"/>
          </w:p>
        </w:tc>
        <w:tc>
          <w:tcPr>
            <w:tcW w:w="1036" w:type="dxa"/>
            <w:tcBorders>
              <w:top w:val="single" w:color="auto" w:sz="4" w:space="0"/>
              <w:left w:val="single" w:color="auto" w:sz="4" w:space="0"/>
              <w:bottom w:val="single" w:color="auto" w:sz="4" w:space="0"/>
              <w:right w:val="single" w:color="auto" w:sz="4" w:space="0"/>
            </w:tcBorders>
            <w:noWrap w:val="0"/>
            <w:vAlign w:val="center"/>
          </w:tcPr>
          <w:p w14:paraId="49D834DF">
            <w:pPr>
              <w:topLinePunct/>
              <w:adjustRightInd w:val="0"/>
              <w:snapToGrid w:val="0"/>
              <w:spacing w:line="560" w:lineRule="exact"/>
              <w:jc w:val="center"/>
              <w:rPr>
                <w:color w:val="auto"/>
                <w:szCs w:val="21"/>
                <w:highlight w:val="none"/>
              </w:rPr>
            </w:pPr>
            <w:bookmarkStart w:id="1451" w:name="_Toc60061575"/>
            <w:bookmarkStart w:id="1452" w:name="_Toc15058935"/>
            <w:bookmarkStart w:id="1453" w:name="_Toc58229116"/>
            <w:bookmarkStart w:id="1454" w:name="_Toc506107341"/>
            <w:r>
              <w:rPr>
                <w:color w:val="auto"/>
                <w:szCs w:val="21"/>
                <w:highlight w:val="none"/>
              </w:rPr>
              <w:t>联系人</w:t>
            </w:r>
          </w:p>
        </w:tc>
        <w:tc>
          <w:tcPr>
            <w:tcW w:w="2908" w:type="dxa"/>
            <w:gridSpan w:val="4"/>
            <w:tcBorders>
              <w:top w:val="single" w:color="auto" w:sz="4" w:space="0"/>
              <w:left w:val="single" w:color="auto" w:sz="4" w:space="0"/>
              <w:bottom w:val="single" w:color="auto" w:sz="4" w:space="0"/>
              <w:right w:val="single" w:color="auto" w:sz="4" w:space="0"/>
            </w:tcBorders>
            <w:noWrap w:val="0"/>
            <w:vAlign w:val="center"/>
          </w:tcPr>
          <w:p w14:paraId="35DE47BF">
            <w:pPr>
              <w:topLinePunct/>
              <w:adjustRightInd w:val="0"/>
              <w:snapToGrid w:val="0"/>
              <w:spacing w:line="560" w:lineRule="exact"/>
              <w:jc w:val="center"/>
              <w:rPr>
                <w:color w:val="auto"/>
                <w:szCs w:val="21"/>
                <w:highlight w:val="none"/>
              </w:rPr>
            </w:pPr>
          </w:p>
        </w:tc>
        <w:tc>
          <w:tcPr>
            <w:tcW w:w="1243" w:type="dxa"/>
            <w:tcBorders>
              <w:top w:val="single" w:color="auto" w:sz="4" w:space="0"/>
              <w:left w:val="single" w:color="auto" w:sz="4" w:space="0"/>
              <w:bottom w:val="single" w:color="auto" w:sz="4" w:space="0"/>
              <w:right w:val="single" w:color="auto" w:sz="4" w:space="0"/>
            </w:tcBorders>
            <w:noWrap w:val="0"/>
            <w:vAlign w:val="center"/>
          </w:tcPr>
          <w:p w14:paraId="2C594B37">
            <w:pPr>
              <w:topLinePunct/>
              <w:adjustRightInd w:val="0"/>
              <w:snapToGrid w:val="0"/>
              <w:spacing w:line="560" w:lineRule="exact"/>
              <w:jc w:val="center"/>
              <w:rPr>
                <w:color w:val="auto"/>
                <w:szCs w:val="21"/>
                <w:highlight w:val="none"/>
              </w:rPr>
            </w:pPr>
            <w:r>
              <w:rPr>
                <w:color w:val="auto"/>
                <w:szCs w:val="21"/>
                <w:highlight w:val="none"/>
              </w:rPr>
              <w:t>电 话</w:t>
            </w:r>
          </w:p>
        </w:tc>
        <w:tc>
          <w:tcPr>
            <w:tcW w:w="2700" w:type="dxa"/>
            <w:gridSpan w:val="3"/>
            <w:tcBorders>
              <w:top w:val="single" w:color="auto" w:sz="4" w:space="0"/>
              <w:left w:val="single" w:color="auto" w:sz="4" w:space="0"/>
              <w:bottom w:val="single" w:color="auto" w:sz="4" w:space="0"/>
              <w:right w:val="single" w:color="auto" w:sz="4" w:space="0"/>
            </w:tcBorders>
            <w:noWrap w:val="0"/>
            <w:vAlign w:val="center"/>
          </w:tcPr>
          <w:p w14:paraId="25279A1D">
            <w:pPr>
              <w:topLinePunct/>
              <w:adjustRightInd w:val="0"/>
              <w:snapToGrid w:val="0"/>
              <w:spacing w:line="560" w:lineRule="exact"/>
              <w:jc w:val="center"/>
              <w:rPr>
                <w:color w:val="auto"/>
                <w:szCs w:val="21"/>
                <w:highlight w:val="none"/>
              </w:rPr>
            </w:pPr>
          </w:p>
        </w:tc>
      </w:tr>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tr w14:paraId="15D2C9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47" w:hRule="atLeast"/>
          <w:jc w:val="center"/>
        </w:trPr>
        <w:tc>
          <w:tcPr>
            <w:tcW w:w="1993" w:type="dxa"/>
            <w:vMerge w:val="continue"/>
            <w:tcBorders>
              <w:top w:val="single" w:color="auto" w:sz="4" w:space="0"/>
              <w:left w:val="single" w:color="auto" w:sz="4" w:space="0"/>
              <w:bottom w:val="single" w:color="auto" w:sz="4" w:space="0"/>
              <w:right w:val="single" w:color="auto" w:sz="4" w:space="0"/>
            </w:tcBorders>
            <w:noWrap w:val="0"/>
            <w:vAlign w:val="center"/>
          </w:tcPr>
          <w:p w14:paraId="057889F2">
            <w:pPr>
              <w:topLinePunct/>
              <w:adjustRightInd w:val="0"/>
              <w:snapToGrid w:val="0"/>
              <w:spacing w:line="560" w:lineRule="exact"/>
              <w:jc w:val="center"/>
              <w:rPr>
                <w:color w:val="auto"/>
                <w:szCs w:val="21"/>
                <w:highlight w:val="none"/>
              </w:rPr>
            </w:pPr>
          </w:p>
        </w:tc>
        <w:tc>
          <w:tcPr>
            <w:tcW w:w="1036" w:type="dxa"/>
            <w:tcBorders>
              <w:top w:val="single" w:color="auto" w:sz="4" w:space="0"/>
              <w:left w:val="single" w:color="auto" w:sz="4" w:space="0"/>
              <w:bottom w:val="single" w:color="auto" w:sz="4" w:space="0"/>
              <w:right w:val="single" w:color="auto" w:sz="4" w:space="0"/>
            </w:tcBorders>
            <w:noWrap w:val="0"/>
            <w:vAlign w:val="center"/>
          </w:tcPr>
          <w:p w14:paraId="5CE1F5AB">
            <w:pPr>
              <w:topLinePunct/>
              <w:adjustRightInd w:val="0"/>
              <w:snapToGrid w:val="0"/>
              <w:spacing w:line="560" w:lineRule="exact"/>
              <w:jc w:val="center"/>
              <w:rPr>
                <w:color w:val="auto"/>
                <w:szCs w:val="21"/>
                <w:highlight w:val="none"/>
              </w:rPr>
            </w:pPr>
            <w:r>
              <w:rPr>
                <w:color w:val="auto"/>
                <w:szCs w:val="21"/>
                <w:highlight w:val="none"/>
              </w:rPr>
              <w:t>传  真</w:t>
            </w:r>
          </w:p>
        </w:tc>
        <w:tc>
          <w:tcPr>
            <w:tcW w:w="2908" w:type="dxa"/>
            <w:gridSpan w:val="4"/>
            <w:tcBorders>
              <w:top w:val="single" w:color="auto" w:sz="4" w:space="0"/>
              <w:left w:val="single" w:color="auto" w:sz="4" w:space="0"/>
              <w:bottom w:val="single" w:color="auto" w:sz="4" w:space="0"/>
              <w:right w:val="single" w:color="auto" w:sz="4" w:space="0"/>
            </w:tcBorders>
            <w:noWrap w:val="0"/>
            <w:vAlign w:val="center"/>
          </w:tcPr>
          <w:p w14:paraId="5DA1F47C">
            <w:pPr>
              <w:topLinePunct/>
              <w:adjustRightInd w:val="0"/>
              <w:snapToGrid w:val="0"/>
              <w:spacing w:line="560" w:lineRule="exact"/>
              <w:jc w:val="center"/>
              <w:rPr>
                <w:color w:val="auto"/>
                <w:szCs w:val="21"/>
                <w:highlight w:val="none"/>
              </w:rPr>
            </w:pPr>
          </w:p>
        </w:tc>
        <w:tc>
          <w:tcPr>
            <w:tcW w:w="1243" w:type="dxa"/>
            <w:tcBorders>
              <w:top w:val="single" w:color="auto" w:sz="4" w:space="0"/>
              <w:left w:val="single" w:color="auto" w:sz="4" w:space="0"/>
              <w:bottom w:val="single" w:color="auto" w:sz="4" w:space="0"/>
              <w:right w:val="single" w:color="auto" w:sz="4" w:space="0"/>
            </w:tcBorders>
            <w:noWrap w:val="0"/>
            <w:vAlign w:val="center"/>
          </w:tcPr>
          <w:p w14:paraId="42312234">
            <w:pPr>
              <w:topLinePunct/>
              <w:adjustRightInd w:val="0"/>
              <w:snapToGrid w:val="0"/>
              <w:spacing w:line="560" w:lineRule="exact"/>
              <w:jc w:val="center"/>
              <w:rPr>
                <w:color w:val="auto"/>
                <w:szCs w:val="21"/>
                <w:highlight w:val="none"/>
              </w:rPr>
            </w:pPr>
            <w:r>
              <w:rPr>
                <w:color w:val="auto"/>
                <w:szCs w:val="21"/>
                <w:highlight w:val="none"/>
              </w:rPr>
              <w:t>网 址</w:t>
            </w:r>
          </w:p>
        </w:tc>
        <w:tc>
          <w:tcPr>
            <w:tcW w:w="2700" w:type="dxa"/>
            <w:gridSpan w:val="3"/>
            <w:tcBorders>
              <w:top w:val="single" w:color="auto" w:sz="4" w:space="0"/>
              <w:left w:val="single" w:color="auto" w:sz="4" w:space="0"/>
              <w:bottom w:val="single" w:color="auto" w:sz="4" w:space="0"/>
              <w:right w:val="single" w:color="auto" w:sz="4" w:space="0"/>
            </w:tcBorders>
            <w:noWrap w:val="0"/>
            <w:vAlign w:val="center"/>
          </w:tcPr>
          <w:p w14:paraId="54B7B423">
            <w:pPr>
              <w:topLinePunct/>
              <w:adjustRightInd w:val="0"/>
              <w:snapToGrid w:val="0"/>
              <w:spacing w:line="560" w:lineRule="exact"/>
              <w:jc w:val="center"/>
              <w:rPr>
                <w:color w:val="auto"/>
                <w:szCs w:val="21"/>
                <w:highlight w:val="none"/>
              </w:rPr>
            </w:pPr>
          </w:p>
        </w:tc>
      </w:tr>
      <w:tr w14:paraId="7BC979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9" w:hRule="atLeast"/>
          <w:jc w:val="center"/>
        </w:trPr>
        <w:tc>
          <w:tcPr>
            <w:tcW w:w="1993" w:type="dxa"/>
            <w:tcBorders>
              <w:top w:val="single" w:color="auto" w:sz="4" w:space="0"/>
              <w:left w:val="single" w:color="auto" w:sz="4" w:space="0"/>
              <w:bottom w:val="single" w:color="auto" w:sz="4" w:space="0"/>
              <w:right w:val="single" w:color="auto" w:sz="4" w:space="0"/>
            </w:tcBorders>
            <w:noWrap w:val="0"/>
            <w:vAlign w:val="center"/>
          </w:tcPr>
          <w:p w14:paraId="1BD65D9E">
            <w:pPr>
              <w:topLinePunct/>
              <w:adjustRightInd w:val="0"/>
              <w:snapToGrid w:val="0"/>
              <w:spacing w:line="560" w:lineRule="exact"/>
              <w:jc w:val="center"/>
              <w:rPr>
                <w:color w:val="auto"/>
                <w:szCs w:val="21"/>
                <w:highlight w:val="none"/>
              </w:rPr>
            </w:pPr>
            <w:r>
              <w:rPr>
                <w:color w:val="auto"/>
                <w:szCs w:val="21"/>
                <w:highlight w:val="none"/>
              </w:rPr>
              <w:t>组织结构</w:t>
            </w:r>
          </w:p>
        </w:tc>
        <w:tc>
          <w:tcPr>
            <w:tcW w:w="7887" w:type="dxa"/>
            <w:gridSpan w:val="9"/>
            <w:tcBorders>
              <w:top w:val="single" w:color="auto" w:sz="4" w:space="0"/>
              <w:left w:val="single" w:color="auto" w:sz="4" w:space="0"/>
              <w:bottom w:val="single" w:color="auto" w:sz="4" w:space="0"/>
              <w:right w:val="single" w:color="auto" w:sz="4" w:space="0"/>
            </w:tcBorders>
            <w:noWrap w:val="0"/>
            <w:vAlign w:val="center"/>
          </w:tcPr>
          <w:p w14:paraId="36FCB711">
            <w:pPr>
              <w:topLinePunct/>
              <w:adjustRightInd w:val="0"/>
              <w:snapToGrid w:val="0"/>
              <w:spacing w:line="560" w:lineRule="exact"/>
              <w:jc w:val="center"/>
              <w:rPr>
                <w:color w:val="auto"/>
                <w:szCs w:val="21"/>
                <w:highlight w:val="none"/>
              </w:rPr>
            </w:pPr>
          </w:p>
        </w:tc>
      </w:tr>
      <w:tr w14:paraId="182EDE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1" w:hRule="atLeast"/>
          <w:jc w:val="center"/>
        </w:trPr>
        <w:tc>
          <w:tcPr>
            <w:tcW w:w="1993" w:type="dxa"/>
            <w:tcBorders>
              <w:top w:val="single" w:color="auto" w:sz="4" w:space="0"/>
              <w:left w:val="single" w:color="auto" w:sz="4" w:space="0"/>
              <w:bottom w:val="single" w:color="auto" w:sz="4" w:space="0"/>
              <w:right w:val="single" w:color="auto" w:sz="4" w:space="0"/>
            </w:tcBorders>
            <w:noWrap w:val="0"/>
            <w:vAlign w:val="center"/>
          </w:tcPr>
          <w:p w14:paraId="1DE96107">
            <w:pPr>
              <w:topLinePunct/>
              <w:adjustRightInd w:val="0"/>
              <w:snapToGrid w:val="0"/>
              <w:spacing w:line="560" w:lineRule="exact"/>
              <w:jc w:val="center"/>
              <w:rPr>
                <w:color w:val="auto"/>
                <w:szCs w:val="21"/>
                <w:highlight w:val="none"/>
              </w:rPr>
            </w:pPr>
            <w:r>
              <w:rPr>
                <w:color w:val="auto"/>
                <w:szCs w:val="21"/>
                <w:highlight w:val="none"/>
              </w:rPr>
              <w:t>法定代表人</w:t>
            </w:r>
          </w:p>
        </w:tc>
        <w:tc>
          <w:tcPr>
            <w:tcW w:w="1036" w:type="dxa"/>
            <w:tcBorders>
              <w:top w:val="single" w:color="auto" w:sz="4" w:space="0"/>
              <w:left w:val="single" w:color="auto" w:sz="4" w:space="0"/>
              <w:bottom w:val="single" w:color="auto" w:sz="4" w:space="0"/>
              <w:right w:val="single" w:color="auto" w:sz="4" w:space="0"/>
            </w:tcBorders>
            <w:noWrap w:val="0"/>
            <w:vAlign w:val="center"/>
          </w:tcPr>
          <w:p w14:paraId="5FAC11BD">
            <w:pPr>
              <w:topLinePunct/>
              <w:adjustRightInd w:val="0"/>
              <w:snapToGrid w:val="0"/>
              <w:spacing w:line="560" w:lineRule="exact"/>
              <w:jc w:val="center"/>
              <w:rPr>
                <w:color w:val="auto"/>
                <w:szCs w:val="21"/>
                <w:highlight w:val="none"/>
              </w:rPr>
            </w:pPr>
            <w:r>
              <w:rPr>
                <w:color w:val="auto"/>
                <w:szCs w:val="21"/>
                <w:highlight w:val="none"/>
              </w:rPr>
              <w:t>姓名</w:t>
            </w:r>
          </w:p>
        </w:tc>
        <w:tc>
          <w:tcPr>
            <w:tcW w:w="1096" w:type="dxa"/>
            <w:tcBorders>
              <w:top w:val="single" w:color="auto" w:sz="4" w:space="0"/>
              <w:left w:val="single" w:color="auto" w:sz="4" w:space="0"/>
              <w:bottom w:val="single" w:color="auto" w:sz="4" w:space="0"/>
              <w:right w:val="single" w:color="auto" w:sz="4" w:space="0"/>
            </w:tcBorders>
            <w:noWrap w:val="0"/>
            <w:vAlign w:val="center"/>
          </w:tcPr>
          <w:p w14:paraId="0C7BAA29">
            <w:pPr>
              <w:topLinePunct/>
              <w:adjustRightInd w:val="0"/>
              <w:snapToGrid w:val="0"/>
              <w:spacing w:line="560" w:lineRule="exact"/>
              <w:jc w:val="center"/>
              <w:rPr>
                <w:color w:val="auto"/>
                <w:szCs w:val="21"/>
                <w:highlight w:val="none"/>
              </w:rPr>
            </w:pPr>
          </w:p>
        </w:tc>
        <w:tc>
          <w:tcPr>
            <w:tcW w:w="1453" w:type="dxa"/>
            <w:gridSpan w:val="2"/>
            <w:tcBorders>
              <w:top w:val="single" w:color="auto" w:sz="4" w:space="0"/>
              <w:left w:val="single" w:color="auto" w:sz="4" w:space="0"/>
              <w:bottom w:val="single" w:color="auto" w:sz="4" w:space="0"/>
              <w:right w:val="single" w:color="auto" w:sz="4" w:space="0"/>
            </w:tcBorders>
            <w:noWrap w:val="0"/>
            <w:vAlign w:val="center"/>
          </w:tcPr>
          <w:p w14:paraId="4EA4759E">
            <w:pPr>
              <w:topLinePunct/>
              <w:adjustRightInd w:val="0"/>
              <w:snapToGrid w:val="0"/>
              <w:spacing w:line="560" w:lineRule="exact"/>
              <w:jc w:val="center"/>
              <w:rPr>
                <w:color w:val="auto"/>
                <w:szCs w:val="21"/>
                <w:highlight w:val="none"/>
              </w:rPr>
            </w:pPr>
            <w:r>
              <w:rPr>
                <w:color w:val="auto"/>
                <w:szCs w:val="21"/>
                <w:highlight w:val="none"/>
              </w:rPr>
              <w:t>技术职称</w:t>
            </w:r>
          </w:p>
        </w:tc>
        <w:tc>
          <w:tcPr>
            <w:tcW w:w="2167" w:type="dxa"/>
            <w:gridSpan w:val="3"/>
            <w:tcBorders>
              <w:top w:val="single" w:color="auto" w:sz="4" w:space="0"/>
              <w:left w:val="single" w:color="auto" w:sz="4" w:space="0"/>
              <w:bottom w:val="single" w:color="auto" w:sz="4" w:space="0"/>
              <w:right w:val="single" w:color="auto" w:sz="4" w:space="0"/>
            </w:tcBorders>
            <w:noWrap w:val="0"/>
            <w:vAlign w:val="center"/>
          </w:tcPr>
          <w:p w14:paraId="385A0FA3">
            <w:pPr>
              <w:topLinePunct/>
              <w:adjustRightInd w:val="0"/>
              <w:snapToGrid w:val="0"/>
              <w:spacing w:line="560" w:lineRule="exact"/>
              <w:jc w:val="center"/>
              <w:rPr>
                <w:color w:val="auto"/>
                <w:szCs w:val="21"/>
                <w:highlight w:val="none"/>
              </w:rPr>
            </w:pPr>
          </w:p>
        </w:tc>
        <w:tc>
          <w:tcPr>
            <w:tcW w:w="991" w:type="dxa"/>
            <w:tcBorders>
              <w:top w:val="single" w:color="auto" w:sz="4" w:space="0"/>
              <w:left w:val="single" w:color="auto" w:sz="4" w:space="0"/>
              <w:bottom w:val="single" w:color="auto" w:sz="4" w:space="0"/>
              <w:right w:val="single" w:color="auto" w:sz="4" w:space="0"/>
            </w:tcBorders>
            <w:noWrap w:val="0"/>
            <w:vAlign w:val="center"/>
          </w:tcPr>
          <w:p w14:paraId="2AB7BF11">
            <w:pPr>
              <w:topLinePunct/>
              <w:adjustRightInd w:val="0"/>
              <w:snapToGrid w:val="0"/>
              <w:spacing w:line="560" w:lineRule="exact"/>
              <w:jc w:val="center"/>
              <w:rPr>
                <w:color w:val="auto"/>
                <w:szCs w:val="21"/>
                <w:highlight w:val="none"/>
              </w:rPr>
            </w:pPr>
            <w:r>
              <w:rPr>
                <w:color w:val="auto"/>
                <w:szCs w:val="21"/>
                <w:highlight w:val="none"/>
              </w:rPr>
              <w:t>电话</w:t>
            </w:r>
          </w:p>
        </w:tc>
        <w:tc>
          <w:tcPr>
            <w:tcW w:w="1144" w:type="dxa"/>
            <w:tcBorders>
              <w:top w:val="single" w:color="auto" w:sz="4" w:space="0"/>
              <w:left w:val="single" w:color="auto" w:sz="4" w:space="0"/>
              <w:bottom w:val="single" w:color="auto" w:sz="4" w:space="0"/>
              <w:right w:val="single" w:color="auto" w:sz="4" w:space="0"/>
            </w:tcBorders>
            <w:noWrap w:val="0"/>
            <w:vAlign w:val="center"/>
          </w:tcPr>
          <w:p w14:paraId="4EB81C6C">
            <w:pPr>
              <w:topLinePunct/>
              <w:adjustRightInd w:val="0"/>
              <w:snapToGrid w:val="0"/>
              <w:spacing w:line="560" w:lineRule="exact"/>
              <w:jc w:val="center"/>
              <w:rPr>
                <w:color w:val="auto"/>
                <w:szCs w:val="21"/>
                <w:highlight w:val="none"/>
              </w:rPr>
            </w:pPr>
          </w:p>
        </w:tc>
      </w:tr>
      <w:tr w14:paraId="6B5DBA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4" w:hRule="atLeast"/>
          <w:jc w:val="center"/>
        </w:trPr>
        <w:tc>
          <w:tcPr>
            <w:tcW w:w="1993" w:type="dxa"/>
            <w:tcBorders>
              <w:top w:val="single" w:color="auto" w:sz="4" w:space="0"/>
              <w:left w:val="single" w:color="auto" w:sz="4" w:space="0"/>
              <w:bottom w:val="single" w:color="auto" w:sz="4" w:space="0"/>
              <w:right w:val="single" w:color="auto" w:sz="4" w:space="0"/>
            </w:tcBorders>
            <w:noWrap w:val="0"/>
            <w:vAlign w:val="center"/>
          </w:tcPr>
          <w:p w14:paraId="76B855B8">
            <w:pPr>
              <w:topLinePunct/>
              <w:adjustRightInd w:val="0"/>
              <w:snapToGrid w:val="0"/>
              <w:spacing w:line="560" w:lineRule="exact"/>
              <w:jc w:val="center"/>
              <w:rPr>
                <w:color w:val="auto"/>
                <w:szCs w:val="21"/>
                <w:highlight w:val="none"/>
              </w:rPr>
            </w:pPr>
            <w:r>
              <w:rPr>
                <w:color w:val="auto"/>
                <w:szCs w:val="21"/>
                <w:highlight w:val="none"/>
              </w:rPr>
              <w:t>技术负责人</w:t>
            </w:r>
          </w:p>
        </w:tc>
        <w:tc>
          <w:tcPr>
            <w:tcW w:w="1036" w:type="dxa"/>
            <w:tcBorders>
              <w:top w:val="single" w:color="auto" w:sz="4" w:space="0"/>
              <w:left w:val="single" w:color="auto" w:sz="4" w:space="0"/>
              <w:bottom w:val="single" w:color="auto" w:sz="4" w:space="0"/>
              <w:right w:val="single" w:color="auto" w:sz="4" w:space="0"/>
            </w:tcBorders>
            <w:noWrap w:val="0"/>
            <w:vAlign w:val="center"/>
          </w:tcPr>
          <w:p w14:paraId="5BA2D2C7">
            <w:pPr>
              <w:topLinePunct/>
              <w:adjustRightInd w:val="0"/>
              <w:snapToGrid w:val="0"/>
              <w:spacing w:line="560" w:lineRule="exact"/>
              <w:jc w:val="center"/>
              <w:rPr>
                <w:color w:val="auto"/>
                <w:szCs w:val="21"/>
                <w:highlight w:val="none"/>
              </w:rPr>
            </w:pPr>
            <w:r>
              <w:rPr>
                <w:color w:val="auto"/>
                <w:szCs w:val="21"/>
                <w:highlight w:val="none"/>
              </w:rPr>
              <w:t>姓名</w:t>
            </w:r>
          </w:p>
        </w:tc>
        <w:tc>
          <w:tcPr>
            <w:tcW w:w="1096" w:type="dxa"/>
            <w:tcBorders>
              <w:top w:val="single" w:color="auto" w:sz="4" w:space="0"/>
              <w:left w:val="single" w:color="auto" w:sz="4" w:space="0"/>
              <w:bottom w:val="single" w:color="auto" w:sz="4" w:space="0"/>
              <w:right w:val="single" w:color="auto" w:sz="4" w:space="0"/>
            </w:tcBorders>
            <w:noWrap w:val="0"/>
            <w:vAlign w:val="center"/>
          </w:tcPr>
          <w:p w14:paraId="60958EB4">
            <w:pPr>
              <w:topLinePunct/>
              <w:adjustRightInd w:val="0"/>
              <w:snapToGrid w:val="0"/>
              <w:spacing w:line="560" w:lineRule="exact"/>
              <w:jc w:val="center"/>
              <w:rPr>
                <w:color w:val="auto"/>
                <w:szCs w:val="21"/>
                <w:highlight w:val="none"/>
              </w:rPr>
            </w:pPr>
          </w:p>
        </w:tc>
        <w:tc>
          <w:tcPr>
            <w:tcW w:w="1453" w:type="dxa"/>
            <w:gridSpan w:val="2"/>
            <w:tcBorders>
              <w:top w:val="single" w:color="auto" w:sz="4" w:space="0"/>
              <w:left w:val="single" w:color="auto" w:sz="4" w:space="0"/>
              <w:bottom w:val="single" w:color="auto" w:sz="4" w:space="0"/>
              <w:right w:val="single" w:color="auto" w:sz="4" w:space="0"/>
            </w:tcBorders>
            <w:noWrap w:val="0"/>
            <w:vAlign w:val="center"/>
          </w:tcPr>
          <w:p w14:paraId="56DAC45A">
            <w:pPr>
              <w:topLinePunct/>
              <w:adjustRightInd w:val="0"/>
              <w:snapToGrid w:val="0"/>
              <w:spacing w:line="560" w:lineRule="exact"/>
              <w:jc w:val="center"/>
              <w:rPr>
                <w:color w:val="auto"/>
                <w:szCs w:val="21"/>
                <w:highlight w:val="none"/>
              </w:rPr>
            </w:pPr>
            <w:r>
              <w:rPr>
                <w:color w:val="auto"/>
                <w:szCs w:val="21"/>
                <w:highlight w:val="none"/>
              </w:rPr>
              <w:t>技术职称</w:t>
            </w:r>
          </w:p>
        </w:tc>
        <w:tc>
          <w:tcPr>
            <w:tcW w:w="2167" w:type="dxa"/>
            <w:gridSpan w:val="3"/>
            <w:tcBorders>
              <w:top w:val="single" w:color="auto" w:sz="4" w:space="0"/>
              <w:left w:val="single" w:color="auto" w:sz="4" w:space="0"/>
              <w:bottom w:val="single" w:color="auto" w:sz="4" w:space="0"/>
              <w:right w:val="single" w:color="auto" w:sz="4" w:space="0"/>
            </w:tcBorders>
            <w:noWrap w:val="0"/>
            <w:vAlign w:val="center"/>
          </w:tcPr>
          <w:p w14:paraId="3B06D704">
            <w:pPr>
              <w:topLinePunct/>
              <w:adjustRightInd w:val="0"/>
              <w:snapToGrid w:val="0"/>
              <w:spacing w:line="560" w:lineRule="exact"/>
              <w:jc w:val="center"/>
              <w:rPr>
                <w:color w:val="auto"/>
                <w:szCs w:val="21"/>
                <w:highlight w:val="none"/>
              </w:rPr>
            </w:pPr>
          </w:p>
        </w:tc>
        <w:tc>
          <w:tcPr>
            <w:tcW w:w="991" w:type="dxa"/>
            <w:tcBorders>
              <w:top w:val="single" w:color="auto" w:sz="4" w:space="0"/>
              <w:left w:val="single" w:color="auto" w:sz="4" w:space="0"/>
              <w:bottom w:val="single" w:color="auto" w:sz="4" w:space="0"/>
              <w:right w:val="single" w:color="auto" w:sz="4" w:space="0"/>
            </w:tcBorders>
            <w:noWrap w:val="0"/>
            <w:vAlign w:val="center"/>
          </w:tcPr>
          <w:p w14:paraId="0F85ED8F">
            <w:pPr>
              <w:topLinePunct/>
              <w:adjustRightInd w:val="0"/>
              <w:snapToGrid w:val="0"/>
              <w:spacing w:line="560" w:lineRule="exact"/>
              <w:jc w:val="center"/>
              <w:rPr>
                <w:color w:val="auto"/>
                <w:szCs w:val="21"/>
                <w:highlight w:val="none"/>
              </w:rPr>
            </w:pPr>
            <w:r>
              <w:rPr>
                <w:color w:val="auto"/>
                <w:szCs w:val="21"/>
                <w:highlight w:val="none"/>
              </w:rPr>
              <w:t>电话</w:t>
            </w:r>
          </w:p>
        </w:tc>
        <w:tc>
          <w:tcPr>
            <w:tcW w:w="1144" w:type="dxa"/>
            <w:tcBorders>
              <w:top w:val="single" w:color="auto" w:sz="4" w:space="0"/>
              <w:left w:val="single" w:color="auto" w:sz="4" w:space="0"/>
              <w:bottom w:val="single" w:color="auto" w:sz="4" w:space="0"/>
              <w:right w:val="single" w:color="auto" w:sz="4" w:space="0"/>
            </w:tcBorders>
            <w:noWrap w:val="0"/>
            <w:vAlign w:val="center"/>
          </w:tcPr>
          <w:p w14:paraId="6028C1B2">
            <w:pPr>
              <w:topLinePunct/>
              <w:adjustRightInd w:val="0"/>
              <w:snapToGrid w:val="0"/>
              <w:spacing w:line="560" w:lineRule="exact"/>
              <w:jc w:val="center"/>
              <w:rPr>
                <w:color w:val="auto"/>
                <w:szCs w:val="21"/>
                <w:highlight w:val="none"/>
              </w:rPr>
            </w:pPr>
          </w:p>
        </w:tc>
      </w:tr>
      <w:tr w14:paraId="566167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1" w:hRule="atLeast"/>
          <w:jc w:val="center"/>
        </w:trPr>
        <w:tc>
          <w:tcPr>
            <w:tcW w:w="1993" w:type="dxa"/>
            <w:tcBorders>
              <w:top w:val="single" w:color="auto" w:sz="4" w:space="0"/>
              <w:left w:val="single" w:color="auto" w:sz="4" w:space="0"/>
              <w:bottom w:val="single" w:color="auto" w:sz="4" w:space="0"/>
              <w:right w:val="single" w:color="auto" w:sz="4" w:space="0"/>
            </w:tcBorders>
            <w:noWrap w:val="0"/>
            <w:vAlign w:val="center"/>
          </w:tcPr>
          <w:p w14:paraId="02754BDD">
            <w:pPr>
              <w:topLinePunct/>
              <w:adjustRightInd w:val="0"/>
              <w:snapToGrid w:val="0"/>
              <w:spacing w:line="560" w:lineRule="exact"/>
              <w:jc w:val="center"/>
              <w:rPr>
                <w:color w:val="auto"/>
                <w:szCs w:val="21"/>
                <w:highlight w:val="none"/>
              </w:rPr>
            </w:pPr>
            <w:r>
              <w:rPr>
                <w:color w:val="auto"/>
                <w:szCs w:val="21"/>
                <w:highlight w:val="none"/>
              </w:rPr>
              <w:t>成立时间</w:t>
            </w:r>
          </w:p>
        </w:tc>
        <w:tc>
          <w:tcPr>
            <w:tcW w:w="2132" w:type="dxa"/>
            <w:gridSpan w:val="2"/>
            <w:tcBorders>
              <w:top w:val="single" w:color="auto" w:sz="4" w:space="0"/>
              <w:left w:val="single" w:color="auto" w:sz="4" w:space="0"/>
              <w:bottom w:val="single" w:color="auto" w:sz="4" w:space="0"/>
              <w:right w:val="single" w:color="auto" w:sz="4" w:space="0"/>
            </w:tcBorders>
            <w:noWrap w:val="0"/>
            <w:vAlign w:val="center"/>
          </w:tcPr>
          <w:p w14:paraId="3496EB25">
            <w:pPr>
              <w:topLinePunct/>
              <w:adjustRightInd w:val="0"/>
              <w:snapToGrid w:val="0"/>
              <w:spacing w:line="560" w:lineRule="exact"/>
              <w:jc w:val="center"/>
              <w:rPr>
                <w:color w:val="auto"/>
                <w:szCs w:val="21"/>
                <w:highlight w:val="none"/>
              </w:rPr>
            </w:pPr>
          </w:p>
        </w:tc>
        <w:tc>
          <w:tcPr>
            <w:tcW w:w="5755" w:type="dxa"/>
            <w:gridSpan w:val="7"/>
            <w:tcBorders>
              <w:top w:val="single" w:color="auto" w:sz="4" w:space="0"/>
              <w:left w:val="single" w:color="auto" w:sz="4" w:space="0"/>
              <w:bottom w:val="single" w:color="auto" w:sz="4" w:space="0"/>
              <w:right w:val="single" w:color="auto" w:sz="4" w:space="0"/>
            </w:tcBorders>
            <w:noWrap w:val="0"/>
            <w:vAlign w:val="center"/>
          </w:tcPr>
          <w:p w14:paraId="497AE537">
            <w:pPr>
              <w:topLinePunct/>
              <w:adjustRightInd w:val="0"/>
              <w:snapToGrid w:val="0"/>
              <w:spacing w:line="560" w:lineRule="exact"/>
              <w:ind w:firstLine="105" w:firstLineChars="50"/>
              <w:jc w:val="center"/>
              <w:rPr>
                <w:color w:val="auto"/>
                <w:szCs w:val="21"/>
                <w:highlight w:val="none"/>
              </w:rPr>
            </w:pPr>
            <w:r>
              <w:rPr>
                <w:color w:val="auto"/>
                <w:szCs w:val="21"/>
                <w:highlight w:val="none"/>
              </w:rPr>
              <w:t>员工总人数：</w:t>
            </w:r>
          </w:p>
        </w:tc>
      </w:tr>
      <w:tr w14:paraId="7C7475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02" w:hRule="atLeast"/>
          <w:jc w:val="center"/>
        </w:trPr>
        <w:tc>
          <w:tcPr>
            <w:tcW w:w="1993" w:type="dxa"/>
            <w:tcBorders>
              <w:top w:val="single" w:color="auto" w:sz="4" w:space="0"/>
              <w:left w:val="single" w:color="auto" w:sz="4" w:space="0"/>
              <w:bottom w:val="single" w:color="auto" w:sz="4" w:space="0"/>
              <w:right w:val="single" w:color="auto" w:sz="4" w:space="0"/>
            </w:tcBorders>
            <w:noWrap w:val="0"/>
            <w:vAlign w:val="center"/>
          </w:tcPr>
          <w:p w14:paraId="7C7BE717">
            <w:pPr>
              <w:topLinePunct/>
              <w:adjustRightInd w:val="0"/>
              <w:snapToGrid w:val="0"/>
              <w:spacing w:line="560" w:lineRule="exact"/>
              <w:jc w:val="center"/>
              <w:rPr>
                <w:color w:val="auto"/>
                <w:szCs w:val="21"/>
                <w:highlight w:val="none"/>
              </w:rPr>
            </w:pPr>
            <w:r>
              <w:rPr>
                <w:color w:val="auto"/>
                <w:szCs w:val="21"/>
                <w:highlight w:val="none"/>
              </w:rPr>
              <w:t>企业资质等级</w:t>
            </w:r>
          </w:p>
        </w:tc>
        <w:tc>
          <w:tcPr>
            <w:tcW w:w="2132" w:type="dxa"/>
            <w:gridSpan w:val="2"/>
            <w:tcBorders>
              <w:top w:val="single" w:color="auto" w:sz="4" w:space="0"/>
              <w:left w:val="single" w:color="auto" w:sz="4" w:space="0"/>
              <w:bottom w:val="single" w:color="auto" w:sz="4" w:space="0"/>
              <w:right w:val="single" w:color="auto" w:sz="4" w:space="0"/>
            </w:tcBorders>
            <w:noWrap w:val="0"/>
            <w:vAlign w:val="center"/>
          </w:tcPr>
          <w:p w14:paraId="59F7C602">
            <w:pPr>
              <w:topLinePunct/>
              <w:adjustRightInd w:val="0"/>
              <w:snapToGrid w:val="0"/>
              <w:spacing w:line="560" w:lineRule="exact"/>
              <w:jc w:val="center"/>
              <w:rPr>
                <w:color w:val="auto"/>
                <w:szCs w:val="21"/>
                <w:highlight w:val="none"/>
              </w:rPr>
            </w:pPr>
          </w:p>
        </w:tc>
        <w:tc>
          <w:tcPr>
            <w:tcW w:w="969" w:type="dxa"/>
            <w:vMerge w:val="restart"/>
            <w:tcBorders>
              <w:top w:val="single" w:color="auto" w:sz="4" w:space="0"/>
              <w:left w:val="single" w:color="auto" w:sz="4" w:space="0"/>
              <w:bottom w:val="single" w:color="auto" w:sz="4" w:space="0"/>
              <w:right w:val="single" w:color="auto" w:sz="4" w:space="0"/>
            </w:tcBorders>
            <w:noWrap w:val="0"/>
            <w:vAlign w:val="center"/>
          </w:tcPr>
          <w:p w14:paraId="414D6121">
            <w:pPr>
              <w:topLinePunct/>
              <w:adjustRightInd w:val="0"/>
              <w:snapToGrid w:val="0"/>
              <w:spacing w:line="560" w:lineRule="exact"/>
              <w:jc w:val="center"/>
              <w:rPr>
                <w:color w:val="auto"/>
                <w:szCs w:val="21"/>
                <w:highlight w:val="none"/>
              </w:rPr>
            </w:pPr>
            <w:r>
              <w:rPr>
                <w:color w:val="auto"/>
                <w:szCs w:val="21"/>
                <w:highlight w:val="none"/>
              </w:rPr>
              <w:t>其中</w:t>
            </w:r>
          </w:p>
        </w:tc>
        <w:tc>
          <w:tcPr>
            <w:tcW w:w="2651" w:type="dxa"/>
            <w:gridSpan w:val="4"/>
            <w:tcBorders>
              <w:top w:val="single" w:color="auto" w:sz="4" w:space="0"/>
              <w:left w:val="single" w:color="auto" w:sz="4" w:space="0"/>
              <w:bottom w:val="single" w:color="auto" w:sz="4" w:space="0"/>
              <w:right w:val="single" w:color="auto" w:sz="4" w:space="0"/>
            </w:tcBorders>
            <w:noWrap w:val="0"/>
            <w:vAlign w:val="center"/>
          </w:tcPr>
          <w:p w14:paraId="09F8A9CD">
            <w:pPr>
              <w:topLinePunct/>
              <w:adjustRightInd w:val="0"/>
              <w:snapToGrid w:val="0"/>
              <w:spacing w:line="560" w:lineRule="exact"/>
              <w:jc w:val="center"/>
              <w:rPr>
                <w:color w:val="auto"/>
                <w:szCs w:val="21"/>
                <w:highlight w:val="none"/>
              </w:rPr>
            </w:pPr>
            <w:r>
              <w:rPr>
                <w:color w:val="auto"/>
                <w:szCs w:val="21"/>
                <w:highlight w:val="none"/>
              </w:rPr>
              <w:t>项目经理（建造师）</w:t>
            </w:r>
          </w:p>
        </w:tc>
        <w:tc>
          <w:tcPr>
            <w:tcW w:w="2135" w:type="dxa"/>
            <w:gridSpan w:val="2"/>
            <w:tcBorders>
              <w:top w:val="single" w:color="auto" w:sz="4" w:space="0"/>
              <w:left w:val="single" w:color="auto" w:sz="4" w:space="0"/>
              <w:bottom w:val="single" w:color="auto" w:sz="4" w:space="0"/>
              <w:right w:val="single" w:color="auto" w:sz="4" w:space="0"/>
            </w:tcBorders>
            <w:noWrap w:val="0"/>
            <w:vAlign w:val="center"/>
          </w:tcPr>
          <w:p w14:paraId="349E4F6D">
            <w:pPr>
              <w:topLinePunct/>
              <w:adjustRightInd w:val="0"/>
              <w:snapToGrid w:val="0"/>
              <w:spacing w:line="560" w:lineRule="exact"/>
              <w:jc w:val="center"/>
              <w:rPr>
                <w:color w:val="auto"/>
                <w:szCs w:val="21"/>
                <w:highlight w:val="none"/>
              </w:rPr>
            </w:pPr>
          </w:p>
        </w:tc>
      </w:tr>
      <w:tr w14:paraId="3A37F1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44" w:hRule="atLeast"/>
          <w:jc w:val="center"/>
        </w:trPr>
        <w:tc>
          <w:tcPr>
            <w:tcW w:w="1993" w:type="dxa"/>
            <w:tcBorders>
              <w:top w:val="single" w:color="auto" w:sz="4" w:space="0"/>
              <w:left w:val="single" w:color="auto" w:sz="4" w:space="0"/>
              <w:bottom w:val="single" w:color="auto" w:sz="4" w:space="0"/>
              <w:right w:val="single" w:color="auto" w:sz="4" w:space="0"/>
            </w:tcBorders>
            <w:noWrap w:val="0"/>
            <w:vAlign w:val="center"/>
          </w:tcPr>
          <w:p w14:paraId="5406943F">
            <w:pPr>
              <w:topLinePunct/>
              <w:adjustRightInd w:val="0"/>
              <w:snapToGrid w:val="0"/>
              <w:spacing w:line="560" w:lineRule="exact"/>
              <w:jc w:val="center"/>
              <w:rPr>
                <w:color w:val="auto"/>
                <w:szCs w:val="21"/>
                <w:highlight w:val="none"/>
              </w:rPr>
            </w:pPr>
            <w:r>
              <w:rPr>
                <w:color w:val="auto"/>
                <w:szCs w:val="21"/>
                <w:highlight w:val="none"/>
              </w:rPr>
              <w:t>营业执照号</w:t>
            </w:r>
          </w:p>
        </w:tc>
        <w:tc>
          <w:tcPr>
            <w:tcW w:w="2132" w:type="dxa"/>
            <w:gridSpan w:val="2"/>
            <w:tcBorders>
              <w:top w:val="single" w:color="auto" w:sz="4" w:space="0"/>
              <w:left w:val="single" w:color="auto" w:sz="4" w:space="0"/>
              <w:bottom w:val="single" w:color="auto" w:sz="4" w:space="0"/>
              <w:right w:val="single" w:color="auto" w:sz="4" w:space="0"/>
            </w:tcBorders>
            <w:noWrap w:val="0"/>
            <w:vAlign w:val="center"/>
          </w:tcPr>
          <w:p w14:paraId="72A5EB89">
            <w:pPr>
              <w:topLinePunct/>
              <w:adjustRightInd w:val="0"/>
              <w:snapToGrid w:val="0"/>
              <w:spacing w:line="560" w:lineRule="exact"/>
              <w:jc w:val="center"/>
              <w:rPr>
                <w:color w:val="auto"/>
                <w:szCs w:val="21"/>
                <w:highlight w:val="none"/>
              </w:rPr>
            </w:pPr>
          </w:p>
        </w:tc>
        <w:tc>
          <w:tcPr>
            <w:tcW w:w="969" w:type="dxa"/>
            <w:vMerge w:val="continue"/>
            <w:tcBorders>
              <w:top w:val="single" w:color="auto" w:sz="4" w:space="0"/>
              <w:left w:val="single" w:color="auto" w:sz="4" w:space="0"/>
              <w:bottom w:val="single" w:color="auto" w:sz="4" w:space="0"/>
              <w:right w:val="single" w:color="auto" w:sz="4" w:space="0"/>
            </w:tcBorders>
            <w:noWrap w:val="0"/>
            <w:vAlign w:val="center"/>
          </w:tcPr>
          <w:p w14:paraId="3AA0DE22">
            <w:pPr>
              <w:topLinePunct/>
              <w:adjustRightInd w:val="0"/>
              <w:snapToGrid w:val="0"/>
              <w:spacing w:line="560" w:lineRule="exact"/>
              <w:jc w:val="center"/>
              <w:rPr>
                <w:color w:val="auto"/>
                <w:szCs w:val="21"/>
                <w:highlight w:val="none"/>
              </w:rPr>
            </w:pPr>
          </w:p>
        </w:tc>
        <w:tc>
          <w:tcPr>
            <w:tcW w:w="2651" w:type="dxa"/>
            <w:gridSpan w:val="4"/>
            <w:tcBorders>
              <w:top w:val="single" w:color="auto" w:sz="4" w:space="0"/>
              <w:left w:val="single" w:color="auto" w:sz="4" w:space="0"/>
              <w:bottom w:val="single" w:color="auto" w:sz="4" w:space="0"/>
              <w:right w:val="single" w:color="auto" w:sz="4" w:space="0"/>
            </w:tcBorders>
            <w:noWrap w:val="0"/>
            <w:vAlign w:val="center"/>
          </w:tcPr>
          <w:p w14:paraId="4B84C191">
            <w:pPr>
              <w:topLinePunct/>
              <w:adjustRightInd w:val="0"/>
              <w:snapToGrid w:val="0"/>
              <w:spacing w:line="560" w:lineRule="exact"/>
              <w:jc w:val="center"/>
              <w:rPr>
                <w:color w:val="auto"/>
                <w:szCs w:val="21"/>
                <w:highlight w:val="none"/>
              </w:rPr>
            </w:pPr>
            <w:r>
              <w:rPr>
                <w:color w:val="auto"/>
                <w:szCs w:val="21"/>
                <w:highlight w:val="none"/>
              </w:rPr>
              <w:t>高级职称人员</w:t>
            </w:r>
          </w:p>
        </w:tc>
        <w:tc>
          <w:tcPr>
            <w:tcW w:w="2135" w:type="dxa"/>
            <w:gridSpan w:val="2"/>
            <w:tcBorders>
              <w:top w:val="single" w:color="auto" w:sz="4" w:space="0"/>
              <w:left w:val="single" w:color="auto" w:sz="4" w:space="0"/>
              <w:bottom w:val="single" w:color="auto" w:sz="4" w:space="0"/>
              <w:right w:val="single" w:color="auto" w:sz="4" w:space="0"/>
            </w:tcBorders>
            <w:noWrap w:val="0"/>
            <w:vAlign w:val="center"/>
          </w:tcPr>
          <w:p w14:paraId="293A9177">
            <w:pPr>
              <w:topLinePunct/>
              <w:adjustRightInd w:val="0"/>
              <w:snapToGrid w:val="0"/>
              <w:spacing w:line="560" w:lineRule="exact"/>
              <w:jc w:val="center"/>
              <w:rPr>
                <w:color w:val="auto"/>
                <w:szCs w:val="21"/>
                <w:highlight w:val="none"/>
              </w:rPr>
            </w:pPr>
          </w:p>
        </w:tc>
      </w:tr>
      <w:tr w14:paraId="1DBD46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37" w:hRule="atLeast"/>
          <w:jc w:val="center"/>
        </w:trPr>
        <w:tc>
          <w:tcPr>
            <w:tcW w:w="1993" w:type="dxa"/>
            <w:tcBorders>
              <w:top w:val="single" w:color="auto" w:sz="4" w:space="0"/>
              <w:left w:val="single" w:color="auto" w:sz="4" w:space="0"/>
              <w:bottom w:val="single" w:color="auto" w:sz="4" w:space="0"/>
              <w:right w:val="single" w:color="auto" w:sz="4" w:space="0"/>
            </w:tcBorders>
            <w:noWrap w:val="0"/>
            <w:vAlign w:val="center"/>
          </w:tcPr>
          <w:p w14:paraId="6A9F58AC">
            <w:pPr>
              <w:topLinePunct/>
              <w:adjustRightInd w:val="0"/>
              <w:snapToGrid w:val="0"/>
              <w:spacing w:line="560" w:lineRule="exact"/>
              <w:jc w:val="center"/>
              <w:rPr>
                <w:color w:val="auto"/>
                <w:szCs w:val="21"/>
                <w:highlight w:val="none"/>
              </w:rPr>
            </w:pPr>
            <w:r>
              <w:rPr>
                <w:color w:val="auto"/>
                <w:szCs w:val="21"/>
                <w:highlight w:val="none"/>
              </w:rPr>
              <w:t>注册资金</w:t>
            </w:r>
          </w:p>
        </w:tc>
        <w:tc>
          <w:tcPr>
            <w:tcW w:w="2132" w:type="dxa"/>
            <w:gridSpan w:val="2"/>
            <w:tcBorders>
              <w:top w:val="single" w:color="auto" w:sz="4" w:space="0"/>
              <w:left w:val="single" w:color="auto" w:sz="4" w:space="0"/>
              <w:bottom w:val="single" w:color="auto" w:sz="4" w:space="0"/>
              <w:right w:val="single" w:color="auto" w:sz="4" w:space="0"/>
            </w:tcBorders>
            <w:noWrap w:val="0"/>
            <w:vAlign w:val="center"/>
          </w:tcPr>
          <w:p w14:paraId="12031ACD">
            <w:pPr>
              <w:topLinePunct/>
              <w:adjustRightInd w:val="0"/>
              <w:snapToGrid w:val="0"/>
              <w:spacing w:line="560" w:lineRule="exact"/>
              <w:jc w:val="center"/>
              <w:rPr>
                <w:color w:val="auto"/>
                <w:szCs w:val="21"/>
                <w:highlight w:val="none"/>
              </w:rPr>
            </w:pPr>
          </w:p>
        </w:tc>
        <w:tc>
          <w:tcPr>
            <w:tcW w:w="969" w:type="dxa"/>
            <w:vMerge w:val="continue"/>
            <w:tcBorders>
              <w:top w:val="single" w:color="auto" w:sz="4" w:space="0"/>
              <w:left w:val="single" w:color="auto" w:sz="4" w:space="0"/>
              <w:bottom w:val="single" w:color="auto" w:sz="4" w:space="0"/>
              <w:right w:val="single" w:color="auto" w:sz="4" w:space="0"/>
            </w:tcBorders>
            <w:noWrap w:val="0"/>
            <w:vAlign w:val="center"/>
          </w:tcPr>
          <w:p w14:paraId="79AA9314">
            <w:pPr>
              <w:topLinePunct/>
              <w:adjustRightInd w:val="0"/>
              <w:snapToGrid w:val="0"/>
              <w:spacing w:line="560" w:lineRule="exact"/>
              <w:jc w:val="center"/>
              <w:rPr>
                <w:color w:val="auto"/>
                <w:szCs w:val="21"/>
                <w:highlight w:val="none"/>
              </w:rPr>
            </w:pPr>
          </w:p>
        </w:tc>
        <w:tc>
          <w:tcPr>
            <w:tcW w:w="2651" w:type="dxa"/>
            <w:gridSpan w:val="4"/>
            <w:tcBorders>
              <w:top w:val="single" w:color="auto" w:sz="4" w:space="0"/>
              <w:left w:val="single" w:color="auto" w:sz="4" w:space="0"/>
              <w:bottom w:val="single" w:color="auto" w:sz="4" w:space="0"/>
              <w:right w:val="single" w:color="auto" w:sz="4" w:space="0"/>
            </w:tcBorders>
            <w:noWrap w:val="0"/>
            <w:vAlign w:val="center"/>
          </w:tcPr>
          <w:p w14:paraId="30B07EF0">
            <w:pPr>
              <w:topLinePunct/>
              <w:adjustRightInd w:val="0"/>
              <w:snapToGrid w:val="0"/>
              <w:spacing w:line="560" w:lineRule="exact"/>
              <w:jc w:val="center"/>
              <w:rPr>
                <w:color w:val="auto"/>
                <w:szCs w:val="21"/>
                <w:highlight w:val="none"/>
              </w:rPr>
            </w:pPr>
            <w:r>
              <w:rPr>
                <w:color w:val="auto"/>
                <w:szCs w:val="21"/>
                <w:highlight w:val="none"/>
              </w:rPr>
              <w:t>中级职称人员</w:t>
            </w:r>
          </w:p>
        </w:tc>
        <w:tc>
          <w:tcPr>
            <w:tcW w:w="2135" w:type="dxa"/>
            <w:gridSpan w:val="2"/>
            <w:tcBorders>
              <w:top w:val="single" w:color="auto" w:sz="4" w:space="0"/>
              <w:left w:val="single" w:color="auto" w:sz="4" w:space="0"/>
              <w:bottom w:val="single" w:color="auto" w:sz="4" w:space="0"/>
              <w:right w:val="single" w:color="auto" w:sz="4" w:space="0"/>
            </w:tcBorders>
            <w:noWrap w:val="0"/>
            <w:vAlign w:val="center"/>
          </w:tcPr>
          <w:p w14:paraId="154BB5C5">
            <w:pPr>
              <w:topLinePunct/>
              <w:adjustRightInd w:val="0"/>
              <w:snapToGrid w:val="0"/>
              <w:spacing w:line="560" w:lineRule="exact"/>
              <w:jc w:val="center"/>
              <w:rPr>
                <w:color w:val="auto"/>
                <w:szCs w:val="21"/>
                <w:highlight w:val="none"/>
              </w:rPr>
            </w:pPr>
          </w:p>
        </w:tc>
      </w:tr>
      <w:tr w14:paraId="1C8A57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63" w:hRule="atLeast"/>
          <w:jc w:val="center"/>
        </w:trPr>
        <w:tc>
          <w:tcPr>
            <w:tcW w:w="1993" w:type="dxa"/>
            <w:tcBorders>
              <w:top w:val="single" w:color="auto" w:sz="4" w:space="0"/>
              <w:left w:val="single" w:color="auto" w:sz="4" w:space="0"/>
              <w:bottom w:val="single" w:color="auto" w:sz="4" w:space="0"/>
              <w:right w:val="single" w:color="auto" w:sz="4" w:space="0"/>
            </w:tcBorders>
            <w:noWrap w:val="0"/>
            <w:vAlign w:val="center"/>
          </w:tcPr>
          <w:p w14:paraId="1D9075EF">
            <w:pPr>
              <w:topLinePunct/>
              <w:adjustRightInd w:val="0"/>
              <w:snapToGrid w:val="0"/>
              <w:spacing w:line="560" w:lineRule="exact"/>
              <w:jc w:val="center"/>
              <w:rPr>
                <w:color w:val="auto"/>
                <w:szCs w:val="21"/>
                <w:highlight w:val="none"/>
              </w:rPr>
            </w:pPr>
            <w:r>
              <w:rPr>
                <w:color w:val="auto"/>
                <w:szCs w:val="21"/>
                <w:highlight w:val="none"/>
              </w:rPr>
              <w:t>开户银行</w:t>
            </w:r>
          </w:p>
        </w:tc>
        <w:tc>
          <w:tcPr>
            <w:tcW w:w="2132" w:type="dxa"/>
            <w:gridSpan w:val="2"/>
            <w:tcBorders>
              <w:top w:val="single" w:color="auto" w:sz="4" w:space="0"/>
              <w:left w:val="single" w:color="auto" w:sz="4" w:space="0"/>
              <w:bottom w:val="single" w:color="auto" w:sz="4" w:space="0"/>
              <w:right w:val="single" w:color="auto" w:sz="4" w:space="0"/>
            </w:tcBorders>
            <w:noWrap w:val="0"/>
            <w:vAlign w:val="center"/>
          </w:tcPr>
          <w:p w14:paraId="168DF787">
            <w:pPr>
              <w:topLinePunct/>
              <w:adjustRightInd w:val="0"/>
              <w:snapToGrid w:val="0"/>
              <w:spacing w:line="560" w:lineRule="exact"/>
              <w:jc w:val="center"/>
              <w:rPr>
                <w:color w:val="auto"/>
                <w:szCs w:val="21"/>
                <w:highlight w:val="none"/>
              </w:rPr>
            </w:pPr>
          </w:p>
        </w:tc>
        <w:tc>
          <w:tcPr>
            <w:tcW w:w="969" w:type="dxa"/>
            <w:vMerge w:val="continue"/>
            <w:tcBorders>
              <w:top w:val="single" w:color="auto" w:sz="4" w:space="0"/>
              <w:left w:val="single" w:color="auto" w:sz="4" w:space="0"/>
              <w:bottom w:val="single" w:color="auto" w:sz="4" w:space="0"/>
              <w:right w:val="single" w:color="auto" w:sz="4" w:space="0"/>
            </w:tcBorders>
            <w:noWrap w:val="0"/>
            <w:vAlign w:val="center"/>
          </w:tcPr>
          <w:p w14:paraId="365DB624">
            <w:pPr>
              <w:topLinePunct/>
              <w:adjustRightInd w:val="0"/>
              <w:snapToGrid w:val="0"/>
              <w:spacing w:line="560" w:lineRule="exact"/>
              <w:jc w:val="center"/>
              <w:rPr>
                <w:color w:val="auto"/>
                <w:szCs w:val="21"/>
                <w:highlight w:val="none"/>
              </w:rPr>
            </w:pPr>
          </w:p>
        </w:tc>
        <w:tc>
          <w:tcPr>
            <w:tcW w:w="2651" w:type="dxa"/>
            <w:gridSpan w:val="4"/>
            <w:tcBorders>
              <w:top w:val="single" w:color="auto" w:sz="4" w:space="0"/>
              <w:left w:val="single" w:color="auto" w:sz="4" w:space="0"/>
              <w:bottom w:val="single" w:color="auto" w:sz="4" w:space="0"/>
              <w:right w:val="single" w:color="auto" w:sz="4" w:space="0"/>
            </w:tcBorders>
            <w:noWrap w:val="0"/>
            <w:vAlign w:val="center"/>
          </w:tcPr>
          <w:p w14:paraId="6F5C83D6">
            <w:pPr>
              <w:topLinePunct/>
              <w:adjustRightInd w:val="0"/>
              <w:snapToGrid w:val="0"/>
              <w:spacing w:line="560" w:lineRule="exact"/>
              <w:jc w:val="center"/>
              <w:rPr>
                <w:color w:val="auto"/>
                <w:szCs w:val="21"/>
                <w:highlight w:val="none"/>
              </w:rPr>
            </w:pPr>
            <w:r>
              <w:rPr>
                <w:color w:val="auto"/>
                <w:szCs w:val="21"/>
                <w:highlight w:val="none"/>
              </w:rPr>
              <w:t>初级职称人员</w:t>
            </w:r>
          </w:p>
        </w:tc>
        <w:tc>
          <w:tcPr>
            <w:tcW w:w="2135" w:type="dxa"/>
            <w:gridSpan w:val="2"/>
            <w:tcBorders>
              <w:top w:val="single" w:color="auto" w:sz="4" w:space="0"/>
              <w:left w:val="single" w:color="auto" w:sz="4" w:space="0"/>
              <w:bottom w:val="single" w:color="auto" w:sz="4" w:space="0"/>
              <w:right w:val="single" w:color="auto" w:sz="4" w:space="0"/>
            </w:tcBorders>
            <w:noWrap w:val="0"/>
            <w:vAlign w:val="center"/>
          </w:tcPr>
          <w:p w14:paraId="640F07BA">
            <w:pPr>
              <w:topLinePunct/>
              <w:adjustRightInd w:val="0"/>
              <w:snapToGrid w:val="0"/>
              <w:spacing w:line="560" w:lineRule="exact"/>
              <w:jc w:val="center"/>
              <w:rPr>
                <w:color w:val="auto"/>
                <w:szCs w:val="21"/>
                <w:highlight w:val="none"/>
              </w:rPr>
            </w:pPr>
          </w:p>
        </w:tc>
      </w:tr>
      <w:tr w14:paraId="574AD6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39" w:hRule="atLeast"/>
          <w:jc w:val="center"/>
        </w:trPr>
        <w:tc>
          <w:tcPr>
            <w:tcW w:w="1993" w:type="dxa"/>
            <w:tcBorders>
              <w:top w:val="single" w:color="auto" w:sz="4" w:space="0"/>
              <w:left w:val="single" w:color="auto" w:sz="4" w:space="0"/>
              <w:bottom w:val="single" w:color="auto" w:sz="4" w:space="0"/>
              <w:right w:val="single" w:color="auto" w:sz="4" w:space="0"/>
            </w:tcBorders>
            <w:noWrap w:val="0"/>
            <w:vAlign w:val="center"/>
          </w:tcPr>
          <w:p w14:paraId="480EF17E">
            <w:pPr>
              <w:topLinePunct/>
              <w:adjustRightInd w:val="0"/>
              <w:snapToGrid w:val="0"/>
              <w:spacing w:line="560" w:lineRule="exact"/>
              <w:jc w:val="center"/>
              <w:rPr>
                <w:color w:val="auto"/>
                <w:szCs w:val="21"/>
                <w:highlight w:val="none"/>
              </w:rPr>
            </w:pPr>
            <w:r>
              <w:rPr>
                <w:color w:val="auto"/>
                <w:szCs w:val="21"/>
                <w:highlight w:val="none"/>
              </w:rPr>
              <w:t>账号</w:t>
            </w:r>
          </w:p>
        </w:tc>
        <w:tc>
          <w:tcPr>
            <w:tcW w:w="2132" w:type="dxa"/>
            <w:gridSpan w:val="2"/>
            <w:tcBorders>
              <w:top w:val="single" w:color="auto" w:sz="4" w:space="0"/>
              <w:left w:val="single" w:color="auto" w:sz="4" w:space="0"/>
              <w:bottom w:val="single" w:color="auto" w:sz="4" w:space="0"/>
              <w:right w:val="single" w:color="auto" w:sz="4" w:space="0"/>
            </w:tcBorders>
            <w:noWrap w:val="0"/>
            <w:vAlign w:val="center"/>
          </w:tcPr>
          <w:p w14:paraId="114C92D2">
            <w:pPr>
              <w:topLinePunct/>
              <w:adjustRightInd w:val="0"/>
              <w:snapToGrid w:val="0"/>
              <w:spacing w:line="560" w:lineRule="exact"/>
              <w:jc w:val="center"/>
              <w:rPr>
                <w:color w:val="auto"/>
                <w:szCs w:val="21"/>
                <w:highlight w:val="none"/>
              </w:rPr>
            </w:pPr>
          </w:p>
        </w:tc>
        <w:tc>
          <w:tcPr>
            <w:tcW w:w="969" w:type="dxa"/>
            <w:vMerge w:val="continue"/>
            <w:tcBorders>
              <w:top w:val="single" w:color="auto" w:sz="4" w:space="0"/>
              <w:left w:val="single" w:color="auto" w:sz="4" w:space="0"/>
              <w:bottom w:val="single" w:color="auto" w:sz="4" w:space="0"/>
              <w:right w:val="single" w:color="auto" w:sz="4" w:space="0"/>
            </w:tcBorders>
            <w:noWrap w:val="0"/>
            <w:vAlign w:val="center"/>
          </w:tcPr>
          <w:p w14:paraId="4EBF12C5">
            <w:pPr>
              <w:topLinePunct/>
              <w:adjustRightInd w:val="0"/>
              <w:snapToGrid w:val="0"/>
              <w:spacing w:line="560" w:lineRule="exact"/>
              <w:jc w:val="center"/>
              <w:rPr>
                <w:color w:val="auto"/>
                <w:szCs w:val="21"/>
                <w:highlight w:val="none"/>
              </w:rPr>
            </w:pPr>
          </w:p>
        </w:tc>
        <w:tc>
          <w:tcPr>
            <w:tcW w:w="2651" w:type="dxa"/>
            <w:gridSpan w:val="4"/>
            <w:tcBorders>
              <w:top w:val="single" w:color="auto" w:sz="4" w:space="0"/>
              <w:left w:val="single" w:color="auto" w:sz="4" w:space="0"/>
              <w:bottom w:val="single" w:color="auto" w:sz="4" w:space="0"/>
              <w:right w:val="single" w:color="auto" w:sz="4" w:space="0"/>
            </w:tcBorders>
            <w:noWrap w:val="0"/>
            <w:vAlign w:val="center"/>
          </w:tcPr>
          <w:p w14:paraId="286D6C8D">
            <w:pPr>
              <w:topLinePunct/>
              <w:adjustRightInd w:val="0"/>
              <w:snapToGrid w:val="0"/>
              <w:spacing w:line="560" w:lineRule="exact"/>
              <w:jc w:val="center"/>
              <w:rPr>
                <w:color w:val="auto"/>
                <w:highlight w:val="none"/>
              </w:rPr>
            </w:pPr>
            <w:r>
              <w:rPr>
                <w:color w:val="auto"/>
                <w:szCs w:val="21"/>
                <w:highlight w:val="none"/>
              </w:rPr>
              <w:t>技</w:t>
            </w:r>
            <w:r>
              <w:rPr>
                <w:rFonts w:hint="eastAsia"/>
                <w:color w:val="auto"/>
                <w:szCs w:val="21"/>
                <w:highlight w:val="none"/>
              </w:rPr>
              <w:t xml:space="preserve">  </w:t>
            </w:r>
            <w:r>
              <w:rPr>
                <w:color w:val="auto"/>
                <w:szCs w:val="21"/>
                <w:highlight w:val="none"/>
              </w:rPr>
              <w:t>工</w:t>
            </w:r>
          </w:p>
        </w:tc>
        <w:tc>
          <w:tcPr>
            <w:tcW w:w="2135" w:type="dxa"/>
            <w:gridSpan w:val="2"/>
            <w:tcBorders>
              <w:top w:val="single" w:color="auto" w:sz="4" w:space="0"/>
              <w:left w:val="single" w:color="auto" w:sz="4" w:space="0"/>
              <w:bottom w:val="single" w:color="auto" w:sz="4" w:space="0"/>
              <w:right w:val="single" w:color="auto" w:sz="4" w:space="0"/>
            </w:tcBorders>
            <w:noWrap w:val="0"/>
            <w:vAlign w:val="center"/>
          </w:tcPr>
          <w:p w14:paraId="49F928EA">
            <w:pPr>
              <w:topLinePunct/>
              <w:adjustRightInd w:val="0"/>
              <w:snapToGrid w:val="0"/>
              <w:spacing w:line="560" w:lineRule="exact"/>
              <w:jc w:val="center"/>
              <w:rPr>
                <w:color w:val="auto"/>
                <w:szCs w:val="21"/>
                <w:highlight w:val="none"/>
              </w:rPr>
            </w:pPr>
          </w:p>
        </w:tc>
      </w:tr>
      <w:tr w14:paraId="1710C2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89" w:hRule="atLeast"/>
          <w:jc w:val="center"/>
        </w:trPr>
        <w:tc>
          <w:tcPr>
            <w:tcW w:w="1993" w:type="dxa"/>
            <w:tcBorders>
              <w:top w:val="single" w:color="auto" w:sz="4" w:space="0"/>
              <w:left w:val="single" w:color="auto" w:sz="4" w:space="0"/>
              <w:right w:val="single" w:color="auto" w:sz="4" w:space="0"/>
            </w:tcBorders>
            <w:noWrap w:val="0"/>
            <w:vAlign w:val="center"/>
          </w:tcPr>
          <w:p w14:paraId="3E757336">
            <w:pPr>
              <w:topLinePunct/>
              <w:adjustRightInd w:val="0"/>
              <w:snapToGrid w:val="0"/>
              <w:spacing w:line="560" w:lineRule="exact"/>
              <w:ind w:firstLine="210" w:firstLineChars="100"/>
              <w:jc w:val="center"/>
              <w:rPr>
                <w:color w:val="auto"/>
                <w:szCs w:val="21"/>
                <w:highlight w:val="none"/>
              </w:rPr>
            </w:pPr>
            <w:r>
              <w:rPr>
                <w:color w:val="auto"/>
                <w:szCs w:val="21"/>
                <w:highlight w:val="none"/>
              </w:rPr>
              <w:t>经营范围</w:t>
            </w:r>
          </w:p>
        </w:tc>
        <w:tc>
          <w:tcPr>
            <w:tcW w:w="7887" w:type="dxa"/>
            <w:gridSpan w:val="9"/>
            <w:tcBorders>
              <w:top w:val="single" w:color="auto" w:sz="4" w:space="0"/>
              <w:left w:val="single" w:color="auto" w:sz="4" w:space="0"/>
              <w:right w:val="single" w:color="auto" w:sz="4" w:space="0"/>
            </w:tcBorders>
            <w:noWrap w:val="0"/>
            <w:vAlign w:val="center"/>
          </w:tcPr>
          <w:p w14:paraId="3A97ACD8">
            <w:pPr>
              <w:topLinePunct/>
              <w:adjustRightInd w:val="0"/>
              <w:snapToGrid w:val="0"/>
              <w:spacing w:line="560" w:lineRule="exact"/>
              <w:rPr>
                <w:color w:val="auto"/>
                <w:szCs w:val="21"/>
                <w:highlight w:val="none"/>
              </w:rPr>
            </w:pPr>
          </w:p>
        </w:tc>
      </w:tr>
      <w:tr w14:paraId="1B3212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2" w:hRule="atLeast"/>
          <w:jc w:val="center"/>
        </w:trPr>
        <w:tc>
          <w:tcPr>
            <w:tcW w:w="1993" w:type="dxa"/>
            <w:tcBorders>
              <w:top w:val="single" w:color="auto" w:sz="4" w:space="0"/>
              <w:left w:val="single" w:color="auto" w:sz="4" w:space="0"/>
              <w:bottom w:val="single" w:color="auto" w:sz="4" w:space="0"/>
              <w:right w:val="single" w:color="auto" w:sz="4" w:space="0"/>
            </w:tcBorders>
            <w:noWrap w:val="0"/>
            <w:vAlign w:val="center"/>
          </w:tcPr>
          <w:p w14:paraId="7AA8A125">
            <w:pPr>
              <w:topLinePunct/>
              <w:adjustRightInd w:val="0"/>
              <w:snapToGrid w:val="0"/>
              <w:spacing w:line="560" w:lineRule="exact"/>
              <w:jc w:val="center"/>
              <w:rPr>
                <w:color w:val="auto"/>
                <w:szCs w:val="21"/>
                <w:highlight w:val="none"/>
              </w:rPr>
            </w:pPr>
            <w:r>
              <w:rPr>
                <w:color w:val="auto"/>
                <w:szCs w:val="21"/>
                <w:highlight w:val="none"/>
              </w:rPr>
              <w:t>备注</w:t>
            </w:r>
          </w:p>
        </w:tc>
        <w:tc>
          <w:tcPr>
            <w:tcW w:w="7887" w:type="dxa"/>
            <w:gridSpan w:val="9"/>
            <w:tcBorders>
              <w:top w:val="single" w:color="auto" w:sz="4" w:space="0"/>
              <w:left w:val="single" w:color="auto" w:sz="4" w:space="0"/>
              <w:bottom w:val="single" w:color="auto" w:sz="4" w:space="0"/>
              <w:right w:val="single" w:color="auto" w:sz="4" w:space="0"/>
            </w:tcBorders>
            <w:noWrap w:val="0"/>
            <w:vAlign w:val="center"/>
          </w:tcPr>
          <w:p w14:paraId="618C57E1">
            <w:pPr>
              <w:topLinePunct/>
              <w:adjustRightInd w:val="0"/>
              <w:snapToGrid w:val="0"/>
              <w:spacing w:line="560" w:lineRule="exact"/>
              <w:jc w:val="center"/>
              <w:rPr>
                <w:color w:val="auto"/>
                <w:szCs w:val="21"/>
                <w:highlight w:val="none"/>
              </w:rPr>
            </w:pPr>
          </w:p>
        </w:tc>
      </w:tr>
    </w:tbl>
    <w:p w14:paraId="457616FB">
      <w:pPr>
        <w:pStyle w:val="4"/>
        <w:adjustRightInd w:val="0"/>
        <w:snapToGrid w:val="0"/>
        <w:spacing w:before="0" w:after="0" w:line="560" w:lineRule="exact"/>
        <w:jc w:val="center"/>
        <w:rPr>
          <w:rFonts w:hint="eastAsia"/>
          <w:color w:val="auto"/>
          <w:highlight w:val="none"/>
        </w:rPr>
      </w:pPr>
      <w:bookmarkStart w:id="1455" w:name="_Toc95223534"/>
      <w:r>
        <w:rPr>
          <w:color w:val="auto"/>
          <w:highlight w:val="none"/>
        </w:rPr>
        <w:t>（</w:t>
      </w:r>
      <w:r>
        <w:rPr>
          <w:rFonts w:hint="eastAsia"/>
          <w:color w:val="auto"/>
          <w:highlight w:val="none"/>
        </w:rPr>
        <w:t>2</w:t>
      </w:r>
      <w:r>
        <w:rPr>
          <w:color w:val="auto"/>
          <w:highlight w:val="none"/>
        </w:rPr>
        <w:t>）近年财务状况表</w:t>
      </w:r>
      <w:bookmarkEnd w:id="1455"/>
      <w:r>
        <w:rPr>
          <w:rFonts w:hint="eastAsia"/>
          <w:color w:val="auto"/>
          <w:highlight w:val="none"/>
          <w:lang w:eastAsia="zh-CN"/>
        </w:rPr>
        <w:t>（</w:t>
      </w:r>
      <w:r>
        <w:rPr>
          <w:rFonts w:hint="eastAsia"/>
          <w:color w:val="auto"/>
          <w:highlight w:val="none"/>
          <w:lang w:val="en-US" w:eastAsia="zh-CN"/>
        </w:rPr>
        <w:t>格式自拟）</w:t>
      </w:r>
    </w:p>
    <w:p w14:paraId="773F1444">
      <w:pPr>
        <w:pStyle w:val="4"/>
        <w:adjustRightInd w:val="0"/>
        <w:snapToGrid w:val="0"/>
        <w:spacing w:before="0" w:after="0" w:line="560" w:lineRule="exact"/>
        <w:jc w:val="center"/>
        <w:rPr>
          <w:rFonts w:eastAsia="黑体"/>
          <w:color w:val="auto"/>
          <w:sz w:val="23"/>
          <w:szCs w:val="23"/>
          <w:highlight w:val="none"/>
        </w:rPr>
      </w:pPr>
      <w:bookmarkStart w:id="1456" w:name="_Toc95223535"/>
      <w:r>
        <w:rPr>
          <w:color w:val="auto"/>
          <w:highlight w:val="none"/>
        </w:rPr>
        <w:t>（</w:t>
      </w:r>
      <w:r>
        <w:rPr>
          <w:rFonts w:hint="eastAsia"/>
          <w:color w:val="auto"/>
          <w:highlight w:val="none"/>
        </w:rPr>
        <w:t>3</w:t>
      </w:r>
      <w:r>
        <w:rPr>
          <w:color w:val="auto"/>
          <w:highlight w:val="none"/>
        </w:rPr>
        <w:t>）近年完成的类似项目情况表</w:t>
      </w:r>
      <w:bookmarkEnd w:id="1456"/>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8"/>
        <w:gridCol w:w="6912"/>
      </w:tblGrid>
      <w:tr w14:paraId="5E6CE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2508" w:type="dxa"/>
            <w:noWrap w:val="0"/>
            <w:vAlign w:val="center"/>
          </w:tcPr>
          <w:p w14:paraId="764A298A">
            <w:pPr>
              <w:topLinePunct/>
              <w:adjustRightInd w:val="0"/>
              <w:snapToGrid w:val="0"/>
              <w:spacing w:line="560" w:lineRule="exact"/>
              <w:jc w:val="center"/>
              <w:rPr>
                <w:color w:val="auto"/>
                <w:szCs w:val="21"/>
                <w:highlight w:val="none"/>
              </w:rPr>
            </w:pPr>
            <w:r>
              <w:rPr>
                <w:color w:val="auto"/>
                <w:szCs w:val="21"/>
                <w:highlight w:val="none"/>
              </w:rPr>
              <w:t>项目名</w:t>
            </w:r>
            <w:bookmarkStart w:id="1457" w:name="_Toc26734"/>
            <w:bookmarkStart w:id="1458" w:name="_Toc324404890"/>
            <w:bookmarkStart w:id="1459" w:name="_Toc265953295"/>
            <w:bookmarkStart w:id="1460" w:name="_Toc296602619"/>
            <w:bookmarkStart w:id="1461" w:name="_Toc15058936"/>
            <w:bookmarkStart w:id="1462" w:name="_Toc247527849"/>
            <w:bookmarkStart w:id="1463" w:name="_Toc152045809"/>
            <w:bookmarkStart w:id="1464" w:name="_Toc144974877"/>
            <w:bookmarkStart w:id="1465" w:name="_Toc506107342"/>
            <w:bookmarkStart w:id="1466" w:name="_Toc247514301"/>
            <w:bookmarkStart w:id="1467" w:name="_Toc152042598"/>
            <w:bookmarkStart w:id="1468" w:name="_Toc60061576"/>
            <w:bookmarkStart w:id="1469" w:name="_Toc58229117"/>
            <w:r>
              <w:rPr>
                <w:color w:val="auto"/>
                <w:szCs w:val="21"/>
                <w:highlight w:val="none"/>
              </w:rPr>
              <w:t>称</w:t>
            </w:r>
          </w:p>
        </w:tc>
        <w:tc>
          <w:tcPr>
            <w:tcW w:w="6912" w:type="dxa"/>
            <w:noWrap w:val="0"/>
            <w:vAlign w:val="top"/>
          </w:tcPr>
          <w:p w14:paraId="4B3F66C8">
            <w:pPr>
              <w:topLinePunct/>
              <w:adjustRightInd w:val="0"/>
              <w:snapToGrid w:val="0"/>
              <w:spacing w:line="560" w:lineRule="exact"/>
              <w:rPr>
                <w:color w:val="auto"/>
                <w:szCs w:val="21"/>
                <w:highlight w:val="none"/>
              </w:rPr>
            </w:pPr>
          </w:p>
        </w:tc>
      </w:tr>
      <w:tr w14:paraId="140C3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2508" w:type="dxa"/>
            <w:noWrap w:val="0"/>
            <w:vAlign w:val="center"/>
          </w:tcPr>
          <w:p w14:paraId="4B1AE21D">
            <w:pPr>
              <w:topLinePunct/>
              <w:adjustRightInd w:val="0"/>
              <w:snapToGrid w:val="0"/>
              <w:spacing w:line="560" w:lineRule="exact"/>
              <w:jc w:val="center"/>
              <w:rPr>
                <w:color w:val="auto"/>
                <w:szCs w:val="21"/>
                <w:highlight w:val="none"/>
              </w:rPr>
            </w:pPr>
            <w:r>
              <w:rPr>
                <w:color w:val="auto"/>
                <w:szCs w:val="21"/>
                <w:highlight w:val="none"/>
              </w:rPr>
              <w:t>项目所在地</w:t>
            </w:r>
          </w:p>
          <w:bookmarkEnd w:id="1457"/>
          <w:bookmarkEnd w:id="1458"/>
          <w:bookmarkEnd w:id="1459"/>
          <w:bookmarkEnd w:id="1460"/>
          <w:bookmarkEnd w:id="1461"/>
          <w:bookmarkEnd w:id="1462"/>
          <w:bookmarkEnd w:id="1463"/>
          <w:bookmarkEnd w:id="1464"/>
          <w:bookmarkEnd w:id="1465"/>
          <w:bookmarkEnd w:id="1466"/>
          <w:bookmarkEnd w:id="1467"/>
        </w:tc>
        <w:tc>
          <w:tcPr>
            <w:tcW w:w="6912" w:type="dxa"/>
            <w:noWrap w:val="0"/>
            <w:vAlign w:val="top"/>
          </w:tcPr>
          <w:p w14:paraId="794B0B07">
            <w:pPr>
              <w:topLinePunct/>
              <w:adjustRightInd w:val="0"/>
              <w:snapToGrid w:val="0"/>
              <w:spacing w:line="560" w:lineRule="exact"/>
              <w:rPr>
                <w:color w:val="auto"/>
                <w:szCs w:val="21"/>
                <w:highlight w:val="none"/>
              </w:rPr>
            </w:pPr>
          </w:p>
        </w:tc>
      </w:tr>
      <w:tr w14:paraId="51DB1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2508" w:type="dxa"/>
            <w:noWrap w:val="0"/>
            <w:vAlign w:val="center"/>
          </w:tcPr>
          <w:p w14:paraId="1C917F89">
            <w:pPr>
              <w:topLinePunct/>
              <w:adjustRightInd w:val="0"/>
              <w:snapToGrid w:val="0"/>
              <w:spacing w:line="560" w:lineRule="exact"/>
              <w:jc w:val="center"/>
              <w:rPr>
                <w:color w:val="auto"/>
                <w:szCs w:val="21"/>
                <w:highlight w:val="none"/>
              </w:rPr>
            </w:pPr>
            <w:r>
              <w:rPr>
                <w:color w:val="auto"/>
                <w:szCs w:val="21"/>
                <w:highlight w:val="none"/>
              </w:rPr>
              <w:t>发包人名称</w:t>
            </w:r>
          </w:p>
          <w:bookmarkEnd w:id="1468"/>
          <w:bookmarkEnd w:id="1469"/>
        </w:tc>
        <w:tc>
          <w:tcPr>
            <w:tcW w:w="6912" w:type="dxa"/>
            <w:noWrap w:val="0"/>
            <w:vAlign w:val="top"/>
          </w:tcPr>
          <w:p w14:paraId="2BA32AB0">
            <w:pPr>
              <w:topLinePunct/>
              <w:adjustRightInd w:val="0"/>
              <w:snapToGrid w:val="0"/>
              <w:spacing w:line="560" w:lineRule="exact"/>
              <w:rPr>
                <w:color w:val="auto"/>
                <w:szCs w:val="21"/>
                <w:highlight w:val="none"/>
              </w:rPr>
            </w:pPr>
          </w:p>
        </w:tc>
        <w:bookmarkStart w:id="1470" w:name="_Toc58229118"/>
        <w:bookmarkStart w:id="1471" w:name="_Toc11124"/>
        <w:bookmarkStart w:id="1472" w:name="_Toc506107343"/>
        <w:bookmarkStart w:id="1473" w:name="_Toc296602620"/>
        <w:bookmarkStart w:id="1474" w:name="_Toc152042599"/>
        <w:bookmarkStart w:id="1475" w:name="_Toc60061577"/>
        <w:bookmarkStart w:id="1476" w:name="_Toc152045810"/>
        <w:bookmarkStart w:id="1477" w:name="_Toc265953296"/>
        <w:bookmarkStart w:id="1478" w:name="_Toc247527850"/>
        <w:bookmarkStart w:id="1479" w:name="_Toc324404891"/>
        <w:bookmarkStart w:id="1480" w:name="_Toc15058937"/>
        <w:bookmarkStart w:id="1481" w:name="_Toc144974878"/>
        <w:bookmarkStart w:id="1482" w:name="_Toc247514302"/>
      </w:tr>
      <w:tr w14:paraId="71A2B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508" w:type="dxa"/>
            <w:noWrap w:val="0"/>
            <w:vAlign w:val="center"/>
          </w:tcPr>
          <w:p w14:paraId="7B12612B">
            <w:pPr>
              <w:topLinePunct/>
              <w:adjustRightInd w:val="0"/>
              <w:snapToGrid w:val="0"/>
              <w:spacing w:line="560" w:lineRule="exact"/>
              <w:jc w:val="center"/>
              <w:rPr>
                <w:color w:val="auto"/>
                <w:szCs w:val="21"/>
                <w:highlight w:val="none"/>
              </w:rPr>
            </w:pPr>
            <w:r>
              <w:rPr>
                <w:color w:val="auto"/>
                <w:szCs w:val="21"/>
                <w:highlight w:val="none"/>
              </w:rPr>
              <w:t>发包人地址</w:t>
            </w:r>
          </w:p>
        </w:tc>
        <w:tc>
          <w:tcPr>
            <w:tcW w:w="6912" w:type="dxa"/>
            <w:noWrap w:val="0"/>
            <w:vAlign w:val="top"/>
          </w:tcPr>
          <w:p w14:paraId="52C31A85">
            <w:pPr>
              <w:topLinePunct/>
              <w:adjustRightInd w:val="0"/>
              <w:snapToGrid w:val="0"/>
              <w:spacing w:line="560" w:lineRule="exact"/>
              <w:rPr>
                <w:color w:val="auto"/>
                <w:szCs w:val="21"/>
                <w:highlight w:val="none"/>
              </w:rPr>
            </w:pPr>
          </w:p>
        </w:tc>
      </w:tr>
      <w:tr w14:paraId="7D55D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2508" w:type="dxa"/>
            <w:noWrap w:val="0"/>
            <w:vAlign w:val="center"/>
          </w:tcPr>
          <w:p w14:paraId="28001A82">
            <w:pPr>
              <w:topLinePunct/>
              <w:adjustRightInd w:val="0"/>
              <w:snapToGrid w:val="0"/>
              <w:spacing w:line="560" w:lineRule="exact"/>
              <w:jc w:val="center"/>
              <w:rPr>
                <w:color w:val="auto"/>
                <w:szCs w:val="21"/>
                <w:highlight w:val="none"/>
              </w:rPr>
            </w:pPr>
            <w:r>
              <w:rPr>
                <w:color w:val="auto"/>
                <w:szCs w:val="21"/>
                <w:highlight w:val="none"/>
              </w:rPr>
              <w:t>发包人电话</w:t>
            </w:r>
          </w:p>
          <w:bookmarkEnd w:id="1470"/>
          <w:bookmarkEnd w:id="1471"/>
          <w:bookmarkEnd w:id="1472"/>
          <w:bookmarkEnd w:id="1473"/>
          <w:bookmarkEnd w:id="1474"/>
          <w:bookmarkEnd w:id="1475"/>
          <w:bookmarkEnd w:id="1476"/>
          <w:bookmarkEnd w:id="1477"/>
          <w:bookmarkEnd w:id="1478"/>
          <w:bookmarkEnd w:id="1479"/>
          <w:bookmarkEnd w:id="1480"/>
          <w:bookmarkEnd w:id="1481"/>
          <w:bookmarkEnd w:id="1482"/>
        </w:tc>
        <w:tc>
          <w:tcPr>
            <w:tcW w:w="6912" w:type="dxa"/>
            <w:noWrap w:val="0"/>
            <w:vAlign w:val="top"/>
          </w:tcPr>
          <w:p w14:paraId="4CEA30BB">
            <w:pPr>
              <w:topLinePunct/>
              <w:adjustRightInd w:val="0"/>
              <w:snapToGrid w:val="0"/>
              <w:spacing w:line="560" w:lineRule="exact"/>
              <w:rPr>
                <w:color w:val="auto"/>
                <w:szCs w:val="21"/>
                <w:highlight w:val="none"/>
              </w:rPr>
            </w:pPr>
          </w:p>
        </w:tc>
      </w:tr>
      <w:tr w14:paraId="01E5B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2508" w:type="dxa"/>
            <w:noWrap w:val="0"/>
            <w:vAlign w:val="center"/>
          </w:tcPr>
          <w:p w14:paraId="41446C4E">
            <w:pPr>
              <w:topLinePunct/>
              <w:adjustRightInd w:val="0"/>
              <w:snapToGrid w:val="0"/>
              <w:spacing w:line="560" w:lineRule="exact"/>
              <w:jc w:val="center"/>
              <w:rPr>
                <w:color w:val="auto"/>
                <w:szCs w:val="21"/>
                <w:highlight w:val="none"/>
              </w:rPr>
            </w:pPr>
            <w:r>
              <w:rPr>
                <w:color w:val="auto"/>
                <w:szCs w:val="21"/>
                <w:highlight w:val="none"/>
              </w:rPr>
              <w:t>合同价格</w:t>
            </w:r>
          </w:p>
        </w:tc>
        <w:tc>
          <w:tcPr>
            <w:tcW w:w="6912" w:type="dxa"/>
            <w:noWrap w:val="0"/>
            <w:vAlign w:val="top"/>
          </w:tcPr>
          <w:p w14:paraId="554FF648">
            <w:pPr>
              <w:topLinePunct/>
              <w:adjustRightInd w:val="0"/>
              <w:snapToGrid w:val="0"/>
              <w:spacing w:line="560" w:lineRule="exact"/>
              <w:rPr>
                <w:color w:val="auto"/>
                <w:szCs w:val="21"/>
                <w:highlight w:val="none"/>
              </w:rPr>
            </w:pPr>
          </w:p>
        </w:tc>
      </w:tr>
      <w:tr w14:paraId="5474B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2508" w:type="dxa"/>
            <w:noWrap w:val="0"/>
            <w:vAlign w:val="center"/>
          </w:tcPr>
          <w:p w14:paraId="307B52AE">
            <w:pPr>
              <w:topLinePunct/>
              <w:adjustRightInd w:val="0"/>
              <w:snapToGrid w:val="0"/>
              <w:spacing w:line="560" w:lineRule="exact"/>
              <w:jc w:val="center"/>
              <w:rPr>
                <w:color w:val="auto"/>
                <w:szCs w:val="21"/>
                <w:highlight w:val="none"/>
              </w:rPr>
            </w:pPr>
            <w:r>
              <w:rPr>
                <w:color w:val="auto"/>
                <w:szCs w:val="21"/>
                <w:highlight w:val="none"/>
              </w:rPr>
              <w:t>开工日期</w:t>
            </w:r>
          </w:p>
        </w:tc>
        <w:tc>
          <w:tcPr>
            <w:tcW w:w="6912" w:type="dxa"/>
            <w:noWrap w:val="0"/>
            <w:vAlign w:val="top"/>
          </w:tcPr>
          <w:p w14:paraId="093062BE">
            <w:pPr>
              <w:topLinePunct/>
              <w:adjustRightInd w:val="0"/>
              <w:snapToGrid w:val="0"/>
              <w:spacing w:line="560" w:lineRule="exact"/>
              <w:rPr>
                <w:color w:val="auto"/>
                <w:szCs w:val="21"/>
                <w:highlight w:val="none"/>
              </w:rPr>
            </w:pPr>
          </w:p>
        </w:tc>
      </w:tr>
      <w:tr w14:paraId="088FE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2508" w:type="dxa"/>
            <w:noWrap w:val="0"/>
            <w:vAlign w:val="center"/>
          </w:tcPr>
          <w:p w14:paraId="675E6AC8">
            <w:pPr>
              <w:topLinePunct/>
              <w:adjustRightInd w:val="0"/>
              <w:snapToGrid w:val="0"/>
              <w:spacing w:line="560" w:lineRule="exact"/>
              <w:jc w:val="center"/>
              <w:rPr>
                <w:color w:val="auto"/>
                <w:szCs w:val="21"/>
                <w:highlight w:val="none"/>
              </w:rPr>
            </w:pPr>
            <w:r>
              <w:rPr>
                <w:rFonts w:hint="eastAsia"/>
                <w:color w:val="auto"/>
                <w:highlight w:val="none"/>
              </w:rPr>
              <w:t>竣工</w:t>
            </w:r>
            <w:r>
              <w:rPr>
                <w:color w:val="auto"/>
                <w:szCs w:val="21"/>
                <w:highlight w:val="none"/>
              </w:rPr>
              <w:t>日期</w:t>
            </w:r>
          </w:p>
        </w:tc>
        <w:tc>
          <w:tcPr>
            <w:tcW w:w="6912" w:type="dxa"/>
            <w:noWrap w:val="0"/>
            <w:vAlign w:val="top"/>
          </w:tcPr>
          <w:p w14:paraId="1DBA43EA">
            <w:pPr>
              <w:topLinePunct/>
              <w:adjustRightInd w:val="0"/>
              <w:snapToGrid w:val="0"/>
              <w:spacing w:line="560" w:lineRule="exact"/>
              <w:rPr>
                <w:color w:val="auto"/>
                <w:szCs w:val="21"/>
                <w:highlight w:val="none"/>
              </w:rPr>
            </w:pPr>
          </w:p>
        </w:tc>
      </w:tr>
      <w:tr w14:paraId="35DA2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2508" w:type="dxa"/>
            <w:noWrap w:val="0"/>
            <w:vAlign w:val="center"/>
          </w:tcPr>
          <w:p w14:paraId="5DA6BD00">
            <w:pPr>
              <w:topLinePunct/>
              <w:adjustRightInd w:val="0"/>
              <w:snapToGrid w:val="0"/>
              <w:spacing w:line="560" w:lineRule="exact"/>
              <w:jc w:val="center"/>
              <w:rPr>
                <w:color w:val="auto"/>
                <w:szCs w:val="21"/>
                <w:highlight w:val="none"/>
              </w:rPr>
            </w:pPr>
            <w:r>
              <w:rPr>
                <w:color w:val="auto"/>
                <w:szCs w:val="21"/>
                <w:highlight w:val="none"/>
              </w:rPr>
              <w:t>承担的工作</w:t>
            </w:r>
          </w:p>
        </w:tc>
        <w:tc>
          <w:tcPr>
            <w:tcW w:w="6912" w:type="dxa"/>
            <w:noWrap w:val="0"/>
            <w:vAlign w:val="top"/>
          </w:tcPr>
          <w:p w14:paraId="62DD73A5">
            <w:pPr>
              <w:topLinePunct/>
              <w:adjustRightInd w:val="0"/>
              <w:snapToGrid w:val="0"/>
              <w:spacing w:line="560" w:lineRule="exact"/>
              <w:rPr>
                <w:color w:val="auto"/>
                <w:szCs w:val="21"/>
                <w:highlight w:val="none"/>
              </w:rPr>
            </w:pPr>
          </w:p>
        </w:tc>
      </w:tr>
      <w:tr w14:paraId="2596E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2508" w:type="dxa"/>
            <w:noWrap w:val="0"/>
            <w:vAlign w:val="center"/>
          </w:tcPr>
          <w:p w14:paraId="7F41326B">
            <w:pPr>
              <w:topLinePunct/>
              <w:adjustRightInd w:val="0"/>
              <w:snapToGrid w:val="0"/>
              <w:spacing w:line="560" w:lineRule="exact"/>
              <w:jc w:val="center"/>
              <w:rPr>
                <w:color w:val="auto"/>
                <w:szCs w:val="21"/>
                <w:highlight w:val="none"/>
              </w:rPr>
            </w:pPr>
            <w:r>
              <w:rPr>
                <w:color w:val="auto"/>
                <w:szCs w:val="21"/>
                <w:highlight w:val="none"/>
              </w:rPr>
              <w:t>工程质量</w:t>
            </w:r>
          </w:p>
        </w:tc>
        <w:tc>
          <w:tcPr>
            <w:tcW w:w="6912" w:type="dxa"/>
            <w:noWrap w:val="0"/>
            <w:vAlign w:val="top"/>
          </w:tcPr>
          <w:p w14:paraId="6F8F82B8">
            <w:pPr>
              <w:topLinePunct/>
              <w:adjustRightInd w:val="0"/>
              <w:snapToGrid w:val="0"/>
              <w:spacing w:line="560" w:lineRule="exact"/>
              <w:rPr>
                <w:color w:val="auto"/>
                <w:szCs w:val="21"/>
                <w:highlight w:val="none"/>
              </w:rPr>
            </w:pPr>
          </w:p>
        </w:tc>
      </w:tr>
      <w:tr w14:paraId="01FFC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2508" w:type="dxa"/>
            <w:noWrap w:val="0"/>
            <w:vAlign w:val="center"/>
          </w:tcPr>
          <w:p w14:paraId="343C969C">
            <w:pPr>
              <w:topLinePunct/>
              <w:adjustRightInd w:val="0"/>
              <w:snapToGrid w:val="0"/>
              <w:spacing w:line="560" w:lineRule="exact"/>
              <w:jc w:val="center"/>
              <w:rPr>
                <w:color w:val="auto"/>
                <w:szCs w:val="21"/>
                <w:highlight w:val="none"/>
              </w:rPr>
            </w:pPr>
            <w:r>
              <w:rPr>
                <w:color w:val="auto"/>
                <w:szCs w:val="21"/>
                <w:highlight w:val="none"/>
              </w:rPr>
              <w:t>项目经理（建造师）</w:t>
            </w:r>
          </w:p>
        </w:tc>
        <w:tc>
          <w:tcPr>
            <w:tcW w:w="6912" w:type="dxa"/>
            <w:noWrap w:val="0"/>
            <w:vAlign w:val="top"/>
          </w:tcPr>
          <w:p w14:paraId="752FBB38">
            <w:pPr>
              <w:topLinePunct/>
              <w:adjustRightInd w:val="0"/>
              <w:snapToGrid w:val="0"/>
              <w:spacing w:line="560" w:lineRule="exact"/>
              <w:rPr>
                <w:color w:val="auto"/>
                <w:szCs w:val="21"/>
                <w:highlight w:val="none"/>
              </w:rPr>
            </w:pPr>
          </w:p>
        </w:tc>
      </w:tr>
      <w:tr w14:paraId="4A74B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2508" w:type="dxa"/>
            <w:noWrap w:val="0"/>
            <w:vAlign w:val="center"/>
          </w:tcPr>
          <w:p w14:paraId="1B679034">
            <w:pPr>
              <w:topLinePunct/>
              <w:adjustRightInd w:val="0"/>
              <w:snapToGrid w:val="0"/>
              <w:spacing w:line="560" w:lineRule="exact"/>
              <w:jc w:val="center"/>
              <w:rPr>
                <w:color w:val="auto"/>
                <w:szCs w:val="21"/>
                <w:highlight w:val="none"/>
              </w:rPr>
            </w:pPr>
            <w:r>
              <w:rPr>
                <w:color w:val="auto"/>
                <w:szCs w:val="21"/>
                <w:highlight w:val="none"/>
              </w:rPr>
              <w:t>技术负责人</w:t>
            </w:r>
          </w:p>
        </w:tc>
        <w:tc>
          <w:tcPr>
            <w:tcW w:w="6912" w:type="dxa"/>
            <w:noWrap w:val="0"/>
            <w:vAlign w:val="top"/>
          </w:tcPr>
          <w:p w14:paraId="7A448694">
            <w:pPr>
              <w:topLinePunct/>
              <w:adjustRightInd w:val="0"/>
              <w:snapToGrid w:val="0"/>
              <w:spacing w:line="560" w:lineRule="exact"/>
              <w:rPr>
                <w:color w:val="auto"/>
                <w:szCs w:val="21"/>
                <w:highlight w:val="none"/>
              </w:rPr>
            </w:pPr>
          </w:p>
        </w:tc>
      </w:tr>
      <w:tr w14:paraId="3C99F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2508" w:type="dxa"/>
            <w:noWrap w:val="0"/>
            <w:vAlign w:val="center"/>
          </w:tcPr>
          <w:p w14:paraId="66D31530">
            <w:pPr>
              <w:topLinePunct/>
              <w:adjustRightInd w:val="0"/>
              <w:snapToGrid w:val="0"/>
              <w:spacing w:line="560" w:lineRule="exact"/>
              <w:jc w:val="center"/>
              <w:rPr>
                <w:color w:val="auto"/>
                <w:szCs w:val="21"/>
                <w:highlight w:val="none"/>
              </w:rPr>
            </w:pPr>
            <w:r>
              <w:rPr>
                <w:color w:val="auto"/>
                <w:szCs w:val="21"/>
                <w:highlight w:val="none"/>
              </w:rPr>
              <w:t>项目描述</w:t>
            </w:r>
          </w:p>
        </w:tc>
        <w:tc>
          <w:tcPr>
            <w:tcW w:w="6912" w:type="dxa"/>
            <w:noWrap w:val="0"/>
            <w:vAlign w:val="top"/>
          </w:tcPr>
          <w:p w14:paraId="72C209B3">
            <w:pPr>
              <w:topLinePunct/>
              <w:adjustRightInd w:val="0"/>
              <w:snapToGrid w:val="0"/>
              <w:spacing w:line="560" w:lineRule="exact"/>
              <w:rPr>
                <w:color w:val="auto"/>
                <w:szCs w:val="21"/>
                <w:highlight w:val="none"/>
              </w:rPr>
            </w:pPr>
          </w:p>
          <w:p w14:paraId="4751FB51">
            <w:pPr>
              <w:topLinePunct/>
              <w:adjustRightInd w:val="0"/>
              <w:snapToGrid w:val="0"/>
              <w:spacing w:line="560" w:lineRule="exact"/>
              <w:rPr>
                <w:color w:val="auto"/>
                <w:szCs w:val="21"/>
                <w:highlight w:val="none"/>
              </w:rPr>
            </w:pPr>
          </w:p>
          <w:p w14:paraId="2E586CC8">
            <w:pPr>
              <w:topLinePunct/>
              <w:adjustRightInd w:val="0"/>
              <w:snapToGrid w:val="0"/>
              <w:spacing w:line="560" w:lineRule="exact"/>
              <w:rPr>
                <w:rFonts w:hint="eastAsia"/>
                <w:color w:val="auto"/>
                <w:szCs w:val="21"/>
                <w:highlight w:val="none"/>
              </w:rPr>
            </w:pPr>
          </w:p>
        </w:tc>
      </w:tr>
      <w:tr w14:paraId="755FF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2508" w:type="dxa"/>
            <w:noWrap w:val="0"/>
            <w:vAlign w:val="center"/>
          </w:tcPr>
          <w:p w14:paraId="4AF5EB9F">
            <w:pPr>
              <w:topLinePunct/>
              <w:adjustRightInd w:val="0"/>
              <w:snapToGrid w:val="0"/>
              <w:spacing w:line="560" w:lineRule="exact"/>
              <w:jc w:val="center"/>
              <w:rPr>
                <w:color w:val="auto"/>
                <w:szCs w:val="21"/>
                <w:highlight w:val="none"/>
              </w:rPr>
            </w:pPr>
            <w:r>
              <w:rPr>
                <w:color w:val="auto"/>
                <w:szCs w:val="21"/>
                <w:highlight w:val="none"/>
              </w:rPr>
              <w:t>备注</w:t>
            </w:r>
          </w:p>
        </w:tc>
        <w:tc>
          <w:tcPr>
            <w:tcW w:w="6912" w:type="dxa"/>
            <w:noWrap w:val="0"/>
            <w:vAlign w:val="top"/>
          </w:tcPr>
          <w:p w14:paraId="3F6FC1EB">
            <w:pPr>
              <w:topLinePunct/>
              <w:adjustRightInd w:val="0"/>
              <w:snapToGrid w:val="0"/>
              <w:spacing w:line="560" w:lineRule="exact"/>
              <w:rPr>
                <w:color w:val="auto"/>
                <w:szCs w:val="21"/>
                <w:highlight w:val="none"/>
              </w:rPr>
            </w:pPr>
          </w:p>
        </w:tc>
      </w:tr>
    </w:tbl>
    <w:p w14:paraId="062939EB">
      <w:pPr>
        <w:pStyle w:val="4"/>
        <w:adjustRightInd w:val="0"/>
        <w:snapToGrid w:val="0"/>
        <w:spacing w:before="0" w:after="0" w:line="560" w:lineRule="exact"/>
        <w:jc w:val="center"/>
        <w:rPr>
          <w:color w:val="auto"/>
          <w:highlight w:val="none"/>
        </w:rPr>
      </w:pPr>
      <w:bookmarkStart w:id="1483" w:name="_Toc95223536"/>
      <w:r>
        <w:rPr>
          <w:color w:val="auto"/>
          <w:highlight w:val="none"/>
        </w:rPr>
        <w:t>（</w:t>
      </w:r>
      <w:r>
        <w:rPr>
          <w:rFonts w:hint="eastAsia"/>
          <w:color w:val="auto"/>
          <w:highlight w:val="none"/>
        </w:rPr>
        <w:t>4</w:t>
      </w:r>
      <w:r>
        <w:rPr>
          <w:color w:val="auto"/>
          <w:highlight w:val="none"/>
        </w:rPr>
        <w:t>）正在</w:t>
      </w:r>
      <w:r>
        <w:rPr>
          <w:rFonts w:hint="eastAsia"/>
          <w:color w:val="auto"/>
          <w:highlight w:val="none"/>
        </w:rPr>
        <w:t>实施</w:t>
      </w:r>
      <w:r>
        <w:rPr>
          <w:color w:val="auto"/>
          <w:highlight w:val="none"/>
        </w:rPr>
        <w:t>的和新承接的项目情况表</w:t>
      </w:r>
      <w:bookmarkEnd w:id="1483"/>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2"/>
        <w:gridCol w:w="7408"/>
      </w:tblGrid>
      <w:tr w14:paraId="02C1B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2452" w:type="dxa"/>
            <w:noWrap w:val="0"/>
            <w:vAlign w:val="center"/>
          </w:tcPr>
          <w:p w14:paraId="79503283">
            <w:pPr>
              <w:topLinePunct/>
              <w:adjustRightInd w:val="0"/>
              <w:snapToGrid w:val="0"/>
              <w:spacing w:line="560" w:lineRule="exact"/>
              <w:jc w:val="center"/>
              <w:rPr>
                <w:color w:val="auto"/>
                <w:szCs w:val="21"/>
                <w:highlight w:val="none"/>
              </w:rPr>
            </w:pPr>
            <w:r>
              <w:rPr>
                <w:color w:val="auto"/>
                <w:szCs w:val="21"/>
                <w:highlight w:val="none"/>
              </w:rPr>
              <w:t>项目名称</w:t>
            </w:r>
          </w:p>
        </w:tc>
        <w:tc>
          <w:tcPr>
            <w:tcW w:w="7408" w:type="dxa"/>
            <w:noWrap w:val="0"/>
            <w:vAlign w:val="top"/>
          </w:tcPr>
          <w:p w14:paraId="213FD558">
            <w:pPr>
              <w:topLinePunct/>
              <w:adjustRightInd w:val="0"/>
              <w:snapToGrid w:val="0"/>
              <w:spacing w:line="560" w:lineRule="exact"/>
              <w:rPr>
                <w:color w:val="auto"/>
                <w:szCs w:val="21"/>
                <w:highlight w:val="none"/>
              </w:rPr>
            </w:pPr>
          </w:p>
        </w:tc>
      </w:tr>
      <w:tr w14:paraId="29894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2452" w:type="dxa"/>
            <w:noWrap w:val="0"/>
            <w:vAlign w:val="center"/>
          </w:tcPr>
          <w:p w14:paraId="04985E18">
            <w:pPr>
              <w:topLinePunct/>
              <w:adjustRightInd w:val="0"/>
              <w:snapToGrid w:val="0"/>
              <w:spacing w:line="560" w:lineRule="exact"/>
              <w:jc w:val="center"/>
              <w:rPr>
                <w:color w:val="auto"/>
                <w:szCs w:val="21"/>
                <w:highlight w:val="none"/>
              </w:rPr>
            </w:pPr>
            <w:r>
              <w:rPr>
                <w:color w:val="auto"/>
                <w:szCs w:val="21"/>
                <w:highlight w:val="none"/>
              </w:rPr>
              <w:t>项目所在地</w:t>
            </w:r>
          </w:p>
        </w:tc>
        <w:tc>
          <w:tcPr>
            <w:tcW w:w="7408" w:type="dxa"/>
            <w:noWrap w:val="0"/>
            <w:vAlign w:val="top"/>
          </w:tcPr>
          <w:p w14:paraId="04A97A43">
            <w:pPr>
              <w:topLinePunct/>
              <w:adjustRightInd w:val="0"/>
              <w:snapToGrid w:val="0"/>
              <w:spacing w:line="560" w:lineRule="exact"/>
              <w:rPr>
                <w:color w:val="auto"/>
                <w:szCs w:val="21"/>
                <w:highlight w:val="none"/>
              </w:rPr>
            </w:pPr>
          </w:p>
        </w:tc>
      </w:tr>
      <w:tr w14:paraId="05C6C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2452" w:type="dxa"/>
            <w:noWrap w:val="0"/>
            <w:vAlign w:val="center"/>
          </w:tcPr>
          <w:p w14:paraId="25A348B3">
            <w:pPr>
              <w:topLinePunct/>
              <w:adjustRightInd w:val="0"/>
              <w:snapToGrid w:val="0"/>
              <w:spacing w:line="560" w:lineRule="exact"/>
              <w:jc w:val="center"/>
              <w:rPr>
                <w:color w:val="auto"/>
                <w:szCs w:val="21"/>
                <w:highlight w:val="none"/>
              </w:rPr>
            </w:pPr>
            <w:r>
              <w:rPr>
                <w:color w:val="auto"/>
                <w:szCs w:val="21"/>
                <w:highlight w:val="none"/>
              </w:rPr>
              <w:t>发包人名</w:t>
            </w:r>
            <w:bookmarkStart w:id="1484" w:name="_Toc58229119"/>
            <w:bookmarkStart w:id="1485" w:name="_Toc152045811"/>
            <w:bookmarkStart w:id="1486" w:name="_Toc265953297"/>
            <w:bookmarkStart w:id="1487" w:name="_Toc30815"/>
            <w:bookmarkStart w:id="1488" w:name="_Toc296602621"/>
            <w:bookmarkStart w:id="1489" w:name="_Toc60061578"/>
            <w:bookmarkStart w:id="1490" w:name="_Toc15058938"/>
            <w:bookmarkStart w:id="1491" w:name="_Toc324404892"/>
            <w:bookmarkStart w:id="1492" w:name="_Toc247527851"/>
            <w:bookmarkStart w:id="1493" w:name="_Toc247514303"/>
            <w:bookmarkStart w:id="1494" w:name="_Toc506107344"/>
            <w:bookmarkStart w:id="1495" w:name="_Toc144974879"/>
            <w:bookmarkStart w:id="1496" w:name="_Toc152042600"/>
            <w:r>
              <w:rPr>
                <w:color w:val="auto"/>
                <w:szCs w:val="21"/>
                <w:highlight w:val="none"/>
              </w:rPr>
              <w:t>称</w:t>
            </w:r>
          </w:p>
        </w:tc>
        <w:tc>
          <w:tcPr>
            <w:tcW w:w="7408" w:type="dxa"/>
            <w:noWrap w:val="0"/>
            <w:vAlign w:val="top"/>
          </w:tcPr>
          <w:p w14:paraId="67FCB86E">
            <w:pPr>
              <w:topLinePunct/>
              <w:adjustRightInd w:val="0"/>
              <w:snapToGrid w:val="0"/>
              <w:spacing w:line="560" w:lineRule="exact"/>
              <w:rPr>
                <w:color w:val="auto"/>
                <w:szCs w:val="21"/>
                <w:highlight w:val="none"/>
              </w:rPr>
            </w:pPr>
          </w:p>
        </w:tc>
      </w:tr>
      <w:tr w14:paraId="787E0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2452" w:type="dxa"/>
            <w:noWrap w:val="0"/>
            <w:vAlign w:val="center"/>
          </w:tcPr>
          <w:p w14:paraId="66843495">
            <w:pPr>
              <w:topLinePunct/>
              <w:adjustRightInd w:val="0"/>
              <w:snapToGrid w:val="0"/>
              <w:spacing w:line="560" w:lineRule="exact"/>
              <w:jc w:val="center"/>
              <w:rPr>
                <w:color w:val="auto"/>
                <w:szCs w:val="21"/>
                <w:highlight w:val="none"/>
              </w:rPr>
            </w:pPr>
            <w:r>
              <w:rPr>
                <w:color w:val="auto"/>
                <w:szCs w:val="21"/>
                <w:highlight w:val="none"/>
              </w:rPr>
              <w:t>发包人地址</w:t>
            </w:r>
          </w:p>
        </w:tc>
        <w:tc>
          <w:tcPr>
            <w:tcW w:w="7408" w:type="dxa"/>
            <w:noWrap w:val="0"/>
            <w:vAlign w:val="top"/>
          </w:tcPr>
          <w:p w14:paraId="1F111D4A">
            <w:pPr>
              <w:topLinePunct/>
              <w:adjustRightInd w:val="0"/>
              <w:snapToGrid w:val="0"/>
              <w:spacing w:line="560" w:lineRule="exact"/>
              <w:rPr>
                <w:color w:val="auto"/>
                <w:szCs w:val="21"/>
                <w:highlight w:val="none"/>
              </w:rPr>
            </w:pPr>
          </w:p>
        </w:tc>
      </w:tr>
      <w:tr w14:paraId="3AE3F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2452" w:type="dxa"/>
            <w:noWrap w:val="0"/>
            <w:vAlign w:val="center"/>
          </w:tcPr>
          <w:p w14:paraId="33EBFE07">
            <w:pPr>
              <w:topLinePunct/>
              <w:adjustRightInd w:val="0"/>
              <w:snapToGrid w:val="0"/>
              <w:spacing w:line="560" w:lineRule="exact"/>
              <w:jc w:val="center"/>
              <w:rPr>
                <w:color w:val="auto"/>
                <w:szCs w:val="21"/>
                <w:highlight w:val="none"/>
              </w:rPr>
            </w:pPr>
            <w:r>
              <w:rPr>
                <w:color w:val="auto"/>
                <w:szCs w:val="21"/>
                <w:highlight w:val="none"/>
              </w:rPr>
              <w:t>发包人电话</w:t>
            </w:r>
          </w:p>
          <w:bookmarkEnd w:id="1484"/>
          <w:bookmarkEnd w:id="1485"/>
          <w:bookmarkEnd w:id="1486"/>
          <w:bookmarkEnd w:id="1487"/>
          <w:bookmarkEnd w:id="1488"/>
          <w:bookmarkEnd w:id="1489"/>
          <w:bookmarkEnd w:id="1490"/>
          <w:bookmarkEnd w:id="1491"/>
          <w:bookmarkEnd w:id="1492"/>
          <w:bookmarkEnd w:id="1493"/>
          <w:bookmarkEnd w:id="1494"/>
          <w:bookmarkEnd w:id="1495"/>
          <w:bookmarkEnd w:id="1496"/>
        </w:tc>
        <w:tc>
          <w:tcPr>
            <w:tcW w:w="7408" w:type="dxa"/>
            <w:noWrap w:val="0"/>
            <w:vAlign w:val="top"/>
          </w:tcPr>
          <w:p w14:paraId="7674C9E5">
            <w:pPr>
              <w:topLinePunct/>
              <w:adjustRightInd w:val="0"/>
              <w:snapToGrid w:val="0"/>
              <w:spacing w:line="560" w:lineRule="exact"/>
              <w:rPr>
                <w:color w:val="auto"/>
                <w:szCs w:val="21"/>
                <w:highlight w:val="none"/>
              </w:rPr>
            </w:pPr>
          </w:p>
        </w:tc>
      </w:tr>
      <w:tr w14:paraId="48290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452" w:type="dxa"/>
            <w:noWrap w:val="0"/>
            <w:vAlign w:val="center"/>
          </w:tcPr>
          <w:p w14:paraId="155CA129">
            <w:pPr>
              <w:topLinePunct/>
              <w:adjustRightInd w:val="0"/>
              <w:snapToGrid w:val="0"/>
              <w:spacing w:line="560" w:lineRule="exact"/>
              <w:jc w:val="center"/>
              <w:rPr>
                <w:color w:val="auto"/>
                <w:szCs w:val="21"/>
                <w:highlight w:val="none"/>
              </w:rPr>
            </w:pPr>
            <w:r>
              <w:rPr>
                <w:color w:val="auto"/>
                <w:szCs w:val="21"/>
                <w:highlight w:val="none"/>
              </w:rPr>
              <w:t>签约合同价</w:t>
            </w:r>
          </w:p>
        </w:tc>
        <w:tc>
          <w:tcPr>
            <w:tcW w:w="7408" w:type="dxa"/>
            <w:noWrap w:val="0"/>
            <w:vAlign w:val="top"/>
          </w:tcPr>
          <w:p w14:paraId="50F643EE">
            <w:pPr>
              <w:topLinePunct/>
              <w:adjustRightInd w:val="0"/>
              <w:snapToGrid w:val="0"/>
              <w:spacing w:line="560" w:lineRule="exact"/>
              <w:rPr>
                <w:color w:val="auto"/>
                <w:szCs w:val="21"/>
                <w:highlight w:val="none"/>
              </w:rPr>
            </w:pPr>
          </w:p>
        </w:tc>
      </w:tr>
      <w:tr w14:paraId="56B3E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2452" w:type="dxa"/>
            <w:noWrap w:val="0"/>
            <w:vAlign w:val="center"/>
          </w:tcPr>
          <w:p w14:paraId="64B415B6">
            <w:pPr>
              <w:topLinePunct/>
              <w:adjustRightInd w:val="0"/>
              <w:snapToGrid w:val="0"/>
              <w:spacing w:line="560" w:lineRule="exact"/>
              <w:jc w:val="center"/>
              <w:rPr>
                <w:color w:val="auto"/>
                <w:szCs w:val="21"/>
                <w:highlight w:val="none"/>
              </w:rPr>
            </w:pPr>
            <w:r>
              <w:rPr>
                <w:color w:val="auto"/>
                <w:szCs w:val="21"/>
                <w:highlight w:val="none"/>
              </w:rPr>
              <w:t>开工日期</w:t>
            </w:r>
          </w:p>
        </w:tc>
        <w:tc>
          <w:tcPr>
            <w:tcW w:w="7408" w:type="dxa"/>
            <w:noWrap w:val="0"/>
            <w:vAlign w:val="top"/>
          </w:tcPr>
          <w:p w14:paraId="45BAB922">
            <w:pPr>
              <w:topLinePunct/>
              <w:adjustRightInd w:val="0"/>
              <w:snapToGrid w:val="0"/>
              <w:spacing w:line="560" w:lineRule="exact"/>
              <w:rPr>
                <w:color w:val="auto"/>
                <w:szCs w:val="21"/>
                <w:highlight w:val="none"/>
              </w:rPr>
            </w:pPr>
          </w:p>
        </w:tc>
      </w:tr>
      <w:tr w14:paraId="4BCE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2452" w:type="dxa"/>
            <w:noWrap w:val="0"/>
            <w:vAlign w:val="center"/>
          </w:tcPr>
          <w:p w14:paraId="5D0218ED">
            <w:pPr>
              <w:topLinePunct/>
              <w:adjustRightInd w:val="0"/>
              <w:snapToGrid w:val="0"/>
              <w:spacing w:line="560" w:lineRule="exact"/>
              <w:jc w:val="center"/>
              <w:rPr>
                <w:color w:val="auto"/>
                <w:szCs w:val="21"/>
                <w:highlight w:val="none"/>
              </w:rPr>
            </w:pPr>
            <w:r>
              <w:rPr>
                <w:color w:val="auto"/>
                <w:szCs w:val="21"/>
                <w:highlight w:val="none"/>
              </w:rPr>
              <w:t>计划</w:t>
            </w:r>
            <w:r>
              <w:rPr>
                <w:rFonts w:hint="eastAsia"/>
                <w:color w:val="auto"/>
                <w:highlight w:val="none"/>
              </w:rPr>
              <w:t>竣工</w:t>
            </w:r>
            <w:r>
              <w:rPr>
                <w:color w:val="auto"/>
                <w:szCs w:val="21"/>
                <w:highlight w:val="none"/>
              </w:rPr>
              <w:t>日期</w:t>
            </w:r>
          </w:p>
        </w:tc>
        <w:tc>
          <w:tcPr>
            <w:tcW w:w="7408" w:type="dxa"/>
            <w:noWrap w:val="0"/>
            <w:vAlign w:val="top"/>
          </w:tcPr>
          <w:p w14:paraId="5E34313C">
            <w:pPr>
              <w:topLinePunct/>
              <w:adjustRightInd w:val="0"/>
              <w:snapToGrid w:val="0"/>
              <w:spacing w:line="560" w:lineRule="exact"/>
              <w:rPr>
                <w:color w:val="auto"/>
                <w:szCs w:val="21"/>
                <w:highlight w:val="none"/>
              </w:rPr>
            </w:pPr>
          </w:p>
        </w:tc>
      </w:tr>
      <w:tr w14:paraId="52527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2452" w:type="dxa"/>
            <w:noWrap w:val="0"/>
            <w:vAlign w:val="center"/>
          </w:tcPr>
          <w:p w14:paraId="6A110CA1">
            <w:pPr>
              <w:topLinePunct/>
              <w:adjustRightInd w:val="0"/>
              <w:snapToGrid w:val="0"/>
              <w:spacing w:line="560" w:lineRule="exact"/>
              <w:jc w:val="center"/>
              <w:rPr>
                <w:color w:val="auto"/>
                <w:szCs w:val="21"/>
                <w:highlight w:val="none"/>
              </w:rPr>
            </w:pPr>
            <w:r>
              <w:rPr>
                <w:color w:val="auto"/>
                <w:szCs w:val="21"/>
                <w:highlight w:val="none"/>
              </w:rPr>
              <w:t>承担的工作</w:t>
            </w:r>
          </w:p>
        </w:tc>
        <w:tc>
          <w:tcPr>
            <w:tcW w:w="7408" w:type="dxa"/>
            <w:noWrap w:val="0"/>
            <w:vAlign w:val="top"/>
          </w:tcPr>
          <w:p w14:paraId="3465C5C2">
            <w:pPr>
              <w:topLinePunct/>
              <w:adjustRightInd w:val="0"/>
              <w:snapToGrid w:val="0"/>
              <w:spacing w:line="560" w:lineRule="exact"/>
              <w:rPr>
                <w:color w:val="auto"/>
                <w:szCs w:val="21"/>
                <w:highlight w:val="none"/>
              </w:rPr>
            </w:pPr>
          </w:p>
        </w:tc>
      </w:tr>
      <w:tr w14:paraId="41067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2452" w:type="dxa"/>
            <w:noWrap w:val="0"/>
            <w:vAlign w:val="center"/>
          </w:tcPr>
          <w:p w14:paraId="0B80F4FD">
            <w:pPr>
              <w:topLinePunct/>
              <w:adjustRightInd w:val="0"/>
              <w:snapToGrid w:val="0"/>
              <w:spacing w:line="560" w:lineRule="exact"/>
              <w:jc w:val="center"/>
              <w:rPr>
                <w:color w:val="auto"/>
                <w:szCs w:val="21"/>
                <w:highlight w:val="none"/>
              </w:rPr>
            </w:pPr>
            <w:r>
              <w:rPr>
                <w:color w:val="auto"/>
                <w:szCs w:val="21"/>
                <w:highlight w:val="none"/>
              </w:rPr>
              <w:t>工程质量</w:t>
            </w:r>
          </w:p>
        </w:tc>
        <w:tc>
          <w:tcPr>
            <w:tcW w:w="7408" w:type="dxa"/>
            <w:noWrap w:val="0"/>
            <w:vAlign w:val="top"/>
          </w:tcPr>
          <w:p w14:paraId="5D810153">
            <w:pPr>
              <w:topLinePunct/>
              <w:adjustRightInd w:val="0"/>
              <w:snapToGrid w:val="0"/>
              <w:spacing w:line="560" w:lineRule="exact"/>
              <w:rPr>
                <w:color w:val="auto"/>
                <w:szCs w:val="21"/>
                <w:highlight w:val="none"/>
              </w:rPr>
            </w:pPr>
          </w:p>
        </w:tc>
      </w:tr>
      <w:tr w14:paraId="1CC17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2452" w:type="dxa"/>
            <w:noWrap w:val="0"/>
            <w:vAlign w:val="center"/>
          </w:tcPr>
          <w:p w14:paraId="2E5753A8">
            <w:pPr>
              <w:topLinePunct/>
              <w:adjustRightInd w:val="0"/>
              <w:snapToGrid w:val="0"/>
              <w:spacing w:line="560" w:lineRule="exact"/>
              <w:jc w:val="center"/>
              <w:rPr>
                <w:color w:val="auto"/>
                <w:szCs w:val="21"/>
                <w:highlight w:val="none"/>
              </w:rPr>
            </w:pPr>
            <w:r>
              <w:rPr>
                <w:color w:val="auto"/>
                <w:szCs w:val="21"/>
                <w:highlight w:val="none"/>
              </w:rPr>
              <w:t>项目经理（建造师）</w:t>
            </w:r>
          </w:p>
        </w:tc>
        <w:tc>
          <w:tcPr>
            <w:tcW w:w="7408" w:type="dxa"/>
            <w:noWrap w:val="0"/>
            <w:vAlign w:val="top"/>
          </w:tcPr>
          <w:p w14:paraId="11EC216B">
            <w:pPr>
              <w:topLinePunct/>
              <w:adjustRightInd w:val="0"/>
              <w:snapToGrid w:val="0"/>
              <w:spacing w:line="560" w:lineRule="exact"/>
              <w:rPr>
                <w:color w:val="auto"/>
                <w:szCs w:val="21"/>
                <w:highlight w:val="none"/>
              </w:rPr>
            </w:pPr>
          </w:p>
        </w:tc>
      </w:tr>
      <w:tr w14:paraId="77177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2452" w:type="dxa"/>
            <w:noWrap w:val="0"/>
            <w:vAlign w:val="center"/>
          </w:tcPr>
          <w:p w14:paraId="2CC5204F">
            <w:pPr>
              <w:topLinePunct/>
              <w:adjustRightInd w:val="0"/>
              <w:snapToGrid w:val="0"/>
              <w:spacing w:line="560" w:lineRule="exact"/>
              <w:jc w:val="center"/>
              <w:rPr>
                <w:color w:val="auto"/>
                <w:szCs w:val="21"/>
                <w:highlight w:val="none"/>
              </w:rPr>
            </w:pPr>
            <w:r>
              <w:rPr>
                <w:color w:val="auto"/>
                <w:szCs w:val="21"/>
                <w:highlight w:val="none"/>
              </w:rPr>
              <w:t>技术负责人</w:t>
            </w:r>
          </w:p>
        </w:tc>
        <w:tc>
          <w:tcPr>
            <w:tcW w:w="7408" w:type="dxa"/>
            <w:noWrap w:val="0"/>
            <w:vAlign w:val="top"/>
          </w:tcPr>
          <w:p w14:paraId="63E0CF29">
            <w:pPr>
              <w:topLinePunct/>
              <w:adjustRightInd w:val="0"/>
              <w:snapToGrid w:val="0"/>
              <w:spacing w:line="560" w:lineRule="exact"/>
              <w:rPr>
                <w:color w:val="auto"/>
                <w:szCs w:val="21"/>
                <w:highlight w:val="none"/>
              </w:rPr>
            </w:pPr>
          </w:p>
        </w:tc>
      </w:tr>
      <w:tr w14:paraId="4B4D2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1" w:hRule="atLeast"/>
          <w:jc w:val="center"/>
        </w:trPr>
        <w:tc>
          <w:tcPr>
            <w:tcW w:w="2452" w:type="dxa"/>
            <w:noWrap w:val="0"/>
            <w:vAlign w:val="center"/>
          </w:tcPr>
          <w:p w14:paraId="67340F71">
            <w:pPr>
              <w:topLinePunct/>
              <w:adjustRightInd w:val="0"/>
              <w:snapToGrid w:val="0"/>
              <w:spacing w:line="560" w:lineRule="exact"/>
              <w:jc w:val="center"/>
              <w:rPr>
                <w:color w:val="auto"/>
                <w:szCs w:val="21"/>
                <w:highlight w:val="none"/>
              </w:rPr>
            </w:pPr>
            <w:r>
              <w:rPr>
                <w:color w:val="auto"/>
                <w:szCs w:val="21"/>
                <w:highlight w:val="none"/>
              </w:rPr>
              <w:t>项目描述</w:t>
            </w:r>
          </w:p>
        </w:tc>
        <w:tc>
          <w:tcPr>
            <w:tcW w:w="7408" w:type="dxa"/>
            <w:noWrap w:val="0"/>
            <w:vAlign w:val="top"/>
          </w:tcPr>
          <w:p w14:paraId="4793CD1A">
            <w:pPr>
              <w:topLinePunct/>
              <w:adjustRightInd w:val="0"/>
              <w:snapToGrid w:val="0"/>
              <w:spacing w:line="560" w:lineRule="exact"/>
              <w:rPr>
                <w:color w:val="auto"/>
                <w:szCs w:val="21"/>
                <w:highlight w:val="none"/>
              </w:rPr>
            </w:pPr>
          </w:p>
          <w:p w14:paraId="35145D94">
            <w:pPr>
              <w:topLinePunct/>
              <w:adjustRightInd w:val="0"/>
              <w:snapToGrid w:val="0"/>
              <w:spacing w:line="560" w:lineRule="exact"/>
              <w:rPr>
                <w:color w:val="auto"/>
                <w:szCs w:val="21"/>
                <w:highlight w:val="none"/>
              </w:rPr>
            </w:pPr>
          </w:p>
          <w:p w14:paraId="66610F7E">
            <w:pPr>
              <w:topLinePunct/>
              <w:adjustRightInd w:val="0"/>
              <w:snapToGrid w:val="0"/>
              <w:spacing w:line="560" w:lineRule="exact"/>
              <w:rPr>
                <w:color w:val="auto"/>
                <w:szCs w:val="21"/>
                <w:highlight w:val="none"/>
              </w:rPr>
            </w:pPr>
          </w:p>
          <w:p w14:paraId="0F2CD2E2">
            <w:pPr>
              <w:topLinePunct/>
              <w:adjustRightInd w:val="0"/>
              <w:snapToGrid w:val="0"/>
              <w:spacing w:line="560" w:lineRule="exact"/>
              <w:rPr>
                <w:color w:val="auto"/>
                <w:szCs w:val="21"/>
                <w:highlight w:val="none"/>
              </w:rPr>
            </w:pPr>
          </w:p>
          <w:p w14:paraId="0271D42B">
            <w:pPr>
              <w:topLinePunct/>
              <w:adjustRightInd w:val="0"/>
              <w:snapToGrid w:val="0"/>
              <w:spacing w:line="560" w:lineRule="exact"/>
              <w:rPr>
                <w:color w:val="auto"/>
                <w:szCs w:val="21"/>
                <w:highlight w:val="none"/>
              </w:rPr>
            </w:pPr>
          </w:p>
          <w:p w14:paraId="02DB34C3">
            <w:pPr>
              <w:topLinePunct/>
              <w:adjustRightInd w:val="0"/>
              <w:snapToGrid w:val="0"/>
              <w:spacing w:line="560" w:lineRule="exact"/>
              <w:rPr>
                <w:color w:val="auto"/>
                <w:szCs w:val="21"/>
                <w:highlight w:val="none"/>
              </w:rPr>
            </w:pPr>
          </w:p>
          <w:p w14:paraId="7F861855">
            <w:pPr>
              <w:topLinePunct/>
              <w:adjustRightInd w:val="0"/>
              <w:snapToGrid w:val="0"/>
              <w:spacing w:line="560" w:lineRule="exact"/>
              <w:rPr>
                <w:color w:val="auto"/>
                <w:szCs w:val="21"/>
                <w:highlight w:val="none"/>
              </w:rPr>
            </w:pPr>
          </w:p>
        </w:tc>
      </w:tr>
      <w:tr w14:paraId="66A2E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2452" w:type="dxa"/>
            <w:noWrap w:val="0"/>
            <w:vAlign w:val="center"/>
          </w:tcPr>
          <w:p w14:paraId="5F97D3F3">
            <w:pPr>
              <w:topLinePunct/>
              <w:adjustRightInd w:val="0"/>
              <w:snapToGrid w:val="0"/>
              <w:spacing w:line="560" w:lineRule="exact"/>
              <w:jc w:val="center"/>
              <w:rPr>
                <w:color w:val="auto"/>
                <w:szCs w:val="21"/>
                <w:highlight w:val="none"/>
              </w:rPr>
            </w:pPr>
            <w:r>
              <w:rPr>
                <w:color w:val="auto"/>
                <w:szCs w:val="21"/>
                <w:highlight w:val="none"/>
              </w:rPr>
              <w:t>备注</w:t>
            </w:r>
          </w:p>
        </w:tc>
        <w:tc>
          <w:tcPr>
            <w:tcW w:w="7408" w:type="dxa"/>
            <w:noWrap w:val="0"/>
            <w:vAlign w:val="top"/>
          </w:tcPr>
          <w:p w14:paraId="0A681DB7">
            <w:pPr>
              <w:topLinePunct/>
              <w:adjustRightInd w:val="0"/>
              <w:snapToGrid w:val="0"/>
              <w:spacing w:line="560" w:lineRule="exact"/>
              <w:rPr>
                <w:color w:val="auto"/>
                <w:szCs w:val="21"/>
                <w:highlight w:val="none"/>
              </w:rPr>
            </w:pPr>
          </w:p>
        </w:tc>
      </w:tr>
    </w:tbl>
    <w:p w14:paraId="1F0E78D7">
      <w:pPr>
        <w:pStyle w:val="4"/>
        <w:adjustRightInd w:val="0"/>
        <w:snapToGrid w:val="0"/>
        <w:spacing w:before="0" w:after="0" w:line="560" w:lineRule="exact"/>
        <w:jc w:val="center"/>
        <w:rPr>
          <w:rFonts w:hint="eastAsia"/>
          <w:color w:val="auto"/>
          <w:highlight w:val="none"/>
        </w:rPr>
      </w:pPr>
      <w:bookmarkStart w:id="1497" w:name="_Toc95223537"/>
      <w:r>
        <w:rPr>
          <w:rFonts w:hint="eastAsia"/>
          <w:color w:val="auto"/>
          <w:highlight w:val="none"/>
        </w:rPr>
        <w:t>（5）联合体协议书（如有）</w:t>
      </w:r>
      <w:bookmarkEnd w:id="1497"/>
    </w:p>
    <w:p w14:paraId="126B3F0D">
      <w:pPr>
        <w:adjustRightInd w:val="0"/>
        <w:snapToGrid w:val="0"/>
        <w:spacing w:line="520" w:lineRule="exact"/>
        <w:ind w:firstLine="422" w:firstLineChars="200"/>
        <w:jc w:val="left"/>
        <w:rPr>
          <w:rFonts w:hint="eastAsia" w:ascii="宋体" w:hAnsi="宋体"/>
          <w:color w:val="auto"/>
          <w:szCs w:val="21"/>
          <w:highlight w:val="none"/>
        </w:rPr>
      </w:pPr>
      <w:r>
        <w:rPr>
          <w:rFonts w:hint="eastAsia" w:ascii="宋体" w:hAnsi="宋体"/>
          <w:b/>
          <w:color w:val="auto"/>
          <w:szCs w:val="21"/>
          <w:highlight w:val="none"/>
          <w:u w:val="single"/>
        </w:rPr>
        <w:t xml:space="preserve">                </w:t>
      </w:r>
      <w:r>
        <w:rPr>
          <w:rFonts w:hint="eastAsia" w:ascii="宋体" w:hAnsi="宋体"/>
          <w:color w:val="auto"/>
          <w:szCs w:val="21"/>
          <w:highlight w:val="none"/>
        </w:rPr>
        <w:t>（所有成员单位名</w:t>
      </w:r>
      <w:bookmarkStart w:id="1498" w:name="_Toc506107345"/>
      <w:bookmarkStart w:id="1499" w:name="_Toc15058939"/>
      <w:bookmarkStart w:id="1500" w:name="_Toc60061579"/>
      <w:bookmarkStart w:id="1501" w:name="_Toc58229120"/>
      <w:bookmarkStart w:id="1502" w:name="_Toc152045803"/>
      <w:bookmarkStart w:id="1503" w:name="_Toc144974871"/>
      <w:bookmarkStart w:id="1504" w:name="_Toc152042592"/>
      <w:bookmarkStart w:id="1505" w:name="_Toc179632823"/>
      <w:r>
        <w:rPr>
          <w:rFonts w:hint="eastAsia" w:ascii="宋体" w:hAnsi="宋体"/>
          <w:color w:val="auto"/>
          <w:szCs w:val="21"/>
          <w:highlight w:val="none"/>
        </w:rPr>
        <w:t xml:space="preserve">称）自愿组成 </w:t>
      </w:r>
      <w:r>
        <w:rPr>
          <w:rFonts w:hint="eastAsia" w:ascii="宋体" w:hAnsi="宋体"/>
          <w:color w:val="auto"/>
          <w:szCs w:val="21"/>
          <w:highlight w:val="none"/>
          <w:u w:val="single"/>
        </w:rPr>
        <w:t xml:space="preserve">  </w:t>
      </w:r>
      <w:bookmarkEnd w:id="1498"/>
      <w:r>
        <w:rPr>
          <w:rFonts w:hint="eastAsia" w:ascii="宋体" w:hAnsi="宋体"/>
          <w:color w:val="auto"/>
          <w:szCs w:val="21"/>
          <w:highlight w:val="none"/>
          <w:u w:val="single"/>
        </w:rPr>
        <w:t xml:space="preserve">    </w:t>
      </w:r>
      <w:bookmarkEnd w:id="1499"/>
      <w:bookmarkEnd w:id="1500"/>
      <w:bookmarkEnd w:id="1501"/>
      <w:r>
        <w:rPr>
          <w:rFonts w:hint="eastAsia" w:ascii="宋体" w:hAnsi="宋体"/>
          <w:color w:val="auto"/>
          <w:szCs w:val="21"/>
          <w:highlight w:val="none"/>
          <w:u w:val="single"/>
        </w:rPr>
        <w:t xml:space="preserve">   </w:t>
      </w:r>
      <w:r>
        <w:rPr>
          <w:rFonts w:hint="eastAsia" w:ascii="宋体" w:hAnsi="宋体"/>
          <w:color w:val="auto"/>
          <w:szCs w:val="21"/>
          <w:highlight w:val="none"/>
        </w:rPr>
        <w:t>（联合体名称）联合体，共同参加</w:t>
      </w:r>
      <w:r>
        <w:rPr>
          <w:rFonts w:hint="eastAsia" w:ascii="宋体" w:hAnsi="宋体"/>
          <w:b/>
          <w:color w:val="auto"/>
          <w:szCs w:val="21"/>
          <w:highlight w:val="none"/>
          <w:u w:val="single"/>
        </w:rPr>
        <w:t xml:space="preserve">             </w:t>
      </w:r>
      <w:r>
        <w:rPr>
          <w:rFonts w:hint="eastAsia" w:ascii="宋体" w:hAnsi="宋体"/>
          <w:color w:val="auto"/>
          <w:szCs w:val="21"/>
          <w:highlight w:val="none"/>
        </w:rPr>
        <w:t>（项目名称）</w:t>
      </w:r>
      <w:r>
        <w:rPr>
          <w:rFonts w:hint="eastAsia" w:ascii="宋体" w:hAnsi="宋体"/>
          <w:color w:val="auto"/>
          <w:szCs w:val="21"/>
          <w:highlight w:val="none"/>
          <w:u w:val="single"/>
        </w:rPr>
        <w:t xml:space="preserve">       </w:t>
      </w:r>
      <w:r>
        <w:rPr>
          <w:rFonts w:hint="eastAsia" w:ascii="宋体" w:hAnsi="宋体"/>
          <w:color w:val="auto"/>
          <w:szCs w:val="21"/>
          <w:highlight w:val="none"/>
        </w:rPr>
        <w:t>标段施工投标。现就联合体投标事宜订立如下协议：</w:t>
      </w:r>
    </w:p>
    <w:p w14:paraId="2B7390FA">
      <w:pPr>
        <w:adjustRightInd w:val="0"/>
        <w:snapToGrid w:val="0"/>
        <w:spacing w:line="5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u w:val="single"/>
        </w:rPr>
        <w:t xml:space="preserve">             </w:t>
      </w:r>
      <w:r>
        <w:rPr>
          <w:rFonts w:hint="eastAsia" w:ascii="宋体" w:hAnsi="宋体"/>
          <w:color w:val="auto"/>
          <w:szCs w:val="21"/>
          <w:highlight w:val="none"/>
        </w:rPr>
        <w:t>（某成员单位名称）为</w:t>
      </w:r>
      <w:r>
        <w:rPr>
          <w:rFonts w:hint="eastAsia" w:ascii="宋体" w:hAnsi="宋体"/>
          <w:color w:val="auto"/>
          <w:szCs w:val="21"/>
          <w:highlight w:val="none"/>
          <w:u w:val="single"/>
        </w:rPr>
        <w:t xml:space="preserve">             </w:t>
      </w:r>
      <w:r>
        <w:rPr>
          <w:rFonts w:hint="eastAsia" w:ascii="宋体" w:hAnsi="宋体"/>
          <w:color w:val="auto"/>
          <w:szCs w:val="21"/>
          <w:highlight w:val="none"/>
        </w:rPr>
        <w:t>（联合体名称）牵头人。</w:t>
      </w:r>
    </w:p>
    <w:p w14:paraId="60CB1C61">
      <w:pPr>
        <w:adjustRightInd w:val="0"/>
        <w:snapToGrid w:val="0"/>
        <w:spacing w:line="5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联合体牵头人合法代表联合体各成员负责本招标项目投标文件编制和合同谈判活动，并代表联合体提交和接收相关的资料、信息及指示，并处理与之有关的一切事务，负责合同实施阶段的主办、组织和协议工作。</w:t>
      </w:r>
    </w:p>
    <w:p w14:paraId="2333D621">
      <w:pPr>
        <w:adjustRightInd w:val="0"/>
        <w:snapToGrid w:val="0"/>
        <w:spacing w:line="5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3.联合体将严格按照招标文件的各项要求，递交投标文件，履行合同，并对外承担连带责任。</w:t>
      </w:r>
    </w:p>
    <w:p w14:paraId="37E63A77">
      <w:pPr>
        <w:adjustRightInd w:val="0"/>
        <w:snapToGrid w:val="0"/>
        <w:spacing w:line="520" w:lineRule="exact"/>
        <w:ind w:firstLine="420" w:firstLineChars="200"/>
        <w:rPr>
          <w:rFonts w:hint="eastAsia" w:ascii="宋体" w:hAnsi="宋体"/>
          <w:color w:val="auto"/>
          <w:szCs w:val="21"/>
          <w:highlight w:val="none"/>
          <w:u w:val="single"/>
        </w:rPr>
      </w:pPr>
      <w:r>
        <w:rPr>
          <w:rFonts w:hint="eastAsia" w:ascii="宋体" w:hAnsi="宋体"/>
          <w:color w:val="auto"/>
          <w:szCs w:val="21"/>
          <w:highlight w:val="none"/>
        </w:rPr>
        <w:t>4.联合体各成员单位内部的职责分工如下：</w:t>
      </w:r>
    </w:p>
    <w:p w14:paraId="64207AA7">
      <w:pPr>
        <w:pStyle w:val="40"/>
        <w:snapToGrid w:val="0"/>
        <w:spacing w:line="520" w:lineRule="exact"/>
        <w:ind w:firstLine="525" w:firstLineChars="250"/>
        <w:rPr>
          <w:rFonts w:cs="Times New Roman"/>
          <w:color w:val="auto"/>
          <w:sz w:val="21"/>
          <w:szCs w:val="21"/>
          <w:highlight w:val="none"/>
        </w:rPr>
      </w:pPr>
      <w:r>
        <w:rPr>
          <w:rFonts w:cs="Times New Roman"/>
          <w:color w:val="auto"/>
          <w:sz w:val="21"/>
          <w:szCs w:val="21"/>
          <w:highlight w:val="none"/>
        </w:rPr>
        <w:t>牵头人</w:t>
      </w:r>
      <w:r>
        <w:rPr>
          <w:rFonts w:hint="eastAsia" w:cs="Times New Roman"/>
          <w:color w:val="auto"/>
          <w:sz w:val="21"/>
          <w:szCs w:val="21"/>
          <w:highlight w:val="none"/>
        </w:rPr>
        <w:t>（成员一）</w:t>
      </w:r>
      <w:r>
        <w:rPr>
          <w:rFonts w:cs="Times New Roman"/>
          <w:color w:val="auto"/>
          <w:sz w:val="21"/>
          <w:szCs w:val="21"/>
          <w:highlight w:val="none"/>
        </w:rPr>
        <w:t>名称</w:t>
      </w:r>
      <w:r>
        <w:rPr>
          <w:rFonts w:cs="Times New Roman"/>
          <w:color w:val="auto"/>
          <w:sz w:val="21"/>
          <w:szCs w:val="21"/>
          <w:highlight w:val="none"/>
          <w:u w:val="single"/>
        </w:rPr>
        <w:t>：</w:t>
      </w:r>
      <w:r>
        <w:rPr>
          <w:rFonts w:hint="eastAsia" w:cs="Times New Roman"/>
          <w:color w:val="auto"/>
          <w:sz w:val="21"/>
          <w:szCs w:val="21"/>
          <w:highlight w:val="none"/>
          <w:u w:val="single"/>
        </w:rPr>
        <w:t xml:space="preserve">           </w:t>
      </w:r>
      <w:r>
        <w:rPr>
          <w:rFonts w:cs="Times New Roman"/>
          <w:color w:val="auto"/>
          <w:sz w:val="21"/>
          <w:szCs w:val="21"/>
          <w:highlight w:val="none"/>
          <w:u w:val="single"/>
        </w:rPr>
        <w:t xml:space="preserve"> </w:t>
      </w:r>
      <w:r>
        <w:rPr>
          <w:rFonts w:cs="Times New Roman"/>
          <w:color w:val="auto"/>
          <w:sz w:val="21"/>
          <w:szCs w:val="21"/>
          <w:highlight w:val="none"/>
        </w:rPr>
        <w:t>，具有</w:t>
      </w:r>
      <w:r>
        <w:rPr>
          <w:rFonts w:cs="Times New Roman"/>
          <w:color w:val="auto"/>
          <w:sz w:val="21"/>
          <w:szCs w:val="21"/>
          <w:highlight w:val="none"/>
          <w:u w:val="single"/>
        </w:rPr>
        <w:t xml:space="preserve"> </w:t>
      </w:r>
      <w:r>
        <w:rPr>
          <w:rFonts w:hint="eastAsia" w:cs="Times New Roman"/>
          <w:color w:val="auto"/>
          <w:sz w:val="21"/>
          <w:szCs w:val="21"/>
          <w:highlight w:val="none"/>
          <w:u w:val="single"/>
        </w:rPr>
        <w:t xml:space="preserve">           </w:t>
      </w:r>
      <w:r>
        <w:rPr>
          <w:rFonts w:cs="Times New Roman"/>
          <w:color w:val="auto"/>
          <w:sz w:val="21"/>
          <w:szCs w:val="21"/>
          <w:highlight w:val="none"/>
          <w:u w:val="single"/>
        </w:rPr>
        <w:t>资</w:t>
      </w:r>
      <w:r>
        <w:rPr>
          <w:rFonts w:cs="Times New Roman"/>
          <w:color w:val="auto"/>
          <w:sz w:val="21"/>
          <w:szCs w:val="21"/>
          <w:highlight w:val="none"/>
        </w:rPr>
        <w:t>格，</w:t>
      </w:r>
      <w:r>
        <w:rPr>
          <w:rFonts w:hint="eastAsia" w:cs="Times New Roman"/>
          <w:color w:val="auto"/>
          <w:sz w:val="21"/>
          <w:szCs w:val="21"/>
          <w:highlight w:val="none"/>
        </w:rPr>
        <w:t>负责</w:t>
      </w:r>
      <w:r>
        <w:rPr>
          <w:rFonts w:cs="Times New Roman"/>
          <w:color w:val="auto"/>
          <w:sz w:val="21"/>
          <w:szCs w:val="21"/>
          <w:highlight w:val="none"/>
        </w:rPr>
        <w:t>承担</w:t>
      </w:r>
      <w:r>
        <w:rPr>
          <w:rFonts w:cs="Times New Roman"/>
          <w:color w:val="auto"/>
          <w:sz w:val="21"/>
          <w:szCs w:val="21"/>
          <w:highlight w:val="none"/>
          <w:u w:val="single"/>
        </w:rPr>
        <w:t xml:space="preserve"> </w:t>
      </w:r>
      <w:r>
        <w:rPr>
          <w:rFonts w:hint="eastAsia" w:cs="Times New Roman"/>
          <w:color w:val="auto"/>
          <w:sz w:val="21"/>
          <w:szCs w:val="21"/>
          <w:highlight w:val="none"/>
          <w:u w:val="single"/>
        </w:rPr>
        <w:t xml:space="preserve">       部分</w:t>
      </w:r>
      <w:r>
        <w:rPr>
          <w:rFonts w:cs="Times New Roman"/>
          <w:color w:val="auto"/>
          <w:sz w:val="21"/>
          <w:szCs w:val="21"/>
          <w:highlight w:val="none"/>
        </w:rPr>
        <w:t>专业工程</w:t>
      </w:r>
      <w:r>
        <w:rPr>
          <w:rFonts w:hint="eastAsia" w:cs="Times New Roman"/>
          <w:color w:val="auto"/>
          <w:sz w:val="21"/>
          <w:szCs w:val="21"/>
          <w:highlight w:val="none"/>
        </w:rPr>
        <w:t>施工</w:t>
      </w:r>
      <w:r>
        <w:rPr>
          <w:rFonts w:hint="eastAsia" w:cs="Times New Roman"/>
          <w:color w:val="auto"/>
          <w:sz w:val="21"/>
          <w:szCs w:val="21"/>
          <w:highlight w:val="none"/>
          <w:u w:val="single"/>
        </w:rPr>
        <w:t>，</w:t>
      </w:r>
      <w:r>
        <w:rPr>
          <w:rFonts w:hint="eastAsia" w:cs="Times New Roman"/>
          <w:color w:val="auto"/>
          <w:sz w:val="21"/>
          <w:szCs w:val="21"/>
          <w:highlight w:val="none"/>
        </w:rPr>
        <w:t>负责内容的合同金额占总合同金额的百分比</w:t>
      </w:r>
      <w:r>
        <w:rPr>
          <w:rFonts w:hint="eastAsia" w:cs="Times New Roman"/>
          <w:color w:val="auto"/>
          <w:sz w:val="21"/>
          <w:szCs w:val="21"/>
          <w:highlight w:val="none"/>
          <w:u w:val="single"/>
        </w:rPr>
        <w:t xml:space="preserve">      </w:t>
      </w:r>
      <w:r>
        <w:rPr>
          <w:rFonts w:hint="eastAsia"/>
          <w:color w:val="auto"/>
          <w:szCs w:val="21"/>
          <w:highlight w:val="none"/>
        </w:rPr>
        <w:t>%</w:t>
      </w:r>
      <w:r>
        <w:rPr>
          <w:color w:val="auto"/>
          <w:szCs w:val="21"/>
          <w:highlight w:val="none"/>
        </w:rPr>
        <w:t>；</w:t>
      </w:r>
      <w:r>
        <w:rPr>
          <w:rFonts w:cs="Times New Roman"/>
          <w:color w:val="auto"/>
          <w:sz w:val="21"/>
          <w:szCs w:val="21"/>
          <w:highlight w:val="none"/>
        </w:rPr>
        <w:t xml:space="preserve"> </w:t>
      </w:r>
    </w:p>
    <w:p w14:paraId="47CC4239">
      <w:pPr>
        <w:adjustRightInd w:val="0"/>
        <w:snapToGrid w:val="0"/>
        <w:spacing w:line="520" w:lineRule="exact"/>
        <w:ind w:firstLine="630" w:firstLineChars="300"/>
        <w:rPr>
          <w:rFonts w:hint="eastAsia" w:ascii="宋体" w:hAnsi="宋体"/>
          <w:color w:val="auto"/>
          <w:szCs w:val="21"/>
          <w:highlight w:val="none"/>
        </w:rPr>
      </w:pPr>
      <w:r>
        <w:rPr>
          <w:color w:val="auto"/>
          <w:szCs w:val="21"/>
          <w:highlight w:val="none"/>
        </w:rPr>
        <w:t>成员</w:t>
      </w:r>
      <w:r>
        <w:rPr>
          <w:rFonts w:hint="eastAsia"/>
          <w:color w:val="auto"/>
          <w:szCs w:val="21"/>
          <w:highlight w:val="none"/>
        </w:rPr>
        <w:t>二</w:t>
      </w:r>
      <w:r>
        <w:rPr>
          <w:color w:val="auto"/>
          <w:szCs w:val="21"/>
          <w:highlight w:val="none"/>
        </w:rPr>
        <w:t>名称</w:t>
      </w:r>
      <w:r>
        <w:rPr>
          <w:color w:val="auto"/>
          <w:szCs w:val="21"/>
          <w:highlight w:val="none"/>
          <w:u w:val="single"/>
        </w:rPr>
        <w:t>：</w:t>
      </w:r>
      <w:r>
        <w:rPr>
          <w:rFonts w:hint="eastAsia"/>
          <w:color w:val="auto"/>
          <w:szCs w:val="21"/>
          <w:highlight w:val="none"/>
          <w:u w:val="single"/>
        </w:rPr>
        <w:t xml:space="preserve">          </w:t>
      </w:r>
      <w:r>
        <w:rPr>
          <w:color w:val="auto"/>
          <w:szCs w:val="21"/>
          <w:highlight w:val="none"/>
          <w:u w:val="single"/>
        </w:rPr>
        <w:t xml:space="preserve"> </w:t>
      </w:r>
      <w:r>
        <w:rPr>
          <w:color w:val="auto"/>
          <w:szCs w:val="21"/>
          <w:highlight w:val="none"/>
        </w:rPr>
        <w:t>，具有</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资</w:t>
      </w:r>
      <w:r>
        <w:rPr>
          <w:color w:val="auto"/>
          <w:szCs w:val="21"/>
          <w:highlight w:val="none"/>
        </w:rPr>
        <w:t>格，</w:t>
      </w:r>
      <w:r>
        <w:rPr>
          <w:rFonts w:hint="eastAsia"/>
          <w:color w:val="auto"/>
          <w:szCs w:val="21"/>
          <w:highlight w:val="none"/>
        </w:rPr>
        <w:t>负责</w:t>
      </w:r>
      <w:r>
        <w:rPr>
          <w:color w:val="auto"/>
          <w:szCs w:val="21"/>
          <w:highlight w:val="none"/>
        </w:rPr>
        <w:t>承</w:t>
      </w:r>
      <w:r>
        <w:rPr>
          <w:color w:val="auto"/>
          <w:szCs w:val="21"/>
          <w:highlight w:val="none"/>
          <w:u w:val="single"/>
        </w:rPr>
        <w:t xml:space="preserve">担 </w:t>
      </w:r>
      <w:r>
        <w:rPr>
          <w:rFonts w:hint="eastAsia"/>
          <w:color w:val="auto"/>
          <w:szCs w:val="21"/>
          <w:highlight w:val="none"/>
          <w:u w:val="single"/>
        </w:rPr>
        <w:t xml:space="preserve">          部分</w:t>
      </w:r>
      <w:r>
        <w:rPr>
          <w:color w:val="auto"/>
          <w:szCs w:val="21"/>
          <w:highlight w:val="none"/>
          <w:u w:val="single"/>
        </w:rPr>
        <w:t>专业</w:t>
      </w:r>
      <w:r>
        <w:rPr>
          <w:color w:val="auto"/>
          <w:szCs w:val="21"/>
          <w:highlight w:val="none"/>
        </w:rPr>
        <w:t>工程</w:t>
      </w:r>
      <w:r>
        <w:rPr>
          <w:rFonts w:hint="eastAsia"/>
          <w:color w:val="auto"/>
          <w:szCs w:val="21"/>
          <w:highlight w:val="none"/>
        </w:rPr>
        <w:t>施工，负责内容的合同金额占总合同金额的百分比</w:t>
      </w:r>
      <w:r>
        <w:rPr>
          <w:rFonts w:hint="eastAsia"/>
          <w:color w:val="auto"/>
          <w:szCs w:val="21"/>
          <w:highlight w:val="none"/>
          <w:u w:val="single"/>
        </w:rPr>
        <w:t xml:space="preserve">    </w:t>
      </w:r>
      <w:r>
        <w:rPr>
          <w:rFonts w:hint="eastAsia"/>
          <w:color w:val="auto"/>
          <w:szCs w:val="21"/>
          <w:highlight w:val="none"/>
        </w:rPr>
        <w:t>%</w:t>
      </w:r>
      <w:r>
        <w:rPr>
          <w:color w:val="auto"/>
          <w:szCs w:val="21"/>
          <w:highlight w:val="none"/>
        </w:rPr>
        <w:t>；</w:t>
      </w:r>
      <w:r>
        <w:rPr>
          <w:rFonts w:hint="eastAsia" w:ascii="宋体" w:hAnsi="宋体"/>
          <w:color w:val="auto"/>
          <w:szCs w:val="21"/>
          <w:highlight w:val="none"/>
        </w:rPr>
        <w:t xml:space="preserve">                 </w:t>
      </w:r>
    </w:p>
    <w:p w14:paraId="36F604CF">
      <w:pPr>
        <w:adjustRightInd w:val="0"/>
        <w:snapToGrid w:val="0"/>
        <w:spacing w:line="5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5.本协议书自签署之日起生效，合同履行完毕后自动失效。</w:t>
      </w:r>
    </w:p>
    <w:p w14:paraId="17D6C7E7">
      <w:pPr>
        <w:adjustRightInd w:val="0"/>
        <w:snapToGrid w:val="0"/>
        <w:spacing w:line="5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6.联合体中标后，本联合体协议是合同的附件，对联合体各成员单位有合同约束力。</w:t>
      </w:r>
    </w:p>
    <w:p w14:paraId="094101B5">
      <w:pPr>
        <w:adjustRightInd w:val="0"/>
        <w:snapToGrid w:val="0"/>
        <w:spacing w:line="5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7.本协议书一式</w:t>
      </w:r>
      <w:r>
        <w:rPr>
          <w:rFonts w:hint="eastAsia" w:ascii="宋体" w:hAnsi="宋体"/>
          <w:color w:val="auto"/>
          <w:szCs w:val="21"/>
          <w:highlight w:val="none"/>
          <w:u w:val="single"/>
        </w:rPr>
        <w:t xml:space="preserve">          </w:t>
      </w:r>
      <w:r>
        <w:rPr>
          <w:rFonts w:hint="eastAsia" w:ascii="宋体" w:hAnsi="宋体"/>
          <w:color w:val="auto"/>
          <w:szCs w:val="21"/>
          <w:highlight w:val="none"/>
        </w:rPr>
        <w:t>份，联合体成员和招标人各执一份。</w:t>
      </w:r>
    </w:p>
    <w:p w14:paraId="1E11C31A">
      <w:pPr>
        <w:adjustRightInd w:val="0"/>
        <w:snapToGrid w:val="0"/>
        <w:spacing w:line="5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注：本协议由委托代理人签字的，应附法定代表人签字的授权委托书。</w:t>
      </w:r>
    </w:p>
    <w:p w14:paraId="339509CE">
      <w:pPr>
        <w:adjustRightInd w:val="0"/>
        <w:snapToGrid w:val="0"/>
        <w:spacing w:line="5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                             牵头人（成员一）名称：</w:t>
      </w:r>
      <w:r>
        <w:rPr>
          <w:rFonts w:hint="eastAsia" w:ascii="宋体" w:hAnsi="宋体"/>
          <w:color w:val="auto"/>
          <w:szCs w:val="21"/>
          <w:highlight w:val="none"/>
          <w:u w:val="single"/>
        </w:rPr>
        <w:t xml:space="preserve">                         </w:t>
      </w:r>
      <w:r>
        <w:rPr>
          <w:rFonts w:hint="eastAsia" w:ascii="宋体" w:hAnsi="宋体"/>
          <w:color w:val="auto"/>
          <w:szCs w:val="21"/>
          <w:highlight w:val="none"/>
        </w:rPr>
        <w:t>（签章）</w:t>
      </w:r>
    </w:p>
    <w:p w14:paraId="64265CC7">
      <w:pPr>
        <w:adjustRightInd w:val="0"/>
        <w:snapToGrid w:val="0"/>
        <w:spacing w:line="5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                             法定代表人：</w:t>
      </w:r>
      <w:r>
        <w:rPr>
          <w:rFonts w:hint="eastAsia" w:ascii="宋体" w:hAnsi="宋体"/>
          <w:color w:val="auto"/>
          <w:szCs w:val="21"/>
          <w:highlight w:val="none"/>
          <w:u w:val="single"/>
        </w:rPr>
        <w:t xml:space="preserve">               </w:t>
      </w:r>
      <w:r>
        <w:rPr>
          <w:rFonts w:hint="eastAsia" w:ascii="宋体" w:hAnsi="宋体"/>
          <w:color w:val="auto"/>
          <w:szCs w:val="21"/>
          <w:highlight w:val="none"/>
        </w:rPr>
        <w:t>（签章）</w:t>
      </w:r>
    </w:p>
    <w:p w14:paraId="66D80AFE">
      <w:pPr>
        <w:adjustRightInd w:val="0"/>
        <w:snapToGrid w:val="0"/>
        <w:spacing w:line="520" w:lineRule="exact"/>
        <w:ind w:firstLine="420" w:firstLineChars="200"/>
        <w:rPr>
          <w:rFonts w:hint="eastAsia" w:ascii="宋体" w:hAnsi="宋体"/>
          <w:color w:val="auto"/>
          <w:szCs w:val="21"/>
          <w:highlight w:val="none"/>
        </w:rPr>
      </w:pPr>
    </w:p>
    <w:p w14:paraId="121ABA90">
      <w:pPr>
        <w:adjustRightInd w:val="0"/>
        <w:snapToGrid w:val="0"/>
        <w:spacing w:line="5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                             成员二名称：</w:t>
      </w:r>
      <w:r>
        <w:rPr>
          <w:rFonts w:hint="eastAsia" w:ascii="宋体" w:hAnsi="宋体"/>
          <w:color w:val="auto"/>
          <w:szCs w:val="21"/>
          <w:highlight w:val="none"/>
          <w:u w:val="single"/>
        </w:rPr>
        <w:t xml:space="preserve">                         </w:t>
      </w:r>
      <w:r>
        <w:rPr>
          <w:rFonts w:hint="eastAsia" w:ascii="宋体" w:hAnsi="宋体"/>
          <w:color w:val="auto"/>
          <w:szCs w:val="21"/>
          <w:highlight w:val="none"/>
        </w:rPr>
        <w:t>（签章）</w:t>
      </w:r>
    </w:p>
    <w:p w14:paraId="51911B5F">
      <w:pPr>
        <w:adjustRightInd w:val="0"/>
        <w:snapToGrid w:val="0"/>
        <w:spacing w:line="5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                             法定代表人：</w:t>
      </w:r>
      <w:r>
        <w:rPr>
          <w:rFonts w:hint="eastAsia" w:ascii="宋体" w:hAnsi="宋体"/>
          <w:color w:val="auto"/>
          <w:szCs w:val="21"/>
          <w:highlight w:val="none"/>
          <w:u w:val="single"/>
        </w:rPr>
        <w:t xml:space="preserve">               </w:t>
      </w:r>
      <w:r>
        <w:rPr>
          <w:rFonts w:hint="eastAsia" w:ascii="宋体" w:hAnsi="宋体"/>
          <w:color w:val="auto"/>
          <w:szCs w:val="21"/>
          <w:highlight w:val="none"/>
        </w:rPr>
        <w:t>（签章）</w:t>
      </w:r>
    </w:p>
    <w:p w14:paraId="335691CE">
      <w:pPr>
        <w:adjustRightInd w:val="0"/>
        <w:snapToGrid w:val="0"/>
        <w:spacing w:line="520" w:lineRule="exact"/>
        <w:ind w:firstLine="420" w:firstLineChars="200"/>
        <w:rPr>
          <w:rFonts w:hint="eastAsia" w:ascii="宋体" w:hAnsi="宋体"/>
          <w:color w:val="auto"/>
          <w:szCs w:val="21"/>
          <w:highlight w:val="none"/>
        </w:rPr>
      </w:pPr>
    </w:p>
    <w:p w14:paraId="12A13FFC">
      <w:pPr>
        <w:adjustRightInd w:val="0"/>
        <w:snapToGrid w:val="0"/>
        <w:spacing w:line="5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                           </w:t>
      </w:r>
    </w:p>
    <w:p w14:paraId="4F726322">
      <w:pPr>
        <w:adjustRightInd w:val="0"/>
        <w:snapToGrid w:val="0"/>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                                </w:t>
      </w:r>
    </w:p>
    <w:p w14:paraId="538828F9">
      <w:pPr>
        <w:adjustRightInd w:val="0"/>
        <w:snapToGrid w:val="0"/>
        <w:spacing w:line="560" w:lineRule="exact"/>
        <w:ind w:firstLine="5775" w:firstLineChars="27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4B44CDB9">
      <w:pPr>
        <w:rPr>
          <w:rFonts w:hint="eastAsia"/>
          <w:color w:val="auto"/>
          <w:highlight w:val="none"/>
        </w:rPr>
      </w:pPr>
    </w:p>
    <w:p w14:paraId="305B0507">
      <w:pPr>
        <w:rPr>
          <w:rFonts w:hint="eastAsia" w:ascii="Times New Roman" w:hAnsi="Times New Roman" w:cs="Times New Roman"/>
          <w:b/>
          <w:bCs/>
          <w:color w:val="auto"/>
          <w:highlight w:val="none"/>
        </w:rPr>
      </w:pPr>
      <w:bookmarkStart w:id="1506" w:name="_Toc6158"/>
      <w:r>
        <w:rPr>
          <w:rFonts w:hint="eastAsia" w:ascii="Times New Roman" w:hAnsi="Times New Roman" w:cs="Times New Roman"/>
          <w:b/>
          <w:bCs/>
          <w:color w:val="auto"/>
          <w:highlight w:val="none"/>
        </w:rPr>
        <w:br w:type="page"/>
      </w:r>
    </w:p>
    <w:p w14:paraId="7D6E2262">
      <w:pPr>
        <w:pStyle w:val="4"/>
        <w:adjustRightInd w:val="0"/>
        <w:snapToGrid w:val="0"/>
        <w:spacing w:before="0" w:after="0" w:line="560" w:lineRule="exact"/>
        <w:jc w:val="center"/>
        <w:rPr>
          <w:rFonts w:hint="eastAsia" w:ascii="Times New Roman" w:hAnsi="Times New Roman" w:cs="Times New Roman"/>
          <w:b/>
          <w:bCs/>
          <w:color w:val="auto"/>
          <w:highlight w:val="none"/>
        </w:rPr>
      </w:pPr>
      <w:r>
        <w:rPr>
          <w:rFonts w:hint="eastAsia" w:ascii="Times New Roman" w:hAnsi="Times New Roman" w:cs="Times New Roman"/>
          <w:b/>
          <w:bCs/>
          <w:color w:val="auto"/>
          <w:highlight w:val="none"/>
        </w:rPr>
        <w:t>（</w:t>
      </w:r>
      <w:r>
        <w:rPr>
          <w:rFonts w:hint="eastAsia" w:ascii="Times New Roman" w:hAnsi="Times New Roman" w:cs="Times New Roman"/>
          <w:b/>
          <w:bCs/>
          <w:color w:val="auto"/>
          <w:highlight w:val="none"/>
          <w:lang w:val="en-US" w:eastAsia="zh-CN"/>
        </w:rPr>
        <w:t>6</w:t>
      </w:r>
      <w:r>
        <w:rPr>
          <w:rFonts w:hint="eastAsia" w:ascii="Times New Roman" w:hAnsi="Times New Roman" w:cs="Times New Roman"/>
          <w:b/>
          <w:bCs/>
          <w:color w:val="auto"/>
          <w:highlight w:val="none"/>
        </w:rPr>
        <w:t>）拟分包项目情况表（如有）</w:t>
      </w:r>
      <w:bookmarkEnd w:id="1506"/>
    </w:p>
    <w:tbl>
      <w:tblPr>
        <w:tblStyle w:val="20"/>
        <w:tblW w:w="4840" w:type="pct"/>
        <w:jc w:val="center"/>
        <w:tblLayout w:type="autofit"/>
        <w:tblCellMar>
          <w:top w:w="28" w:type="dxa"/>
          <w:left w:w="108" w:type="dxa"/>
          <w:bottom w:w="28" w:type="dxa"/>
          <w:right w:w="108" w:type="dxa"/>
        </w:tblCellMar>
      </w:tblPr>
      <w:tblGrid>
        <w:gridCol w:w="2849"/>
        <w:gridCol w:w="2420"/>
        <w:gridCol w:w="2369"/>
        <w:gridCol w:w="2183"/>
      </w:tblGrid>
      <w:tr w14:paraId="4CA61EC4">
        <w:tblPrEx>
          <w:tblCellMar>
            <w:top w:w="28" w:type="dxa"/>
            <w:left w:w="108" w:type="dxa"/>
            <w:bottom w:w="28" w:type="dxa"/>
            <w:right w:w="108" w:type="dxa"/>
          </w:tblCellMar>
        </w:tblPrEx>
        <w:trPr>
          <w:trHeight w:val="567" w:hRule="atLeast"/>
          <w:jc w:val="center"/>
        </w:trPr>
        <w:tc>
          <w:tcPr>
            <w:tcW w:w="1450"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5D3788DE">
            <w:pPr>
              <w:ind w:left="105" w:leftChars="50" w:right="105" w:rightChars="50"/>
              <w:jc w:val="center"/>
              <w:rPr>
                <w:rFonts w:ascii="Times New Roman" w:hAnsi="Times New Roman"/>
                <w:snapToGrid w:val="0"/>
                <w:color w:val="auto"/>
                <w:kern w:val="0"/>
                <w:sz w:val="24"/>
                <w:szCs w:val="20"/>
                <w:highlight w:val="none"/>
              </w:rPr>
            </w:pPr>
            <w:r>
              <w:rPr>
                <w:rFonts w:ascii="Times New Roman" w:hAnsi="Times New Roman"/>
                <w:snapToGrid w:val="0"/>
                <w:color w:val="auto"/>
                <w:kern w:val="0"/>
                <w:sz w:val="24"/>
                <w:szCs w:val="20"/>
                <w:highlight w:val="none"/>
              </w:rPr>
              <w:t>拟分包的工程项目</w:t>
            </w:r>
          </w:p>
        </w:tc>
        <w:tc>
          <w:tcPr>
            <w:tcW w:w="1231"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06D6CBBF">
            <w:pPr>
              <w:ind w:left="105" w:leftChars="50" w:right="105" w:rightChars="50"/>
              <w:jc w:val="center"/>
              <w:rPr>
                <w:rFonts w:ascii="Times New Roman" w:hAnsi="Times New Roman"/>
                <w:snapToGrid w:val="0"/>
                <w:color w:val="auto"/>
                <w:kern w:val="0"/>
                <w:sz w:val="24"/>
                <w:szCs w:val="20"/>
                <w:highlight w:val="none"/>
              </w:rPr>
            </w:pPr>
            <w:r>
              <w:rPr>
                <w:rFonts w:ascii="Times New Roman" w:hAnsi="Times New Roman"/>
                <w:snapToGrid w:val="0"/>
                <w:color w:val="auto"/>
                <w:kern w:val="0"/>
                <w:sz w:val="24"/>
                <w:szCs w:val="20"/>
                <w:highlight w:val="none"/>
              </w:rPr>
              <w:t>主要工程内容</w:t>
            </w:r>
          </w:p>
        </w:tc>
        <w:tc>
          <w:tcPr>
            <w:tcW w:w="1206"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6A4D15C3">
            <w:pPr>
              <w:ind w:left="105" w:leftChars="50" w:right="105" w:rightChars="50"/>
              <w:jc w:val="center"/>
              <w:rPr>
                <w:rFonts w:ascii="Times New Roman" w:hAnsi="Times New Roman"/>
                <w:snapToGrid w:val="0"/>
                <w:color w:val="auto"/>
                <w:kern w:val="0"/>
                <w:sz w:val="24"/>
                <w:szCs w:val="20"/>
                <w:highlight w:val="none"/>
              </w:rPr>
            </w:pPr>
            <w:r>
              <w:rPr>
                <w:rFonts w:ascii="Times New Roman" w:hAnsi="Times New Roman"/>
                <w:snapToGrid w:val="0"/>
                <w:color w:val="auto"/>
                <w:kern w:val="0"/>
                <w:sz w:val="24"/>
                <w:szCs w:val="20"/>
                <w:highlight w:val="none"/>
              </w:rPr>
              <w:t>预计造价（万元）</w:t>
            </w:r>
          </w:p>
        </w:tc>
        <w:tc>
          <w:tcPr>
            <w:tcW w:w="1111"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3D5A6B46">
            <w:pPr>
              <w:ind w:left="105" w:leftChars="50" w:right="105" w:rightChars="50"/>
              <w:jc w:val="center"/>
              <w:rPr>
                <w:rFonts w:ascii="Times New Roman" w:hAnsi="Times New Roman"/>
                <w:snapToGrid w:val="0"/>
                <w:color w:val="auto"/>
                <w:kern w:val="0"/>
                <w:sz w:val="24"/>
                <w:szCs w:val="20"/>
                <w:highlight w:val="none"/>
              </w:rPr>
            </w:pPr>
            <w:r>
              <w:rPr>
                <w:rFonts w:ascii="Times New Roman" w:hAnsi="Times New Roman"/>
                <w:snapToGrid w:val="0"/>
                <w:color w:val="auto"/>
                <w:kern w:val="0"/>
                <w:sz w:val="24"/>
                <w:szCs w:val="20"/>
                <w:highlight w:val="none"/>
              </w:rPr>
              <w:t>备注</w:t>
            </w:r>
          </w:p>
        </w:tc>
      </w:tr>
      <w:tr w14:paraId="5A36FF60">
        <w:tblPrEx>
          <w:tblCellMar>
            <w:top w:w="28" w:type="dxa"/>
            <w:left w:w="108" w:type="dxa"/>
            <w:bottom w:w="28" w:type="dxa"/>
            <w:right w:w="108" w:type="dxa"/>
          </w:tblCellMar>
        </w:tblPrEx>
        <w:trPr>
          <w:trHeight w:val="567" w:hRule="atLeast"/>
          <w:jc w:val="center"/>
        </w:trPr>
        <w:tc>
          <w:tcPr>
            <w:tcW w:w="1450"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1C95B1BD">
            <w:pPr>
              <w:spacing w:line="440" w:lineRule="exact"/>
              <w:ind w:left="105" w:leftChars="50" w:right="105" w:rightChars="50"/>
              <w:jc w:val="center"/>
              <w:rPr>
                <w:rFonts w:ascii="Times New Roman" w:hAnsi="Times New Roman"/>
                <w:snapToGrid w:val="0"/>
                <w:color w:val="auto"/>
                <w:kern w:val="0"/>
                <w:sz w:val="24"/>
                <w:szCs w:val="21"/>
                <w:highlight w:val="none"/>
              </w:rPr>
            </w:pPr>
          </w:p>
        </w:tc>
        <w:tc>
          <w:tcPr>
            <w:tcW w:w="1231"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124B8312">
            <w:pPr>
              <w:spacing w:line="440" w:lineRule="exact"/>
              <w:ind w:left="105" w:leftChars="50" w:right="105" w:rightChars="50"/>
              <w:jc w:val="center"/>
              <w:rPr>
                <w:rFonts w:ascii="Times New Roman" w:hAnsi="Times New Roman"/>
                <w:snapToGrid w:val="0"/>
                <w:color w:val="auto"/>
                <w:kern w:val="0"/>
                <w:sz w:val="24"/>
                <w:szCs w:val="21"/>
                <w:highlight w:val="none"/>
              </w:rPr>
            </w:pPr>
          </w:p>
        </w:tc>
        <w:tc>
          <w:tcPr>
            <w:tcW w:w="1206"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112190F0">
            <w:pPr>
              <w:ind w:left="105" w:leftChars="50" w:right="105" w:rightChars="50"/>
              <w:jc w:val="center"/>
              <w:rPr>
                <w:rFonts w:ascii="Times New Roman" w:hAnsi="Times New Roman"/>
                <w:snapToGrid w:val="0"/>
                <w:color w:val="auto"/>
                <w:kern w:val="0"/>
                <w:sz w:val="24"/>
                <w:szCs w:val="21"/>
                <w:highlight w:val="none"/>
              </w:rPr>
            </w:pPr>
          </w:p>
        </w:tc>
        <w:tc>
          <w:tcPr>
            <w:tcW w:w="1111" w:type="pct"/>
            <w:vMerge w:val="restar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6C46FA95">
            <w:pPr>
              <w:ind w:left="101" w:leftChars="45" w:right="105" w:rightChars="50" w:hanging="7" w:hangingChars="3"/>
              <w:jc w:val="both"/>
              <w:rPr>
                <w:rFonts w:ascii="Times New Roman" w:hAnsi="Times New Roman" w:eastAsia="宋体" w:cs="Times New Roman"/>
                <w:snapToGrid w:val="0"/>
                <w:color w:val="auto"/>
                <w:kern w:val="0"/>
                <w:sz w:val="24"/>
                <w:szCs w:val="21"/>
                <w:highlight w:val="none"/>
              </w:rPr>
            </w:pPr>
            <w:r>
              <w:rPr>
                <w:rFonts w:ascii="Times New Roman" w:hAnsi="Times New Roman" w:eastAsia="宋体" w:cs="Times New Roman"/>
                <w:snapToGrid w:val="0"/>
                <w:color w:val="auto"/>
                <w:kern w:val="0"/>
                <w:sz w:val="24"/>
                <w:szCs w:val="21"/>
                <w:highlight w:val="none"/>
              </w:rPr>
              <w:t>注：</w:t>
            </w:r>
            <w:r>
              <w:rPr>
                <w:rFonts w:hint="eastAsia" w:ascii="Times New Roman" w:hAnsi="Times New Roman" w:eastAsia="宋体" w:cs="Times New Roman"/>
                <w:snapToGrid w:val="0"/>
                <w:color w:val="auto"/>
                <w:kern w:val="0"/>
                <w:sz w:val="24"/>
                <w:szCs w:val="21"/>
                <w:highlight w:val="none"/>
              </w:rPr>
              <w:t>投标人如有分包计划，应明确拟分包的工程及规模，且投标人中标后的分包应满足合同条款的相关要求。</w:t>
            </w:r>
          </w:p>
          <w:p w14:paraId="121C144F">
            <w:pPr>
              <w:ind w:left="105" w:leftChars="50" w:right="105" w:rightChars="50"/>
              <w:jc w:val="center"/>
              <w:rPr>
                <w:rFonts w:ascii="Times New Roman" w:hAnsi="Times New Roman"/>
                <w:snapToGrid w:val="0"/>
                <w:color w:val="auto"/>
                <w:kern w:val="0"/>
                <w:sz w:val="24"/>
                <w:szCs w:val="21"/>
                <w:highlight w:val="none"/>
              </w:rPr>
            </w:pPr>
          </w:p>
        </w:tc>
      </w:tr>
      <w:tr w14:paraId="55234112">
        <w:tblPrEx>
          <w:tblCellMar>
            <w:top w:w="28" w:type="dxa"/>
            <w:left w:w="108" w:type="dxa"/>
            <w:bottom w:w="28" w:type="dxa"/>
            <w:right w:w="108" w:type="dxa"/>
          </w:tblCellMar>
        </w:tblPrEx>
        <w:trPr>
          <w:trHeight w:val="567" w:hRule="atLeast"/>
          <w:jc w:val="center"/>
        </w:trPr>
        <w:tc>
          <w:tcPr>
            <w:tcW w:w="1450"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2D65E08E">
            <w:pPr>
              <w:spacing w:line="440" w:lineRule="exact"/>
              <w:ind w:left="105" w:leftChars="50" w:right="105" w:rightChars="50"/>
              <w:jc w:val="center"/>
              <w:rPr>
                <w:rFonts w:ascii="Times New Roman" w:hAnsi="Times New Roman"/>
                <w:snapToGrid w:val="0"/>
                <w:color w:val="auto"/>
                <w:kern w:val="0"/>
                <w:sz w:val="24"/>
                <w:szCs w:val="21"/>
                <w:highlight w:val="none"/>
              </w:rPr>
            </w:pPr>
          </w:p>
        </w:tc>
        <w:tc>
          <w:tcPr>
            <w:tcW w:w="1231"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23374E87">
            <w:pPr>
              <w:spacing w:line="440" w:lineRule="exact"/>
              <w:ind w:left="105" w:leftChars="50" w:right="105" w:rightChars="50"/>
              <w:jc w:val="center"/>
              <w:rPr>
                <w:rFonts w:ascii="Times New Roman" w:hAnsi="Times New Roman"/>
                <w:snapToGrid w:val="0"/>
                <w:color w:val="auto"/>
                <w:kern w:val="0"/>
                <w:sz w:val="24"/>
                <w:szCs w:val="21"/>
                <w:highlight w:val="none"/>
              </w:rPr>
            </w:pPr>
          </w:p>
        </w:tc>
        <w:tc>
          <w:tcPr>
            <w:tcW w:w="1206"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40B5E9ED">
            <w:pPr>
              <w:spacing w:line="440" w:lineRule="exact"/>
              <w:ind w:left="105" w:leftChars="50" w:right="105" w:rightChars="50"/>
              <w:jc w:val="center"/>
              <w:rPr>
                <w:rFonts w:ascii="Times New Roman" w:hAnsi="Times New Roman"/>
                <w:snapToGrid w:val="0"/>
                <w:color w:val="auto"/>
                <w:kern w:val="0"/>
                <w:sz w:val="24"/>
                <w:szCs w:val="21"/>
                <w:highlight w:val="none"/>
              </w:rPr>
            </w:pPr>
          </w:p>
        </w:tc>
        <w:tc>
          <w:tcPr>
            <w:tcW w:w="1111" w:type="pct"/>
            <w:vMerge w:val="continue"/>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468FE5BD">
            <w:pPr>
              <w:spacing w:line="440" w:lineRule="exact"/>
              <w:ind w:left="105" w:leftChars="50" w:right="105" w:rightChars="50"/>
              <w:jc w:val="center"/>
              <w:rPr>
                <w:rFonts w:ascii="Times New Roman" w:hAnsi="Times New Roman"/>
                <w:snapToGrid w:val="0"/>
                <w:color w:val="auto"/>
                <w:kern w:val="0"/>
                <w:sz w:val="24"/>
                <w:szCs w:val="21"/>
                <w:highlight w:val="none"/>
              </w:rPr>
            </w:pPr>
          </w:p>
        </w:tc>
      </w:tr>
      <w:tr w14:paraId="4409F6E2">
        <w:tblPrEx>
          <w:tblCellMar>
            <w:top w:w="28" w:type="dxa"/>
            <w:left w:w="108" w:type="dxa"/>
            <w:bottom w:w="28" w:type="dxa"/>
            <w:right w:w="108" w:type="dxa"/>
          </w:tblCellMar>
        </w:tblPrEx>
        <w:trPr>
          <w:trHeight w:val="567" w:hRule="atLeast"/>
          <w:jc w:val="center"/>
        </w:trPr>
        <w:tc>
          <w:tcPr>
            <w:tcW w:w="1450"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37E0ED1D">
            <w:pPr>
              <w:spacing w:line="440" w:lineRule="exact"/>
              <w:ind w:left="105" w:leftChars="50" w:right="105" w:rightChars="50"/>
              <w:jc w:val="center"/>
              <w:rPr>
                <w:rFonts w:ascii="Times New Roman" w:hAnsi="Times New Roman"/>
                <w:snapToGrid w:val="0"/>
                <w:color w:val="auto"/>
                <w:kern w:val="0"/>
                <w:sz w:val="24"/>
                <w:szCs w:val="21"/>
                <w:highlight w:val="none"/>
              </w:rPr>
            </w:pPr>
          </w:p>
        </w:tc>
        <w:tc>
          <w:tcPr>
            <w:tcW w:w="1231"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0ED00ECC">
            <w:pPr>
              <w:spacing w:line="440" w:lineRule="exact"/>
              <w:ind w:left="105" w:leftChars="50" w:right="105" w:rightChars="50"/>
              <w:jc w:val="center"/>
              <w:rPr>
                <w:rFonts w:ascii="Times New Roman" w:hAnsi="Times New Roman"/>
                <w:snapToGrid w:val="0"/>
                <w:color w:val="auto"/>
                <w:kern w:val="0"/>
                <w:sz w:val="24"/>
                <w:szCs w:val="21"/>
                <w:highlight w:val="none"/>
              </w:rPr>
            </w:pPr>
          </w:p>
        </w:tc>
        <w:tc>
          <w:tcPr>
            <w:tcW w:w="1206"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74ADB7FB">
            <w:pPr>
              <w:spacing w:line="440" w:lineRule="exact"/>
              <w:ind w:left="105" w:leftChars="50" w:right="105" w:rightChars="50"/>
              <w:jc w:val="center"/>
              <w:rPr>
                <w:rFonts w:ascii="Times New Roman" w:hAnsi="Times New Roman"/>
                <w:snapToGrid w:val="0"/>
                <w:color w:val="auto"/>
                <w:kern w:val="0"/>
                <w:sz w:val="24"/>
                <w:szCs w:val="21"/>
                <w:highlight w:val="none"/>
              </w:rPr>
            </w:pPr>
          </w:p>
        </w:tc>
        <w:tc>
          <w:tcPr>
            <w:tcW w:w="1111" w:type="pct"/>
            <w:vMerge w:val="continue"/>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3240F3E5">
            <w:pPr>
              <w:spacing w:line="440" w:lineRule="exact"/>
              <w:ind w:left="105" w:leftChars="50" w:right="105" w:rightChars="50"/>
              <w:jc w:val="center"/>
              <w:rPr>
                <w:rFonts w:ascii="Times New Roman" w:hAnsi="Times New Roman"/>
                <w:snapToGrid w:val="0"/>
                <w:color w:val="auto"/>
                <w:kern w:val="0"/>
                <w:sz w:val="24"/>
                <w:szCs w:val="21"/>
                <w:highlight w:val="none"/>
              </w:rPr>
            </w:pPr>
          </w:p>
        </w:tc>
      </w:tr>
      <w:tr w14:paraId="49F7DCAF">
        <w:tblPrEx>
          <w:tblCellMar>
            <w:top w:w="28" w:type="dxa"/>
            <w:left w:w="108" w:type="dxa"/>
            <w:bottom w:w="28" w:type="dxa"/>
            <w:right w:w="108" w:type="dxa"/>
          </w:tblCellMar>
        </w:tblPrEx>
        <w:trPr>
          <w:trHeight w:val="567" w:hRule="atLeast"/>
          <w:jc w:val="center"/>
        </w:trPr>
        <w:tc>
          <w:tcPr>
            <w:tcW w:w="1450"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23D4F34B">
            <w:pPr>
              <w:spacing w:line="440" w:lineRule="exact"/>
              <w:ind w:left="105" w:leftChars="50" w:right="105" w:rightChars="50"/>
              <w:jc w:val="center"/>
              <w:rPr>
                <w:rFonts w:ascii="Times New Roman" w:hAnsi="Times New Roman"/>
                <w:snapToGrid w:val="0"/>
                <w:color w:val="auto"/>
                <w:kern w:val="0"/>
                <w:sz w:val="24"/>
                <w:szCs w:val="21"/>
                <w:highlight w:val="none"/>
              </w:rPr>
            </w:pPr>
          </w:p>
        </w:tc>
        <w:tc>
          <w:tcPr>
            <w:tcW w:w="1231"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7EBEEA2F">
            <w:pPr>
              <w:spacing w:line="440" w:lineRule="exact"/>
              <w:ind w:left="105" w:leftChars="50" w:right="105" w:rightChars="50"/>
              <w:jc w:val="center"/>
              <w:rPr>
                <w:rFonts w:ascii="Times New Roman" w:hAnsi="Times New Roman"/>
                <w:snapToGrid w:val="0"/>
                <w:color w:val="auto"/>
                <w:kern w:val="0"/>
                <w:sz w:val="24"/>
                <w:szCs w:val="21"/>
                <w:highlight w:val="none"/>
              </w:rPr>
            </w:pPr>
          </w:p>
        </w:tc>
        <w:tc>
          <w:tcPr>
            <w:tcW w:w="1206"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2A0F1174">
            <w:pPr>
              <w:spacing w:line="440" w:lineRule="exact"/>
              <w:ind w:left="105" w:leftChars="50" w:right="105" w:rightChars="50"/>
              <w:jc w:val="center"/>
              <w:rPr>
                <w:rFonts w:ascii="Times New Roman" w:hAnsi="Times New Roman"/>
                <w:snapToGrid w:val="0"/>
                <w:color w:val="auto"/>
                <w:kern w:val="0"/>
                <w:sz w:val="24"/>
                <w:szCs w:val="21"/>
                <w:highlight w:val="none"/>
              </w:rPr>
            </w:pPr>
          </w:p>
        </w:tc>
        <w:tc>
          <w:tcPr>
            <w:tcW w:w="1111" w:type="pct"/>
            <w:vMerge w:val="continue"/>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3F239556">
            <w:pPr>
              <w:spacing w:line="440" w:lineRule="exact"/>
              <w:ind w:left="105" w:leftChars="50" w:right="105" w:rightChars="50"/>
              <w:jc w:val="center"/>
              <w:rPr>
                <w:rFonts w:ascii="Times New Roman" w:hAnsi="Times New Roman"/>
                <w:snapToGrid w:val="0"/>
                <w:color w:val="auto"/>
                <w:kern w:val="0"/>
                <w:sz w:val="24"/>
                <w:szCs w:val="21"/>
                <w:highlight w:val="none"/>
              </w:rPr>
            </w:pPr>
          </w:p>
        </w:tc>
      </w:tr>
      <w:tr w14:paraId="0B68887E">
        <w:tblPrEx>
          <w:tblCellMar>
            <w:top w:w="28" w:type="dxa"/>
            <w:left w:w="108" w:type="dxa"/>
            <w:bottom w:w="28" w:type="dxa"/>
            <w:right w:w="108" w:type="dxa"/>
          </w:tblCellMar>
        </w:tblPrEx>
        <w:trPr>
          <w:trHeight w:val="567" w:hRule="atLeast"/>
          <w:jc w:val="center"/>
        </w:trPr>
        <w:tc>
          <w:tcPr>
            <w:tcW w:w="1450"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1D25482B">
            <w:pPr>
              <w:spacing w:line="440" w:lineRule="exact"/>
              <w:ind w:left="105" w:leftChars="50" w:right="105" w:rightChars="50"/>
              <w:jc w:val="center"/>
              <w:rPr>
                <w:rFonts w:ascii="Times New Roman" w:hAnsi="Times New Roman"/>
                <w:snapToGrid w:val="0"/>
                <w:color w:val="auto"/>
                <w:kern w:val="0"/>
                <w:sz w:val="24"/>
                <w:szCs w:val="21"/>
                <w:highlight w:val="none"/>
              </w:rPr>
            </w:pPr>
          </w:p>
        </w:tc>
        <w:tc>
          <w:tcPr>
            <w:tcW w:w="1231"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79B1A5F2">
            <w:pPr>
              <w:spacing w:line="440" w:lineRule="exact"/>
              <w:ind w:left="105" w:leftChars="50" w:right="105" w:rightChars="50"/>
              <w:jc w:val="center"/>
              <w:rPr>
                <w:rFonts w:ascii="Times New Roman" w:hAnsi="Times New Roman"/>
                <w:snapToGrid w:val="0"/>
                <w:color w:val="auto"/>
                <w:kern w:val="0"/>
                <w:sz w:val="24"/>
                <w:szCs w:val="21"/>
                <w:highlight w:val="none"/>
              </w:rPr>
            </w:pPr>
          </w:p>
        </w:tc>
        <w:tc>
          <w:tcPr>
            <w:tcW w:w="1206"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5274C8CB">
            <w:pPr>
              <w:spacing w:line="440" w:lineRule="exact"/>
              <w:ind w:left="105" w:leftChars="50" w:right="105" w:rightChars="50"/>
              <w:jc w:val="center"/>
              <w:rPr>
                <w:rFonts w:ascii="Times New Roman" w:hAnsi="Times New Roman"/>
                <w:snapToGrid w:val="0"/>
                <w:color w:val="auto"/>
                <w:kern w:val="0"/>
                <w:sz w:val="24"/>
                <w:szCs w:val="21"/>
                <w:highlight w:val="none"/>
              </w:rPr>
            </w:pPr>
          </w:p>
        </w:tc>
        <w:tc>
          <w:tcPr>
            <w:tcW w:w="1111" w:type="pct"/>
            <w:vMerge w:val="continue"/>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7AEA10E2">
            <w:pPr>
              <w:spacing w:line="440" w:lineRule="exact"/>
              <w:ind w:left="105" w:leftChars="50" w:right="105" w:rightChars="50"/>
              <w:jc w:val="center"/>
              <w:rPr>
                <w:rFonts w:ascii="Times New Roman" w:hAnsi="Times New Roman"/>
                <w:snapToGrid w:val="0"/>
                <w:color w:val="auto"/>
                <w:kern w:val="0"/>
                <w:sz w:val="24"/>
                <w:szCs w:val="21"/>
                <w:highlight w:val="none"/>
              </w:rPr>
            </w:pPr>
          </w:p>
        </w:tc>
      </w:tr>
      <w:tr w14:paraId="69BA1D27">
        <w:tblPrEx>
          <w:tblCellMar>
            <w:top w:w="28" w:type="dxa"/>
            <w:left w:w="108" w:type="dxa"/>
            <w:bottom w:w="28" w:type="dxa"/>
            <w:right w:w="108" w:type="dxa"/>
          </w:tblCellMar>
        </w:tblPrEx>
        <w:trPr>
          <w:trHeight w:val="567" w:hRule="atLeast"/>
          <w:jc w:val="center"/>
        </w:trPr>
        <w:tc>
          <w:tcPr>
            <w:tcW w:w="1450"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0B4DA605">
            <w:pPr>
              <w:spacing w:line="440" w:lineRule="exact"/>
              <w:ind w:left="105" w:leftChars="50" w:right="105" w:rightChars="50"/>
              <w:jc w:val="center"/>
              <w:rPr>
                <w:rFonts w:ascii="Times New Roman" w:hAnsi="Times New Roman"/>
                <w:snapToGrid w:val="0"/>
                <w:color w:val="auto"/>
                <w:kern w:val="0"/>
                <w:sz w:val="24"/>
                <w:szCs w:val="21"/>
                <w:highlight w:val="none"/>
              </w:rPr>
            </w:pPr>
          </w:p>
        </w:tc>
        <w:tc>
          <w:tcPr>
            <w:tcW w:w="1231"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03079BCE">
            <w:pPr>
              <w:spacing w:line="440" w:lineRule="exact"/>
              <w:ind w:left="105" w:leftChars="50" w:right="105" w:rightChars="50"/>
              <w:jc w:val="center"/>
              <w:rPr>
                <w:rFonts w:ascii="Times New Roman" w:hAnsi="Times New Roman"/>
                <w:snapToGrid w:val="0"/>
                <w:color w:val="auto"/>
                <w:kern w:val="0"/>
                <w:sz w:val="24"/>
                <w:szCs w:val="21"/>
                <w:highlight w:val="none"/>
              </w:rPr>
            </w:pPr>
          </w:p>
        </w:tc>
        <w:tc>
          <w:tcPr>
            <w:tcW w:w="1206"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14EDFA08">
            <w:pPr>
              <w:spacing w:line="440" w:lineRule="exact"/>
              <w:ind w:left="105" w:leftChars="50" w:right="105" w:rightChars="50"/>
              <w:jc w:val="center"/>
              <w:rPr>
                <w:rFonts w:ascii="Times New Roman" w:hAnsi="Times New Roman"/>
                <w:snapToGrid w:val="0"/>
                <w:color w:val="auto"/>
                <w:kern w:val="0"/>
                <w:sz w:val="24"/>
                <w:szCs w:val="21"/>
                <w:highlight w:val="none"/>
              </w:rPr>
            </w:pPr>
          </w:p>
        </w:tc>
        <w:tc>
          <w:tcPr>
            <w:tcW w:w="1111" w:type="pct"/>
            <w:vMerge w:val="continue"/>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559ECFDA">
            <w:pPr>
              <w:spacing w:line="440" w:lineRule="exact"/>
              <w:ind w:left="105" w:leftChars="50" w:right="105" w:rightChars="50"/>
              <w:jc w:val="center"/>
              <w:rPr>
                <w:rFonts w:ascii="Times New Roman" w:hAnsi="Times New Roman"/>
                <w:snapToGrid w:val="0"/>
                <w:color w:val="auto"/>
                <w:kern w:val="0"/>
                <w:sz w:val="24"/>
                <w:szCs w:val="21"/>
                <w:highlight w:val="none"/>
              </w:rPr>
            </w:pPr>
          </w:p>
        </w:tc>
      </w:tr>
      <w:tr w14:paraId="6B0BA501">
        <w:tblPrEx>
          <w:tblCellMar>
            <w:top w:w="28" w:type="dxa"/>
            <w:left w:w="108" w:type="dxa"/>
            <w:bottom w:w="28" w:type="dxa"/>
            <w:right w:w="108" w:type="dxa"/>
          </w:tblCellMar>
        </w:tblPrEx>
        <w:trPr>
          <w:trHeight w:val="567" w:hRule="atLeast"/>
          <w:jc w:val="center"/>
        </w:trPr>
        <w:tc>
          <w:tcPr>
            <w:tcW w:w="1450"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0E9A6AB1">
            <w:pPr>
              <w:spacing w:line="440" w:lineRule="exact"/>
              <w:ind w:left="105" w:leftChars="50" w:right="105" w:rightChars="50"/>
              <w:jc w:val="center"/>
              <w:rPr>
                <w:rFonts w:ascii="Times New Roman" w:hAnsi="Times New Roman"/>
                <w:snapToGrid w:val="0"/>
                <w:color w:val="auto"/>
                <w:kern w:val="0"/>
                <w:sz w:val="24"/>
                <w:szCs w:val="21"/>
                <w:highlight w:val="none"/>
              </w:rPr>
            </w:pPr>
          </w:p>
        </w:tc>
        <w:tc>
          <w:tcPr>
            <w:tcW w:w="1231"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0CC4D36A">
            <w:pPr>
              <w:spacing w:line="440" w:lineRule="exact"/>
              <w:ind w:left="105" w:leftChars="50" w:right="105" w:rightChars="50"/>
              <w:jc w:val="center"/>
              <w:rPr>
                <w:rFonts w:ascii="Times New Roman" w:hAnsi="Times New Roman"/>
                <w:snapToGrid w:val="0"/>
                <w:color w:val="auto"/>
                <w:kern w:val="0"/>
                <w:sz w:val="24"/>
                <w:szCs w:val="21"/>
                <w:highlight w:val="none"/>
              </w:rPr>
            </w:pPr>
          </w:p>
        </w:tc>
        <w:tc>
          <w:tcPr>
            <w:tcW w:w="1206"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3B59464F">
            <w:pPr>
              <w:spacing w:line="440" w:lineRule="exact"/>
              <w:ind w:left="105" w:leftChars="50" w:right="105" w:rightChars="50"/>
              <w:jc w:val="center"/>
              <w:rPr>
                <w:rFonts w:ascii="Times New Roman" w:hAnsi="Times New Roman"/>
                <w:snapToGrid w:val="0"/>
                <w:color w:val="auto"/>
                <w:kern w:val="0"/>
                <w:sz w:val="24"/>
                <w:szCs w:val="21"/>
                <w:highlight w:val="none"/>
              </w:rPr>
            </w:pPr>
          </w:p>
        </w:tc>
        <w:tc>
          <w:tcPr>
            <w:tcW w:w="1111" w:type="pct"/>
            <w:vMerge w:val="continue"/>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0D22AB65">
            <w:pPr>
              <w:spacing w:line="440" w:lineRule="exact"/>
              <w:ind w:left="105" w:leftChars="50" w:right="105" w:rightChars="50"/>
              <w:jc w:val="center"/>
              <w:rPr>
                <w:rFonts w:ascii="Times New Roman" w:hAnsi="Times New Roman"/>
                <w:snapToGrid w:val="0"/>
                <w:color w:val="auto"/>
                <w:kern w:val="0"/>
                <w:sz w:val="24"/>
                <w:szCs w:val="21"/>
                <w:highlight w:val="none"/>
              </w:rPr>
            </w:pPr>
          </w:p>
        </w:tc>
      </w:tr>
      <w:tr w14:paraId="652660EA">
        <w:tblPrEx>
          <w:tblCellMar>
            <w:top w:w="28" w:type="dxa"/>
            <w:left w:w="108" w:type="dxa"/>
            <w:bottom w:w="28" w:type="dxa"/>
            <w:right w:w="108" w:type="dxa"/>
          </w:tblCellMar>
        </w:tblPrEx>
        <w:trPr>
          <w:trHeight w:val="567" w:hRule="atLeast"/>
          <w:jc w:val="center"/>
        </w:trPr>
        <w:tc>
          <w:tcPr>
            <w:tcW w:w="1450"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4C5ED50D">
            <w:pPr>
              <w:spacing w:line="440" w:lineRule="exact"/>
              <w:ind w:left="105" w:leftChars="50" w:right="105" w:rightChars="50"/>
              <w:jc w:val="center"/>
              <w:rPr>
                <w:rFonts w:ascii="Times New Roman" w:hAnsi="Times New Roman"/>
                <w:snapToGrid w:val="0"/>
                <w:color w:val="auto"/>
                <w:kern w:val="0"/>
                <w:sz w:val="24"/>
                <w:szCs w:val="21"/>
                <w:highlight w:val="none"/>
              </w:rPr>
            </w:pPr>
          </w:p>
        </w:tc>
        <w:tc>
          <w:tcPr>
            <w:tcW w:w="1231"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4089A4FE">
            <w:pPr>
              <w:spacing w:line="440" w:lineRule="exact"/>
              <w:ind w:left="105" w:leftChars="50" w:right="105" w:rightChars="50"/>
              <w:jc w:val="center"/>
              <w:rPr>
                <w:rFonts w:ascii="Times New Roman" w:hAnsi="Times New Roman"/>
                <w:snapToGrid w:val="0"/>
                <w:color w:val="auto"/>
                <w:kern w:val="0"/>
                <w:sz w:val="24"/>
                <w:szCs w:val="21"/>
                <w:highlight w:val="none"/>
              </w:rPr>
            </w:pPr>
          </w:p>
        </w:tc>
        <w:tc>
          <w:tcPr>
            <w:tcW w:w="1206"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7BAA5D27">
            <w:pPr>
              <w:spacing w:line="440" w:lineRule="exact"/>
              <w:ind w:left="105" w:leftChars="50" w:right="105" w:rightChars="50"/>
              <w:jc w:val="center"/>
              <w:rPr>
                <w:rFonts w:ascii="Times New Roman" w:hAnsi="Times New Roman"/>
                <w:snapToGrid w:val="0"/>
                <w:color w:val="auto"/>
                <w:kern w:val="0"/>
                <w:sz w:val="24"/>
                <w:szCs w:val="21"/>
                <w:highlight w:val="none"/>
              </w:rPr>
            </w:pPr>
          </w:p>
        </w:tc>
        <w:tc>
          <w:tcPr>
            <w:tcW w:w="1111" w:type="pct"/>
            <w:vMerge w:val="continue"/>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2A135566">
            <w:pPr>
              <w:spacing w:line="440" w:lineRule="exact"/>
              <w:ind w:left="105" w:leftChars="50" w:right="105" w:rightChars="50"/>
              <w:jc w:val="center"/>
              <w:rPr>
                <w:rFonts w:ascii="Times New Roman" w:hAnsi="Times New Roman"/>
                <w:snapToGrid w:val="0"/>
                <w:color w:val="auto"/>
                <w:kern w:val="0"/>
                <w:sz w:val="24"/>
                <w:szCs w:val="21"/>
                <w:highlight w:val="none"/>
              </w:rPr>
            </w:pPr>
          </w:p>
        </w:tc>
      </w:tr>
      <w:tr w14:paraId="6CE09B90">
        <w:tblPrEx>
          <w:tblCellMar>
            <w:top w:w="28" w:type="dxa"/>
            <w:left w:w="108" w:type="dxa"/>
            <w:bottom w:w="28" w:type="dxa"/>
            <w:right w:w="108" w:type="dxa"/>
          </w:tblCellMar>
        </w:tblPrEx>
        <w:trPr>
          <w:trHeight w:val="567" w:hRule="atLeast"/>
          <w:jc w:val="center"/>
        </w:trPr>
        <w:tc>
          <w:tcPr>
            <w:tcW w:w="1450"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0DA6DD3D">
            <w:pPr>
              <w:spacing w:line="440" w:lineRule="exact"/>
              <w:ind w:left="105" w:leftChars="50" w:right="105" w:rightChars="50"/>
              <w:jc w:val="center"/>
              <w:rPr>
                <w:rFonts w:ascii="Times New Roman" w:hAnsi="Times New Roman"/>
                <w:snapToGrid w:val="0"/>
                <w:color w:val="auto"/>
                <w:kern w:val="0"/>
                <w:sz w:val="24"/>
                <w:szCs w:val="21"/>
                <w:highlight w:val="none"/>
              </w:rPr>
            </w:pPr>
          </w:p>
        </w:tc>
        <w:tc>
          <w:tcPr>
            <w:tcW w:w="1231"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44F51810">
            <w:pPr>
              <w:spacing w:line="440" w:lineRule="exact"/>
              <w:ind w:left="105" w:leftChars="50" w:right="105" w:rightChars="50"/>
              <w:jc w:val="center"/>
              <w:rPr>
                <w:rFonts w:ascii="Times New Roman" w:hAnsi="Times New Roman"/>
                <w:snapToGrid w:val="0"/>
                <w:color w:val="auto"/>
                <w:kern w:val="0"/>
                <w:sz w:val="24"/>
                <w:szCs w:val="21"/>
                <w:highlight w:val="none"/>
              </w:rPr>
            </w:pPr>
          </w:p>
        </w:tc>
        <w:tc>
          <w:tcPr>
            <w:tcW w:w="1206"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10C1BBC3">
            <w:pPr>
              <w:spacing w:line="440" w:lineRule="exact"/>
              <w:ind w:left="105" w:leftChars="50" w:right="105" w:rightChars="50"/>
              <w:jc w:val="center"/>
              <w:rPr>
                <w:rFonts w:ascii="Times New Roman" w:hAnsi="Times New Roman"/>
                <w:snapToGrid w:val="0"/>
                <w:color w:val="auto"/>
                <w:kern w:val="0"/>
                <w:sz w:val="24"/>
                <w:szCs w:val="21"/>
                <w:highlight w:val="none"/>
              </w:rPr>
            </w:pPr>
          </w:p>
        </w:tc>
        <w:tc>
          <w:tcPr>
            <w:tcW w:w="1111" w:type="pct"/>
            <w:vMerge w:val="continue"/>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1FAD8004">
            <w:pPr>
              <w:spacing w:line="440" w:lineRule="exact"/>
              <w:ind w:left="105" w:leftChars="50" w:right="105" w:rightChars="50"/>
              <w:jc w:val="center"/>
              <w:rPr>
                <w:rFonts w:ascii="Times New Roman" w:hAnsi="Times New Roman"/>
                <w:snapToGrid w:val="0"/>
                <w:color w:val="auto"/>
                <w:kern w:val="0"/>
                <w:sz w:val="24"/>
                <w:szCs w:val="21"/>
                <w:highlight w:val="none"/>
              </w:rPr>
            </w:pPr>
          </w:p>
        </w:tc>
      </w:tr>
      <w:tr w14:paraId="58EE82F5">
        <w:tblPrEx>
          <w:tblCellMar>
            <w:top w:w="28" w:type="dxa"/>
            <w:left w:w="108" w:type="dxa"/>
            <w:bottom w:w="28" w:type="dxa"/>
            <w:right w:w="108" w:type="dxa"/>
          </w:tblCellMar>
        </w:tblPrEx>
        <w:trPr>
          <w:trHeight w:val="567" w:hRule="atLeast"/>
          <w:jc w:val="center"/>
        </w:trPr>
        <w:tc>
          <w:tcPr>
            <w:tcW w:w="1450"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25701A28">
            <w:pPr>
              <w:spacing w:line="440" w:lineRule="exact"/>
              <w:ind w:left="105" w:leftChars="50" w:right="105" w:rightChars="50"/>
              <w:jc w:val="center"/>
              <w:rPr>
                <w:rFonts w:ascii="Times New Roman" w:hAnsi="Times New Roman"/>
                <w:snapToGrid w:val="0"/>
                <w:color w:val="auto"/>
                <w:kern w:val="0"/>
                <w:sz w:val="24"/>
                <w:szCs w:val="21"/>
                <w:highlight w:val="none"/>
              </w:rPr>
            </w:pPr>
          </w:p>
        </w:tc>
        <w:tc>
          <w:tcPr>
            <w:tcW w:w="1231"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2A3DBD0B">
            <w:pPr>
              <w:spacing w:line="440" w:lineRule="exact"/>
              <w:ind w:left="105" w:leftChars="50" w:right="105" w:rightChars="50"/>
              <w:jc w:val="center"/>
              <w:rPr>
                <w:rFonts w:ascii="Times New Roman" w:hAnsi="Times New Roman"/>
                <w:snapToGrid w:val="0"/>
                <w:color w:val="auto"/>
                <w:kern w:val="0"/>
                <w:sz w:val="24"/>
                <w:szCs w:val="21"/>
                <w:highlight w:val="none"/>
              </w:rPr>
            </w:pPr>
          </w:p>
        </w:tc>
        <w:tc>
          <w:tcPr>
            <w:tcW w:w="1206"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6B95F6FF">
            <w:pPr>
              <w:spacing w:line="440" w:lineRule="exact"/>
              <w:ind w:left="105" w:leftChars="50" w:right="105" w:rightChars="50"/>
              <w:jc w:val="center"/>
              <w:rPr>
                <w:rFonts w:ascii="Times New Roman" w:hAnsi="Times New Roman"/>
                <w:snapToGrid w:val="0"/>
                <w:color w:val="auto"/>
                <w:kern w:val="0"/>
                <w:sz w:val="24"/>
                <w:szCs w:val="21"/>
                <w:highlight w:val="none"/>
              </w:rPr>
            </w:pPr>
          </w:p>
        </w:tc>
        <w:tc>
          <w:tcPr>
            <w:tcW w:w="1111" w:type="pct"/>
            <w:vMerge w:val="continue"/>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3185FBEF">
            <w:pPr>
              <w:spacing w:line="440" w:lineRule="exact"/>
              <w:ind w:left="105" w:leftChars="50" w:right="105" w:rightChars="50"/>
              <w:jc w:val="center"/>
              <w:rPr>
                <w:rFonts w:ascii="Times New Roman" w:hAnsi="Times New Roman"/>
                <w:snapToGrid w:val="0"/>
                <w:color w:val="auto"/>
                <w:kern w:val="0"/>
                <w:sz w:val="24"/>
                <w:szCs w:val="21"/>
                <w:highlight w:val="none"/>
              </w:rPr>
            </w:pPr>
          </w:p>
        </w:tc>
      </w:tr>
      <w:tr w14:paraId="59714DEA">
        <w:trPr>
          <w:trHeight w:val="567" w:hRule="atLeast"/>
          <w:jc w:val="center"/>
        </w:trPr>
        <w:tc>
          <w:tcPr>
            <w:tcW w:w="1450"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64664858">
            <w:pPr>
              <w:spacing w:line="440" w:lineRule="exact"/>
              <w:ind w:left="105" w:leftChars="50" w:right="105" w:rightChars="50"/>
              <w:jc w:val="center"/>
              <w:rPr>
                <w:rFonts w:ascii="Times New Roman" w:hAnsi="Times New Roman"/>
                <w:snapToGrid w:val="0"/>
                <w:color w:val="auto"/>
                <w:kern w:val="0"/>
                <w:sz w:val="24"/>
                <w:szCs w:val="21"/>
                <w:highlight w:val="none"/>
              </w:rPr>
            </w:pPr>
          </w:p>
        </w:tc>
        <w:tc>
          <w:tcPr>
            <w:tcW w:w="1231"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006D1134">
            <w:pPr>
              <w:spacing w:line="440" w:lineRule="exact"/>
              <w:ind w:left="105" w:leftChars="50" w:right="105" w:rightChars="50"/>
              <w:jc w:val="center"/>
              <w:rPr>
                <w:rFonts w:ascii="Times New Roman" w:hAnsi="Times New Roman"/>
                <w:snapToGrid w:val="0"/>
                <w:color w:val="auto"/>
                <w:kern w:val="0"/>
                <w:sz w:val="24"/>
                <w:szCs w:val="21"/>
                <w:highlight w:val="none"/>
              </w:rPr>
            </w:pPr>
          </w:p>
        </w:tc>
        <w:tc>
          <w:tcPr>
            <w:tcW w:w="1206"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4CD7A9E1">
            <w:pPr>
              <w:spacing w:line="440" w:lineRule="exact"/>
              <w:ind w:left="105" w:leftChars="50" w:right="105" w:rightChars="50"/>
              <w:jc w:val="center"/>
              <w:rPr>
                <w:rFonts w:ascii="Times New Roman" w:hAnsi="Times New Roman"/>
                <w:snapToGrid w:val="0"/>
                <w:color w:val="auto"/>
                <w:kern w:val="0"/>
                <w:sz w:val="24"/>
                <w:szCs w:val="21"/>
                <w:highlight w:val="none"/>
              </w:rPr>
            </w:pPr>
          </w:p>
        </w:tc>
        <w:tc>
          <w:tcPr>
            <w:tcW w:w="1111" w:type="pct"/>
            <w:vMerge w:val="continue"/>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10657D9F">
            <w:pPr>
              <w:spacing w:line="440" w:lineRule="exact"/>
              <w:ind w:left="105" w:leftChars="50" w:right="105" w:rightChars="50"/>
              <w:jc w:val="center"/>
              <w:rPr>
                <w:rFonts w:ascii="Times New Roman" w:hAnsi="Times New Roman"/>
                <w:snapToGrid w:val="0"/>
                <w:color w:val="auto"/>
                <w:kern w:val="0"/>
                <w:sz w:val="24"/>
                <w:szCs w:val="21"/>
                <w:highlight w:val="none"/>
              </w:rPr>
            </w:pPr>
          </w:p>
        </w:tc>
      </w:tr>
      <w:tr w14:paraId="4BD14CAE">
        <w:tblPrEx>
          <w:tblCellMar>
            <w:top w:w="28" w:type="dxa"/>
            <w:left w:w="108" w:type="dxa"/>
            <w:bottom w:w="28" w:type="dxa"/>
            <w:right w:w="108" w:type="dxa"/>
          </w:tblCellMar>
        </w:tblPrEx>
        <w:trPr>
          <w:trHeight w:val="567" w:hRule="atLeast"/>
          <w:jc w:val="center"/>
        </w:trPr>
        <w:tc>
          <w:tcPr>
            <w:tcW w:w="2682" w:type="pct"/>
            <w:gridSpan w:val="2"/>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09104979">
            <w:pPr>
              <w:spacing w:line="440" w:lineRule="exact"/>
              <w:ind w:left="105" w:leftChars="50" w:right="105" w:rightChars="50"/>
              <w:jc w:val="center"/>
              <w:rPr>
                <w:rFonts w:ascii="Times New Roman" w:hAnsi="Times New Roman"/>
                <w:snapToGrid w:val="0"/>
                <w:color w:val="auto"/>
                <w:kern w:val="0"/>
                <w:sz w:val="24"/>
                <w:szCs w:val="21"/>
                <w:highlight w:val="none"/>
              </w:rPr>
            </w:pPr>
            <w:r>
              <w:rPr>
                <w:rFonts w:ascii="Times New Roman" w:hAnsi="Times New Roman"/>
                <w:snapToGrid w:val="0"/>
                <w:color w:val="auto"/>
                <w:kern w:val="0"/>
                <w:sz w:val="24"/>
                <w:szCs w:val="21"/>
                <w:highlight w:val="none"/>
              </w:rPr>
              <w:t>拟分包工程造价合计（万元）</w:t>
            </w:r>
          </w:p>
        </w:tc>
        <w:tc>
          <w:tcPr>
            <w:tcW w:w="1206"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74855248">
            <w:pPr>
              <w:spacing w:line="440" w:lineRule="exact"/>
              <w:ind w:left="105" w:leftChars="50" w:right="105" w:rightChars="50"/>
              <w:jc w:val="center"/>
              <w:rPr>
                <w:rFonts w:ascii="Times New Roman" w:hAnsi="Times New Roman"/>
                <w:snapToGrid w:val="0"/>
                <w:color w:val="auto"/>
                <w:kern w:val="0"/>
                <w:sz w:val="24"/>
                <w:szCs w:val="21"/>
                <w:highlight w:val="none"/>
              </w:rPr>
            </w:pPr>
          </w:p>
        </w:tc>
        <w:tc>
          <w:tcPr>
            <w:tcW w:w="1111" w:type="pct"/>
            <w:vMerge w:val="continue"/>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0290B693">
            <w:pPr>
              <w:spacing w:line="440" w:lineRule="exact"/>
              <w:ind w:left="105" w:leftChars="50" w:right="105" w:rightChars="50"/>
              <w:jc w:val="center"/>
              <w:rPr>
                <w:rFonts w:ascii="Times New Roman" w:hAnsi="Times New Roman"/>
                <w:snapToGrid w:val="0"/>
                <w:color w:val="auto"/>
                <w:kern w:val="0"/>
                <w:sz w:val="24"/>
                <w:szCs w:val="21"/>
                <w:highlight w:val="none"/>
              </w:rPr>
            </w:pPr>
          </w:p>
        </w:tc>
      </w:tr>
    </w:tbl>
    <w:p w14:paraId="5A11A3D3">
      <w:pPr>
        <w:pStyle w:val="4"/>
        <w:adjustRightInd w:val="0"/>
        <w:snapToGrid w:val="0"/>
        <w:spacing w:before="0" w:after="0" w:line="560" w:lineRule="exact"/>
        <w:jc w:val="center"/>
        <w:rPr>
          <w:rFonts w:hint="eastAsia"/>
          <w:color w:val="auto"/>
          <w:highlight w:val="none"/>
        </w:rPr>
      </w:pPr>
    </w:p>
    <w:p w14:paraId="411AA38D">
      <w:pPr>
        <w:rPr>
          <w:rFonts w:hint="eastAsia"/>
          <w:color w:val="auto"/>
          <w:highlight w:val="none"/>
        </w:rPr>
      </w:pPr>
    </w:p>
    <w:p w14:paraId="3ECB04A8">
      <w:pPr>
        <w:rPr>
          <w:rFonts w:hint="eastAsia"/>
          <w:color w:val="auto"/>
          <w:highlight w:val="none"/>
        </w:rPr>
      </w:pPr>
    </w:p>
    <w:bookmarkEnd w:id="1502"/>
    <w:bookmarkEnd w:id="1503"/>
    <w:bookmarkEnd w:id="1504"/>
    <w:bookmarkEnd w:id="1505"/>
    <w:p w14:paraId="5076C76C">
      <w:pPr>
        <w:rPr>
          <w:rFonts w:hint="eastAsia"/>
          <w:color w:val="auto"/>
          <w:highlight w:val="none"/>
        </w:rPr>
      </w:pPr>
      <w:bookmarkStart w:id="1507" w:name="_Toc95223538"/>
      <w:r>
        <w:rPr>
          <w:rFonts w:hint="eastAsia"/>
          <w:color w:val="auto"/>
          <w:highlight w:val="none"/>
        </w:rPr>
        <w:br w:type="page"/>
      </w:r>
    </w:p>
    <w:p w14:paraId="3C8828A7">
      <w:pPr>
        <w:pStyle w:val="4"/>
        <w:adjustRightInd w:val="0"/>
        <w:snapToGrid w:val="0"/>
        <w:spacing w:before="0" w:after="0" w:line="560" w:lineRule="exact"/>
        <w:jc w:val="center"/>
        <w:rPr>
          <w:color w:val="auto"/>
          <w:highlight w:val="none"/>
        </w:rPr>
      </w:pPr>
      <w:r>
        <w:rPr>
          <w:rFonts w:hint="eastAsia"/>
          <w:color w:val="auto"/>
          <w:highlight w:val="none"/>
        </w:rPr>
        <w:t>（</w:t>
      </w:r>
      <w:r>
        <w:rPr>
          <w:rFonts w:hint="eastAsia"/>
          <w:color w:val="auto"/>
          <w:highlight w:val="none"/>
          <w:lang w:val="en-US" w:eastAsia="zh-CN"/>
        </w:rPr>
        <w:t>7</w:t>
      </w:r>
      <w:r>
        <w:rPr>
          <w:rFonts w:hint="eastAsia"/>
          <w:color w:val="auto"/>
          <w:highlight w:val="none"/>
        </w:rPr>
        <w:t>）</w:t>
      </w:r>
      <w:r>
        <w:rPr>
          <w:color w:val="auto"/>
          <w:highlight w:val="none"/>
        </w:rPr>
        <w:t>项目管理机构</w:t>
      </w:r>
    </w:p>
    <w:p w14:paraId="41859E32">
      <w:pPr>
        <w:pStyle w:val="5"/>
        <w:jc w:val="center"/>
        <w:rPr>
          <w:color w:val="auto"/>
          <w:highlight w:val="none"/>
        </w:rPr>
      </w:pPr>
      <w:r>
        <w:rPr>
          <w:rFonts w:hint="eastAsia"/>
          <w:color w:val="auto"/>
          <w:highlight w:val="none"/>
        </w:rPr>
        <w:t>附表1：</w:t>
      </w:r>
      <w:r>
        <w:rPr>
          <w:color w:val="auto"/>
          <w:highlight w:val="none"/>
        </w:rPr>
        <w:t>项目管理机构</w:t>
      </w:r>
      <w:r>
        <w:rPr>
          <w:rFonts w:hint="eastAsia"/>
          <w:color w:val="auto"/>
          <w:highlight w:val="none"/>
        </w:rPr>
        <w:t>主要人员</w:t>
      </w:r>
      <w:r>
        <w:rPr>
          <w:color w:val="auto"/>
          <w:highlight w:val="none"/>
        </w:rPr>
        <w:t>组成表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6"/>
        <w:gridCol w:w="944"/>
        <w:gridCol w:w="812"/>
        <w:gridCol w:w="1220"/>
        <w:gridCol w:w="812"/>
        <w:gridCol w:w="814"/>
        <w:gridCol w:w="811"/>
        <w:gridCol w:w="2848"/>
        <w:gridCol w:w="759"/>
      </w:tblGrid>
      <w:tr w14:paraId="53C32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616" w:type="dxa"/>
            <w:vMerge w:val="restart"/>
            <w:noWrap w:val="0"/>
            <w:vAlign w:val="center"/>
          </w:tcPr>
          <w:p w14:paraId="65505629">
            <w:pPr>
              <w:adjustRightInd w:val="0"/>
              <w:snapToGrid w:val="0"/>
              <w:spacing w:line="560" w:lineRule="exact"/>
              <w:jc w:val="center"/>
              <w:rPr>
                <w:color w:val="auto"/>
                <w:szCs w:val="21"/>
                <w:highlight w:val="none"/>
              </w:rPr>
            </w:pPr>
            <w:r>
              <w:rPr>
                <w:color w:val="auto"/>
                <w:szCs w:val="21"/>
                <w:highlight w:val="none"/>
              </w:rPr>
              <w:t>职务</w:t>
            </w:r>
          </w:p>
        </w:tc>
        <w:tc>
          <w:tcPr>
            <w:tcW w:w="944" w:type="dxa"/>
            <w:vMerge w:val="restart"/>
            <w:noWrap w:val="0"/>
            <w:vAlign w:val="center"/>
          </w:tcPr>
          <w:p w14:paraId="2F08BB6A">
            <w:pPr>
              <w:adjustRightInd w:val="0"/>
              <w:snapToGrid w:val="0"/>
              <w:spacing w:line="560" w:lineRule="exact"/>
              <w:jc w:val="center"/>
              <w:rPr>
                <w:color w:val="auto"/>
                <w:szCs w:val="21"/>
                <w:highlight w:val="none"/>
              </w:rPr>
            </w:pPr>
            <w:r>
              <w:rPr>
                <w:color w:val="auto"/>
                <w:szCs w:val="21"/>
                <w:highlight w:val="none"/>
              </w:rPr>
              <w:t>姓名</w:t>
            </w:r>
          </w:p>
        </w:tc>
        <w:tc>
          <w:tcPr>
            <w:tcW w:w="812" w:type="dxa"/>
            <w:vMerge w:val="restart"/>
            <w:noWrap w:val="0"/>
            <w:vAlign w:val="center"/>
          </w:tcPr>
          <w:p w14:paraId="0B0B0023">
            <w:pPr>
              <w:adjustRightInd w:val="0"/>
              <w:snapToGrid w:val="0"/>
              <w:spacing w:line="560" w:lineRule="exact"/>
              <w:jc w:val="center"/>
              <w:rPr>
                <w:color w:val="auto"/>
                <w:szCs w:val="21"/>
                <w:highlight w:val="none"/>
              </w:rPr>
            </w:pPr>
            <w:r>
              <w:rPr>
                <w:color w:val="auto"/>
                <w:szCs w:val="21"/>
                <w:highlight w:val="none"/>
              </w:rPr>
              <w:t>职称</w:t>
            </w:r>
          </w:p>
        </w:tc>
        <w:tc>
          <w:tcPr>
            <w:tcW w:w="6505" w:type="dxa"/>
            <w:gridSpan w:val="5"/>
            <w:noWrap w:val="0"/>
            <w:vAlign w:val="center"/>
          </w:tcPr>
          <w:p w14:paraId="2168A893">
            <w:pPr>
              <w:adjustRightInd w:val="0"/>
              <w:snapToGrid w:val="0"/>
              <w:spacing w:line="560" w:lineRule="exact"/>
              <w:jc w:val="center"/>
              <w:rPr>
                <w:color w:val="auto"/>
                <w:szCs w:val="21"/>
                <w:highlight w:val="none"/>
              </w:rPr>
            </w:pPr>
            <w:r>
              <w:rPr>
                <w:color w:val="auto"/>
                <w:szCs w:val="21"/>
                <w:highlight w:val="none"/>
              </w:rPr>
              <w:t>执业或职业资格证明</w:t>
            </w:r>
          </w:p>
        </w:tc>
        <w:tc>
          <w:tcPr>
            <w:tcW w:w="759" w:type="dxa"/>
            <w:noWrap w:val="0"/>
            <w:vAlign w:val="center"/>
          </w:tcPr>
          <w:p w14:paraId="0781392B">
            <w:pPr>
              <w:adjustRightInd w:val="0"/>
              <w:snapToGrid w:val="0"/>
              <w:spacing w:line="560" w:lineRule="exact"/>
              <w:jc w:val="center"/>
              <w:rPr>
                <w:color w:val="auto"/>
                <w:szCs w:val="21"/>
                <w:highlight w:val="none"/>
              </w:rPr>
            </w:pPr>
            <w:r>
              <w:rPr>
                <w:color w:val="auto"/>
                <w:szCs w:val="21"/>
                <w:highlight w:val="none"/>
              </w:rPr>
              <w:t>备注</w:t>
            </w:r>
          </w:p>
        </w:tc>
      </w:tr>
      <w:tr w14:paraId="34DA2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616" w:type="dxa"/>
            <w:vMerge w:val="continue"/>
            <w:noWrap w:val="0"/>
            <w:vAlign w:val="center"/>
          </w:tcPr>
          <w:p w14:paraId="714BC64D">
            <w:pPr>
              <w:adjustRightInd w:val="0"/>
              <w:snapToGrid w:val="0"/>
              <w:spacing w:line="560" w:lineRule="exact"/>
              <w:jc w:val="center"/>
              <w:rPr>
                <w:color w:val="auto"/>
                <w:szCs w:val="21"/>
                <w:highlight w:val="none"/>
              </w:rPr>
            </w:pPr>
          </w:p>
        </w:tc>
        <w:tc>
          <w:tcPr>
            <w:tcW w:w="944" w:type="dxa"/>
            <w:vMerge w:val="continue"/>
            <w:noWrap w:val="0"/>
            <w:vAlign w:val="center"/>
          </w:tcPr>
          <w:p w14:paraId="66AABCEE">
            <w:pPr>
              <w:adjustRightInd w:val="0"/>
              <w:snapToGrid w:val="0"/>
              <w:spacing w:line="560" w:lineRule="exact"/>
              <w:jc w:val="center"/>
              <w:rPr>
                <w:color w:val="auto"/>
                <w:szCs w:val="21"/>
                <w:highlight w:val="none"/>
              </w:rPr>
            </w:pPr>
          </w:p>
        </w:tc>
        <w:tc>
          <w:tcPr>
            <w:tcW w:w="812" w:type="dxa"/>
            <w:vMerge w:val="continue"/>
            <w:noWrap w:val="0"/>
            <w:vAlign w:val="center"/>
          </w:tcPr>
          <w:p w14:paraId="7AD59558">
            <w:pPr>
              <w:adjustRightInd w:val="0"/>
              <w:snapToGrid w:val="0"/>
              <w:spacing w:line="560" w:lineRule="exact"/>
              <w:jc w:val="center"/>
              <w:rPr>
                <w:color w:val="auto"/>
                <w:szCs w:val="21"/>
                <w:highlight w:val="none"/>
              </w:rPr>
            </w:pPr>
          </w:p>
        </w:tc>
        <w:tc>
          <w:tcPr>
            <w:tcW w:w="1220" w:type="dxa"/>
            <w:noWrap w:val="0"/>
            <w:vAlign w:val="center"/>
          </w:tcPr>
          <w:p w14:paraId="42E7D077">
            <w:pPr>
              <w:adjustRightInd w:val="0"/>
              <w:snapToGrid w:val="0"/>
              <w:spacing w:line="560" w:lineRule="exact"/>
              <w:jc w:val="center"/>
              <w:rPr>
                <w:color w:val="auto"/>
                <w:szCs w:val="21"/>
                <w:highlight w:val="none"/>
              </w:rPr>
            </w:pPr>
            <w:r>
              <w:rPr>
                <w:color w:val="auto"/>
                <w:szCs w:val="21"/>
                <w:highlight w:val="none"/>
              </w:rPr>
              <w:t>证书名称</w:t>
            </w:r>
          </w:p>
        </w:tc>
        <w:tc>
          <w:tcPr>
            <w:tcW w:w="812" w:type="dxa"/>
            <w:noWrap w:val="0"/>
            <w:vAlign w:val="center"/>
          </w:tcPr>
          <w:p w14:paraId="2EC6478C">
            <w:pPr>
              <w:adjustRightInd w:val="0"/>
              <w:snapToGrid w:val="0"/>
              <w:spacing w:line="560" w:lineRule="exact"/>
              <w:jc w:val="center"/>
              <w:rPr>
                <w:color w:val="auto"/>
                <w:szCs w:val="21"/>
                <w:highlight w:val="none"/>
              </w:rPr>
            </w:pPr>
            <w:r>
              <w:rPr>
                <w:color w:val="auto"/>
                <w:szCs w:val="21"/>
                <w:highlight w:val="none"/>
              </w:rPr>
              <w:t>级别</w:t>
            </w:r>
          </w:p>
        </w:tc>
        <w:tc>
          <w:tcPr>
            <w:tcW w:w="814" w:type="dxa"/>
            <w:noWrap w:val="0"/>
            <w:vAlign w:val="center"/>
          </w:tcPr>
          <w:p w14:paraId="24DC17E1">
            <w:pPr>
              <w:adjustRightInd w:val="0"/>
              <w:snapToGrid w:val="0"/>
              <w:spacing w:line="560" w:lineRule="exact"/>
              <w:jc w:val="center"/>
              <w:rPr>
                <w:color w:val="auto"/>
                <w:szCs w:val="21"/>
                <w:highlight w:val="none"/>
              </w:rPr>
            </w:pPr>
            <w:r>
              <w:rPr>
                <w:color w:val="auto"/>
                <w:szCs w:val="21"/>
                <w:highlight w:val="none"/>
              </w:rPr>
              <w:t>证号</w:t>
            </w:r>
          </w:p>
        </w:tc>
        <w:tc>
          <w:tcPr>
            <w:tcW w:w="811" w:type="dxa"/>
            <w:noWrap w:val="0"/>
            <w:vAlign w:val="center"/>
          </w:tcPr>
          <w:p w14:paraId="09613244">
            <w:pPr>
              <w:adjustRightInd w:val="0"/>
              <w:snapToGrid w:val="0"/>
              <w:spacing w:line="560" w:lineRule="exact"/>
              <w:jc w:val="center"/>
              <w:rPr>
                <w:color w:val="auto"/>
                <w:szCs w:val="21"/>
                <w:highlight w:val="none"/>
              </w:rPr>
            </w:pPr>
            <w:r>
              <w:rPr>
                <w:color w:val="auto"/>
                <w:szCs w:val="21"/>
                <w:highlight w:val="none"/>
              </w:rPr>
              <w:t>专业</w:t>
            </w:r>
          </w:p>
        </w:tc>
        <w:tc>
          <w:tcPr>
            <w:tcW w:w="2848" w:type="dxa"/>
            <w:noWrap w:val="0"/>
            <w:vAlign w:val="center"/>
          </w:tcPr>
          <w:p w14:paraId="1A6D697F">
            <w:pPr>
              <w:adjustRightInd w:val="0"/>
              <w:snapToGrid w:val="0"/>
              <w:spacing w:line="560" w:lineRule="exact"/>
              <w:jc w:val="center"/>
              <w:rPr>
                <w:color w:val="auto"/>
                <w:szCs w:val="21"/>
                <w:highlight w:val="none"/>
              </w:rPr>
            </w:pPr>
            <w:r>
              <w:rPr>
                <w:color w:val="auto"/>
                <w:szCs w:val="21"/>
                <w:highlight w:val="none"/>
              </w:rPr>
              <w:t>养老保险</w:t>
            </w:r>
          </w:p>
        </w:tc>
        <w:tc>
          <w:tcPr>
            <w:tcW w:w="759" w:type="dxa"/>
            <w:noWrap w:val="0"/>
            <w:vAlign w:val="center"/>
          </w:tcPr>
          <w:p w14:paraId="573F1EE3">
            <w:pPr>
              <w:adjustRightInd w:val="0"/>
              <w:snapToGrid w:val="0"/>
              <w:spacing w:line="560" w:lineRule="exact"/>
              <w:jc w:val="center"/>
              <w:rPr>
                <w:color w:val="auto"/>
                <w:szCs w:val="21"/>
                <w:highlight w:val="none"/>
              </w:rPr>
            </w:pPr>
          </w:p>
        </w:tc>
      </w:tr>
      <w:tr w14:paraId="1D734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616" w:type="dxa"/>
            <w:noWrap w:val="0"/>
            <w:vAlign w:val="center"/>
          </w:tcPr>
          <w:p w14:paraId="06BF8823">
            <w:pPr>
              <w:adjustRightInd w:val="0"/>
              <w:snapToGrid w:val="0"/>
              <w:spacing w:line="560" w:lineRule="exact"/>
              <w:jc w:val="center"/>
              <w:rPr>
                <w:color w:val="auto"/>
                <w:szCs w:val="21"/>
                <w:highlight w:val="none"/>
              </w:rPr>
            </w:pPr>
            <w:r>
              <w:rPr>
                <w:rFonts w:hint="eastAsia"/>
                <w:color w:val="auto"/>
                <w:szCs w:val="21"/>
                <w:highlight w:val="none"/>
              </w:rPr>
              <w:t>项目经理</w:t>
            </w:r>
            <w:r>
              <w:rPr>
                <w:rFonts w:hint="eastAsia"/>
                <w:color w:val="auto"/>
                <w:szCs w:val="21"/>
                <w:highlight w:val="none"/>
                <w:lang w:val="en-US" w:eastAsia="zh-CN"/>
              </w:rPr>
              <w:t>A岗</w:t>
            </w:r>
            <w:r>
              <w:rPr>
                <w:rFonts w:hint="eastAsia"/>
                <w:color w:val="auto"/>
                <w:szCs w:val="21"/>
                <w:highlight w:val="none"/>
              </w:rPr>
              <w:t>（建造师）</w:t>
            </w:r>
          </w:p>
        </w:tc>
        <w:tc>
          <w:tcPr>
            <w:tcW w:w="944" w:type="dxa"/>
            <w:noWrap w:val="0"/>
            <w:vAlign w:val="center"/>
          </w:tcPr>
          <w:p w14:paraId="4922449C">
            <w:pPr>
              <w:adjustRightInd w:val="0"/>
              <w:snapToGrid w:val="0"/>
              <w:spacing w:line="560" w:lineRule="exact"/>
              <w:jc w:val="center"/>
              <w:rPr>
                <w:color w:val="auto"/>
                <w:szCs w:val="21"/>
                <w:highlight w:val="none"/>
              </w:rPr>
            </w:pPr>
          </w:p>
        </w:tc>
        <w:tc>
          <w:tcPr>
            <w:tcW w:w="812" w:type="dxa"/>
            <w:noWrap w:val="0"/>
            <w:vAlign w:val="center"/>
          </w:tcPr>
          <w:p w14:paraId="20FD3425">
            <w:pPr>
              <w:adjustRightInd w:val="0"/>
              <w:snapToGrid w:val="0"/>
              <w:spacing w:line="560" w:lineRule="exact"/>
              <w:jc w:val="center"/>
              <w:rPr>
                <w:color w:val="auto"/>
                <w:szCs w:val="21"/>
                <w:highlight w:val="none"/>
              </w:rPr>
            </w:pPr>
          </w:p>
        </w:tc>
        <w:tc>
          <w:tcPr>
            <w:tcW w:w="1220" w:type="dxa"/>
            <w:noWrap w:val="0"/>
            <w:vAlign w:val="center"/>
          </w:tcPr>
          <w:p w14:paraId="5423A33B">
            <w:pPr>
              <w:adjustRightInd w:val="0"/>
              <w:snapToGrid w:val="0"/>
              <w:spacing w:line="560" w:lineRule="exact"/>
              <w:jc w:val="center"/>
              <w:rPr>
                <w:color w:val="auto"/>
                <w:szCs w:val="21"/>
                <w:highlight w:val="none"/>
              </w:rPr>
            </w:pPr>
          </w:p>
        </w:tc>
        <w:tc>
          <w:tcPr>
            <w:tcW w:w="812" w:type="dxa"/>
            <w:noWrap w:val="0"/>
            <w:vAlign w:val="center"/>
          </w:tcPr>
          <w:p w14:paraId="4580CBA9">
            <w:pPr>
              <w:adjustRightInd w:val="0"/>
              <w:snapToGrid w:val="0"/>
              <w:spacing w:line="560" w:lineRule="exact"/>
              <w:jc w:val="center"/>
              <w:rPr>
                <w:color w:val="auto"/>
                <w:szCs w:val="21"/>
                <w:highlight w:val="none"/>
              </w:rPr>
            </w:pPr>
          </w:p>
        </w:tc>
        <w:tc>
          <w:tcPr>
            <w:tcW w:w="814" w:type="dxa"/>
            <w:noWrap w:val="0"/>
            <w:vAlign w:val="center"/>
          </w:tcPr>
          <w:p w14:paraId="2F107D0A">
            <w:pPr>
              <w:adjustRightInd w:val="0"/>
              <w:snapToGrid w:val="0"/>
              <w:spacing w:line="560" w:lineRule="exact"/>
              <w:jc w:val="center"/>
              <w:rPr>
                <w:color w:val="auto"/>
                <w:szCs w:val="21"/>
                <w:highlight w:val="none"/>
              </w:rPr>
            </w:pPr>
          </w:p>
        </w:tc>
        <w:tc>
          <w:tcPr>
            <w:tcW w:w="811" w:type="dxa"/>
            <w:noWrap w:val="0"/>
            <w:vAlign w:val="center"/>
          </w:tcPr>
          <w:p w14:paraId="2774F4F7">
            <w:pPr>
              <w:adjustRightInd w:val="0"/>
              <w:snapToGrid w:val="0"/>
              <w:spacing w:line="560" w:lineRule="exact"/>
              <w:jc w:val="center"/>
              <w:rPr>
                <w:color w:val="auto"/>
                <w:szCs w:val="21"/>
                <w:highlight w:val="none"/>
              </w:rPr>
            </w:pPr>
          </w:p>
        </w:tc>
        <w:tc>
          <w:tcPr>
            <w:tcW w:w="2848" w:type="dxa"/>
            <w:noWrap w:val="0"/>
            <w:vAlign w:val="center"/>
          </w:tcPr>
          <w:p w14:paraId="63F921F7">
            <w:pPr>
              <w:adjustRightInd w:val="0"/>
              <w:snapToGrid w:val="0"/>
              <w:spacing w:line="560" w:lineRule="exact"/>
              <w:jc w:val="center"/>
              <w:rPr>
                <w:color w:val="auto"/>
                <w:szCs w:val="21"/>
                <w:highlight w:val="none"/>
              </w:rPr>
            </w:pPr>
          </w:p>
        </w:tc>
        <w:tc>
          <w:tcPr>
            <w:tcW w:w="759" w:type="dxa"/>
            <w:noWrap w:val="0"/>
            <w:vAlign w:val="center"/>
          </w:tcPr>
          <w:p w14:paraId="142BDA69">
            <w:pPr>
              <w:adjustRightInd w:val="0"/>
              <w:snapToGrid w:val="0"/>
              <w:spacing w:line="560" w:lineRule="exact"/>
              <w:jc w:val="center"/>
              <w:rPr>
                <w:color w:val="auto"/>
                <w:szCs w:val="21"/>
                <w:highlight w:val="none"/>
              </w:rPr>
            </w:pPr>
          </w:p>
        </w:tc>
      </w:tr>
      <w:tr w14:paraId="5C929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616" w:type="dxa"/>
            <w:noWrap w:val="0"/>
            <w:vAlign w:val="center"/>
          </w:tcPr>
          <w:p w14:paraId="3BF8A3CE">
            <w:pPr>
              <w:adjustRightInd w:val="0"/>
              <w:snapToGrid w:val="0"/>
              <w:spacing w:line="560" w:lineRule="exact"/>
              <w:jc w:val="center"/>
              <w:rPr>
                <w:rFonts w:hint="eastAsia"/>
                <w:color w:val="auto"/>
                <w:szCs w:val="21"/>
                <w:highlight w:val="none"/>
              </w:rPr>
            </w:pPr>
            <w:r>
              <w:rPr>
                <w:rFonts w:hint="eastAsia"/>
                <w:color w:val="auto"/>
                <w:szCs w:val="21"/>
                <w:highlight w:val="none"/>
              </w:rPr>
              <w:t>项目经理</w:t>
            </w:r>
            <w:r>
              <w:rPr>
                <w:rFonts w:hint="eastAsia"/>
                <w:color w:val="auto"/>
                <w:szCs w:val="21"/>
                <w:highlight w:val="none"/>
                <w:lang w:val="en-US" w:eastAsia="zh-CN"/>
              </w:rPr>
              <w:t>B岗</w:t>
            </w:r>
            <w:r>
              <w:rPr>
                <w:rFonts w:hint="eastAsia"/>
                <w:color w:val="auto"/>
                <w:szCs w:val="21"/>
                <w:highlight w:val="none"/>
              </w:rPr>
              <w:t>（建造师）</w:t>
            </w:r>
          </w:p>
          <w:p w14:paraId="45F302E3">
            <w:pPr>
              <w:adjustRightInd w:val="0"/>
              <w:snapToGrid w:val="0"/>
              <w:spacing w:line="560" w:lineRule="exact"/>
              <w:jc w:val="center"/>
              <w:rPr>
                <w:rFonts w:hint="eastAsia"/>
                <w:color w:val="auto"/>
                <w:szCs w:val="21"/>
                <w:highlight w:val="none"/>
              </w:rPr>
            </w:pPr>
            <w:r>
              <w:rPr>
                <w:rFonts w:hint="eastAsia"/>
                <w:color w:val="auto"/>
                <w:szCs w:val="21"/>
                <w:highlight w:val="none"/>
                <w:lang w:eastAsia="zh-CN"/>
              </w:rPr>
              <w:t>（</w:t>
            </w:r>
            <w:r>
              <w:rPr>
                <w:rFonts w:hint="eastAsia"/>
                <w:color w:val="auto"/>
                <w:szCs w:val="21"/>
                <w:highlight w:val="none"/>
                <w:lang w:val="en-US" w:eastAsia="zh-CN"/>
              </w:rPr>
              <w:t>如有）</w:t>
            </w:r>
          </w:p>
        </w:tc>
        <w:tc>
          <w:tcPr>
            <w:tcW w:w="944" w:type="dxa"/>
            <w:noWrap w:val="0"/>
            <w:vAlign w:val="center"/>
          </w:tcPr>
          <w:p w14:paraId="5CCF7AA2">
            <w:pPr>
              <w:adjustRightInd w:val="0"/>
              <w:snapToGrid w:val="0"/>
              <w:spacing w:line="560" w:lineRule="exact"/>
              <w:jc w:val="center"/>
              <w:rPr>
                <w:color w:val="auto"/>
                <w:szCs w:val="21"/>
                <w:highlight w:val="none"/>
              </w:rPr>
            </w:pPr>
          </w:p>
        </w:tc>
        <w:tc>
          <w:tcPr>
            <w:tcW w:w="812" w:type="dxa"/>
            <w:noWrap w:val="0"/>
            <w:vAlign w:val="center"/>
          </w:tcPr>
          <w:p w14:paraId="691302F8">
            <w:pPr>
              <w:adjustRightInd w:val="0"/>
              <w:snapToGrid w:val="0"/>
              <w:spacing w:line="560" w:lineRule="exact"/>
              <w:jc w:val="center"/>
              <w:rPr>
                <w:color w:val="auto"/>
                <w:szCs w:val="21"/>
                <w:highlight w:val="none"/>
              </w:rPr>
            </w:pPr>
          </w:p>
        </w:tc>
        <w:tc>
          <w:tcPr>
            <w:tcW w:w="1220" w:type="dxa"/>
            <w:noWrap w:val="0"/>
            <w:vAlign w:val="center"/>
          </w:tcPr>
          <w:p w14:paraId="7343A7F3">
            <w:pPr>
              <w:adjustRightInd w:val="0"/>
              <w:snapToGrid w:val="0"/>
              <w:spacing w:line="560" w:lineRule="exact"/>
              <w:jc w:val="center"/>
              <w:rPr>
                <w:color w:val="auto"/>
                <w:szCs w:val="21"/>
                <w:highlight w:val="none"/>
              </w:rPr>
            </w:pPr>
          </w:p>
        </w:tc>
        <w:tc>
          <w:tcPr>
            <w:tcW w:w="812" w:type="dxa"/>
            <w:noWrap w:val="0"/>
            <w:vAlign w:val="center"/>
          </w:tcPr>
          <w:p w14:paraId="7B5D3EEC">
            <w:pPr>
              <w:adjustRightInd w:val="0"/>
              <w:snapToGrid w:val="0"/>
              <w:spacing w:line="560" w:lineRule="exact"/>
              <w:jc w:val="center"/>
              <w:rPr>
                <w:color w:val="auto"/>
                <w:szCs w:val="21"/>
                <w:highlight w:val="none"/>
              </w:rPr>
            </w:pPr>
          </w:p>
        </w:tc>
        <w:tc>
          <w:tcPr>
            <w:tcW w:w="814" w:type="dxa"/>
            <w:noWrap w:val="0"/>
            <w:vAlign w:val="center"/>
          </w:tcPr>
          <w:p w14:paraId="226925F9">
            <w:pPr>
              <w:adjustRightInd w:val="0"/>
              <w:snapToGrid w:val="0"/>
              <w:spacing w:line="560" w:lineRule="exact"/>
              <w:jc w:val="center"/>
              <w:rPr>
                <w:color w:val="auto"/>
                <w:szCs w:val="21"/>
                <w:highlight w:val="none"/>
              </w:rPr>
            </w:pPr>
          </w:p>
        </w:tc>
        <w:tc>
          <w:tcPr>
            <w:tcW w:w="811" w:type="dxa"/>
            <w:noWrap w:val="0"/>
            <w:vAlign w:val="center"/>
          </w:tcPr>
          <w:p w14:paraId="5E203C2A">
            <w:pPr>
              <w:adjustRightInd w:val="0"/>
              <w:snapToGrid w:val="0"/>
              <w:spacing w:line="560" w:lineRule="exact"/>
              <w:jc w:val="center"/>
              <w:rPr>
                <w:color w:val="auto"/>
                <w:szCs w:val="21"/>
                <w:highlight w:val="none"/>
              </w:rPr>
            </w:pPr>
          </w:p>
        </w:tc>
        <w:tc>
          <w:tcPr>
            <w:tcW w:w="2848" w:type="dxa"/>
            <w:noWrap w:val="0"/>
            <w:vAlign w:val="center"/>
          </w:tcPr>
          <w:p w14:paraId="735C6D9E">
            <w:pPr>
              <w:adjustRightInd w:val="0"/>
              <w:snapToGrid w:val="0"/>
              <w:spacing w:line="560" w:lineRule="exact"/>
              <w:jc w:val="center"/>
              <w:rPr>
                <w:color w:val="auto"/>
                <w:szCs w:val="21"/>
                <w:highlight w:val="none"/>
              </w:rPr>
            </w:pPr>
          </w:p>
        </w:tc>
        <w:tc>
          <w:tcPr>
            <w:tcW w:w="759" w:type="dxa"/>
            <w:noWrap w:val="0"/>
            <w:vAlign w:val="center"/>
          </w:tcPr>
          <w:p w14:paraId="1E3B7C17">
            <w:pPr>
              <w:adjustRightInd w:val="0"/>
              <w:snapToGrid w:val="0"/>
              <w:spacing w:line="560" w:lineRule="exact"/>
              <w:jc w:val="center"/>
              <w:rPr>
                <w:color w:val="auto"/>
                <w:szCs w:val="21"/>
                <w:highlight w:val="none"/>
              </w:rPr>
            </w:pPr>
          </w:p>
        </w:tc>
      </w:tr>
      <w:tr w14:paraId="05C77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616" w:type="dxa"/>
            <w:noWrap w:val="0"/>
            <w:vAlign w:val="top"/>
          </w:tcPr>
          <w:p w14:paraId="19999C12">
            <w:pPr>
              <w:adjustRightInd w:val="0"/>
              <w:snapToGrid w:val="0"/>
              <w:spacing w:line="560" w:lineRule="exact"/>
              <w:jc w:val="center"/>
              <w:rPr>
                <w:color w:val="auto"/>
                <w:szCs w:val="21"/>
                <w:highlight w:val="none"/>
              </w:rPr>
            </w:pPr>
            <w:r>
              <w:rPr>
                <w:rFonts w:hint="eastAsia"/>
                <w:color w:val="auto"/>
                <w:szCs w:val="21"/>
                <w:highlight w:val="none"/>
              </w:rPr>
              <w:t>技术负责人</w:t>
            </w:r>
          </w:p>
        </w:tc>
        <w:tc>
          <w:tcPr>
            <w:tcW w:w="944" w:type="dxa"/>
            <w:noWrap w:val="0"/>
            <w:vAlign w:val="top"/>
          </w:tcPr>
          <w:p w14:paraId="2DE6D0AF">
            <w:pPr>
              <w:adjustRightInd w:val="0"/>
              <w:snapToGrid w:val="0"/>
              <w:spacing w:line="560" w:lineRule="exact"/>
              <w:jc w:val="center"/>
              <w:rPr>
                <w:color w:val="auto"/>
                <w:szCs w:val="21"/>
                <w:highlight w:val="none"/>
              </w:rPr>
            </w:pPr>
          </w:p>
        </w:tc>
        <w:tc>
          <w:tcPr>
            <w:tcW w:w="812" w:type="dxa"/>
            <w:noWrap w:val="0"/>
            <w:vAlign w:val="top"/>
          </w:tcPr>
          <w:p w14:paraId="6C681BBF">
            <w:pPr>
              <w:adjustRightInd w:val="0"/>
              <w:snapToGrid w:val="0"/>
              <w:spacing w:line="560" w:lineRule="exact"/>
              <w:jc w:val="center"/>
              <w:rPr>
                <w:color w:val="auto"/>
                <w:szCs w:val="21"/>
                <w:highlight w:val="none"/>
              </w:rPr>
            </w:pPr>
          </w:p>
        </w:tc>
        <w:tc>
          <w:tcPr>
            <w:tcW w:w="1220" w:type="dxa"/>
            <w:noWrap w:val="0"/>
            <w:vAlign w:val="top"/>
          </w:tcPr>
          <w:p w14:paraId="735210A5">
            <w:pPr>
              <w:adjustRightInd w:val="0"/>
              <w:snapToGrid w:val="0"/>
              <w:spacing w:line="560" w:lineRule="exact"/>
              <w:jc w:val="center"/>
              <w:rPr>
                <w:color w:val="auto"/>
                <w:szCs w:val="21"/>
                <w:highlight w:val="none"/>
              </w:rPr>
            </w:pPr>
          </w:p>
        </w:tc>
        <w:tc>
          <w:tcPr>
            <w:tcW w:w="812" w:type="dxa"/>
            <w:noWrap w:val="0"/>
            <w:vAlign w:val="top"/>
          </w:tcPr>
          <w:p w14:paraId="141449BB">
            <w:pPr>
              <w:adjustRightInd w:val="0"/>
              <w:snapToGrid w:val="0"/>
              <w:spacing w:line="560" w:lineRule="exact"/>
              <w:jc w:val="center"/>
              <w:rPr>
                <w:color w:val="auto"/>
                <w:szCs w:val="21"/>
                <w:highlight w:val="none"/>
              </w:rPr>
            </w:pPr>
          </w:p>
        </w:tc>
        <w:tc>
          <w:tcPr>
            <w:tcW w:w="814" w:type="dxa"/>
            <w:noWrap w:val="0"/>
            <w:vAlign w:val="top"/>
          </w:tcPr>
          <w:p w14:paraId="7E896EC1">
            <w:pPr>
              <w:adjustRightInd w:val="0"/>
              <w:snapToGrid w:val="0"/>
              <w:spacing w:line="560" w:lineRule="exact"/>
              <w:jc w:val="center"/>
              <w:rPr>
                <w:color w:val="auto"/>
                <w:szCs w:val="21"/>
                <w:highlight w:val="none"/>
              </w:rPr>
            </w:pPr>
          </w:p>
        </w:tc>
        <w:tc>
          <w:tcPr>
            <w:tcW w:w="811" w:type="dxa"/>
            <w:noWrap w:val="0"/>
            <w:vAlign w:val="top"/>
          </w:tcPr>
          <w:p w14:paraId="10F3AEAE">
            <w:pPr>
              <w:adjustRightInd w:val="0"/>
              <w:snapToGrid w:val="0"/>
              <w:spacing w:line="560" w:lineRule="exact"/>
              <w:jc w:val="center"/>
              <w:rPr>
                <w:color w:val="auto"/>
                <w:szCs w:val="21"/>
                <w:highlight w:val="none"/>
              </w:rPr>
            </w:pPr>
          </w:p>
        </w:tc>
        <w:tc>
          <w:tcPr>
            <w:tcW w:w="2848" w:type="dxa"/>
            <w:noWrap w:val="0"/>
            <w:vAlign w:val="top"/>
          </w:tcPr>
          <w:p w14:paraId="1A162504">
            <w:pPr>
              <w:adjustRightInd w:val="0"/>
              <w:snapToGrid w:val="0"/>
              <w:spacing w:line="560" w:lineRule="exact"/>
              <w:jc w:val="center"/>
              <w:rPr>
                <w:color w:val="auto"/>
                <w:szCs w:val="21"/>
                <w:highlight w:val="none"/>
              </w:rPr>
            </w:pPr>
          </w:p>
        </w:tc>
        <w:tc>
          <w:tcPr>
            <w:tcW w:w="759" w:type="dxa"/>
            <w:noWrap w:val="0"/>
            <w:vAlign w:val="top"/>
          </w:tcPr>
          <w:p w14:paraId="7EFDB385">
            <w:pPr>
              <w:adjustRightInd w:val="0"/>
              <w:snapToGrid w:val="0"/>
              <w:spacing w:line="560" w:lineRule="exact"/>
              <w:jc w:val="center"/>
              <w:rPr>
                <w:color w:val="auto"/>
                <w:szCs w:val="21"/>
                <w:highlight w:val="none"/>
              </w:rPr>
            </w:pPr>
          </w:p>
        </w:tc>
      </w:tr>
      <w:tr w14:paraId="59B90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616" w:type="dxa"/>
            <w:noWrap w:val="0"/>
            <w:vAlign w:val="top"/>
          </w:tcPr>
          <w:p w14:paraId="3EBB7724">
            <w:pPr>
              <w:adjustRightInd w:val="0"/>
              <w:snapToGrid w:val="0"/>
              <w:spacing w:line="560" w:lineRule="exact"/>
              <w:jc w:val="center"/>
              <w:rPr>
                <w:color w:val="auto"/>
                <w:szCs w:val="21"/>
                <w:highlight w:val="none"/>
              </w:rPr>
            </w:pPr>
          </w:p>
        </w:tc>
        <w:tc>
          <w:tcPr>
            <w:tcW w:w="944" w:type="dxa"/>
            <w:noWrap w:val="0"/>
            <w:vAlign w:val="top"/>
          </w:tcPr>
          <w:p w14:paraId="65C80877">
            <w:pPr>
              <w:adjustRightInd w:val="0"/>
              <w:snapToGrid w:val="0"/>
              <w:spacing w:line="560" w:lineRule="exact"/>
              <w:jc w:val="center"/>
              <w:rPr>
                <w:color w:val="auto"/>
                <w:szCs w:val="21"/>
                <w:highlight w:val="none"/>
              </w:rPr>
            </w:pPr>
          </w:p>
        </w:tc>
        <w:tc>
          <w:tcPr>
            <w:tcW w:w="812" w:type="dxa"/>
            <w:noWrap w:val="0"/>
            <w:vAlign w:val="top"/>
          </w:tcPr>
          <w:p w14:paraId="067A6948">
            <w:pPr>
              <w:adjustRightInd w:val="0"/>
              <w:snapToGrid w:val="0"/>
              <w:spacing w:line="560" w:lineRule="exact"/>
              <w:jc w:val="center"/>
              <w:rPr>
                <w:color w:val="auto"/>
                <w:szCs w:val="21"/>
                <w:highlight w:val="none"/>
              </w:rPr>
            </w:pPr>
          </w:p>
        </w:tc>
        <w:tc>
          <w:tcPr>
            <w:tcW w:w="1220" w:type="dxa"/>
            <w:noWrap w:val="0"/>
            <w:vAlign w:val="top"/>
          </w:tcPr>
          <w:p w14:paraId="604E4242">
            <w:pPr>
              <w:adjustRightInd w:val="0"/>
              <w:snapToGrid w:val="0"/>
              <w:spacing w:line="560" w:lineRule="exact"/>
              <w:jc w:val="center"/>
              <w:rPr>
                <w:color w:val="auto"/>
                <w:szCs w:val="21"/>
                <w:highlight w:val="none"/>
              </w:rPr>
            </w:pPr>
          </w:p>
        </w:tc>
        <w:tc>
          <w:tcPr>
            <w:tcW w:w="812" w:type="dxa"/>
            <w:noWrap w:val="0"/>
            <w:vAlign w:val="top"/>
          </w:tcPr>
          <w:p w14:paraId="48F29598">
            <w:pPr>
              <w:adjustRightInd w:val="0"/>
              <w:snapToGrid w:val="0"/>
              <w:spacing w:line="560" w:lineRule="exact"/>
              <w:jc w:val="center"/>
              <w:rPr>
                <w:color w:val="auto"/>
                <w:szCs w:val="21"/>
                <w:highlight w:val="none"/>
              </w:rPr>
            </w:pPr>
          </w:p>
        </w:tc>
        <w:tc>
          <w:tcPr>
            <w:tcW w:w="814" w:type="dxa"/>
            <w:noWrap w:val="0"/>
            <w:vAlign w:val="top"/>
          </w:tcPr>
          <w:p w14:paraId="6D0649A9">
            <w:pPr>
              <w:adjustRightInd w:val="0"/>
              <w:snapToGrid w:val="0"/>
              <w:spacing w:line="560" w:lineRule="exact"/>
              <w:jc w:val="center"/>
              <w:rPr>
                <w:color w:val="auto"/>
                <w:szCs w:val="21"/>
                <w:highlight w:val="none"/>
              </w:rPr>
            </w:pPr>
          </w:p>
        </w:tc>
        <w:tc>
          <w:tcPr>
            <w:tcW w:w="811" w:type="dxa"/>
            <w:noWrap w:val="0"/>
            <w:vAlign w:val="top"/>
          </w:tcPr>
          <w:p w14:paraId="73CDE657">
            <w:pPr>
              <w:adjustRightInd w:val="0"/>
              <w:snapToGrid w:val="0"/>
              <w:spacing w:line="560" w:lineRule="exact"/>
              <w:jc w:val="center"/>
              <w:rPr>
                <w:color w:val="auto"/>
                <w:szCs w:val="21"/>
                <w:highlight w:val="none"/>
              </w:rPr>
            </w:pPr>
          </w:p>
        </w:tc>
        <w:tc>
          <w:tcPr>
            <w:tcW w:w="2848" w:type="dxa"/>
            <w:noWrap w:val="0"/>
            <w:vAlign w:val="top"/>
          </w:tcPr>
          <w:p w14:paraId="3AB4A650">
            <w:pPr>
              <w:adjustRightInd w:val="0"/>
              <w:snapToGrid w:val="0"/>
              <w:spacing w:line="560" w:lineRule="exact"/>
              <w:jc w:val="center"/>
              <w:rPr>
                <w:color w:val="auto"/>
                <w:szCs w:val="21"/>
                <w:highlight w:val="none"/>
              </w:rPr>
            </w:pPr>
          </w:p>
        </w:tc>
        <w:tc>
          <w:tcPr>
            <w:tcW w:w="759" w:type="dxa"/>
            <w:noWrap w:val="0"/>
            <w:vAlign w:val="top"/>
          </w:tcPr>
          <w:p w14:paraId="0D665925">
            <w:pPr>
              <w:adjustRightInd w:val="0"/>
              <w:snapToGrid w:val="0"/>
              <w:spacing w:line="560" w:lineRule="exact"/>
              <w:jc w:val="center"/>
              <w:rPr>
                <w:color w:val="auto"/>
                <w:szCs w:val="21"/>
                <w:highlight w:val="none"/>
              </w:rPr>
            </w:pPr>
          </w:p>
        </w:tc>
      </w:tr>
      <w:tr w14:paraId="5DFB1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616" w:type="dxa"/>
            <w:noWrap w:val="0"/>
            <w:vAlign w:val="top"/>
          </w:tcPr>
          <w:p w14:paraId="7894CB33">
            <w:pPr>
              <w:adjustRightInd w:val="0"/>
              <w:snapToGrid w:val="0"/>
              <w:spacing w:line="560" w:lineRule="exact"/>
              <w:jc w:val="center"/>
              <w:rPr>
                <w:color w:val="auto"/>
                <w:szCs w:val="21"/>
                <w:highlight w:val="none"/>
              </w:rPr>
            </w:pPr>
          </w:p>
        </w:tc>
        <w:tc>
          <w:tcPr>
            <w:tcW w:w="944" w:type="dxa"/>
            <w:noWrap w:val="0"/>
            <w:vAlign w:val="top"/>
          </w:tcPr>
          <w:p w14:paraId="34C83B54">
            <w:pPr>
              <w:adjustRightInd w:val="0"/>
              <w:snapToGrid w:val="0"/>
              <w:spacing w:line="560" w:lineRule="exact"/>
              <w:jc w:val="center"/>
              <w:rPr>
                <w:color w:val="auto"/>
                <w:szCs w:val="21"/>
                <w:highlight w:val="none"/>
              </w:rPr>
            </w:pPr>
          </w:p>
        </w:tc>
        <w:tc>
          <w:tcPr>
            <w:tcW w:w="812" w:type="dxa"/>
            <w:noWrap w:val="0"/>
            <w:vAlign w:val="top"/>
          </w:tcPr>
          <w:p w14:paraId="04A1C3F0">
            <w:pPr>
              <w:adjustRightInd w:val="0"/>
              <w:snapToGrid w:val="0"/>
              <w:spacing w:line="560" w:lineRule="exact"/>
              <w:jc w:val="center"/>
              <w:rPr>
                <w:color w:val="auto"/>
                <w:szCs w:val="21"/>
                <w:highlight w:val="none"/>
              </w:rPr>
            </w:pPr>
          </w:p>
        </w:tc>
        <w:tc>
          <w:tcPr>
            <w:tcW w:w="1220" w:type="dxa"/>
            <w:noWrap w:val="0"/>
            <w:vAlign w:val="top"/>
          </w:tcPr>
          <w:p w14:paraId="5AB61040">
            <w:pPr>
              <w:adjustRightInd w:val="0"/>
              <w:snapToGrid w:val="0"/>
              <w:spacing w:line="560" w:lineRule="exact"/>
              <w:jc w:val="center"/>
              <w:rPr>
                <w:color w:val="auto"/>
                <w:szCs w:val="21"/>
                <w:highlight w:val="none"/>
              </w:rPr>
            </w:pPr>
          </w:p>
        </w:tc>
        <w:tc>
          <w:tcPr>
            <w:tcW w:w="812" w:type="dxa"/>
            <w:noWrap w:val="0"/>
            <w:vAlign w:val="top"/>
          </w:tcPr>
          <w:p w14:paraId="46473CDD">
            <w:pPr>
              <w:adjustRightInd w:val="0"/>
              <w:snapToGrid w:val="0"/>
              <w:spacing w:line="560" w:lineRule="exact"/>
              <w:jc w:val="center"/>
              <w:rPr>
                <w:color w:val="auto"/>
                <w:szCs w:val="21"/>
                <w:highlight w:val="none"/>
              </w:rPr>
            </w:pPr>
          </w:p>
        </w:tc>
        <w:tc>
          <w:tcPr>
            <w:tcW w:w="814" w:type="dxa"/>
            <w:noWrap w:val="0"/>
            <w:vAlign w:val="top"/>
          </w:tcPr>
          <w:p w14:paraId="52CB2033">
            <w:pPr>
              <w:adjustRightInd w:val="0"/>
              <w:snapToGrid w:val="0"/>
              <w:spacing w:line="560" w:lineRule="exact"/>
              <w:jc w:val="center"/>
              <w:rPr>
                <w:color w:val="auto"/>
                <w:szCs w:val="21"/>
                <w:highlight w:val="none"/>
              </w:rPr>
            </w:pPr>
          </w:p>
        </w:tc>
        <w:tc>
          <w:tcPr>
            <w:tcW w:w="811" w:type="dxa"/>
            <w:noWrap w:val="0"/>
            <w:vAlign w:val="top"/>
          </w:tcPr>
          <w:p w14:paraId="1159EFB2">
            <w:pPr>
              <w:adjustRightInd w:val="0"/>
              <w:snapToGrid w:val="0"/>
              <w:spacing w:line="560" w:lineRule="exact"/>
              <w:jc w:val="center"/>
              <w:rPr>
                <w:color w:val="auto"/>
                <w:szCs w:val="21"/>
                <w:highlight w:val="none"/>
              </w:rPr>
            </w:pPr>
          </w:p>
        </w:tc>
        <w:tc>
          <w:tcPr>
            <w:tcW w:w="2848" w:type="dxa"/>
            <w:noWrap w:val="0"/>
            <w:vAlign w:val="top"/>
          </w:tcPr>
          <w:p w14:paraId="693FA8B7">
            <w:pPr>
              <w:adjustRightInd w:val="0"/>
              <w:snapToGrid w:val="0"/>
              <w:spacing w:line="560" w:lineRule="exact"/>
              <w:jc w:val="center"/>
              <w:rPr>
                <w:color w:val="auto"/>
                <w:szCs w:val="21"/>
                <w:highlight w:val="none"/>
              </w:rPr>
            </w:pPr>
          </w:p>
        </w:tc>
        <w:tc>
          <w:tcPr>
            <w:tcW w:w="759" w:type="dxa"/>
            <w:noWrap w:val="0"/>
            <w:vAlign w:val="top"/>
          </w:tcPr>
          <w:p w14:paraId="05196B92">
            <w:pPr>
              <w:adjustRightInd w:val="0"/>
              <w:snapToGrid w:val="0"/>
              <w:spacing w:line="560" w:lineRule="exact"/>
              <w:jc w:val="center"/>
              <w:rPr>
                <w:color w:val="auto"/>
                <w:szCs w:val="21"/>
                <w:highlight w:val="none"/>
              </w:rPr>
            </w:pPr>
          </w:p>
        </w:tc>
      </w:tr>
      <w:tr w14:paraId="4CA71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616" w:type="dxa"/>
            <w:noWrap w:val="0"/>
            <w:vAlign w:val="top"/>
          </w:tcPr>
          <w:p w14:paraId="2B43AB7E">
            <w:pPr>
              <w:adjustRightInd w:val="0"/>
              <w:snapToGrid w:val="0"/>
              <w:spacing w:line="560" w:lineRule="exact"/>
              <w:jc w:val="center"/>
              <w:rPr>
                <w:color w:val="auto"/>
                <w:szCs w:val="21"/>
                <w:highlight w:val="none"/>
              </w:rPr>
            </w:pPr>
          </w:p>
        </w:tc>
        <w:tc>
          <w:tcPr>
            <w:tcW w:w="944" w:type="dxa"/>
            <w:noWrap w:val="0"/>
            <w:vAlign w:val="top"/>
          </w:tcPr>
          <w:p w14:paraId="7352D849">
            <w:pPr>
              <w:adjustRightInd w:val="0"/>
              <w:snapToGrid w:val="0"/>
              <w:spacing w:line="560" w:lineRule="exact"/>
              <w:jc w:val="center"/>
              <w:rPr>
                <w:color w:val="auto"/>
                <w:szCs w:val="21"/>
                <w:highlight w:val="none"/>
              </w:rPr>
            </w:pPr>
          </w:p>
        </w:tc>
        <w:tc>
          <w:tcPr>
            <w:tcW w:w="812" w:type="dxa"/>
            <w:noWrap w:val="0"/>
            <w:vAlign w:val="top"/>
          </w:tcPr>
          <w:p w14:paraId="3F1627CB">
            <w:pPr>
              <w:adjustRightInd w:val="0"/>
              <w:snapToGrid w:val="0"/>
              <w:spacing w:line="560" w:lineRule="exact"/>
              <w:jc w:val="center"/>
              <w:rPr>
                <w:color w:val="auto"/>
                <w:szCs w:val="21"/>
                <w:highlight w:val="none"/>
              </w:rPr>
            </w:pPr>
          </w:p>
        </w:tc>
        <w:tc>
          <w:tcPr>
            <w:tcW w:w="1220" w:type="dxa"/>
            <w:noWrap w:val="0"/>
            <w:vAlign w:val="top"/>
          </w:tcPr>
          <w:p w14:paraId="09815894">
            <w:pPr>
              <w:adjustRightInd w:val="0"/>
              <w:snapToGrid w:val="0"/>
              <w:spacing w:line="560" w:lineRule="exact"/>
              <w:jc w:val="center"/>
              <w:rPr>
                <w:color w:val="auto"/>
                <w:szCs w:val="21"/>
                <w:highlight w:val="none"/>
              </w:rPr>
            </w:pPr>
          </w:p>
        </w:tc>
        <w:tc>
          <w:tcPr>
            <w:tcW w:w="812" w:type="dxa"/>
            <w:noWrap w:val="0"/>
            <w:vAlign w:val="top"/>
          </w:tcPr>
          <w:p w14:paraId="19C57287">
            <w:pPr>
              <w:adjustRightInd w:val="0"/>
              <w:snapToGrid w:val="0"/>
              <w:spacing w:line="560" w:lineRule="exact"/>
              <w:jc w:val="center"/>
              <w:rPr>
                <w:color w:val="auto"/>
                <w:szCs w:val="21"/>
                <w:highlight w:val="none"/>
              </w:rPr>
            </w:pPr>
          </w:p>
        </w:tc>
        <w:tc>
          <w:tcPr>
            <w:tcW w:w="814" w:type="dxa"/>
            <w:noWrap w:val="0"/>
            <w:vAlign w:val="top"/>
          </w:tcPr>
          <w:p w14:paraId="79632633">
            <w:pPr>
              <w:adjustRightInd w:val="0"/>
              <w:snapToGrid w:val="0"/>
              <w:spacing w:line="560" w:lineRule="exact"/>
              <w:jc w:val="center"/>
              <w:rPr>
                <w:color w:val="auto"/>
                <w:szCs w:val="21"/>
                <w:highlight w:val="none"/>
              </w:rPr>
            </w:pPr>
          </w:p>
        </w:tc>
        <w:tc>
          <w:tcPr>
            <w:tcW w:w="811" w:type="dxa"/>
            <w:noWrap w:val="0"/>
            <w:vAlign w:val="top"/>
          </w:tcPr>
          <w:p w14:paraId="03626EBA">
            <w:pPr>
              <w:adjustRightInd w:val="0"/>
              <w:snapToGrid w:val="0"/>
              <w:spacing w:line="560" w:lineRule="exact"/>
              <w:jc w:val="center"/>
              <w:rPr>
                <w:color w:val="auto"/>
                <w:szCs w:val="21"/>
                <w:highlight w:val="none"/>
              </w:rPr>
            </w:pPr>
          </w:p>
        </w:tc>
        <w:tc>
          <w:tcPr>
            <w:tcW w:w="2848" w:type="dxa"/>
            <w:noWrap w:val="0"/>
            <w:vAlign w:val="top"/>
          </w:tcPr>
          <w:p w14:paraId="7244BBD6">
            <w:pPr>
              <w:adjustRightInd w:val="0"/>
              <w:snapToGrid w:val="0"/>
              <w:spacing w:line="560" w:lineRule="exact"/>
              <w:jc w:val="center"/>
              <w:rPr>
                <w:color w:val="auto"/>
                <w:szCs w:val="21"/>
                <w:highlight w:val="none"/>
              </w:rPr>
            </w:pPr>
          </w:p>
        </w:tc>
        <w:tc>
          <w:tcPr>
            <w:tcW w:w="759" w:type="dxa"/>
            <w:noWrap w:val="0"/>
            <w:vAlign w:val="top"/>
          </w:tcPr>
          <w:p w14:paraId="049048FD">
            <w:pPr>
              <w:adjustRightInd w:val="0"/>
              <w:snapToGrid w:val="0"/>
              <w:spacing w:line="560" w:lineRule="exact"/>
              <w:jc w:val="center"/>
              <w:rPr>
                <w:color w:val="auto"/>
                <w:szCs w:val="21"/>
                <w:highlight w:val="none"/>
              </w:rPr>
            </w:pPr>
          </w:p>
        </w:tc>
      </w:tr>
      <w:tr w14:paraId="22F19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616" w:type="dxa"/>
            <w:tcBorders>
              <w:top w:val="single" w:color="auto" w:sz="4" w:space="0"/>
              <w:left w:val="single" w:color="auto" w:sz="4" w:space="0"/>
              <w:bottom w:val="single" w:color="auto" w:sz="4" w:space="0"/>
              <w:right w:val="single" w:color="auto" w:sz="4" w:space="0"/>
            </w:tcBorders>
            <w:noWrap w:val="0"/>
            <w:vAlign w:val="top"/>
          </w:tcPr>
          <w:p w14:paraId="79405217">
            <w:pPr>
              <w:adjustRightInd w:val="0"/>
              <w:snapToGrid w:val="0"/>
              <w:spacing w:line="560" w:lineRule="exact"/>
              <w:jc w:val="center"/>
              <w:rPr>
                <w:color w:val="auto"/>
                <w:szCs w:val="21"/>
                <w:highlight w:val="none"/>
              </w:rPr>
            </w:pPr>
          </w:p>
        </w:tc>
        <w:tc>
          <w:tcPr>
            <w:tcW w:w="944" w:type="dxa"/>
            <w:tcBorders>
              <w:top w:val="single" w:color="auto" w:sz="4" w:space="0"/>
              <w:left w:val="single" w:color="auto" w:sz="4" w:space="0"/>
              <w:bottom w:val="single" w:color="auto" w:sz="4" w:space="0"/>
              <w:right w:val="single" w:color="auto" w:sz="4" w:space="0"/>
            </w:tcBorders>
            <w:noWrap w:val="0"/>
            <w:vAlign w:val="top"/>
          </w:tcPr>
          <w:p w14:paraId="275A9C36">
            <w:pPr>
              <w:adjustRightInd w:val="0"/>
              <w:snapToGrid w:val="0"/>
              <w:spacing w:line="560" w:lineRule="exact"/>
              <w:jc w:val="center"/>
              <w:rPr>
                <w:color w:val="auto"/>
                <w:szCs w:val="21"/>
                <w:highlight w:val="none"/>
              </w:rPr>
            </w:pPr>
          </w:p>
        </w:tc>
        <w:tc>
          <w:tcPr>
            <w:tcW w:w="812" w:type="dxa"/>
            <w:tcBorders>
              <w:top w:val="single" w:color="auto" w:sz="4" w:space="0"/>
              <w:left w:val="single" w:color="auto" w:sz="4" w:space="0"/>
              <w:bottom w:val="single" w:color="auto" w:sz="4" w:space="0"/>
              <w:right w:val="single" w:color="auto" w:sz="4" w:space="0"/>
            </w:tcBorders>
            <w:noWrap w:val="0"/>
            <w:vAlign w:val="top"/>
          </w:tcPr>
          <w:p w14:paraId="2C212CA5">
            <w:pPr>
              <w:adjustRightInd w:val="0"/>
              <w:snapToGrid w:val="0"/>
              <w:spacing w:line="560" w:lineRule="exact"/>
              <w:jc w:val="center"/>
              <w:rPr>
                <w:color w:val="auto"/>
                <w:szCs w:val="21"/>
                <w:highlight w:val="none"/>
              </w:rPr>
            </w:pPr>
          </w:p>
        </w:tc>
        <w:tc>
          <w:tcPr>
            <w:tcW w:w="1220" w:type="dxa"/>
            <w:tcBorders>
              <w:top w:val="single" w:color="auto" w:sz="4" w:space="0"/>
              <w:left w:val="single" w:color="auto" w:sz="4" w:space="0"/>
              <w:bottom w:val="single" w:color="auto" w:sz="4" w:space="0"/>
              <w:right w:val="single" w:color="auto" w:sz="4" w:space="0"/>
            </w:tcBorders>
            <w:noWrap w:val="0"/>
            <w:vAlign w:val="top"/>
          </w:tcPr>
          <w:p w14:paraId="0FCB0969">
            <w:pPr>
              <w:adjustRightInd w:val="0"/>
              <w:snapToGrid w:val="0"/>
              <w:spacing w:line="560" w:lineRule="exact"/>
              <w:jc w:val="center"/>
              <w:rPr>
                <w:color w:val="auto"/>
                <w:szCs w:val="21"/>
                <w:highlight w:val="none"/>
              </w:rPr>
            </w:pPr>
          </w:p>
        </w:tc>
        <w:tc>
          <w:tcPr>
            <w:tcW w:w="812" w:type="dxa"/>
            <w:tcBorders>
              <w:top w:val="single" w:color="auto" w:sz="4" w:space="0"/>
              <w:left w:val="single" w:color="auto" w:sz="4" w:space="0"/>
              <w:bottom w:val="single" w:color="auto" w:sz="4" w:space="0"/>
              <w:right w:val="single" w:color="auto" w:sz="4" w:space="0"/>
            </w:tcBorders>
            <w:noWrap w:val="0"/>
            <w:vAlign w:val="top"/>
          </w:tcPr>
          <w:p w14:paraId="5566E9DC">
            <w:pPr>
              <w:adjustRightInd w:val="0"/>
              <w:snapToGrid w:val="0"/>
              <w:spacing w:line="560" w:lineRule="exact"/>
              <w:jc w:val="center"/>
              <w:rPr>
                <w:color w:val="auto"/>
                <w:szCs w:val="21"/>
                <w:highlight w:val="none"/>
              </w:rPr>
            </w:pPr>
          </w:p>
        </w:tc>
        <w:tc>
          <w:tcPr>
            <w:tcW w:w="814" w:type="dxa"/>
            <w:tcBorders>
              <w:top w:val="single" w:color="auto" w:sz="4" w:space="0"/>
              <w:left w:val="single" w:color="auto" w:sz="4" w:space="0"/>
              <w:bottom w:val="single" w:color="auto" w:sz="4" w:space="0"/>
              <w:right w:val="single" w:color="auto" w:sz="4" w:space="0"/>
            </w:tcBorders>
            <w:noWrap w:val="0"/>
            <w:vAlign w:val="top"/>
          </w:tcPr>
          <w:p w14:paraId="03C3B1BC">
            <w:pPr>
              <w:adjustRightInd w:val="0"/>
              <w:snapToGrid w:val="0"/>
              <w:spacing w:line="560" w:lineRule="exact"/>
              <w:jc w:val="center"/>
              <w:rPr>
                <w:color w:val="auto"/>
                <w:szCs w:val="21"/>
                <w:highlight w:val="none"/>
              </w:rPr>
            </w:pPr>
          </w:p>
        </w:tc>
        <w:tc>
          <w:tcPr>
            <w:tcW w:w="811" w:type="dxa"/>
            <w:tcBorders>
              <w:top w:val="single" w:color="auto" w:sz="4" w:space="0"/>
              <w:left w:val="single" w:color="auto" w:sz="4" w:space="0"/>
              <w:bottom w:val="single" w:color="auto" w:sz="4" w:space="0"/>
              <w:right w:val="single" w:color="auto" w:sz="4" w:space="0"/>
            </w:tcBorders>
            <w:noWrap w:val="0"/>
            <w:vAlign w:val="top"/>
          </w:tcPr>
          <w:p w14:paraId="34081EA9">
            <w:pPr>
              <w:adjustRightInd w:val="0"/>
              <w:snapToGrid w:val="0"/>
              <w:spacing w:line="560" w:lineRule="exact"/>
              <w:jc w:val="center"/>
              <w:rPr>
                <w:color w:val="auto"/>
                <w:szCs w:val="21"/>
                <w:highlight w:val="none"/>
              </w:rPr>
            </w:pPr>
          </w:p>
        </w:tc>
        <w:tc>
          <w:tcPr>
            <w:tcW w:w="2848" w:type="dxa"/>
            <w:tcBorders>
              <w:top w:val="single" w:color="auto" w:sz="4" w:space="0"/>
              <w:left w:val="single" w:color="auto" w:sz="4" w:space="0"/>
              <w:bottom w:val="single" w:color="auto" w:sz="4" w:space="0"/>
              <w:right w:val="single" w:color="auto" w:sz="4" w:space="0"/>
            </w:tcBorders>
            <w:noWrap w:val="0"/>
            <w:vAlign w:val="top"/>
          </w:tcPr>
          <w:p w14:paraId="5EF74ADF">
            <w:pPr>
              <w:adjustRightInd w:val="0"/>
              <w:snapToGrid w:val="0"/>
              <w:spacing w:line="560" w:lineRule="exact"/>
              <w:jc w:val="center"/>
              <w:rPr>
                <w:color w:val="auto"/>
                <w:szCs w:val="21"/>
                <w:highlight w:val="none"/>
              </w:rPr>
            </w:pPr>
          </w:p>
        </w:tc>
        <w:tc>
          <w:tcPr>
            <w:tcW w:w="759" w:type="dxa"/>
            <w:tcBorders>
              <w:top w:val="single" w:color="auto" w:sz="4" w:space="0"/>
              <w:left w:val="single" w:color="auto" w:sz="4" w:space="0"/>
              <w:bottom w:val="single" w:color="auto" w:sz="4" w:space="0"/>
              <w:right w:val="single" w:color="auto" w:sz="4" w:space="0"/>
            </w:tcBorders>
            <w:noWrap w:val="0"/>
            <w:vAlign w:val="top"/>
          </w:tcPr>
          <w:p w14:paraId="2C6DE16B">
            <w:pPr>
              <w:adjustRightInd w:val="0"/>
              <w:snapToGrid w:val="0"/>
              <w:spacing w:line="560" w:lineRule="exact"/>
              <w:jc w:val="center"/>
              <w:rPr>
                <w:color w:val="auto"/>
                <w:szCs w:val="21"/>
                <w:highlight w:val="none"/>
              </w:rPr>
            </w:pPr>
          </w:p>
        </w:tc>
      </w:tr>
      <w:tr w14:paraId="7E9D7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616" w:type="dxa"/>
            <w:tcBorders>
              <w:top w:val="single" w:color="auto" w:sz="4" w:space="0"/>
              <w:left w:val="single" w:color="auto" w:sz="4" w:space="0"/>
              <w:bottom w:val="single" w:color="auto" w:sz="4" w:space="0"/>
              <w:right w:val="single" w:color="auto" w:sz="4" w:space="0"/>
            </w:tcBorders>
            <w:noWrap w:val="0"/>
            <w:vAlign w:val="top"/>
          </w:tcPr>
          <w:p w14:paraId="6298C246">
            <w:pPr>
              <w:adjustRightInd w:val="0"/>
              <w:snapToGrid w:val="0"/>
              <w:spacing w:line="560" w:lineRule="exact"/>
              <w:jc w:val="center"/>
              <w:rPr>
                <w:color w:val="auto"/>
                <w:szCs w:val="21"/>
                <w:highlight w:val="none"/>
              </w:rPr>
            </w:pPr>
          </w:p>
        </w:tc>
        <w:tc>
          <w:tcPr>
            <w:tcW w:w="944" w:type="dxa"/>
            <w:tcBorders>
              <w:top w:val="single" w:color="auto" w:sz="4" w:space="0"/>
              <w:left w:val="single" w:color="auto" w:sz="4" w:space="0"/>
              <w:bottom w:val="single" w:color="auto" w:sz="4" w:space="0"/>
              <w:right w:val="single" w:color="auto" w:sz="4" w:space="0"/>
            </w:tcBorders>
            <w:noWrap w:val="0"/>
            <w:vAlign w:val="top"/>
          </w:tcPr>
          <w:p w14:paraId="595E9E1C">
            <w:pPr>
              <w:adjustRightInd w:val="0"/>
              <w:snapToGrid w:val="0"/>
              <w:spacing w:line="560" w:lineRule="exact"/>
              <w:jc w:val="center"/>
              <w:rPr>
                <w:color w:val="auto"/>
                <w:szCs w:val="21"/>
                <w:highlight w:val="none"/>
              </w:rPr>
            </w:pPr>
          </w:p>
        </w:tc>
        <w:tc>
          <w:tcPr>
            <w:tcW w:w="812" w:type="dxa"/>
            <w:tcBorders>
              <w:top w:val="single" w:color="auto" w:sz="4" w:space="0"/>
              <w:left w:val="single" w:color="auto" w:sz="4" w:space="0"/>
              <w:bottom w:val="single" w:color="auto" w:sz="4" w:space="0"/>
              <w:right w:val="single" w:color="auto" w:sz="4" w:space="0"/>
            </w:tcBorders>
            <w:noWrap w:val="0"/>
            <w:vAlign w:val="top"/>
          </w:tcPr>
          <w:p w14:paraId="0AF27FF7">
            <w:pPr>
              <w:adjustRightInd w:val="0"/>
              <w:snapToGrid w:val="0"/>
              <w:spacing w:line="560" w:lineRule="exact"/>
              <w:jc w:val="center"/>
              <w:rPr>
                <w:color w:val="auto"/>
                <w:szCs w:val="21"/>
                <w:highlight w:val="none"/>
              </w:rPr>
            </w:pPr>
          </w:p>
        </w:tc>
        <w:tc>
          <w:tcPr>
            <w:tcW w:w="1220" w:type="dxa"/>
            <w:tcBorders>
              <w:top w:val="single" w:color="auto" w:sz="4" w:space="0"/>
              <w:left w:val="single" w:color="auto" w:sz="4" w:space="0"/>
              <w:bottom w:val="single" w:color="auto" w:sz="4" w:space="0"/>
              <w:right w:val="single" w:color="auto" w:sz="4" w:space="0"/>
            </w:tcBorders>
            <w:noWrap w:val="0"/>
            <w:vAlign w:val="top"/>
          </w:tcPr>
          <w:p w14:paraId="5988602B">
            <w:pPr>
              <w:adjustRightInd w:val="0"/>
              <w:snapToGrid w:val="0"/>
              <w:spacing w:line="560" w:lineRule="exact"/>
              <w:jc w:val="center"/>
              <w:rPr>
                <w:color w:val="auto"/>
                <w:szCs w:val="21"/>
                <w:highlight w:val="none"/>
              </w:rPr>
            </w:pPr>
          </w:p>
        </w:tc>
        <w:tc>
          <w:tcPr>
            <w:tcW w:w="812" w:type="dxa"/>
            <w:tcBorders>
              <w:top w:val="single" w:color="auto" w:sz="4" w:space="0"/>
              <w:left w:val="single" w:color="auto" w:sz="4" w:space="0"/>
              <w:bottom w:val="single" w:color="auto" w:sz="4" w:space="0"/>
              <w:right w:val="single" w:color="auto" w:sz="4" w:space="0"/>
            </w:tcBorders>
            <w:noWrap w:val="0"/>
            <w:vAlign w:val="top"/>
          </w:tcPr>
          <w:p w14:paraId="71AD6640">
            <w:pPr>
              <w:adjustRightInd w:val="0"/>
              <w:snapToGrid w:val="0"/>
              <w:spacing w:line="560" w:lineRule="exact"/>
              <w:jc w:val="center"/>
              <w:rPr>
                <w:color w:val="auto"/>
                <w:szCs w:val="21"/>
                <w:highlight w:val="none"/>
              </w:rPr>
            </w:pPr>
          </w:p>
        </w:tc>
        <w:tc>
          <w:tcPr>
            <w:tcW w:w="814" w:type="dxa"/>
            <w:tcBorders>
              <w:top w:val="single" w:color="auto" w:sz="4" w:space="0"/>
              <w:left w:val="single" w:color="auto" w:sz="4" w:space="0"/>
              <w:bottom w:val="single" w:color="auto" w:sz="4" w:space="0"/>
              <w:right w:val="single" w:color="auto" w:sz="4" w:space="0"/>
            </w:tcBorders>
            <w:noWrap w:val="0"/>
            <w:vAlign w:val="top"/>
          </w:tcPr>
          <w:p w14:paraId="5350274B">
            <w:pPr>
              <w:adjustRightInd w:val="0"/>
              <w:snapToGrid w:val="0"/>
              <w:spacing w:line="560" w:lineRule="exact"/>
              <w:jc w:val="center"/>
              <w:rPr>
                <w:color w:val="auto"/>
                <w:szCs w:val="21"/>
                <w:highlight w:val="none"/>
              </w:rPr>
            </w:pPr>
          </w:p>
        </w:tc>
        <w:tc>
          <w:tcPr>
            <w:tcW w:w="811" w:type="dxa"/>
            <w:tcBorders>
              <w:top w:val="single" w:color="auto" w:sz="4" w:space="0"/>
              <w:left w:val="single" w:color="auto" w:sz="4" w:space="0"/>
              <w:bottom w:val="single" w:color="auto" w:sz="4" w:space="0"/>
              <w:right w:val="single" w:color="auto" w:sz="4" w:space="0"/>
            </w:tcBorders>
            <w:noWrap w:val="0"/>
            <w:vAlign w:val="top"/>
          </w:tcPr>
          <w:p w14:paraId="164E5E54">
            <w:pPr>
              <w:adjustRightInd w:val="0"/>
              <w:snapToGrid w:val="0"/>
              <w:spacing w:line="560" w:lineRule="exact"/>
              <w:jc w:val="center"/>
              <w:rPr>
                <w:color w:val="auto"/>
                <w:szCs w:val="21"/>
                <w:highlight w:val="none"/>
              </w:rPr>
            </w:pPr>
          </w:p>
        </w:tc>
        <w:tc>
          <w:tcPr>
            <w:tcW w:w="2848" w:type="dxa"/>
            <w:tcBorders>
              <w:top w:val="single" w:color="auto" w:sz="4" w:space="0"/>
              <w:left w:val="single" w:color="auto" w:sz="4" w:space="0"/>
              <w:bottom w:val="single" w:color="auto" w:sz="4" w:space="0"/>
              <w:right w:val="single" w:color="auto" w:sz="4" w:space="0"/>
            </w:tcBorders>
            <w:noWrap w:val="0"/>
            <w:vAlign w:val="top"/>
          </w:tcPr>
          <w:p w14:paraId="5713AB2A">
            <w:pPr>
              <w:adjustRightInd w:val="0"/>
              <w:snapToGrid w:val="0"/>
              <w:spacing w:line="560" w:lineRule="exact"/>
              <w:jc w:val="center"/>
              <w:rPr>
                <w:color w:val="auto"/>
                <w:szCs w:val="21"/>
                <w:highlight w:val="none"/>
              </w:rPr>
            </w:pPr>
          </w:p>
        </w:tc>
        <w:tc>
          <w:tcPr>
            <w:tcW w:w="759" w:type="dxa"/>
            <w:tcBorders>
              <w:top w:val="single" w:color="auto" w:sz="4" w:space="0"/>
              <w:left w:val="single" w:color="auto" w:sz="4" w:space="0"/>
              <w:bottom w:val="single" w:color="auto" w:sz="4" w:space="0"/>
              <w:right w:val="single" w:color="auto" w:sz="4" w:space="0"/>
            </w:tcBorders>
            <w:noWrap w:val="0"/>
            <w:vAlign w:val="top"/>
          </w:tcPr>
          <w:p w14:paraId="72BFB1D4">
            <w:pPr>
              <w:adjustRightInd w:val="0"/>
              <w:snapToGrid w:val="0"/>
              <w:spacing w:line="560" w:lineRule="exact"/>
              <w:jc w:val="center"/>
              <w:rPr>
                <w:color w:val="auto"/>
                <w:szCs w:val="21"/>
                <w:highlight w:val="none"/>
              </w:rPr>
            </w:pPr>
          </w:p>
        </w:tc>
      </w:tr>
    </w:tbl>
    <w:p w14:paraId="7D127CC7">
      <w:pPr>
        <w:adjustRightInd w:val="0"/>
        <w:snapToGrid w:val="0"/>
        <w:spacing w:line="560" w:lineRule="exact"/>
        <w:rPr>
          <w:rFonts w:hint="eastAsia"/>
          <w:color w:val="auto"/>
          <w:highlight w:val="none"/>
        </w:rPr>
      </w:pPr>
      <w:r>
        <w:rPr>
          <w:rFonts w:hint="eastAsia"/>
          <w:b/>
          <w:color w:val="auto"/>
          <w:szCs w:val="21"/>
          <w:highlight w:val="none"/>
        </w:rPr>
        <w:t>备注：</w:t>
      </w:r>
      <w:r>
        <w:rPr>
          <w:rFonts w:hint="eastAsia"/>
          <w:color w:val="auto"/>
          <w:highlight w:val="none"/>
        </w:rPr>
        <w:t>根据安徽省住房和城乡建设厅《关于调整招标投标活动中有关住房城乡建设领域现场专业人员证书要求的通知》（建市函〔2019〕1112 号）要求，不再将住房城乡建设领域现场专业技术人员（包括施工员、质量员、安全员、资料员、材料员、劳务员、机械员、标准员）及取样员持证情况列入招标投标文件，招标人或招标代理机构需按照住房和城乡建设部及安徽省相关标准规定 明确投标人需要配备其他主要管理人员和技术人员数量的最低要求。中标人和招标人在签订合同时应按照不低于上述人员配置的要求填写承包人主要施工管理人员表，并作为合同的附件之一。</w:t>
      </w:r>
    </w:p>
    <w:p w14:paraId="66B57550">
      <w:pPr>
        <w:spacing w:line="560" w:lineRule="exact"/>
        <w:rPr>
          <w:rFonts w:hint="eastAsia"/>
          <w:color w:val="auto"/>
          <w:highlight w:val="none"/>
        </w:rPr>
      </w:pPr>
    </w:p>
    <w:p w14:paraId="38EF3524">
      <w:pPr>
        <w:pStyle w:val="5"/>
        <w:jc w:val="center"/>
        <w:rPr>
          <w:color w:val="auto"/>
          <w:sz w:val="23"/>
          <w:szCs w:val="23"/>
          <w:highlight w:val="none"/>
        </w:rPr>
      </w:pPr>
      <w:r>
        <w:rPr>
          <w:rFonts w:hint="eastAsia"/>
          <w:color w:val="auto"/>
          <w:highlight w:val="none"/>
        </w:rPr>
        <w:t>附表2：拟任项目经理（建造师）</w:t>
      </w:r>
      <w:r>
        <w:rPr>
          <w:color w:val="auto"/>
          <w:highlight w:val="none"/>
        </w:rPr>
        <w:t>简历表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3"/>
        <w:gridCol w:w="394"/>
        <w:gridCol w:w="791"/>
        <w:gridCol w:w="1018"/>
        <w:gridCol w:w="1170"/>
        <w:gridCol w:w="777"/>
        <w:gridCol w:w="1385"/>
        <w:gridCol w:w="177"/>
        <w:gridCol w:w="2345"/>
      </w:tblGrid>
      <w:tr w14:paraId="51878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303" w:type="dxa"/>
            <w:noWrap w:val="0"/>
            <w:vAlign w:val="center"/>
          </w:tcPr>
          <w:p w14:paraId="3FEAF82E">
            <w:pPr>
              <w:adjustRightInd w:val="0"/>
              <w:snapToGrid w:val="0"/>
              <w:spacing w:line="560" w:lineRule="exact"/>
              <w:jc w:val="center"/>
              <w:rPr>
                <w:rFonts w:ascii="宋体" w:hAnsi="宋体"/>
                <w:color w:val="auto"/>
                <w:szCs w:val="21"/>
                <w:highlight w:val="none"/>
              </w:rPr>
            </w:pPr>
            <w:r>
              <w:rPr>
                <w:rFonts w:ascii="宋体" w:hAnsi="宋体"/>
                <w:color w:val="auto"/>
                <w:szCs w:val="21"/>
                <w:highlight w:val="none"/>
              </w:rPr>
              <w:t>姓  名</w:t>
            </w:r>
          </w:p>
        </w:tc>
        <w:tc>
          <w:tcPr>
            <w:tcW w:w="1185" w:type="dxa"/>
            <w:gridSpan w:val="2"/>
            <w:noWrap w:val="0"/>
            <w:vAlign w:val="center"/>
          </w:tcPr>
          <w:p w14:paraId="531C7F9A">
            <w:pPr>
              <w:adjustRightInd w:val="0"/>
              <w:snapToGrid w:val="0"/>
              <w:spacing w:line="560" w:lineRule="exact"/>
              <w:jc w:val="center"/>
              <w:rPr>
                <w:rFonts w:ascii="宋体" w:hAnsi="宋体"/>
                <w:color w:val="auto"/>
                <w:szCs w:val="21"/>
                <w:highlight w:val="none"/>
              </w:rPr>
            </w:pPr>
          </w:p>
        </w:tc>
        <w:tc>
          <w:tcPr>
            <w:tcW w:w="1018" w:type="dxa"/>
            <w:noWrap w:val="0"/>
            <w:vAlign w:val="center"/>
          </w:tcPr>
          <w:p w14:paraId="0755C872">
            <w:pPr>
              <w:adjustRightInd w:val="0"/>
              <w:snapToGrid w:val="0"/>
              <w:spacing w:line="560" w:lineRule="exact"/>
              <w:jc w:val="center"/>
              <w:rPr>
                <w:rFonts w:ascii="宋体" w:hAnsi="宋体"/>
                <w:color w:val="auto"/>
                <w:szCs w:val="21"/>
                <w:highlight w:val="none"/>
              </w:rPr>
            </w:pPr>
            <w:r>
              <w:rPr>
                <w:rFonts w:ascii="宋体" w:hAnsi="宋体"/>
                <w:color w:val="auto"/>
                <w:szCs w:val="21"/>
                <w:highlight w:val="none"/>
              </w:rPr>
              <w:t>年 龄</w:t>
            </w:r>
          </w:p>
        </w:tc>
        <w:tc>
          <w:tcPr>
            <w:tcW w:w="1170" w:type="dxa"/>
            <w:noWrap w:val="0"/>
            <w:vAlign w:val="center"/>
          </w:tcPr>
          <w:p w14:paraId="51D7890A">
            <w:pPr>
              <w:adjustRightInd w:val="0"/>
              <w:snapToGrid w:val="0"/>
              <w:spacing w:line="560" w:lineRule="exact"/>
              <w:jc w:val="center"/>
              <w:rPr>
                <w:rFonts w:ascii="宋体" w:hAnsi="宋体"/>
                <w:color w:val="auto"/>
                <w:szCs w:val="21"/>
                <w:highlight w:val="none"/>
              </w:rPr>
            </w:pPr>
          </w:p>
        </w:tc>
        <w:tc>
          <w:tcPr>
            <w:tcW w:w="2339" w:type="dxa"/>
            <w:gridSpan w:val="3"/>
            <w:noWrap w:val="0"/>
            <w:vAlign w:val="center"/>
          </w:tcPr>
          <w:p w14:paraId="568B47EB">
            <w:pPr>
              <w:adjustRightInd w:val="0"/>
              <w:snapToGrid w:val="0"/>
              <w:spacing w:line="560" w:lineRule="exact"/>
              <w:jc w:val="center"/>
              <w:rPr>
                <w:rFonts w:ascii="宋体" w:hAnsi="宋体"/>
                <w:color w:val="auto"/>
                <w:szCs w:val="21"/>
                <w:highlight w:val="none"/>
              </w:rPr>
            </w:pPr>
            <w:r>
              <w:rPr>
                <w:rFonts w:ascii="宋体" w:hAnsi="宋体"/>
                <w:color w:val="auto"/>
                <w:szCs w:val="21"/>
                <w:highlight w:val="none"/>
              </w:rPr>
              <w:t>学历</w:t>
            </w:r>
          </w:p>
        </w:tc>
        <w:tc>
          <w:tcPr>
            <w:tcW w:w="2345" w:type="dxa"/>
            <w:noWrap w:val="0"/>
            <w:vAlign w:val="center"/>
          </w:tcPr>
          <w:p w14:paraId="5F8F8765">
            <w:pPr>
              <w:adjustRightInd w:val="0"/>
              <w:snapToGrid w:val="0"/>
              <w:spacing w:line="560" w:lineRule="exact"/>
              <w:rPr>
                <w:rFonts w:ascii="宋体" w:hAnsi="宋体"/>
                <w:color w:val="auto"/>
                <w:szCs w:val="21"/>
                <w:highlight w:val="none"/>
              </w:rPr>
            </w:pPr>
          </w:p>
        </w:tc>
      </w:tr>
      <w:tr w14:paraId="17A1A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303" w:type="dxa"/>
            <w:noWrap w:val="0"/>
            <w:vAlign w:val="center"/>
          </w:tcPr>
          <w:p w14:paraId="3149940D">
            <w:pPr>
              <w:adjustRightInd w:val="0"/>
              <w:snapToGrid w:val="0"/>
              <w:spacing w:line="560" w:lineRule="exact"/>
              <w:jc w:val="center"/>
              <w:rPr>
                <w:rFonts w:ascii="宋体" w:hAnsi="宋体"/>
                <w:color w:val="auto"/>
                <w:szCs w:val="21"/>
                <w:highlight w:val="none"/>
              </w:rPr>
            </w:pPr>
            <w:r>
              <w:rPr>
                <w:rFonts w:ascii="宋体" w:hAnsi="宋体"/>
                <w:color w:val="auto"/>
                <w:szCs w:val="21"/>
                <w:highlight w:val="none"/>
              </w:rPr>
              <w:t>职  称</w:t>
            </w:r>
          </w:p>
        </w:tc>
        <w:tc>
          <w:tcPr>
            <w:tcW w:w="1185" w:type="dxa"/>
            <w:gridSpan w:val="2"/>
            <w:noWrap w:val="0"/>
            <w:vAlign w:val="center"/>
          </w:tcPr>
          <w:p w14:paraId="46A177B9">
            <w:pPr>
              <w:adjustRightInd w:val="0"/>
              <w:snapToGrid w:val="0"/>
              <w:spacing w:line="560" w:lineRule="exact"/>
              <w:jc w:val="center"/>
              <w:rPr>
                <w:rFonts w:ascii="宋体" w:hAnsi="宋体"/>
                <w:color w:val="auto"/>
                <w:szCs w:val="21"/>
                <w:highlight w:val="none"/>
              </w:rPr>
            </w:pPr>
          </w:p>
        </w:tc>
        <w:tc>
          <w:tcPr>
            <w:tcW w:w="1018" w:type="dxa"/>
            <w:noWrap w:val="0"/>
            <w:vAlign w:val="center"/>
          </w:tcPr>
          <w:p w14:paraId="53ACB8DA">
            <w:pPr>
              <w:adjustRightInd w:val="0"/>
              <w:snapToGrid w:val="0"/>
              <w:spacing w:line="560" w:lineRule="exact"/>
              <w:jc w:val="center"/>
              <w:rPr>
                <w:rFonts w:ascii="宋体" w:hAnsi="宋体"/>
                <w:color w:val="auto"/>
                <w:szCs w:val="21"/>
                <w:highlight w:val="none"/>
              </w:rPr>
            </w:pPr>
            <w:r>
              <w:rPr>
                <w:rFonts w:ascii="宋体" w:hAnsi="宋体"/>
                <w:color w:val="auto"/>
                <w:szCs w:val="21"/>
                <w:highlight w:val="none"/>
              </w:rPr>
              <w:t>职 务</w:t>
            </w:r>
          </w:p>
        </w:tc>
        <w:tc>
          <w:tcPr>
            <w:tcW w:w="1170" w:type="dxa"/>
            <w:noWrap w:val="0"/>
            <w:vAlign w:val="center"/>
          </w:tcPr>
          <w:p w14:paraId="08D48F31">
            <w:pPr>
              <w:adjustRightInd w:val="0"/>
              <w:snapToGrid w:val="0"/>
              <w:spacing w:line="560" w:lineRule="exact"/>
              <w:jc w:val="center"/>
              <w:rPr>
                <w:rFonts w:ascii="宋体" w:hAnsi="宋体"/>
                <w:color w:val="auto"/>
                <w:szCs w:val="21"/>
                <w:highlight w:val="none"/>
              </w:rPr>
            </w:pPr>
          </w:p>
        </w:tc>
        <w:tc>
          <w:tcPr>
            <w:tcW w:w="2339" w:type="dxa"/>
            <w:gridSpan w:val="3"/>
            <w:noWrap w:val="0"/>
            <w:vAlign w:val="center"/>
          </w:tcPr>
          <w:p w14:paraId="07D6806A">
            <w:pPr>
              <w:adjustRightInd w:val="0"/>
              <w:snapToGrid w:val="0"/>
              <w:spacing w:line="560" w:lineRule="exact"/>
              <w:jc w:val="center"/>
              <w:rPr>
                <w:rFonts w:ascii="宋体" w:hAnsi="宋体"/>
                <w:color w:val="auto"/>
                <w:szCs w:val="21"/>
                <w:highlight w:val="none"/>
              </w:rPr>
            </w:pPr>
            <w:r>
              <w:rPr>
                <w:rFonts w:ascii="宋体" w:hAnsi="宋体"/>
                <w:color w:val="auto"/>
                <w:szCs w:val="21"/>
                <w:highlight w:val="none"/>
              </w:rPr>
              <w:t>拟在本合同任职</w:t>
            </w:r>
          </w:p>
        </w:tc>
        <w:tc>
          <w:tcPr>
            <w:tcW w:w="2345" w:type="dxa"/>
            <w:noWrap w:val="0"/>
            <w:vAlign w:val="center"/>
          </w:tcPr>
          <w:p w14:paraId="7FBE543D">
            <w:pPr>
              <w:adjustRightInd w:val="0"/>
              <w:snapToGrid w:val="0"/>
              <w:spacing w:line="560" w:lineRule="exact"/>
              <w:rPr>
                <w:rFonts w:ascii="宋体" w:hAnsi="宋体"/>
                <w:color w:val="auto"/>
                <w:szCs w:val="21"/>
                <w:highlight w:val="none"/>
              </w:rPr>
            </w:pPr>
          </w:p>
        </w:tc>
      </w:tr>
      <w:tr w14:paraId="677F5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303" w:type="dxa"/>
            <w:noWrap w:val="0"/>
            <w:vAlign w:val="center"/>
          </w:tcPr>
          <w:p w14:paraId="5B6C4267">
            <w:pPr>
              <w:adjustRightInd w:val="0"/>
              <w:snapToGrid w:val="0"/>
              <w:spacing w:line="560" w:lineRule="exact"/>
              <w:rPr>
                <w:rFonts w:ascii="宋体" w:hAnsi="宋体"/>
                <w:color w:val="auto"/>
                <w:szCs w:val="21"/>
                <w:highlight w:val="none"/>
              </w:rPr>
            </w:pPr>
            <w:r>
              <w:rPr>
                <w:rFonts w:ascii="宋体" w:hAnsi="宋体"/>
                <w:color w:val="auto"/>
                <w:szCs w:val="21"/>
                <w:highlight w:val="none"/>
              </w:rPr>
              <w:t>毕业学校</w:t>
            </w:r>
          </w:p>
        </w:tc>
        <w:tc>
          <w:tcPr>
            <w:tcW w:w="8057" w:type="dxa"/>
            <w:gridSpan w:val="8"/>
            <w:noWrap w:val="0"/>
            <w:vAlign w:val="top"/>
          </w:tcPr>
          <w:p w14:paraId="32C4C513">
            <w:pPr>
              <w:adjustRightInd w:val="0"/>
              <w:snapToGrid w:val="0"/>
              <w:spacing w:line="560" w:lineRule="exact"/>
              <w:rPr>
                <w:rFonts w:ascii="宋体" w:hAnsi="宋体"/>
                <w:color w:val="auto"/>
                <w:szCs w:val="21"/>
                <w:highlight w:val="none"/>
              </w:rPr>
            </w:pPr>
            <w:r>
              <w:rPr>
                <w:rFonts w:ascii="宋体" w:hAnsi="宋体"/>
                <w:color w:val="auto"/>
                <w:szCs w:val="21"/>
                <w:highlight w:val="none"/>
              </w:rPr>
              <w:t xml:space="preserve">      年毕业于            学校        专业</w:t>
            </w:r>
          </w:p>
        </w:tc>
      </w:tr>
      <w:tr w14:paraId="1554C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9360" w:type="dxa"/>
            <w:gridSpan w:val="9"/>
            <w:noWrap w:val="0"/>
            <w:vAlign w:val="center"/>
          </w:tcPr>
          <w:p w14:paraId="4CFAAC99">
            <w:pPr>
              <w:adjustRightInd w:val="0"/>
              <w:snapToGrid w:val="0"/>
              <w:spacing w:line="560" w:lineRule="exact"/>
              <w:rPr>
                <w:rFonts w:ascii="宋体" w:hAnsi="宋体"/>
                <w:color w:val="auto"/>
                <w:szCs w:val="21"/>
                <w:highlight w:val="none"/>
              </w:rPr>
            </w:pPr>
            <w:r>
              <w:rPr>
                <w:rFonts w:ascii="宋体" w:hAnsi="宋体"/>
                <w:color w:val="auto"/>
                <w:szCs w:val="21"/>
                <w:highlight w:val="none"/>
              </w:rPr>
              <w:t>主要工作经历</w:t>
            </w:r>
          </w:p>
        </w:tc>
      </w:tr>
      <w:tr w14:paraId="1C41F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697" w:type="dxa"/>
            <w:gridSpan w:val="2"/>
            <w:noWrap w:val="0"/>
            <w:vAlign w:val="center"/>
          </w:tcPr>
          <w:p w14:paraId="268566D4">
            <w:pPr>
              <w:adjustRightInd w:val="0"/>
              <w:snapToGrid w:val="0"/>
              <w:spacing w:line="560" w:lineRule="exact"/>
              <w:jc w:val="center"/>
              <w:rPr>
                <w:rFonts w:ascii="宋体" w:hAnsi="宋体"/>
                <w:color w:val="auto"/>
                <w:szCs w:val="21"/>
                <w:highlight w:val="none"/>
              </w:rPr>
            </w:pPr>
            <w:r>
              <w:rPr>
                <w:rFonts w:ascii="宋体" w:hAnsi="宋体"/>
                <w:color w:val="auto"/>
                <w:szCs w:val="21"/>
                <w:highlight w:val="none"/>
              </w:rPr>
              <w:t>时  间</w:t>
            </w:r>
          </w:p>
        </w:tc>
        <w:tc>
          <w:tcPr>
            <w:tcW w:w="3756" w:type="dxa"/>
            <w:gridSpan w:val="4"/>
            <w:noWrap w:val="0"/>
            <w:vAlign w:val="center"/>
          </w:tcPr>
          <w:p w14:paraId="1FEB4970">
            <w:pPr>
              <w:adjustRightInd w:val="0"/>
              <w:snapToGrid w:val="0"/>
              <w:spacing w:line="560" w:lineRule="exact"/>
              <w:jc w:val="center"/>
              <w:rPr>
                <w:rFonts w:ascii="宋体" w:hAnsi="宋体"/>
                <w:color w:val="auto"/>
                <w:szCs w:val="21"/>
                <w:highlight w:val="none"/>
              </w:rPr>
            </w:pPr>
            <w:r>
              <w:rPr>
                <w:rFonts w:ascii="宋体" w:hAnsi="宋体"/>
                <w:color w:val="auto"/>
                <w:szCs w:val="21"/>
                <w:highlight w:val="none"/>
              </w:rPr>
              <w:t>参加过的类似项目</w:t>
            </w:r>
          </w:p>
        </w:tc>
        <w:tc>
          <w:tcPr>
            <w:tcW w:w="1385" w:type="dxa"/>
            <w:noWrap w:val="0"/>
            <w:vAlign w:val="center"/>
          </w:tcPr>
          <w:p w14:paraId="0B5EBB9E">
            <w:pPr>
              <w:adjustRightInd w:val="0"/>
              <w:snapToGrid w:val="0"/>
              <w:spacing w:line="560" w:lineRule="exact"/>
              <w:jc w:val="center"/>
              <w:rPr>
                <w:rFonts w:ascii="宋体" w:hAnsi="宋体"/>
                <w:color w:val="auto"/>
                <w:szCs w:val="21"/>
                <w:highlight w:val="none"/>
              </w:rPr>
            </w:pPr>
            <w:r>
              <w:rPr>
                <w:rFonts w:ascii="宋体" w:hAnsi="宋体"/>
                <w:color w:val="auto"/>
                <w:szCs w:val="21"/>
                <w:highlight w:val="none"/>
              </w:rPr>
              <w:t>担任职务</w:t>
            </w:r>
          </w:p>
        </w:tc>
        <w:tc>
          <w:tcPr>
            <w:tcW w:w="2522" w:type="dxa"/>
            <w:gridSpan w:val="2"/>
            <w:noWrap w:val="0"/>
            <w:vAlign w:val="center"/>
          </w:tcPr>
          <w:p w14:paraId="4CA15942">
            <w:pPr>
              <w:adjustRightInd w:val="0"/>
              <w:snapToGrid w:val="0"/>
              <w:spacing w:line="560" w:lineRule="exact"/>
              <w:jc w:val="center"/>
              <w:rPr>
                <w:rFonts w:ascii="宋体" w:hAnsi="宋体"/>
                <w:color w:val="auto"/>
                <w:szCs w:val="21"/>
                <w:highlight w:val="none"/>
              </w:rPr>
            </w:pPr>
            <w:r>
              <w:rPr>
                <w:rFonts w:ascii="宋体" w:hAnsi="宋体"/>
                <w:color w:val="auto"/>
                <w:szCs w:val="21"/>
                <w:highlight w:val="none"/>
              </w:rPr>
              <w:t>发包人及联系电话</w:t>
            </w:r>
          </w:p>
        </w:tc>
      </w:tr>
      <w:tr w14:paraId="40402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697" w:type="dxa"/>
            <w:gridSpan w:val="2"/>
            <w:noWrap w:val="0"/>
            <w:vAlign w:val="top"/>
          </w:tcPr>
          <w:p w14:paraId="7C929608">
            <w:pPr>
              <w:adjustRightInd w:val="0"/>
              <w:snapToGrid w:val="0"/>
              <w:spacing w:line="560" w:lineRule="exact"/>
              <w:rPr>
                <w:rFonts w:eastAsia="黑体"/>
                <w:color w:val="auto"/>
                <w:szCs w:val="21"/>
                <w:highlight w:val="none"/>
              </w:rPr>
            </w:pPr>
          </w:p>
        </w:tc>
        <w:tc>
          <w:tcPr>
            <w:tcW w:w="3756" w:type="dxa"/>
            <w:gridSpan w:val="4"/>
            <w:noWrap w:val="0"/>
            <w:vAlign w:val="top"/>
          </w:tcPr>
          <w:p w14:paraId="33FA128D">
            <w:pPr>
              <w:adjustRightInd w:val="0"/>
              <w:snapToGrid w:val="0"/>
              <w:spacing w:line="560" w:lineRule="exact"/>
              <w:rPr>
                <w:rFonts w:eastAsia="黑体"/>
                <w:color w:val="auto"/>
                <w:szCs w:val="21"/>
                <w:highlight w:val="none"/>
              </w:rPr>
            </w:pPr>
          </w:p>
        </w:tc>
        <w:tc>
          <w:tcPr>
            <w:tcW w:w="1385" w:type="dxa"/>
            <w:noWrap w:val="0"/>
            <w:vAlign w:val="top"/>
          </w:tcPr>
          <w:p w14:paraId="7DEEC61A">
            <w:pPr>
              <w:adjustRightInd w:val="0"/>
              <w:snapToGrid w:val="0"/>
              <w:spacing w:line="560" w:lineRule="exact"/>
              <w:rPr>
                <w:rFonts w:eastAsia="黑体"/>
                <w:color w:val="auto"/>
                <w:szCs w:val="21"/>
                <w:highlight w:val="none"/>
              </w:rPr>
            </w:pPr>
          </w:p>
        </w:tc>
        <w:tc>
          <w:tcPr>
            <w:tcW w:w="2522" w:type="dxa"/>
            <w:gridSpan w:val="2"/>
            <w:noWrap w:val="0"/>
            <w:vAlign w:val="top"/>
          </w:tcPr>
          <w:p w14:paraId="71E543AC">
            <w:pPr>
              <w:adjustRightInd w:val="0"/>
              <w:snapToGrid w:val="0"/>
              <w:spacing w:line="560" w:lineRule="exact"/>
              <w:rPr>
                <w:rFonts w:eastAsia="黑体"/>
                <w:color w:val="auto"/>
                <w:szCs w:val="21"/>
                <w:highlight w:val="none"/>
              </w:rPr>
            </w:pPr>
          </w:p>
        </w:tc>
      </w:tr>
      <w:tr w14:paraId="2E7B2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697" w:type="dxa"/>
            <w:gridSpan w:val="2"/>
            <w:noWrap w:val="0"/>
            <w:vAlign w:val="top"/>
          </w:tcPr>
          <w:p w14:paraId="6B471213">
            <w:pPr>
              <w:adjustRightInd w:val="0"/>
              <w:snapToGrid w:val="0"/>
              <w:spacing w:line="560" w:lineRule="exact"/>
              <w:rPr>
                <w:rFonts w:eastAsia="黑体"/>
                <w:color w:val="auto"/>
                <w:szCs w:val="21"/>
                <w:highlight w:val="none"/>
              </w:rPr>
            </w:pPr>
          </w:p>
        </w:tc>
        <w:tc>
          <w:tcPr>
            <w:tcW w:w="3756" w:type="dxa"/>
            <w:gridSpan w:val="4"/>
            <w:noWrap w:val="0"/>
            <w:vAlign w:val="top"/>
          </w:tcPr>
          <w:p w14:paraId="5C1C42BA">
            <w:pPr>
              <w:adjustRightInd w:val="0"/>
              <w:snapToGrid w:val="0"/>
              <w:spacing w:line="560" w:lineRule="exact"/>
              <w:rPr>
                <w:rFonts w:eastAsia="黑体"/>
                <w:color w:val="auto"/>
                <w:szCs w:val="21"/>
                <w:highlight w:val="none"/>
              </w:rPr>
            </w:pPr>
          </w:p>
        </w:tc>
        <w:tc>
          <w:tcPr>
            <w:tcW w:w="1385" w:type="dxa"/>
            <w:noWrap w:val="0"/>
            <w:vAlign w:val="top"/>
          </w:tcPr>
          <w:p w14:paraId="2A586BE3">
            <w:pPr>
              <w:adjustRightInd w:val="0"/>
              <w:snapToGrid w:val="0"/>
              <w:spacing w:line="560" w:lineRule="exact"/>
              <w:rPr>
                <w:rFonts w:eastAsia="黑体"/>
                <w:color w:val="auto"/>
                <w:szCs w:val="21"/>
                <w:highlight w:val="none"/>
              </w:rPr>
            </w:pPr>
          </w:p>
        </w:tc>
        <w:tc>
          <w:tcPr>
            <w:tcW w:w="2522" w:type="dxa"/>
            <w:gridSpan w:val="2"/>
            <w:noWrap w:val="0"/>
            <w:vAlign w:val="top"/>
          </w:tcPr>
          <w:p w14:paraId="2F6A3435">
            <w:pPr>
              <w:adjustRightInd w:val="0"/>
              <w:snapToGrid w:val="0"/>
              <w:spacing w:line="560" w:lineRule="exact"/>
              <w:rPr>
                <w:rFonts w:eastAsia="黑体"/>
                <w:color w:val="auto"/>
                <w:szCs w:val="21"/>
                <w:highlight w:val="none"/>
              </w:rPr>
            </w:pPr>
          </w:p>
        </w:tc>
      </w:tr>
      <w:tr w14:paraId="4B8A6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697" w:type="dxa"/>
            <w:gridSpan w:val="2"/>
            <w:noWrap w:val="0"/>
            <w:vAlign w:val="top"/>
          </w:tcPr>
          <w:p w14:paraId="59821708">
            <w:pPr>
              <w:adjustRightInd w:val="0"/>
              <w:snapToGrid w:val="0"/>
              <w:spacing w:line="560" w:lineRule="exact"/>
              <w:rPr>
                <w:rFonts w:eastAsia="黑体"/>
                <w:color w:val="auto"/>
                <w:szCs w:val="21"/>
                <w:highlight w:val="none"/>
              </w:rPr>
            </w:pPr>
          </w:p>
        </w:tc>
        <w:tc>
          <w:tcPr>
            <w:tcW w:w="3756" w:type="dxa"/>
            <w:gridSpan w:val="4"/>
            <w:noWrap w:val="0"/>
            <w:vAlign w:val="top"/>
          </w:tcPr>
          <w:p w14:paraId="3834DF10">
            <w:pPr>
              <w:adjustRightInd w:val="0"/>
              <w:snapToGrid w:val="0"/>
              <w:spacing w:line="560" w:lineRule="exact"/>
              <w:rPr>
                <w:rFonts w:eastAsia="黑体"/>
                <w:color w:val="auto"/>
                <w:szCs w:val="21"/>
                <w:highlight w:val="none"/>
              </w:rPr>
            </w:pPr>
          </w:p>
        </w:tc>
        <w:tc>
          <w:tcPr>
            <w:tcW w:w="1385" w:type="dxa"/>
            <w:noWrap w:val="0"/>
            <w:vAlign w:val="top"/>
          </w:tcPr>
          <w:p w14:paraId="0273657E">
            <w:pPr>
              <w:adjustRightInd w:val="0"/>
              <w:snapToGrid w:val="0"/>
              <w:spacing w:line="560" w:lineRule="exact"/>
              <w:rPr>
                <w:rFonts w:eastAsia="黑体"/>
                <w:color w:val="auto"/>
                <w:szCs w:val="21"/>
                <w:highlight w:val="none"/>
              </w:rPr>
            </w:pPr>
          </w:p>
        </w:tc>
        <w:tc>
          <w:tcPr>
            <w:tcW w:w="2522" w:type="dxa"/>
            <w:gridSpan w:val="2"/>
            <w:noWrap w:val="0"/>
            <w:vAlign w:val="top"/>
          </w:tcPr>
          <w:p w14:paraId="20C5069E">
            <w:pPr>
              <w:adjustRightInd w:val="0"/>
              <w:snapToGrid w:val="0"/>
              <w:spacing w:line="560" w:lineRule="exact"/>
              <w:rPr>
                <w:rFonts w:eastAsia="黑体"/>
                <w:color w:val="auto"/>
                <w:szCs w:val="21"/>
                <w:highlight w:val="none"/>
              </w:rPr>
            </w:pPr>
          </w:p>
        </w:tc>
      </w:tr>
      <w:tr w14:paraId="185A3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697" w:type="dxa"/>
            <w:gridSpan w:val="2"/>
            <w:noWrap w:val="0"/>
            <w:vAlign w:val="top"/>
          </w:tcPr>
          <w:p w14:paraId="3A9DC2DF">
            <w:pPr>
              <w:adjustRightInd w:val="0"/>
              <w:snapToGrid w:val="0"/>
              <w:spacing w:line="560" w:lineRule="exact"/>
              <w:rPr>
                <w:rFonts w:eastAsia="黑体"/>
                <w:color w:val="auto"/>
                <w:szCs w:val="21"/>
                <w:highlight w:val="none"/>
              </w:rPr>
            </w:pPr>
          </w:p>
        </w:tc>
        <w:tc>
          <w:tcPr>
            <w:tcW w:w="3756" w:type="dxa"/>
            <w:gridSpan w:val="4"/>
            <w:noWrap w:val="0"/>
            <w:vAlign w:val="top"/>
          </w:tcPr>
          <w:p w14:paraId="72846570">
            <w:pPr>
              <w:adjustRightInd w:val="0"/>
              <w:snapToGrid w:val="0"/>
              <w:spacing w:line="560" w:lineRule="exact"/>
              <w:rPr>
                <w:rFonts w:eastAsia="黑体"/>
                <w:color w:val="auto"/>
                <w:szCs w:val="21"/>
                <w:highlight w:val="none"/>
              </w:rPr>
            </w:pPr>
          </w:p>
        </w:tc>
        <w:tc>
          <w:tcPr>
            <w:tcW w:w="1385" w:type="dxa"/>
            <w:noWrap w:val="0"/>
            <w:vAlign w:val="top"/>
          </w:tcPr>
          <w:p w14:paraId="7AAEC607">
            <w:pPr>
              <w:adjustRightInd w:val="0"/>
              <w:snapToGrid w:val="0"/>
              <w:spacing w:line="560" w:lineRule="exact"/>
              <w:rPr>
                <w:rFonts w:eastAsia="黑体"/>
                <w:color w:val="auto"/>
                <w:szCs w:val="21"/>
                <w:highlight w:val="none"/>
              </w:rPr>
            </w:pPr>
          </w:p>
        </w:tc>
        <w:tc>
          <w:tcPr>
            <w:tcW w:w="2522" w:type="dxa"/>
            <w:gridSpan w:val="2"/>
            <w:noWrap w:val="0"/>
            <w:vAlign w:val="top"/>
          </w:tcPr>
          <w:p w14:paraId="225B990C">
            <w:pPr>
              <w:adjustRightInd w:val="0"/>
              <w:snapToGrid w:val="0"/>
              <w:spacing w:line="560" w:lineRule="exact"/>
              <w:rPr>
                <w:rFonts w:eastAsia="黑体"/>
                <w:color w:val="auto"/>
                <w:szCs w:val="21"/>
                <w:highlight w:val="none"/>
              </w:rPr>
            </w:pPr>
          </w:p>
        </w:tc>
      </w:tr>
      <w:tr w14:paraId="2CC9A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697" w:type="dxa"/>
            <w:gridSpan w:val="2"/>
            <w:noWrap w:val="0"/>
            <w:vAlign w:val="top"/>
          </w:tcPr>
          <w:p w14:paraId="27667B33">
            <w:pPr>
              <w:adjustRightInd w:val="0"/>
              <w:snapToGrid w:val="0"/>
              <w:spacing w:line="560" w:lineRule="exact"/>
              <w:rPr>
                <w:rFonts w:eastAsia="黑体"/>
                <w:color w:val="auto"/>
                <w:szCs w:val="21"/>
                <w:highlight w:val="none"/>
              </w:rPr>
            </w:pPr>
          </w:p>
        </w:tc>
        <w:tc>
          <w:tcPr>
            <w:tcW w:w="3756" w:type="dxa"/>
            <w:gridSpan w:val="4"/>
            <w:noWrap w:val="0"/>
            <w:vAlign w:val="top"/>
          </w:tcPr>
          <w:p w14:paraId="50D85466">
            <w:pPr>
              <w:adjustRightInd w:val="0"/>
              <w:snapToGrid w:val="0"/>
              <w:spacing w:line="560" w:lineRule="exact"/>
              <w:rPr>
                <w:rFonts w:eastAsia="黑体"/>
                <w:color w:val="auto"/>
                <w:szCs w:val="21"/>
                <w:highlight w:val="none"/>
              </w:rPr>
            </w:pPr>
          </w:p>
        </w:tc>
        <w:tc>
          <w:tcPr>
            <w:tcW w:w="1385" w:type="dxa"/>
            <w:noWrap w:val="0"/>
            <w:vAlign w:val="top"/>
          </w:tcPr>
          <w:p w14:paraId="110F4F5E">
            <w:pPr>
              <w:adjustRightInd w:val="0"/>
              <w:snapToGrid w:val="0"/>
              <w:spacing w:line="560" w:lineRule="exact"/>
              <w:rPr>
                <w:rFonts w:eastAsia="黑体"/>
                <w:color w:val="auto"/>
                <w:szCs w:val="21"/>
                <w:highlight w:val="none"/>
              </w:rPr>
            </w:pPr>
          </w:p>
        </w:tc>
        <w:tc>
          <w:tcPr>
            <w:tcW w:w="2522" w:type="dxa"/>
            <w:gridSpan w:val="2"/>
            <w:noWrap w:val="0"/>
            <w:vAlign w:val="top"/>
          </w:tcPr>
          <w:p w14:paraId="5DE62454">
            <w:pPr>
              <w:adjustRightInd w:val="0"/>
              <w:snapToGrid w:val="0"/>
              <w:spacing w:line="560" w:lineRule="exact"/>
              <w:rPr>
                <w:rFonts w:eastAsia="黑体"/>
                <w:color w:val="auto"/>
                <w:szCs w:val="21"/>
                <w:highlight w:val="none"/>
              </w:rPr>
            </w:pPr>
          </w:p>
        </w:tc>
      </w:tr>
      <w:tr w14:paraId="49940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697" w:type="dxa"/>
            <w:gridSpan w:val="2"/>
            <w:noWrap w:val="0"/>
            <w:vAlign w:val="top"/>
          </w:tcPr>
          <w:p w14:paraId="790AFACE">
            <w:pPr>
              <w:adjustRightInd w:val="0"/>
              <w:snapToGrid w:val="0"/>
              <w:spacing w:line="560" w:lineRule="exact"/>
              <w:rPr>
                <w:rFonts w:eastAsia="黑体"/>
                <w:color w:val="auto"/>
                <w:szCs w:val="21"/>
                <w:highlight w:val="none"/>
              </w:rPr>
            </w:pPr>
          </w:p>
        </w:tc>
        <w:tc>
          <w:tcPr>
            <w:tcW w:w="3756" w:type="dxa"/>
            <w:gridSpan w:val="4"/>
            <w:noWrap w:val="0"/>
            <w:vAlign w:val="top"/>
          </w:tcPr>
          <w:p w14:paraId="325F35A5">
            <w:pPr>
              <w:adjustRightInd w:val="0"/>
              <w:snapToGrid w:val="0"/>
              <w:spacing w:line="560" w:lineRule="exact"/>
              <w:rPr>
                <w:rFonts w:eastAsia="黑体"/>
                <w:color w:val="auto"/>
                <w:szCs w:val="21"/>
                <w:highlight w:val="none"/>
              </w:rPr>
            </w:pPr>
          </w:p>
        </w:tc>
        <w:tc>
          <w:tcPr>
            <w:tcW w:w="1385" w:type="dxa"/>
            <w:noWrap w:val="0"/>
            <w:vAlign w:val="top"/>
          </w:tcPr>
          <w:p w14:paraId="13FFEA37">
            <w:pPr>
              <w:adjustRightInd w:val="0"/>
              <w:snapToGrid w:val="0"/>
              <w:spacing w:line="560" w:lineRule="exact"/>
              <w:rPr>
                <w:rFonts w:eastAsia="黑体"/>
                <w:color w:val="auto"/>
                <w:szCs w:val="21"/>
                <w:highlight w:val="none"/>
              </w:rPr>
            </w:pPr>
          </w:p>
        </w:tc>
        <w:tc>
          <w:tcPr>
            <w:tcW w:w="2522" w:type="dxa"/>
            <w:gridSpan w:val="2"/>
            <w:noWrap w:val="0"/>
            <w:vAlign w:val="top"/>
          </w:tcPr>
          <w:p w14:paraId="13C5BD2B">
            <w:pPr>
              <w:adjustRightInd w:val="0"/>
              <w:snapToGrid w:val="0"/>
              <w:spacing w:line="560" w:lineRule="exact"/>
              <w:rPr>
                <w:rFonts w:eastAsia="黑体"/>
                <w:color w:val="auto"/>
                <w:szCs w:val="21"/>
                <w:highlight w:val="none"/>
              </w:rPr>
            </w:pPr>
          </w:p>
        </w:tc>
      </w:tr>
      <w:tr w14:paraId="721CB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697" w:type="dxa"/>
            <w:gridSpan w:val="2"/>
            <w:noWrap w:val="0"/>
            <w:vAlign w:val="top"/>
          </w:tcPr>
          <w:p w14:paraId="70D3A049">
            <w:pPr>
              <w:adjustRightInd w:val="0"/>
              <w:snapToGrid w:val="0"/>
              <w:spacing w:line="560" w:lineRule="exact"/>
              <w:rPr>
                <w:rFonts w:eastAsia="黑体"/>
                <w:color w:val="auto"/>
                <w:szCs w:val="21"/>
                <w:highlight w:val="none"/>
              </w:rPr>
            </w:pPr>
          </w:p>
        </w:tc>
        <w:tc>
          <w:tcPr>
            <w:tcW w:w="3756" w:type="dxa"/>
            <w:gridSpan w:val="4"/>
            <w:noWrap w:val="0"/>
            <w:vAlign w:val="top"/>
          </w:tcPr>
          <w:p w14:paraId="585F0821">
            <w:pPr>
              <w:adjustRightInd w:val="0"/>
              <w:snapToGrid w:val="0"/>
              <w:spacing w:line="560" w:lineRule="exact"/>
              <w:rPr>
                <w:rFonts w:eastAsia="黑体"/>
                <w:color w:val="auto"/>
                <w:szCs w:val="21"/>
                <w:highlight w:val="none"/>
              </w:rPr>
            </w:pPr>
          </w:p>
        </w:tc>
        <w:tc>
          <w:tcPr>
            <w:tcW w:w="1385" w:type="dxa"/>
            <w:noWrap w:val="0"/>
            <w:vAlign w:val="top"/>
          </w:tcPr>
          <w:p w14:paraId="3F9DB762">
            <w:pPr>
              <w:adjustRightInd w:val="0"/>
              <w:snapToGrid w:val="0"/>
              <w:spacing w:line="560" w:lineRule="exact"/>
              <w:rPr>
                <w:rFonts w:eastAsia="黑体"/>
                <w:color w:val="auto"/>
                <w:szCs w:val="21"/>
                <w:highlight w:val="none"/>
              </w:rPr>
            </w:pPr>
          </w:p>
        </w:tc>
        <w:tc>
          <w:tcPr>
            <w:tcW w:w="2522" w:type="dxa"/>
            <w:gridSpan w:val="2"/>
            <w:noWrap w:val="0"/>
            <w:vAlign w:val="top"/>
          </w:tcPr>
          <w:p w14:paraId="72103041">
            <w:pPr>
              <w:adjustRightInd w:val="0"/>
              <w:snapToGrid w:val="0"/>
              <w:spacing w:line="560" w:lineRule="exact"/>
              <w:rPr>
                <w:rFonts w:eastAsia="黑体"/>
                <w:color w:val="auto"/>
                <w:szCs w:val="21"/>
                <w:highlight w:val="none"/>
              </w:rPr>
            </w:pPr>
          </w:p>
        </w:tc>
      </w:tr>
      <w:tr w14:paraId="34740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697" w:type="dxa"/>
            <w:gridSpan w:val="2"/>
            <w:noWrap w:val="0"/>
            <w:vAlign w:val="top"/>
          </w:tcPr>
          <w:p w14:paraId="1DAAF987">
            <w:pPr>
              <w:adjustRightInd w:val="0"/>
              <w:snapToGrid w:val="0"/>
              <w:spacing w:line="560" w:lineRule="exact"/>
              <w:rPr>
                <w:rFonts w:eastAsia="黑体"/>
                <w:color w:val="auto"/>
                <w:szCs w:val="21"/>
                <w:highlight w:val="none"/>
              </w:rPr>
            </w:pPr>
          </w:p>
        </w:tc>
        <w:tc>
          <w:tcPr>
            <w:tcW w:w="3756" w:type="dxa"/>
            <w:gridSpan w:val="4"/>
            <w:noWrap w:val="0"/>
            <w:vAlign w:val="top"/>
          </w:tcPr>
          <w:p w14:paraId="39533CAD">
            <w:pPr>
              <w:adjustRightInd w:val="0"/>
              <w:snapToGrid w:val="0"/>
              <w:spacing w:line="560" w:lineRule="exact"/>
              <w:rPr>
                <w:rFonts w:eastAsia="黑体"/>
                <w:color w:val="auto"/>
                <w:szCs w:val="21"/>
                <w:highlight w:val="none"/>
              </w:rPr>
            </w:pPr>
          </w:p>
        </w:tc>
        <w:tc>
          <w:tcPr>
            <w:tcW w:w="1385" w:type="dxa"/>
            <w:noWrap w:val="0"/>
            <w:vAlign w:val="top"/>
          </w:tcPr>
          <w:p w14:paraId="3761B193">
            <w:pPr>
              <w:adjustRightInd w:val="0"/>
              <w:snapToGrid w:val="0"/>
              <w:spacing w:line="560" w:lineRule="exact"/>
              <w:rPr>
                <w:rFonts w:eastAsia="黑体"/>
                <w:color w:val="auto"/>
                <w:szCs w:val="21"/>
                <w:highlight w:val="none"/>
              </w:rPr>
            </w:pPr>
          </w:p>
        </w:tc>
        <w:tc>
          <w:tcPr>
            <w:tcW w:w="2522" w:type="dxa"/>
            <w:gridSpan w:val="2"/>
            <w:noWrap w:val="0"/>
            <w:vAlign w:val="top"/>
          </w:tcPr>
          <w:p w14:paraId="219765F2">
            <w:pPr>
              <w:adjustRightInd w:val="0"/>
              <w:snapToGrid w:val="0"/>
              <w:spacing w:line="560" w:lineRule="exact"/>
              <w:rPr>
                <w:rFonts w:eastAsia="黑体"/>
                <w:color w:val="auto"/>
                <w:szCs w:val="21"/>
                <w:highlight w:val="none"/>
              </w:rPr>
            </w:pPr>
          </w:p>
        </w:tc>
      </w:tr>
      <w:tr w14:paraId="4FC84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697" w:type="dxa"/>
            <w:gridSpan w:val="2"/>
            <w:noWrap w:val="0"/>
            <w:vAlign w:val="top"/>
          </w:tcPr>
          <w:p w14:paraId="0E0343B6">
            <w:pPr>
              <w:adjustRightInd w:val="0"/>
              <w:snapToGrid w:val="0"/>
              <w:spacing w:line="560" w:lineRule="exact"/>
              <w:rPr>
                <w:rFonts w:eastAsia="黑体"/>
                <w:color w:val="auto"/>
                <w:szCs w:val="21"/>
                <w:highlight w:val="none"/>
              </w:rPr>
            </w:pPr>
          </w:p>
        </w:tc>
        <w:tc>
          <w:tcPr>
            <w:tcW w:w="3756" w:type="dxa"/>
            <w:gridSpan w:val="4"/>
            <w:noWrap w:val="0"/>
            <w:vAlign w:val="top"/>
          </w:tcPr>
          <w:p w14:paraId="7E86ED2F">
            <w:pPr>
              <w:adjustRightInd w:val="0"/>
              <w:snapToGrid w:val="0"/>
              <w:spacing w:line="560" w:lineRule="exact"/>
              <w:rPr>
                <w:rFonts w:eastAsia="黑体"/>
                <w:color w:val="auto"/>
                <w:szCs w:val="21"/>
                <w:highlight w:val="none"/>
              </w:rPr>
            </w:pPr>
          </w:p>
        </w:tc>
        <w:tc>
          <w:tcPr>
            <w:tcW w:w="1385" w:type="dxa"/>
            <w:noWrap w:val="0"/>
            <w:vAlign w:val="top"/>
          </w:tcPr>
          <w:p w14:paraId="58747918">
            <w:pPr>
              <w:adjustRightInd w:val="0"/>
              <w:snapToGrid w:val="0"/>
              <w:spacing w:line="560" w:lineRule="exact"/>
              <w:rPr>
                <w:rFonts w:eastAsia="黑体"/>
                <w:color w:val="auto"/>
                <w:szCs w:val="21"/>
                <w:highlight w:val="none"/>
              </w:rPr>
            </w:pPr>
          </w:p>
        </w:tc>
        <w:tc>
          <w:tcPr>
            <w:tcW w:w="2522" w:type="dxa"/>
            <w:gridSpan w:val="2"/>
            <w:noWrap w:val="0"/>
            <w:vAlign w:val="top"/>
          </w:tcPr>
          <w:p w14:paraId="702315A9">
            <w:pPr>
              <w:adjustRightInd w:val="0"/>
              <w:snapToGrid w:val="0"/>
              <w:spacing w:line="560" w:lineRule="exact"/>
              <w:rPr>
                <w:rFonts w:eastAsia="黑体"/>
                <w:color w:val="auto"/>
                <w:szCs w:val="21"/>
                <w:highlight w:val="none"/>
              </w:rPr>
            </w:pPr>
          </w:p>
        </w:tc>
      </w:tr>
      <w:tr w14:paraId="01B76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1697" w:type="dxa"/>
            <w:gridSpan w:val="2"/>
            <w:noWrap w:val="0"/>
            <w:vAlign w:val="top"/>
          </w:tcPr>
          <w:p w14:paraId="75E03E7B">
            <w:pPr>
              <w:adjustRightInd w:val="0"/>
              <w:snapToGrid w:val="0"/>
              <w:spacing w:line="560" w:lineRule="exact"/>
              <w:rPr>
                <w:rFonts w:eastAsia="黑体"/>
                <w:color w:val="auto"/>
                <w:szCs w:val="21"/>
                <w:highlight w:val="none"/>
              </w:rPr>
            </w:pPr>
          </w:p>
        </w:tc>
        <w:tc>
          <w:tcPr>
            <w:tcW w:w="3756" w:type="dxa"/>
            <w:gridSpan w:val="4"/>
            <w:noWrap w:val="0"/>
            <w:vAlign w:val="top"/>
          </w:tcPr>
          <w:p w14:paraId="3AD0C413">
            <w:pPr>
              <w:adjustRightInd w:val="0"/>
              <w:snapToGrid w:val="0"/>
              <w:spacing w:line="560" w:lineRule="exact"/>
              <w:rPr>
                <w:rFonts w:eastAsia="黑体"/>
                <w:color w:val="auto"/>
                <w:szCs w:val="21"/>
                <w:highlight w:val="none"/>
              </w:rPr>
            </w:pPr>
          </w:p>
        </w:tc>
        <w:tc>
          <w:tcPr>
            <w:tcW w:w="1385" w:type="dxa"/>
            <w:noWrap w:val="0"/>
            <w:vAlign w:val="top"/>
          </w:tcPr>
          <w:p w14:paraId="00AA370E">
            <w:pPr>
              <w:adjustRightInd w:val="0"/>
              <w:snapToGrid w:val="0"/>
              <w:spacing w:line="560" w:lineRule="exact"/>
              <w:rPr>
                <w:rFonts w:eastAsia="黑体"/>
                <w:color w:val="auto"/>
                <w:szCs w:val="21"/>
                <w:highlight w:val="none"/>
              </w:rPr>
            </w:pPr>
          </w:p>
        </w:tc>
        <w:tc>
          <w:tcPr>
            <w:tcW w:w="2522" w:type="dxa"/>
            <w:gridSpan w:val="2"/>
            <w:noWrap w:val="0"/>
            <w:vAlign w:val="top"/>
          </w:tcPr>
          <w:p w14:paraId="01148536">
            <w:pPr>
              <w:adjustRightInd w:val="0"/>
              <w:snapToGrid w:val="0"/>
              <w:spacing w:line="560" w:lineRule="exact"/>
              <w:rPr>
                <w:rFonts w:eastAsia="黑体"/>
                <w:color w:val="auto"/>
                <w:szCs w:val="21"/>
                <w:highlight w:val="none"/>
              </w:rPr>
            </w:pPr>
          </w:p>
        </w:tc>
      </w:tr>
      <w:tr w14:paraId="43618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1697" w:type="dxa"/>
            <w:gridSpan w:val="2"/>
            <w:noWrap w:val="0"/>
            <w:vAlign w:val="top"/>
          </w:tcPr>
          <w:p w14:paraId="0ADC3766">
            <w:pPr>
              <w:adjustRightInd w:val="0"/>
              <w:snapToGrid w:val="0"/>
              <w:spacing w:line="560" w:lineRule="exact"/>
              <w:rPr>
                <w:rFonts w:eastAsia="黑体"/>
                <w:color w:val="auto"/>
                <w:szCs w:val="21"/>
                <w:highlight w:val="none"/>
              </w:rPr>
            </w:pPr>
          </w:p>
        </w:tc>
        <w:tc>
          <w:tcPr>
            <w:tcW w:w="3756" w:type="dxa"/>
            <w:gridSpan w:val="4"/>
            <w:noWrap w:val="0"/>
            <w:vAlign w:val="top"/>
          </w:tcPr>
          <w:p w14:paraId="03E29A23">
            <w:pPr>
              <w:adjustRightInd w:val="0"/>
              <w:snapToGrid w:val="0"/>
              <w:spacing w:line="560" w:lineRule="exact"/>
              <w:rPr>
                <w:rFonts w:eastAsia="黑体"/>
                <w:color w:val="auto"/>
                <w:szCs w:val="21"/>
                <w:highlight w:val="none"/>
              </w:rPr>
            </w:pPr>
          </w:p>
        </w:tc>
        <w:tc>
          <w:tcPr>
            <w:tcW w:w="1385" w:type="dxa"/>
            <w:noWrap w:val="0"/>
            <w:vAlign w:val="top"/>
          </w:tcPr>
          <w:p w14:paraId="49D551FA">
            <w:pPr>
              <w:adjustRightInd w:val="0"/>
              <w:snapToGrid w:val="0"/>
              <w:spacing w:line="560" w:lineRule="exact"/>
              <w:rPr>
                <w:rFonts w:eastAsia="黑体"/>
                <w:color w:val="auto"/>
                <w:szCs w:val="21"/>
                <w:highlight w:val="none"/>
              </w:rPr>
            </w:pPr>
          </w:p>
        </w:tc>
        <w:tc>
          <w:tcPr>
            <w:tcW w:w="2522" w:type="dxa"/>
            <w:gridSpan w:val="2"/>
            <w:noWrap w:val="0"/>
            <w:vAlign w:val="top"/>
          </w:tcPr>
          <w:p w14:paraId="12D2EA55">
            <w:pPr>
              <w:adjustRightInd w:val="0"/>
              <w:snapToGrid w:val="0"/>
              <w:spacing w:line="560" w:lineRule="exact"/>
              <w:rPr>
                <w:rFonts w:eastAsia="黑体"/>
                <w:color w:val="auto"/>
                <w:szCs w:val="21"/>
                <w:highlight w:val="none"/>
              </w:rPr>
            </w:pPr>
          </w:p>
        </w:tc>
      </w:tr>
    </w:tbl>
    <w:p w14:paraId="62A0702F">
      <w:pPr>
        <w:pStyle w:val="5"/>
        <w:jc w:val="center"/>
        <w:rPr>
          <w:color w:val="auto"/>
          <w:sz w:val="23"/>
          <w:szCs w:val="23"/>
          <w:highlight w:val="none"/>
        </w:rPr>
      </w:pPr>
      <w:r>
        <w:rPr>
          <w:rFonts w:hint="eastAsia"/>
          <w:color w:val="auto"/>
          <w:highlight w:val="none"/>
        </w:rPr>
        <w:t>附表3：拟任项目技术负责人简历表</w:t>
      </w:r>
    </w:p>
    <w:tbl>
      <w:tblPr>
        <w:tblStyle w:val="20"/>
        <w:tblW w:w="9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8"/>
        <w:gridCol w:w="396"/>
        <w:gridCol w:w="794"/>
        <w:gridCol w:w="1023"/>
        <w:gridCol w:w="1175"/>
        <w:gridCol w:w="781"/>
        <w:gridCol w:w="1390"/>
        <w:gridCol w:w="178"/>
        <w:gridCol w:w="2355"/>
      </w:tblGrid>
      <w:tr w14:paraId="6018F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308" w:type="dxa"/>
            <w:noWrap w:val="0"/>
            <w:vAlign w:val="center"/>
          </w:tcPr>
          <w:p w14:paraId="5646866E">
            <w:pPr>
              <w:adjustRightInd w:val="0"/>
              <w:snapToGrid w:val="0"/>
              <w:spacing w:line="560" w:lineRule="exact"/>
              <w:jc w:val="center"/>
              <w:rPr>
                <w:rFonts w:ascii="宋体" w:hAnsi="宋体"/>
                <w:color w:val="auto"/>
                <w:szCs w:val="21"/>
                <w:highlight w:val="none"/>
              </w:rPr>
            </w:pPr>
            <w:r>
              <w:rPr>
                <w:rFonts w:ascii="宋体" w:hAnsi="宋体"/>
                <w:color w:val="auto"/>
                <w:szCs w:val="21"/>
                <w:highlight w:val="none"/>
              </w:rPr>
              <w:t>姓  名</w:t>
            </w:r>
          </w:p>
        </w:tc>
        <w:tc>
          <w:tcPr>
            <w:tcW w:w="1190" w:type="dxa"/>
            <w:gridSpan w:val="2"/>
            <w:noWrap w:val="0"/>
            <w:vAlign w:val="center"/>
          </w:tcPr>
          <w:p w14:paraId="7B7143D6">
            <w:pPr>
              <w:adjustRightInd w:val="0"/>
              <w:snapToGrid w:val="0"/>
              <w:spacing w:line="560" w:lineRule="exact"/>
              <w:jc w:val="center"/>
              <w:rPr>
                <w:rFonts w:ascii="宋体" w:hAnsi="宋体"/>
                <w:color w:val="auto"/>
                <w:szCs w:val="21"/>
                <w:highlight w:val="none"/>
              </w:rPr>
            </w:pPr>
          </w:p>
        </w:tc>
        <w:tc>
          <w:tcPr>
            <w:tcW w:w="1023" w:type="dxa"/>
            <w:noWrap w:val="0"/>
            <w:vAlign w:val="center"/>
          </w:tcPr>
          <w:p w14:paraId="1A17CEC6">
            <w:pPr>
              <w:adjustRightInd w:val="0"/>
              <w:snapToGrid w:val="0"/>
              <w:spacing w:line="560" w:lineRule="exact"/>
              <w:jc w:val="center"/>
              <w:rPr>
                <w:rFonts w:ascii="宋体" w:hAnsi="宋体"/>
                <w:color w:val="auto"/>
                <w:szCs w:val="21"/>
                <w:highlight w:val="none"/>
              </w:rPr>
            </w:pPr>
            <w:r>
              <w:rPr>
                <w:rFonts w:ascii="宋体" w:hAnsi="宋体"/>
                <w:color w:val="auto"/>
                <w:szCs w:val="21"/>
                <w:highlight w:val="none"/>
              </w:rPr>
              <w:t>年 龄</w:t>
            </w:r>
          </w:p>
        </w:tc>
        <w:tc>
          <w:tcPr>
            <w:tcW w:w="1175" w:type="dxa"/>
            <w:noWrap w:val="0"/>
            <w:vAlign w:val="center"/>
          </w:tcPr>
          <w:p w14:paraId="4FF73114">
            <w:pPr>
              <w:adjustRightInd w:val="0"/>
              <w:snapToGrid w:val="0"/>
              <w:spacing w:line="560" w:lineRule="exact"/>
              <w:jc w:val="center"/>
              <w:rPr>
                <w:rFonts w:ascii="宋体" w:hAnsi="宋体"/>
                <w:color w:val="auto"/>
                <w:szCs w:val="21"/>
                <w:highlight w:val="none"/>
              </w:rPr>
            </w:pPr>
          </w:p>
        </w:tc>
        <w:tc>
          <w:tcPr>
            <w:tcW w:w="2349" w:type="dxa"/>
            <w:gridSpan w:val="3"/>
            <w:noWrap w:val="0"/>
            <w:vAlign w:val="center"/>
          </w:tcPr>
          <w:p w14:paraId="5198CC49">
            <w:pPr>
              <w:adjustRightInd w:val="0"/>
              <w:snapToGrid w:val="0"/>
              <w:spacing w:line="560" w:lineRule="exact"/>
              <w:jc w:val="center"/>
              <w:rPr>
                <w:rFonts w:ascii="宋体" w:hAnsi="宋体"/>
                <w:color w:val="auto"/>
                <w:szCs w:val="21"/>
                <w:highlight w:val="none"/>
              </w:rPr>
            </w:pPr>
            <w:r>
              <w:rPr>
                <w:rFonts w:ascii="宋体" w:hAnsi="宋体"/>
                <w:color w:val="auto"/>
                <w:szCs w:val="21"/>
                <w:highlight w:val="none"/>
              </w:rPr>
              <w:t>学历</w:t>
            </w:r>
          </w:p>
        </w:tc>
        <w:tc>
          <w:tcPr>
            <w:tcW w:w="2355" w:type="dxa"/>
            <w:noWrap w:val="0"/>
            <w:vAlign w:val="center"/>
          </w:tcPr>
          <w:p w14:paraId="0534B975">
            <w:pPr>
              <w:adjustRightInd w:val="0"/>
              <w:snapToGrid w:val="0"/>
              <w:spacing w:line="560" w:lineRule="exact"/>
              <w:rPr>
                <w:rFonts w:ascii="宋体" w:hAnsi="宋体"/>
                <w:color w:val="auto"/>
                <w:szCs w:val="21"/>
                <w:highlight w:val="none"/>
              </w:rPr>
            </w:pPr>
          </w:p>
        </w:tc>
      </w:tr>
      <w:tr w14:paraId="4E940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308" w:type="dxa"/>
            <w:noWrap w:val="0"/>
            <w:vAlign w:val="center"/>
          </w:tcPr>
          <w:p w14:paraId="4A9C9526">
            <w:pPr>
              <w:adjustRightInd w:val="0"/>
              <w:snapToGrid w:val="0"/>
              <w:spacing w:line="560" w:lineRule="exact"/>
              <w:jc w:val="center"/>
              <w:rPr>
                <w:rFonts w:ascii="宋体" w:hAnsi="宋体"/>
                <w:color w:val="auto"/>
                <w:szCs w:val="21"/>
                <w:highlight w:val="none"/>
              </w:rPr>
            </w:pPr>
            <w:r>
              <w:rPr>
                <w:rFonts w:ascii="宋体" w:hAnsi="宋体"/>
                <w:color w:val="auto"/>
                <w:szCs w:val="21"/>
                <w:highlight w:val="none"/>
              </w:rPr>
              <w:t>职  称</w:t>
            </w:r>
          </w:p>
        </w:tc>
        <w:tc>
          <w:tcPr>
            <w:tcW w:w="1190" w:type="dxa"/>
            <w:gridSpan w:val="2"/>
            <w:noWrap w:val="0"/>
            <w:vAlign w:val="center"/>
          </w:tcPr>
          <w:p w14:paraId="2AB5CC88">
            <w:pPr>
              <w:adjustRightInd w:val="0"/>
              <w:snapToGrid w:val="0"/>
              <w:spacing w:line="560" w:lineRule="exact"/>
              <w:jc w:val="center"/>
              <w:rPr>
                <w:rFonts w:ascii="宋体" w:hAnsi="宋体"/>
                <w:color w:val="auto"/>
                <w:szCs w:val="21"/>
                <w:highlight w:val="none"/>
              </w:rPr>
            </w:pPr>
          </w:p>
        </w:tc>
        <w:tc>
          <w:tcPr>
            <w:tcW w:w="1023" w:type="dxa"/>
            <w:noWrap w:val="0"/>
            <w:vAlign w:val="center"/>
          </w:tcPr>
          <w:p w14:paraId="6DD05C61">
            <w:pPr>
              <w:adjustRightInd w:val="0"/>
              <w:snapToGrid w:val="0"/>
              <w:spacing w:line="560" w:lineRule="exact"/>
              <w:jc w:val="center"/>
              <w:rPr>
                <w:rFonts w:ascii="宋体" w:hAnsi="宋体"/>
                <w:color w:val="auto"/>
                <w:szCs w:val="21"/>
                <w:highlight w:val="none"/>
              </w:rPr>
            </w:pPr>
            <w:r>
              <w:rPr>
                <w:rFonts w:ascii="宋体" w:hAnsi="宋体"/>
                <w:color w:val="auto"/>
                <w:szCs w:val="21"/>
                <w:highlight w:val="none"/>
              </w:rPr>
              <w:t>职 务</w:t>
            </w:r>
          </w:p>
        </w:tc>
        <w:tc>
          <w:tcPr>
            <w:tcW w:w="1175" w:type="dxa"/>
            <w:noWrap w:val="0"/>
            <w:vAlign w:val="center"/>
          </w:tcPr>
          <w:p w14:paraId="32F0EFE5">
            <w:pPr>
              <w:adjustRightInd w:val="0"/>
              <w:snapToGrid w:val="0"/>
              <w:spacing w:line="560" w:lineRule="exact"/>
              <w:jc w:val="center"/>
              <w:rPr>
                <w:rFonts w:ascii="宋体" w:hAnsi="宋体"/>
                <w:color w:val="auto"/>
                <w:szCs w:val="21"/>
                <w:highlight w:val="none"/>
              </w:rPr>
            </w:pPr>
          </w:p>
        </w:tc>
        <w:tc>
          <w:tcPr>
            <w:tcW w:w="2349" w:type="dxa"/>
            <w:gridSpan w:val="3"/>
            <w:noWrap w:val="0"/>
            <w:vAlign w:val="center"/>
          </w:tcPr>
          <w:p w14:paraId="2D5FBB3C">
            <w:pPr>
              <w:adjustRightInd w:val="0"/>
              <w:snapToGrid w:val="0"/>
              <w:spacing w:line="560" w:lineRule="exact"/>
              <w:jc w:val="center"/>
              <w:rPr>
                <w:rFonts w:ascii="宋体" w:hAnsi="宋体"/>
                <w:color w:val="auto"/>
                <w:szCs w:val="21"/>
                <w:highlight w:val="none"/>
              </w:rPr>
            </w:pPr>
            <w:r>
              <w:rPr>
                <w:rFonts w:ascii="宋体" w:hAnsi="宋体"/>
                <w:color w:val="auto"/>
                <w:szCs w:val="21"/>
                <w:highlight w:val="none"/>
              </w:rPr>
              <w:t>拟在本合同任职</w:t>
            </w:r>
          </w:p>
        </w:tc>
        <w:tc>
          <w:tcPr>
            <w:tcW w:w="2355" w:type="dxa"/>
            <w:noWrap w:val="0"/>
            <w:vAlign w:val="center"/>
          </w:tcPr>
          <w:p w14:paraId="1F9EEDCD">
            <w:pPr>
              <w:adjustRightInd w:val="0"/>
              <w:snapToGrid w:val="0"/>
              <w:spacing w:line="560" w:lineRule="exact"/>
              <w:rPr>
                <w:rFonts w:ascii="宋体" w:hAnsi="宋体"/>
                <w:color w:val="auto"/>
                <w:szCs w:val="21"/>
                <w:highlight w:val="none"/>
              </w:rPr>
            </w:pPr>
          </w:p>
        </w:tc>
      </w:tr>
      <w:tr w14:paraId="106D3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308" w:type="dxa"/>
            <w:noWrap w:val="0"/>
            <w:vAlign w:val="center"/>
          </w:tcPr>
          <w:p w14:paraId="1662460F">
            <w:pPr>
              <w:adjustRightInd w:val="0"/>
              <w:snapToGrid w:val="0"/>
              <w:spacing w:line="560" w:lineRule="exact"/>
              <w:rPr>
                <w:rFonts w:ascii="宋体" w:hAnsi="宋体"/>
                <w:color w:val="auto"/>
                <w:szCs w:val="21"/>
                <w:highlight w:val="none"/>
              </w:rPr>
            </w:pPr>
            <w:r>
              <w:rPr>
                <w:rFonts w:ascii="宋体" w:hAnsi="宋体"/>
                <w:color w:val="auto"/>
                <w:szCs w:val="21"/>
                <w:highlight w:val="none"/>
              </w:rPr>
              <w:t>毕业学校</w:t>
            </w:r>
          </w:p>
        </w:tc>
        <w:tc>
          <w:tcPr>
            <w:tcW w:w="8092" w:type="dxa"/>
            <w:gridSpan w:val="8"/>
            <w:noWrap w:val="0"/>
            <w:vAlign w:val="top"/>
          </w:tcPr>
          <w:p w14:paraId="09FC218B">
            <w:pPr>
              <w:adjustRightInd w:val="0"/>
              <w:snapToGrid w:val="0"/>
              <w:spacing w:line="560" w:lineRule="exact"/>
              <w:rPr>
                <w:rFonts w:ascii="宋体" w:hAnsi="宋体"/>
                <w:color w:val="auto"/>
                <w:szCs w:val="21"/>
                <w:highlight w:val="none"/>
              </w:rPr>
            </w:pPr>
            <w:r>
              <w:rPr>
                <w:rFonts w:ascii="宋体" w:hAnsi="宋体"/>
                <w:color w:val="auto"/>
                <w:szCs w:val="21"/>
                <w:highlight w:val="none"/>
              </w:rPr>
              <w:t xml:space="preserve">      年毕业于            学校        专业</w:t>
            </w:r>
          </w:p>
        </w:tc>
      </w:tr>
      <w:tr w14:paraId="77859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9400" w:type="dxa"/>
            <w:gridSpan w:val="9"/>
            <w:noWrap w:val="0"/>
            <w:vAlign w:val="center"/>
          </w:tcPr>
          <w:p w14:paraId="2EE006F0">
            <w:pPr>
              <w:adjustRightInd w:val="0"/>
              <w:snapToGrid w:val="0"/>
              <w:spacing w:line="560" w:lineRule="exact"/>
              <w:rPr>
                <w:rFonts w:ascii="宋体" w:hAnsi="宋体"/>
                <w:color w:val="auto"/>
                <w:szCs w:val="21"/>
                <w:highlight w:val="none"/>
              </w:rPr>
            </w:pPr>
            <w:r>
              <w:rPr>
                <w:rFonts w:ascii="宋体" w:hAnsi="宋体"/>
                <w:color w:val="auto"/>
                <w:szCs w:val="21"/>
                <w:highlight w:val="none"/>
              </w:rPr>
              <w:t>主要工作经历</w:t>
            </w:r>
          </w:p>
        </w:tc>
      </w:tr>
      <w:tr w14:paraId="57FAD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704" w:type="dxa"/>
            <w:gridSpan w:val="2"/>
            <w:noWrap w:val="0"/>
            <w:vAlign w:val="center"/>
          </w:tcPr>
          <w:p w14:paraId="2580E74D">
            <w:pPr>
              <w:adjustRightInd w:val="0"/>
              <w:snapToGrid w:val="0"/>
              <w:spacing w:line="560" w:lineRule="exact"/>
              <w:rPr>
                <w:rFonts w:ascii="宋体" w:hAnsi="宋体"/>
                <w:color w:val="auto"/>
                <w:szCs w:val="21"/>
                <w:highlight w:val="none"/>
              </w:rPr>
            </w:pPr>
            <w:r>
              <w:rPr>
                <w:rFonts w:ascii="宋体" w:hAnsi="宋体"/>
                <w:color w:val="auto"/>
                <w:szCs w:val="21"/>
                <w:highlight w:val="none"/>
              </w:rPr>
              <w:t>时  间</w:t>
            </w:r>
          </w:p>
        </w:tc>
        <w:tc>
          <w:tcPr>
            <w:tcW w:w="3773" w:type="dxa"/>
            <w:gridSpan w:val="4"/>
            <w:noWrap w:val="0"/>
            <w:vAlign w:val="center"/>
          </w:tcPr>
          <w:p w14:paraId="3478DDFD">
            <w:pPr>
              <w:adjustRightInd w:val="0"/>
              <w:snapToGrid w:val="0"/>
              <w:spacing w:line="560" w:lineRule="exact"/>
              <w:rPr>
                <w:rFonts w:ascii="宋体" w:hAnsi="宋体"/>
                <w:color w:val="auto"/>
                <w:szCs w:val="21"/>
                <w:highlight w:val="none"/>
              </w:rPr>
            </w:pPr>
            <w:r>
              <w:rPr>
                <w:rFonts w:ascii="宋体" w:hAnsi="宋体"/>
                <w:color w:val="auto"/>
                <w:szCs w:val="21"/>
                <w:highlight w:val="none"/>
              </w:rPr>
              <w:t>参加过的类似项目</w:t>
            </w:r>
          </w:p>
        </w:tc>
        <w:tc>
          <w:tcPr>
            <w:tcW w:w="1390" w:type="dxa"/>
            <w:noWrap w:val="0"/>
            <w:vAlign w:val="center"/>
          </w:tcPr>
          <w:p w14:paraId="46B9694C">
            <w:pPr>
              <w:adjustRightInd w:val="0"/>
              <w:snapToGrid w:val="0"/>
              <w:spacing w:line="560" w:lineRule="exact"/>
              <w:rPr>
                <w:rFonts w:ascii="宋体" w:hAnsi="宋体"/>
                <w:color w:val="auto"/>
                <w:szCs w:val="21"/>
                <w:highlight w:val="none"/>
              </w:rPr>
            </w:pPr>
            <w:r>
              <w:rPr>
                <w:rFonts w:ascii="宋体" w:hAnsi="宋体"/>
                <w:color w:val="auto"/>
                <w:szCs w:val="21"/>
                <w:highlight w:val="none"/>
              </w:rPr>
              <w:t>担任职务</w:t>
            </w:r>
          </w:p>
        </w:tc>
        <w:tc>
          <w:tcPr>
            <w:tcW w:w="2533" w:type="dxa"/>
            <w:gridSpan w:val="2"/>
            <w:noWrap w:val="0"/>
            <w:vAlign w:val="center"/>
          </w:tcPr>
          <w:p w14:paraId="1A0DBDF5">
            <w:pPr>
              <w:adjustRightInd w:val="0"/>
              <w:snapToGrid w:val="0"/>
              <w:spacing w:line="560" w:lineRule="exact"/>
              <w:rPr>
                <w:rFonts w:ascii="宋体" w:hAnsi="宋体"/>
                <w:color w:val="auto"/>
                <w:szCs w:val="21"/>
                <w:highlight w:val="none"/>
              </w:rPr>
            </w:pPr>
            <w:r>
              <w:rPr>
                <w:rFonts w:ascii="宋体" w:hAnsi="宋体"/>
                <w:color w:val="auto"/>
                <w:szCs w:val="21"/>
                <w:highlight w:val="none"/>
              </w:rPr>
              <w:t>发包人及联系电话</w:t>
            </w:r>
          </w:p>
        </w:tc>
      </w:tr>
      <w:tr w14:paraId="55478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1704" w:type="dxa"/>
            <w:gridSpan w:val="2"/>
            <w:noWrap w:val="0"/>
            <w:vAlign w:val="top"/>
          </w:tcPr>
          <w:p w14:paraId="03FEB7D3">
            <w:pPr>
              <w:adjustRightInd w:val="0"/>
              <w:snapToGrid w:val="0"/>
              <w:spacing w:line="560" w:lineRule="exact"/>
              <w:rPr>
                <w:rFonts w:eastAsia="黑体"/>
                <w:color w:val="auto"/>
                <w:szCs w:val="21"/>
                <w:highlight w:val="none"/>
              </w:rPr>
            </w:pPr>
          </w:p>
        </w:tc>
        <w:tc>
          <w:tcPr>
            <w:tcW w:w="3773" w:type="dxa"/>
            <w:gridSpan w:val="4"/>
            <w:noWrap w:val="0"/>
            <w:vAlign w:val="top"/>
          </w:tcPr>
          <w:p w14:paraId="6F296A43">
            <w:pPr>
              <w:adjustRightInd w:val="0"/>
              <w:snapToGrid w:val="0"/>
              <w:spacing w:line="560" w:lineRule="exact"/>
              <w:rPr>
                <w:rFonts w:eastAsia="黑体"/>
                <w:color w:val="auto"/>
                <w:szCs w:val="21"/>
                <w:highlight w:val="none"/>
              </w:rPr>
            </w:pPr>
          </w:p>
        </w:tc>
        <w:tc>
          <w:tcPr>
            <w:tcW w:w="1390" w:type="dxa"/>
            <w:noWrap w:val="0"/>
            <w:vAlign w:val="top"/>
          </w:tcPr>
          <w:p w14:paraId="30A5151F">
            <w:pPr>
              <w:adjustRightInd w:val="0"/>
              <w:snapToGrid w:val="0"/>
              <w:spacing w:line="560" w:lineRule="exact"/>
              <w:rPr>
                <w:rFonts w:eastAsia="黑体"/>
                <w:color w:val="auto"/>
                <w:szCs w:val="21"/>
                <w:highlight w:val="none"/>
              </w:rPr>
            </w:pPr>
          </w:p>
        </w:tc>
        <w:tc>
          <w:tcPr>
            <w:tcW w:w="2533" w:type="dxa"/>
            <w:gridSpan w:val="2"/>
            <w:noWrap w:val="0"/>
            <w:vAlign w:val="top"/>
          </w:tcPr>
          <w:p w14:paraId="503A51B5">
            <w:pPr>
              <w:adjustRightInd w:val="0"/>
              <w:snapToGrid w:val="0"/>
              <w:spacing w:line="560" w:lineRule="exact"/>
              <w:rPr>
                <w:rFonts w:eastAsia="黑体"/>
                <w:color w:val="auto"/>
                <w:szCs w:val="21"/>
                <w:highlight w:val="none"/>
              </w:rPr>
            </w:pPr>
          </w:p>
        </w:tc>
      </w:tr>
      <w:tr w14:paraId="54747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1704" w:type="dxa"/>
            <w:gridSpan w:val="2"/>
            <w:noWrap w:val="0"/>
            <w:vAlign w:val="top"/>
          </w:tcPr>
          <w:p w14:paraId="529DACB0">
            <w:pPr>
              <w:adjustRightInd w:val="0"/>
              <w:snapToGrid w:val="0"/>
              <w:spacing w:line="560" w:lineRule="exact"/>
              <w:rPr>
                <w:rFonts w:eastAsia="黑体"/>
                <w:color w:val="auto"/>
                <w:szCs w:val="21"/>
                <w:highlight w:val="none"/>
              </w:rPr>
            </w:pPr>
          </w:p>
        </w:tc>
        <w:tc>
          <w:tcPr>
            <w:tcW w:w="3773" w:type="dxa"/>
            <w:gridSpan w:val="4"/>
            <w:noWrap w:val="0"/>
            <w:vAlign w:val="top"/>
          </w:tcPr>
          <w:p w14:paraId="634A4D7A">
            <w:pPr>
              <w:adjustRightInd w:val="0"/>
              <w:snapToGrid w:val="0"/>
              <w:spacing w:line="560" w:lineRule="exact"/>
              <w:rPr>
                <w:rFonts w:eastAsia="黑体"/>
                <w:color w:val="auto"/>
                <w:szCs w:val="21"/>
                <w:highlight w:val="none"/>
              </w:rPr>
            </w:pPr>
          </w:p>
        </w:tc>
        <w:tc>
          <w:tcPr>
            <w:tcW w:w="1390" w:type="dxa"/>
            <w:noWrap w:val="0"/>
            <w:vAlign w:val="top"/>
          </w:tcPr>
          <w:p w14:paraId="3832C071">
            <w:pPr>
              <w:adjustRightInd w:val="0"/>
              <w:snapToGrid w:val="0"/>
              <w:spacing w:line="560" w:lineRule="exact"/>
              <w:rPr>
                <w:rFonts w:eastAsia="黑体"/>
                <w:color w:val="auto"/>
                <w:szCs w:val="21"/>
                <w:highlight w:val="none"/>
              </w:rPr>
            </w:pPr>
          </w:p>
        </w:tc>
        <w:tc>
          <w:tcPr>
            <w:tcW w:w="2533" w:type="dxa"/>
            <w:gridSpan w:val="2"/>
            <w:noWrap w:val="0"/>
            <w:vAlign w:val="top"/>
          </w:tcPr>
          <w:p w14:paraId="5FC6CA8C">
            <w:pPr>
              <w:adjustRightInd w:val="0"/>
              <w:snapToGrid w:val="0"/>
              <w:spacing w:line="560" w:lineRule="exact"/>
              <w:rPr>
                <w:rFonts w:eastAsia="黑体"/>
                <w:color w:val="auto"/>
                <w:szCs w:val="21"/>
                <w:highlight w:val="none"/>
              </w:rPr>
            </w:pPr>
          </w:p>
        </w:tc>
      </w:tr>
      <w:tr w14:paraId="1F91A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1704" w:type="dxa"/>
            <w:gridSpan w:val="2"/>
            <w:noWrap w:val="0"/>
            <w:vAlign w:val="top"/>
          </w:tcPr>
          <w:p w14:paraId="1EF2D05E">
            <w:pPr>
              <w:adjustRightInd w:val="0"/>
              <w:snapToGrid w:val="0"/>
              <w:spacing w:line="560" w:lineRule="exact"/>
              <w:rPr>
                <w:rFonts w:eastAsia="黑体"/>
                <w:color w:val="auto"/>
                <w:szCs w:val="21"/>
                <w:highlight w:val="none"/>
              </w:rPr>
            </w:pPr>
          </w:p>
        </w:tc>
        <w:tc>
          <w:tcPr>
            <w:tcW w:w="3773" w:type="dxa"/>
            <w:gridSpan w:val="4"/>
            <w:noWrap w:val="0"/>
            <w:vAlign w:val="top"/>
          </w:tcPr>
          <w:p w14:paraId="5A14487F">
            <w:pPr>
              <w:adjustRightInd w:val="0"/>
              <w:snapToGrid w:val="0"/>
              <w:spacing w:line="560" w:lineRule="exact"/>
              <w:rPr>
                <w:rFonts w:eastAsia="黑体"/>
                <w:color w:val="auto"/>
                <w:szCs w:val="21"/>
                <w:highlight w:val="none"/>
              </w:rPr>
            </w:pPr>
          </w:p>
        </w:tc>
        <w:tc>
          <w:tcPr>
            <w:tcW w:w="1390" w:type="dxa"/>
            <w:noWrap w:val="0"/>
            <w:vAlign w:val="top"/>
          </w:tcPr>
          <w:p w14:paraId="275B8D28">
            <w:pPr>
              <w:adjustRightInd w:val="0"/>
              <w:snapToGrid w:val="0"/>
              <w:spacing w:line="560" w:lineRule="exact"/>
              <w:rPr>
                <w:rFonts w:eastAsia="黑体"/>
                <w:color w:val="auto"/>
                <w:szCs w:val="21"/>
                <w:highlight w:val="none"/>
              </w:rPr>
            </w:pPr>
          </w:p>
        </w:tc>
        <w:tc>
          <w:tcPr>
            <w:tcW w:w="2533" w:type="dxa"/>
            <w:gridSpan w:val="2"/>
            <w:noWrap w:val="0"/>
            <w:vAlign w:val="top"/>
          </w:tcPr>
          <w:p w14:paraId="7B5B63FE">
            <w:pPr>
              <w:adjustRightInd w:val="0"/>
              <w:snapToGrid w:val="0"/>
              <w:spacing w:line="560" w:lineRule="exact"/>
              <w:rPr>
                <w:rFonts w:eastAsia="黑体"/>
                <w:color w:val="auto"/>
                <w:szCs w:val="21"/>
                <w:highlight w:val="none"/>
              </w:rPr>
            </w:pPr>
          </w:p>
        </w:tc>
      </w:tr>
      <w:tr w14:paraId="7412B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1704" w:type="dxa"/>
            <w:gridSpan w:val="2"/>
            <w:noWrap w:val="0"/>
            <w:vAlign w:val="top"/>
          </w:tcPr>
          <w:p w14:paraId="6D8A50B8">
            <w:pPr>
              <w:adjustRightInd w:val="0"/>
              <w:snapToGrid w:val="0"/>
              <w:spacing w:line="560" w:lineRule="exact"/>
              <w:rPr>
                <w:rFonts w:eastAsia="黑体"/>
                <w:color w:val="auto"/>
                <w:szCs w:val="21"/>
                <w:highlight w:val="none"/>
              </w:rPr>
            </w:pPr>
          </w:p>
        </w:tc>
        <w:tc>
          <w:tcPr>
            <w:tcW w:w="3773" w:type="dxa"/>
            <w:gridSpan w:val="4"/>
            <w:noWrap w:val="0"/>
            <w:vAlign w:val="top"/>
          </w:tcPr>
          <w:p w14:paraId="7D8DFFD1">
            <w:pPr>
              <w:adjustRightInd w:val="0"/>
              <w:snapToGrid w:val="0"/>
              <w:spacing w:line="560" w:lineRule="exact"/>
              <w:rPr>
                <w:rFonts w:eastAsia="黑体"/>
                <w:color w:val="auto"/>
                <w:szCs w:val="21"/>
                <w:highlight w:val="none"/>
              </w:rPr>
            </w:pPr>
          </w:p>
        </w:tc>
        <w:tc>
          <w:tcPr>
            <w:tcW w:w="1390" w:type="dxa"/>
            <w:noWrap w:val="0"/>
            <w:vAlign w:val="top"/>
          </w:tcPr>
          <w:p w14:paraId="03245E65">
            <w:pPr>
              <w:adjustRightInd w:val="0"/>
              <w:snapToGrid w:val="0"/>
              <w:spacing w:line="560" w:lineRule="exact"/>
              <w:rPr>
                <w:rFonts w:eastAsia="黑体"/>
                <w:color w:val="auto"/>
                <w:szCs w:val="21"/>
                <w:highlight w:val="none"/>
              </w:rPr>
            </w:pPr>
          </w:p>
        </w:tc>
        <w:tc>
          <w:tcPr>
            <w:tcW w:w="2533" w:type="dxa"/>
            <w:gridSpan w:val="2"/>
            <w:noWrap w:val="0"/>
            <w:vAlign w:val="top"/>
          </w:tcPr>
          <w:p w14:paraId="78335057">
            <w:pPr>
              <w:adjustRightInd w:val="0"/>
              <w:snapToGrid w:val="0"/>
              <w:spacing w:line="560" w:lineRule="exact"/>
              <w:rPr>
                <w:rFonts w:eastAsia="黑体"/>
                <w:color w:val="auto"/>
                <w:szCs w:val="21"/>
                <w:highlight w:val="none"/>
              </w:rPr>
            </w:pPr>
          </w:p>
        </w:tc>
      </w:tr>
      <w:tr w14:paraId="61651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1704" w:type="dxa"/>
            <w:gridSpan w:val="2"/>
            <w:noWrap w:val="0"/>
            <w:vAlign w:val="top"/>
          </w:tcPr>
          <w:p w14:paraId="55941E7B">
            <w:pPr>
              <w:adjustRightInd w:val="0"/>
              <w:snapToGrid w:val="0"/>
              <w:spacing w:line="560" w:lineRule="exact"/>
              <w:rPr>
                <w:rFonts w:eastAsia="黑体"/>
                <w:color w:val="auto"/>
                <w:szCs w:val="21"/>
                <w:highlight w:val="none"/>
              </w:rPr>
            </w:pPr>
          </w:p>
        </w:tc>
        <w:tc>
          <w:tcPr>
            <w:tcW w:w="3773" w:type="dxa"/>
            <w:gridSpan w:val="4"/>
            <w:noWrap w:val="0"/>
            <w:vAlign w:val="top"/>
          </w:tcPr>
          <w:p w14:paraId="3FE1F40B">
            <w:pPr>
              <w:adjustRightInd w:val="0"/>
              <w:snapToGrid w:val="0"/>
              <w:spacing w:line="560" w:lineRule="exact"/>
              <w:rPr>
                <w:rFonts w:eastAsia="黑体"/>
                <w:color w:val="auto"/>
                <w:szCs w:val="21"/>
                <w:highlight w:val="none"/>
              </w:rPr>
            </w:pPr>
          </w:p>
        </w:tc>
        <w:tc>
          <w:tcPr>
            <w:tcW w:w="1390" w:type="dxa"/>
            <w:noWrap w:val="0"/>
            <w:vAlign w:val="top"/>
          </w:tcPr>
          <w:p w14:paraId="08202A89">
            <w:pPr>
              <w:adjustRightInd w:val="0"/>
              <w:snapToGrid w:val="0"/>
              <w:spacing w:line="560" w:lineRule="exact"/>
              <w:rPr>
                <w:rFonts w:eastAsia="黑体"/>
                <w:color w:val="auto"/>
                <w:szCs w:val="21"/>
                <w:highlight w:val="none"/>
              </w:rPr>
            </w:pPr>
          </w:p>
        </w:tc>
        <w:tc>
          <w:tcPr>
            <w:tcW w:w="2533" w:type="dxa"/>
            <w:gridSpan w:val="2"/>
            <w:noWrap w:val="0"/>
            <w:vAlign w:val="top"/>
          </w:tcPr>
          <w:p w14:paraId="76E74532">
            <w:pPr>
              <w:adjustRightInd w:val="0"/>
              <w:snapToGrid w:val="0"/>
              <w:spacing w:line="560" w:lineRule="exact"/>
              <w:rPr>
                <w:rFonts w:eastAsia="黑体"/>
                <w:color w:val="auto"/>
                <w:szCs w:val="21"/>
                <w:highlight w:val="none"/>
              </w:rPr>
            </w:pPr>
          </w:p>
        </w:tc>
      </w:tr>
      <w:tr w14:paraId="5391C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1704" w:type="dxa"/>
            <w:gridSpan w:val="2"/>
            <w:noWrap w:val="0"/>
            <w:vAlign w:val="top"/>
          </w:tcPr>
          <w:p w14:paraId="51BFE9B3">
            <w:pPr>
              <w:adjustRightInd w:val="0"/>
              <w:snapToGrid w:val="0"/>
              <w:spacing w:line="560" w:lineRule="exact"/>
              <w:rPr>
                <w:rFonts w:eastAsia="黑体"/>
                <w:color w:val="auto"/>
                <w:szCs w:val="21"/>
                <w:highlight w:val="none"/>
              </w:rPr>
            </w:pPr>
          </w:p>
        </w:tc>
        <w:tc>
          <w:tcPr>
            <w:tcW w:w="3773" w:type="dxa"/>
            <w:gridSpan w:val="4"/>
            <w:noWrap w:val="0"/>
            <w:vAlign w:val="top"/>
          </w:tcPr>
          <w:p w14:paraId="062A6309">
            <w:pPr>
              <w:adjustRightInd w:val="0"/>
              <w:snapToGrid w:val="0"/>
              <w:spacing w:line="560" w:lineRule="exact"/>
              <w:rPr>
                <w:rFonts w:eastAsia="黑体"/>
                <w:color w:val="auto"/>
                <w:szCs w:val="21"/>
                <w:highlight w:val="none"/>
              </w:rPr>
            </w:pPr>
          </w:p>
        </w:tc>
        <w:tc>
          <w:tcPr>
            <w:tcW w:w="1390" w:type="dxa"/>
            <w:noWrap w:val="0"/>
            <w:vAlign w:val="top"/>
          </w:tcPr>
          <w:p w14:paraId="11C4B49A">
            <w:pPr>
              <w:adjustRightInd w:val="0"/>
              <w:snapToGrid w:val="0"/>
              <w:spacing w:line="560" w:lineRule="exact"/>
              <w:rPr>
                <w:rFonts w:eastAsia="黑体"/>
                <w:color w:val="auto"/>
                <w:szCs w:val="21"/>
                <w:highlight w:val="none"/>
              </w:rPr>
            </w:pPr>
          </w:p>
        </w:tc>
        <w:tc>
          <w:tcPr>
            <w:tcW w:w="2533" w:type="dxa"/>
            <w:gridSpan w:val="2"/>
            <w:noWrap w:val="0"/>
            <w:vAlign w:val="top"/>
          </w:tcPr>
          <w:p w14:paraId="1FDE7C82">
            <w:pPr>
              <w:adjustRightInd w:val="0"/>
              <w:snapToGrid w:val="0"/>
              <w:spacing w:line="560" w:lineRule="exact"/>
              <w:rPr>
                <w:rFonts w:eastAsia="黑体"/>
                <w:color w:val="auto"/>
                <w:szCs w:val="21"/>
                <w:highlight w:val="none"/>
              </w:rPr>
            </w:pPr>
          </w:p>
        </w:tc>
      </w:tr>
      <w:tr w14:paraId="151C5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1704" w:type="dxa"/>
            <w:gridSpan w:val="2"/>
            <w:noWrap w:val="0"/>
            <w:vAlign w:val="top"/>
          </w:tcPr>
          <w:p w14:paraId="382E65A5">
            <w:pPr>
              <w:adjustRightInd w:val="0"/>
              <w:snapToGrid w:val="0"/>
              <w:spacing w:line="560" w:lineRule="exact"/>
              <w:rPr>
                <w:rFonts w:eastAsia="黑体"/>
                <w:color w:val="auto"/>
                <w:szCs w:val="21"/>
                <w:highlight w:val="none"/>
              </w:rPr>
            </w:pPr>
          </w:p>
        </w:tc>
        <w:tc>
          <w:tcPr>
            <w:tcW w:w="3773" w:type="dxa"/>
            <w:gridSpan w:val="4"/>
            <w:noWrap w:val="0"/>
            <w:vAlign w:val="top"/>
          </w:tcPr>
          <w:p w14:paraId="0C973CA0">
            <w:pPr>
              <w:adjustRightInd w:val="0"/>
              <w:snapToGrid w:val="0"/>
              <w:spacing w:line="560" w:lineRule="exact"/>
              <w:rPr>
                <w:rFonts w:eastAsia="黑体"/>
                <w:color w:val="auto"/>
                <w:szCs w:val="21"/>
                <w:highlight w:val="none"/>
              </w:rPr>
            </w:pPr>
          </w:p>
        </w:tc>
        <w:tc>
          <w:tcPr>
            <w:tcW w:w="1390" w:type="dxa"/>
            <w:noWrap w:val="0"/>
            <w:vAlign w:val="top"/>
          </w:tcPr>
          <w:p w14:paraId="010CF3B3">
            <w:pPr>
              <w:adjustRightInd w:val="0"/>
              <w:snapToGrid w:val="0"/>
              <w:spacing w:line="560" w:lineRule="exact"/>
              <w:rPr>
                <w:rFonts w:eastAsia="黑体"/>
                <w:color w:val="auto"/>
                <w:szCs w:val="21"/>
                <w:highlight w:val="none"/>
              </w:rPr>
            </w:pPr>
          </w:p>
        </w:tc>
        <w:tc>
          <w:tcPr>
            <w:tcW w:w="2533" w:type="dxa"/>
            <w:gridSpan w:val="2"/>
            <w:noWrap w:val="0"/>
            <w:vAlign w:val="top"/>
          </w:tcPr>
          <w:p w14:paraId="63108EE3">
            <w:pPr>
              <w:adjustRightInd w:val="0"/>
              <w:snapToGrid w:val="0"/>
              <w:spacing w:line="560" w:lineRule="exact"/>
              <w:rPr>
                <w:rFonts w:eastAsia="黑体"/>
                <w:color w:val="auto"/>
                <w:szCs w:val="21"/>
                <w:highlight w:val="none"/>
              </w:rPr>
            </w:pPr>
          </w:p>
        </w:tc>
      </w:tr>
      <w:tr w14:paraId="6100F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1704" w:type="dxa"/>
            <w:gridSpan w:val="2"/>
            <w:noWrap w:val="0"/>
            <w:vAlign w:val="top"/>
          </w:tcPr>
          <w:p w14:paraId="3868A4E6">
            <w:pPr>
              <w:adjustRightInd w:val="0"/>
              <w:snapToGrid w:val="0"/>
              <w:spacing w:line="560" w:lineRule="exact"/>
              <w:rPr>
                <w:rFonts w:eastAsia="黑体"/>
                <w:color w:val="auto"/>
                <w:szCs w:val="21"/>
                <w:highlight w:val="none"/>
              </w:rPr>
            </w:pPr>
          </w:p>
        </w:tc>
        <w:tc>
          <w:tcPr>
            <w:tcW w:w="3773" w:type="dxa"/>
            <w:gridSpan w:val="4"/>
            <w:noWrap w:val="0"/>
            <w:vAlign w:val="top"/>
          </w:tcPr>
          <w:p w14:paraId="18F8DA15">
            <w:pPr>
              <w:adjustRightInd w:val="0"/>
              <w:snapToGrid w:val="0"/>
              <w:spacing w:line="560" w:lineRule="exact"/>
              <w:rPr>
                <w:rFonts w:eastAsia="黑体"/>
                <w:color w:val="auto"/>
                <w:szCs w:val="21"/>
                <w:highlight w:val="none"/>
              </w:rPr>
            </w:pPr>
          </w:p>
        </w:tc>
        <w:tc>
          <w:tcPr>
            <w:tcW w:w="1390" w:type="dxa"/>
            <w:noWrap w:val="0"/>
            <w:vAlign w:val="top"/>
          </w:tcPr>
          <w:p w14:paraId="6C53B25A">
            <w:pPr>
              <w:adjustRightInd w:val="0"/>
              <w:snapToGrid w:val="0"/>
              <w:spacing w:line="560" w:lineRule="exact"/>
              <w:rPr>
                <w:rFonts w:eastAsia="黑体"/>
                <w:color w:val="auto"/>
                <w:szCs w:val="21"/>
                <w:highlight w:val="none"/>
              </w:rPr>
            </w:pPr>
          </w:p>
        </w:tc>
        <w:tc>
          <w:tcPr>
            <w:tcW w:w="2533" w:type="dxa"/>
            <w:gridSpan w:val="2"/>
            <w:noWrap w:val="0"/>
            <w:vAlign w:val="top"/>
          </w:tcPr>
          <w:p w14:paraId="27124BF0">
            <w:pPr>
              <w:adjustRightInd w:val="0"/>
              <w:snapToGrid w:val="0"/>
              <w:spacing w:line="560" w:lineRule="exact"/>
              <w:rPr>
                <w:rFonts w:eastAsia="黑体"/>
                <w:color w:val="auto"/>
                <w:szCs w:val="21"/>
                <w:highlight w:val="none"/>
              </w:rPr>
            </w:pPr>
          </w:p>
        </w:tc>
      </w:tr>
    </w:tbl>
    <w:p w14:paraId="7DCE282B">
      <w:pPr>
        <w:rPr>
          <w:rFonts w:hint="eastAsia"/>
          <w:color w:val="auto"/>
          <w:highlight w:val="none"/>
        </w:rPr>
      </w:pPr>
      <w:r>
        <w:rPr>
          <w:rFonts w:hint="eastAsia"/>
          <w:color w:val="auto"/>
          <w:highlight w:val="none"/>
        </w:rPr>
        <w:br w:type="page"/>
      </w:r>
    </w:p>
    <w:p w14:paraId="48E94953">
      <w:pPr>
        <w:pStyle w:val="4"/>
        <w:adjustRightInd w:val="0"/>
        <w:snapToGrid w:val="0"/>
        <w:spacing w:before="0" w:after="0" w:line="560" w:lineRule="exact"/>
        <w:jc w:val="center"/>
        <w:rPr>
          <w:rFonts w:hint="eastAsia"/>
          <w:color w:val="auto"/>
          <w:highlight w:val="none"/>
        </w:rPr>
      </w:pPr>
      <w:r>
        <w:rPr>
          <w:rFonts w:hint="eastAsia"/>
          <w:color w:val="auto"/>
          <w:highlight w:val="none"/>
        </w:rPr>
        <w:t>（</w:t>
      </w:r>
      <w:r>
        <w:rPr>
          <w:rFonts w:hint="eastAsia"/>
          <w:color w:val="auto"/>
          <w:highlight w:val="none"/>
          <w:lang w:val="en-US" w:eastAsia="zh-CN"/>
        </w:rPr>
        <w:t>8</w:t>
      </w:r>
      <w:r>
        <w:rPr>
          <w:rFonts w:hint="eastAsia"/>
          <w:color w:val="auto"/>
          <w:highlight w:val="none"/>
        </w:rPr>
        <w:t>）其他资格审查资料</w:t>
      </w:r>
      <w:bookmarkEnd w:id="1507"/>
    </w:p>
    <w:p w14:paraId="0E874677">
      <w:pPr>
        <w:adjustRightInd w:val="0"/>
        <w:snapToGrid w:val="0"/>
        <w:spacing w:line="560" w:lineRule="exact"/>
        <w:jc w:val="center"/>
        <w:rPr>
          <w:rFonts w:hint="eastAsia" w:ascii="宋体"/>
          <w:b/>
          <w:color w:val="auto"/>
          <w:sz w:val="28"/>
          <w:szCs w:val="28"/>
          <w:highlight w:val="none"/>
        </w:rPr>
      </w:pPr>
      <w:bookmarkStart w:id="1508" w:name="_Toc58229121"/>
      <w:bookmarkStart w:id="1509" w:name="_Toc506107353"/>
      <w:bookmarkStart w:id="1510" w:name="_Toc15058940"/>
      <w:bookmarkStart w:id="1511" w:name="_Toc499804616"/>
      <w:bookmarkStart w:id="1512" w:name="_Toc60061581"/>
      <w:bookmarkStart w:id="1513" w:name="_Toc484173797"/>
      <w:bookmarkStart w:id="1514" w:name="_Toc324404893"/>
      <w:bookmarkStart w:id="1515" w:name="_Toc11719"/>
      <w:r>
        <w:rPr>
          <w:rFonts w:hint="eastAsia"/>
          <w:b/>
          <w:color w:val="auto"/>
          <w:sz w:val="28"/>
          <w:szCs w:val="28"/>
          <w:highlight w:val="none"/>
        </w:rPr>
        <w:t>①法定代表人身份证</w:t>
      </w:r>
      <w:bookmarkEnd w:id="1508"/>
      <w:bookmarkEnd w:id="1509"/>
      <w:bookmarkEnd w:id="1510"/>
      <w:bookmarkEnd w:id="1511"/>
      <w:bookmarkEnd w:id="1512"/>
      <w:bookmarkEnd w:id="1513"/>
      <w:r>
        <w:rPr>
          <w:rFonts w:hint="eastAsia"/>
          <w:b/>
          <w:color w:val="auto"/>
          <w:sz w:val="28"/>
          <w:szCs w:val="28"/>
          <w:highlight w:val="none"/>
        </w:rPr>
        <w:t>明或授权委托书</w:t>
      </w:r>
      <w:bookmarkEnd w:id="1432"/>
      <w:bookmarkEnd w:id="1433"/>
      <w:bookmarkEnd w:id="1434"/>
      <w:bookmarkEnd w:id="1435"/>
      <w:bookmarkEnd w:id="1436"/>
      <w:bookmarkEnd w:id="1437"/>
      <w:bookmarkEnd w:id="1438"/>
      <w:bookmarkEnd w:id="1439"/>
      <w:bookmarkEnd w:id="1514"/>
      <w:bookmarkEnd w:id="1515"/>
    </w:p>
    <w:p w14:paraId="494117E3">
      <w:pPr>
        <w:pStyle w:val="44"/>
        <w:adjustRightInd w:val="0"/>
        <w:snapToGrid w:val="0"/>
        <w:spacing w:line="560" w:lineRule="exact"/>
        <w:rPr>
          <w:rFonts w:hint="eastAsia" w:ascii="宋体"/>
          <w:b/>
          <w:color w:val="auto"/>
          <w:sz w:val="30"/>
          <w:szCs w:val="30"/>
          <w:highlight w:val="none"/>
        </w:rPr>
      </w:pPr>
      <w:r>
        <w:rPr>
          <w:rFonts w:hint="eastAsia" w:ascii="宋体"/>
          <w:color w:val="auto"/>
          <w:sz w:val="30"/>
          <w:szCs w:val="30"/>
          <w:highlight w:val="none"/>
        </w:rPr>
        <w:t>1.法定代表人身份证明</w:t>
      </w:r>
    </w:p>
    <w:p w14:paraId="11156389">
      <w:pPr>
        <w:adjustRightInd w:val="0"/>
        <w:snapToGrid w:val="0"/>
        <w:spacing w:line="560" w:lineRule="exact"/>
        <w:rPr>
          <w:rFonts w:hint="eastAsia" w:ascii="宋体"/>
          <w:color w:val="auto"/>
          <w:sz w:val="28"/>
          <w:szCs w:val="28"/>
          <w:highlight w:val="none"/>
        </w:rPr>
      </w:pPr>
      <w:r>
        <w:rPr>
          <w:rFonts w:hint="eastAsia" w:ascii="宋体"/>
          <w:color w:val="auto"/>
          <w:sz w:val="28"/>
          <w:szCs w:val="28"/>
          <w:highlight w:val="none"/>
        </w:rPr>
        <w:t>投标人名称：</w:t>
      </w:r>
      <w:r>
        <w:rPr>
          <w:rFonts w:hint="eastAsia" w:ascii="宋体"/>
          <w:color w:val="auto"/>
          <w:sz w:val="28"/>
          <w:szCs w:val="28"/>
          <w:highlight w:val="none"/>
          <w:u w:val="single"/>
        </w:rPr>
        <w:t xml:space="preserve">                                </w:t>
      </w:r>
      <w:r>
        <w:rPr>
          <w:rFonts w:hint="eastAsia" w:ascii="宋体"/>
          <w:color w:val="auto"/>
          <w:sz w:val="28"/>
          <w:szCs w:val="28"/>
          <w:highlight w:val="none"/>
        </w:rPr>
        <w:t xml:space="preserve"> </w:t>
      </w:r>
    </w:p>
    <w:p w14:paraId="7F1C38DD">
      <w:pPr>
        <w:adjustRightInd w:val="0"/>
        <w:snapToGrid w:val="0"/>
        <w:spacing w:line="560" w:lineRule="exact"/>
        <w:rPr>
          <w:rFonts w:hint="eastAsia" w:ascii="宋体"/>
          <w:color w:val="auto"/>
          <w:sz w:val="28"/>
          <w:szCs w:val="28"/>
          <w:highlight w:val="none"/>
        </w:rPr>
      </w:pPr>
      <w:r>
        <w:rPr>
          <w:rFonts w:hint="eastAsia" w:ascii="宋体"/>
          <w:color w:val="auto"/>
          <w:sz w:val="28"/>
          <w:szCs w:val="28"/>
          <w:highlight w:val="none"/>
        </w:rPr>
        <w:t xml:space="preserve">单位性质： </w:t>
      </w:r>
      <w:r>
        <w:rPr>
          <w:rFonts w:hint="eastAsia" w:ascii="宋体"/>
          <w:color w:val="auto"/>
          <w:sz w:val="28"/>
          <w:szCs w:val="28"/>
          <w:highlight w:val="none"/>
          <w:u w:val="single"/>
        </w:rPr>
        <w:t xml:space="preserve">                                  </w:t>
      </w:r>
      <w:r>
        <w:rPr>
          <w:rFonts w:hint="eastAsia" w:ascii="宋体"/>
          <w:color w:val="auto"/>
          <w:sz w:val="28"/>
          <w:szCs w:val="28"/>
          <w:highlight w:val="none"/>
        </w:rPr>
        <w:t xml:space="preserve"> </w:t>
      </w:r>
    </w:p>
    <w:p w14:paraId="12FAFD1C">
      <w:pPr>
        <w:adjustRightInd w:val="0"/>
        <w:snapToGrid w:val="0"/>
        <w:spacing w:line="560" w:lineRule="exact"/>
        <w:rPr>
          <w:rFonts w:hint="eastAsia" w:ascii="宋体"/>
          <w:color w:val="auto"/>
          <w:sz w:val="28"/>
          <w:szCs w:val="28"/>
          <w:highlight w:val="none"/>
        </w:rPr>
      </w:pPr>
      <w:r>
        <w:rPr>
          <w:rFonts w:hint="eastAsia" w:ascii="宋体"/>
          <w:color w:val="auto"/>
          <w:sz w:val="28"/>
          <w:szCs w:val="28"/>
          <w:highlight w:val="none"/>
        </w:rPr>
        <w:t>地    址：</w:t>
      </w:r>
      <w:r>
        <w:rPr>
          <w:rFonts w:hint="eastAsia" w:ascii="宋体"/>
          <w:color w:val="auto"/>
          <w:sz w:val="28"/>
          <w:szCs w:val="28"/>
          <w:highlight w:val="none"/>
          <w:u w:val="single"/>
        </w:rPr>
        <w:t xml:space="preserve">                                   </w:t>
      </w:r>
      <w:r>
        <w:rPr>
          <w:rFonts w:hint="eastAsia" w:ascii="宋体"/>
          <w:color w:val="auto"/>
          <w:sz w:val="28"/>
          <w:szCs w:val="28"/>
          <w:highlight w:val="none"/>
        </w:rPr>
        <w:t xml:space="preserve"> </w:t>
      </w:r>
    </w:p>
    <w:p w14:paraId="4A0EB8D6">
      <w:pPr>
        <w:adjustRightInd w:val="0"/>
        <w:snapToGrid w:val="0"/>
        <w:spacing w:line="560" w:lineRule="exact"/>
        <w:rPr>
          <w:rFonts w:hint="eastAsia" w:ascii="宋体"/>
          <w:color w:val="auto"/>
          <w:sz w:val="28"/>
          <w:szCs w:val="28"/>
          <w:highlight w:val="none"/>
        </w:rPr>
      </w:pPr>
      <w:r>
        <w:rPr>
          <w:rFonts w:hint="eastAsia" w:ascii="宋体"/>
          <w:color w:val="auto"/>
          <w:sz w:val="28"/>
          <w:szCs w:val="28"/>
          <w:highlight w:val="none"/>
        </w:rPr>
        <w:t>成立时间：</w:t>
      </w:r>
      <w:r>
        <w:rPr>
          <w:rFonts w:hint="eastAsia" w:ascii="宋体"/>
          <w:color w:val="auto"/>
          <w:sz w:val="28"/>
          <w:szCs w:val="28"/>
          <w:highlight w:val="none"/>
          <w:u w:val="single"/>
        </w:rPr>
        <w:t xml:space="preserve">        </w:t>
      </w:r>
      <w:r>
        <w:rPr>
          <w:rFonts w:hint="eastAsia" w:ascii="宋体"/>
          <w:color w:val="auto"/>
          <w:sz w:val="28"/>
          <w:szCs w:val="28"/>
          <w:highlight w:val="none"/>
        </w:rPr>
        <w:t>年</w:t>
      </w:r>
      <w:r>
        <w:rPr>
          <w:rFonts w:hint="eastAsia" w:ascii="宋体"/>
          <w:color w:val="auto"/>
          <w:sz w:val="28"/>
          <w:szCs w:val="28"/>
          <w:highlight w:val="none"/>
          <w:u w:val="single"/>
        </w:rPr>
        <w:t xml:space="preserve">    </w:t>
      </w:r>
      <w:r>
        <w:rPr>
          <w:rFonts w:hint="eastAsia" w:ascii="宋体"/>
          <w:color w:val="auto"/>
          <w:sz w:val="28"/>
          <w:szCs w:val="28"/>
          <w:highlight w:val="none"/>
        </w:rPr>
        <w:t>月</w:t>
      </w:r>
      <w:r>
        <w:rPr>
          <w:rFonts w:hint="eastAsia" w:ascii="宋体"/>
          <w:color w:val="auto"/>
          <w:sz w:val="28"/>
          <w:szCs w:val="28"/>
          <w:highlight w:val="none"/>
          <w:u w:val="single"/>
        </w:rPr>
        <w:t xml:space="preserve">  </w:t>
      </w:r>
      <w:r>
        <w:rPr>
          <w:rFonts w:hint="eastAsia" w:ascii="宋体"/>
          <w:color w:val="auto"/>
          <w:sz w:val="28"/>
          <w:szCs w:val="28"/>
          <w:highlight w:val="none"/>
        </w:rPr>
        <w:t>＿日</w:t>
      </w:r>
    </w:p>
    <w:p w14:paraId="5342A4AA">
      <w:pPr>
        <w:adjustRightInd w:val="0"/>
        <w:snapToGrid w:val="0"/>
        <w:spacing w:line="560" w:lineRule="exact"/>
        <w:rPr>
          <w:rFonts w:hint="eastAsia" w:ascii="宋体"/>
          <w:color w:val="auto"/>
          <w:sz w:val="28"/>
          <w:szCs w:val="28"/>
          <w:highlight w:val="none"/>
        </w:rPr>
      </w:pPr>
      <w:r>
        <w:rPr>
          <w:rFonts w:hint="eastAsia" w:ascii="宋体"/>
          <w:color w:val="auto"/>
          <w:sz w:val="28"/>
          <w:szCs w:val="28"/>
          <w:highlight w:val="none"/>
        </w:rPr>
        <w:t>经营期限：</w:t>
      </w:r>
      <w:r>
        <w:rPr>
          <w:rFonts w:hint="eastAsia" w:ascii="宋体"/>
          <w:color w:val="auto"/>
          <w:sz w:val="28"/>
          <w:szCs w:val="28"/>
          <w:highlight w:val="none"/>
          <w:u w:val="single"/>
        </w:rPr>
        <w:t xml:space="preserve">                                </w:t>
      </w:r>
      <w:r>
        <w:rPr>
          <w:rFonts w:hint="eastAsia" w:ascii="宋体"/>
          <w:color w:val="auto"/>
          <w:sz w:val="28"/>
          <w:szCs w:val="28"/>
          <w:highlight w:val="none"/>
        </w:rPr>
        <w:t xml:space="preserve"> </w:t>
      </w:r>
    </w:p>
    <w:p w14:paraId="394D1EB8">
      <w:pPr>
        <w:adjustRightInd w:val="0"/>
        <w:snapToGrid w:val="0"/>
        <w:spacing w:line="560" w:lineRule="exact"/>
        <w:jc w:val="left"/>
        <w:rPr>
          <w:rFonts w:hint="eastAsia" w:ascii="宋体"/>
          <w:color w:val="auto"/>
          <w:sz w:val="28"/>
          <w:szCs w:val="28"/>
          <w:highlight w:val="none"/>
          <w:u w:val="single"/>
        </w:rPr>
      </w:pPr>
      <w:r>
        <w:rPr>
          <w:rFonts w:hint="eastAsia" w:ascii="宋体"/>
          <w:color w:val="auto"/>
          <w:spacing w:val="240"/>
          <w:sz w:val="28"/>
          <w:szCs w:val="28"/>
          <w:highlight w:val="none"/>
        </w:rPr>
        <w:t>姓</w:t>
      </w:r>
      <w:r>
        <w:rPr>
          <w:rFonts w:hint="eastAsia" w:ascii="宋体"/>
          <w:color w:val="auto"/>
          <w:sz w:val="28"/>
          <w:szCs w:val="28"/>
          <w:highlight w:val="none"/>
        </w:rPr>
        <w:t>名：</w:t>
      </w:r>
      <w:r>
        <w:rPr>
          <w:rFonts w:hint="eastAsia" w:ascii="宋体"/>
          <w:color w:val="auto"/>
          <w:sz w:val="28"/>
          <w:szCs w:val="28"/>
          <w:highlight w:val="none"/>
          <w:u w:val="single"/>
        </w:rPr>
        <w:t xml:space="preserve">           </w:t>
      </w:r>
      <w:r>
        <w:rPr>
          <w:rFonts w:hint="eastAsia" w:ascii="宋体"/>
          <w:color w:val="auto"/>
          <w:sz w:val="28"/>
          <w:szCs w:val="28"/>
          <w:highlight w:val="none"/>
        </w:rPr>
        <w:t>身份证号码：</w:t>
      </w:r>
      <w:r>
        <w:rPr>
          <w:rFonts w:hint="eastAsia" w:ascii="宋体"/>
          <w:color w:val="auto"/>
          <w:sz w:val="28"/>
          <w:szCs w:val="28"/>
          <w:highlight w:val="none"/>
          <w:u w:val="single"/>
        </w:rPr>
        <w:t xml:space="preserve">             </w:t>
      </w:r>
      <w:r>
        <w:rPr>
          <w:rFonts w:hint="eastAsia" w:ascii="宋体"/>
          <w:color w:val="auto"/>
          <w:sz w:val="28"/>
          <w:szCs w:val="28"/>
          <w:highlight w:val="none"/>
        </w:rPr>
        <w:t>性别</w:t>
      </w:r>
      <w:r>
        <w:rPr>
          <w:rFonts w:hint="eastAsia" w:ascii="宋体"/>
          <w:color w:val="auto"/>
          <w:sz w:val="28"/>
          <w:szCs w:val="28"/>
          <w:highlight w:val="none"/>
          <w:u w:val="single"/>
        </w:rPr>
        <w:t xml:space="preserve">：            </w:t>
      </w:r>
      <w:r>
        <w:rPr>
          <w:rFonts w:hint="eastAsia" w:ascii="宋体"/>
          <w:color w:val="auto"/>
          <w:sz w:val="28"/>
          <w:szCs w:val="28"/>
          <w:highlight w:val="none"/>
        </w:rPr>
        <w:t>年龄：</w:t>
      </w:r>
      <w:r>
        <w:rPr>
          <w:rFonts w:hint="eastAsia" w:ascii="宋体"/>
          <w:color w:val="auto"/>
          <w:sz w:val="28"/>
          <w:szCs w:val="28"/>
          <w:highlight w:val="none"/>
          <w:u w:val="single"/>
        </w:rPr>
        <w:t xml:space="preserve">＿  </w:t>
      </w:r>
      <w:r>
        <w:rPr>
          <w:rFonts w:hint="eastAsia" w:ascii="宋体"/>
          <w:color w:val="auto"/>
          <w:sz w:val="28"/>
          <w:szCs w:val="28"/>
          <w:highlight w:val="none"/>
        </w:rPr>
        <w:t>职务：</w:t>
      </w:r>
      <w:r>
        <w:rPr>
          <w:rFonts w:hint="eastAsia" w:ascii="宋体"/>
          <w:color w:val="auto"/>
          <w:sz w:val="28"/>
          <w:szCs w:val="28"/>
          <w:highlight w:val="none"/>
          <w:u w:val="single"/>
        </w:rPr>
        <w:t xml:space="preserve">       </w:t>
      </w:r>
      <w:r>
        <w:rPr>
          <w:rFonts w:hint="eastAsia" w:ascii="宋体"/>
          <w:color w:val="auto"/>
          <w:sz w:val="28"/>
          <w:szCs w:val="28"/>
          <w:highlight w:val="none"/>
        </w:rPr>
        <w:t>_，系</w:t>
      </w:r>
      <w:r>
        <w:rPr>
          <w:rFonts w:hint="eastAsia" w:ascii="宋体"/>
          <w:color w:val="auto"/>
          <w:sz w:val="28"/>
          <w:szCs w:val="28"/>
          <w:highlight w:val="none"/>
          <w:u w:val="single"/>
        </w:rPr>
        <w:t xml:space="preserve">                       </w:t>
      </w:r>
      <w:r>
        <w:rPr>
          <w:rFonts w:hint="eastAsia" w:ascii="宋体"/>
          <w:color w:val="auto"/>
          <w:sz w:val="28"/>
          <w:szCs w:val="28"/>
          <w:highlight w:val="none"/>
        </w:rPr>
        <w:t>（投标人名称）的法定代表人。</w:t>
      </w:r>
    </w:p>
    <w:p w14:paraId="5A4ED788">
      <w:pPr>
        <w:adjustRightInd w:val="0"/>
        <w:snapToGrid w:val="0"/>
        <w:spacing w:line="560" w:lineRule="exact"/>
        <w:rPr>
          <w:rFonts w:hint="eastAsia" w:ascii="宋体"/>
          <w:color w:val="auto"/>
          <w:sz w:val="28"/>
          <w:szCs w:val="28"/>
          <w:highlight w:val="none"/>
        </w:rPr>
      </w:pPr>
      <w:r>
        <w:rPr>
          <w:rFonts w:hint="eastAsia" w:ascii="宋体"/>
          <w:color w:val="auto"/>
          <w:sz w:val="28"/>
          <w:szCs w:val="28"/>
          <w:highlight w:val="none"/>
        </w:rPr>
        <w:t>特此证明。</w:t>
      </w:r>
    </w:p>
    <w:p w14:paraId="2CD5257D">
      <w:pPr>
        <w:adjustRightInd w:val="0"/>
        <w:snapToGrid w:val="0"/>
        <w:spacing w:line="560" w:lineRule="exact"/>
        <w:rPr>
          <w:rFonts w:hint="eastAsia" w:ascii="宋体"/>
          <w:color w:val="auto"/>
          <w:sz w:val="28"/>
          <w:szCs w:val="28"/>
          <w:highlight w:val="none"/>
        </w:rPr>
      </w:pPr>
    </w:p>
    <w:p w14:paraId="16205FB4">
      <w:pPr>
        <w:adjustRightInd w:val="0"/>
        <w:snapToGrid w:val="0"/>
        <w:spacing w:line="560" w:lineRule="exact"/>
        <w:rPr>
          <w:rFonts w:hint="eastAsia" w:ascii="宋体"/>
          <w:color w:val="auto"/>
          <w:sz w:val="28"/>
          <w:szCs w:val="28"/>
          <w:highlight w:val="none"/>
        </w:rPr>
      </w:pPr>
    </w:p>
    <w:p w14:paraId="3E511A4E">
      <w:pPr>
        <w:adjustRightInd w:val="0"/>
        <w:snapToGrid w:val="0"/>
        <w:spacing w:line="560" w:lineRule="exact"/>
        <w:rPr>
          <w:rFonts w:hint="eastAsia" w:ascii="宋体"/>
          <w:color w:val="auto"/>
          <w:sz w:val="28"/>
          <w:szCs w:val="28"/>
          <w:highlight w:val="none"/>
        </w:rPr>
      </w:pPr>
    </w:p>
    <w:p w14:paraId="4A8FAD50">
      <w:pPr>
        <w:adjustRightInd w:val="0"/>
        <w:snapToGrid w:val="0"/>
        <w:spacing w:line="560" w:lineRule="exact"/>
        <w:ind w:firstLine="4340" w:firstLineChars="1550"/>
        <w:rPr>
          <w:rFonts w:hint="eastAsia" w:ascii="宋体"/>
          <w:color w:val="auto"/>
          <w:sz w:val="28"/>
          <w:szCs w:val="28"/>
          <w:highlight w:val="none"/>
        </w:rPr>
      </w:pPr>
      <w:r>
        <w:rPr>
          <w:rFonts w:hint="eastAsia" w:ascii="宋体"/>
          <w:color w:val="auto"/>
          <w:sz w:val="28"/>
          <w:szCs w:val="28"/>
          <w:highlight w:val="none"/>
        </w:rPr>
        <w:t>投标人：</w:t>
      </w:r>
      <w:r>
        <w:rPr>
          <w:rFonts w:hint="eastAsia" w:ascii="宋体"/>
          <w:color w:val="auto"/>
          <w:sz w:val="28"/>
          <w:szCs w:val="28"/>
          <w:highlight w:val="none"/>
          <w:u w:val="single"/>
        </w:rPr>
        <w:t xml:space="preserve">                 </w:t>
      </w:r>
      <w:r>
        <w:rPr>
          <w:rFonts w:hint="eastAsia" w:ascii="宋体"/>
          <w:color w:val="auto"/>
          <w:sz w:val="28"/>
          <w:szCs w:val="28"/>
          <w:highlight w:val="none"/>
        </w:rPr>
        <w:t>（签章）</w:t>
      </w:r>
    </w:p>
    <w:p w14:paraId="4F545260">
      <w:pPr>
        <w:adjustRightInd w:val="0"/>
        <w:snapToGrid w:val="0"/>
        <w:spacing w:line="560" w:lineRule="exact"/>
        <w:rPr>
          <w:rFonts w:hint="eastAsia" w:ascii="宋体"/>
          <w:color w:val="auto"/>
          <w:sz w:val="28"/>
          <w:szCs w:val="28"/>
          <w:highlight w:val="none"/>
        </w:rPr>
      </w:pPr>
      <w:r>
        <w:rPr>
          <w:rFonts w:hint="eastAsia" w:ascii="宋体"/>
          <w:color w:val="auto"/>
          <w:sz w:val="28"/>
          <w:szCs w:val="28"/>
          <w:highlight w:val="none"/>
        </w:rPr>
        <w:t xml:space="preserve">                                        年    月     日</w:t>
      </w:r>
    </w:p>
    <w:p w14:paraId="41129CC0">
      <w:pPr>
        <w:adjustRightInd w:val="0"/>
        <w:snapToGrid w:val="0"/>
        <w:spacing w:line="560" w:lineRule="exact"/>
        <w:rPr>
          <w:rFonts w:hint="eastAsia" w:ascii="宋体"/>
          <w:color w:val="auto"/>
          <w:sz w:val="28"/>
          <w:szCs w:val="28"/>
          <w:highlight w:val="none"/>
        </w:rPr>
      </w:pPr>
    </w:p>
    <w:p w14:paraId="032960C3">
      <w:pPr>
        <w:adjustRightInd w:val="0"/>
        <w:snapToGrid w:val="0"/>
        <w:spacing w:line="560" w:lineRule="exact"/>
        <w:rPr>
          <w:rFonts w:hint="eastAsia" w:ascii="宋体"/>
          <w:color w:val="auto"/>
          <w:sz w:val="28"/>
          <w:szCs w:val="28"/>
          <w:highlight w:val="none"/>
        </w:rPr>
      </w:pPr>
    </w:p>
    <w:p w14:paraId="47441B15">
      <w:pPr>
        <w:pStyle w:val="44"/>
        <w:adjustRightInd w:val="0"/>
        <w:snapToGrid w:val="0"/>
        <w:spacing w:line="560" w:lineRule="exact"/>
        <w:rPr>
          <w:rFonts w:hint="eastAsia" w:ascii="宋体"/>
          <w:color w:val="auto"/>
          <w:sz w:val="30"/>
          <w:szCs w:val="30"/>
          <w:highlight w:val="none"/>
        </w:rPr>
      </w:pPr>
    </w:p>
    <w:p w14:paraId="6AEE2472">
      <w:pPr>
        <w:rPr>
          <w:rFonts w:hint="eastAsia"/>
          <w:color w:val="auto"/>
          <w:highlight w:val="none"/>
        </w:rPr>
      </w:pPr>
    </w:p>
    <w:p w14:paraId="32394A1B">
      <w:pPr>
        <w:pStyle w:val="19"/>
        <w:rPr>
          <w:rFonts w:hint="eastAsia"/>
          <w:color w:val="auto"/>
          <w:highlight w:val="none"/>
        </w:rPr>
      </w:pPr>
    </w:p>
    <w:p w14:paraId="3F973BDB">
      <w:pPr>
        <w:rPr>
          <w:rFonts w:hint="eastAsia"/>
          <w:color w:val="auto"/>
          <w:highlight w:val="none"/>
        </w:rPr>
      </w:pPr>
    </w:p>
    <w:p w14:paraId="1C2B64AB">
      <w:pPr>
        <w:pStyle w:val="19"/>
        <w:rPr>
          <w:rFonts w:hint="eastAsia"/>
          <w:color w:val="auto"/>
          <w:highlight w:val="none"/>
        </w:rPr>
      </w:pPr>
    </w:p>
    <w:p w14:paraId="09989BD5">
      <w:pPr>
        <w:rPr>
          <w:rFonts w:hint="eastAsia"/>
          <w:color w:val="auto"/>
          <w:highlight w:val="none"/>
        </w:rPr>
      </w:pPr>
    </w:p>
    <w:p w14:paraId="733A6E2A">
      <w:pPr>
        <w:pStyle w:val="19"/>
        <w:rPr>
          <w:rFonts w:hint="eastAsia"/>
          <w:color w:val="auto"/>
          <w:highlight w:val="none"/>
        </w:rPr>
      </w:pPr>
    </w:p>
    <w:p w14:paraId="1568661B">
      <w:pPr>
        <w:pStyle w:val="44"/>
        <w:adjustRightInd w:val="0"/>
        <w:snapToGrid w:val="0"/>
        <w:spacing w:line="560" w:lineRule="exact"/>
        <w:rPr>
          <w:rFonts w:hint="eastAsia" w:ascii="宋体"/>
          <w:color w:val="auto"/>
          <w:sz w:val="30"/>
          <w:szCs w:val="30"/>
          <w:highlight w:val="none"/>
        </w:rPr>
      </w:pPr>
    </w:p>
    <w:p w14:paraId="7EF50E08">
      <w:pPr>
        <w:rPr>
          <w:rFonts w:hint="eastAsia"/>
          <w:color w:val="auto"/>
          <w:highlight w:val="none"/>
        </w:rPr>
      </w:pPr>
    </w:p>
    <w:p w14:paraId="4B3E30A7">
      <w:pPr>
        <w:rPr>
          <w:rFonts w:hint="eastAsia"/>
          <w:color w:val="auto"/>
          <w:highlight w:val="none"/>
        </w:rPr>
      </w:pPr>
    </w:p>
    <w:p w14:paraId="623CD6B4">
      <w:pPr>
        <w:pStyle w:val="44"/>
        <w:adjustRightInd w:val="0"/>
        <w:snapToGrid w:val="0"/>
        <w:spacing w:line="560" w:lineRule="exact"/>
        <w:rPr>
          <w:rFonts w:hint="eastAsia" w:ascii="宋体"/>
          <w:color w:val="auto"/>
          <w:sz w:val="30"/>
          <w:szCs w:val="30"/>
          <w:highlight w:val="none"/>
        </w:rPr>
      </w:pPr>
    </w:p>
    <w:p w14:paraId="6CA2FF9F">
      <w:pPr>
        <w:pStyle w:val="44"/>
        <w:adjustRightInd w:val="0"/>
        <w:snapToGrid w:val="0"/>
        <w:spacing w:line="560" w:lineRule="exact"/>
        <w:rPr>
          <w:rFonts w:hint="eastAsia" w:ascii="宋体"/>
          <w:color w:val="auto"/>
          <w:sz w:val="30"/>
          <w:szCs w:val="30"/>
          <w:highlight w:val="none"/>
        </w:rPr>
      </w:pPr>
    </w:p>
    <w:p w14:paraId="2A9F0813">
      <w:pPr>
        <w:pStyle w:val="44"/>
        <w:adjustRightInd w:val="0"/>
        <w:snapToGrid w:val="0"/>
        <w:spacing w:line="560" w:lineRule="exact"/>
        <w:rPr>
          <w:rFonts w:hint="eastAsia" w:ascii="宋体"/>
          <w:color w:val="auto"/>
          <w:sz w:val="30"/>
          <w:szCs w:val="30"/>
          <w:highlight w:val="none"/>
        </w:rPr>
      </w:pPr>
      <w:r>
        <w:rPr>
          <w:rFonts w:hint="eastAsia" w:ascii="宋体"/>
          <w:color w:val="auto"/>
          <w:sz w:val="30"/>
          <w:szCs w:val="30"/>
          <w:highlight w:val="none"/>
        </w:rPr>
        <w:t>2. 授权委托书</w:t>
      </w:r>
    </w:p>
    <w:p w14:paraId="76E36E1C">
      <w:pPr>
        <w:adjustRightInd w:val="0"/>
        <w:snapToGrid w:val="0"/>
        <w:spacing w:line="560" w:lineRule="exact"/>
        <w:ind w:firstLine="560" w:firstLineChars="200"/>
        <w:rPr>
          <w:rFonts w:hint="eastAsia" w:ascii="宋体"/>
          <w:color w:val="auto"/>
          <w:sz w:val="28"/>
          <w:szCs w:val="28"/>
          <w:highlight w:val="none"/>
        </w:rPr>
      </w:pPr>
      <w:r>
        <w:rPr>
          <w:rFonts w:hint="eastAsia" w:ascii="宋体"/>
          <w:color w:val="auto"/>
          <w:sz w:val="28"/>
          <w:szCs w:val="28"/>
          <w:highlight w:val="none"/>
        </w:rPr>
        <w:t xml:space="preserve">本人 </w:t>
      </w:r>
      <w:r>
        <w:rPr>
          <w:rFonts w:hint="eastAsia" w:ascii="宋体"/>
          <w:color w:val="auto"/>
          <w:sz w:val="28"/>
          <w:szCs w:val="28"/>
          <w:highlight w:val="none"/>
          <w:u w:val="single"/>
        </w:rPr>
        <w:t xml:space="preserve">    </w:t>
      </w:r>
      <w:r>
        <w:rPr>
          <w:rFonts w:hint="eastAsia" w:ascii="宋体"/>
          <w:color w:val="auto"/>
          <w:sz w:val="28"/>
          <w:szCs w:val="28"/>
          <w:highlight w:val="none"/>
        </w:rPr>
        <w:t>（姓名）系</w:t>
      </w:r>
      <w:r>
        <w:rPr>
          <w:rFonts w:hint="eastAsia" w:ascii="宋体"/>
          <w:color w:val="auto"/>
          <w:sz w:val="28"/>
          <w:szCs w:val="28"/>
          <w:highlight w:val="none"/>
          <w:u w:val="single"/>
        </w:rPr>
        <w:t xml:space="preserve">       </w:t>
      </w:r>
      <w:r>
        <w:rPr>
          <w:rFonts w:hint="eastAsia" w:ascii="宋体"/>
          <w:color w:val="auto"/>
          <w:sz w:val="28"/>
          <w:szCs w:val="28"/>
          <w:highlight w:val="none"/>
        </w:rPr>
        <w:t>（投标人）的法定代表人，现委托</w:t>
      </w:r>
      <w:r>
        <w:rPr>
          <w:rFonts w:hint="eastAsia" w:ascii="宋体"/>
          <w:color w:val="auto"/>
          <w:sz w:val="28"/>
          <w:szCs w:val="28"/>
          <w:highlight w:val="none"/>
          <w:u w:val="single"/>
        </w:rPr>
        <w:t xml:space="preserve">   </w:t>
      </w:r>
      <w:r>
        <w:rPr>
          <w:rFonts w:hint="eastAsia" w:ascii="宋体"/>
          <w:color w:val="auto"/>
          <w:sz w:val="28"/>
          <w:szCs w:val="28"/>
          <w:highlight w:val="none"/>
        </w:rPr>
        <w:t>（姓名）为我方代理人。代理人根据授权，以我方名义签署、澄清、说明、补正、递交、撤回、修改 “</w:t>
      </w:r>
      <w:r>
        <w:rPr>
          <w:rFonts w:hint="eastAsia" w:ascii="宋体"/>
          <w:color w:val="auto"/>
          <w:sz w:val="28"/>
          <w:szCs w:val="28"/>
          <w:highlight w:val="none"/>
          <w:u w:val="single"/>
        </w:rPr>
        <w:t xml:space="preserve">      </w:t>
      </w:r>
      <w:r>
        <w:rPr>
          <w:rFonts w:hint="eastAsia" w:ascii="宋体"/>
          <w:color w:val="auto"/>
          <w:sz w:val="28"/>
          <w:szCs w:val="28"/>
          <w:highlight w:val="none"/>
        </w:rPr>
        <w:t xml:space="preserve"> ”(项目名称、编号）投标文件，全权处理与该项目投标、评审答疑、签订合同以及与合同执行有关的一切事务，其法律后果由我方承担。</w:t>
      </w:r>
    </w:p>
    <w:p w14:paraId="6F54098A">
      <w:pPr>
        <w:adjustRightInd w:val="0"/>
        <w:snapToGrid w:val="0"/>
        <w:spacing w:line="560" w:lineRule="exact"/>
        <w:ind w:firstLine="560" w:firstLineChars="200"/>
        <w:rPr>
          <w:rFonts w:hint="eastAsia" w:ascii="宋体"/>
          <w:color w:val="auto"/>
          <w:sz w:val="28"/>
          <w:szCs w:val="28"/>
          <w:highlight w:val="none"/>
        </w:rPr>
      </w:pPr>
      <w:r>
        <w:rPr>
          <w:rFonts w:hint="eastAsia" w:ascii="宋体"/>
          <w:color w:val="auto"/>
          <w:sz w:val="28"/>
          <w:szCs w:val="28"/>
          <w:highlight w:val="none"/>
        </w:rPr>
        <w:t xml:space="preserve">委托期限： </w:t>
      </w:r>
      <w:r>
        <w:rPr>
          <w:rFonts w:hint="eastAsia" w:ascii="宋体" w:cs="宋体"/>
          <w:color w:val="auto"/>
          <w:sz w:val="28"/>
          <w:szCs w:val="28"/>
          <w:highlight w:val="none"/>
          <w:u w:val="single"/>
        </w:rPr>
        <w:t xml:space="preserve">          </w:t>
      </w:r>
      <w:r>
        <w:rPr>
          <w:rFonts w:hint="eastAsia" w:ascii="宋体" w:cs="宋体"/>
          <w:color w:val="auto"/>
          <w:sz w:val="28"/>
          <w:szCs w:val="28"/>
          <w:highlight w:val="none"/>
        </w:rPr>
        <w:t>。</w:t>
      </w:r>
      <w:r>
        <w:rPr>
          <w:rFonts w:hint="eastAsia" w:ascii="宋体"/>
          <w:color w:val="auto"/>
          <w:sz w:val="28"/>
          <w:szCs w:val="28"/>
          <w:highlight w:val="none"/>
        </w:rPr>
        <w:t xml:space="preserve">                     </w:t>
      </w:r>
    </w:p>
    <w:p w14:paraId="3EE8F9CC">
      <w:pPr>
        <w:adjustRightInd w:val="0"/>
        <w:snapToGrid w:val="0"/>
        <w:spacing w:line="560" w:lineRule="exact"/>
        <w:ind w:firstLine="560" w:firstLineChars="200"/>
        <w:rPr>
          <w:rFonts w:hint="eastAsia" w:ascii="宋体"/>
          <w:color w:val="auto"/>
          <w:sz w:val="28"/>
          <w:szCs w:val="28"/>
          <w:highlight w:val="none"/>
        </w:rPr>
      </w:pPr>
      <w:r>
        <w:rPr>
          <w:rFonts w:hint="eastAsia" w:ascii="宋体"/>
          <w:color w:val="auto"/>
          <w:sz w:val="28"/>
          <w:szCs w:val="28"/>
          <w:highlight w:val="none"/>
        </w:rPr>
        <w:t>代理人无转委托权。</w:t>
      </w:r>
    </w:p>
    <w:p w14:paraId="7862E561">
      <w:pPr>
        <w:adjustRightInd w:val="0"/>
        <w:snapToGrid w:val="0"/>
        <w:spacing w:line="560" w:lineRule="exact"/>
        <w:ind w:firstLine="560" w:firstLineChars="200"/>
        <w:rPr>
          <w:rFonts w:hint="eastAsia" w:ascii="宋体"/>
          <w:b/>
          <w:color w:val="auto"/>
          <w:sz w:val="28"/>
          <w:szCs w:val="28"/>
          <w:highlight w:val="none"/>
        </w:rPr>
      </w:pPr>
      <w:r>
        <w:rPr>
          <w:rFonts w:hint="eastAsia" w:ascii="宋体"/>
          <w:color w:val="auto"/>
          <w:sz w:val="28"/>
          <w:szCs w:val="28"/>
          <w:highlight w:val="none"/>
        </w:rPr>
        <w:t>附：</w:t>
      </w:r>
      <w:r>
        <w:rPr>
          <w:rFonts w:hint="eastAsia" w:ascii="宋体"/>
          <w:b/>
          <w:color w:val="auto"/>
          <w:sz w:val="28"/>
          <w:szCs w:val="28"/>
          <w:highlight w:val="none"/>
        </w:rPr>
        <w:t>委托代理人有效身份证扫描件</w:t>
      </w:r>
    </w:p>
    <w:p w14:paraId="1AA6AD0B">
      <w:pPr>
        <w:adjustRightInd w:val="0"/>
        <w:snapToGrid w:val="0"/>
        <w:spacing w:line="560" w:lineRule="exact"/>
        <w:ind w:firstLine="1116" w:firstLineChars="397"/>
        <w:rPr>
          <w:rFonts w:hint="eastAsia" w:ascii="宋体"/>
          <w:b/>
          <w:color w:val="auto"/>
          <w:sz w:val="28"/>
          <w:szCs w:val="28"/>
          <w:highlight w:val="none"/>
        </w:rPr>
      </w:pPr>
      <w:r>
        <w:rPr>
          <w:rFonts w:hint="eastAsia" w:ascii="宋体"/>
          <w:b/>
          <w:color w:val="auto"/>
          <w:sz w:val="28"/>
          <w:szCs w:val="28"/>
          <w:highlight w:val="none"/>
        </w:rPr>
        <w:t>法定代表人有效身份证扫描件</w:t>
      </w:r>
    </w:p>
    <w:p w14:paraId="5E22F448">
      <w:pPr>
        <w:adjustRightInd w:val="0"/>
        <w:snapToGrid w:val="0"/>
        <w:spacing w:line="560" w:lineRule="exact"/>
        <w:ind w:firstLine="560" w:firstLineChars="200"/>
        <w:rPr>
          <w:rFonts w:hint="eastAsia" w:ascii="宋体"/>
          <w:color w:val="auto"/>
          <w:sz w:val="28"/>
          <w:szCs w:val="28"/>
          <w:highlight w:val="none"/>
        </w:rPr>
      </w:pPr>
    </w:p>
    <w:p w14:paraId="125486B1">
      <w:pPr>
        <w:adjustRightInd w:val="0"/>
        <w:snapToGrid w:val="0"/>
        <w:spacing w:line="560" w:lineRule="exact"/>
        <w:ind w:firstLine="200"/>
        <w:rPr>
          <w:rFonts w:hint="eastAsia" w:ascii="宋体"/>
          <w:color w:val="auto"/>
          <w:sz w:val="28"/>
          <w:szCs w:val="28"/>
          <w:highlight w:val="none"/>
        </w:rPr>
      </w:pPr>
      <w:r>
        <w:rPr>
          <w:rFonts w:hint="eastAsia" w:ascii="宋体"/>
          <w:color w:val="auto"/>
          <w:sz w:val="28"/>
          <w:szCs w:val="28"/>
          <w:highlight w:val="none"/>
        </w:rPr>
        <w:t xml:space="preserve">                           投标人（签章）：</w:t>
      </w:r>
    </w:p>
    <w:p w14:paraId="03956DB8">
      <w:pPr>
        <w:adjustRightInd w:val="0"/>
        <w:snapToGrid w:val="0"/>
        <w:spacing w:line="560" w:lineRule="exact"/>
        <w:ind w:firstLine="2660" w:firstLineChars="950"/>
        <w:rPr>
          <w:rFonts w:hint="eastAsia" w:ascii="宋体"/>
          <w:color w:val="auto"/>
          <w:sz w:val="28"/>
          <w:szCs w:val="28"/>
          <w:highlight w:val="none"/>
        </w:rPr>
      </w:pPr>
      <w:r>
        <w:rPr>
          <w:rFonts w:hint="eastAsia" w:ascii="宋体"/>
          <w:color w:val="auto"/>
          <w:sz w:val="28"/>
          <w:szCs w:val="28"/>
          <w:highlight w:val="none"/>
        </w:rPr>
        <w:t>法定代表人（身份证号码）：             （签章）</w:t>
      </w:r>
    </w:p>
    <w:p w14:paraId="37209903">
      <w:pPr>
        <w:pStyle w:val="19"/>
        <w:rPr>
          <w:rFonts w:hint="eastAsia" w:ascii="宋体"/>
          <w:color w:val="auto"/>
          <w:sz w:val="28"/>
          <w:szCs w:val="28"/>
          <w:highlight w:val="none"/>
        </w:rPr>
      </w:pPr>
      <w:r>
        <w:rPr>
          <w:rFonts w:hint="eastAsia"/>
          <w:color w:val="auto"/>
          <w:highlight w:val="none"/>
        </w:rPr>
        <w:t xml:space="preserve">                                 </w:t>
      </w:r>
      <w:r>
        <w:rPr>
          <w:rFonts w:hint="eastAsia" w:ascii="宋体"/>
          <w:color w:val="auto"/>
          <w:sz w:val="28"/>
          <w:szCs w:val="28"/>
          <w:highlight w:val="none"/>
        </w:rPr>
        <w:t xml:space="preserve">    联系方式：</w:t>
      </w:r>
    </w:p>
    <w:p w14:paraId="34F27B01">
      <w:pPr>
        <w:adjustRightInd w:val="0"/>
        <w:snapToGrid w:val="0"/>
        <w:spacing w:line="560" w:lineRule="exact"/>
        <w:ind w:firstLine="2660" w:firstLineChars="950"/>
        <w:rPr>
          <w:rFonts w:hint="eastAsia" w:ascii="宋体"/>
          <w:color w:val="auto"/>
          <w:sz w:val="28"/>
          <w:szCs w:val="28"/>
          <w:highlight w:val="none"/>
        </w:rPr>
      </w:pPr>
      <w:r>
        <w:rPr>
          <w:rFonts w:hint="eastAsia" w:ascii="宋体"/>
          <w:color w:val="auto"/>
          <w:sz w:val="28"/>
          <w:szCs w:val="28"/>
          <w:highlight w:val="none"/>
        </w:rPr>
        <w:t xml:space="preserve">委托代理人（身份证号码）：      </w:t>
      </w:r>
    </w:p>
    <w:p w14:paraId="45BE2839">
      <w:pPr>
        <w:adjustRightInd w:val="0"/>
        <w:snapToGrid w:val="0"/>
        <w:spacing w:line="560" w:lineRule="exact"/>
        <w:ind w:firstLine="2660" w:firstLineChars="950"/>
        <w:rPr>
          <w:rFonts w:hint="eastAsia" w:ascii="宋体"/>
          <w:color w:val="auto"/>
          <w:sz w:val="28"/>
          <w:szCs w:val="28"/>
          <w:highlight w:val="none"/>
        </w:rPr>
      </w:pPr>
      <w:r>
        <w:rPr>
          <w:rFonts w:hint="eastAsia" w:ascii="宋体"/>
          <w:color w:val="auto"/>
          <w:sz w:val="28"/>
          <w:szCs w:val="28"/>
          <w:highlight w:val="none"/>
        </w:rPr>
        <w:t xml:space="preserve">                联系方式：</w:t>
      </w:r>
    </w:p>
    <w:p w14:paraId="7A733C73">
      <w:pPr>
        <w:adjustRightInd w:val="0"/>
        <w:snapToGrid w:val="0"/>
        <w:spacing w:line="560" w:lineRule="exact"/>
        <w:ind w:firstLine="3290" w:firstLineChars="1175"/>
        <w:rPr>
          <w:rFonts w:hint="eastAsia" w:ascii="宋体"/>
          <w:color w:val="auto"/>
          <w:sz w:val="28"/>
          <w:szCs w:val="28"/>
          <w:highlight w:val="none"/>
        </w:rPr>
      </w:pPr>
      <w:r>
        <w:rPr>
          <w:rFonts w:hint="eastAsia" w:ascii="宋体"/>
          <w:color w:val="auto"/>
          <w:sz w:val="28"/>
          <w:szCs w:val="28"/>
          <w:highlight w:val="none"/>
        </w:rPr>
        <w:t xml:space="preserve">              年    月    日</w:t>
      </w:r>
    </w:p>
    <w:p w14:paraId="097F30EB">
      <w:pPr>
        <w:pStyle w:val="19"/>
        <w:rPr>
          <w:rFonts w:hint="eastAsia"/>
          <w:color w:val="auto"/>
          <w:highlight w:val="none"/>
        </w:rPr>
      </w:pPr>
    </w:p>
    <w:p w14:paraId="461867D6">
      <w:pPr>
        <w:adjustRightInd w:val="0"/>
        <w:snapToGrid w:val="0"/>
        <w:spacing w:line="560" w:lineRule="exact"/>
        <w:rPr>
          <w:rFonts w:hint="eastAsia"/>
          <w:b/>
          <w:color w:val="auto"/>
          <w:sz w:val="28"/>
          <w:szCs w:val="28"/>
          <w:highlight w:val="none"/>
        </w:rPr>
      </w:pPr>
      <w:r>
        <w:rPr>
          <w:rFonts w:hint="eastAsia"/>
          <w:b/>
          <w:color w:val="auto"/>
          <w:sz w:val="28"/>
          <w:szCs w:val="28"/>
          <w:highlight w:val="none"/>
          <w:u w:val="single"/>
        </w:rPr>
        <w:t>（上传电子投标文件时采用本授权委托书）</w:t>
      </w:r>
    </w:p>
    <w:p w14:paraId="59208676">
      <w:pPr>
        <w:adjustRightInd w:val="0"/>
        <w:snapToGrid w:val="0"/>
        <w:spacing w:line="560" w:lineRule="exact"/>
        <w:jc w:val="center"/>
        <w:rPr>
          <w:rFonts w:hint="eastAsia"/>
          <w:b/>
          <w:color w:val="auto"/>
          <w:sz w:val="28"/>
          <w:szCs w:val="28"/>
          <w:highlight w:val="none"/>
        </w:rPr>
      </w:pPr>
    </w:p>
    <w:p w14:paraId="7BC14B5B">
      <w:pPr>
        <w:adjustRightInd w:val="0"/>
        <w:snapToGrid w:val="0"/>
        <w:spacing w:line="560" w:lineRule="exact"/>
        <w:jc w:val="center"/>
        <w:rPr>
          <w:rFonts w:hint="eastAsia"/>
          <w:b/>
          <w:color w:val="auto"/>
          <w:sz w:val="28"/>
          <w:szCs w:val="28"/>
          <w:highlight w:val="none"/>
        </w:rPr>
      </w:pPr>
    </w:p>
    <w:p w14:paraId="3697B652">
      <w:pPr>
        <w:adjustRightInd w:val="0"/>
        <w:snapToGrid w:val="0"/>
        <w:spacing w:line="560" w:lineRule="exact"/>
        <w:jc w:val="center"/>
        <w:rPr>
          <w:rFonts w:hint="eastAsia"/>
          <w:b/>
          <w:color w:val="auto"/>
          <w:sz w:val="28"/>
          <w:szCs w:val="28"/>
          <w:highlight w:val="none"/>
        </w:rPr>
      </w:pPr>
    </w:p>
    <w:p w14:paraId="624ACBEC">
      <w:pPr>
        <w:adjustRightInd w:val="0"/>
        <w:snapToGrid w:val="0"/>
        <w:spacing w:line="560" w:lineRule="exact"/>
        <w:jc w:val="center"/>
        <w:rPr>
          <w:rFonts w:hint="eastAsia"/>
          <w:b/>
          <w:color w:val="auto"/>
          <w:sz w:val="28"/>
          <w:szCs w:val="28"/>
          <w:highlight w:val="none"/>
        </w:rPr>
      </w:pPr>
    </w:p>
    <w:p w14:paraId="1534DBE2">
      <w:pPr>
        <w:adjustRightInd w:val="0"/>
        <w:snapToGrid w:val="0"/>
        <w:spacing w:line="560" w:lineRule="exact"/>
        <w:jc w:val="center"/>
        <w:rPr>
          <w:rFonts w:hint="eastAsia"/>
          <w:b/>
          <w:color w:val="auto"/>
          <w:sz w:val="28"/>
          <w:szCs w:val="28"/>
          <w:highlight w:val="none"/>
        </w:rPr>
      </w:pPr>
    </w:p>
    <w:p w14:paraId="2900AC31">
      <w:pPr>
        <w:adjustRightInd w:val="0"/>
        <w:snapToGrid w:val="0"/>
        <w:spacing w:line="560" w:lineRule="exact"/>
        <w:jc w:val="center"/>
        <w:rPr>
          <w:rFonts w:hint="eastAsia"/>
          <w:b/>
          <w:color w:val="auto"/>
          <w:sz w:val="28"/>
          <w:szCs w:val="28"/>
          <w:highlight w:val="none"/>
        </w:rPr>
      </w:pPr>
    </w:p>
    <w:p w14:paraId="0D1E792F">
      <w:pPr>
        <w:adjustRightInd w:val="0"/>
        <w:snapToGrid w:val="0"/>
        <w:spacing w:line="560" w:lineRule="exact"/>
        <w:jc w:val="center"/>
        <w:rPr>
          <w:rFonts w:hint="eastAsia"/>
          <w:b/>
          <w:color w:val="auto"/>
          <w:sz w:val="28"/>
          <w:szCs w:val="28"/>
          <w:highlight w:val="none"/>
        </w:rPr>
      </w:pPr>
    </w:p>
    <w:p w14:paraId="32C550B6">
      <w:pPr>
        <w:rPr>
          <w:rFonts w:hint="eastAsia"/>
          <w:b/>
          <w:color w:val="auto"/>
          <w:sz w:val="28"/>
          <w:szCs w:val="28"/>
          <w:highlight w:val="none"/>
        </w:rPr>
      </w:pPr>
      <w:r>
        <w:rPr>
          <w:rFonts w:hint="eastAsia"/>
          <w:b/>
          <w:color w:val="auto"/>
          <w:sz w:val="28"/>
          <w:szCs w:val="28"/>
          <w:highlight w:val="none"/>
        </w:rPr>
        <w:br w:type="page"/>
      </w:r>
    </w:p>
    <w:p w14:paraId="16A6F2EF">
      <w:pPr>
        <w:adjustRightInd w:val="0"/>
        <w:snapToGrid w:val="0"/>
        <w:spacing w:line="560" w:lineRule="exact"/>
        <w:jc w:val="center"/>
        <w:rPr>
          <w:rFonts w:hint="eastAsia"/>
          <w:b/>
          <w:color w:val="auto"/>
          <w:sz w:val="28"/>
          <w:szCs w:val="28"/>
          <w:highlight w:val="none"/>
        </w:rPr>
      </w:pPr>
      <w:r>
        <w:rPr>
          <w:rFonts w:hint="eastAsia"/>
          <w:b/>
          <w:color w:val="auto"/>
          <w:sz w:val="28"/>
          <w:szCs w:val="28"/>
          <w:highlight w:val="none"/>
        </w:rPr>
        <w:t>②诚信投标承诺书  </w:t>
      </w:r>
    </w:p>
    <w:p w14:paraId="6982C3A1">
      <w:pPr>
        <w:adjustRightInd w:val="0"/>
        <w:snapToGrid w:val="0"/>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本人以企业法定代表人的身份郑重承诺：</w:t>
      </w:r>
    </w:p>
    <w:p w14:paraId="4B9C28BA">
      <w:pPr>
        <w:adjustRightInd w:val="0"/>
        <w:snapToGrid w:val="0"/>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一、将遵循公</w:t>
      </w:r>
      <w:bookmarkStart w:id="1516" w:name="_Toc506107356"/>
      <w:bookmarkStart w:id="1517" w:name="_Toc503196197"/>
      <w:bookmarkStart w:id="1518" w:name="_Toc26598"/>
      <w:r>
        <w:rPr>
          <w:rFonts w:hint="eastAsia" w:ascii="宋体" w:hAnsi="宋体"/>
          <w:color w:val="auto"/>
          <w:szCs w:val="21"/>
          <w:highlight w:val="none"/>
        </w:rPr>
        <w:t>开、公正和诚实信用</w:t>
      </w:r>
      <w:bookmarkEnd w:id="1516"/>
      <w:bookmarkEnd w:id="1517"/>
      <w:r>
        <w:rPr>
          <w:rFonts w:hint="eastAsia" w:ascii="宋体" w:hAnsi="宋体"/>
          <w:color w:val="auto"/>
          <w:szCs w:val="21"/>
          <w:highlight w:val="none"/>
        </w:rPr>
        <w:t>的</w:t>
      </w:r>
      <w:bookmarkEnd w:id="1518"/>
      <w:r>
        <w:rPr>
          <w:rFonts w:hint="eastAsia" w:ascii="宋体" w:hAnsi="宋体"/>
          <w:color w:val="auto"/>
          <w:szCs w:val="21"/>
          <w:highlight w:val="none"/>
        </w:rPr>
        <w:t>原则自愿参加</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项目的投标；</w:t>
      </w:r>
    </w:p>
    <w:p w14:paraId="179C6E08">
      <w:pPr>
        <w:adjustRightInd w:val="0"/>
        <w:snapToGrid w:val="0"/>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二、所提供的一切材料都是真实、合法的；</w:t>
      </w:r>
    </w:p>
    <w:p w14:paraId="67442E45">
      <w:pPr>
        <w:adjustRightInd w:val="0"/>
        <w:snapToGrid w:val="0"/>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三、不出借、转让资质证书，不让他人挂靠投标，不以他人名义投标或者以其他方式弄虚作假，骗取中标；</w:t>
      </w:r>
    </w:p>
    <w:p w14:paraId="5890ACCF">
      <w:pPr>
        <w:adjustRightInd w:val="0"/>
        <w:snapToGrid w:val="0"/>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四、不与其他投标人相互串通投标报价，不排挤其他投标人的公平竞争、损害招标人的合法权益；</w:t>
      </w:r>
    </w:p>
    <w:p w14:paraId="415C25FD">
      <w:pPr>
        <w:adjustRightInd w:val="0"/>
        <w:snapToGrid w:val="0"/>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五、不与招标人、招标代理机构或其他投标人串通投标，损害国家利益、社会公共利益或者他人的合法权益；</w:t>
      </w:r>
    </w:p>
    <w:p w14:paraId="0A5DF5DA">
      <w:pPr>
        <w:adjustRightInd w:val="0"/>
        <w:snapToGrid w:val="0"/>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六、</w:t>
      </w:r>
      <w:r>
        <w:rPr>
          <w:rFonts w:hint="eastAsia" w:ascii="宋体" w:hAnsi="宋体"/>
          <w:color w:val="auto"/>
          <w:szCs w:val="21"/>
          <w:highlight w:val="none"/>
          <w:u w:val="single"/>
        </w:rPr>
        <w:t xml:space="preserve">      （企业名称）</w:t>
      </w:r>
      <w:r>
        <w:rPr>
          <w:rFonts w:hint="eastAsia" w:ascii="宋体" w:hAnsi="宋体"/>
          <w:color w:val="auto"/>
          <w:szCs w:val="21"/>
          <w:highlight w:val="none"/>
        </w:rPr>
        <w:t xml:space="preserve">或 </w:t>
      </w:r>
      <w:r>
        <w:rPr>
          <w:rFonts w:hint="eastAsia" w:ascii="宋体" w:hAnsi="宋体"/>
          <w:color w:val="auto"/>
          <w:szCs w:val="21"/>
          <w:highlight w:val="none"/>
          <w:u w:val="single"/>
        </w:rPr>
        <w:t xml:space="preserve">      （企业名称）</w:t>
      </w:r>
      <w:r>
        <w:rPr>
          <w:rFonts w:hint="eastAsia" w:ascii="宋体" w:hAnsi="宋体"/>
          <w:color w:val="auto"/>
          <w:szCs w:val="21"/>
          <w:highlight w:val="none"/>
        </w:rPr>
        <w:t>法定代表人</w:t>
      </w:r>
      <w:r>
        <w:rPr>
          <w:rFonts w:hint="eastAsia" w:ascii="宋体" w:hAnsi="宋体"/>
          <w:color w:val="auto"/>
          <w:szCs w:val="21"/>
          <w:highlight w:val="none"/>
          <w:u w:val="single"/>
        </w:rPr>
        <w:t xml:space="preserve">       </w:t>
      </w:r>
      <w:r>
        <w:rPr>
          <w:rFonts w:hint="eastAsia" w:ascii="宋体" w:hAnsi="宋体"/>
          <w:color w:val="auto"/>
          <w:szCs w:val="21"/>
          <w:highlight w:val="none"/>
        </w:rPr>
        <w:t>或拟派项目经理（负责人）</w:t>
      </w:r>
      <w:r>
        <w:rPr>
          <w:rFonts w:hint="eastAsia" w:ascii="宋体" w:hAnsi="宋体"/>
          <w:color w:val="auto"/>
          <w:szCs w:val="21"/>
          <w:highlight w:val="none"/>
          <w:u w:val="single"/>
        </w:rPr>
        <w:t xml:space="preserve">      </w:t>
      </w:r>
      <w:r>
        <w:rPr>
          <w:rFonts w:hint="eastAsia" w:ascii="宋体" w:hAnsi="宋体"/>
          <w:color w:val="auto"/>
          <w:szCs w:val="21"/>
          <w:highlight w:val="none"/>
        </w:rPr>
        <w:t>没有下列情形：</w:t>
      </w:r>
      <w:bookmarkStart w:id="1519" w:name="OLE_LINK133"/>
      <w:bookmarkStart w:id="1520" w:name="OLE_LINK134"/>
      <w:r>
        <w:rPr>
          <w:rFonts w:hint="eastAsia" w:ascii="宋体" w:hAnsi="宋体"/>
          <w:color w:val="auto"/>
          <w:szCs w:val="21"/>
          <w:highlight w:val="none"/>
        </w:rPr>
        <w:t>①被列入“信用中国”网站“失信被执行人”的;②被列入“信用中国”网站“重大税收违法失信主体”的；③被列入“信用中国”网站“拖欠农民工工资失信联合惩戒对象名单”的；④被列入“信用中国”网站“严重失信主体名单”的；⑤在“信用中国”网站上披露的仍在公示期的严重失信行为(具体行为类别及判定依据见附件2)的。⑥被列入国家企业信用信息公示系统网站“经营异常名录”或者“严重违法失信名单”的。⑦前三年有行贿犯罪行为的单位和个人；⑧被滁州市县两级公管部门及各行业主管部门取消在一定期限内的投标资格且在取消期限内的；⑨因拖欠农民工工资被县级及以上有关行政主管部门限制投标资格且在限制期限内的；⑩被列入省级、市级农民工工资支付异常名录的施工企业，在限制其参加全市范围内房建和市政工程建设项目投标的期限内的；列入县级异常名录的施工企业，在限制其参加本行政区域内房建和市政建设项目投标的期限内的。</w:t>
      </w:r>
      <w:r>
        <w:rPr>
          <w:rFonts w:hint="eastAsia"/>
          <w:color w:val="auto"/>
          <w:szCs w:val="21"/>
          <w:highlight w:val="none"/>
        </w:rPr>
        <w:t>（</w:t>
      </w:r>
      <w:bookmarkEnd w:id="1519"/>
      <w:bookmarkEnd w:id="1520"/>
      <w:r>
        <w:rPr>
          <w:rFonts w:hint="eastAsia"/>
          <w:color w:val="auto"/>
          <w:szCs w:val="21"/>
          <w:highlight w:val="none"/>
        </w:rPr>
        <w:t>若招标文件对投标人所属分公司、办事处等分支机构有上述</w:t>
      </w:r>
      <w:r>
        <w:rPr>
          <w:color w:val="auto"/>
          <w:szCs w:val="21"/>
          <w:highlight w:val="none"/>
        </w:rPr>
        <w:t>1-10</w:t>
      </w:r>
      <w:r>
        <w:rPr>
          <w:rFonts w:hint="eastAsia"/>
          <w:color w:val="auto"/>
          <w:szCs w:val="21"/>
          <w:highlight w:val="none"/>
        </w:rPr>
        <w:t>项信誉要求，在此一并承诺我公司所属分公司、办事处等分支机构没有上述</w:t>
      </w:r>
      <w:r>
        <w:rPr>
          <w:color w:val="auto"/>
          <w:szCs w:val="21"/>
          <w:highlight w:val="none"/>
        </w:rPr>
        <w:t>1-10</w:t>
      </w:r>
      <w:r>
        <w:rPr>
          <w:rFonts w:hint="eastAsia"/>
          <w:color w:val="auto"/>
          <w:szCs w:val="21"/>
          <w:highlight w:val="none"/>
        </w:rPr>
        <w:t>项情形）</w:t>
      </w:r>
    </w:p>
    <w:p w14:paraId="088F34DB">
      <w:pPr>
        <w:adjustRightInd w:val="0"/>
        <w:snapToGrid w:val="0"/>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七、严格遵守开标现场纪律，服从监管人员管理；</w:t>
      </w:r>
    </w:p>
    <w:p w14:paraId="2E96E6F8">
      <w:pPr>
        <w:adjustRightInd w:val="0"/>
        <w:snapToGrid w:val="0"/>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八、保证中标后不转包及使用挂靠施工队伍，若有分包征得建设单位同意；</w:t>
      </w:r>
    </w:p>
    <w:p w14:paraId="6F9FA769">
      <w:pPr>
        <w:adjustRightInd w:val="0"/>
        <w:snapToGrid w:val="0"/>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九、保证中标之后，按照投标文件承诺派驻管理人员及投入机械设备，如有违反，同意接受建设单位违约处罚；</w:t>
      </w:r>
    </w:p>
    <w:p w14:paraId="19EEEFCB">
      <w:pPr>
        <w:adjustRightInd w:val="0"/>
        <w:snapToGrid w:val="0"/>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十、保证企业及所属相关人员在本次投标中无行贿等犯罪行为；</w:t>
      </w:r>
    </w:p>
    <w:p w14:paraId="44ED9871">
      <w:pPr>
        <w:adjustRightInd w:val="0"/>
        <w:snapToGrid w:val="0"/>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十一、如我公司中标，保证中标的项目经理（建造师）无其他尚未完工（以竣工、交工、完工验收报告等手续为准）项目或在已中标项目（以发放中标通知书为准）中担任项目经理（建造师）情形。如有，项目在滁州市区域内的，接受中标无效、记入不良行为记录等处理；项目在滁州市区域外的，保证在中标候选人公示期第一日起开始计算7日内，提供经行政主管部门备案的变更证明材料，否则接受中标无效、记入不良行为记录等处理；</w:t>
      </w:r>
    </w:p>
    <w:p w14:paraId="7AC306B1">
      <w:pPr>
        <w:adjustRightInd w:val="0"/>
        <w:snapToGrid w:val="0"/>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十二、如在投标过程和公示期间发生投诉行为，依法进行投诉。投诉内容符合要求，投诉材料加盖企业公章或由法定代表人授权委托人签字，并附有关身份证明复印件。不恶意投诉，对本公司提供的投诉线索的真实性负责，否则愿接受有关部门的处罚；</w:t>
      </w:r>
    </w:p>
    <w:p w14:paraId="7A1783B0">
      <w:pPr>
        <w:adjustRightInd w:val="0"/>
        <w:snapToGrid w:val="0"/>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十三、如我公司中标，按照国务院《关于全面治理拖欠农民工工资问题的意见》（国办发[2016]1号）及国家住建部和人社部关于《建筑工人实名制管理办法》（建市[2019]18号）的规定，总承包单位对所承建的工程项目的建筑工人实名制管理负总责，对建筑工人实行实名制管理；实行人工费用与其他工程款分账管理制度；建筑工程承包单位必须开设农民工工资专户；建设单位在支付工程款时，应将人工费部分按规定汇入建筑工程承包单位的农民工工资专户，由建筑工程承包单位按劳动合同约定，通过农民工工资专户按月足额将工资发放给建筑工人；</w:t>
      </w:r>
    </w:p>
    <w:p w14:paraId="50FFB663">
      <w:pPr>
        <w:adjustRightInd w:val="0"/>
        <w:snapToGrid w:val="0"/>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十四、我公司拟任项目经理（建造师）不是投标截止时间前六个月内在滁州市区域内办理过项目经理（建造师）变更备案手续的原项目经理（建造师）。</w:t>
      </w:r>
    </w:p>
    <w:p w14:paraId="40E84CB2">
      <w:pPr>
        <w:adjustRightInd w:val="0"/>
        <w:snapToGrid w:val="0"/>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 以上内容我已仔细阅读，本公司若有违反承诺内容的行为，自愿接受取消投标或者中标资格、中标无效、记入不良行为记录等有关处理，愿意承担法律责任，给招标人造成损失的，承担赔偿责任。</w:t>
      </w:r>
    </w:p>
    <w:p w14:paraId="5ED6FDCE">
      <w:pPr>
        <w:adjustRightInd w:val="0"/>
        <w:snapToGrid w:val="0"/>
        <w:spacing w:line="560" w:lineRule="exact"/>
        <w:rPr>
          <w:rFonts w:hint="eastAsia" w:ascii="宋体" w:hAnsi="宋体"/>
          <w:color w:val="auto"/>
          <w:szCs w:val="21"/>
          <w:highlight w:val="none"/>
        </w:rPr>
      </w:pPr>
    </w:p>
    <w:p w14:paraId="1D1BD0F4">
      <w:pPr>
        <w:adjustRightInd w:val="0"/>
        <w:snapToGrid w:val="0"/>
        <w:spacing w:line="560" w:lineRule="exact"/>
        <w:ind w:firstLine="420" w:firstLineChars="200"/>
        <w:rPr>
          <w:rFonts w:hint="eastAsia" w:ascii="宋体" w:hAnsi="宋体"/>
          <w:color w:val="auto"/>
          <w:szCs w:val="21"/>
          <w:highlight w:val="none"/>
          <w:u w:val="single"/>
        </w:rPr>
      </w:pPr>
      <w:r>
        <w:rPr>
          <w:rFonts w:hint="eastAsia" w:ascii="宋体" w:hAnsi="宋体"/>
          <w:color w:val="auto"/>
          <w:szCs w:val="21"/>
          <w:highlight w:val="none"/>
        </w:rPr>
        <w:t>开户银行：</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基本账户：                             </w:t>
      </w:r>
    </w:p>
    <w:p w14:paraId="343F4CC0">
      <w:pPr>
        <w:adjustRightInd w:val="0"/>
        <w:snapToGrid w:val="0"/>
        <w:spacing w:line="560" w:lineRule="exact"/>
        <w:rPr>
          <w:rFonts w:ascii="宋体" w:hAnsi="宋体"/>
          <w:color w:val="auto"/>
          <w:szCs w:val="21"/>
          <w:highlight w:val="none"/>
        </w:rPr>
      </w:pPr>
    </w:p>
    <w:p w14:paraId="30AD6696">
      <w:pPr>
        <w:adjustRightInd w:val="0"/>
        <w:snapToGrid w:val="0"/>
        <w:spacing w:line="560" w:lineRule="exact"/>
        <w:ind w:firstLine="420" w:firstLineChars="200"/>
        <w:rPr>
          <w:rFonts w:hint="eastAsia" w:ascii="宋体" w:hAnsi="宋体"/>
          <w:color w:val="auto"/>
          <w:szCs w:val="21"/>
          <w:highlight w:val="none"/>
          <w:u w:val="single"/>
        </w:rPr>
      </w:pPr>
      <w:r>
        <w:rPr>
          <w:rFonts w:hint="eastAsia" w:ascii="宋体" w:hAnsi="宋体"/>
          <w:color w:val="auto"/>
          <w:szCs w:val="21"/>
          <w:highlight w:val="none"/>
        </w:rPr>
        <w:t xml:space="preserve">投标人（签章）：  </w:t>
      </w:r>
      <w:r>
        <w:rPr>
          <w:rFonts w:hint="eastAsia" w:ascii="宋体" w:hAnsi="宋体"/>
          <w:color w:val="auto"/>
          <w:szCs w:val="21"/>
          <w:highlight w:val="none"/>
          <w:u w:val="single"/>
        </w:rPr>
        <w:t xml:space="preserve">        </w:t>
      </w:r>
      <w:r>
        <w:rPr>
          <w:rFonts w:hint="eastAsia" w:ascii="宋体" w:hAnsi="宋体"/>
          <w:color w:val="auto"/>
          <w:szCs w:val="21"/>
          <w:highlight w:val="none"/>
        </w:rPr>
        <w:t>法定代表人（签章）：</w:t>
      </w:r>
      <w:r>
        <w:rPr>
          <w:rFonts w:hint="eastAsia" w:ascii="宋体" w:hAnsi="宋体"/>
          <w:color w:val="auto"/>
          <w:szCs w:val="21"/>
          <w:highlight w:val="none"/>
          <w:u w:val="single"/>
        </w:rPr>
        <w:t xml:space="preserve">                           </w:t>
      </w:r>
    </w:p>
    <w:p w14:paraId="4F100883">
      <w:pPr>
        <w:adjustRightInd w:val="0"/>
        <w:snapToGrid w:val="0"/>
        <w:spacing w:line="560" w:lineRule="exact"/>
        <w:rPr>
          <w:rFonts w:hint="eastAsia" w:ascii="宋体" w:hAnsi="宋体"/>
          <w:color w:val="auto"/>
          <w:szCs w:val="21"/>
          <w:highlight w:val="none"/>
        </w:rPr>
      </w:pPr>
    </w:p>
    <w:p w14:paraId="7FBB0DDC">
      <w:pPr>
        <w:pStyle w:val="19"/>
        <w:rPr>
          <w:rFonts w:hint="eastAsia"/>
          <w:color w:val="auto"/>
          <w:highlight w:val="none"/>
        </w:rPr>
      </w:pPr>
      <w:r>
        <w:rPr>
          <w:rFonts w:hint="eastAsia" w:ascii="宋体" w:hAnsi="宋体"/>
          <w:color w:val="auto"/>
          <w:szCs w:val="21"/>
          <w:highlight w:val="none"/>
        </w:rPr>
        <w:t>日期：</w:t>
      </w:r>
      <w:r>
        <w:rPr>
          <w:rFonts w:ascii="宋体" w:hAnsi="宋体"/>
          <w:color w:val="auto"/>
          <w:szCs w:val="21"/>
          <w:highlight w:val="none"/>
          <w:u w:val="single"/>
        </w:rPr>
        <w:t xml:space="preserve">           </w:t>
      </w:r>
      <w:r>
        <w:rPr>
          <w:rFonts w:hint="eastAsia" w:ascii="宋体" w:hAnsi="宋体"/>
          <w:color w:val="auto"/>
          <w:szCs w:val="21"/>
          <w:highlight w:val="none"/>
        </w:rPr>
        <w:t>年</w:t>
      </w:r>
      <w:r>
        <w:rPr>
          <w:rFonts w:ascii="宋体" w:hAnsi="宋体"/>
          <w:color w:val="auto"/>
          <w:szCs w:val="21"/>
          <w:highlight w:val="none"/>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月</w:t>
      </w:r>
      <w:r>
        <w:rPr>
          <w:rFonts w:ascii="宋体" w:hAnsi="宋体"/>
          <w:color w:val="auto"/>
          <w:szCs w:val="21"/>
          <w:highlight w:val="none"/>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日</w:t>
      </w:r>
    </w:p>
    <w:p w14:paraId="4C016C07">
      <w:pPr>
        <w:adjustRightInd w:val="0"/>
        <w:snapToGrid w:val="0"/>
        <w:spacing w:line="560" w:lineRule="exact"/>
        <w:jc w:val="both"/>
        <w:rPr>
          <w:rFonts w:hint="eastAsia"/>
          <w:b/>
          <w:color w:val="auto"/>
          <w:sz w:val="28"/>
          <w:szCs w:val="28"/>
          <w:highlight w:val="none"/>
        </w:rPr>
      </w:pPr>
    </w:p>
    <w:p w14:paraId="57235DDA">
      <w:pPr>
        <w:rPr>
          <w:rFonts w:hint="eastAsia"/>
          <w:color w:val="auto"/>
          <w:highlight w:val="none"/>
        </w:rPr>
      </w:pPr>
    </w:p>
    <w:p w14:paraId="686F5732">
      <w:pPr>
        <w:adjustRightInd w:val="0"/>
        <w:snapToGrid w:val="0"/>
        <w:spacing w:line="560" w:lineRule="exact"/>
        <w:jc w:val="center"/>
        <w:rPr>
          <w:rFonts w:hint="eastAsia"/>
          <w:b/>
          <w:color w:val="auto"/>
          <w:sz w:val="28"/>
          <w:szCs w:val="28"/>
          <w:highlight w:val="none"/>
        </w:rPr>
      </w:pPr>
      <w:r>
        <w:rPr>
          <w:rFonts w:hint="eastAsia"/>
          <w:b/>
          <w:color w:val="auto"/>
          <w:sz w:val="28"/>
          <w:szCs w:val="28"/>
          <w:highlight w:val="none"/>
        </w:rPr>
        <w:t>②公共信用信息报告（无违法违规证明版或核查版））</w:t>
      </w:r>
    </w:p>
    <w:p w14:paraId="5BA1E511">
      <w:pPr>
        <w:pStyle w:val="19"/>
        <w:spacing w:after="0" w:line="560" w:lineRule="exact"/>
        <w:ind w:left="0" w:leftChars="0"/>
        <w:rPr>
          <w:rFonts w:hint="eastAsia" w:ascii="宋体" w:hAnsi="宋体"/>
          <w:color w:val="auto"/>
          <w:szCs w:val="21"/>
          <w:highlight w:val="none"/>
        </w:rPr>
      </w:pPr>
      <w:r>
        <w:rPr>
          <w:rFonts w:hint="eastAsia" w:ascii="宋体" w:hAnsi="宋体"/>
          <w:color w:val="auto"/>
          <w:szCs w:val="21"/>
          <w:highlight w:val="none"/>
        </w:rPr>
        <w:t>符合条件的投标人可在信用中国（安徽）网站（网址</w:t>
      </w:r>
      <w:r>
        <w:rPr>
          <w:rFonts w:ascii="宋体" w:hAnsi="宋体"/>
          <w:color w:val="auto"/>
          <w:szCs w:val="21"/>
          <w:highlight w:val="none"/>
        </w:rPr>
        <w:fldChar w:fldCharType="begin"/>
      </w:r>
      <w:r>
        <w:rPr>
          <w:rFonts w:ascii="宋体" w:hAnsi="宋体"/>
          <w:color w:val="auto"/>
          <w:szCs w:val="21"/>
          <w:highlight w:val="none"/>
        </w:rPr>
        <w:instrText xml:space="preserve"> HYPERLINK "https://credit.ah.gov.cn/xinyongfuwu/index.html" </w:instrText>
      </w:r>
      <w:r>
        <w:rPr>
          <w:rFonts w:ascii="宋体" w:hAnsi="宋体"/>
          <w:color w:val="auto"/>
          <w:szCs w:val="21"/>
          <w:highlight w:val="none"/>
        </w:rPr>
        <w:fldChar w:fldCharType="separate"/>
      </w:r>
      <w:r>
        <w:rPr>
          <w:rStyle w:val="30"/>
          <w:rFonts w:ascii="宋体" w:hAnsi="宋体"/>
          <w:color w:val="auto"/>
          <w:szCs w:val="21"/>
          <w:highlight w:val="none"/>
        </w:rPr>
        <w:t>https://credit.ah.gov.cn/xinyongfuwu/index.html</w:t>
      </w:r>
      <w:r>
        <w:rPr>
          <w:rFonts w:ascii="宋体" w:hAnsi="宋体"/>
          <w:color w:val="auto"/>
          <w:szCs w:val="21"/>
          <w:highlight w:val="none"/>
        </w:rPr>
        <w:fldChar w:fldCharType="end"/>
      </w:r>
      <w:r>
        <w:rPr>
          <w:rFonts w:hint="eastAsia" w:ascii="宋体" w:hAnsi="宋体"/>
          <w:color w:val="auto"/>
          <w:szCs w:val="21"/>
          <w:highlight w:val="none"/>
        </w:rPr>
        <w:t>），获取信用报告（无违法违规证明版或核查版）并上传至投标文件中。</w:t>
      </w:r>
    </w:p>
    <w:p w14:paraId="1F6CB6E3">
      <w:pPr>
        <w:adjustRightInd w:val="0"/>
        <w:snapToGrid w:val="0"/>
        <w:spacing w:line="560" w:lineRule="exact"/>
        <w:jc w:val="both"/>
        <w:rPr>
          <w:rFonts w:ascii="Cambria Math" w:hAnsi="Cambria Math" w:cs="Cambria Math"/>
          <w:b/>
          <w:bCs/>
          <w:color w:val="auto"/>
          <w:sz w:val="32"/>
          <w:szCs w:val="32"/>
          <w:highlight w:val="none"/>
        </w:rPr>
        <w:sectPr>
          <w:pgSz w:w="11910" w:h="16840"/>
          <w:pgMar w:top="1060" w:right="660" w:bottom="1020" w:left="1120" w:header="0" w:footer="833" w:gutter="0"/>
          <w:pgNumType w:fmt="numberInDash"/>
          <w:cols w:space="720" w:num="1"/>
        </w:sectPr>
      </w:pPr>
    </w:p>
    <w:p w14:paraId="67271104">
      <w:pPr>
        <w:adjustRightInd w:val="0"/>
        <w:snapToGrid w:val="0"/>
        <w:spacing w:line="560" w:lineRule="exact"/>
        <w:jc w:val="center"/>
        <w:rPr>
          <w:rFonts w:hint="eastAsia" w:ascii="Cambria Math" w:hAnsi="Cambria Math" w:cs="Cambria Math"/>
          <w:b/>
          <w:bCs/>
          <w:color w:val="auto"/>
          <w:sz w:val="32"/>
          <w:szCs w:val="32"/>
          <w:highlight w:val="none"/>
        </w:rPr>
      </w:pPr>
    </w:p>
    <w:p w14:paraId="18E1EE1C">
      <w:pPr>
        <w:adjustRightInd w:val="0"/>
        <w:snapToGrid w:val="0"/>
        <w:spacing w:line="560" w:lineRule="exact"/>
        <w:jc w:val="center"/>
        <w:rPr>
          <w:rFonts w:hint="eastAsia" w:ascii="Cambria Math" w:hAnsi="Cambria Math" w:cs="Cambria Math"/>
          <w:b/>
          <w:bCs/>
          <w:color w:val="auto"/>
          <w:sz w:val="32"/>
          <w:szCs w:val="32"/>
          <w:highlight w:val="none"/>
        </w:rPr>
      </w:pPr>
    </w:p>
    <w:p w14:paraId="7C9470F7">
      <w:pPr>
        <w:adjustRightInd w:val="0"/>
        <w:snapToGrid w:val="0"/>
        <w:spacing w:line="560" w:lineRule="exact"/>
        <w:jc w:val="center"/>
        <w:rPr>
          <w:rFonts w:hint="eastAsia" w:ascii="Cambria Math" w:hAnsi="Cambria Math" w:cs="Cambria Math"/>
          <w:b/>
          <w:bCs/>
          <w:color w:val="auto"/>
          <w:sz w:val="32"/>
          <w:szCs w:val="32"/>
          <w:highlight w:val="none"/>
        </w:rPr>
      </w:pPr>
    </w:p>
    <w:p w14:paraId="55FDE813">
      <w:pPr>
        <w:adjustRightInd w:val="0"/>
        <w:snapToGrid w:val="0"/>
        <w:spacing w:line="560" w:lineRule="exact"/>
        <w:jc w:val="center"/>
        <w:rPr>
          <w:rFonts w:hint="eastAsia" w:eastAsia="黑体"/>
          <w:color w:val="auto"/>
          <w:sz w:val="20"/>
          <w:szCs w:val="20"/>
          <w:highlight w:val="none"/>
        </w:rPr>
      </w:pPr>
      <w:r>
        <w:rPr>
          <w:rFonts w:hint="eastAsia" w:eastAsia="黑体"/>
          <w:color w:val="auto"/>
          <w:sz w:val="28"/>
          <w:szCs w:val="28"/>
          <w:highlight w:val="none"/>
          <w:u w:val="single"/>
        </w:rPr>
        <w:t xml:space="preserve">                </w:t>
      </w:r>
      <w:r>
        <w:rPr>
          <w:rFonts w:eastAsia="黑体"/>
          <w:color w:val="auto"/>
          <w:sz w:val="28"/>
          <w:szCs w:val="28"/>
          <w:highlight w:val="none"/>
        </w:rPr>
        <w:t>（项目名称）</w:t>
      </w:r>
    </w:p>
    <w:p w14:paraId="6DBAC5BA">
      <w:pPr>
        <w:adjustRightInd w:val="0"/>
        <w:snapToGrid w:val="0"/>
        <w:spacing w:line="560" w:lineRule="exact"/>
        <w:jc w:val="center"/>
        <w:rPr>
          <w:rFonts w:hint="eastAsia" w:eastAsia="黑体"/>
          <w:color w:val="auto"/>
          <w:sz w:val="20"/>
          <w:szCs w:val="20"/>
          <w:highlight w:val="none"/>
        </w:rPr>
      </w:pPr>
    </w:p>
    <w:p w14:paraId="79526844">
      <w:pPr>
        <w:adjustRightInd w:val="0"/>
        <w:snapToGrid w:val="0"/>
        <w:spacing w:line="560" w:lineRule="exact"/>
        <w:rPr>
          <w:rFonts w:hint="eastAsia" w:eastAsia="黑体"/>
          <w:color w:val="auto"/>
          <w:sz w:val="20"/>
          <w:szCs w:val="20"/>
          <w:highlight w:val="none"/>
        </w:rPr>
      </w:pPr>
    </w:p>
    <w:p w14:paraId="363A8929">
      <w:pPr>
        <w:adjustRightInd w:val="0"/>
        <w:snapToGrid w:val="0"/>
        <w:spacing w:line="560" w:lineRule="exact"/>
        <w:jc w:val="center"/>
        <w:rPr>
          <w:rFonts w:hint="eastAsia" w:eastAsia="黑体"/>
          <w:color w:val="auto"/>
          <w:sz w:val="44"/>
          <w:szCs w:val="44"/>
          <w:highlight w:val="none"/>
        </w:rPr>
      </w:pPr>
      <w:r>
        <w:rPr>
          <w:rFonts w:eastAsia="黑体"/>
          <w:color w:val="auto"/>
          <w:sz w:val="44"/>
          <w:szCs w:val="44"/>
          <w:highlight w:val="none"/>
        </w:rPr>
        <w:t>投  标  文  件</w:t>
      </w:r>
      <w:r>
        <w:rPr>
          <w:rFonts w:hint="eastAsia" w:eastAsia="黑体"/>
          <w:color w:val="auto"/>
          <w:sz w:val="44"/>
          <w:szCs w:val="44"/>
          <w:highlight w:val="none"/>
        </w:rPr>
        <w:t xml:space="preserve">  二</w:t>
      </w:r>
    </w:p>
    <w:p w14:paraId="62BB701E">
      <w:pPr>
        <w:adjustRightInd w:val="0"/>
        <w:snapToGrid w:val="0"/>
        <w:spacing w:line="560" w:lineRule="exact"/>
        <w:jc w:val="center"/>
        <w:rPr>
          <w:rFonts w:hint="eastAsia" w:eastAsia="黑体"/>
          <w:color w:val="auto"/>
          <w:sz w:val="44"/>
          <w:szCs w:val="44"/>
          <w:highlight w:val="none"/>
        </w:rPr>
      </w:pPr>
      <w:r>
        <w:rPr>
          <w:rFonts w:hint="eastAsia" w:eastAsia="黑体"/>
          <w:color w:val="auto"/>
          <w:sz w:val="44"/>
          <w:szCs w:val="44"/>
          <w:highlight w:val="none"/>
        </w:rPr>
        <w:t>（技术标文件）</w:t>
      </w:r>
    </w:p>
    <w:p w14:paraId="5D8620DE">
      <w:pPr>
        <w:adjustRightInd w:val="0"/>
        <w:snapToGrid w:val="0"/>
        <w:spacing w:line="560" w:lineRule="exact"/>
        <w:rPr>
          <w:rFonts w:eastAsia="黑体"/>
          <w:color w:val="auto"/>
          <w:sz w:val="28"/>
          <w:szCs w:val="28"/>
          <w:highlight w:val="none"/>
        </w:rPr>
      </w:pPr>
    </w:p>
    <w:p w14:paraId="5432149E">
      <w:pPr>
        <w:adjustRightInd w:val="0"/>
        <w:snapToGrid w:val="0"/>
        <w:spacing w:line="560" w:lineRule="exact"/>
        <w:rPr>
          <w:rFonts w:eastAsia="黑体"/>
          <w:color w:val="auto"/>
          <w:sz w:val="28"/>
          <w:szCs w:val="28"/>
          <w:highlight w:val="none"/>
        </w:rPr>
      </w:pPr>
    </w:p>
    <w:p w14:paraId="36BBC2E3">
      <w:pPr>
        <w:adjustRightInd w:val="0"/>
        <w:snapToGrid w:val="0"/>
        <w:spacing w:line="560" w:lineRule="exact"/>
        <w:rPr>
          <w:rFonts w:eastAsia="黑体"/>
          <w:color w:val="auto"/>
          <w:sz w:val="28"/>
          <w:szCs w:val="28"/>
          <w:highlight w:val="none"/>
        </w:rPr>
      </w:pPr>
    </w:p>
    <w:p w14:paraId="4A38F230">
      <w:pPr>
        <w:adjustRightInd w:val="0"/>
        <w:snapToGrid w:val="0"/>
        <w:spacing w:line="560" w:lineRule="exact"/>
        <w:rPr>
          <w:rFonts w:eastAsia="黑体"/>
          <w:color w:val="auto"/>
          <w:sz w:val="28"/>
          <w:szCs w:val="28"/>
          <w:highlight w:val="none"/>
        </w:rPr>
      </w:pPr>
    </w:p>
    <w:p w14:paraId="318CBDE2">
      <w:pPr>
        <w:adjustRightInd w:val="0"/>
        <w:snapToGrid w:val="0"/>
        <w:spacing w:line="560" w:lineRule="exact"/>
        <w:rPr>
          <w:rFonts w:hint="eastAsia" w:eastAsia="黑体"/>
          <w:color w:val="auto"/>
          <w:sz w:val="28"/>
          <w:szCs w:val="28"/>
          <w:highlight w:val="none"/>
        </w:rPr>
      </w:pPr>
    </w:p>
    <w:p w14:paraId="62ABFD72">
      <w:pPr>
        <w:pStyle w:val="19"/>
        <w:rPr>
          <w:rFonts w:hint="eastAsia"/>
          <w:color w:val="auto"/>
          <w:highlight w:val="none"/>
        </w:rPr>
      </w:pPr>
    </w:p>
    <w:p w14:paraId="38140284">
      <w:pPr>
        <w:rPr>
          <w:color w:val="auto"/>
          <w:highlight w:val="none"/>
        </w:rPr>
      </w:pPr>
    </w:p>
    <w:p w14:paraId="4EF0A7E9">
      <w:pPr>
        <w:adjustRightInd w:val="0"/>
        <w:snapToGrid w:val="0"/>
        <w:spacing w:line="560" w:lineRule="exact"/>
        <w:rPr>
          <w:rFonts w:eastAsia="黑体"/>
          <w:color w:val="auto"/>
          <w:sz w:val="28"/>
          <w:szCs w:val="28"/>
          <w:highlight w:val="none"/>
        </w:rPr>
      </w:pPr>
    </w:p>
    <w:p w14:paraId="2F25B922">
      <w:pPr>
        <w:pStyle w:val="19"/>
        <w:adjustRightInd w:val="0"/>
        <w:snapToGrid w:val="0"/>
        <w:spacing w:after="0" w:line="560" w:lineRule="exact"/>
        <w:ind w:left="0" w:leftChars="0" w:firstLine="0" w:firstLineChars="0"/>
        <w:rPr>
          <w:color w:val="auto"/>
          <w:highlight w:val="none"/>
        </w:rPr>
      </w:pPr>
    </w:p>
    <w:p w14:paraId="44E32B0B">
      <w:pPr>
        <w:adjustRightInd w:val="0"/>
        <w:snapToGrid w:val="0"/>
        <w:spacing w:line="560" w:lineRule="exact"/>
        <w:rPr>
          <w:rFonts w:hint="eastAsia" w:eastAsia="黑体"/>
          <w:color w:val="auto"/>
          <w:sz w:val="28"/>
          <w:szCs w:val="28"/>
          <w:highlight w:val="none"/>
        </w:rPr>
      </w:pPr>
    </w:p>
    <w:p w14:paraId="51DDB7F6">
      <w:pPr>
        <w:pStyle w:val="19"/>
        <w:rPr>
          <w:rFonts w:hint="eastAsia"/>
          <w:color w:val="auto"/>
          <w:highlight w:val="none"/>
        </w:rPr>
      </w:pPr>
    </w:p>
    <w:p w14:paraId="0ED085D7">
      <w:pPr>
        <w:rPr>
          <w:rFonts w:hint="eastAsia"/>
          <w:color w:val="auto"/>
          <w:highlight w:val="none"/>
        </w:rPr>
      </w:pPr>
    </w:p>
    <w:p w14:paraId="04D9CA83">
      <w:pPr>
        <w:pStyle w:val="19"/>
        <w:rPr>
          <w:rFonts w:hint="eastAsia"/>
          <w:color w:val="auto"/>
          <w:highlight w:val="none"/>
        </w:rPr>
      </w:pPr>
    </w:p>
    <w:p w14:paraId="766C3FDE">
      <w:pPr>
        <w:rPr>
          <w:rFonts w:hint="eastAsia"/>
          <w:color w:val="auto"/>
          <w:highlight w:val="none"/>
        </w:rPr>
      </w:pPr>
    </w:p>
    <w:p w14:paraId="399A46C9">
      <w:pPr>
        <w:pStyle w:val="19"/>
        <w:rPr>
          <w:rFonts w:hint="eastAsia"/>
          <w:color w:val="auto"/>
          <w:highlight w:val="none"/>
        </w:rPr>
      </w:pPr>
    </w:p>
    <w:p w14:paraId="6BA2696D">
      <w:pPr>
        <w:rPr>
          <w:rFonts w:hint="eastAsia"/>
          <w:color w:val="auto"/>
          <w:highlight w:val="none"/>
        </w:rPr>
      </w:pPr>
    </w:p>
    <w:p w14:paraId="1030A180">
      <w:pPr>
        <w:pStyle w:val="19"/>
        <w:rPr>
          <w:rFonts w:hint="eastAsia"/>
          <w:color w:val="auto"/>
          <w:highlight w:val="none"/>
        </w:rPr>
      </w:pPr>
    </w:p>
    <w:p w14:paraId="24A8AAA6">
      <w:pPr>
        <w:rPr>
          <w:color w:val="auto"/>
          <w:highlight w:val="none"/>
        </w:rPr>
      </w:pPr>
    </w:p>
    <w:p w14:paraId="464D97AC">
      <w:pPr>
        <w:adjustRightInd w:val="0"/>
        <w:snapToGrid w:val="0"/>
        <w:spacing w:line="560" w:lineRule="exact"/>
        <w:rPr>
          <w:rFonts w:eastAsia="黑体"/>
          <w:color w:val="auto"/>
          <w:sz w:val="28"/>
          <w:szCs w:val="28"/>
          <w:highlight w:val="none"/>
        </w:rPr>
      </w:pPr>
    </w:p>
    <w:p w14:paraId="0417B873">
      <w:pPr>
        <w:adjustRightInd w:val="0"/>
        <w:snapToGrid w:val="0"/>
        <w:spacing w:line="560" w:lineRule="exact"/>
        <w:jc w:val="center"/>
        <w:rPr>
          <w:rFonts w:hint="eastAsia"/>
          <w:color w:val="auto"/>
          <w:highlight w:val="none"/>
        </w:rPr>
      </w:pPr>
      <w:r>
        <w:rPr>
          <w:rFonts w:eastAsia="黑体"/>
          <w:color w:val="auto"/>
          <w:sz w:val="28"/>
          <w:szCs w:val="28"/>
          <w:highlight w:val="none"/>
          <w:u w:val="single"/>
        </w:rPr>
        <w:t xml:space="preserve">        </w:t>
      </w:r>
      <w:r>
        <w:rPr>
          <w:rFonts w:eastAsia="黑体"/>
          <w:color w:val="auto"/>
          <w:sz w:val="28"/>
          <w:szCs w:val="28"/>
          <w:highlight w:val="none"/>
        </w:rPr>
        <w:t>年</w:t>
      </w:r>
      <w:r>
        <w:rPr>
          <w:rFonts w:eastAsia="黑体"/>
          <w:color w:val="auto"/>
          <w:sz w:val="28"/>
          <w:szCs w:val="28"/>
          <w:highlight w:val="none"/>
          <w:u w:val="single"/>
        </w:rPr>
        <w:t xml:space="preserve">        </w:t>
      </w:r>
      <w:r>
        <w:rPr>
          <w:rFonts w:eastAsia="黑体"/>
          <w:color w:val="auto"/>
          <w:sz w:val="28"/>
          <w:szCs w:val="28"/>
          <w:highlight w:val="none"/>
        </w:rPr>
        <w:t>月</w:t>
      </w:r>
      <w:r>
        <w:rPr>
          <w:rFonts w:eastAsia="黑体"/>
          <w:color w:val="auto"/>
          <w:sz w:val="28"/>
          <w:szCs w:val="28"/>
          <w:highlight w:val="none"/>
          <w:u w:val="single"/>
        </w:rPr>
        <w:t xml:space="preserve">        </w:t>
      </w:r>
      <w:r>
        <w:rPr>
          <w:rFonts w:eastAsia="黑体"/>
          <w:color w:val="auto"/>
          <w:sz w:val="28"/>
          <w:szCs w:val="28"/>
          <w:highlight w:val="none"/>
        </w:rPr>
        <w:t>日</w:t>
      </w:r>
    </w:p>
    <w:p w14:paraId="13D3BD0E">
      <w:pPr>
        <w:pStyle w:val="19"/>
        <w:spacing w:after="0"/>
        <w:ind w:left="0" w:leftChars="0" w:firstLine="0" w:firstLineChars="0"/>
        <w:jc w:val="left"/>
        <w:rPr>
          <w:rFonts w:hint="eastAsia"/>
          <w:color w:val="auto"/>
          <w:sz w:val="24"/>
          <w:highlight w:val="none"/>
        </w:rPr>
      </w:pPr>
      <w:r>
        <w:rPr>
          <w:rFonts w:hint="eastAsia" w:ascii="仿宋_GB2312" w:eastAsia="仿宋_GB2312"/>
          <w:color w:val="auto"/>
          <w:sz w:val="24"/>
          <w:highlight w:val="none"/>
        </w:rPr>
        <w:t>注：暗标评审的技术标封面不设置投标人、法定代表人签章内容。</w:t>
      </w:r>
    </w:p>
    <w:p w14:paraId="3431A139">
      <w:pPr>
        <w:pStyle w:val="3"/>
        <w:rPr>
          <w:rFonts w:hint="eastAsia"/>
          <w:color w:val="auto"/>
          <w:highlight w:val="none"/>
        </w:rPr>
      </w:pPr>
      <w:bookmarkStart w:id="1521" w:name="_Toc95223539"/>
      <w:r>
        <w:rPr>
          <w:rFonts w:hint="eastAsia"/>
          <w:color w:val="auto"/>
          <w:highlight w:val="none"/>
        </w:rPr>
        <w:t>投标文件二：技术标目录</w:t>
      </w:r>
      <w:bookmarkEnd w:id="1521"/>
    </w:p>
    <w:p w14:paraId="446A75E4">
      <w:pPr>
        <w:numPr>
          <w:ilvl w:val="0"/>
          <w:numId w:val="3"/>
        </w:numPr>
        <w:adjustRightInd w:val="0"/>
        <w:snapToGrid w:val="0"/>
        <w:spacing w:line="560" w:lineRule="exact"/>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rPr>
        <w:t>施工组织设计</w:t>
      </w:r>
      <w:r>
        <w:rPr>
          <w:rFonts w:hint="eastAsia" w:ascii="宋体" w:hAnsi="宋体" w:cs="宋体"/>
          <w:b/>
          <w:color w:val="auto"/>
          <w:szCs w:val="21"/>
          <w:highlight w:val="none"/>
        </w:rPr>
        <w:t>（根据评分细则评审内容共有10项内容，系统中分别设置为施工组织设计1、2、3.....10）</w:t>
      </w:r>
      <w:r>
        <w:rPr>
          <w:rFonts w:hint="eastAsia" w:ascii="宋体" w:hAnsi="宋体"/>
          <w:color w:val="auto"/>
          <w:szCs w:val="21"/>
          <w:highlight w:val="none"/>
          <w:lang w:val="en-US" w:eastAsia="zh-CN"/>
        </w:rPr>
        <w:t xml:space="preserve">     </w:t>
      </w:r>
    </w:p>
    <w:p w14:paraId="6D985142">
      <w:pPr>
        <w:numPr>
          <w:ilvl w:val="0"/>
          <w:numId w:val="0"/>
        </w:numPr>
        <w:adjustRightInd w:val="0"/>
        <w:snapToGrid w:val="0"/>
        <w:spacing w:line="560" w:lineRule="exact"/>
        <w:rPr>
          <w:rFonts w:hint="default" w:ascii="宋体" w:hAnsi="宋体"/>
          <w:color w:val="auto"/>
          <w:szCs w:val="21"/>
          <w:highlight w:val="none"/>
          <w:lang w:val="en-US" w:eastAsia="zh-CN"/>
        </w:rPr>
      </w:pPr>
      <w:r>
        <w:rPr>
          <w:rFonts w:hint="eastAsia" w:ascii="宋体" w:hAnsi="宋体" w:cs="宋体"/>
          <w:b/>
          <w:bCs/>
          <w:color w:val="auto"/>
          <w:szCs w:val="21"/>
          <w:highlight w:val="none"/>
        </w:rPr>
        <w:t>注：本项目采用横向暗标评审，请投标人结合技术标评审细则和系统内容在对应模块上传技术标评审内容。</w:t>
      </w:r>
    </w:p>
    <w:p w14:paraId="780A9FF8">
      <w:pPr>
        <w:adjustRightInd w:val="0"/>
        <w:snapToGrid w:val="0"/>
        <w:spacing w:line="560" w:lineRule="exact"/>
        <w:rPr>
          <w:rFonts w:hint="eastAsia" w:ascii="宋体" w:hAnsi="宋体"/>
          <w:color w:val="auto"/>
          <w:szCs w:val="21"/>
          <w:highlight w:val="none"/>
        </w:rPr>
      </w:pPr>
    </w:p>
    <w:p w14:paraId="107030F1">
      <w:pPr>
        <w:adjustRightInd w:val="0"/>
        <w:snapToGrid w:val="0"/>
        <w:spacing w:line="560" w:lineRule="exact"/>
        <w:rPr>
          <w:rFonts w:hint="eastAsia" w:ascii="仿宋_GB2312" w:eastAsia="仿宋_GB2312"/>
          <w:color w:val="auto"/>
          <w:szCs w:val="21"/>
          <w:highlight w:val="none"/>
        </w:rPr>
      </w:pPr>
    </w:p>
    <w:p w14:paraId="2CCFB422">
      <w:pPr>
        <w:adjustRightInd w:val="0"/>
        <w:snapToGrid w:val="0"/>
        <w:spacing w:line="560" w:lineRule="exact"/>
        <w:rPr>
          <w:rFonts w:hint="eastAsia" w:eastAsia="黑体"/>
          <w:color w:val="auto"/>
          <w:sz w:val="20"/>
          <w:szCs w:val="20"/>
          <w:highlight w:val="none"/>
        </w:rPr>
      </w:pPr>
    </w:p>
    <w:p w14:paraId="56ED5565">
      <w:pPr>
        <w:adjustRightInd w:val="0"/>
        <w:snapToGrid w:val="0"/>
        <w:spacing w:line="560" w:lineRule="exact"/>
        <w:rPr>
          <w:rFonts w:hint="eastAsia"/>
          <w:color w:val="auto"/>
          <w:highlight w:val="none"/>
        </w:rPr>
      </w:pPr>
    </w:p>
    <w:p w14:paraId="44F8D14E">
      <w:pPr>
        <w:adjustRightInd w:val="0"/>
        <w:snapToGrid w:val="0"/>
        <w:spacing w:line="560" w:lineRule="exact"/>
        <w:rPr>
          <w:rFonts w:hint="eastAsia"/>
          <w:color w:val="auto"/>
          <w:highlight w:val="none"/>
        </w:rPr>
      </w:pPr>
    </w:p>
    <w:p w14:paraId="491C1B4B">
      <w:pPr>
        <w:adjustRightInd w:val="0"/>
        <w:snapToGrid w:val="0"/>
        <w:spacing w:line="560" w:lineRule="exact"/>
        <w:rPr>
          <w:rFonts w:hint="eastAsia"/>
          <w:color w:val="auto"/>
          <w:highlight w:val="none"/>
        </w:rPr>
      </w:pPr>
    </w:p>
    <w:p w14:paraId="0E0D60EB">
      <w:pPr>
        <w:adjustRightInd w:val="0"/>
        <w:snapToGrid w:val="0"/>
        <w:spacing w:line="560" w:lineRule="exact"/>
        <w:rPr>
          <w:rFonts w:hint="eastAsia"/>
          <w:color w:val="auto"/>
          <w:highlight w:val="none"/>
        </w:rPr>
      </w:pPr>
    </w:p>
    <w:p w14:paraId="71C63E2B">
      <w:pPr>
        <w:adjustRightInd w:val="0"/>
        <w:snapToGrid w:val="0"/>
        <w:spacing w:line="560" w:lineRule="exact"/>
        <w:rPr>
          <w:rFonts w:hint="eastAsia"/>
          <w:color w:val="auto"/>
          <w:highlight w:val="none"/>
        </w:rPr>
      </w:pPr>
    </w:p>
    <w:p w14:paraId="69776F91">
      <w:pPr>
        <w:adjustRightInd w:val="0"/>
        <w:snapToGrid w:val="0"/>
        <w:spacing w:line="560" w:lineRule="exact"/>
        <w:rPr>
          <w:rFonts w:hint="eastAsia"/>
          <w:color w:val="auto"/>
          <w:highlight w:val="none"/>
        </w:rPr>
      </w:pPr>
    </w:p>
    <w:p w14:paraId="1A2DD162">
      <w:pPr>
        <w:pStyle w:val="19"/>
        <w:rPr>
          <w:rFonts w:hint="eastAsia"/>
          <w:color w:val="auto"/>
          <w:highlight w:val="none"/>
        </w:rPr>
      </w:pPr>
    </w:p>
    <w:p w14:paraId="23C4FFE3">
      <w:pPr>
        <w:rPr>
          <w:rFonts w:hint="eastAsia"/>
          <w:color w:val="auto"/>
          <w:highlight w:val="none"/>
        </w:rPr>
      </w:pPr>
    </w:p>
    <w:p w14:paraId="222165A8">
      <w:pPr>
        <w:pStyle w:val="19"/>
        <w:rPr>
          <w:rFonts w:hint="eastAsia"/>
          <w:color w:val="auto"/>
          <w:highlight w:val="none"/>
        </w:rPr>
      </w:pPr>
    </w:p>
    <w:p w14:paraId="3DA76616">
      <w:pPr>
        <w:adjustRightInd w:val="0"/>
        <w:snapToGrid w:val="0"/>
        <w:spacing w:line="560" w:lineRule="exact"/>
        <w:rPr>
          <w:rFonts w:hint="eastAsia"/>
          <w:color w:val="auto"/>
          <w:highlight w:val="none"/>
        </w:rPr>
      </w:pPr>
    </w:p>
    <w:p w14:paraId="10B815AE">
      <w:pPr>
        <w:adjustRightInd w:val="0"/>
        <w:snapToGrid w:val="0"/>
        <w:spacing w:line="560" w:lineRule="exact"/>
        <w:rPr>
          <w:rFonts w:hint="eastAsia"/>
          <w:color w:val="auto"/>
          <w:highlight w:val="none"/>
        </w:rPr>
      </w:pPr>
    </w:p>
    <w:p w14:paraId="253BEE8C">
      <w:pPr>
        <w:adjustRightInd w:val="0"/>
        <w:snapToGrid w:val="0"/>
        <w:spacing w:line="560" w:lineRule="exact"/>
        <w:rPr>
          <w:rFonts w:hint="eastAsia"/>
          <w:color w:val="auto"/>
          <w:highlight w:val="none"/>
        </w:rPr>
      </w:pPr>
    </w:p>
    <w:p w14:paraId="59CF4955">
      <w:pPr>
        <w:adjustRightInd w:val="0"/>
        <w:snapToGrid w:val="0"/>
        <w:spacing w:line="560" w:lineRule="exact"/>
        <w:rPr>
          <w:rFonts w:hint="eastAsia"/>
          <w:color w:val="auto"/>
          <w:highlight w:val="none"/>
        </w:rPr>
      </w:pPr>
    </w:p>
    <w:p w14:paraId="6DEFD355">
      <w:pPr>
        <w:adjustRightInd w:val="0"/>
        <w:snapToGrid w:val="0"/>
        <w:spacing w:line="560" w:lineRule="exact"/>
        <w:rPr>
          <w:rFonts w:hint="eastAsia"/>
          <w:color w:val="auto"/>
          <w:highlight w:val="none"/>
        </w:rPr>
      </w:pPr>
    </w:p>
    <w:p w14:paraId="3ADBBA8F">
      <w:pPr>
        <w:adjustRightInd w:val="0"/>
        <w:snapToGrid w:val="0"/>
        <w:spacing w:line="560" w:lineRule="exact"/>
        <w:rPr>
          <w:rFonts w:hint="eastAsia"/>
          <w:color w:val="auto"/>
          <w:highlight w:val="none"/>
        </w:rPr>
      </w:pPr>
    </w:p>
    <w:p w14:paraId="3FE07F7B">
      <w:pPr>
        <w:adjustRightInd w:val="0"/>
        <w:snapToGrid w:val="0"/>
        <w:spacing w:line="560" w:lineRule="exact"/>
        <w:rPr>
          <w:rFonts w:hint="eastAsia"/>
          <w:color w:val="auto"/>
          <w:highlight w:val="none"/>
        </w:rPr>
      </w:pPr>
    </w:p>
    <w:p w14:paraId="7527EAE6">
      <w:pPr>
        <w:adjustRightInd w:val="0"/>
        <w:snapToGrid w:val="0"/>
        <w:spacing w:line="560" w:lineRule="exact"/>
        <w:rPr>
          <w:rFonts w:hint="eastAsia"/>
          <w:color w:val="auto"/>
          <w:highlight w:val="none"/>
        </w:rPr>
      </w:pPr>
    </w:p>
    <w:p w14:paraId="04240AB3">
      <w:pPr>
        <w:adjustRightInd w:val="0"/>
        <w:snapToGrid w:val="0"/>
        <w:spacing w:line="560" w:lineRule="exact"/>
        <w:rPr>
          <w:rFonts w:hint="eastAsia"/>
          <w:color w:val="auto"/>
          <w:highlight w:val="none"/>
        </w:rPr>
      </w:pPr>
    </w:p>
    <w:p w14:paraId="08063A1E">
      <w:pPr>
        <w:adjustRightInd w:val="0"/>
        <w:snapToGrid w:val="0"/>
        <w:spacing w:line="560" w:lineRule="exact"/>
        <w:rPr>
          <w:rFonts w:hint="eastAsia"/>
          <w:color w:val="auto"/>
          <w:highlight w:val="none"/>
        </w:rPr>
      </w:pPr>
    </w:p>
    <w:p w14:paraId="58351F95">
      <w:pPr>
        <w:rPr>
          <w:rFonts w:hint="eastAsia"/>
          <w:color w:val="auto"/>
          <w:highlight w:val="none"/>
        </w:rPr>
      </w:pPr>
    </w:p>
    <w:p w14:paraId="4323FD94">
      <w:pPr>
        <w:rPr>
          <w:rFonts w:hint="eastAsia"/>
          <w:color w:val="auto"/>
          <w:highlight w:val="none"/>
        </w:rPr>
      </w:pPr>
    </w:p>
    <w:p w14:paraId="16FB2C9D">
      <w:pPr>
        <w:pStyle w:val="19"/>
        <w:rPr>
          <w:rFonts w:hint="eastAsia"/>
          <w:color w:val="auto"/>
          <w:highlight w:val="none"/>
        </w:rPr>
      </w:pPr>
    </w:p>
    <w:p w14:paraId="39895A80">
      <w:pPr>
        <w:rPr>
          <w:color w:val="auto"/>
          <w:highlight w:val="none"/>
        </w:rPr>
        <w:sectPr>
          <w:pgSz w:w="11910" w:h="16840"/>
          <w:pgMar w:top="1060" w:right="660" w:bottom="1020" w:left="1120" w:header="0" w:footer="833" w:gutter="0"/>
          <w:pgNumType w:fmt="numberInDash"/>
          <w:cols w:space="720" w:num="1"/>
        </w:sectPr>
      </w:pPr>
    </w:p>
    <w:p w14:paraId="54ED2AFE">
      <w:pPr>
        <w:rPr>
          <w:rFonts w:hint="eastAsia"/>
          <w:color w:val="auto"/>
          <w:highlight w:val="none"/>
        </w:rPr>
      </w:pPr>
    </w:p>
    <w:p w14:paraId="7E87512B">
      <w:pPr>
        <w:pStyle w:val="19"/>
        <w:rPr>
          <w:rFonts w:hint="eastAsia"/>
          <w:color w:val="auto"/>
          <w:highlight w:val="none"/>
        </w:rPr>
      </w:pPr>
    </w:p>
    <w:p w14:paraId="48557349">
      <w:pPr>
        <w:rPr>
          <w:rFonts w:hint="eastAsia"/>
          <w:color w:val="auto"/>
          <w:highlight w:val="none"/>
        </w:rPr>
      </w:pPr>
    </w:p>
    <w:p w14:paraId="1F6A3FEB">
      <w:pPr>
        <w:pStyle w:val="19"/>
        <w:rPr>
          <w:rFonts w:hint="eastAsia"/>
          <w:color w:val="auto"/>
          <w:highlight w:val="none"/>
        </w:rPr>
      </w:pPr>
    </w:p>
    <w:p w14:paraId="6DD97073">
      <w:pPr>
        <w:adjustRightInd w:val="0"/>
        <w:snapToGrid w:val="0"/>
        <w:spacing w:line="560" w:lineRule="exact"/>
        <w:jc w:val="center"/>
        <w:rPr>
          <w:rFonts w:hint="eastAsia" w:eastAsia="黑体"/>
          <w:color w:val="auto"/>
          <w:sz w:val="20"/>
          <w:szCs w:val="20"/>
          <w:highlight w:val="none"/>
        </w:rPr>
      </w:pPr>
      <w:r>
        <w:rPr>
          <w:rFonts w:hint="eastAsia" w:eastAsia="黑体"/>
          <w:color w:val="auto"/>
          <w:sz w:val="28"/>
          <w:szCs w:val="28"/>
          <w:highlight w:val="none"/>
          <w:u w:val="single"/>
        </w:rPr>
        <w:t xml:space="preserve">                </w:t>
      </w:r>
      <w:r>
        <w:rPr>
          <w:rFonts w:eastAsia="黑体"/>
          <w:color w:val="auto"/>
          <w:sz w:val="28"/>
          <w:szCs w:val="28"/>
          <w:highlight w:val="none"/>
        </w:rPr>
        <w:t>（项目名称）</w:t>
      </w:r>
    </w:p>
    <w:p w14:paraId="113AA1BC">
      <w:pPr>
        <w:adjustRightInd w:val="0"/>
        <w:snapToGrid w:val="0"/>
        <w:spacing w:line="560" w:lineRule="exact"/>
        <w:jc w:val="center"/>
        <w:rPr>
          <w:rFonts w:hint="eastAsia" w:eastAsia="黑体"/>
          <w:color w:val="auto"/>
          <w:sz w:val="20"/>
          <w:szCs w:val="20"/>
          <w:highlight w:val="none"/>
        </w:rPr>
      </w:pPr>
    </w:p>
    <w:p w14:paraId="67C722E2">
      <w:pPr>
        <w:adjustRightInd w:val="0"/>
        <w:snapToGrid w:val="0"/>
        <w:spacing w:line="560" w:lineRule="exact"/>
        <w:rPr>
          <w:rFonts w:hint="eastAsia" w:eastAsia="黑体"/>
          <w:color w:val="auto"/>
          <w:sz w:val="20"/>
          <w:szCs w:val="20"/>
          <w:highlight w:val="none"/>
        </w:rPr>
      </w:pPr>
    </w:p>
    <w:p w14:paraId="0663B8EB">
      <w:pPr>
        <w:adjustRightInd w:val="0"/>
        <w:snapToGrid w:val="0"/>
        <w:spacing w:line="560" w:lineRule="exact"/>
        <w:jc w:val="center"/>
        <w:rPr>
          <w:rFonts w:hint="eastAsia" w:eastAsia="黑体"/>
          <w:color w:val="auto"/>
          <w:sz w:val="44"/>
          <w:szCs w:val="44"/>
          <w:highlight w:val="none"/>
        </w:rPr>
      </w:pPr>
      <w:r>
        <w:rPr>
          <w:rFonts w:eastAsia="黑体"/>
          <w:color w:val="auto"/>
          <w:sz w:val="44"/>
          <w:szCs w:val="44"/>
          <w:highlight w:val="none"/>
        </w:rPr>
        <w:t>投  标  文  件</w:t>
      </w:r>
      <w:r>
        <w:rPr>
          <w:rFonts w:hint="eastAsia" w:eastAsia="黑体"/>
          <w:color w:val="auto"/>
          <w:sz w:val="44"/>
          <w:szCs w:val="44"/>
          <w:highlight w:val="none"/>
        </w:rPr>
        <w:t xml:space="preserve">  三</w:t>
      </w:r>
    </w:p>
    <w:p w14:paraId="28AF23AB">
      <w:pPr>
        <w:adjustRightInd w:val="0"/>
        <w:snapToGrid w:val="0"/>
        <w:spacing w:line="560" w:lineRule="exact"/>
        <w:jc w:val="center"/>
        <w:rPr>
          <w:rFonts w:hint="eastAsia" w:eastAsia="黑体"/>
          <w:color w:val="auto"/>
          <w:sz w:val="44"/>
          <w:szCs w:val="44"/>
          <w:highlight w:val="none"/>
        </w:rPr>
      </w:pPr>
      <w:r>
        <w:rPr>
          <w:rFonts w:hint="eastAsia" w:eastAsia="黑体"/>
          <w:color w:val="auto"/>
          <w:sz w:val="44"/>
          <w:szCs w:val="44"/>
          <w:highlight w:val="none"/>
        </w:rPr>
        <w:t>（商务标文件）</w:t>
      </w:r>
    </w:p>
    <w:p w14:paraId="33E0A7C5">
      <w:pPr>
        <w:adjustRightInd w:val="0"/>
        <w:snapToGrid w:val="0"/>
        <w:spacing w:line="560" w:lineRule="exact"/>
        <w:rPr>
          <w:rFonts w:hint="eastAsia" w:eastAsia="黑体"/>
          <w:color w:val="auto"/>
          <w:sz w:val="28"/>
          <w:szCs w:val="28"/>
          <w:highlight w:val="none"/>
        </w:rPr>
      </w:pPr>
    </w:p>
    <w:p w14:paraId="319421E2">
      <w:pPr>
        <w:pStyle w:val="19"/>
        <w:adjustRightInd w:val="0"/>
        <w:snapToGrid w:val="0"/>
        <w:spacing w:after="0" w:line="560" w:lineRule="exact"/>
        <w:ind w:left="0" w:leftChars="0" w:firstLine="560"/>
        <w:rPr>
          <w:rFonts w:hint="eastAsia" w:eastAsia="黑体"/>
          <w:color w:val="auto"/>
          <w:sz w:val="28"/>
          <w:szCs w:val="28"/>
          <w:highlight w:val="none"/>
        </w:rPr>
      </w:pPr>
    </w:p>
    <w:p w14:paraId="08788D63">
      <w:pPr>
        <w:adjustRightInd w:val="0"/>
        <w:snapToGrid w:val="0"/>
        <w:spacing w:line="560" w:lineRule="exact"/>
        <w:rPr>
          <w:rFonts w:hint="eastAsia" w:eastAsia="黑体"/>
          <w:color w:val="auto"/>
          <w:sz w:val="28"/>
          <w:szCs w:val="28"/>
          <w:highlight w:val="none"/>
        </w:rPr>
      </w:pPr>
    </w:p>
    <w:p w14:paraId="68B96AD6">
      <w:pPr>
        <w:pStyle w:val="19"/>
        <w:adjustRightInd w:val="0"/>
        <w:snapToGrid w:val="0"/>
        <w:spacing w:after="0" w:line="560" w:lineRule="exact"/>
        <w:ind w:left="0" w:leftChars="0"/>
        <w:rPr>
          <w:rFonts w:hint="eastAsia"/>
          <w:color w:val="auto"/>
          <w:highlight w:val="none"/>
        </w:rPr>
      </w:pPr>
    </w:p>
    <w:p w14:paraId="13F88996">
      <w:pPr>
        <w:adjustRightInd w:val="0"/>
        <w:snapToGrid w:val="0"/>
        <w:spacing w:line="560" w:lineRule="exact"/>
        <w:rPr>
          <w:rFonts w:hint="eastAsia" w:eastAsia="黑体"/>
          <w:color w:val="auto"/>
          <w:sz w:val="28"/>
          <w:szCs w:val="28"/>
          <w:highlight w:val="none"/>
        </w:rPr>
      </w:pPr>
    </w:p>
    <w:p w14:paraId="07F39301">
      <w:pPr>
        <w:adjustRightInd w:val="0"/>
        <w:snapToGrid w:val="0"/>
        <w:spacing w:line="560" w:lineRule="exact"/>
        <w:rPr>
          <w:rFonts w:eastAsia="黑体"/>
          <w:color w:val="auto"/>
          <w:sz w:val="28"/>
          <w:szCs w:val="28"/>
          <w:highlight w:val="none"/>
        </w:rPr>
      </w:pPr>
    </w:p>
    <w:p w14:paraId="1FD8233E">
      <w:pPr>
        <w:adjustRightInd w:val="0"/>
        <w:snapToGrid w:val="0"/>
        <w:spacing w:line="560" w:lineRule="exact"/>
        <w:rPr>
          <w:rFonts w:hint="eastAsia" w:eastAsia="黑体"/>
          <w:color w:val="auto"/>
          <w:sz w:val="28"/>
          <w:szCs w:val="28"/>
          <w:highlight w:val="none"/>
        </w:rPr>
      </w:pPr>
    </w:p>
    <w:p w14:paraId="0FD45CF8">
      <w:pPr>
        <w:adjustRightInd w:val="0"/>
        <w:snapToGrid w:val="0"/>
        <w:spacing w:line="560" w:lineRule="exact"/>
        <w:rPr>
          <w:rFonts w:hint="eastAsia" w:eastAsia="黑体"/>
          <w:color w:val="auto"/>
          <w:sz w:val="28"/>
          <w:szCs w:val="28"/>
          <w:highlight w:val="none"/>
        </w:rPr>
      </w:pPr>
    </w:p>
    <w:p w14:paraId="53C1B219">
      <w:pPr>
        <w:adjustRightInd w:val="0"/>
        <w:snapToGrid w:val="0"/>
        <w:spacing w:line="560" w:lineRule="exact"/>
        <w:rPr>
          <w:rFonts w:hint="eastAsia" w:eastAsia="黑体"/>
          <w:color w:val="auto"/>
          <w:sz w:val="28"/>
          <w:szCs w:val="28"/>
          <w:highlight w:val="none"/>
        </w:rPr>
      </w:pPr>
    </w:p>
    <w:p w14:paraId="08B45C0D">
      <w:pPr>
        <w:adjustRightInd w:val="0"/>
        <w:snapToGrid w:val="0"/>
        <w:spacing w:line="560" w:lineRule="exact"/>
        <w:rPr>
          <w:rFonts w:eastAsia="黑体"/>
          <w:color w:val="auto"/>
          <w:sz w:val="28"/>
          <w:szCs w:val="28"/>
          <w:highlight w:val="none"/>
        </w:rPr>
      </w:pPr>
    </w:p>
    <w:p w14:paraId="5245C8B5">
      <w:pPr>
        <w:adjustRightInd w:val="0"/>
        <w:snapToGrid w:val="0"/>
        <w:spacing w:line="560" w:lineRule="exact"/>
        <w:rPr>
          <w:rFonts w:eastAsia="黑体"/>
          <w:color w:val="auto"/>
          <w:sz w:val="28"/>
          <w:szCs w:val="28"/>
          <w:highlight w:val="none"/>
        </w:rPr>
      </w:pPr>
    </w:p>
    <w:p w14:paraId="2DD83B0B">
      <w:pPr>
        <w:adjustRightInd w:val="0"/>
        <w:snapToGrid w:val="0"/>
        <w:spacing w:line="560" w:lineRule="exact"/>
        <w:jc w:val="center"/>
        <w:rPr>
          <w:rFonts w:eastAsia="黑体"/>
          <w:color w:val="auto"/>
          <w:sz w:val="28"/>
          <w:szCs w:val="28"/>
          <w:highlight w:val="none"/>
          <w:u w:val="single"/>
        </w:rPr>
      </w:pPr>
      <w:r>
        <w:rPr>
          <w:rFonts w:eastAsia="黑体"/>
          <w:color w:val="auto"/>
          <w:sz w:val="28"/>
          <w:szCs w:val="28"/>
          <w:highlight w:val="none"/>
        </w:rPr>
        <w:t>投标人：</w:t>
      </w:r>
      <w:r>
        <w:rPr>
          <w:rFonts w:eastAsia="黑体"/>
          <w:color w:val="auto"/>
          <w:sz w:val="28"/>
          <w:szCs w:val="28"/>
          <w:highlight w:val="none"/>
          <w:u w:val="single"/>
        </w:rPr>
        <w:t xml:space="preserve">                     </w:t>
      </w:r>
      <w:r>
        <w:rPr>
          <w:rFonts w:hint="eastAsia" w:eastAsia="黑体"/>
          <w:color w:val="auto"/>
          <w:sz w:val="28"/>
          <w:szCs w:val="28"/>
          <w:highlight w:val="none"/>
          <w:u w:val="single"/>
        </w:rPr>
        <w:t xml:space="preserve">  </w:t>
      </w:r>
      <w:r>
        <w:rPr>
          <w:rFonts w:eastAsia="黑体"/>
          <w:color w:val="auto"/>
          <w:sz w:val="28"/>
          <w:szCs w:val="28"/>
          <w:highlight w:val="none"/>
          <w:u w:val="single"/>
        </w:rPr>
        <w:t xml:space="preserve">       </w:t>
      </w:r>
      <w:r>
        <w:rPr>
          <w:rFonts w:eastAsia="黑体"/>
          <w:color w:val="auto"/>
          <w:sz w:val="28"/>
          <w:szCs w:val="28"/>
          <w:highlight w:val="none"/>
        </w:rPr>
        <w:t>（签</w:t>
      </w:r>
      <w:r>
        <w:rPr>
          <w:rFonts w:hint="eastAsia" w:eastAsia="黑体"/>
          <w:color w:val="auto"/>
          <w:sz w:val="28"/>
          <w:szCs w:val="28"/>
          <w:highlight w:val="none"/>
        </w:rPr>
        <w:t>章</w:t>
      </w:r>
      <w:r>
        <w:rPr>
          <w:rFonts w:eastAsia="黑体"/>
          <w:color w:val="auto"/>
          <w:sz w:val="28"/>
          <w:szCs w:val="28"/>
          <w:highlight w:val="none"/>
        </w:rPr>
        <w:t>）</w:t>
      </w:r>
    </w:p>
    <w:p w14:paraId="39D29BB1">
      <w:pPr>
        <w:adjustRightInd w:val="0"/>
        <w:snapToGrid w:val="0"/>
        <w:spacing w:line="560" w:lineRule="exact"/>
        <w:jc w:val="center"/>
        <w:rPr>
          <w:rFonts w:eastAsia="黑体"/>
          <w:color w:val="auto"/>
          <w:sz w:val="28"/>
          <w:szCs w:val="28"/>
          <w:highlight w:val="none"/>
        </w:rPr>
      </w:pPr>
      <w:r>
        <w:rPr>
          <w:rFonts w:eastAsia="黑体"/>
          <w:color w:val="auto"/>
          <w:sz w:val="28"/>
          <w:szCs w:val="28"/>
          <w:highlight w:val="none"/>
        </w:rPr>
        <w:t>法定代表人：</w:t>
      </w:r>
      <w:r>
        <w:rPr>
          <w:rFonts w:eastAsia="黑体"/>
          <w:color w:val="auto"/>
          <w:sz w:val="28"/>
          <w:szCs w:val="28"/>
          <w:highlight w:val="none"/>
          <w:u w:val="single"/>
        </w:rPr>
        <w:t xml:space="preserve">                </w:t>
      </w:r>
      <w:r>
        <w:rPr>
          <w:rFonts w:eastAsia="黑体"/>
          <w:color w:val="auto"/>
          <w:sz w:val="28"/>
          <w:szCs w:val="28"/>
          <w:highlight w:val="none"/>
        </w:rPr>
        <w:t>（签</w:t>
      </w:r>
      <w:r>
        <w:rPr>
          <w:rFonts w:hint="eastAsia" w:eastAsia="黑体"/>
          <w:color w:val="auto"/>
          <w:sz w:val="28"/>
          <w:szCs w:val="28"/>
          <w:highlight w:val="none"/>
        </w:rPr>
        <w:t>章</w:t>
      </w:r>
      <w:r>
        <w:rPr>
          <w:rFonts w:eastAsia="黑体"/>
          <w:color w:val="auto"/>
          <w:sz w:val="28"/>
          <w:szCs w:val="28"/>
          <w:highlight w:val="none"/>
        </w:rPr>
        <w:t>）</w:t>
      </w:r>
    </w:p>
    <w:p w14:paraId="1BD7C97B">
      <w:pPr>
        <w:adjustRightInd w:val="0"/>
        <w:snapToGrid w:val="0"/>
        <w:spacing w:line="560" w:lineRule="exact"/>
        <w:jc w:val="center"/>
        <w:rPr>
          <w:rFonts w:eastAsia="黑体"/>
          <w:color w:val="auto"/>
          <w:sz w:val="28"/>
          <w:szCs w:val="28"/>
          <w:highlight w:val="none"/>
        </w:rPr>
      </w:pPr>
      <w:r>
        <w:rPr>
          <w:rFonts w:eastAsia="黑体"/>
          <w:color w:val="auto"/>
          <w:sz w:val="28"/>
          <w:szCs w:val="28"/>
          <w:highlight w:val="none"/>
          <w:u w:val="single"/>
        </w:rPr>
        <w:t xml:space="preserve">        </w:t>
      </w:r>
      <w:r>
        <w:rPr>
          <w:rFonts w:eastAsia="黑体"/>
          <w:color w:val="auto"/>
          <w:sz w:val="28"/>
          <w:szCs w:val="28"/>
          <w:highlight w:val="none"/>
        </w:rPr>
        <w:t>年</w:t>
      </w:r>
      <w:r>
        <w:rPr>
          <w:rFonts w:eastAsia="黑体"/>
          <w:color w:val="auto"/>
          <w:sz w:val="28"/>
          <w:szCs w:val="28"/>
          <w:highlight w:val="none"/>
          <w:u w:val="single"/>
        </w:rPr>
        <w:t xml:space="preserve">        </w:t>
      </w:r>
      <w:r>
        <w:rPr>
          <w:rFonts w:eastAsia="黑体"/>
          <w:color w:val="auto"/>
          <w:sz w:val="28"/>
          <w:szCs w:val="28"/>
          <w:highlight w:val="none"/>
        </w:rPr>
        <w:t>月</w:t>
      </w:r>
      <w:r>
        <w:rPr>
          <w:rFonts w:eastAsia="黑体"/>
          <w:color w:val="auto"/>
          <w:sz w:val="28"/>
          <w:szCs w:val="28"/>
          <w:highlight w:val="none"/>
          <w:u w:val="single"/>
        </w:rPr>
        <w:t xml:space="preserve">        </w:t>
      </w:r>
      <w:r>
        <w:rPr>
          <w:rFonts w:eastAsia="黑体"/>
          <w:color w:val="auto"/>
          <w:sz w:val="28"/>
          <w:szCs w:val="28"/>
          <w:highlight w:val="none"/>
        </w:rPr>
        <w:t>日</w:t>
      </w:r>
    </w:p>
    <w:p w14:paraId="4B6EC140">
      <w:pPr>
        <w:adjustRightInd w:val="0"/>
        <w:snapToGrid w:val="0"/>
        <w:spacing w:line="560" w:lineRule="exact"/>
        <w:rPr>
          <w:rFonts w:hint="eastAsia"/>
          <w:color w:val="auto"/>
          <w:highlight w:val="none"/>
        </w:rPr>
      </w:pPr>
    </w:p>
    <w:p w14:paraId="12791789">
      <w:pPr>
        <w:adjustRightInd w:val="0"/>
        <w:snapToGrid w:val="0"/>
        <w:spacing w:line="560" w:lineRule="exact"/>
        <w:rPr>
          <w:rFonts w:hint="eastAsia"/>
          <w:color w:val="auto"/>
          <w:highlight w:val="none"/>
        </w:rPr>
      </w:pPr>
    </w:p>
    <w:p w14:paraId="69547437">
      <w:pPr>
        <w:pStyle w:val="3"/>
        <w:rPr>
          <w:rFonts w:hint="eastAsia"/>
          <w:color w:val="auto"/>
          <w:highlight w:val="none"/>
        </w:rPr>
      </w:pPr>
      <w:bookmarkStart w:id="1522" w:name="_Toc95223542"/>
      <w:r>
        <w:rPr>
          <w:rFonts w:hint="eastAsia"/>
          <w:color w:val="auto"/>
          <w:highlight w:val="none"/>
        </w:rPr>
        <w:t>投标文件三：商务标目录</w:t>
      </w:r>
      <w:bookmarkEnd w:id="1522"/>
    </w:p>
    <w:p w14:paraId="24F99A62">
      <w:pPr>
        <w:adjustRightInd w:val="0"/>
        <w:snapToGrid w:val="0"/>
        <w:spacing w:line="560" w:lineRule="exact"/>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（1）投标函；</w:t>
      </w:r>
    </w:p>
    <w:p w14:paraId="3189FF6A">
      <w:pPr>
        <w:adjustRightInd w:val="0"/>
        <w:snapToGrid w:val="0"/>
        <w:spacing w:line="560" w:lineRule="exact"/>
        <w:ind w:firstLine="420" w:firstLineChars="200"/>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2）工程量清单报价书；</w:t>
      </w:r>
    </w:p>
    <w:p w14:paraId="46F0B98B">
      <w:pPr>
        <w:adjustRightInd w:val="0"/>
        <w:snapToGrid w:val="0"/>
        <w:spacing w:line="560" w:lineRule="exact"/>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w:t>
      </w:r>
      <w:r>
        <w:rPr>
          <w:rFonts w:hint="eastAsia" w:ascii="宋体" w:hAnsi="宋体" w:cs="Times New Roman"/>
          <w:color w:val="auto"/>
          <w:szCs w:val="21"/>
          <w:highlight w:val="none"/>
          <w:lang w:val="en-US" w:eastAsia="zh-CN"/>
        </w:rPr>
        <w:t>3</w:t>
      </w:r>
      <w:r>
        <w:rPr>
          <w:rFonts w:hint="eastAsia" w:ascii="宋体" w:hAnsi="宋体" w:eastAsia="宋体" w:cs="Times New Roman"/>
          <w:color w:val="auto"/>
          <w:szCs w:val="21"/>
          <w:highlight w:val="none"/>
        </w:rPr>
        <w:t>）招标人推荐的材料品牌响应表（如有）；</w:t>
      </w:r>
    </w:p>
    <w:p w14:paraId="49862560">
      <w:pPr>
        <w:adjustRightInd w:val="0"/>
        <w:snapToGrid w:val="0"/>
        <w:spacing w:line="560" w:lineRule="exact"/>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w:t>
      </w:r>
      <w:r>
        <w:rPr>
          <w:rFonts w:hint="eastAsia" w:ascii="宋体" w:hAnsi="宋体" w:cs="Times New Roman"/>
          <w:color w:val="auto"/>
          <w:szCs w:val="21"/>
          <w:highlight w:val="none"/>
          <w:lang w:val="en-US" w:eastAsia="zh-CN"/>
        </w:rPr>
        <w:t>4</w:t>
      </w:r>
      <w:r>
        <w:rPr>
          <w:rFonts w:hint="eastAsia" w:ascii="宋体" w:hAnsi="宋体" w:eastAsia="宋体" w:cs="Times New Roman"/>
          <w:color w:val="auto"/>
          <w:szCs w:val="21"/>
          <w:highlight w:val="none"/>
        </w:rPr>
        <w:t>）全国建筑市场监管公共服务平台(四库一平台)企业注册人员网页截图；</w:t>
      </w:r>
    </w:p>
    <w:p w14:paraId="039633D0">
      <w:pPr>
        <w:adjustRightInd w:val="0"/>
        <w:snapToGrid w:val="0"/>
        <w:spacing w:line="560" w:lineRule="exact"/>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w:t>
      </w:r>
      <w:r>
        <w:rPr>
          <w:rFonts w:hint="eastAsia" w:ascii="宋体" w:hAnsi="宋体" w:cs="Times New Roman"/>
          <w:color w:val="auto"/>
          <w:szCs w:val="21"/>
          <w:highlight w:val="none"/>
          <w:lang w:val="en-US" w:eastAsia="zh-CN"/>
        </w:rPr>
        <w:t>5</w:t>
      </w:r>
      <w:r>
        <w:rPr>
          <w:rFonts w:hint="eastAsia" w:ascii="宋体" w:hAnsi="宋体" w:eastAsia="宋体" w:cs="Times New Roman"/>
          <w:color w:val="auto"/>
          <w:szCs w:val="21"/>
          <w:highlight w:val="none"/>
        </w:rPr>
        <w:t>）商务标评审所需其他材料。</w:t>
      </w:r>
    </w:p>
    <w:p w14:paraId="41AF50BE">
      <w:pPr>
        <w:adjustRightInd w:val="0"/>
        <w:snapToGrid w:val="0"/>
        <w:spacing w:line="560" w:lineRule="exact"/>
        <w:rPr>
          <w:rFonts w:hint="eastAsia"/>
          <w:color w:val="auto"/>
          <w:highlight w:val="none"/>
        </w:rPr>
      </w:pPr>
    </w:p>
    <w:p w14:paraId="5BDB18E7">
      <w:pPr>
        <w:adjustRightInd w:val="0"/>
        <w:snapToGrid w:val="0"/>
        <w:spacing w:line="560" w:lineRule="exact"/>
        <w:rPr>
          <w:rFonts w:hint="eastAsia" w:eastAsia="黑体"/>
          <w:color w:val="auto"/>
          <w:sz w:val="20"/>
          <w:szCs w:val="20"/>
          <w:highlight w:val="none"/>
        </w:rPr>
      </w:pPr>
    </w:p>
    <w:p w14:paraId="121440D1">
      <w:pPr>
        <w:adjustRightInd w:val="0"/>
        <w:snapToGrid w:val="0"/>
        <w:spacing w:line="560" w:lineRule="exact"/>
        <w:rPr>
          <w:rFonts w:hint="eastAsia" w:eastAsia="黑体"/>
          <w:color w:val="auto"/>
          <w:sz w:val="20"/>
          <w:szCs w:val="20"/>
          <w:highlight w:val="none"/>
        </w:rPr>
      </w:pPr>
    </w:p>
    <w:p w14:paraId="5F6A757E">
      <w:pPr>
        <w:adjustRightInd w:val="0"/>
        <w:snapToGrid w:val="0"/>
        <w:spacing w:line="560" w:lineRule="exact"/>
        <w:rPr>
          <w:rFonts w:hint="eastAsia" w:eastAsia="黑体"/>
          <w:color w:val="auto"/>
          <w:sz w:val="20"/>
          <w:szCs w:val="20"/>
          <w:highlight w:val="none"/>
        </w:rPr>
      </w:pPr>
    </w:p>
    <w:p w14:paraId="4DA9110C">
      <w:pPr>
        <w:adjustRightInd w:val="0"/>
        <w:snapToGrid w:val="0"/>
        <w:spacing w:line="560" w:lineRule="exact"/>
        <w:ind w:right="420"/>
        <w:rPr>
          <w:rFonts w:hint="eastAsia"/>
          <w:color w:val="auto"/>
          <w:szCs w:val="21"/>
          <w:highlight w:val="none"/>
          <w:u w:val="single"/>
        </w:rPr>
      </w:pPr>
    </w:p>
    <w:p w14:paraId="30E2BC3B">
      <w:pPr>
        <w:pStyle w:val="19"/>
        <w:rPr>
          <w:rFonts w:hint="eastAsia"/>
          <w:color w:val="auto"/>
          <w:highlight w:val="none"/>
        </w:rPr>
      </w:pPr>
    </w:p>
    <w:p w14:paraId="58FF1833">
      <w:pPr>
        <w:rPr>
          <w:rFonts w:hint="eastAsia"/>
          <w:color w:val="auto"/>
          <w:highlight w:val="none"/>
        </w:rPr>
      </w:pPr>
    </w:p>
    <w:p w14:paraId="5CDE5CD6">
      <w:pPr>
        <w:pStyle w:val="19"/>
        <w:rPr>
          <w:rFonts w:hint="eastAsia"/>
          <w:color w:val="auto"/>
          <w:highlight w:val="none"/>
        </w:rPr>
      </w:pPr>
    </w:p>
    <w:p w14:paraId="1B7ECEE5">
      <w:pPr>
        <w:rPr>
          <w:rFonts w:hint="eastAsia"/>
          <w:color w:val="auto"/>
          <w:highlight w:val="none"/>
        </w:rPr>
      </w:pPr>
    </w:p>
    <w:p w14:paraId="11CFAC3A">
      <w:pPr>
        <w:pStyle w:val="19"/>
        <w:rPr>
          <w:rFonts w:hint="eastAsia"/>
          <w:color w:val="auto"/>
          <w:highlight w:val="none"/>
        </w:rPr>
      </w:pPr>
    </w:p>
    <w:p w14:paraId="23807CFE">
      <w:pPr>
        <w:rPr>
          <w:rFonts w:hint="eastAsia"/>
          <w:color w:val="auto"/>
          <w:highlight w:val="none"/>
        </w:rPr>
      </w:pPr>
    </w:p>
    <w:p w14:paraId="61B2D1DE">
      <w:pPr>
        <w:pStyle w:val="19"/>
        <w:rPr>
          <w:rFonts w:hint="eastAsia"/>
          <w:color w:val="auto"/>
          <w:highlight w:val="none"/>
        </w:rPr>
      </w:pPr>
    </w:p>
    <w:p w14:paraId="6460B1C6">
      <w:pPr>
        <w:rPr>
          <w:rFonts w:hint="eastAsia"/>
          <w:color w:val="auto"/>
          <w:highlight w:val="none"/>
        </w:rPr>
      </w:pPr>
    </w:p>
    <w:p w14:paraId="6BC758CA">
      <w:pPr>
        <w:pStyle w:val="19"/>
        <w:rPr>
          <w:rFonts w:hint="eastAsia"/>
          <w:color w:val="auto"/>
          <w:highlight w:val="none"/>
        </w:rPr>
      </w:pPr>
    </w:p>
    <w:p w14:paraId="39C55F29">
      <w:pPr>
        <w:rPr>
          <w:rFonts w:hint="eastAsia"/>
          <w:color w:val="auto"/>
          <w:highlight w:val="none"/>
        </w:rPr>
      </w:pPr>
    </w:p>
    <w:p w14:paraId="25B0C991">
      <w:pPr>
        <w:pStyle w:val="19"/>
        <w:rPr>
          <w:rFonts w:hint="eastAsia"/>
          <w:color w:val="auto"/>
          <w:highlight w:val="none"/>
        </w:rPr>
      </w:pPr>
    </w:p>
    <w:p w14:paraId="58B13C7B">
      <w:pPr>
        <w:rPr>
          <w:rFonts w:hint="eastAsia"/>
          <w:color w:val="auto"/>
          <w:highlight w:val="none"/>
        </w:rPr>
      </w:pPr>
    </w:p>
    <w:p w14:paraId="4AFE4E1B">
      <w:pPr>
        <w:pStyle w:val="19"/>
        <w:rPr>
          <w:rFonts w:hint="eastAsia"/>
          <w:color w:val="auto"/>
          <w:highlight w:val="none"/>
        </w:rPr>
      </w:pPr>
    </w:p>
    <w:p w14:paraId="448DA11C">
      <w:pPr>
        <w:rPr>
          <w:rFonts w:hint="eastAsia"/>
          <w:color w:val="auto"/>
          <w:highlight w:val="none"/>
        </w:rPr>
      </w:pPr>
    </w:p>
    <w:p w14:paraId="75743E77">
      <w:pPr>
        <w:pStyle w:val="19"/>
        <w:rPr>
          <w:rFonts w:hint="eastAsia"/>
          <w:color w:val="auto"/>
          <w:highlight w:val="none"/>
        </w:rPr>
      </w:pPr>
    </w:p>
    <w:p w14:paraId="3146B903">
      <w:pPr>
        <w:rPr>
          <w:rFonts w:hint="eastAsia"/>
          <w:color w:val="auto"/>
          <w:highlight w:val="none"/>
        </w:rPr>
      </w:pPr>
    </w:p>
    <w:p w14:paraId="170CAF8C">
      <w:pPr>
        <w:pStyle w:val="19"/>
        <w:rPr>
          <w:rFonts w:hint="eastAsia"/>
          <w:color w:val="auto"/>
          <w:highlight w:val="none"/>
        </w:rPr>
      </w:pPr>
    </w:p>
    <w:p w14:paraId="1C17F766">
      <w:pPr>
        <w:rPr>
          <w:rFonts w:hint="eastAsia"/>
          <w:color w:val="auto"/>
          <w:highlight w:val="none"/>
        </w:rPr>
      </w:pPr>
    </w:p>
    <w:p w14:paraId="1655C9E3">
      <w:pPr>
        <w:pStyle w:val="19"/>
        <w:rPr>
          <w:rFonts w:hint="eastAsia"/>
          <w:color w:val="auto"/>
          <w:highlight w:val="none"/>
        </w:rPr>
      </w:pPr>
    </w:p>
    <w:p w14:paraId="01B04950">
      <w:pPr>
        <w:rPr>
          <w:rFonts w:hint="eastAsia"/>
          <w:color w:val="auto"/>
          <w:highlight w:val="none"/>
        </w:rPr>
      </w:pPr>
    </w:p>
    <w:p w14:paraId="777E9DFB">
      <w:pPr>
        <w:pStyle w:val="19"/>
        <w:rPr>
          <w:rFonts w:hint="eastAsia"/>
          <w:color w:val="auto"/>
          <w:highlight w:val="none"/>
        </w:rPr>
      </w:pPr>
    </w:p>
    <w:p w14:paraId="218FA63A">
      <w:pPr>
        <w:rPr>
          <w:rFonts w:hint="eastAsia"/>
          <w:color w:val="auto"/>
          <w:highlight w:val="none"/>
        </w:rPr>
      </w:pPr>
    </w:p>
    <w:p w14:paraId="17B48232">
      <w:pPr>
        <w:pStyle w:val="19"/>
        <w:rPr>
          <w:rFonts w:hint="eastAsia"/>
          <w:color w:val="auto"/>
          <w:highlight w:val="none"/>
        </w:rPr>
      </w:pPr>
    </w:p>
    <w:p w14:paraId="24B3EE1D">
      <w:pPr>
        <w:pStyle w:val="19"/>
        <w:rPr>
          <w:rFonts w:hint="eastAsia"/>
          <w:color w:val="auto"/>
          <w:highlight w:val="none"/>
        </w:rPr>
      </w:pPr>
    </w:p>
    <w:p w14:paraId="724CE792">
      <w:pPr>
        <w:pStyle w:val="19"/>
        <w:ind w:left="0" w:leftChars="0" w:firstLine="0" w:firstLineChars="0"/>
        <w:rPr>
          <w:color w:val="auto"/>
          <w:highlight w:val="none"/>
        </w:rPr>
        <w:sectPr>
          <w:pgSz w:w="11910" w:h="16840"/>
          <w:pgMar w:top="1060" w:right="660" w:bottom="1020" w:left="1120" w:header="0" w:footer="833" w:gutter="0"/>
          <w:pgNumType w:fmt="numberInDash"/>
          <w:cols w:space="720" w:num="1"/>
        </w:sectPr>
      </w:pPr>
    </w:p>
    <w:p w14:paraId="75D997CC">
      <w:pPr>
        <w:pStyle w:val="19"/>
        <w:ind w:left="0" w:leftChars="0" w:firstLine="0" w:firstLineChars="0"/>
        <w:rPr>
          <w:rFonts w:hint="eastAsia"/>
          <w:color w:val="auto"/>
          <w:highlight w:val="none"/>
        </w:rPr>
      </w:pPr>
    </w:p>
    <w:p w14:paraId="2B1A88C4">
      <w:pPr>
        <w:pStyle w:val="4"/>
        <w:adjustRightInd w:val="0"/>
        <w:snapToGrid w:val="0"/>
        <w:spacing w:before="0" w:after="0" w:line="560" w:lineRule="exact"/>
        <w:jc w:val="center"/>
        <w:rPr>
          <w:rFonts w:hint="eastAsia"/>
          <w:color w:val="auto"/>
          <w:highlight w:val="none"/>
        </w:rPr>
      </w:pPr>
      <w:bookmarkStart w:id="1523" w:name="_Toc95223543"/>
      <w:r>
        <w:rPr>
          <w:rFonts w:hint="eastAsia"/>
          <w:color w:val="auto"/>
          <w:highlight w:val="none"/>
        </w:rPr>
        <w:t>（1）投</w:t>
      </w:r>
      <w:r>
        <w:rPr>
          <w:color w:val="auto"/>
          <w:highlight w:val="none"/>
        </w:rPr>
        <w:t xml:space="preserve"> </w:t>
      </w:r>
      <w:r>
        <w:rPr>
          <w:rFonts w:hint="eastAsia"/>
          <w:color w:val="auto"/>
          <w:highlight w:val="none"/>
        </w:rPr>
        <w:t>标 函</w:t>
      </w:r>
      <w:bookmarkEnd w:id="1523"/>
    </w:p>
    <w:p w14:paraId="76109D4D">
      <w:pPr>
        <w:adjustRightInd w:val="0"/>
        <w:snapToGrid w:val="0"/>
        <w:spacing w:line="560" w:lineRule="exact"/>
        <w:rPr>
          <w:rFonts w:ascii="宋体" w:hAnsi="宋体"/>
          <w:color w:val="auto"/>
          <w:sz w:val="24"/>
          <w:highlight w:val="none"/>
          <w:u w:val="single"/>
        </w:rPr>
      </w:pPr>
      <w:r>
        <w:rPr>
          <w:rFonts w:hint="eastAsia" w:ascii="宋体" w:hAnsi="宋体"/>
          <w:color w:val="auto"/>
          <w:sz w:val="24"/>
          <w:highlight w:val="none"/>
        </w:rPr>
        <w:t>致：</w:t>
      </w:r>
      <w:r>
        <w:rPr>
          <w:rFonts w:ascii="宋体" w:hAnsi="宋体"/>
          <w:color w:val="auto"/>
          <w:sz w:val="24"/>
          <w:highlight w:val="none"/>
          <w:u w:val="single"/>
        </w:rPr>
        <w:t xml:space="preserve">        </w:t>
      </w:r>
      <w:r>
        <w:rPr>
          <w:rFonts w:hint="eastAsia" w:ascii="宋体" w:hAnsi="宋体"/>
          <w:color w:val="auto"/>
          <w:sz w:val="24"/>
          <w:highlight w:val="none"/>
          <w:u w:val="single"/>
        </w:rPr>
        <w:t>（招标人）</w:t>
      </w:r>
      <w:r>
        <w:rPr>
          <w:rFonts w:ascii="宋体" w:hAnsi="宋体"/>
          <w:color w:val="auto"/>
          <w:sz w:val="24"/>
          <w:highlight w:val="none"/>
          <w:u w:val="single"/>
        </w:rPr>
        <w:t xml:space="preserve">      </w:t>
      </w:r>
    </w:p>
    <w:p w14:paraId="6D74C2CE">
      <w:pPr>
        <w:adjustRightInd w:val="0"/>
        <w:snapToGrid w:val="0"/>
        <w:spacing w:line="560" w:lineRule="exact"/>
        <w:ind w:firstLine="480" w:firstLineChars="200"/>
        <w:rPr>
          <w:rFonts w:ascii="宋体" w:hAnsi="宋体"/>
          <w:color w:val="auto"/>
          <w:sz w:val="24"/>
          <w:highlight w:val="none"/>
        </w:rPr>
      </w:pPr>
      <w:r>
        <w:rPr>
          <w:rFonts w:hint="eastAsia" w:ascii="宋体" w:hAnsi="宋体"/>
          <w:color w:val="auto"/>
          <w:sz w:val="24"/>
          <w:highlight w:val="none"/>
        </w:rPr>
        <w:t>1、根据你方招</w:t>
      </w:r>
      <w:bookmarkStart w:id="1524" w:name="_Toc60061591"/>
      <w:r>
        <w:rPr>
          <w:rFonts w:hint="eastAsia" w:ascii="宋体" w:hAnsi="宋体"/>
          <w:color w:val="auto"/>
          <w:sz w:val="24"/>
          <w:highlight w:val="none"/>
        </w:rPr>
        <w:t>标项目编号为</w:t>
      </w:r>
      <w:r>
        <w:rPr>
          <w:rFonts w:ascii="宋体" w:hAnsi="宋体"/>
          <w:color w:val="auto"/>
          <w:sz w:val="24"/>
          <w:highlight w:val="none"/>
          <w:u w:val="single"/>
        </w:rPr>
        <w:t xml:space="preserve">  </w:t>
      </w:r>
      <w:bookmarkEnd w:id="1524"/>
      <w:r>
        <w:rPr>
          <w:rFonts w:ascii="宋体" w:hAnsi="宋体"/>
          <w:color w:val="auto"/>
          <w:sz w:val="24"/>
          <w:highlight w:val="none"/>
          <w:u w:val="single"/>
        </w:rPr>
        <w:t xml:space="preserve">      </w:t>
      </w:r>
      <w:r>
        <w:rPr>
          <w:rFonts w:ascii="宋体" w:hAnsi="宋体"/>
          <w:color w:val="auto"/>
          <w:sz w:val="24"/>
          <w:highlight w:val="none"/>
        </w:rPr>
        <w:t xml:space="preserve"> </w:t>
      </w:r>
      <w:r>
        <w:rPr>
          <w:rFonts w:hint="eastAsia" w:ascii="宋体" w:hAnsi="宋体"/>
          <w:color w:val="auto"/>
          <w:sz w:val="24"/>
          <w:highlight w:val="none"/>
        </w:rPr>
        <w:t>的</w:t>
      </w:r>
      <w:r>
        <w:rPr>
          <w:rFonts w:ascii="宋体" w:hAnsi="宋体"/>
          <w:color w:val="auto"/>
          <w:sz w:val="24"/>
          <w:highlight w:val="none"/>
        </w:rPr>
        <w:t xml:space="preserve"> </w:t>
      </w:r>
      <w:r>
        <w:rPr>
          <w:rFonts w:ascii="宋体" w:hAnsi="宋体"/>
          <w:color w:val="auto"/>
          <w:sz w:val="24"/>
          <w:highlight w:val="none"/>
          <w:u w:val="single"/>
        </w:rPr>
        <w:t xml:space="preserve">                </w:t>
      </w:r>
      <w:r>
        <w:rPr>
          <w:rFonts w:hint="eastAsia" w:ascii="宋体" w:hAnsi="宋体"/>
          <w:color w:val="auto"/>
          <w:sz w:val="24"/>
          <w:highlight w:val="none"/>
        </w:rPr>
        <w:t>招标文件，遵照《中华人民共和国招标投标法》等有关规定，经踏勘项目现场和研究上述招标文件的投标须知、合同条件、技术规范、图纸、工程量清单和其他有关文件后，我方愿以</w:t>
      </w:r>
      <w:r>
        <w:rPr>
          <w:rFonts w:ascii="宋体" w:hAnsi="宋体"/>
          <w:color w:val="auto"/>
          <w:sz w:val="24"/>
          <w:highlight w:val="none"/>
        </w:rPr>
        <w:t xml:space="preserve"> </w:t>
      </w:r>
      <w:r>
        <w:rPr>
          <w:rFonts w:hint="eastAsia" w:ascii="宋体" w:hAnsi="宋体"/>
          <w:color w:val="auto"/>
          <w:sz w:val="24"/>
          <w:highlight w:val="none"/>
        </w:rPr>
        <w:t>（币种，金额、单位）</w:t>
      </w:r>
      <w:r>
        <w:rPr>
          <w:rFonts w:hint="eastAsia" w:ascii="宋体" w:hAnsi="宋体"/>
          <w:color w:val="auto"/>
          <w:sz w:val="24"/>
          <w:highlight w:val="none"/>
          <w:u w:val="single"/>
        </w:rPr>
        <w:t xml:space="preserve">人民币           元                  </w:t>
      </w:r>
      <w:r>
        <w:rPr>
          <w:rFonts w:hint="eastAsia" w:ascii="宋体" w:hAnsi="宋体"/>
          <w:color w:val="auto"/>
          <w:sz w:val="24"/>
          <w:highlight w:val="none"/>
        </w:rPr>
        <w:t>的投标总报价承包上述工程的施工、竣工，并承担任何质量缺陷保修责任。</w:t>
      </w:r>
    </w:p>
    <w:p w14:paraId="31FC03D2">
      <w:pPr>
        <w:tabs>
          <w:tab w:val="left" w:pos="840"/>
        </w:tabs>
        <w:adjustRightInd w:val="0"/>
        <w:snapToGrid w:val="0"/>
        <w:spacing w:line="560" w:lineRule="exact"/>
        <w:ind w:firstLine="480" w:firstLineChars="200"/>
        <w:rPr>
          <w:rFonts w:ascii="宋体" w:hAnsi="宋体"/>
          <w:color w:val="auto"/>
          <w:sz w:val="24"/>
          <w:highlight w:val="none"/>
        </w:rPr>
      </w:pPr>
      <w:r>
        <w:rPr>
          <w:rFonts w:hint="eastAsia" w:ascii="宋体" w:hAnsi="宋体"/>
          <w:color w:val="auto"/>
          <w:sz w:val="24"/>
          <w:highlight w:val="none"/>
        </w:rPr>
        <w:t>2、我方已详细审核全部招标文件及有关附件，承诺招标文件及有关附件中所有条款。</w:t>
      </w:r>
    </w:p>
    <w:p w14:paraId="7645C58F">
      <w:pPr>
        <w:adjustRightInd w:val="0"/>
        <w:snapToGrid w:val="0"/>
        <w:spacing w:line="560" w:lineRule="exact"/>
        <w:ind w:firstLine="480" w:firstLineChars="200"/>
        <w:rPr>
          <w:rFonts w:ascii="宋体" w:hAnsi="宋体"/>
          <w:color w:val="auto"/>
          <w:sz w:val="24"/>
          <w:highlight w:val="none"/>
        </w:rPr>
      </w:pPr>
      <w:r>
        <w:rPr>
          <w:rFonts w:hint="eastAsia" w:ascii="宋体" w:hAnsi="宋体"/>
          <w:color w:val="auto"/>
          <w:sz w:val="24"/>
          <w:highlight w:val="none"/>
        </w:rPr>
        <w:t>3、一旦我方中标，我方将派出</w:t>
      </w:r>
      <w:r>
        <w:rPr>
          <w:rFonts w:hint="eastAsia" w:ascii="宋体" w:hAnsi="宋体"/>
          <w:color w:val="auto"/>
          <w:sz w:val="24"/>
          <w:highlight w:val="none"/>
          <w:u w:val="single"/>
        </w:rPr>
        <w:t xml:space="preserve">           </w:t>
      </w:r>
      <w:r>
        <w:rPr>
          <w:rFonts w:hint="eastAsia" w:ascii="宋体" w:hAnsi="宋体"/>
          <w:color w:val="auto"/>
          <w:sz w:val="24"/>
          <w:highlight w:val="none"/>
        </w:rPr>
        <w:t>建造师为本工程项目经理，保证按照招标人要求开始本工程的施工，并在</w:t>
      </w:r>
      <w:r>
        <w:rPr>
          <w:rFonts w:ascii="宋体" w:hAnsi="宋体"/>
          <w:color w:val="auto"/>
          <w:sz w:val="24"/>
          <w:highlight w:val="none"/>
          <w:u w:val="single"/>
        </w:rPr>
        <w:t xml:space="preserve">       </w:t>
      </w:r>
      <w:r>
        <w:rPr>
          <w:rFonts w:hint="eastAsia" w:ascii="宋体" w:hAnsi="宋体"/>
          <w:color w:val="auto"/>
          <w:sz w:val="24"/>
          <w:highlight w:val="none"/>
        </w:rPr>
        <w:t>个日历天（工期）内完成本合同的施工，并移交整个工程，工程质量达到</w:t>
      </w:r>
      <w:r>
        <w:rPr>
          <w:rFonts w:ascii="宋体" w:hAnsi="宋体"/>
          <w:color w:val="auto"/>
          <w:sz w:val="24"/>
          <w:highlight w:val="none"/>
          <w:u w:val="single"/>
        </w:rPr>
        <w:t xml:space="preserve">          </w:t>
      </w:r>
      <w:r>
        <w:rPr>
          <w:rFonts w:hint="eastAsia" w:ascii="宋体" w:hAnsi="宋体"/>
          <w:color w:val="auto"/>
          <w:sz w:val="24"/>
          <w:highlight w:val="none"/>
        </w:rPr>
        <w:t xml:space="preserve"> 标准。</w:t>
      </w:r>
    </w:p>
    <w:p w14:paraId="31B73C47">
      <w:pPr>
        <w:adjustRightInd w:val="0"/>
        <w:snapToGrid w:val="0"/>
        <w:spacing w:line="560" w:lineRule="exact"/>
        <w:ind w:firstLine="480" w:firstLineChars="200"/>
        <w:rPr>
          <w:rFonts w:ascii="宋体" w:hAnsi="宋体"/>
          <w:color w:val="auto"/>
          <w:sz w:val="24"/>
          <w:highlight w:val="none"/>
        </w:rPr>
      </w:pPr>
      <w:r>
        <w:rPr>
          <w:rFonts w:hint="eastAsia" w:ascii="宋体" w:hAnsi="宋体"/>
          <w:color w:val="auto"/>
          <w:sz w:val="24"/>
          <w:highlight w:val="none"/>
        </w:rPr>
        <w:t>4、随本投标书，我方同时按照招标文件的要求提交投标保证金。如果我方在投标截止后撤销投标文件，或在中标后无正当理由不与招标人订立合同，在签订合同时向招标人提出附加条件，或者不按照招标文件要求提交履约保证金，贵单位有权不予退还投标保证金。</w:t>
      </w:r>
    </w:p>
    <w:p w14:paraId="4886ED47">
      <w:pPr>
        <w:adjustRightInd w:val="0"/>
        <w:snapToGrid w:val="0"/>
        <w:spacing w:line="560" w:lineRule="exact"/>
        <w:ind w:firstLine="480" w:firstLineChars="200"/>
        <w:rPr>
          <w:rFonts w:hint="eastAsia" w:ascii="宋体" w:hAnsi="宋体"/>
          <w:color w:val="auto"/>
          <w:sz w:val="24"/>
          <w:highlight w:val="none"/>
        </w:rPr>
      </w:pPr>
      <w:r>
        <w:rPr>
          <w:rFonts w:hint="eastAsia" w:ascii="宋体" w:hAnsi="宋体"/>
          <w:color w:val="auto"/>
          <w:sz w:val="24"/>
          <w:highlight w:val="none"/>
        </w:rPr>
        <w:t>5、如果我方中标我方将按照招标文件的规定提交履约担保。工程验收合格后，方可退还。</w:t>
      </w:r>
    </w:p>
    <w:p w14:paraId="03A4F013">
      <w:pPr>
        <w:adjustRightInd w:val="0"/>
        <w:snapToGrid w:val="0"/>
        <w:spacing w:line="560" w:lineRule="exact"/>
        <w:ind w:firstLine="480" w:firstLineChars="200"/>
        <w:jc w:val="left"/>
        <w:rPr>
          <w:rFonts w:hint="eastAsia" w:ascii="宋体" w:hAnsi="宋体"/>
          <w:color w:val="auto"/>
          <w:sz w:val="24"/>
          <w:highlight w:val="none"/>
        </w:rPr>
      </w:pPr>
      <w:r>
        <w:rPr>
          <w:rFonts w:hint="eastAsia" w:ascii="宋体" w:hAnsi="宋体"/>
          <w:color w:val="auto"/>
          <w:sz w:val="24"/>
          <w:highlight w:val="none"/>
        </w:rPr>
        <w:t>6、我方承诺在招标文件规定的投标有效期内不撤销投标文件。</w:t>
      </w:r>
    </w:p>
    <w:p w14:paraId="36811D99">
      <w:pPr>
        <w:adjustRightInd w:val="0"/>
        <w:snapToGrid w:val="0"/>
        <w:spacing w:line="560" w:lineRule="exact"/>
        <w:ind w:firstLine="480" w:firstLineChars="200"/>
        <w:jc w:val="left"/>
        <w:rPr>
          <w:rFonts w:hint="eastAsia" w:ascii="宋体" w:hAnsi="宋体"/>
          <w:color w:val="auto"/>
          <w:sz w:val="24"/>
          <w:highlight w:val="none"/>
        </w:rPr>
      </w:pPr>
      <w:r>
        <w:rPr>
          <w:rFonts w:hint="eastAsia" w:ascii="宋体" w:hAnsi="宋体"/>
          <w:color w:val="auto"/>
          <w:sz w:val="24"/>
          <w:highlight w:val="none"/>
        </w:rPr>
        <w:t>7、我单位提供如下通讯地址：</w:t>
      </w:r>
      <w:r>
        <w:rPr>
          <w:rFonts w:hint="eastAsia" w:ascii="宋体" w:hAnsi="宋体"/>
          <w:color w:val="auto"/>
          <w:sz w:val="24"/>
          <w:highlight w:val="none"/>
          <w:u w:val="single"/>
        </w:rPr>
        <w:t xml:space="preserve">                </w:t>
      </w:r>
      <w:r>
        <w:rPr>
          <w:rFonts w:hint="eastAsia" w:ascii="宋体" w:hAnsi="宋体"/>
          <w:color w:val="auto"/>
          <w:sz w:val="24"/>
          <w:highlight w:val="none"/>
        </w:rPr>
        <w:t>电子邮箱（地址），确认本项目相关法律文书均通过提供的以上地址送达，相关文书只要发送至以上电子邮箱（地址）即视为送达，投标人愿意承担一切法律后果。</w:t>
      </w:r>
    </w:p>
    <w:p w14:paraId="05F58956">
      <w:pPr>
        <w:adjustRightInd w:val="0"/>
        <w:snapToGrid w:val="0"/>
        <w:spacing w:line="560" w:lineRule="exact"/>
        <w:ind w:firstLine="480" w:firstLineChars="200"/>
        <w:jc w:val="left"/>
        <w:rPr>
          <w:rFonts w:hint="eastAsia" w:ascii="宋体" w:hAnsi="宋体" w:eastAsia="宋体"/>
          <w:color w:val="auto"/>
          <w:sz w:val="24"/>
          <w:highlight w:val="none"/>
          <w:lang w:eastAsia="zh-CN"/>
        </w:rPr>
      </w:pPr>
      <w:r>
        <w:rPr>
          <w:rFonts w:hint="eastAsia" w:ascii="宋体" w:hAnsi="宋体"/>
          <w:color w:val="auto"/>
          <w:sz w:val="24"/>
          <w:highlight w:val="none"/>
          <w:lang w:val="en-US" w:eastAsia="zh-CN"/>
        </w:rPr>
        <w:t>8、</w:t>
      </w:r>
      <w:r>
        <w:rPr>
          <w:rFonts w:hint="eastAsia" w:ascii="宋体" w:hAnsi="宋体"/>
          <w:color w:val="auto"/>
          <w:sz w:val="24"/>
          <w:highlight w:val="none"/>
        </w:rPr>
        <w:t>我方承诺，注册在我公司的现有注册建造师专业、数量，满足我公司响应本项目投标的资质等级对应的《建筑业企业资质标准》及有关文件中规定的注册建造师专业、数量要求。如有不实，我方接受管理部门相关处罚</w:t>
      </w:r>
      <w:r>
        <w:rPr>
          <w:rFonts w:hint="eastAsia" w:ascii="宋体" w:hAnsi="宋体"/>
          <w:color w:val="auto"/>
          <w:sz w:val="24"/>
          <w:highlight w:val="none"/>
          <w:lang w:eastAsia="zh-CN"/>
        </w:rPr>
        <w:t>。</w:t>
      </w:r>
    </w:p>
    <w:p w14:paraId="1516FDB2">
      <w:pPr>
        <w:adjustRightInd w:val="0"/>
        <w:snapToGrid w:val="0"/>
        <w:spacing w:line="560" w:lineRule="exact"/>
        <w:ind w:firstLine="480" w:firstLineChars="200"/>
        <w:jc w:val="left"/>
        <w:rPr>
          <w:rFonts w:hint="eastAsia" w:ascii="宋体" w:hAnsi="宋体"/>
          <w:color w:val="auto"/>
          <w:sz w:val="24"/>
          <w:highlight w:val="none"/>
        </w:rPr>
      </w:pPr>
      <w:r>
        <w:rPr>
          <w:rFonts w:hint="eastAsia" w:ascii="宋体" w:hAnsi="宋体"/>
          <w:color w:val="auto"/>
          <w:sz w:val="24"/>
          <w:highlight w:val="none"/>
          <w:lang w:val="en-US" w:eastAsia="zh-CN"/>
        </w:rPr>
        <w:t>9</w:t>
      </w:r>
      <w:r>
        <w:rPr>
          <w:rFonts w:hint="eastAsia" w:ascii="宋体" w:hAnsi="宋体"/>
          <w:color w:val="auto"/>
          <w:sz w:val="24"/>
          <w:highlight w:val="none"/>
          <w:lang w:eastAsia="zh-CN"/>
        </w:rPr>
        <w:t>、</w:t>
      </w:r>
      <w:r>
        <w:rPr>
          <w:rFonts w:hint="eastAsia" w:ascii="宋体" w:hAnsi="宋体"/>
          <w:color w:val="auto"/>
          <w:sz w:val="24"/>
          <w:highlight w:val="none"/>
          <w:u w:val="single"/>
        </w:rPr>
        <w:t xml:space="preserve">                           </w:t>
      </w:r>
      <w:r>
        <w:rPr>
          <w:rFonts w:hint="eastAsia" w:ascii="宋体" w:hAnsi="宋体"/>
          <w:color w:val="auto"/>
          <w:sz w:val="24"/>
          <w:highlight w:val="none"/>
        </w:rPr>
        <w:t>（其他补充说明</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如有</w:t>
      </w:r>
      <w:r>
        <w:rPr>
          <w:rFonts w:hint="eastAsia" w:ascii="宋体" w:hAnsi="宋体"/>
          <w:color w:val="auto"/>
          <w:sz w:val="24"/>
          <w:highlight w:val="none"/>
        </w:rPr>
        <w:t>）。</w:t>
      </w:r>
    </w:p>
    <w:p w14:paraId="2B0D4081">
      <w:pPr>
        <w:adjustRightInd w:val="0"/>
        <w:snapToGrid w:val="0"/>
        <w:spacing w:line="560" w:lineRule="exact"/>
        <w:ind w:firstLine="480" w:firstLineChars="200"/>
        <w:rPr>
          <w:rFonts w:hint="eastAsia" w:ascii="宋体" w:hAnsi="宋体"/>
          <w:color w:val="auto"/>
          <w:sz w:val="24"/>
          <w:highlight w:val="none"/>
        </w:rPr>
      </w:pPr>
    </w:p>
    <w:p w14:paraId="0D24D077">
      <w:pPr>
        <w:adjustRightInd w:val="0"/>
        <w:snapToGrid w:val="0"/>
        <w:spacing w:line="560" w:lineRule="exact"/>
        <w:ind w:firstLine="480" w:firstLineChars="200"/>
        <w:rPr>
          <w:rFonts w:ascii="宋体" w:hAnsi="宋体"/>
          <w:color w:val="auto"/>
          <w:sz w:val="24"/>
          <w:highlight w:val="none"/>
          <w:u w:val="single"/>
        </w:rPr>
      </w:pPr>
      <w:r>
        <w:rPr>
          <w:rFonts w:hint="eastAsia" w:ascii="宋体" w:hAnsi="宋体"/>
          <w:color w:val="auto"/>
          <w:sz w:val="24"/>
          <w:highlight w:val="none"/>
        </w:rPr>
        <w:t>投标人：</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（签章）</w:t>
      </w:r>
      <w:r>
        <w:rPr>
          <w:rFonts w:ascii="宋体" w:hAnsi="宋体"/>
          <w:color w:val="auto"/>
          <w:sz w:val="24"/>
          <w:highlight w:val="none"/>
          <w:u w:val="single"/>
        </w:rPr>
        <w:t xml:space="preserve">   </w:t>
      </w:r>
    </w:p>
    <w:p w14:paraId="48B17C9C">
      <w:pPr>
        <w:adjustRightInd w:val="0"/>
        <w:snapToGrid w:val="0"/>
        <w:spacing w:line="560" w:lineRule="exact"/>
        <w:ind w:firstLine="480" w:firstLineChars="200"/>
        <w:rPr>
          <w:rFonts w:ascii="宋体" w:hAnsi="宋体"/>
          <w:color w:val="auto"/>
          <w:sz w:val="24"/>
          <w:highlight w:val="none"/>
        </w:rPr>
      </w:pPr>
      <w:r>
        <w:rPr>
          <w:rFonts w:hint="eastAsia" w:ascii="宋体" w:hAnsi="宋体"/>
          <w:color w:val="auto"/>
          <w:sz w:val="24"/>
          <w:highlight w:val="none"/>
        </w:rPr>
        <w:t>法定代表人：</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（签章）联系人：                 </w:t>
      </w:r>
    </w:p>
    <w:p w14:paraId="301FCC43">
      <w:pPr>
        <w:adjustRightInd w:val="0"/>
        <w:snapToGrid w:val="0"/>
        <w:spacing w:line="560" w:lineRule="exact"/>
        <w:ind w:firstLine="480" w:firstLineChars="200"/>
        <w:rPr>
          <w:rFonts w:hint="eastAsia" w:ascii="宋体" w:hAnsi="宋体"/>
          <w:color w:val="auto"/>
          <w:sz w:val="24"/>
          <w:highlight w:val="none"/>
        </w:rPr>
      </w:pPr>
      <w:r>
        <w:rPr>
          <w:rFonts w:hint="eastAsia" w:ascii="宋体" w:hAnsi="宋体"/>
          <w:color w:val="auto"/>
          <w:sz w:val="24"/>
          <w:highlight w:val="none"/>
        </w:rPr>
        <w:t>单位地址：</w:t>
      </w:r>
      <w:r>
        <w:rPr>
          <w:rFonts w:hint="eastAsia" w:ascii="宋体" w:hAnsi="宋体"/>
          <w:color w:val="auto"/>
          <w:sz w:val="24"/>
          <w:highlight w:val="none"/>
          <w:u w:val="single"/>
        </w:rPr>
        <w:t xml:space="preserve">                                       </w:t>
      </w:r>
    </w:p>
    <w:p w14:paraId="376E3EE6">
      <w:pPr>
        <w:adjustRightInd w:val="0"/>
        <w:snapToGrid w:val="0"/>
        <w:spacing w:line="560" w:lineRule="exact"/>
        <w:ind w:firstLine="480" w:firstLineChars="200"/>
        <w:rPr>
          <w:rFonts w:ascii="宋体" w:hAnsi="宋体"/>
          <w:color w:val="auto"/>
          <w:sz w:val="24"/>
          <w:highlight w:val="none"/>
          <w:u w:val="single"/>
        </w:rPr>
      </w:pPr>
      <w:r>
        <w:rPr>
          <w:rFonts w:hint="eastAsia" w:ascii="宋体" w:hAnsi="宋体"/>
          <w:color w:val="auto"/>
          <w:sz w:val="24"/>
          <w:highlight w:val="none"/>
        </w:rPr>
        <w:t>邮政编码：</w:t>
      </w:r>
      <w:r>
        <w:rPr>
          <w:rFonts w:ascii="宋体" w:hAnsi="宋体"/>
          <w:color w:val="auto"/>
          <w:sz w:val="24"/>
          <w:highlight w:val="none"/>
          <w:u w:val="single"/>
        </w:rPr>
        <w:t xml:space="preserve">            </w:t>
      </w:r>
      <w:r>
        <w:rPr>
          <w:rFonts w:hint="eastAsia" w:ascii="宋体" w:hAnsi="宋体"/>
          <w:color w:val="auto"/>
          <w:sz w:val="24"/>
          <w:highlight w:val="none"/>
        </w:rPr>
        <w:t>联系人手机号码：</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传真：</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p>
    <w:p w14:paraId="6D0D3E69">
      <w:pPr>
        <w:adjustRightInd w:val="0"/>
        <w:snapToGrid w:val="0"/>
        <w:spacing w:line="560" w:lineRule="exact"/>
        <w:ind w:firstLine="480" w:firstLineChars="200"/>
        <w:rPr>
          <w:color w:val="auto"/>
          <w:szCs w:val="21"/>
          <w:highlight w:val="none"/>
          <w:u w:val="single"/>
        </w:rPr>
      </w:pPr>
      <w:r>
        <w:rPr>
          <w:rFonts w:hint="eastAsia" w:ascii="宋体" w:hAnsi="宋体"/>
          <w:color w:val="auto"/>
          <w:sz w:val="24"/>
          <w:highlight w:val="none"/>
        </w:rPr>
        <w:t>日期：</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年</w:t>
      </w:r>
      <w:r>
        <w:rPr>
          <w:rFonts w:ascii="宋体" w:hAnsi="宋体"/>
          <w:color w:val="auto"/>
          <w:sz w:val="24"/>
          <w:highlight w:val="non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月</w:t>
      </w:r>
      <w:r>
        <w:rPr>
          <w:rFonts w:ascii="宋体" w:hAnsi="宋体"/>
          <w:color w:val="auto"/>
          <w:sz w:val="24"/>
          <w:highlight w:val="non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日</w:t>
      </w:r>
    </w:p>
    <w:p w14:paraId="75F28610">
      <w:pPr>
        <w:pStyle w:val="4"/>
        <w:adjustRightInd w:val="0"/>
        <w:snapToGrid w:val="0"/>
        <w:spacing w:before="0" w:after="0" w:line="560" w:lineRule="exact"/>
        <w:jc w:val="center"/>
        <w:rPr>
          <w:color w:val="auto"/>
          <w:highlight w:val="none"/>
        </w:rPr>
        <w:sectPr>
          <w:pgSz w:w="11910" w:h="16840"/>
          <w:pgMar w:top="1060" w:right="660" w:bottom="1020" w:left="1120" w:header="0" w:footer="833" w:gutter="0"/>
          <w:pgNumType w:fmt="numberInDash"/>
          <w:cols w:space="720" w:num="1"/>
        </w:sectPr>
      </w:pPr>
      <w:bookmarkStart w:id="1525" w:name="_Toc95223544"/>
    </w:p>
    <w:p w14:paraId="4BB7AEB4">
      <w:pPr>
        <w:pStyle w:val="4"/>
        <w:adjustRightInd w:val="0"/>
        <w:snapToGrid w:val="0"/>
        <w:spacing w:before="0" w:after="0" w:line="560" w:lineRule="exact"/>
        <w:jc w:val="center"/>
        <w:rPr>
          <w:rFonts w:hint="eastAsia"/>
          <w:color w:val="auto"/>
          <w:highlight w:val="none"/>
        </w:rPr>
      </w:pPr>
      <w:r>
        <w:rPr>
          <w:rFonts w:hint="eastAsia"/>
          <w:color w:val="auto"/>
          <w:highlight w:val="none"/>
        </w:rPr>
        <w:t>（2）工程量清单报价书</w:t>
      </w:r>
      <w:bookmarkEnd w:id="1525"/>
    </w:p>
    <w:p w14:paraId="523756E1">
      <w:pPr>
        <w:jc w:val="center"/>
        <w:rPr>
          <w:rFonts w:ascii="Calibri" w:hAnsi="Calibri"/>
          <w:color w:val="auto"/>
          <w:sz w:val="32"/>
          <w:szCs w:val="32"/>
          <w:highlight w:val="none"/>
        </w:rPr>
      </w:pPr>
    </w:p>
    <w:p w14:paraId="4CAD78FF">
      <w:pPr>
        <w:jc w:val="center"/>
        <w:rPr>
          <w:rFonts w:ascii="Calibri" w:hAnsi="Calibri"/>
          <w:color w:val="auto"/>
          <w:sz w:val="32"/>
          <w:szCs w:val="32"/>
          <w:highlight w:val="none"/>
        </w:rPr>
      </w:pPr>
      <w:r>
        <w:rPr>
          <w:rFonts w:hint="eastAsia" w:ascii="仿宋_GB2312" w:hAnsi="Calibri" w:eastAsia="仿宋_GB2312"/>
          <w:b/>
          <w:color w:val="auto"/>
          <w:sz w:val="36"/>
          <w:szCs w:val="36"/>
          <w:highlight w:val="none"/>
        </w:rPr>
        <w:t>①</w:t>
      </w:r>
      <w:r>
        <w:rPr>
          <w:rFonts w:hint="eastAsia" w:ascii="Calibri" w:hAnsi="Calibri"/>
          <w:b/>
          <w:color w:val="auto"/>
          <w:sz w:val="36"/>
          <w:szCs w:val="36"/>
          <w:highlight w:val="none"/>
        </w:rPr>
        <w:t>工程量清单报价书（封面）</w:t>
      </w:r>
      <w:r>
        <w:rPr>
          <w:rFonts w:hint="eastAsia" w:ascii="Calibri" w:hAnsi="Calibri"/>
          <w:color w:val="auto"/>
          <w:sz w:val="32"/>
          <w:szCs w:val="32"/>
          <w:highlight w:val="none"/>
          <w:vertAlign w:val="superscript"/>
        </w:rPr>
        <w:t>1</w:t>
      </w:r>
    </w:p>
    <w:p w14:paraId="13D29AB2">
      <w:pPr>
        <w:jc w:val="center"/>
        <w:rPr>
          <w:rFonts w:ascii="Calibri" w:hAnsi="Calibri"/>
          <w:b/>
          <w:color w:val="auto"/>
          <w:sz w:val="32"/>
          <w:szCs w:val="32"/>
          <w:highlight w:val="none"/>
        </w:rPr>
      </w:pPr>
    </w:p>
    <w:p w14:paraId="178BF213">
      <w:pPr>
        <w:ind w:firstLine="643" w:firstLineChars="200"/>
        <w:jc w:val="center"/>
        <w:rPr>
          <w:rFonts w:ascii="Calibri" w:hAnsi="Calibri"/>
          <w:b/>
          <w:color w:val="auto"/>
          <w:sz w:val="32"/>
          <w:szCs w:val="32"/>
          <w:highlight w:val="none"/>
        </w:rPr>
      </w:pPr>
      <w:r>
        <w:rPr>
          <w:rFonts w:hint="eastAsia" w:ascii="Calibri" w:hAnsi="Calibri"/>
          <w:b/>
          <w:color w:val="auto"/>
          <w:sz w:val="32"/>
          <w:szCs w:val="32"/>
          <w:highlight w:val="none"/>
        </w:rPr>
        <w:t>投标总价</w:t>
      </w:r>
    </w:p>
    <w:p w14:paraId="51171B01">
      <w:pPr>
        <w:spacing w:line="800" w:lineRule="exact"/>
        <w:ind w:firstLine="640" w:firstLineChars="200"/>
        <w:rPr>
          <w:rFonts w:ascii="Calibri" w:hAnsi="Calibri"/>
          <w:color w:val="auto"/>
          <w:sz w:val="32"/>
          <w:szCs w:val="32"/>
          <w:highlight w:val="none"/>
          <w:u w:val="single"/>
        </w:rPr>
      </w:pPr>
      <w:r>
        <w:rPr>
          <w:rFonts w:hint="eastAsia" w:ascii="Calibri" w:hAnsi="Calibri"/>
          <w:color w:val="auto"/>
          <w:sz w:val="32"/>
          <w:szCs w:val="32"/>
          <w:highlight w:val="none"/>
        </w:rPr>
        <w:t>招标人：</w:t>
      </w:r>
      <w:r>
        <w:rPr>
          <w:rFonts w:hint="eastAsia" w:ascii="Calibri" w:hAnsi="Calibri"/>
          <w:color w:val="auto"/>
          <w:sz w:val="32"/>
          <w:szCs w:val="32"/>
          <w:highlight w:val="none"/>
          <w:u w:val="single"/>
        </w:rPr>
        <w:t xml:space="preserve">                                                 </w:t>
      </w:r>
    </w:p>
    <w:p w14:paraId="6C594C77">
      <w:pPr>
        <w:spacing w:line="800" w:lineRule="exact"/>
        <w:ind w:firstLine="640" w:firstLineChars="200"/>
        <w:rPr>
          <w:rFonts w:ascii="Calibri" w:hAnsi="Calibri"/>
          <w:color w:val="auto"/>
          <w:sz w:val="32"/>
          <w:szCs w:val="32"/>
          <w:highlight w:val="none"/>
        </w:rPr>
      </w:pPr>
      <w:r>
        <w:rPr>
          <w:rFonts w:hint="eastAsia" w:ascii="Calibri" w:hAnsi="Calibri"/>
          <w:color w:val="auto"/>
          <w:sz w:val="32"/>
          <w:szCs w:val="32"/>
          <w:highlight w:val="none"/>
        </w:rPr>
        <w:t>工程名称：</w:t>
      </w:r>
      <w:r>
        <w:rPr>
          <w:rFonts w:hint="eastAsia" w:ascii="Calibri" w:hAnsi="Calibri"/>
          <w:color w:val="auto"/>
          <w:sz w:val="32"/>
          <w:szCs w:val="32"/>
          <w:highlight w:val="none"/>
          <w:u w:val="single"/>
        </w:rPr>
        <w:t xml:space="preserve">                                               </w:t>
      </w:r>
    </w:p>
    <w:p w14:paraId="4084C186">
      <w:pPr>
        <w:spacing w:line="800" w:lineRule="exact"/>
        <w:ind w:firstLine="640" w:firstLineChars="200"/>
        <w:rPr>
          <w:rFonts w:ascii="Calibri" w:hAnsi="Calibri"/>
          <w:color w:val="auto"/>
          <w:sz w:val="32"/>
          <w:szCs w:val="32"/>
          <w:highlight w:val="none"/>
          <w:u w:val="single"/>
        </w:rPr>
      </w:pPr>
      <w:r>
        <w:rPr>
          <w:rFonts w:hint="eastAsia" w:ascii="Calibri" w:hAnsi="Calibri"/>
          <w:color w:val="auto"/>
          <w:sz w:val="32"/>
          <w:szCs w:val="32"/>
          <w:highlight w:val="none"/>
        </w:rPr>
        <w:t>投标总价（小写）：</w:t>
      </w:r>
      <w:r>
        <w:rPr>
          <w:rFonts w:hint="eastAsia" w:ascii="Calibri" w:hAnsi="Calibri"/>
          <w:color w:val="auto"/>
          <w:sz w:val="32"/>
          <w:szCs w:val="32"/>
          <w:highlight w:val="none"/>
          <w:u w:val="single"/>
        </w:rPr>
        <w:t xml:space="preserve">                                       </w:t>
      </w:r>
    </w:p>
    <w:p w14:paraId="16B6C7A4">
      <w:pPr>
        <w:spacing w:line="800" w:lineRule="exact"/>
        <w:ind w:firstLine="1920" w:firstLineChars="600"/>
        <w:rPr>
          <w:rFonts w:ascii="Calibri" w:hAnsi="Calibri"/>
          <w:color w:val="auto"/>
          <w:sz w:val="32"/>
          <w:szCs w:val="32"/>
          <w:highlight w:val="none"/>
        </w:rPr>
      </w:pPr>
      <w:r>
        <w:rPr>
          <w:rFonts w:hint="eastAsia" w:ascii="Calibri" w:hAnsi="Calibri"/>
          <w:color w:val="auto"/>
          <w:sz w:val="32"/>
          <w:szCs w:val="32"/>
          <w:highlight w:val="none"/>
        </w:rPr>
        <w:t>（大写）：</w:t>
      </w:r>
      <w:r>
        <w:rPr>
          <w:rFonts w:hint="eastAsia" w:ascii="Calibri" w:hAnsi="Calibri"/>
          <w:color w:val="auto"/>
          <w:sz w:val="32"/>
          <w:szCs w:val="32"/>
          <w:highlight w:val="none"/>
          <w:u w:val="single"/>
        </w:rPr>
        <w:t xml:space="preserve">                                       </w:t>
      </w:r>
    </w:p>
    <w:p w14:paraId="099AE455">
      <w:pPr>
        <w:spacing w:line="800" w:lineRule="exact"/>
        <w:ind w:firstLine="640" w:firstLineChars="200"/>
        <w:rPr>
          <w:rFonts w:ascii="Calibri" w:hAnsi="Calibri"/>
          <w:color w:val="auto"/>
          <w:sz w:val="32"/>
          <w:szCs w:val="32"/>
          <w:highlight w:val="none"/>
        </w:rPr>
      </w:pPr>
    </w:p>
    <w:p w14:paraId="2010C2B3">
      <w:pPr>
        <w:spacing w:line="800" w:lineRule="exact"/>
        <w:ind w:firstLine="640" w:firstLineChars="200"/>
        <w:rPr>
          <w:rFonts w:ascii="Calibri" w:hAnsi="Calibri"/>
          <w:color w:val="auto"/>
          <w:sz w:val="32"/>
          <w:szCs w:val="32"/>
          <w:highlight w:val="none"/>
        </w:rPr>
      </w:pPr>
      <w:r>
        <w:rPr>
          <w:rFonts w:hint="eastAsia" w:ascii="Calibri" w:hAnsi="Calibri"/>
          <w:color w:val="auto"/>
          <w:sz w:val="32"/>
          <w:szCs w:val="32"/>
          <w:highlight w:val="none"/>
        </w:rPr>
        <w:t>投 标 人：</w:t>
      </w:r>
      <w:r>
        <w:rPr>
          <w:rFonts w:hint="eastAsia" w:ascii="Calibri" w:hAnsi="Calibri"/>
          <w:color w:val="auto"/>
          <w:sz w:val="32"/>
          <w:szCs w:val="32"/>
          <w:highlight w:val="none"/>
          <w:u w:val="single"/>
        </w:rPr>
        <w:t xml:space="preserve">                                     </w:t>
      </w:r>
      <w:r>
        <w:rPr>
          <w:rFonts w:hint="eastAsia" w:ascii="Calibri" w:hAnsi="Calibri"/>
          <w:color w:val="auto"/>
          <w:sz w:val="32"/>
          <w:szCs w:val="32"/>
          <w:highlight w:val="none"/>
        </w:rPr>
        <w:t xml:space="preserve"> (单位盖章)</w:t>
      </w:r>
    </w:p>
    <w:p w14:paraId="69A1A80E">
      <w:pPr>
        <w:spacing w:line="800" w:lineRule="exact"/>
        <w:ind w:firstLine="640" w:firstLineChars="200"/>
        <w:rPr>
          <w:rFonts w:ascii="Calibri" w:hAnsi="Calibri"/>
          <w:color w:val="auto"/>
          <w:sz w:val="32"/>
          <w:szCs w:val="32"/>
          <w:highlight w:val="none"/>
        </w:rPr>
      </w:pPr>
    </w:p>
    <w:p w14:paraId="63A16E22">
      <w:pPr>
        <w:spacing w:line="800" w:lineRule="exact"/>
        <w:ind w:firstLine="640" w:firstLineChars="200"/>
        <w:rPr>
          <w:rFonts w:ascii="Calibri" w:hAnsi="Calibri"/>
          <w:color w:val="auto"/>
          <w:sz w:val="32"/>
          <w:szCs w:val="32"/>
          <w:highlight w:val="none"/>
        </w:rPr>
      </w:pPr>
      <w:r>
        <w:rPr>
          <w:rFonts w:hint="eastAsia" w:ascii="Calibri" w:hAnsi="Calibri"/>
          <w:color w:val="auto"/>
          <w:sz w:val="32"/>
          <w:szCs w:val="32"/>
          <w:highlight w:val="none"/>
        </w:rPr>
        <w:t>法定代表人：</w:t>
      </w:r>
      <w:r>
        <w:rPr>
          <w:rFonts w:hint="eastAsia" w:ascii="Calibri" w:hAnsi="Calibri"/>
          <w:color w:val="auto"/>
          <w:sz w:val="32"/>
          <w:szCs w:val="32"/>
          <w:highlight w:val="none"/>
          <w:u w:val="single"/>
        </w:rPr>
        <w:t xml:space="preserve">                                 </w:t>
      </w:r>
      <w:r>
        <w:rPr>
          <w:rFonts w:hint="eastAsia" w:ascii="Calibri" w:hAnsi="Calibri"/>
          <w:color w:val="auto"/>
          <w:sz w:val="32"/>
          <w:szCs w:val="32"/>
          <w:highlight w:val="none"/>
        </w:rPr>
        <w:t xml:space="preserve"> (签字或盖章)</w:t>
      </w:r>
    </w:p>
    <w:p w14:paraId="6388DFAE">
      <w:pPr>
        <w:spacing w:line="800" w:lineRule="exact"/>
        <w:ind w:firstLine="640" w:firstLineChars="200"/>
        <w:rPr>
          <w:rFonts w:ascii="Calibri" w:hAnsi="Calibri"/>
          <w:color w:val="auto"/>
          <w:sz w:val="32"/>
          <w:szCs w:val="32"/>
          <w:highlight w:val="none"/>
        </w:rPr>
      </w:pPr>
    </w:p>
    <w:p w14:paraId="2CFF3C62">
      <w:pPr>
        <w:spacing w:line="800" w:lineRule="exact"/>
        <w:ind w:firstLine="640" w:firstLineChars="200"/>
        <w:rPr>
          <w:rFonts w:ascii="Calibri" w:hAnsi="Calibri"/>
          <w:color w:val="auto"/>
          <w:sz w:val="32"/>
          <w:szCs w:val="32"/>
          <w:highlight w:val="none"/>
          <w:u w:val="single"/>
        </w:rPr>
      </w:pPr>
      <w:r>
        <w:rPr>
          <w:rFonts w:hint="eastAsia" w:ascii="Calibri" w:hAnsi="Calibri"/>
          <w:color w:val="auto"/>
          <w:sz w:val="32"/>
          <w:szCs w:val="32"/>
          <w:highlight w:val="none"/>
        </w:rPr>
        <w:t>编制人：</w:t>
      </w:r>
      <w:r>
        <w:rPr>
          <w:rFonts w:hint="eastAsia" w:ascii="Calibri" w:hAnsi="Calibri"/>
          <w:color w:val="auto"/>
          <w:sz w:val="32"/>
          <w:szCs w:val="32"/>
          <w:highlight w:val="none"/>
          <w:u w:val="single"/>
        </w:rPr>
        <w:t xml:space="preserve">                                                 </w:t>
      </w:r>
    </w:p>
    <w:p w14:paraId="5776B575">
      <w:pPr>
        <w:spacing w:line="800" w:lineRule="exact"/>
        <w:ind w:firstLine="2720" w:firstLineChars="850"/>
        <w:rPr>
          <w:rFonts w:ascii="Calibri" w:hAnsi="Calibri"/>
          <w:color w:val="auto"/>
          <w:sz w:val="32"/>
          <w:szCs w:val="32"/>
          <w:highlight w:val="none"/>
          <w:u w:val="single"/>
        </w:rPr>
      </w:pPr>
      <w:r>
        <w:rPr>
          <w:rFonts w:hint="eastAsia" w:ascii="Calibri" w:hAnsi="Calibri"/>
          <w:color w:val="auto"/>
          <w:sz w:val="32"/>
          <w:szCs w:val="32"/>
          <w:highlight w:val="none"/>
        </w:rPr>
        <w:t xml:space="preserve"> (注册造价工程师签字并盖执业专用章)</w:t>
      </w:r>
    </w:p>
    <w:p w14:paraId="4B609607">
      <w:pPr>
        <w:spacing w:line="800" w:lineRule="exact"/>
        <w:ind w:firstLine="640" w:firstLineChars="200"/>
        <w:rPr>
          <w:rFonts w:ascii="Calibri" w:hAnsi="Calibri"/>
          <w:color w:val="auto"/>
          <w:sz w:val="32"/>
          <w:szCs w:val="32"/>
          <w:highlight w:val="none"/>
        </w:rPr>
      </w:pPr>
    </w:p>
    <w:p w14:paraId="75D27789">
      <w:pPr>
        <w:spacing w:line="800" w:lineRule="exact"/>
        <w:ind w:firstLine="640" w:firstLineChars="200"/>
        <w:rPr>
          <w:rFonts w:ascii="Calibri" w:hAnsi="Calibri"/>
          <w:color w:val="auto"/>
          <w:sz w:val="32"/>
          <w:szCs w:val="32"/>
          <w:highlight w:val="none"/>
        </w:rPr>
      </w:pPr>
      <w:r>
        <w:rPr>
          <w:rFonts w:hint="eastAsia" w:ascii="Calibri" w:hAnsi="Calibri"/>
          <w:color w:val="auto"/>
          <w:sz w:val="32"/>
          <w:szCs w:val="32"/>
          <w:highlight w:val="none"/>
        </w:rPr>
        <w:t>编制时间：</w:t>
      </w:r>
      <w:r>
        <w:rPr>
          <w:rFonts w:hint="eastAsia" w:ascii="Calibri" w:hAnsi="Calibri"/>
          <w:color w:val="auto"/>
          <w:sz w:val="32"/>
          <w:szCs w:val="32"/>
          <w:highlight w:val="none"/>
          <w:u w:val="single"/>
        </w:rPr>
        <w:t xml:space="preserve">             </w:t>
      </w:r>
      <w:r>
        <w:rPr>
          <w:rFonts w:hint="eastAsia" w:ascii="Calibri" w:hAnsi="Calibri"/>
          <w:color w:val="auto"/>
          <w:sz w:val="32"/>
          <w:szCs w:val="32"/>
          <w:highlight w:val="none"/>
        </w:rPr>
        <w:t>年</w:t>
      </w:r>
      <w:r>
        <w:rPr>
          <w:rFonts w:hint="eastAsia" w:ascii="Calibri" w:hAnsi="Calibri"/>
          <w:color w:val="auto"/>
          <w:sz w:val="32"/>
          <w:szCs w:val="32"/>
          <w:highlight w:val="none"/>
          <w:u w:val="single"/>
        </w:rPr>
        <w:t xml:space="preserve">          </w:t>
      </w:r>
      <w:r>
        <w:rPr>
          <w:rFonts w:hint="eastAsia" w:ascii="Calibri" w:hAnsi="Calibri"/>
          <w:color w:val="auto"/>
          <w:sz w:val="32"/>
          <w:szCs w:val="32"/>
          <w:highlight w:val="none"/>
        </w:rPr>
        <w:t>月</w:t>
      </w:r>
      <w:r>
        <w:rPr>
          <w:rFonts w:hint="eastAsia" w:ascii="Calibri" w:hAnsi="Calibri"/>
          <w:color w:val="auto"/>
          <w:sz w:val="32"/>
          <w:szCs w:val="32"/>
          <w:highlight w:val="none"/>
          <w:u w:val="single"/>
        </w:rPr>
        <w:t xml:space="preserve">          </w:t>
      </w:r>
      <w:r>
        <w:rPr>
          <w:rFonts w:hint="eastAsia" w:ascii="Calibri" w:hAnsi="Calibri"/>
          <w:color w:val="auto"/>
          <w:sz w:val="32"/>
          <w:szCs w:val="32"/>
          <w:highlight w:val="none"/>
        </w:rPr>
        <w:t>日</w:t>
      </w:r>
    </w:p>
    <w:p w14:paraId="72AF004F">
      <w:pPr>
        <w:rPr>
          <w:rFonts w:ascii="Calibri" w:hAnsi="Calibri"/>
          <w:color w:val="auto"/>
          <w:sz w:val="32"/>
          <w:szCs w:val="32"/>
          <w:highlight w:val="none"/>
        </w:rPr>
      </w:pPr>
    </w:p>
    <w:p w14:paraId="6FE01363">
      <w:pPr>
        <w:rPr>
          <w:rFonts w:ascii="宋体" w:hAnsi="宋体"/>
          <w:color w:val="auto"/>
          <w:sz w:val="18"/>
          <w:szCs w:val="18"/>
          <w:highlight w:val="none"/>
        </w:rPr>
      </w:pPr>
      <w:r>
        <w:rPr>
          <w:rFonts w:hint="eastAsia" w:ascii="宋体" w:hAnsi="宋体"/>
          <w:color w:val="auto"/>
          <w:sz w:val="18"/>
          <w:szCs w:val="18"/>
          <w:highlight w:val="none"/>
        </w:rPr>
        <w:t>1注：投标文件格式中工程量清单报价书（封面）及投标报价编制人信息表与投标文件制作工具导出文件不一致的，以投标文件格式文件为准。</w:t>
      </w:r>
    </w:p>
    <w:p w14:paraId="6636EB2E">
      <w:pPr>
        <w:jc w:val="center"/>
        <w:rPr>
          <w:rFonts w:hint="eastAsia" w:ascii="宋体" w:hAnsi="宋体"/>
          <w:color w:val="auto"/>
          <w:sz w:val="32"/>
          <w:szCs w:val="32"/>
          <w:highlight w:val="none"/>
        </w:rPr>
      </w:pPr>
    </w:p>
    <w:p w14:paraId="0424A1AC">
      <w:pPr>
        <w:rPr>
          <w:rFonts w:hint="eastAsia" w:ascii="宋体" w:hAnsi="宋体"/>
          <w:color w:val="auto"/>
          <w:sz w:val="32"/>
          <w:szCs w:val="32"/>
          <w:highlight w:val="none"/>
        </w:rPr>
      </w:pPr>
    </w:p>
    <w:p w14:paraId="2E137EED">
      <w:pPr>
        <w:jc w:val="center"/>
        <w:rPr>
          <w:rFonts w:hint="eastAsia" w:ascii="宋体" w:hAnsi="宋体"/>
          <w:color w:val="auto"/>
          <w:sz w:val="32"/>
          <w:szCs w:val="32"/>
          <w:highlight w:val="none"/>
        </w:rPr>
      </w:pPr>
    </w:p>
    <w:p w14:paraId="07BFC027">
      <w:pPr>
        <w:jc w:val="center"/>
        <w:rPr>
          <w:rFonts w:ascii="Calibri" w:hAnsi="Calibri"/>
          <w:color w:val="auto"/>
          <w:sz w:val="32"/>
          <w:szCs w:val="32"/>
          <w:highlight w:val="none"/>
        </w:rPr>
      </w:pPr>
      <w:r>
        <w:rPr>
          <w:rFonts w:hint="eastAsia" w:ascii="宋体" w:hAnsi="宋体"/>
          <w:color w:val="auto"/>
          <w:sz w:val="32"/>
          <w:szCs w:val="32"/>
          <w:highlight w:val="none"/>
        </w:rPr>
        <w:t>②</w:t>
      </w:r>
      <w:r>
        <w:rPr>
          <w:rFonts w:hint="eastAsia" w:ascii="Calibri" w:hAnsi="Calibri"/>
          <w:color w:val="auto"/>
          <w:sz w:val="32"/>
          <w:szCs w:val="32"/>
          <w:highlight w:val="none"/>
        </w:rPr>
        <w:t>投标报价编制人信息表</w:t>
      </w:r>
      <w:r>
        <w:rPr>
          <w:rFonts w:hint="eastAsia" w:ascii="Calibri" w:hAnsi="Calibri"/>
          <w:color w:val="auto"/>
          <w:sz w:val="32"/>
          <w:szCs w:val="32"/>
          <w:highlight w:val="none"/>
          <w:vertAlign w:val="superscript"/>
        </w:rPr>
        <w:t>1</w:t>
      </w:r>
    </w:p>
    <w:p w14:paraId="535DF86B">
      <w:pPr>
        <w:jc w:val="center"/>
        <w:rPr>
          <w:rFonts w:ascii="Calibri" w:hAnsi="Calibri"/>
          <w:color w:val="auto"/>
          <w:sz w:val="32"/>
          <w:szCs w:val="32"/>
          <w:highlight w:val="none"/>
        </w:rPr>
      </w:pPr>
    </w:p>
    <w:tbl>
      <w:tblPr>
        <w:tblStyle w:val="20"/>
        <w:tblW w:w="102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7"/>
        <w:gridCol w:w="1216"/>
        <w:gridCol w:w="2951"/>
        <w:gridCol w:w="1737"/>
        <w:gridCol w:w="1563"/>
        <w:gridCol w:w="1967"/>
      </w:tblGrid>
      <w:tr w14:paraId="5B725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827" w:type="dxa"/>
            <w:noWrap w:val="0"/>
            <w:vAlign w:val="center"/>
          </w:tcPr>
          <w:p w14:paraId="371FC982">
            <w:pPr>
              <w:jc w:val="center"/>
              <w:rPr>
                <w:rFonts w:ascii="Calibri" w:hAnsi="Calibri"/>
                <w:color w:val="auto"/>
                <w:szCs w:val="22"/>
                <w:highlight w:val="none"/>
              </w:rPr>
            </w:pPr>
            <w:r>
              <w:rPr>
                <w:rFonts w:hint="eastAsia" w:ascii="Calibri" w:hAnsi="Calibri"/>
                <w:color w:val="auto"/>
                <w:szCs w:val="22"/>
                <w:highlight w:val="none"/>
              </w:rPr>
              <w:t>序号</w:t>
            </w:r>
          </w:p>
        </w:tc>
        <w:tc>
          <w:tcPr>
            <w:tcW w:w="1216" w:type="dxa"/>
            <w:noWrap w:val="0"/>
            <w:vAlign w:val="center"/>
          </w:tcPr>
          <w:p w14:paraId="56C3B67E">
            <w:pPr>
              <w:jc w:val="center"/>
              <w:rPr>
                <w:rFonts w:ascii="Calibri" w:hAnsi="Calibri"/>
                <w:color w:val="auto"/>
                <w:szCs w:val="22"/>
                <w:highlight w:val="none"/>
              </w:rPr>
            </w:pPr>
            <w:r>
              <w:rPr>
                <w:rFonts w:hint="eastAsia" w:ascii="Calibri" w:hAnsi="Calibri"/>
                <w:color w:val="auto"/>
                <w:szCs w:val="22"/>
                <w:highlight w:val="none"/>
              </w:rPr>
              <w:t>姓名</w:t>
            </w:r>
          </w:p>
        </w:tc>
        <w:tc>
          <w:tcPr>
            <w:tcW w:w="2951" w:type="dxa"/>
            <w:noWrap w:val="0"/>
            <w:vAlign w:val="center"/>
          </w:tcPr>
          <w:p w14:paraId="7F696B76">
            <w:pPr>
              <w:jc w:val="center"/>
              <w:rPr>
                <w:rFonts w:ascii="Calibri" w:hAnsi="Calibri"/>
                <w:color w:val="auto"/>
                <w:szCs w:val="22"/>
                <w:highlight w:val="none"/>
              </w:rPr>
            </w:pPr>
            <w:r>
              <w:rPr>
                <w:rFonts w:hint="eastAsia" w:ascii="Calibri" w:hAnsi="Calibri"/>
                <w:color w:val="auto"/>
                <w:szCs w:val="22"/>
                <w:highlight w:val="none"/>
              </w:rPr>
              <w:t>身份证号码</w:t>
            </w:r>
          </w:p>
        </w:tc>
        <w:tc>
          <w:tcPr>
            <w:tcW w:w="1737" w:type="dxa"/>
            <w:noWrap w:val="0"/>
            <w:vAlign w:val="center"/>
          </w:tcPr>
          <w:p w14:paraId="61C2EB78">
            <w:pPr>
              <w:jc w:val="center"/>
              <w:rPr>
                <w:rFonts w:ascii="Calibri" w:hAnsi="Calibri"/>
                <w:color w:val="auto"/>
                <w:szCs w:val="22"/>
                <w:highlight w:val="none"/>
              </w:rPr>
            </w:pPr>
            <w:r>
              <w:rPr>
                <w:rFonts w:hint="eastAsia" w:ascii="Calibri" w:hAnsi="Calibri"/>
                <w:color w:val="auto"/>
                <w:szCs w:val="22"/>
                <w:highlight w:val="none"/>
              </w:rPr>
              <w:t>手机号码</w:t>
            </w:r>
          </w:p>
        </w:tc>
        <w:tc>
          <w:tcPr>
            <w:tcW w:w="1563" w:type="dxa"/>
            <w:noWrap w:val="0"/>
            <w:vAlign w:val="center"/>
          </w:tcPr>
          <w:p w14:paraId="25C81188">
            <w:pPr>
              <w:jc w:val="center"/>
              <w:rPr>
                <w:rFonts w:ascii="Calibri" w:hAnsi="Calibri"/>
                <w:color w:val="auto"/>
                <w:szCs w:val="22"/>
                <w:highlight w:val="none"/>
              </w:rPr>
            </w:pPr>
            <w:r>
              <w:rPr>
                <w:rFonts w:hint="eastAsia" w:ascii="Calibri" w:hAnsi="Calibri"/>
                <w:color w:val="auto"/>
                <w:szCs w:val="22"/>
                <w:highlight w:val="none"/>
              </w:rPr>
              <w:t>单位名称</w:t>
            </w:r>
          </w:p>
        </w:tc>
        <w:tc>
          <w:tcPr>
            <w:tcW w:w="1967" w:type="dxa"/>
            <w:noWrap w:val="0"/>
            <w:vAlign w:val="center"/>
          </w:tcPr>
          <w:p w14:paraId="62EC5117">
            <w:pPr>
              <w:jc w:val="center"/>
              <w:rPr>
                <w:rFonts w:ascii="Calibri" w:hAnsi="Calibri"/>
                <w:color w:val="auto"/>
                <w:szCs w:val="22"/>
                <w:highlight w:val="none"/>
              </w:rPr>
            </w:pPr>
            <w:r>
              <w:rPr>
                <w:rFonts w:hint="eastAsia" w:ascii="Calibri" w:hAnsi="Calibri"/>
                <w:color w:val="auto"/>
                <w:szCs w:val="22"/>
                <w:highlight w:val="none"/>
              </w:rPr>
              <w:t>注册造价工程师注册证书号</w:t>
            </w:r>
          </w:p>
        </w:tc>
      </w:tr>
      <w:tr w14:paraId="62576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827" w:type="dxa"/>
            <w:noWrap w:val="0"/>
            <w:vAlign w:val="center"/>
          </w:tcPr>
          <w:p w14:paraId="68C4FBBF">
            <w:pPr>
              <w:jc w:val="center"/>
              <w:rPr>
                <w:rFonts w:ascii="Calibri" w:hAnsi="Calibri"/>
                <w:color w:val="auto"/>
                <w:szCs w:val="22"/>
                <w:highlight w:val="none"/>
              </w:rPr>
            </w:pPr>
          </w:p>
        </w:tc>
        <w:tc>
          <w:tcPr>
            <w:tcW w:w="1216" w:type="dxa"/>
            <w:noWrap w:val="0"/>
            <w:vAlign w:val="center"/>
          </w:tcPr>
          <w:p w14:paraId="732F9632">
            <w:pPr>
              <w:jc w:val="center"/>
              <w:rPr>
                <w:rFonts w:ascii="Calibri" w:hAnsi="Calibri"/>
                <w:color w:val="auto"/>
                <w:szCs w:val="22"/>
                <w:highlight w:val="none"/>
              </w:rPr>
            </w:pPr>
          </w:p>
        </w:tc>
        <w:tc>
          <w:tcPr>
            <w:tcW w:w="2951" w:type="dxa"/>
            <w:noWrap w:val="0"/>
            <w:vAlign w:val="center"/>
          </w:tcPr>
          <w:p w14:paraId="19542746">
            <w:pPr>
              <w:jc w:val="center"/>
              <w:rPr>
                <w:rFonts w:ascii="Calibri" w:hAnsi="Calibri"/>
                <w:color w:val="auto"/>
                <w:szCs w:val="22"/>
                <w:highlight w:val="none"/>
              </w:rPr>
            </w:pPr>
          </w:p>
        </w:tc>
        <w:tc>
          <w:tcPr>
            <w:tcW w:w="1737" w:type="dxa"/>
            <w:noWrap w:val="0"/>
            <w:vAlign w:val="center"/>
          </w:tcPr>
          <w:p w14:paraId="52BE13A5">
            <w:pPr>
              <w:jc w:val="center"/>
              <w:rPr>
                <w:rFonts w:ascii="Calibri" w:hAnsi="Calibri"/>
                <w:color w:val="auto"/>
                <w:szCs w:val="22"/>
                <w:highlight w:val="none"/>
              </w:rPr>
            </w:pPr>
          </w:p>
        </w:tc>
        <w:tc>
          <w:tcPr>
            <w:tcW w:w="1563" w:type="dxa"/>
            <w:noWrap w:val="0"/>
            <w:vAlign w:val="center"/>
          </w:tcPr>
          <w:p w14:paraId="29F843A1">
            <w:pPr>
              <w:jc w:val="center"/>
              <w:rPr>
                <w:rFonts w:ascii="Calibri" w:hAnsi="Calibri"/>
                <w:color w:val="auto"/>
                <w:szCs w:val="22"/>
                <w:highlight w:val="none"/>
              </w:rPr>
            </w:pPr>
          </w:p>
        </w:tc>
        <w:tc>
          <w:tcPr>
            <w:tcW w:w="1967" w:type="dxa"/>
            <w:noWrap w:val="0"/>
            <w:vAlign w:val="center"/>
          </w:tcPr>
          <w:p w14:paraId="5BD4275C">
            <w:pPr>
              <w:jc w:val="center"/>
              <w:rPr>
                <w:rFonts w:ascii="Calibri" w:hAnsi="Calibri"/>
                <w:color w:val="auto"/>
                <w:szCs w:val="22"/>
                <w:highlight w:val="none"/>
              </w:rPr>
            </w:pPr>
          </w:p>
        </w:tc>
      </w:tr>
      <w:tr w14:paraId="2D911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27" w:type="dxa"/>
            <w:noWrap w:val="0"/>
            <w:vAlign w:val="center"/>
          </w:tcPr>
          <w:p w14:paraId="410F911D">
            <w:pPr>
              <w:jc w:val="center"/>
              <w:rPr>
                <w:rFonts w:ascii="Calibri" w:hAnsi="Calibri"/>
                <w:color w:val="auto"/>
                <w:szCs w:val="22"/>
                <w:highlight w:val="none"/>
              </w:rPr>
            </w:pPr>
          </w:p>
        </w:tc>
        <w:tc>
          <w:tcPr>
            <w:tcW w:w="1216" w:type="dxa"/>
            <w:noWrap w:val="0"/>
            <w:vAlign w:val="center"/>
          </w:tcPr>
          <w:p w14:paraId="4A3BC8B8">
            <w:pPr>
              <w:jc w:val="center"/>
              <w:rPr>
                <w:rFonts w:ascii="Calibri" w:hAnsi="Calibri"/>
                <w:color w:val="auto"/>
                <w:szCs w:val="22"/>
                <w:highlight w:val="none"/>
              </w:rPr>
            </w:pPr>
          </w:p>
        </w:tc>
        <w:tc>
          <w:tcPr>
            <w:tcW w:w="2951" w:type="dxa"/>
            <w:noWrap w:val="0"/>
            <w:vAlign w:val="center"/>
          </w:tcPr>
          <w:p w14:paraId="043FFA27">
            <w:pPr>
              <w:jc w:val="center"/>
              <w:rPr>
                <w:rFonts w:ascii="Calibri" w:hAnsi="Calibri"/>
                <w:color w:val="auto"/>
                <w:szCs w:val="22"/>
                <w:highlight w:val="none"/>
              </w:rPr>
            </w:pPr>
          </w:p>
        </w:tc>
        <w:tc>
          <w:tcPr>
            <w:tcW w:w="1737" w:type="dxa"/>
            <w:noWrap w:val="0"/>
            <w:vAlign w:val="center"/>
          </w:tcPr>
          <w:p w14:paraId="267484EB">
            <w:pPr>
              <w:jc w:val="center"/>
              <w:rPr>
                <w:rFonts w:ascii="Calibri" w:hAnsi="Calibri"/>
                <w:color w:val="auto"/>
                <w:szCs w:val="22"/>
                <w:highlight w:val="none"/>
              </w:rPr>
            </w:pPr>
          </w:p>
        </w:tc>
        <w:tc>
          <w:tcPr>
            <w:tcW w:w="1563" w:type="dxa"/>
            <w:noWrap w:val="0"/>
            <w:vAlign w:val="center"/>
          </w:tcPr>
          <w:p w14:paraId="08E4D835">
            <w:pPr>
              <w:jc w:val="center"/>
              <w:rPr>
                <w:rFonts w:ascii="Calibri" w:hAnsi="Calibri"/>
                <w:color w:val="auto"/>
                <w:szCs w:val="22"/>
                <w:highlight w:val="none"/>
              </w:rPr>
            </w:pPr>
          </w:p>
        </w:tc>
        <w:tc>
          <w:tcPr>
            <w:tcW w:w="1967" w:type="dxa"/>
            <w:noWrap w:val="0"/>
            <w:vAlign w:val="center"/>
          </w:tcPr>
          <w:p w14:paraId="6EAC6924">
            <w:pPr>
              <w:jc w:val="center"/>
              <w:rPr>
                <w:rFonts w:ascii="Calibri" w:hAnsi="Calibri"/>
                <w:color w:val="auto"/>
                <w:szCs w:val="22"/>
                <w:highlight w:val="none"/>
              </w:rPr>
            </w:pPr>
          </w:p>
        </w:tc>
      </w:tr>
    </w:tbl>
    <w:p w14:paraId="41694CC1">
      <w:pPr>
        <w:rPr>
          <w:rFonts w:ascii="宋体" w:hAnsi="宋体"/>
          <w:b/>
          <w:color w:val="auto"/>
          <w:sz w:val="24"/>
          <w:highlight w:val="none"/>
        </w:rPr>
      </w:pPr>
    </w:p>
    <w:p w14:paraId="7B7EF294">
      <w:pPr>
        <w:spacing w:line="560" w:lineRule="exact"/>
        <w:rPr>
          <w:rFonts w:ascii="宋体" w:hAnsi="宋体"/>
          <w:b/>
          <w:color w:val="auto"/>
          <w:sz w:val="24"/>
          <w:highlight w:val="none"/>
        </w:rPr>
      </w:pPr>
      <w:r>
        <w:rPr>
          <w:rFonts w:hint="eastAsia" w:ascii="宋体" w:hAnsi="宋体"/>
          <w:b/>
          <w:color w:val="auto"/>
          <w:sz w:val="24"/>
          <w:highlight w:val="none"/>
        </w:rPr>
        <w:t>注：</w:t>
      </w:r>
    </w:p>
    <w:p w14:paraId="0991E5E8">
      <w:pPr>
        <w:spacing w:line="560" w:lineRule="exact"/>
        <w:rPr>
          <w:rFonts w:ascii="宋体" w:hAnsi="宋体"/>
          <w:color w:val="auto"/>
          <w:sz w:val="24"/>
          <w:highlight w:val="none"/>
        </w:rPr>
      </w:pPr>
      <w:r>
        <w:rPr>
          <w:rFonts w:hint="eastAsia" w:ascii="宋体" w:hAnsi="宋体"/>
          <w:color w:val="auto"/>
          <w:sz w:val="24"/>
          <w:highlight w:val="none"/>
        </w:rPr>
        <w:t>1. 提供投标报价编制人员的注册造价工程师证书扫描件或影印件；</w:t>
      </w:r>
    </w:p>
    <w:p w14:paraId="4170779B">
      <w:pPr>
        <w:spacing w:line="560" w:lineRule="exact"/>
        <w:rPr>
          <w:rFonts w:ascii="宋体" w:hAnsi="宋体"/>
          <w:color w:val="auto"/>
          <w:sz w:val="24"/>
          <w:highlight w:val="none"/>
        </w:rPr>
      </w:pPr>
      <w:r>
        <w:rPr>
          <w:rFonts w:hint="eastAsia" w:ascii="宋体" w:hAnsi="宋体"/>
          <w:color w:val="auto"/>
          <w:sz w:val="24"/>
          <w:highlight w:val="none"/>
        </w:rPr>
        <w:t>2. 若投标报价编制人员为投标人委托的造价咨询单位注册造价人员，须提供与造价咨询单位签订的委托协议。</w:t>
      </w:r>
    </w:p>
    <w:p w14:paraId="7A81F173">
      <w:pPr>
        <w:spacing w:line="560" w:lineRule="exact"/>
        <w:rPr>
          <w:rFonts w:ascii="宋体" w:hAnsi="宋体"/>
          <w:color w:val="auto"/>
          <w:sz w:val="24"/>
          <w:highlight w:val="none"/>
        </w:rPr>
      </w:pPr>
      <w:r>
        <w:rPr>
          <w:rFonts w:hint="eastAsia" w:ascii="宋体" w:hAnsi="宋体"/>
          <w:color w:val="auto"/>
          <w:sz w:val="24"/>
          <w:highlight w:val="none"/>
        </w:rPr>
        <w:t>3. 表格内容将作为公安机关和行政主管部门调查串通投标、允许他人以自己名义从事工程造价业务等违法违规行为的重要依据。</w:t>
      </w:r>
    </w:p>
    <w:p w14:paraId="2EDF8066">
      <w:pPr>
        <w:spacing w:line="560" w:lineRule="exact"/>
        <w:rPr>
          <w:rFonts w:ascii="宋体" w:hAnsi="宋体"/>
          <w:color w:val="auto"/>
          <w:sz w:val="24"/>
          <w:highlight w:val="none"/>
        </w:rPr>
      </w:pPr>
      <w:r>
        <w:rPr>
          <w:rFonts w:hint="eastAsia" w:ascii="宋体" w:hAnsi="宋体"/>
          <w:color w:val="auto"/>
          <w:sz w:val="24"/>
          <w:highlight w:val="none"/>
        </w:rPr>
        <w:t>4. 投标人填写内容务必真实准确，否则将承担投标失败、中标无效的风险。</w:t>
      </w:r>
    </w:p>
    <w:p w14:paraId="136B1320">
      <w:pPr>
        <w:spacing w:line="560" w:lineRule="exact"/>
        <w:rPr>
          <w:rFonts w:ascii="宋体" w:hAnsi="宋体"/>
          <w:color w:val="auto"/>
          <w:sz w:val="24"/>
          <w:highlight w:val="none"/>
        </w:rPr>
      </w:pPr>
    </w:p>
    <w:p w14:paraId="329DB3A7">
      <w:pPr>
        <w:spacing w:line="560" w:lineRule="exact"/>
        <w:rPr>
          <w:rFonts w:ascii="宋体" w:hAnsi="宋体"/>
          <w:color w:val="auto"/>
          <w:sz w:val="24"/>
          <w:highlight w:val="none"/>
        </w:rPr>
      </w:pPr>
    </w:p>
    <w:p w14:paraId="4B87D916">
      <w:pPr>
        <w:spacing w:line="560" w:lineRule="exact"/>
        <w:ind w:firstLine="480" w:firstLineChars="200"/>
        <w:rPr>
          <w:rFonts w:ascii="宋体" w:hAnsi="宋体"/>
          <w:color w:val="auto"/>
          <w:sz w:val="24"/>
          <w:highlight w:val="none"/>
        </w:rPr>
      </w:pPr>
      <w:r>
        <w:rPr>
          <w:rFonts w:hint="eastAsia" w:ascii="宋体" w:hAnsi="宋体"/>
          <w:color w:val="auto"/>
          <w:sz w:val="24"/>
          <w:highlight w:val="none"/>
        </w:rPr>
        <w:t>③工程量清单报价书正文格式：见2018版“工程量清单计价文件”格式，在滁州市公共资源交易中心网站下载招标文件后，使用投标文件制作工具导出“招标清单文件”，即为“工程量清单计价文件”正文格式。</w:t>
      </w:r>
    </w:p>
    <w:p w14:paraId="42825AE0">
      <w:pPr>
        <w:rPr>
          <w:rFonts w:ascii="宋体" w:hAnsi="宋体"/>
          <w:color w:val="auto"/>
          <w:sz w:val="24"/>
          <w:highlight w:val="none"/>
        </w:rPr>
      </w:pPr>
    </w:p>
    <w:p w14:paraId="15A85959">
      <w:pPr>
        <w:rPr>
          <w:rFonts w:ascii="宋体" w:hAnsi="宋体"/>
          <w:color w:val="auto"/>
          <w:sz w:val="24"/>
          <w:highlight w:val="none"/>
        </w:rPr>
      </w:pPr>
    </w:p>
    <w:p w14:paraId="37E830E9">
      <w:pPr>
        <w:rPr>
          <w:rFonts w:ascii="宋体" w:hAnsi="宋体"/>
          <w:color w:val="auto"/>
          <w:sz w:val="24"/>
          <w:highlight w:val="none"/>
        </w:rPr>
      </w:pPr>
    </w:p>
    <w:p w14:paraId="5CDA7818">
      <w:pPr>
        <w:rPr>
          <w:rFonts w:ascii="宋体" w:hAnsi="宋体"/>
          <w:color w:val="auto"/>
          <w:sz w:val="24"/>
          <w:highlight w:val="none"/>
        </w:rPr>
      </w:pPr>
    </w:p>
    <w:p w14:paraId="7A89A684">
      <w:pPr>
        <w:rPr>
          <w:rFonts w:ascii="宋体" w:hAnsi="宋体"/>
          <w:color w:val="auto"/>
          <w:sz w:val="24"/>
          <w:highlight w:val="none"/>
        </w:rPr>
      </w:pPr>
    </w:p>
    <w:p w14:paraId="68EE4804">
      <w:pPr>
        <w:rPr>
          <w:rFonts w:ascii="宋体" w:hAnsi="宋体"/>
          <w:color w:val="auto"/>
          <w:sz w:val="22"/>
          <w:highlight w:val="none"/>
        </w:rPr>
      </w:pPr>
    </w:p>
    <w:p w14:paraId="25BF5B11">
      <w:pPr>
        <w:rPr>
          <w:rFonts w:ascii="宋体" w:hAnsi="宋体"/>
          <w:color w:val="auto"/>
          <w:sz w:val="18"/>
          <w:highlight w:val="none"/>
        </w:rPr>
      </w:pPr>
      <w:r>
        <w:rPr>
          <w:rFonts w:hint="eastAsia" w:ascii="宋体" w:hAnsi="宋体"/>
          <w:color w:val="auto"/>
          <w:sz w:val="18"/>
          <w:highlight w:val="none"/>
          <w:vertAlign w:val="superscript"/>
        </w:rPr>
        <w:t>1</w:t>
      </w:r>
      <w:r>
        <w:rPr>
          <w:rFonts w:hint="eastAsia" w:ascii="宋体" w:hAnsi="宋体"/>
          <w:color w:val="auto"/>
          <w:sz w:val="18"/>
          <w:highlight w:val="none"/>
        </w:rPr>
        <w:t>注：投标文件格式中工程量清单报价书（封面）及投标报价编制人信息表与投标文件制作工具导出文件不一致的，以投标文件格式文件为准。</w:t>
      </w:r>
    </w:p>
    <w:p w14:paraId="2F1BE647">
      <w:pPr>
        <w:jc w:val="center"/>
        <w:rPr>
          <w:rFonts w:hint="eastAsia" w:ascii="Calibri" w:hAnsi="Calibri"/>
          <w:color w:val="auto"/>
          <w:sz w:val="32"/>
          <w:szCs w:val="32"/>
          <w:highlight w:val="none"/>
        </w:rPr>
      </w:pPr>
    </w:p>
    <w:p w14:paraId="476146A9">
      <w:pPr>
        <w:rPr>
          <w:rFonts w:hint="eastAsia"/>
          <w:color w:val="auto"/>
          <w:highlight w:val="none"/>
        </w:rPr>
      </w:pPr>
      <w:r>
        <w:rPr>
          <w:rFonts w:hint="eastAsia"/>
          <w:color w:val="auto"/>
          <w:highlight w:val="none"/>
        </w:rPr>
        <w:br w:type="page"/>
      </w:r>
    </w:p>
    <w:p w14:paraId="1E58F963">
      <w:pPr>
        <w:pStyle w:val="4"/>
        <w:adjustRightInd w:val="0"/>
        <w:snapToGrid w:val="0"/>
        <w:spacing w:before="0" w:after="0" w:line="560" w:lineRule="exact"/>
        <w:jc w:val="center"/>
        <w:rPr>
          <w:color w:val="auto"/>
          <w:highlight w:val="none"/>
        </w:rPr>
      </w:pPr>
      <w:bookmarkStart w:id="1526" w:name="_Toc95223545"/>
      <w:r>
        <w:rPr>
          <w:rFonts w:hint="eastAsia"/>
          <w:color w:val="auto"/>
          <w:highlight w:val="none"/>
        </w:rPr>
        <w:t>（</w:t>
      </w:r>
      <w:r>
        <w:rPr>
          <w:rFonts w:hint="eastAsia"/>
          <w:color w:val="auto"/>
          <w:highlight w:val="none"/>
          <w:lang w:val="en-US" w:eastAsia="zh-CN"/>
        </w:rPr>
        <w:t>3</w:t>
      </w:r>
      <w:r>
        <w:rPr>
          <w:rFonts w:hint="eastAsia"/>
          <w:color w:val="auto"/>
          <w:highlight w:val="none"/>
        </w:rPr>
        <w:t>）</w:t>
      </w:r>
      <w:r>
        <w:rPr>
          <w:color w:val="auto"/>
          <w:highlight w:val="none"/>
        </w:rPr>
        <w:t>招标人推荐的材料品牌响应表</w:t>
      </w:r>
      <w:bookmarkEnd w:id="1526"/>
    </w:p>
    <w:p w14:paraId="248CF17A">
      <w:pPr>
        <w:pStyle w:val="11"/>
        <w:tabs>
          <w:tab w:val="left" w:pos="6462"/>
          <w:tab w:val="left" w:pos="6988"/>
          <w:tab w:val="left" w:pos="7722"/>
        </w:tabs>
        <w:adjustRightInd w:val="0"/>
        <w:snapToGrid w:val="0"/>
        <w:spacing w:after="0" w:line="560" w:lineRule="exact"/>
        <w:jc w:val="center"/>
        <w:rPr>
          <w:color w:val="auto"/>
          <w:highlight w:val="none"/>
        </w:rPr>
      </w:pPr>
      <w:r>
        <w:rPr>
          <w:color w:val="auto"/>
          <w:highlight w:val="none"/>
        </w:rPr>
        <w:t>工程</w:t>
      </w:r>
      <w:r>
        <w:rPr>
          <w:color w:val="auto"/>
          <w:spacing w:val="-3"/>
          <w:highlight w:val="none"/>
        </w:rPr>
        <w:t>名</w:t>
      </w:r>
      <w:r>
        <w:rPr>
          <w:color w:val="auto"/>
          <w:highlight w:val="none"/>
        </w:rPr>
        <w:t>称：</w:t>
      </w:r>
      <w:r>
        <w:rPr>
          <w:rFonts w:hint="eastAsia"/>
          <w:color w:val="auto"/>
          <w:highlight w:val="none"/>
        </w:rPr>
        <w:t xml:space="preserve"> </w:t>
      </w:r>
      <w:r>
        <w:rPr>
          <w:color w:val="auto"/>
          <w:highlight w:val="none"/>
        </w:rPr>
        <w:tab/>
      </w:r>
      <w:r>
        <w:rPr>
          <w:color w:val="auto"/>
          <w:highlight w:val="none"/>
        </w:rPr>
        <w:t>第</w:t>
      </w:r>
      <w:r>
        <w:rPr>
          <w:color w:val="auto"/>
          <w:highlight w:val="none"/>
        </w:rPr>
        <w:tab/>
      </w:r>
      <w:r>
        <w:rPr>
          <w:color w:val="auto"/>
          <w:spacing w:val="-3"/>
          <w:highlight w:val="none"/>
        </w:rPr>
        <w:t>页</w:t>
      </w:r>
      <w:r>
        <w:rPr>
          <w:color w:val="auto"/>
          <w:highlight w:val="none"/>
        </w:rPr>
        <w:t>共</w:t>
      </w:r>
      <w:r>
        <w:rPr>
          <w:color w:val="auto"/>
          <w:highlight w:val="none"/>
        </w:rPr>
        <w:tab/>
      </w:r>
      <w:r>
        <w:rPr>
          <w:color w:val="auto"/>
          <w:highlight w:val="none"/>
        </w:rPr>
        <w:t>页</w:t>
      </w:r>
    </w:p>
    <w:p w14:paraId="76209F24">
      <w:pPr>
        <w:pStyle w:val="11"/>
        <w:tabs>
          <w:tab w:val="left" w:pos="6462"/>
          <w:tab w:val="left" w:pos="6988"/>
          <w:tab w:val="left" w:pos="7722"/>
        </w:tabs>
        <w:adjustRightInd w:val="0"/>
        <w:snapToGrid w:val="0"/>
        <w:spacing w:after="0" w:line="560" w:lineRule="exact"/>
        <w:jc w:val="center"/>
        <w:rPr>
          <w:b/>
          <w:color w:val="auto"/>
          <w:sz w:val="28"/>
          <w:highlight w:val="none"/>
        </w:rPr>
      </w:pPr>
      <w:r>
        <w:rPr>
          <w:b/>
          <w:color w:val="auto"/>
          <w:sz w:val="28"/>
          <w:highlight w:val="none"/>
        </w:rPr>
        <w:t>品牌推荐表（如要求）</w:t>
      </w:r>
    </w:p>
    <w:p w14:paraId="62063063">
      <w:pPr>
        <w:pStyle w:val="11"/>
        <w:adjustRightInd w:val="0"/>
        <w:snapToGrid w:val="0"/>
        <w:spacing w:after="0" w:line="560" w:lineRule="exact"/>
        <w:rPr>
          <w:b/>
          <w:color w:val="auto"/>
          <w:sz w:val="5"/>
          <w:highlight w:val="none"/>
        </w:rPr>
      </w:pPr>
    </w:p>
    <w:tbl>
      <w:tblPr>
        <w:tblStyle w:val="20"/>
        <w:tblW w:w="7816" w:type="dxa"/>
        <w:tblInd w:w="9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6"/>
        <w:gridCol w:w="1685"/>
        <w:gridCol w:w="794"/>
        <w:gridCol w:w="794"/>
        <w:gridCol w:w="794"/>
        <w:gridCol w:w="791"/>
        <w:gridCol w:w="635"/>
        <w:gridCol w:w="1687"/>
      </w:tblGrid>
      <w:tr w14:paraId="46F998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636" w:type="dxa"/>
            <w:noWrap w:val="0"/>
            <w:vAlign w:val="top"/>
          </w:tcPr>
          <w:p w14:paraId="013188F2">
            <w:pPr>
              <w:pStyle w:val="38"/>
              <w:adjustRightInd w:val="0"/>
              <w:snapToGrid w:val="0"/>
              <w:spacing w:line="560" w:lineRule="exact"/>
              <w:jc w:val="center"/>
              <w:rPr>
                <w:rFonts w:hint="eastAsia" w:ascii="黑体" w:eastAsia="黑体"/>
                <w:color w:val="auto"/>
                <w:highlight w:val="none"/>
              </w:rPr>
            </w:pPr>
            <w:r>
              <w:rPr>
                <w:rFonts w:hint="eastAsia" w:ascii="黑体" w:eastAsia="黑体"/>
                <w:color w:val="auto"/>
                <w:highlight w:val="none"/>
              </w:rPr>
              <w:t>序号</w:t>
            </w:r>
          </w:p>
        </w:tc>
        <w:tc>
          <w:tcPr>
            <w:tcW w:w="1685" w:type="dxa"/>
            <w:noWrap w:val="0"/>
            <w:vAlign w:val="top"/>
          </w:tcPr>
          <w:p w14:paraId="72B489C9">
            <w:pPr>
              <w:pStyle w:val="38"/>
              <w:adjustRightInd w:val="0"/>
              <w:snapToGrid w:val="0"/>
              <w:spacing w:line="560" w:lineRule="exact"/>
              <w:rPr>
                <w:rFonts w:hint="eastAsia" w:ascii="黑体" w:eastAsia="黑体"/>
                <w:color w:val="auto"/>
                <w:highlight w:val="none"/>
              </w:rPr>
            </w:pPr>
            <w:r>
              <w:rPr>
                <w:rFonts w:hint="eastAsia" w:ascii="黑体" w:eastAsia="黑体"/>
                <w:color w:val="auto"/>
                <w:highlight w:val="none"/>
              </w:rPr>
              <w:t>材料、设备名称</w:t>
            </w:r>
          </w:p>
        </w:tc>
        <w:tc>
          <w:tcPr>
            <w:tcW w:w="794" w:type="dxa"/>
            <w:noWrap w:val="0"/>
            <w:vAlign w:val="top"/>
          </w:tcPr>
          <w:p w14:paraId="4AA4E4D4">
            <w:pPr>
              <w:pStyle w:val="38"/>
              <w:adjustRightInd w:val="0"/>
              <w:snapToGrid w:val="0"/>
              <w:spacing w:line="560" w:lineRule="exact"/>
              <w:rPr>
                <w:rFonts w:hint="eastAsia" w:ascii="黑体" w:eastAsia="黑体"/>
                <w:color w:val="auto"/>
                <w:highlight w:val="none"/>
              </w:rPr>
            </w:pPr>
            <w:r>
              <w:rPr>
                <w:rFonts w:hint="eastAsia" w:ascii="黑体" w:eastAsia="黑体"/>
                <w:color w:val="auto"/>
                <w:highlight w:val="none"/>
              </w:rPr>
              <w:t>品牌 1</w:t>
            </w:r>
          </w:p>
        </w:tc>
        <w:tc>
          <w:tcPr>
            <w:tcW w:w="794" w:type="dxa"/>
            <w:noWrap w:val="0"/>
            <w:vAlign w:val="top"/>
          </w:tcPr>
          <w:p w14:paraId="6FB1B038">
            <w:pPr>
              <w:pStyle w:val="38"/>
              <w:adjustRightInd w:val="0"/>
              <w:snapToGrid w:val="0"/>
              <w:spacing w:line="560" w:lineRule="exact"/>
              <w:rPr>
                <w:rFonts w:hint="eastAsia" w:ascii="黑体" w:eastAsia="黑体"/>
                <w:color w:val="auto"/>
                <w:highlight w:val="none"/>
              </w:rPr>
            </w:pPr>
            <w:r>
              <w:rPr>
                <w:rFonts w:hint="eastAsia" w:ascii="黑体" w:eastAsia="黑体"/>
                <w:color w:val="auto"/>
                <w:highlight w:val="none"/>
              </w:rPr>
              <w:t>品牌 2</w:t>
            </w:r>
          </w:p>
        </w:tc>
        <w:tc>
          <w:tcPr>
            <w:tcW w:w="794" w:type="dxa"/>
            <w:noWrap w:val="0"/>
            <w:vAlign w:val="top"/>
          </w:tcPr>
          <w:p w14:paraId="23B95D3A">
            <w:pPr>
              <w:pStyle w:val="38"/>
              <w:adjustRightInd w:val="0"/>
              <w:snapToGrid w:val="0"/>
              <w:spacing w:line="560" w:lineRule="exact"/>
              <w:rPr>
                <w:rFonts w:hint="eastAsia" w:ascii="黑体" w:eastAsia="黑体"/>
                <w:color w:val="auto"/>
                <w:highlight w:val="none"/>
              </w:rPr>
            </w:pPr>
            <w:r>
              <w:rPr>
                <w:rFonts w:hint="eastAsia" w:ascii="黑体" w:eastAsia="黑体"/>
                <w:color w:val="auto"/>
                <w:highlight w:val="none"/>
              </w:rPr>
              <w:t>品牌 3</w:t>
            </w:r>
          </w:p>
        </w:tc>
        <w:tc>
          <w:tcPr>
            <w:tcW w:w="791" w:type="dxa"/>
            <w:noWrap w:val="0"/>
            <w:vAlign w:val="top"/>
          </w:tcPr>
          <w:p w14:paraId="3CE18D3E">
            <w:pPr>
              <w:pStyle w:val="38"/>
              <w:adjustRightInd w:val="0"/>
              <w:snapToGrid w:val="0"/>
              <w:spacing w:line="560" w:lineRule="exact"/>
              <w:rPr>
                <w:rFonts w:hint="eastAsia" w:ascii="黑体" w:eastAsia="黑体"/>
                <w:color w:val="auto"/>
                <w:highlight w:val="none"/>
              </w:rPr>
            </w:pPr>
            <w:r>
              <w:rPr>
                <w:rFonts w:hint="eastAsia" w:ascii="黑体" w:eastAsia="黑体"/>
                <w:color w:val="auto"/>
                <w:highlight w:val="none"/>
              </w:rPr>
              <w:t>品牌 4</w:t>
            </w:r>
          </w:p>
        </w:tc>
        <w:tc>
          <w:tcPr>
            <w:tcW w:w="635" w:type="dxa"/>
            <w:noWrap w:val="0"/>
            <w:vAlign w:val="top"/>
          </w:tcPr>
          <w:p w14:paraId="2E8E2707">
            <w:pPr>
              <w:pStyle w:val="38"/>
              <w:adjustRightInd w:val="0"/>
              <w:snapToGrid w:val="0"/>
              <w:spacing w:line="560" w:lineRule="exact"/>
              <w:rPr>
                <w:rFonts w:hint="eastAsia" w:ascii="黑体" w:eastAsia="黑体"/>
                <w:color w:val="auto"/>
                <w:highlight w:val="none"/>
              </w:rPr>
            </w:pPr>
            <w:r>
              <w:rPr>
                <w:rFonts w:hint="eastAsia" w:ascii="黑体" w:eastAsia="黑体"/>
                <w:color w:val="auto"/>
                <w:highlight w:val="none"/>
              </w:rPr>
              <w:t>备注</w:t>
            </w:r>
          </w:p>
        </w:tc>
        <w:tc>
          <w:tcPr>
            <w:tcW w:w="1687" w:type="dxa"/>
            <w:noWrap w:val="0"/>
            <w:vAlign w:val="top"/>
          </w:tcPr>
          <w:p w14:paraId="3C92C4EC">
            <w:pPr>
              <w:pStyle w:val="38"/>
              <w:adjustRightInd w:val="0"/>
              <w:snapToGrid w:val="0"/>
              <w:spacing w:line="560" w:lineRule="exact"/>
              <w:rPr>
                <w:rFonts w:hint="eastAsia" w:ascii="黑体" w:eastAsia="黑体"/>
                <w:color w:val="auto"/>
                <w:highlight w:val="none"/>
              </w:rPr>
            </w:pPr>
            <w:r>
              <w:rPr>
                <w:rFonts w:hint="eastAsia" w:ascii="黑体" w:eastAsia="黑体"/>
                <w:color w:val="auto"/>
                <w:highlight w:val="none"/>
              </w:rPr>
              <w:t>投标人选定品牌</w:t>
            </w:r>
          </w:p>
        </w:tc>
      </w:tr>
      <w:tr w14:paraId="6A3373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636" w:type="dxa"/>
            <w:noWrap w:val="0"/>
            <w:vAlign w:val="top"/>
          </w:tcPr>
          <w:p w14:paraId="653794EC">
            <w:pPr>
              <w:pStyle w:val="38"/>
              <w:adjustRightInd w:val="0"/>
              <w:snapToGrid w:val="0"/>
              <w:spacing w:line="560" w:lineRule="exact"/>
              <w:jc w:val="center"/>
              <w:rPr>
                <w:color w:val="auto"/>
                <w:highlight w:val="none"/>
              </w:rPr>
            </w:pPr>
            <w:r>
              <w:rPr>
                <w:color w:val="auto"/>
                <w:highlight w:val="none"/>
              </w:rPr>
              <w:t>1</w:t>
            </w:r>
          </w:p>
        </w:tc>
        <w:tc>
          <w:tcPr>
            <w:tcW w:w="1685" w:type="dxa"/>
            <w:noWrap w:val="0"/>
            <w:vAlign w:val="top"/>
          </w:tcPr>
          <w:p w14:paraId="24D42028">
            <w:pPr>
              <w:pStyle w:val="38"/>
              <w:adjustRightInd w:val="0"/>
              <w:snapToGrid w:val="0"/>
              <w:spacing w:line="560" w:lineRule="exact"/>
              <w:rPr>
                <w:rFonts w:ascii="Times New Roman"/>
                <w:color w:val="auto"/>
                <w:sz w:val="20"/>
                <w:highlight w:val="none"/>
              </w:rPr>
            </w:pPr>
          </w:p>
        </w:tc>
        <w:tc>
          <w:tcPr>
            <w:tcW w:w="794" w:type="dxa"/>
            <w:noWrap w:val="0"/>
            <w:vAlign w:val="top"/>
          </w:tcPr>
          <w:p w14:paraId="4F0B3799">
            <w:pPr>
              <w:pStyle w:val="38"/>
              <w:adjustRightInd w:val="0"/>
              <w:snapToGrid w:val="0"/>
              <w:spacing w:line="560" w:lineRule="exact"/>
              <w:rPr>
                <w:rFonts w:ascii="Times New Roman"/>
                <w:color w:val="auto"/>
                <w:sz w:val="20"/>
                <w:highlight w:val="none"/>
              </w:rPr>
            </w:pPr>
          </w:p>
        </w:tc>
        <w:tc>
          <w:tcPr>
            <w:tcW w:w="794" w:type="dxa"/>
            <w:noWrap w:val="0"/>
            <w:vAlign w:val="top"/>
          </w:tcPr>
          <w:p w14:paraId="157B071D">
            <w:pPr>
              <w:pStyle w:val="38"/>
              <w:adjustRightInd w:val="0"/>
              <w:snapToGrid w:val="0"/>
              <w:spacing w:line="560" w:lineRule="exact"/>
              <w:rPr>
                <w:rFonts w:ascii="Times New Roman"/>
                <w:color w:val="auto"/>
                <w:sz w:val="20"/>
                <w:highlight w:val="none"/>
              </w:rPr>
            </w:pPr>
          </w:p>
        </w:tc>
        <w:tc>
          <w:tcPr>
            <w:tcW w:w="794" w:type="dxa"/>
            <w:noWrap w:val="0"/>
            <w:vAlign w:val="top"/>
          </w:tcPr>
          <w:p w14:paraId="3A9C6D89">
            <w:pPr>
              <w:pStyle w:val="38"/>
              <w:adjustRightInd w:val="0"/>
              <w:snapToGrid w:val="0"/>
              <w:spacing w:line="560" w:lineRule="exact"/>
              <w:rPr>
                <w:rFonts w:ascii="Times New Roman"/>
                <w:color w:val="auto"/>
                <w:sz w:val="20"/>
                <w:highlight w:val="none"/>
              </w:rPr>
            </w:pPr>
          </w:p>
        </w:tc>
        <w:tc>
          <w:tcPr>
            <w:tcW w:w="791" w:type="dxa"/>
            <w:noWrap w:val="0"/>
            <w:vAlign w:val="top"/>
          </w:tcPr>
          <w:p w14:paraId="7614727A">
            <w:pPr>
              <w:pStyle w:val="38"/>
              <w:adjustRightInd w:val="0"/>
              <w:snapToGrid w:val="0"/>
              <w:spacing w:line="560" w:lineRule="exact"/>
              <w:rPr>
                <w:rFonts w:ascii="Times New Roman"/>
                <w:color w:val="auto"/>
                <w:sz w:val="20"/>
                <w:highlight w:val="none"/>
              </w:rPr>
            </w:pPr>
          </w:p>
        </w:tc>
        <w:tc>
          <w:tcPr>
            <w:tcW w:w="635" w:type="dxa"/>
            <w:noWrap w:val="0"/>
            <w:vAlign w:val="top"/>
          </w:tcPr>
          <w:p w14:paraId="551368DA">
            <w:pPr>
              <w:pStyle w:val="38"/>
              <w:adjustRightInd w:val="0"/>
              <w:snapToGrid w:val="0"/>
              <w:spacing w:line="560" w:lineRule="exact"/>
              <w:rPr>
                <w:rFonts w:ascii="Times New Roman"/>
                <w:color w:val="auto"/>
                <w:sz w:val="20"/>
                <w:highlight w:val="none"/>
              </w:rPr>
            </w:pPr>
          </w:p>
        </w:tc>
        <w:tc>
          <w:tcPr>
            <w:tcW w:w="1687" w:type="dxa"/>
            <w:noWrap w:val="0"/>
            <w:vAlign w:val="top"/>
          </w:tcPr>
          <w:p w14:paraId="41711263">
            <w:pPr>
              <w:pStyle w:val="38"/>
              <w:adjustRightInd w:val="0"/>
              <w:snapToGrid w:val="0"/>
              <w:spacing w:line="560" w:lineRule="exact"/>
              <w:rPr>
                <w:rFonts w:ascii="Times New Roman"/>
                <w:color w:val="auto"/>
                <w:sz w:val="20"/>
                <w:highlight w:val="none"/>
              </w:rPr>
            </w:pPr>
          </w:p>
        </w:tc>
      </w:tr>
      <w:tr w14:paraId="1CA07A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636" w:type="dxa"/>
            <w:noWrap w:val="0"/>
            <w:vAlign w:val="top"/>
          </w:tcPr>
          <w:p w14:paraId="10D0BF6F">
            <w:pPr>
              <w:pStyle w:val="38"/>
              <w:adjustRightInd w:val="0"/>
              <w:snapToGrid w:val="0"/>
              <w:spacing w:line="560" w:lineRule="exact"/>
              <w:jc w:val="center"/>
              <w:rPr>
                <w:color w:val="auto"/>
                <w:highlight w:val="none"/>
              </w:rPr>
            </w:pPr>
            <w:r>
              <w:rPr>
                <w:color w:val="auto"/>
                <w:highlight w:val="none"/>
              </w:rPr>
              <w:t>2</w:t>
            </w:r>
          </w:p>
        </w:tc>
        <w:tc>
          <w:tcPr>
            <w:tcW w:w="1685" w:type="dxa"/>
            <w:noWrap w:val="0"/>
            <w:vAlign w:val="top"/>
          </w:tcPr>
          <w:p w14:paraId="75A394AD">
            <w:pPr>
              <w:pStyle w:val="38"/>
              <w:adjustRightInd w:val="0"/>
              <w:snapToGrid w:val="0"/>
              <w:spacing w:line="560" w:lineRule="exact"/>
              <w:rPr>
                <w:rFonts w:ascii="Times New Roman"/>
                <w:color w:val="auto"/>
                <w:sz w:val="20"/>
                <w:highlight w:val="none"/>
              </w:rPr>
            </w:pPr>
          </w:p>
        </w:tc>
        <w:tc>
          <w:tcPr>
            <w:tcW w:w="794" w:type="dxa"/>
            <w:noWrap w:val="0"/>
            <w:vAlign w:val="top"/>
          </w:tcPr>
          <w:p w14:paraId="3BF83D07">
            <w:pPr>
              <w:pStyle w:val="38"/>
              <w:adjustRightInd w:val="0"/>
              <w:snapToGrid w:val="0"/>
              <w:spacing w:line="560" w:lineRule="exact"/>
              <w:rPr>
                <w:rFonts w:ascii="Times New Roman"/>
                <w:color w:val="auto"/>
                <w:sz w:val="20"/>
                <w:highlight w:val="none"/>
              </w:rPr>
            </w:pPr>
          </w:p>
        </w:tc>
        <w:tc>
          <w:tcPr>
            <w:tcW w:w="794" w:type="dxa"/>
            <w:noWrap w:val="0"/>
            <w:vAlign w:val="top"/>
          </w:tcPr>
          <w:p w14:paraId="2EB3070E">
            <w:pPr>
              <w:pStyle w:val="38"/>
              <w:adjustRightInd w:val="0"/>
              <w:snapToGrid w:val="0"/>
              <w:spacing w:line="560" w:lineRule="exact"/>
              <w:rPr>
                <w:rFonts w:ascii="Times New Roman"/>
                <w:color w:val="auto"/>
                <w:sz w:val="20"/>
                <w:highlight w:val="none"/>
              </w:rPr>
            </w:pPr>
          </w:p>
        </w:tc>
        <w:tc>
          <w:tcPr>
            <w:tcW w:w="794" w:type="dxa"/>
            <w:noWrap w:val="0"/>
            <w:vAlign w:val="top"/>
          </w:tcPr>
          <w:p w14:paraId="70B339F4">
            <w:pPr>
              <w:pStyle w:val="38"/>
              <w:adjustRightInd w:val="0"/>
              <w:snapToGrid w:val="0"/>
              <w:spacing w:line="560" w:lineRule="exact"/>
              <w:rPr>
                <w:rFonts w:ascii="Times New Roman"/>
                <w:color w:val="auto"/>
                <w:sz w:val="20"/>
                <w:highlight w:val="none"/>
              </w:rPr>
            </w:pPr>
          </w:p>
        </w:tc>
        <w:tc>
          <w:tcPr>
            <w:tcW w:w="791" w:type="dxa"/>
            <w:noWrap w:val="0"/>
            <w:vAlign w:val="top"/>
          </w:tcPr>
          <w:p w14:paraId="26ECF02B">
            <w:pPr>
              <w:pStyle w:val="38"/>
              <w:adjustRightInd w:val="0"/>
              <w:snapToGrid w:val="0"/>
              <w:spacing w:line="560" w:lineRule="exact"/>
              <w:rPr>
                <w:rFonts w:ascii="Times New Roman"/>
                <w:color w:val="auto"/>
                <w:sz w:val="20"/>
                <w:highlight w:val="none"/>
              </w:rPr>
            </w:pPr>
          </w:p>
        </w:tc>
        <w:tc>
          <w:tcPr>
            <w:tcW w:w="635" w:type="dxa"/>
            <w:noWrap w:val="0"/>
            <w:vAlign w:val="top"/>
          </w:tcPr>
          <w:p w14:paraId="7780EFF7">
            <w:pPr>
              <w:pStyle w:val="38"/>
              <w:adjustRightInd w:val="0"/>
              <w:snapToGrid w:val="0"/>
              <w:spacing w:line="560" w:lineRule="exact"/>
              <w:rPr>
                <w:rFonts w:ascii="Times New Roman"/>
                <w:color w:val="auto"/>
                <w:sz w:val="20"/>
                <w:highlight w:val="none"/>
              </w:rPr>
            </w:pPr>
          </w:p>
        </w:tc>
        <w:tc>
          <w:tcPr>
            <w:tcW w:w="1687" w:type="dxa"/>
            <w:noWrap w:val="0"/>
            <w:vAlign w:val="top"/>
          </w:tcPr>
          <w:p w14:paraId="3385CEBE">
            <w:pPr>
              <w:pStyle w:val="38"/>
              <w:adjustRightInd w:val="0"/>
              <w:snapToGrid w:val="0"/>
              <w:spacing w:line="560" w:lineRule="exact"/>
              <w:rPr>
                <w:rFonts w:ascii="Times New Roman"/>
                <w:color w:val="auto"/>
                <w:sz w:val="20"/>
                <w:highlight w:val="none"/>
              </w:rPr>
            </w:pPr>
          </w:p>
        </w:tc>
      </w:tr>
      <w:tr w14:paraId="4C1400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636" w:type="dxa"/>
            <w:tcBorders>
              <w:bottom w:val="single" w:color="000000" w:sz="6" w:space="0"/>
            </w:tcBorders>
            <w:noWrap w:val="0"/>
            <w:vAlign w:val="top"/>
          </w:tcPr>
          <w:p w14:paraId="1DAC346B">
            <w:pPr>
              <w:pStyle w:val="38"/>
              <w:adjustRightInd w:val="0"/>
              <w:snapToGrid w:val="0"/>
              <w:spacing w:line="560" w:lineRule="exact"/>
              <w:jc w:val="center"/>
              <w:rPr>
                <w:color w:val="auto"/>
                <w:highlight w:val="none"/>
              </w:rPr>
            </w:pPr>
            <w:r>
              <w:rPr>
                <w:color w:val="auto"/>
                <w:highlight w:val="none"/>
              </w:rPr>
              <w:t>3</w:t>
            </w:r>
          </w:p>
        </w:tc>
        <w:tc>
          <w:tcPr>
            <w:tcW w:w="1685" w:type="dxa"/>
            <w:tcBorders>
              <w:bottom w:val="single" w:color="000000" w:sz="6" w:space="0"/>
            </w:tcBorders>
            <w:noWrap w:val="0"/>
            <w:vAlign w:val="top"/>
          </w:tcPr>
          <w:p w14:paraId="3FFFC407">
            <w:pPr>
              <w:pStyle w:val="38"/>
              <w:adjustRightInd w:val="0"/>
              <w:snapToGrid w:val="0"/>
              <w:spacing w:line="560" w:lineRule="exact"/>
              <w:rPr>
                <w:rFonts w:ascii="Times New Roman"/>
                <w:color w:val="auto"/>
                <w:sz w:val="20"/>
                <w:highlight w:val="none"/>
              </w:rPr>
            </w:pPr>
          </w:p>
        </w:tc>
        <w:tc>
          <w:tcPr>
            <w:tcW w:w="794" w:type="dxa"/>
            <w:tcBorders>
              <w:bottom w:val="single" w:color="000000" w:sz="6" w:space="0"/>
            </w:tcBorders>
            <w:noWrap w:val="0"/>
            <w:vAlign w:val="top"/>
          </w:tcPr>
          <w:p w14:paraId="52B89033">
            <w:pPr>
              <w:pStyle w:val="38"/>
              <w:adjustRightInd w:val="0"/>
              <w:snapToGrid w:val="0"/>
              <w:spacing w:line="560" w:lineRule="exact"/>
              <w:rPr>
                <w:rFonts w:ascii="Times New Roman"/>
                <w:color w:val="auto"/>
                <w:sz w:val="20"/>
                <w:highlight w:val="none"/>
              </w:rPr>
            </w:pPr>
          </w:p>
        </w:tc>
        <w:tc>
          <w:tcPr>
            <w:tcW w:w="794" w:type="dxa"/>
            <w:tcBorders>
              <w:bottom w:val="single" w:color="000000" w:sz="6" w:space="0"/>
            </w:tcBorders>
            <w:noWrap w:val="0"/>
            <w:vAlign w:val="top"/>
          </w:tcPr>
          <w:p w14:paraId="4CFA3177">
            <w:pPr>
              <w:pStyle w:val="38"/>
              <w:adjustRightInd w:val="0"/>
              <w:snapToGrid w:val="0"/>
              <w:spacing w:line="560" w:lineRule="exact"/>
              <w:rPr>
                <w:rFonts w:ascii="Times New Roman"/>
                <w:color w:val="auto"/>
                <w:sz w:val="20"/>
                <w:highlight w:val="none"/>
              </w:rPr>
            </w:pPr>
          </w:p>
        </w:tc>
        <w:tc>
          <w:tcPr>
            <w:tcW w:w="794" w:type="dxa"/>
            <w:tcBorders>
              <w:bottom w:val="single" w:color="000000" w:sz="6" w:space="0"/>
            </w:tcBorders>
            <w:noWrap w:val="0"/>
            <w:vAlign w:val="top"/>
          </w:tcPr>
          <w:p w14:paraId="0A3CE799">
            <w:pPr>
              <w:pStyle w:val="38"/>
              <w:adjustRightInd w:val="0"/>
              <w:snapToGrid w:val="0"/>
              <w:spacing w:line="560" w:lineRule="exact"/>
              <w:rPr>
                <w:rFonts w:ascii="Times New Roman"/>
                <w:color w:val="auto"/>
                <w:sz w:val="20"/>
                <w:highlight w:val="none"/>
              </w:rPr>
            </w:pPr>
          </w:p>
        </w:tc>
        <w:tc>
          <w:tcPr>
            <w:tcW w:w="791" w:type="dxa"/>
            <w:tcBorders>
              <w:bottom w:val="single" w:color="000000" w:sz="6" w:space="0"/>
            </w:tcBorders>
            <w:noWrap w:val="0"/>
            <w:vAlign w:val="top"/>
          </w:tcPr>
          <w:p w14:paraId="00F71400">
            <w:pPr>
              <w:pStyle w:val="38"/>
              <w:adjustRightInd w:val="0"/>
              <w:snapToGrid w:val="0"/>
              <w:spacing w:line="560" w:lineRule="exact"/>
              <w:rPr>
                <w:rFonts w:ascii="Times New Roman"/>
                <w:color w:val="auto"/>
                <w:sz w:val="20"/>
                <w:highlight w:val="none"/>
              </w:rPr>
            </w:pPr>
          </w:p>
        </w:tc>
        <w:tc>
          <w:tcPr>
            <w:tcW w:w="635" w:type="dxa"/>
            <w:tcBorders>
              <w:bottom w:val="single" w:color="000000" w:sz="6" w:space="0"/>
            </w:tcBorders>
            <w:noWrap w:val="0"/>
            <w:vAlign w:val="top"/>
          </w:tcPr>
          <w:p w14:paraId="5B349140">
            <w:pPr>
              <w:pStyle w:val="38"/>
              <w:adjustRightInd w:val="0"/>
              <w:snapToGrid w:val="0"/>
              <w:spacing w:line="560" w:lineRule="exact"/>
              <w:rPr>
                <w:rFonts w:ascii="Times New Roman"/>
                <w:color w:val="auto"/>
                <w:sz w:val="20"/>
                <w:highlight w:val="none"/>
              </w:rPr>
            </w:pPr>
          </w:p>
        </w:tc>
        <w:tc>
          <w:tcPr>
            <w:tcW w:w="1687" w:type="dxa"/>
            <w:tcBorders>
              <w:bottom w:val="single" w:color="000000" w:sz="6" w:space="0"/>
            </w:tcBorders>
            <w:noWrap w:val="0"/>
            <w:vAlign w:val="top"/>
          </w:tcPr>
          <w:p w14:paraId="279A3732">
            <w:pPr>
              <w:pStyle w:val="38"/>
              <w:adjustRightInd w:val="0"/>
              <w:snapToGrid w:val="0"/>
              <w:spacing w:line="560" w:lineRule="exact"/>
              <w:rPr>
                <w:rFonts w:ascii="Times New Roman"/>
                <w:color w:val="auto"/>
                <w:sz w:val="20"/>
                <w:highlight w:val="none"/>
              </w:rPr>
            </w:pPr>
          </w:p>
        </w:tc>
      </w:tr>
      <w:tr w14:paraId="3DC470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636" w:type="dxa"/>
            <w:tcBorders>
              <w:top w:val="single" w:color="000000" w:sz="6" w:space="0"/>
            </w:tcBorders>
            <w:noWrap w:val="0"/>
            <w:vAlign w:val="top"/>
          </w:tcPr>
          <w:p w14:paraId="52633A6D">
            <w:pPr>
              <w:pStyle w:val="38"/>
              <w:adjustRightInd w:val="0"/>
              <w:snapToGrid w:val="0"/>
              <w:spacing w:line="560" w:lineRule="exact"/>
              <w:jc w:val="center"/>
              <w:rPr>
                <w:color w:val="auto"/>
                <w:highlight w:val="none"/>
              </w:rPr>
            </w:pPr>
            <w:r>
              <w:rPr>
                <w:color w:val="auto"/>
                <w:highlight w:val="none"/>
              </w:rPr>
              <w:t>4</w:t>
            </w:r>
          </w:p>
        </w:tc>
        <w:tc>
          <w:tcPr>
            <w:tcW w:w="1685" w:type="dxa"/>
            <w:tcBorders>
              <w:top w:val="single" w:color="000000" w:sz="6" w:space="0"/>
            </w:tcBorders>
            <w:noWrap w:val="0"/>
            <w:vAlign w:val="top"/>
          </w:tcPr>
          <w:p w14:paraId="0A4213B9">
            <w:pPr>
              <w:pStyle w:val="38"/>
              <w:adjustRightInd w:val="0"/>
              <w:snapToGrid w:val="0"/>
              <w:spacing w:line="560" w:lineRule="exact"/>
              <w:rPr>
                <w:rFonts w:ascii="Times New Roman"/>
                <w:color w:val="auto"/>
                <w:sz w:val="20"/>
                <w:highlight w:val="none"/>
              </w:rPr>
            </w:pPr>
          </w:p>
        </w:tc>
        <w:tc>
          <w:tcPr>
            <w:tcW w:w="794" w:type="dxa"/>
            <w:tcBorders>
              <w:top w:val="single" w:color="000000" w:sz="6" w:space="0"/>
            </w:tcBorders>
            <w:noWrap w:val="0"/>
            <w:vAlign w:val="top"/>
          </w:tcPr>
          <w:p w14:paraId="3AB47EB2">
            <w:pPr>
              <w:pStyle w:val="38"/>
              <w:adjustRightInd w:val="0"/>
              <w:snapToGrid w:val="0"/>
              <w:spacing w:line="560" w:lineRule="exact"/>
              <w:rPr>
                <w:rFonts w:ascii="Times New Roman"/>
                <w:color w:val="auto"/>
                <w:sz w:val="20"/>
                <w:highlight w:val="none"/>
              </w:rPr>
            </w:pPr>
          </w:p>
        </w:tc>
        <w:tc>
          <w:tcPr>
            <w:tcW w:w="794" w:type="dxa"/>
            <w:tcBorders>
              <w:top w:val="single" w:color="000000" w:sz="6" w:space="0"/>
            </w:tcBorders>
            <w:noWrap w:val="0"/>
            <w:vAlign w:val="top"/>
          </w:tcPr>
          <w:p w14:paraId="4D847318">
            <w:pPr>
              <w:pStyle w:val="38"/>
              <w:adjustRightInd w:val="0"/>
              <w:snapToGrid w:val="0"/>
              <w:spacing w:line="560" w:lineRule="exact"/>
              <w:rPr>
                <w:rFonts w:ascii="Times New Roman"/>
                <w:color w:val="auto"/>
                <w:sz w:val="20"/>
                <w:highlight w:val="none"/>
              </w:rPr>
            </w:pPr>
          </w:p>
        </w:tc>
        <w:tc>
          <w:tcPr>
            <w:tcW w:w="794" w:type="dxa"/>
            <w:tcBorders>
              <w:top w:val="single" w:color="000000" w:sz="6" w:space="0"/>
            </w:tcBorders>
            <w:noWrap w:val="0"/>
            <w:vAlign w:val="top"/>
          </w:tcPr>
          <w:p w14:paraId="68D82D27">
            <w:pPr>
              <w:pStyle w:val="38"/>
              <w:adjustRightInd w:val="0"/>
              <w:snapToGrid w:val="0"/>
              <w:spacing w:line="560" w:lineRule="exact"/>
              <w:rPr>
                <w:rFonts w:ascii="Times New Roman"/>
                <w:color w:val="auto"/>
                <w:sz w:val="20"/>
                <w:highlight w:val="none"/>
              </w:rPr>
            </w:pPr>
          </w:p>
        </w:tc>
        <w:tc>
          <w:tcPr>
            <w:tcW w:w="791" w:type="dxa"/>
            <w:tcBorders>
              <w:top w:val="single" w:color="000000" w:sz="6" w:space="0"/>
            </w:tcBorders>
            <w:noWrap w:val="0"/>
            <w:vAlign w:val="top"/>
          </w:tcPr>
          <w:p w14:paraId="0D74E7EA">
            <w:pPr>
              <w:pStyle w:val="38"/>
              <w:adjustRightInd w:val="0"/>
              <w:snapToGrid w:val="0"/>
              <w:spacing w:line="560" w:lineRule="exact"/>
              <w:rPr>
                <w:rFonts w:ascii="Times New Roman"/>
                <w:color w:val="auto"/>
                <w:sz w:val="20"/>
                <w:highlight w:val="none"/>
              </w:rPr>
            </w:pPr>
          </w:p>
        </w:tc>
        <w:tc>
          <w:tcPr>
            <w:tcW w:w="635" w:type="dxa"/>
            <w:tcBorders>
              <w:top w:val="single" w:color="000000" w:sz="6" w:space="0"/>
            </w:tcBorders>
            <w:noWrap w:val="0"/>
            <w:vAlign w:val="top"/>
          </w:tcPr>
          <w:p w14:paraId="1FD77E5A">
            <w:pPr>
              <w:pStyle w:val="38"/>
              <w:adjustRightInd w:val="0"/>
              <w:snapToGrid w:val="0"/>
              <w:spacing w:line="560" w:lineRule="exact"/>
              <w:rPr>
                <w:rFonts w:ascii="Times New Roman"/>
                <w:color w:val="auto"/>
                <w:sz w:val="20"/>
                <w:highlight w:val="none"/>
              </w:rPr>
            </w:pPr>
          </w:p>
        </w:tc>
        <w:tc>
          <w:tcPr>
            <w:tcW w:w="1687" w:type="dxa"/>
            <w:tcBorders>
              <w:top w:val="single" w:color="000000" w:sz="6" w:space="0"/>
            </w:tcBorders>
            <w:noWrap w:val="0"/>
            <w:vAlign w:val="top"/>
          </w:tcPr>
          <w:p w14:paraId="4DA630F0">
            <w:pPr>
              <w:pStyle w:val="38"/>
              <w:adjustRightInd w:val="0"/>
              <w:snapToGrid w:val="0"/>
              <w:spacing w:line="560" w:lineRule="exact"/>
              <w:rPr>
                <w:rFonts w:ascii="Times New Roman"/>
                <w:color w:val="auto"/>
                <w:sz w:val="20"/>
                <w:highlight w:val="none"/>
              </w:rPr>
            </w:pPr>
          </w:p>
        </w:tc>
      </w:tr>
      <w:tr w14:paraId="0814F5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636" w:type="dxa"/>
            <w:noWrap w:val="0"/>
            <w:vAlign w:val="top"/>
          </w:tcPr>
          <w:p w14:paraId="3CF2A41B">
            <w:pPr>
              <w:pStyle w:val="38"/>
              <w:adjustRightInd w:val="0"/>
              <w:snapToGrid w:val="0"/>
              <w:spacing w:line="560" w:lineRule="exact"/>
              <w:jc w:val="center"/>
              <w:rPr>
                <w:color w:val="auto"/>
                <w:highlight w:val="none"/>
              </w:rPr>
            </w:pPr>
            <w:r>
              <w:rPr>
                <w:color w:val="auto"/>
                <w:highlight w:val="none"/>
              </w:rPr>
              <w:t>5</w:t>
            </w:r>
          </w:p>
        </w:tc>
        <w:tc>
          <w:tcPr>
            <w:tcW w:w="1685" w:type="dxa"/>
            <w:noWrap w:val="0"/>
            <w:vAlign w:val="top"/>
          </w:tcPr>
          <w:p w14:paraId="246C979F">
            <w:pPr>
              <w:pStyle w:val="38"/>
              <w:adjustRightInd w:val="0"/>
              <w:snapToGrid w:val="0"/>
              <w:spacing w:line="560" w:lineRule="exact"/>
              <w:rPr>
                <w:rFonts w:ascii="Times New Roman"/>
                <w:color w:val="auto"/>
                <w:sz w:val="20"/>
                <w:highlight w:val="none"/>
              </w:rPr>
            </w:pPr>
          </w:p>
        </w:tc>
        <w:tc>
          <w:tcPr>
            <w:tcW w:w="794" w:type="dxa"/>
            <w:noWrap w:val="0"/>
            <w:vAlign w:val="top"/>
          </w:tcPr>
          <w:p w14:paraId="1538EF86">
            <w:pPr>
              <w:pStyle w:val="38"/>
              <w:adjustRightInd w:val="0"/>
              <w:snapToGrid w:val="0"/>
              <w:spacing w:line="560" w:lineRule="exact"/>
              <w:rPr>
                <w:rFonts w:ascii="Times New Roman"/>
                <w:color w:val="auto"/>
                <w:sz w:val="20"/>
                <w:highlight w:val="none"/>
              </w:rPr>
            </w:pPr>
          </w:p>
        </w:tc>
        <w:tc>
          <w:tcPr>
            <w:tcW w:w="794" w:type="dxa"/>
            <w:noWrap w:val="0"/>
            <w:vAlign w:val="top"/>
          </w:tcPr>
          <w:p w14:paraId="5E221A02">
            <w:pPr>
              <w:pStyle w:val="38"/>
              <w:adjustRightInd w:val="0"/>
              <w:snapToGrid w:val="0"/>
              <w:spacing w:line="560" w:lineRule="exact"/>
              <w:rPr>
                <w:rFonts w:ascii="Times New Roman"/>
                <w:color w:val="auto"/>
                <w:sz w:val="20"/>
                <w:highlight w:val="none"/>
              </w:rPr>
            </w:pPr>
          </w:p>
        </w:tc>
        <w:tc>
          <w:tcPr>
            <w:tcW w:w="794" w:type="dxa"/>
            <w:noWrap w:val="0"/>
            <w:vAlign w:val="top"/>
          </w:tcPr>
          <w:p w14:paraId="2708420B">
            <w:pPr>
              <w:pStyle w:val="38"/>
              <w:adjustRightInd w:val="0"/>
              <w:snapToGrid w:val="0"/>
              <w:spacing w:line="560" w:lineRule="exact"/>
              <w:rPr>
                <w:rFonts w:ascii="Times New Roman"/>
                <w:color w:val="auto"/>
                <w:sz w:val="20"/>
                <w:highlight w:val="none"/>
              </w:rPr>
            </w:pPr>
          </w:p>
        </w:tc>
        <w:tc>
          <w:tcPr>
            <w:tcW w:w="791" w:type="dxa"/>
            <w:noWrap w:val="0"/>
            <w:vAlign w:val="top"/>
          </w:tcPr>
          <w:p w14:paraId="524FAFB9">
            <w:pPr>
              <w:pStyle w:val="38"/>
              <w:adjustRightInd w:val="0"/>
              <w:snapToGrid w:val="0"/>
              <w:spacing w:line="560" w:lineRule="exact"/>
              <w:rPr>
                <w:rFonts w:ascii="Times New Roman"/>
                <w:color w:val="auto"/>
                <w:sz w:val="20"/>
                <w:highlight w:val="none"/>
              </w:rPr>
            </w:pPr>
          </w:p>
        </w:tc>
        <w:tc>
          <w:tcPr>
            <w:tcW w:w="635" w:type="dxa"/>
            <w:noWrap w:val="0"/>
            <w:vAlign w:val="top"/>
          </w:tcPr>
          <w:p w14:paraId="10F5EE6A">
            <w:pPr>
              <w:pStyle w:val="38"/>
              <w:adjustRightInd w:val="0"/>
              <w:snapToGrid w:val="0"/>
              <w:spacing w:line="560" w:lineRule="exact"/>
              <w:rPr>
                <w:rFonts w:ascii="Times New Roman"/>
                <w:color w:val="auto"/>
                <w:sz w:val="20"/>
                <w:highlight w:val="none"/>
              </w:rPr>
            </w:pPr>
          </w:p>
        </w:tc>
        <w:tc>
          <w:tcPr>
            <w:tcW w:w="1687" w:type="dxa"/>
            <w:noWrap w:val="0"/>
            <w:vAlign w:val="top"/>
          </w:tcPr>
          <w:p w14:paraId="618D62E0">
            <w:pPr>
              <w:pStyle w:val="38"/>
              <w:adjustRightInd w:val="0"/>
              <w:snapToGrid w:val="0"/>
              <w:spacing w:line="560" w:lineRule="exact"/>
              <w:rPr>
                <w:rFonts w:ascii="Times New Roman"/>
                <w:color w:val="auto"/>
                <w:sz w:val="20"/>
                <w:highlight w:val="none"/>
              </w:rPr>
            </w:pPr>
          </w:p>
        </w:tc>
      </w:tr>
      <w:tr w14:paraId="008C4E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636" w:type="dxa"/>
            <w:noWrap w:val="0"/>
            <w:vAlign w:val="top"/>
          </w:tcPr>
          <w:p w14:paraId="6728BF4B">
            <w:pPr>
              <w:pStyle w:val="38"/>
              <w:adjustRightInd w:val="0"/>
              <w:snapToGrid w:val="0"/>
              <w:spacing w:line="560" w:lineRule="exact"/>
              <w:jc w:val="center"/>
              <w:rPr>
                <w:color w:val="auto"/>
                <w:highlight w:val="none"/>
              </w:rPr>
            </w:pPr>
            <w:r>
              <w:rPr>
                <w:color w:val="auto"/>
                <w:highlight w:val="none"/>
              </w:rPr>
              <w:t>6</w:t>
            </w:r>
          </w:p>
        </w:tc>
        <w:tc>
          <w:tcPr>
            <w:tcW w:w="1685" w:type="dxa"/>
            <w:noWrap w:val="0"/>
            <w:vAlign w:val="top"/>
          </w:tcPr>
          <w:p w14:paraId="700449D0">
            <w:pPr>
              <w:pStyle w:val="38"/>
              <w:adjustRightInd w:val="0"/>
              <w:snapToGrid w:val="0"/>
              <w:spacing w:line="560" w:lineRule="exact"/>
              <w:rPr>
                <w:rFonts w:ascii="Times New Roman"/>
                <w:color w:val="auto"/>
                <w:sz w:val="20"/>
                <w:highlight w:val="none"/>
              </w:rPr>
            </w:pPr>
          </w:p>
        </w:tc>
        <w:tc>
          <w:tcPr>
            <w:tcW w:w="794" w:type="dxa"/>
            <w:noWrap w:val="0"/>
            <w:vAlign w:val="top"/>
          </w:tcPr>
          <w:p w14:paraId="35BFDEF9">
            <w:pPr>
              <w:pStyle w:val="38"/>
              <w:adjustRightInd w:val="0"/>
              <w:snapToGrid w:val="0"/>
              <w:spacing w:line="560" w:lineRule="exact"/>
              <w:rPr>
                <w:rFonts w:ascii="Times New Roman"/>
                <w:color w:val="auto"/>
                <w:sz w:val="20"/>
                <w:highlight w:val="none"/>
              </w:rPr>
            </w:pPr>
          </w:p>
        </w:tc>
        <w:tc>
          <w:tcPr>
            <w:tcW w:w="794" w:type="dxa"/>
            <w:noWrap w:val="0"/>
            <w:vAlign w:val="top"/>
          </w:tcPr>
          <w:p w14:paraId="426C3E57">
            <w:pPr>
              <w:pStyle w:val="38"/>
              <w:adjustRightInd w:val="0"/>
              <w:snapToGrid w:val="0"/>
              <w:spacing w:line="560" w:lineRule="exact"/>
              <w:rPr>
                <w:rFonts w:ascii="Times New Roman"/>
                <w:color w:val="auto"/>
                <w:sz w:val="20"/>
                <w:highlight w:val="none"/>
              </w:rPr>
            </w:pPr>
          </w:p>
        </w:tc>
        <w:tc>
          <w:tcPr>
            <w:tcW w:w="794" w:type="dxa"/>
            <w:noWrap w:val="0"/>
            <w:vAlign w:val="top"/>
          </w:tcPr>
          <w:p w14:paraId="14FF6521">
            <w:pPr>
              <w:pStyle w:val="38"/>
              <w:adjustRightInd w:val="0"/>
              <w:snapToGrid w:val="0"/>
              <w:spacing w:line="560" w:lineRule="exact"/>
              <w:rPr>
                <w:rFonts w:ascii="Times New Roman"/>
                <w:color w:val="auto"/>
                <w:sz w:val="20"/>
                <w:highlight w:val="none"/>
              </w:rPr>
            </w:pPr>
          </w:p>
        </w:tc>
        <w:tc>
          <w:tcPr>
            <w:tcW w:w="791" w:type="dxa"/>
            <w:noWrap w:val="0"/>
            <w:vAlign w:val="top"/>
          </w:tcPr>
          <w:p w14:paraId="77139BEA">
            <w:pPr>
              <w:pStyle w:val="38"/>
              <w:adjustRightInd w:val="0"/>
              <w:snapToGrid w:val="0"/>
              <w:spacing w:line="560" w:lineRule="exact"/>
              <w:rPr>
                <w:rFonts w:ascii="Times New Roman"/>
                <w:color w:val="auto"/>
                <w:sz w:val="20"/>
                <w:highlight w:val="none"/>
              </w:rPr>
            </w:pPr>
          </w:p>
        </w:tc>
        <w:tc>
          <w:tcPr>
            <w:tcW w:w="635" w:type="dxa"/>
            <w:noWrap w:val="0"/>
            <w:vAlign w:val="top"/>
          </w:tcPr>
          <w:p w14:paraId="08924835">
            <w:pPr>
              <w:pStyle w:val="38"/>
              <w:adjustRightInd w:val="0"/>
              <w:snapToGrid w:val="0"/>
              <w:spacing w:line="560" w:lineRule="exact"/>
              <w:rPr>
                <w:rFonts w:ascii="Times New Roman"/>
                <w:color w:val="auto"/>
                <w:sz w:val="20"/>
                <w:highlight w:val="none"/>
              </w:rPr>
            </w:pPr>
          </w:p>
        </w:tc>
        <w:tc>
          <w:tcPr>
            <w:tcW w:w="1687" w:type="dxa"/>
            <w:noWrap w:val="0"/>
            <w:vAlign w:val="top"/>
          </w:tcPr>
          <w:p w14:paraId="608A7937">
            <w:pPr>
              <w:pStyle w:val="38"/>
              <w:adjustRightInd w:val="0"/>
              <w:snapToGrid w:val="0"/>
              <w:spacing w:line="560" w:lineRule="exact"/>
              <w:rPr>
                <w:rFonts w:ascii="Times New Roman"/>
                <w:color w:val="auto"/>
                <w:sz w:val="20"/>
                <w:highlight w:val="none"/>
              </w:rPr>
            </w:pPr>
          </w:p>
        </w:tc>
      </w:tr>
      <w:tr w14:paraId="3F6A10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636" w:type="dxa"/>
            <w:noWrap w:val="0"/>
            <w:vAlign w:val="top"/>
          </w:tcPr>
          <w:p w14:paraId="5270D50A">
            <w:pPr>
              <w:pStyle w:val="38"/>
              <w:adjustRightInd w:val="0"/>
              <w:snapToGrid w:val="0"/>
              <w:spacing w:line="560" w:lineRule="exact"/>
              <w:rPr>
                <w:rFonts w:ascii="Times New Roman"/>
                <w:color w:val="auto"/>
                <w:sz w:val="20"/>
                <w:highlight w:val="none"/>
              </w:rPr>
            </w:pPr>
          </w:p>
        </w:tc>
        <w:tc>
          <w:tcPr>
            <w:tcW w:w="1685" w:type="dxa"/>
            <w:noWrap w:val="0"/>
            <w:vAlign w:val="top"/>
          </w:tcPr>
          <w:p w14:paraId="5F4F28BA">
            <w:pPr>
              <w:pStyle w:val="38"/>
              <w:adjustRightInd w:val="0"/>
              <w:snapToGrid w:val="0"/>
              <w:spacing w:line="560" w:lineRule="exact"/>
              <w:rPr>
                <w:rFonts w:ascii="Times New Roman"/>
                <w:color w:val="auto"/>
                <w:sz w:val="20"/>
                <w:highlight w:val="none"/>
              </w:rPr>
            </w:pPr>
          </w:p>
        </w:tc>
        <w:tc>
          <w:tcPr>
            <w:tcW w:w="794" w:type="dxa"/>
            <w:noWrap w:val="0"/>
            <w:vAlign w:val="top"/>
          </w:tcPr>
          <w:p w14:paraId="5EC56F14">
            <w:pPr>
              <w:pStyle w:val="38"/>
              <w:adjustRightInd w:val="0"/>
              <w:snapToGrid w:val="0"/>
              <w:spacing w:line="560" w:lineRule="exact"/>
              <w:rPr>
                <w:rFonts w:ascii="Times New Roman"/>
                <w:color w:val="auto"/>
                <w:sz w:val="20"/>
                <w:highlight w:val="none"/>
              </w:rPr>
            </w:pPr>
          </w:p>
        </w:tc>
        <w:tc>
          <w:tcPr>
            <w:tcW w:w="794" w:type="dxa"/>
            <w:noWrap w:val="0"/>
            <w:vAlign w:val="top"/>
          </w:tcPr>
          <w:p w14:paraId="6F2D5B4B">
            <w:pPr>
              <w:pStyle w:val="38"/>
              <w:adjustRightInd w:val="0"/>
              <w:snapToGrid w:val="0"/>
              <w:spacing w:line="560" w:lineRule="exact"/>
              <w:rPr>
                <w:rFonts w:ascii="Times New Roman"/>
                <w:color w:val="auto"/>
                <w:sz w:val="20"/>
                <w:highlight w:val="none"/>
              </w:rPr>
            </w:pPr>
          </w:p>
        </w:tc>
        <w:tc>
          <w:tcPr>
            <w:tcW w:w="794" w:type="dxa"/>
            <w:noWrap w:val="0"/>
            <w:vAlign w:val="top"/>
          </w:tcPr>
          <w:p w14:paraId="359D325C">
            <w:pPr>
              <w:pStyle w:val="38"/>
              <w:adjustRightInd w:val="0"/>
              <w:snapToGrid w:val="0"/>
              <w:spacing w:line="560" w:lineRule="exact"/>
              <w:rPr>
                <w:rFonts w:ascii="Times New Roman"/>
                <w:color w:val="auto"/>
                <w:sz w:val="20"/>
                <w:highlight w:val="none"/>
              </w:rPr>
            </w:pPr>
          </w:p>
        </w:tc>
        <w:tc>
          <w:tcPr>
            <w:tcW w:w="791" w:type="dxa"/>
            <w:noWrap w:val="0"/>
            <w:vAlign w:val="top"/>
          </w:tcPr>
          <w:p w14:paraId="2F5EA1C2">
            <w:pPr>
              <w:pStyle w:val="38"/>
              <w:adjustRightInd w:val="0"/>
              <w:snapToGrid w:val="0"/>
              <w:spacing w:line="560" w:lineRule="exact"/>
              <w:rPr>
                <w:rFonts w:ascii="Times New Roman"/>
                <w:color w:val="auto"/>
                <w:sz w:val="20"/>
                <w:highlight w:val="none"/>
              </w:rPr>
            </w:pPr>
          </w:p>
        </w:tc>
        <w:tc>
          <w:tcPr>
            <w:tcW w:w="635" w:type="dxa"/>
            <w:noWrap w:val="0"/>
            <w:vAlign w:val="top"/>
          </w:tcPr>
          <w:p w14:paraId="4D3CFA09">
            <w:pPr>
              <w:pStyle w:val="38"/>
              <w:adjustRightInd w:val="0"/>
              <w:snapToGrid w:val="0"/>
              <w:spacing w:line="560" w:lineRule="exact"/>
              <w:rPr>
                <w:rFonts w:ascii="Times New Roman"/>
                <w:color w:val="auto"/>
                <w:sz w:val="20"/>
                <w:highlight w:val="none"/>
              </w:rPr>
            </w:pPr>
          </w:p>
        </w:tc>
        <w:tc>
          <w:tcPr>
            <w:tcW w:w="1687" w:type="dxa"/>
            <w:noWrap w:val="0"/>
            <w:vAlign w:val="top"/>
          </w:tcPr>
          <w:p w14:paraId="169782A3">
            <w:pPr>
              <w:pStyle w:val="38"/>
              <w:adjustRightInd w:val="0"/>
              <w:snapToGrid w:val="0"/>
              <w:spacing w:line="560" w:lineRule="exact"/>
              <w:rPr>
                <w:rFonts w:ascii="Times New Roman"/>
                <w:color w:val="auto"/>
                <w:sz w:val="20"/>
                <w:highlight w:val="none"/>
              </w:rPr>
            </w:pPr>
          </w:p>
        </w:tc>
      </w:tr>
      <w:tr w14:paraId="50D7CB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636" w:type="dxa"/>
            <w:noWrap w:val="0"/>
            <w:vAlign w:val="top"/>
          </w:tcPr>
          <w:p w14:paraId="5A78970F">
            <w:pPr>
              <w:pStyle w:val="38"/>
              <w:adjustRightInd w:val="0"/>
              <w:snapToGrid w:val="0"/>
              <w:spacing w:line="560" w:lineRule="exact"/>
              <w:rPr>
                <w:rFonts w:ascii="Times New Roman"/>
                <w:color w:val="auto"/>
                <w:sz w:val="20"/>
                <w:highlight w:val="none"/>
              </w:rPr>
            </w:pPr>
          </w:p>
        </w:tc>
        <w:tc>
          <w:tcPr>
            <w:tcW w:w="1685" w:type="dxa"/>
            <w:noWrap w:val="0"/>
            <w:vAlign w:val="top"/>
          </w:tcPr>
          <w:p w14:paraId="7AC95B23">
            <w:pPr>
              <w:pStyle w:val="38"/>
              <w:adjustRightInd w:val="0"/>
              <w:snapToGrid w:val="0"/>
              <w:spacing w:line="560" w:lineRule="exact"/>
              <w:rPr>
                <w:rFonts w:ascii="Times New Roman"/>
                <w:color w:val="auto"/>
                <w:sz w:val="20"/>
                <w:highlight w:val="none"/>
              </w:rPr>
            </w:pPr>
          </w:p>
        </w:tc>
        <w:tc>
          <w:tcPr>
            <w:tcW w:w="794" w:type="dxa"/>
            <w:noWrap w:val="0"/>
            <w:vAlign w:val="top"/>
          </w:tcPr>
          <w:p w14:paraId="7BD853EC">
            <w:pPr>
              <w:pStyle w:val="38"/>
              <w:adjustRightInd w:val="0"/>
              <w:snapToGrid w:val="0"/>
              <w:spacing w:line="560" w:lineRule="exact"/>
              <w:rPr>
                <w:rFonts w:ascii="Times New Roman"/>
                <w:color w:val="auto"/>
                <w:sz w:val="20"/>
                <w:highlight w:val="none"/>
              </w:rPr>
            </w:pPr>
          </w:p>
        </w:tc>
        <w:tc>
          <w:tcPr>
            <w:tcW w:w="794" w:type="dxa"/>
            <w:noWrap w:val="0"/>
            <w:vAlign w:val="top"/>
          </w:tcPr>
          <w:p w14:paraId="1C170E4A">
            <w:pPr>
              <w:pStyle w:val="38"/>
              <w:adjustRightInd w:val="0"/>
              <w:snapToGrid w:val="0"/>
              <w:spacing w:line="560" w:lineRule="exact"/>
              <w:rPr>
                <w:rFonts w:ascii="Times New Roman"/>
                <w:color w:val="auto"/>
                <w:sz w:val="20"/>
                <w:highlight w:val="none"/>
              </w:rPr>
            </w:pPr>
          </w:p>
        </w:tc>
        <w:tc>
          <w:tcPr>
            <w:tcW w:w="794" w:type="dxa"/>
            <w:noWrap w:val="0"/>
            <w:vAlign w:val="top"/>
          </w:tcPr>
          <w:p w14:paraId="7D08CA55">
            <w:pPr>
              <w:pStyle w:val="38"/>
              <w:adjustRightInd w:val="0"/>
              <w:snapToGrid w:val="0"/>
              <w:spacing w:line="560" w:lineRule="exact"/>
              <w:rPr>
                <w:rFonts w:ascii="Times New Roman"/>
                <w:color w:val="auto"/>
                <w:sz w:val="20"/>
                <w:highlight w:val="none"/>
              </w:rPr>
            </w:pPr>
          </w:p>
        </w:tc>
        <w:tc>
          <w:tcPr>
            <w:tcW w:w="791" w:type="dxa"/>
            <w:noWrap w:val="0"/>
            <w:vAlign w:val="top"/>
          </w:tcPr>
          <w:p w14:paraId="019CDA65">
            <w:pPr>
              <w:pStyle w:val="38"/>
              <w:adjustRightInd w:val="0"/>
              <w:snapToGrid w:val="0"/>
              <w:spacing w:line="560" w:lineRule="exact"/>
              <w:rPr>
                <w:rFonts w:ascii="Times New Roman"/>
                <w:color w:val="auto"/>
                <w:sz w:val="20"/>
                <w:highlight w:val="none"/>
              </w:rPr>
            </w:pPr>
          </w:p>
        </w:tc>
        <w:tc>
          <w:tcPr>
            <w:tcW w:w="635" w:type="dxa"/>
            <w:noWrap w:val="0"/>
            <w:vAlign w:val="top"/>
          </w:tcPr>
          <w:p w14:paraId="0B3CB5BB">
            <w:pPr>
              <w:pStyle w:val="38"/>
              <w:adjustRightInd w:val="0"/>
              <w:snapToGrid w:val="0"/>
              <w:spacing w:line="560" w:lineRule="exact"/>
              <w:rPr>
                <w:rFonts w:ascii="Times New Roman"/>
                <w:color w:val="auto"/>
                <w:sz w:val="20"/>
                <w:highlight w:val="none"/>
              </w:rPr>
            </w:pPr>
          </w:p>
        </w:tc>
        <w:tc>
          <w:tcPr>
            <w:tcW w:w="1687" w:type="dxa"/>
            <w:noWrap w:val="0"/>
            <w:vAlign w:val="top"/>
          </w:tcPr>
          <w:p w14:paraId="09263376">
            <w:pPr>
              <w:pStyle w:val="38"/>
              <w:adjustRightInd w:val="0"/>
              <w:snapToGrid w:val="0"/>
              <w:spacing w:line="560" w:lineRule="exact"/>
              <w:rPr>
                <w:rFonts w:ascii="Times New Roman"/>
                <w:color w:val="auto"/>
                <w:sz w:val="20"/>
                <w:highlight w:val="none"/>
              </w:rPr>
            </w:pPr>
          </w:p>
        </w:tc>
      </w:tr>
      <w:tr w14:paraId="2D56E9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636" w:type="dxa"/>
            <w:noWrap w:val="0"/>
            <w:vAlign w:val="top"/>
          </w:tcPr>
          <w:p w14:paraId="48E9444A">
            <w:pPr>
              <w:pStyle w:val="38"/>
              <w:adjustRightInd w:val="0"/>
              <w:snapToGrid w:val="0"/>
              <w:spacing w:line="560" w:lineRule="exact"/>
              <w:rPr>
                <w:rFonts w:ascii="Times New Roman"/>
                <w:color w:val="auto"/>
                <w:sz w:val="20"/>
                <w:highlight w:val="none"/>
              </w:rPr>
            </w:pPr>
          </w:p>
        </w:tc>
        <w:tc>
          <w:tcPr>
            <w:tcW w:w="1685" w:type="dxa"/>
            <w:noWrap w:val="0"/>
            <w:vAlign w:val="top"/>
          </w:tcPr>
          <w:p w14:paraId="42BB895B">
            <w:pPr>
              <w:pStyle w:val="38"/>
              <w:adjustRightInd w:val="0"/>
              <w:snapToGrid w:val="0"/>
              <w:spacing w:line="560" w:lineRule="exact"/>
              <w:rPr>
                <w:rFonts w:ascii="Times New Roman"/>
                <w:color w:val="auto"/>
                <w:sz w:val="20"/>
                <w:highlight w:val="none"/>
              </w:rPr>
            </w:pPr>
          </w:p>
        </w:tc>
        <w:tc>
          <w:tcPr>
            <w:tcW w:w="794" w:type="dxa"/>
            <w:noWrap w:val="0"/>
            <w:vAlign w:val="top"/>
          </w:tcPr>
          <w:p w14:paraId="34671926">
            <w:pPr>
              <w:pStyle w:val="38"/>
              <w:adjustRightInd w:val="0"/>
              <w:snapToGrid w:val="0"/>
              <w:spacing w:line="560" w:lineRule="exact"/>
              <w:rPr>
                <w:rFonts w:ascii="Times New Roman"/>
                <w:color w:val="auto"/>
                <w:sz w:val="20"/>
                <w:highlight w:val="none"/>
              </w:rPr>
            </w:pPr>
          </w:p>
        </w:tc>
        <w:tc>
          <w:tcPr>
            <w:tcW w:w="794" w:type="dxa"/>
            <w:noWrap w:val="0"/>
            <w:vAlign w:val="top"/>
          </w:tcPr>
          <w:p w14:paraId="4750F6DD">
            <w:pPr>
              <w:pStyle w:val="38"/>
              <w:adjustRightInd w:val="0"/>
              <w:snapToGrid w:val="0"/>
              <w:spacing w:line="560" w:lineRule="exact"/>
              <w:rPr>
                <w:rFonts w:ascii="Times New Roman"/>
                <w:color w:val="auto"/>
                <w:sz w:val="20"/>
                <w:highlight w:val="none"/>
              </w:rPr>
            </w:pPr>
          </w:p>
        </w:tc>
        <w:tc>
          <w:tcPr>
            <w:tcW w:w="794" w:type="dxa"/>
            <w:noWrap w:val="0"/>
            <w:vAlign w:val="top"/>
          </w:tcPr>
          <w:p w14:paraId="4AAA1A2F">
            <w:pPr>
              <w:pStyle w:val="38"/>
              <w:adjustRightInd w:val="0"/>
              <w:snapToGrid w:val="0"/>
              <w:spacing w:line="560" w:lineRule="exact"/>
              <w:rPr>
                <w:rFonts w:ascii="Times New Roman"/>
                <w:color w:val="auto"/>
                <w:sz w:val="20"/>
                <w:highlight w:val="none"/>
              </w:rPr>
            </w:pPr>
          </w:p>
        </w:tc>
        <w:tc>
          <w:tcPr>
            <w:tcW w:w="791" w:type="dxa"/>
            <w:noWrap w:val="0"/>
            <w:vAlign w:val="top"/>
          </w:tcPr>
          <w:p w14:paraId="31ED63C9">
            <w:pPr>
              <w:pStyle w:val="38"/>
              <w:adjustRightInd w:val="0"/>
              <w:snapToGrid w:val="0"/>
              <w:spacing w:line="560" w:lineRule="exact"/>
              <w:rPr>
                <w:rFonts w:ascii="Times New Roman"/>
                <w:color w:val="auto"/>
                <w:sz w:val="20"/>
                <w:highlight w:val="none"/>
              </w:rPr>
            </w:pPr>
          </w:p>
        </w:tc>
        <w:tc>
          <w:tcPr>
            <w:tcW w:w="635" w:type="dxa"/>
            <w:noWrap w:val="0"/>
            <w:vAlign w:val="top"/>
          </w:tcPr>
          <w:p w14:paraId="436080FA">
            <w:pPr>
              <w:pStyle w:val="38"/>
              <w:adjustRightInd w:val="0"/>
              <w:snapToGrid w:val="0"/>
              <w:spacing w:line="560" w:lineRule="exact"/>
              <w:rPr>
                <w:rFonts w:ascii="Times New Roman"/>
                <w:color w:val="auto"/>
                <w:sz w:val="20"/>
                <w:highlight w:val="none"/>
              </w:rPr>
            </w:pPr>
          </w:p>
        </w:tc>
        <w:tc>
          <w:tcPr>
            <w:tcW w:w="1687" w:type="dxa"/>
            <w:noWrap w:val="0"/>
            <w:vAlign w:val="top"/>
          </w:tcPr>
          <w:p w14:paraId="759CDA7B">
            <w:pPr>
              <w:pStyle w:val="38"/>
              <w:adjustRightInd w:val="0"/>
              <w:snapToGrid w:val="0"/>
              <w:spacing w:line="560" w:lineRule="exact"/>
              <w:rPr>
                <w:rFonts w:ascii="Times New Roman"/>
                <w:color w:val="auto"/>
                <w:sz w:val="20"/>
                <w:highlight w:val="none"/>
              </w:rPr>
            </w:pPr>
          </w:p>
        </w:tc>
      </w:tr>
      <w:tr w14:paraId="3B2D0E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trPr>
        <w:tc>
          <w:tcPr>
            <w:tcW w:w="636" w:type="dxa"/>
            <w:noWrap w:val="0"/>
            <w:vAlign w:val="top"/>
          </w:tcPr>
          <w:p w14:paraId="1E985DEC">
            <w:pPr>
              <w:pStyle w:val="38"/>
              <w:adjustRightInd w:val="0"/>
              <w:snapToGrid w:val="0"/>
              <w:spacing w:line="560" w:lineRule="exact"/>
              <w:rPr>
                <w:rFonts w:ascii="Times New Roman"/>
                <w:color w:val="auto"/>
                <w:sz w:val="20"/>
                <w:highlight w:val="none"/>
              </w:rPr>
            </w:pPr>
          </w:p>
        </w:tc>
        <w:tc>
          <w:tcPr>
            <w:tcW w:w="1685" w:type="dxa"/>
            <w:noWrap w:val="0"/>
            <w:vAlign w:val="top"/>
          </w:tcPr>
          <w:p w14:paraId="4A5F4010">
            <w:pPr>
              <w:pStyle w:val="38"/>
              <w:adjustRightInd w:val="0"/>
              <w:snapToGrid w:val="0"/>
              <w:spacing w:line="560" w:lineRule="exact"/>
              <w:rPr>
                <w:rFonts w:ascii="Times New Roman"/>
                <w:color w:val="auto"/>
                <w:sz w:val="20"/>
                <w:highlight w:val="none"/>
              </w:rPr>
            </w:pPr>
          </w:p>
        </w:tc>
        <w:tc>
          <w:tcPr>
            <w:tcW w:w="794" w:type="dxa"/>
            <w:noWrap w:val="0"/>
            <w:vAlign w:val="top"/>
          </w:tcPr>
          <w:p w14:paraId="40B97EB0">
            <w:pPr>
              <w:pStyle w:val="38"/>
              <w:adjustRightInd w:val="0"/>
              <w:snapToGrid w:val="0"/>
              <w:spacing w:line="560" w:lineRule="exact"/>
              <w:rPr>
                <w:rFonts w:ascii="Times New Roman"/>
                <w:color w:val="auto"/>
                <w:sz w:val="20"/>
                <w:highlight w:val="none"/>
              </w:rPr>
            </w:pPr>
          </w:p>
        </w:tc>
        <w:tc>
          <w:tcPr>
            <w:tcW w:w="794" w:type="dxa"/>
            <w:noWrap w:val="0"/>
            <w:vAlign w:val="top"/>
          </w:tcPr>
          <w:p w14:paraId="545B95F1">
            <w:pPr>
              <w:pStyle w:val="38"/>
              <w:adjustRightInd w:val="0"/>
              <w:snapToGrid w:val="0"/>
              <w:spacing w:line="560" w:lineRule="exact"/>
              <w:rPr>
                <w:rFonts w:ascii="Times New Roman"/>
                <w:color w:val="auto"/>
                <w:sz w:val="20"/>
                <w:highlight w:val="none"/>
              </w:rPr>
            </w:pPr>
          </w:p>
        </w:tc>
        <w:tc>
          <w:tcPr>
            <w:tcW w:w="794" w:type="dxa"/>
            <w:noWrap w:val="0"/>
            <w:vAlign w:val="top"/>
          </w:tcPr>
          <w:p w14:paraId="709EDE44">
            <w:pPr>
              <w:pStyle w:val="38"/>
              <w:adjustRightInd w:val="0"/>
              <w:snapToGrid w:val="0"/>
              <w:spacing w:line="560" w:lineRule="exact"/>
              <w:rPr>
                <w:rFonts w:ascii="Times New Roman"/>
                <w:color w:val="auto"/>
                <w:sz w:val="20"/>
                <w:highlight w:val="none"/>
              </w:rPr>
            </w:pPr>
          </w:p>
        </w:tc>
        <w:tc>
          <w:tcPr>
            <w:tcW w:w="791" w:type="dxa"/>
            <w:noWrap w:val="0"/>
            <w:vAlign w:val="top"/>
          </w:tcPr>
          <w:p w14:paraId="3D3F6806">
            <w:pPr>
              <w:pStyle w:val="38"/>
              <w:adjustRightInd w:val="0"/>
              <w:snapToGrid w:val="0"/>
              <w:spacing w:line="560" w:lineRule="exact"/>
              <w:rPr>
                <w:rFonts w:ascii="Times New Roman"/>
                <w:color w:val="auto"/>
                <w:sz w:val="20"/>
                <w:highlight w:val="none"/>
              </w:rPr>
            </w:pPr>
          </w:p>
        </w:tc>
        <w:tc>
          <w:tcPr>
            <w:tcW w:w="635" w:type="dxa"/>
            <w:noWrap w:val="0"/>
            <w:vAlign w:val="top"/>
          </w:tcPr>
          <w:p w14:paraId="7BA562C2">
            <w:pPr>
              <w:pStyle w:val="38"/>
              <w:adjustRightInd w:val="0"/>
              <w:snapToGrid w:val="0"/>
              <w:spacing w:line="560" w:lineRule="exact"/>
              <w:rPr>
                <w:rFonts w:ascii="Times New Roman"/>
                <w:color w:val="auto"/>
                <w:sz w:val="20"/>
                <w:highlight w:val="none"/>
              </w:rPr>
            </w:pPr>
          </w:p>
        </w:tc>
        <w:tc>
          <w:tcPr>
            <w:tcW w:w="1687" w:type="dxa"/>
            <w:noWrap w:val="0"/>
            <w:vAlign w:val="top"/>
          </w:tcPr>
          <w:p w14:paraId="6F2090B4">
            <w:pPr>
              <w:pStyle w:val="38"/>
              <w:adjustRightInd w:val="0"/>
              <w:snapToGrid w:val="0"/>
              <w:spacing w:line="560" w:lineRule="exact"/>
              <w:rPr>
                <w:rFonts w:ascii="Times New Roman"/>
                <w:color w:val="auto"/>
                <w:sz w:val="20"/>
                <w:highlight w:val="none"/>
              </w:rPr>
            </w:pPr>
          </w:p>
        </w:tc>
      </w:tr>
      <w:tr w14:paraId="1B01B4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636" w:type="dxa"/>
            <w:noWrap w:val="0"/>
            <w:vAlign w:val="top"/>
          </w:tcPr>
          <w:p w14:paraId="0896DFA3">
            <w:pPr>
              <w:pStyle w:val="38"/>
              <w:adjustRightInd w:val="0"/>
              <w:snapToGrid w:val="0"/>
              <w:spacing w:line="560" w:lineRule="exact"/>
              <w:rPr>
                <w:rFonts w:ascii="Times New Roman"/>
                <w:color w:val="auto"/>
                <w:sz w:val="20"/>
                <w:highlight w:val="none"/>
              </w:rPr>
            </w:pPr>
          </w:p>
        </w:tc>
        <w:tc>
          <w:tcPr>
            <w:tcW w:w="1685" w:type="dxa"/>
            <w:noWrap w:val="0"/>
            <w:vAlign w:val="top"/>
          </w:tcPr>
          <w:p w14:paraId="68E7E108">
            <w:pPr>
              <w:pStyle w:val="38"/>
              <w:adjustRightInd w:val="0"/>
              <w:snapToGrid w:val="0"/>
              <w:spacing w:line="560" w:lineRule="exact"/>
              <w:rPr>
                <w:rFonts w:ascii="Times New Roman"/>
                <w:color w:val="auto"/>
                <w:sz w:val="20"/>
                <w:highlight w:val="none"/>
              </w:rPr>
            </w:pPr>
          </w:p>
        </w:tc>
        <w:tc>
          <w:tcPr>
            <w:tcW w:w="794" w:type="dxa"/>
            <w:noWrap w:val="0"/>
            <w:vAlign w:val="top"/>
          </w:tcPr>
          <w:p w14:paraId="595534A1">
            <w:pPr>
              <w:pStyle w:val="38"/>
              <w:adjustRightInd w:val="0"/>
              <w:snapToGrid w:val="0"/>
              <w:spacing w:line="560" w:lineRule="exact"/>
              <w:rPr>
                <w:rFonts w:ascii="Times New Roman"/>
                <w:color w:val="auto"/>
                <w:sz w:val="20"/>
                <w:highlight w:val="none"/>
              </w:rPr>
            </w:pPr>
          </w:p>
        </w:tc>
        <w:tc>
          <w:tcPr>
            <w:tcW w:w="794" w:type="dxa"/>
            <w:noWrap w:val="0"/>
            <w:vAlign w:val="top"/>
          </w:tcPr>
          <w:p w14:paraId="779C6686">
            <w:pPr>
              <w:pStyle w:val="38"/>
              <w:adjustRightInd w:val="0"/>
              <w:snapToGrid w:val="0"/>
              <w:spacing w:line="560" w:lineRule="exact"/>
              <w:rPr>
                <w:rFonts w:ascii="Times New Roman"/>
                <w:color w:val="auto"/>
                <w:sz w:val="20"/>
                <w:highlight w:val="none"/>
              </w:rPr>
            </w:pPr>
          </w:p>
        </w:tc>
        <w:tc>
          <w:tcPr>
            <w:tcW w:w="794" w:type="dxa"/>
            <w:noWrap w:val="0"/>
            <w:vAlign w:val="top"/>
          </w:tcPr>
          <w:p w14:paraId="14193354">
            <w:pPr>
              <w:pStyle w:val="38"/>
              <w:adjustRightInd w:val="0"/>
              <w:snapToGrid w:val="0"/>
              <w:spacing w:line="560" w:lineRule="exact"/>
              <w:rPr>
                <w:rFonts w:ascii="Times New Roman"/>
                <w:color w:val="auto"/>
                <w:sz w:val="20"/>
                <w:highlight w:val="none"/>
              </w:rPr>
            </w:pPr>
          </w:p>
        </w:tc>
        <w:tc>
          <w:tcPr>
            <w:tcW w:w="791" w:type="dxa"/>
            <w:noWrap w:val="0"/>
            <w:vAlign w:val="top"/>
          </w:tcPr>
          <w:p w14:paraId="1A67063E">
            <w:pPr>
              <w:pStyle w:val="38"/>
              <w:adjustRightInd w:val="0"/>
              <w:snapToGrid w:val="0"/>
              <w:spacing w:line="560" w:lineRule="exact"/>
              <w:rPr>
                <w:rFonts w:ascii="Times New Roman"/>
                <w:color w:val="auto"/>
                <w:sz w:val="20"/>
                <w:highlight w:val="none"/>
              </w:rPr>
            </w:pPr>
          </w:p>
        </w:tc>
        <w:tc>
          <w:tcPr>
            <w:tcW w:w="635" w:type="dxa"/>
            <w:noWrap w:val="0"/>
            <w:vAlign w:val="top"/>
          </w:tcPr>
          <w:p w14:paraId="7FB6F57E">
            <w:pPr>
              <w:pStyle w:val="38"/>
              <w:adjustRightInd w:val="0"/>
              <w:snapToGrid w:val="0"/>
              <w:spacing w:line="560" w:lineRule="exact"/>
              <w:rPr>
                <w:rFonts w:ascii="Times New Roman"/>
                <w:color w:val="auto"/>
                <w:sz w:val="20"/>
                <w:highlight w:val="none"/>
              </w:rPr>
            </w:pPr>
          </w:p>
        </w:tc>
        <w:tc>
          <w:tcPr>
            <w:tcW w:w="1687" w:type="dxa"/>
            <w:noWrap w:val="0"/>
            <w:vAlign w:val="top"/>
          </w:tcPr>
          <w:p w14:paraId="171F93E2">
            <w:pPr>
              <w:pStyle w:val="38"/>
              <w:adjustRightInd w:val="0"/>
              <w:snapToGrid w:val="0"/>
              <w:spacing w:line="560" w:lineRule="exact"/>
              <w:rPr>
                <w:rFonts w:ascii="Times New Roman"/>
                <w:color w:val="auto"/>
                <w:sz w:val="20"/>
                <w:highlight w:val="none"/>
              </w:rPr>
            </w:pPr>
          </w:p>
        </w:tc>
      </w:tr>
    </w:tbl>
    <w:p w14:paraId="35A4C64B">
      <w:pPr>
        <w:pStyle w:val="11"/>
        <w:adjustRightInd w:val="0"/>
        <w:snapToGrid w:val="0"/>
        <w:spacing w:after="0" w:line="560" w:lineRule="exact"/>
        <w:ind w:firstLine="420"/>
        <w:rPr>
          <w:color w:val="auto"/>
          <w:highlight w:val="none"/>
        </w:rPr>
      </w:pPr>
      <w:r>
        <w:rPr>
          <w:color w:val="auto"/>
          <w:highlight w:val="none"/>
        </w:rPr>
        <w:t>注：</w:t>
      </w:r>
      <w:r>
        <w:rPr>
          <w:rFonts w:hint="eastAsia"/>
          <w:color w:val="auto"/>
          <w:highlight w:val="none"/>
        </w:rPr>
        <w:t>1、</w:t>
      </w:r>
      <w:r>
        <w:rPr>
          <w:color w:val="auto"/>
          <w:highlight w:val="none"/>
        </w:rPr>
        <w:t>本表仅针对不采用招标人推荐品牌，采用其他品牌的投标人填写，并注明并提供相关技术参数、业绩等供评标委员会评审，未在上表中注明且未提供相关技术参数、业绩，或经评标委员会评审未通过的，中标后只能从招标人推荐品牌中进行选择，价格不予调整。</w:t>
      </w:r>
    </w:p>
    <w:p w14:paraId="586347BD">
      <w:pPr>
        <w:pStyle w:val="45"/>
        <w:tabs>
          <w:tab w:val="left" w:pos="1319"/>
        </w:tabs>
        <w:adjustRightInd w:val="0"/>
        <w:snapToGrid w:val="0"/>
        <w:spacing w:line="560" w:lineRule="exact"/>
        <w:ind w:left="0" w:firstLine="408" w:firstLineChars="200"/>
        <w:rPr>
          <w:color w:val="auto"/>
          <w:highlight w:val="none"/>
        </w:rPr>
        <w:sectPr>
          <w:pgSz w:w="11910" w:h="16840"/>
          <w:pgMar w:top="1060" w:right="660" w:bottom="1020" w:left="1120" w:header="0" w:footer="833" w:gutter="0"/>
          <w:pgNumType w:fmt="numberInDash"/>
          <w:cols w:space="720" w:num="1"/>
        </w:sectPr>
      </w:pPr>
      <w:r>
        <w:rPr>
          <w:rFonts w:hint="eastAsia"/>
          <w:color w:val="auto"/>
          <w:spacing w:val="-3"/>
          <w:highlight w:val="none"/>
        </w:rPr>
        <w:t>2、</w:t>
      </w:r>
      <w:r>
        <w:rPr>
          <w:color w:val="auto"/>
          <w:spacing w:val="-3"/>
          <w:highlight w:val="none"/>
        </w:rPr>
        <w:t>对于招标人推荐品牌的材料、设备等，投标人如认为招标人推荐的品牌有限定性、唯一性、明显不在同一档次等级的或者其他疑问的，应在本项目</w:t>
      </w:r>
      <w:r>
        <w:rPr>
          <w:rFonts w:hint="eastAsia"/>
          <w:color w:val="auto"/>
          <w:spacing w:val="-3"/>
          <w:highlight w:val="none"/>
        </w:rPr>
        <w:t>异议</w:t>
      </w:r>
      <w:r>
        <w:rPr>
          <w:color w:val="auto"/>
          <w:spacing w:val="-3"/>
          <w:highlight w:val="none"/>
        </w:rPr>
        <w:t>提出的截止时间前通过电子交易系统</w:t>
      </w:r>
      <w:r>
        <w:rPr>
          <w:rFonts w:hint="eastAsia"/>
          <w:color w:val="auto"/>
          <w:spacing w:val="-3"/>
          <w:highlight w:val="none"/>
        </w:rPr>
        <w:t>向招标人提出。</w:t>
      </w:r>
    </w:p>
    <w:p w14:paraId="75A1D8E9">
      <w:pPr>
        <w:pStyle w:val="4"/>
        <w:adjustRightInd w:val="0"/>
        <w:snapToGrid w:val="0"/>
        <w:spacing w:before="0" w:after="0" w:line="560" w:lineRule="exact"/>
        <w:jc w:val="center"/>
        <w:rPr>
          <w:rFonts w:hint="eastAsia"/>
          <w:color w:val="auto"/>
          <w:highlight w:val="none"/>
        </w:rPr>
      </w:pPr>
      <w:bookmarkStart w:id="1527" w:name="_Toc95223546"/>
      <w:r>
        <w:rPr>
          <w:rFonts w:hint="eastAsia"/>
          <w:color w:val="auto"/>
          <w:highlight w:val="none"/>
        </w:rPr>
        <w:t>（</w:t>
      </w:r>
      <w:r>
        <w:rPr>
          <w:rFonts w:hint="eastAsia"/>
          <w:color w:val="auto"/>
          <w:highlight w:val="none"/>
          <w:lang w:val="en-US" w:eastAsia="zh-CN"/>
        </w:rPr>
        <w:t>4</w:t>
      </w:r>
      <w:r>
        <w:rPr>
          <w:rFonts w:hint="eastAsia"/>
          <w:color w:val="auto"/>
          <w:highlight w:val="none"/>
        </w:rPr>
        <w:t>）详细评审所需其他材料（如有）</w:t>
      </w:r>
      <w:bookmarkEnd w:id="1527"/>
    </w:p>
    <w:p w14:paraId="2D1E6593">
      <w:pPr>
        <w:adjustRightInd w:val="0"/>
        <w:snapToGrid w:val="0"/>
        <w:spacing w:line="560" w:lineRule="exact"/>
        <w:ind w:firstLine="1928" w:firstLineChars="600"/>
        <w:rPr>
          <w:rFonts w:hint="eastAsia" w:ascii="宋体"/>
          <w:b/>
          <w:color w:val="auto"/>
          <w:sz w:val="32"/>
          <w:szCs w:val="32"/>
          <w:highlight w:val="none"/>
        </w:rPr>
      </w:pPr>
    </w:p>
    <w:p w14:paraId="1949542F">
      <w:pPr>
        <w:adjustRightInd w:val="0"/>
        <w:snapToGrid w:val="0"/>
        <w:spacing w:line="560" w:lineRule="exact"/>
        <w:ind w:firstLine="1928" w:firstLineChars="600"/>
        <w:rPr>
          <w:rFonts w:hint="eastAsia" w:ascii="宋体"/>
          <w:b/>
          <w:color w:val="auto"/>
          <w:sz w:val="32"/>
          <w:szCs w:val="32"/>
          <w:highlight w:val="none"/>
        </w:rPr>
      </w:pPr>
    </w:p>
    <w:p w14:paraId="1AEFE5B7">
      <w:pPr>
        <w:adjustRightInd w:val="0"/>
        <w:snapToGrid w:val="0"/>
        <w:spacing w:line="560" w:lineRule="exact"/>
        <w:rPr>
          <w:rFonts w:hint="eastAsia"/>
          <w:b/>
          <w:color w:val="auto"/>
          <w:sz w:val="32"/>
          <w:szCs w:val="32"/>
          <w:highlight w:val="none"/>
        </w:rPr>
      </w:pPr>
    </w:p>
    <w:p w14:paraId="5BD01C44">
      <w:pPr>
        <w:adjustRightInd w:val="0"/>
        <w:snapToGrid w:val="0"/>
        <w:spacing w:line="560" w:lineRule="exact"/>
        <w:jc w:val="center"/>
        <w:rPr>
          <w:rFonts w:hint="eastAsia"/>
          <w:b/>
          <w:color w:val="auto"/>
          <w:sz w:val="32"/>
          <w:szCs w:val="32"/>
          <w:highlight w:val="none"/>
        </w:rPr>
      </w:pPr>
    </w:p>
    <w:p w14:paraId="080C11C4">
      <w:pPr>
        <w:adjustRightInd w:val="0"/>
        <w:snapToGrid w:val="0"/>
        <w:spacing w:line="560" w:lineRule="exact"/>
        <w:jc w:val="center"/>
        <w:rPr>
          <w:rFonts w:hint="eastAsia"/>
          <w:b/>
          <w:color w:val="auto"/>
          <w:sz w:val="32"/>
          <w:szCs w:val="32"/>
          <w:highlight w:val="none"/>
        </w:rPr>
      </w:pPr>
    </w:p>
    <w:p w14:paraId="2191D9EB">
      <w:pPr>
        <w:adjustRightInd w:val="0"/>
        <w:snapToGrid w:val="0"/>
        <w:spacing w:line="560" w:lineRule="exact"/>
        <w:jc w:val="center"/>
        <w:rPr>
          <w:rFonts w:hint="eastAsia"/>
          <w:b/>
          <w:color w:val="auto"/>
          <w:sz w:val="32"/>
          <w:szCs w:val="32"/>
          <w:highlight w:val="none"/>
        </w:rPr>
      </w:pPr>
    </w:p>
    <w:p w14:paraId="207C92D4">
      <w:pPr>
        <w:adjustRightInd w:val="0"/>
        <w:snapToGrid w:val="0"/>
        <w:spacing w:line="560" w:lineRule="exact"/>
        <w:rPr>
          <w:rFonts w:hint="eastAsia"/>
          <w:color w:val="auto"/>
          <w:highlight w:val="none"/>
        </w:rPr>
      </w:pPr>
    </w:p>
    <w:p w14:paraId="22B09859">
      <w:pPr>
        <w:adjustRightInd w:val="0"/>
        <w:snapToGrid w:val="0"/>
        <w:spacing w:line="560" w:lineRule="exact"/>
        <w:rPr>
          <w:rFonts w:hint="eastAsia"/>
          <w:color w:val="auto"/>
          <w:highlight w:val="none"/>
        </w:rPr>
      </w:pPr>
    </w:p>
    <w:p w14:paraId="60C28E69">
      <w:pPr>
        <w:adjustRightInd w:val="0"/>
        <w:snapToGrid w:val="0"/>
        <w:spacing w:line="560" w:lineRule="exact"/>
        <w:rPr>
          <w:rFonts w:hint="eastAsia"/>
          <w:color w:val="auto"/>
          <w:highlight w:val="none"/>
        </w:rPr>
      </w:pPr>
    </w:p>
    <w:p w14:paraId="5EE038E7">
      <w:pPr>
        <w:adjustRightInd w:val="0"/>
        <w:snapToGrid w:val="0"/>
        <w:spacing w:line="560" w:lineRule="exact"/>
        <w:rPr>
          <w:rFonts w:hint="eastAsia"/>
          <w:color w:val="auto"/>
          <w:highlight w:val="none"/>
        </w:rPr>
      </w:pPr>
    </w:p>
    <w:p w14:paraId="266B9885">
      <w:pPr>
        <w:adjustRightInd w:val="0"/>
        <w:snapToGrid w:val="0"/>
        <w:spacing w:line="560" w:lineRule="exact"/>
        <w:rPr>
          <w:rFonts w:hint="eastAsia"/>
          <w:color w:val="auto"/>
          <w:highlight w:val="none"/>
        </w:rPr>
      </w:pPr>
    </w:p>
    <w:p w14:paraId="39DEA345">
      <w:pPr>
        <w:adjustRightInd w:val="0"/>
        <w:snapToGrid w:val="0"/>
        <w:spacing w:line="560" w:lineRule="exact"/>
        <w:rPr>
          <w:rFonts w:hint="eastAsia"/>
          <w:color w:val="auto"/>
          <w:highlight w:val="none"/>
        </w:rPr>
      </w:pPr>
    </w:p>
    <w:p w14:paraId="147F75B7">
      <w:pPr>
        <w:adjustRightInd w:val="0"/>
        <w:snapToGrid w:val="0"/>
        <w:spacing w:line="560" w:lineRule="exact"/>
        <w:rPr>
          <w:rFonts w:hint="eastAsia"/>
          <w:color w:val="auto"/>
          <w:highlight w:val="none"/>
        </w:rPr>
      </w:pPr>
    </w:p>
    <w:p w14:paraId="57AB6F59">
      <w:pPr>
        <w:adjustRightInd w:val="0"/>
        <w:snapToGrid w:val="0"/>
        <w:spacing w:line="560" w:lineRule="exact"/>
        <w:rPr>
          <w:rFonts w:hint="eastAsia"/>
          <w:color w:val="auto"/>
          <w:highlight w:val="none"/>
        </w:rPr>
      </w:pPr>
    </w:p>
    <w:p w14:paraId="7131DAA9">
      <w:pPr>
        <w:adjustRightInd w:val="0"/>
        <w:snapToGrid w:val="0"/>
        <w:spacing w:line="560" w:lineRule="exact"/>
        <w:rPr>
          <w:rFonts w:hint="eastAsia"/>
          <w:color w:val="auto"/>
          <w:highlight w:val="none"/>
        </w:rPr>
      </w:pPr>
    </w:p>
    <w:p w14:paraId="578DDC17">
      <w:pPr>
        <w:adjustRightInd w:val="0"/>
        <w:snapToGrid w:val="0"/>
        <w:spacing w:line="560" w:lineRule="exact"/>
        <w:rPr>
          <w:rFonts w:hint="eastAsia"/>
          <w:color w:val="auto"/>
          <w:highlight w:val="none"/>
        </w:rPr>
      </w:pPr>
    </w:p>
    <w:p w14:paraId="12F7DE4E">
      <w:pPr>
        <w:adjustRightInd w:val="0"/>
        <w:snapToGrid w:val="0"/>
        <w:spacing w:line="560" w:lineRule="exact"/>
        <w:rPr>
          <w:rFonts w:hint="eastAsia"/>
          <w:color w:val="auto"/>
          <w:highlight w:val="none"/>
        </w:rPr>
      </w:pPr>
    </w:p>
    <w:p w14:paraId="43901644">
      <w:pPr>
        <w:adjustRightInd w:val="0"/>
        <w:snapToGrid w:val="0"/>
        <w:spacing w:line="560" w:lineRule="exact"/>
        <w:rPr>
          <w:rFonts w:hint="eastAsia"/>
          <w:color w:val="auto"/>
          <w:highlight w:val="none"/>
        </w:rPr>
      </w:pPr>
    </w:p>
    <w:p w14:paraId="0A99EF21">
      <w:pPr>
        <w:adjustRightInd w:val="0"/>
        <w:snapToGrid w:val="0"/>
        <w:spacing w:line="560" w:lineRule="exact"/>
        <w:rPr>
          <w:rFonts w:hint="eastAsia"/>
          <w:color w:val="auto"/>
          <w:highlight w:val="none"/>
        </w:rPr>
      </w:pPr>
    </w:p>
    <w:p w14:paraId="13FC3D9F">
      <w:pPr>
        <w:adjustRightInd w:val="0"/>
        <w:snapToGrid w:val="0"/>
        <w:spacing w:line="560" w:lineRule="exact"/>
        <w:rPr>
          <w:rFonts w:hint="eastAsia"/>
          <w:color w:val="auto"/>
          <w:highlight w:val="none"/>
        </w:rPr>
      </w:pPr>
    </w:p>
    <w:p w14:paraId="5513F87D">
      <w:pPr>
        <w:adjustRightInd w:val="0"/>
        <w:snapToGrid w:val="0"/>
        <w:spacing w:line="560" w:lineRule="exact"/>
        <w:rPr>
          <w:rFonts w:hint="eastAsia"/>
          <w:color w:val="auto"/>
          <w:highlight w:val="none"/>
        </w:rPr>
      </w:pPr>
    </w:p>
    <w:p w14:paraId="7A05475B">
      <w:pPr>
        <w:pStyle w:val="19"/>
        <w:rPr>
          <w:rFonts w:hint="eastAsia"/>
          <w:color w:val="auto"/>
          <w:highlight w:val="none"/>
        </w:rPr>
      </w:pPr>
    </w:p>
    <w:p w14:paraId="6E7B1F29">
      <w:pPr>
        <w:adjustRightInd w:val="0"/>
        <w:snapToGrid w:val="0"/>
        <w:spacing w:line="560" w:lineRule="exact"/>
        <w:rPr>
          <w:rFonts w:hint="eastAsia"/>
          <w:color w:val="auto"/>
          <w:highlight w:val="none"/>
        </w:rPr>
      </w:pPr>
    </w:p>
    <w:p w14:paraId="01F3E7A4">
      <w:pPr>
        <w:pStyle w:val="19"/>
        <w:rPr>
          <w:rFonts w:hint="eastAsia"/>
          <w:color w:val="auto"/>
          <w:highlight w:val="none"/>
        </w:rPr>
      </w:pPr>
    </w:p>
    <w:p w14:paraId="5EA0B79B">
      <w:pPr>
        <w:rPr>
          <w:rFonts w:hint="eastAsia"/>
          <w:color w:val="auto"/>
          <w:highlight w:val="none"/>
        </w:rPr>
      </w:pPr>
    </w:p>
    <w:p w14:paraId="0198BD0E">
      <w:pPr>
        <w:pStyle w:val="11"/>
        <w:adjustRightInd w:val="0"/>
        <w:snapToGrid w:val="0"/>
        <w:spacing w:after="0" w:line="560" w:lineRule="exact"/>
        <w:jc w:val="both"/>
        <w:outlineLvl w:val="0"/>
        <w:rPr>
          <w:rFonts w:eastAsia="黑体"/>
          <w:b/>
          <w:bCs/>
          <w:color w:val="auto"/>
          <w:sz w:val="32"/>
          <w:highlight w:val="none"/>
        </w:rPr>
        <w:sectPr>
          <w:pgSz w:w="11906" w:h="16838"/>
          <w:pgMar w:top="1134" w:right="1417" w:bottom="1134" w:left="1417" w:header="851" w:footer="992" w:gutter="0"/>
          <w:pgNumType w:fmt="numberInDash"/>
          <w:cols w:space="720" w:num="1"/>
          <w:docGrid w:type="lines" w:linePitch="312" w:charSpace="0"/>
        </w:sectPr>
      </w:pPr>
      <w:bookmarkStart w:id="1528" w:name="_Toc95223547"/>
    </w:p>
    <w:p w14:paraId="0871DBEC">
      <w:pPr>
        <w:pStyle w:val="11"/>
        <w:adjustRightInd w:val="0"/>
        <w:snapToGrid w:val="0"/>
        <w:spacing w:after="0" w:line="560" w:lineRule="exact"/>
        <w:jc w:val="center"/>
        <w:outlineLvl w:val="0"/>
        <w:rPr>
          <w:rFonts w:eastAsia="黑体"/>
          <w:b/>
          <w:bCs/>
          <w:color w:val="auto"/>
          <w:sz w:val="32"/>
          <w:highlight w:val="none"/>
        </w:rPr>
      </w:pPr>
      <w:r>
        <w:rPr>
          <w:rFonts w:hint="eastAsia" w:eastAsia="黑体"/>
          <w:b/>
          <w:bCs/>
          <w:color w:val="auto"/>
          <w:sz w:val="32"/>
          <w:highlight w:val="none"/>
        </w:rPr>
        <w:t>第十章  招标</w:t>
      </w:r>
      <w:bookmarkStart w:id="1529" w:name="_Toc60061593"/>
      <w:r>
        <w:rPr>
          <w:rFonts w:hint="eastAsia" w:eastAsia="黑体"/>
          <w:b/>
          <w:bCs/>
          <w:color w:val="auto"/>
          <w:sz w:val="32"/>
          <w:highlight w:val="none"/>
        </w:rPr>
        <w:t>人、招标代理机构对本招标文件的确认</w:t>
      </w:r>
      <w:bookmarkEnd w:id="1528"/>
      <w:bookmarkEnd w:id="1529"/>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0"/>
      </w:tblGrid>
      <w:tr w14:paraId="26320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3" w:hRule="atLeast"/>
          <w:jc w:val="center"/>
        </w:trPr>
        <w:tc>
          <w:tcPr>
            <w:tcW w:w="9580" w:type="dxa"/>
            <w:noWrap w:val="0"/>
            <w:vAlign w:val="top"/>
          </w:tcPr>
          <w:p w14:paraId="6748C27B">
            <w:pPr>
              <w:adjustRightInd w:val="0"/>
              <w:snapToGrid w:val="0"/>
              <w:spacing w:line="560" w:lineRule="exact"/>
              <w:rPr>
                <w:rFonts w:hint="eastAsia"/>
                <w:color w:val="auto"/>
                <w:sz w:val="30"/>
                <w:highlight w:val="none"/>
              </w:rPr>
            </w:pPr>
          </w:p>
          <w:p w14:paraId="0A7DBC7D">
            <w:pPr>
              <w:adjustRightInd w:val="0"/>
              <w:snapToGrid w:val="0"/>
              <w:spacing w:line="560" w:lineRule="exact"/>
              <w:ind w:firstLine="700" w:firstLineChars="250"/>
              <w:rPr>
                <w:rFonts w:hint="eastAsia"/>
                <w:color w:val="auto"/>
                <w:sz w:val="28"/>
                <w:szCs w:val="28"/>
                <w:highlight w:val="none"/>
              </w:rPr>
            </w:pPr>
            <w:r>
              <w:rPr>
                <w:rFonts w:hint="eastAsia"/>
                <w:color w:val="auto"/>
                <w:sz w:val="28"/>
                <w:szCs w:val="28"/>
                <w:highlight w:val="none"/>
              </w:rPr>
              <w:t>我单位对</w:t>
            </w:r>
            <w:r>
              <w:rPr>
                <w:rFonts w:hint="eastAsia" w:ascii="宋体" w:hAnsi="宋体" w:cs="宋体"/>
                <w:b/>
                <w:color w:val="auto"/>
                <w:kern w:val="0"/>
                <w:sz w:val="28"/>
                <w:szCs w:val="28"/>
                <w:highlight w:val="none"/>
                <w:u w:val="single"/>
              </w:rPr>
              <w:t xml:space="preserve"> </w:t>
            </w:r>
            <w:bookmarkStart w:id="1530" w:name="_Toc15058950"/>
            <w:bookmarkStart w:id="1531" w:name="_Toc60061594"/>
            <w:bookmarkStart w:id="1532" w:name="_Toc506107366"/>
            <w:r>
              <w:rPr>
                <w:rFonts w:hint="eastAsia" w:ascii="宋体" w:hAnsi="宋体" w:cs="宋体"/>
                <w:b/>
                <w:color w:val="auto"/>
                <w:kern w:val="0"/>
                <w:sz w:val="28"/>
                <w:szCs w:val="28"/>
                <w:highlight w:val="none"/>
                <w:u w:val="single"/>
                <w:lang w:val="en-US" w:eastAsia="zh-CN"/>
              </w:rPr>
              <w:t>隆基乐叶光伏组件厂房改扩建项目一期工程</w:t>
            </w:r>
            <w:r>
              <w:rPr>
                <w:rFonts w:hint="eastAsia" w:ascii="宋体" w:hAnsi="宋体" w:cs="宋体"/>
                <w:color w:val="auto"/>
                <w:kern w:val="0"/>
                <w:sz w:val="28"/>
                <w:szCs w:val="28"/>
                <w:highlight w:val="none"/>
              </w:rPr>
              <w:t>施工招</w:t>
            </w:r>
            <w:bookmarkEnd w:id="1530"/>
            <w:bookmarkEnd w:id="1531"/>
            <w:bookmarkEnd w:id="1532"/>
            <w:r>
              <w:rPr>
                <w:rFonts w:hint="eastAsia" w:ascii="宋体" w:hAnsi="宋体" w:cs="宋体"/>
                <w:color w:val="auto"/>
                <w:kern w:val="0"/>
                <w:sz w:val="28"/>
                <w:szCs w:val="28"/>
                <w:highlight w:val="none"/>
              </w:rPr>
              <w:t>标</w:t>
            </w:r>
            <w:r>
              <w:rPr>
                <w:rFonts w:hint="eastAsia"/>
                <w:color w:val="auto"/>
                <w:sz w:val="28"/>
                <w:szCs w:val="28"/>
                <w:highlight w:val="none"/>
              </w:rPr>
              <w:t>的招标文件进行确认。</w:t>
            </w:r>
          </w:p>
          <w:p w14:paraId="3AF37701">
            <w:pPr>
              <w:adjustRightInd w:val="0"/>
              <w:snapToGrid w:val="0"/>
              <w:spacing w:line="560" w:lineRule="exact"/>
              <w:rPr>
                <w:rFonts w:hint="eastAsia" w:ascii="宋体" w:hAnsi="宋体"/>
                <w:color w:val="auto"/>
                <w:sz w:val="28"/>
                <w:szCs w:val="28"/>
                <w:highlight w:val="none"/>
              </w:rPr>
            </w:pPr>
            <w:r>
              <w:rPr>
                <w:rFonts w:hint="eastAsia"/>
                <w:color w:val="auto"/>
                <w:sz w:val="30"/>
                <w:szCs w:val="30"/>
                <w:highlight w:val="none"/>
              </w:rPr>
              <w:t xml:space="preserve">   </w:t>
            </w:r>
            <w:r>
              <w:rPr>
                <w:rFonts w:hint="eastAsia" w:ascii="宋体" w:hAnsi="宋体"/>
                <w:color w:val="auto"/>
                <w:sz w:val="30"/>
                <w:szCs w:val="30"/>
                <w:highlight w:val="none"/>
              </w:rPr>
              <w:t xml:space="preserve"> </w:t>
            </w:r>
            <w:r>
              <w:rPr>
                <w:rFonts w:hint="eastAsia" w:ascii="宋体" w:hAnsi="宋体"/>
                <w:color w:val="auto"/>
                <w:sz w:val="28"/>
                <w:szCs w:val="28"/>
                <w:highlight w:val="none"/>
              </w:rPr>
              <w:t>招 标 人：</w:t>
            </w:r>
            <w:r>
              <w:rPr>
                <w:rFonts w:hint="eastAsia" w:ascii="宋体" w:hAnsi="宋体" w:cs="宋体"/>
                <w:color w:val="auto"/>
                <w:sz w:val="28"/>
                <w:szCs w:val="28"/>
                <w:highlight w:val="none"/>
                <w:lang w:eastAsia="zh-CN"/>
              </w:rPr>
              <w:t>滁州市同创建设投资有限责任公司</w:t>
            </w:r>
          </w:p>
          <w:p w14:paraId="4F9CD6EE">
            <w:pPr>
              <w:adjustRightInd w:val="0"/>
              <w:snapToGrid w:val="0"/>
              <w:spacing w:line="560" w:lineRule="exact"/>
              <w:ind w:firstLine="560" w:firstLineChars="200"/>
              <w:rPr>
                <w:rFonts w:hint="eastAsia" w:ascii="宋体" w:hAnsi="宋体"/>
                <w:color w:val="auto"/>
                <w:sz w:val="28"/>
                <w:szCs w:val="28"/>
                <w:highlight w:val="none"/>
              </w:rPr>
            </w:pPr>
            <w:r>
              <w:rPr>
                <w:rFonts w:hint="eastAsia" w:ascii="宋体" w:hAnsi="宋体"/>
                <w:color w:val="auto"/>
                <w:sz w:val="28"/>
                <w:szCs w:val="28"/>
                <w:highlight w:val="none"/>
              </w:rPr>
              <w:t>联 系 人：</w:t>
            </w:r>
            <w:r>
              <w:rPr>
                <w:rFonts w:hint="eastAsia" w:ascii="宋体" w:hAnsi="宋体"/>
                <w:color w:val="auto"/>
                <w:sz w:val="28"/>
                <w:szCs w:val="28"/>
                <w:highlight w:val="none"/>
                <w:lang w:val="en-US" w:eastAsia="zh-CN"/>
              </w:rPr>
              <w:t>姜舒、李庆延</w:t>
            </w:r>
            <w:r>
              <w:rPr>
                <w:rFonts w:hint="eastAsia" w:ascii="宋体" w:hAnsi="宋体"/>
                <w:color w:val="auto"/>
                <w:sz w:val="28"/>
                <w:szCs w:val="28"/>
                <w:highlight w:val="none"/>
              </w:rPr>
              <w:t xml:space="preserve"> </w:t>
            </w:r>
          </w:p>
          <w:p w14:paraId="772B3841">
            <w:pPr>
              <w:adjustRightInd w:val="0"/>
              <w:snapToGrid w:val="0"/>
              <w:spacing w:line="560" w:lineRule="exact"/>
              <w:ind w:firstLine="560" w:firstLineChars="200"/>
              <w:rPr>
                <w:rFonts w:hint="eastAsia" w:ascii="宋体" w:hAnsi="宋体"/>
                <w:color w:val="auto"/>
                <w:sz w:val="28"/>
                <w:szCs w:val="28"/>
                <w:highlight w:val="none"/>
              </w:rPr>
            </w:pPr>
            <w:r>
              <w:rPr>
                <w:rFonts w:hint="eastAsia" w:ascii="宋体" w:hAnsi="宋体"/>
                <w:color w:val="auto"/>
                <w:sz w:val="28"/>
                <w:szCs w:val="28"/>
                <w:highlight w:val="none"/>
              </w:rPr>
              <w:t>联系电话</w:t>
            </w:r>
            <w:r>
              <w:rPr>
                <w:rFonts w:hint="eastAsia" w:ascii="宋体" w:hAnsi="宋体"/>
                <w:color w:val="auto"/>
                <w:sz w:val="28"/>
                <w:szCs w:val="28"/>
                <w:highlight w:val="none"/>
                <w:lang w:eastAsia="zh-CN"/>
              </w:rPr>
              <w:t>：0550-3017151</w:t>
            </w:r>
          </w:p>
          <w:p w14:paraId="5A8DD663">
            <w:pPr>
              <w:adjustRightInd w:val="0"/>
              <w:snapToGrid w:val="0"/>
              <w:spacing w:line="560" w:lineRule="exact"/>
              <w:ind w:firstLine="560" w:firstLineChars="200"/>
              <w:rPr>
                <w:rFonts w:hint="eastAsia" w:ascii="宋体" w:hAnsi="宋体"/>
                <w:color w:val="auto"/>
                <w:sz w:val="28"/>
                <w:szCs w:val="28"/>
                <w:highlight w:val="none"/>
              </w:rPr>
            </w:pPr>
            <w:r>
              <w:rPr>
                <w:rFonts w:hint="eastAsia" w:ascii="宋体" w:hAnsi="宋体"/>
                <w:color w:val="auto"/>
                <w:sz w:val="28"/>
                <w:szCs w:val="28"/>
                <w:highlight w:val="none"/>
              </w:rPr>
              <w:t xml:space="preserve">                                                                      </w:t>
            </w:r>
          </w:p>
          <w:p w14:paraId="61B6167A">
            <w:pPr>
              <w:adjustRightInd w:val="0"/>
              <w:snapToGrid w:val="0"/>
              <w:spacing w:line="560" w:lineRule="exact"/>
              <w:ind w:firstLine="6580" w:firstLineChars="2350"/>
              <w:rPr>
                <w:rFonts w:hint="eastAsia" w:ascii="宋体" w:hAnsi="宋体"/>
                <w:color w:val="auto"/>
                <w:sz w:val="28"/>
                <w:szCs w:val="28"/>
                <w:highlight w:val="none"/>
              </w:rPr>
            </w:pPr>
            <w:r>
              <w:rPr>
                <w:rFonts w:hint="eastAsia" w:ascii="宋体" w:hAnsi="宋体"/>
                <w:color w:val="auto"/>
                <w:sz w:val="28"/>
                <w:szCs w:val="28"/>
                <w:highlight w:val="none"/>
              </w:rPr>
              <w:t>（</w:t>
            </w:r>
            <w:r>
              <w:rPr>
                <w:rFonts w:eastAsia="黑体"/>
                <w:color w:val="auto"/>
                <w:sz w:val="28"/>
                <w:szCs w:val="28"/>
                <w:highlight w:val="none"/>
              </w:rPr>
              <w:t>签</w:t>
            </w:r>
            <w:r>
              <w:rPr>
                <w:rFonts w:hint="eastAsia" w:eastAsia="黑体"/>
                <w:color w:val="auto"/>
                <w:sz w:val="28"/>
                <w:szCs w:val="28"/>
                <w:highlight w:val="none"/>
              </w:rPr>
              <w:t>章</w:t>
            </w:r>
            <w:r>
              <w:rPr>
                <w:rFonts w:hint="eastAsia" w:ascii="宋体" w:hAnsi="宋体"/>
                <w:color w:val="auto"/>
                <w:sz w:val="28"/>
                <w:szCs w:val="28"/>
                <w:highlight w:val="none"/>
              </w:rPr>
              <w:t>）</w:t>
            </w:r>
          </w:p>
          <w:p w14:paraId="400EEAD6">
            <w:pPr>
              <w:adjustRightInd w:val="0"/>
              <w:snapToGrid w:val="0"/>
              <w:spacing w:line="560" w:lineRule="exact"/>
              <w:ind w:firstLine="5040" w:firstLineChars="1800"/>
              <w:rPr>
                <w:rFonts w:hint="eastAsia"/>
                <w:color w:val="auto"/>
                <w:sz w:val="30"/>
                <w:highlight w:val="none"/>
              </w:rPr>
            </w:pPr>
            <w:r>
              <w:rPr>
                <w:rFonts w:hint="eastAsia" w:ascii="宋体" w:hAnsi="宋体"/>
                <w:color w:val="auto"/>
                <w:sz w:val="28"/>
                <w:szCs w:val="28"/>
                <w:highlight w:val="none"/>
              </w:rPr>
              <w:t xml:space="preserve"> </w:t>
            </w:r>
            <w:r>
              <w:rPr>
                <w:rFonts w:hint="eastAsia" w:ascii="宋体" w:hAnsi="宋体"/>
                <w:color w:val="auto"/>
                <w:sz w:val="28"/>
                <w:szCs w:val="28"/>
                <w:highlight w:val="none"/>
                <w:lang w:val="en-US" w:eastAsia="zh-CN"/>
              </w:rPr>
              <w:t xml:space="preserve">       2026</w:t>
            </w:r>
            <w:r>
              <w:rPr>
                <w:rFonts w:hint="eastAsia" w:ascii="宋体" w:hAnsi="宋体"/>
                <w:color w:val="auto"/>
                <w:sz w:val="28"/>
                <w:szCs w:val="28"/>
                <w:highlight w:val="none"/>
              </w:rPr>
              <w:t>年</w:t>
            </w:r>
            <w:r>
              <w:rPr>
                <w:rFonts w:hint="eastAsia" w:ascii="宋体" w:hAnsi="宋体"/>
                <w:color w:val="auto"/>
                <w:sz w:val="28"/>
                <w:szCs w:val="28"/>
                <w:highlight w:val="none"/>
                <w:lang w:val="en-US" w:eastAsia="zh-CN"/>
              </w:rPr>
              <w:t>7</w:t>
            </w:r>
            <w:r>
              <w:rPr>
                <w:rFonts w:hint="eastAsia" w:ascii="宋体" w:hAnsi="宋体"/>
                <w:color w:val="auto"/>
                <w:sz w:val="28"/>
                <w:szCs w:val="28"/>
                <w:highlight w:val="none"/>
              </w:rPr>
              <w:t>月</w:t>
            </w:r>
            <w:r>
              <w:rPr>
                <w:rFonts w:hint="eastAsia" w:ascii="宋体" w:hAnsi="宋体"/>
                <w:color w:val="auto"/>
                <w:sz w:val="28"/>
                <w:szCs w:val="28"/>
                <w:highlight w:val="none"/>
                <w:lang w:val="en-US" w:eastAsia="zh-CN"/>
              </w:rPr>
              <w:t>8</w:t>
            </w:r>
            <w:r>
              <w:rPr>
                <w:rFonts w:hint="eastAsia" w:ascii="宋体" w:hAnsi="宋体"/>
                <w:color w:val="auto"/>
                <w:sz w:val="28"/>
                <w:szCs w:val="28"/>
                <w:highlight w:val="none"/>
              </w:rPr>
              <w:t>日</w:t>
            </w:r>
          </w:p>
        </w:tc>
      </w:tr>
      <w:tr w14:paraId="705C3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6" w:hRule="atLeast"/>
          <w:jc w:val="center"/>
        </w:trPr>
        <w:tc>
          <w:tcPr>
            <w:tcW w:w="9580" w:type="dxa"/>
            <w:noWrap w:val="0"/>
            <w:vAlign w:val="top"/>
          </w:tcPr>
          <w:p w14:paraId="4B1F7584">
            <w:pPr>
              <w:adjustRightInd w:val="0"/>
              <w:snapToGrid w:val="0"/>
              <w:spacing w:line="560" w:lineRule="exact"/>
              <w:ind w:firstLine="600" w:firstLineChars="200"/>
              <w:rPr>
                <w:rFonts w:hint="eastAsia"/>
                <w:color w:val="auto"/>
                <w:sz w:val="30"/>
                <w:highlight w:val="none"/>
              </w:rPr>
            </w:pPr>
          </w:p>
          <w:p w14:paraId="60BC91EC">
            <w:pPr>
              <w:adjustRightInd w:val="0"/>
              <w:snapToGrid w:val="0"/>
              <w:spacing w:line="560" w:lineRule="exact"/>
              <w:ind w:firstLine="560" w:firstLineChars="200"/>
              <w:rPr>
                <w:rFonts w:hint="eastAsia"/>
                <w:color w:val="auto"/>
                <w:sz w:val="28"/>
                <w:szCs w:val="28"/>
                <w:highlight w:val="none"/>
              </w:rPr>
            </w:pPr>
            <w:r>
              <w:rPr>
                <w:rFonts w:hint="eastAsia"/>
                <w:color w:val="auto"/>
                <w:sz w:val="28"/>
                <w:szCs w:val="28"/>
                <w:highlight w:val="none"/>
              </w:rPr>
              <w:t>招标代理机构：</w:t>
            </w:r>
            <w:r>
              <w:rPr>
                <w:rFonts w:hint="eastAsia"/>
                <w:color w:val="auto"/>
                <w:sz w:val="28"/>
                <w:szCs w:val="28"/>
                <w:highlight w:val="none"/>
                <w:lang w:val="en-US" w:eastAsia="zh-CN"/>
              </w:rPr>
              <w:t>滁州市城投工程咨询管理有限公司</w:t>
            </w:r>
            <w:r>
              <w:rPr>
                <w:rFonts w:hint="eastAsia"/>
                <w:color w:val="auto"/>
                <w:sz w:val="28"/>
                <w:szCs w:val="28"/>
                <w:highlight w:val="none"/>
              </w:rPr>
              <w:t xml:space="preserve"> </w:t>
            </w:r>
          </w:p>
          <w:p w14:paraId="3C436E27">
            <w:pPr>
              <w:adjustRightInd w:val="0"/>
              <w:snapToGrid w:val="0"/>
              <w:spacing w:line="560" w:lineRule="exact"/>
              <w:ind w:firstLine="560" w:firstLineChars="200"/>
              <w:rPr>
                <w:rFonts w:hint="eastAsia"/>
                <w:color w:val="auto"/>
                <w:sz w:val="28"/>
                <w:szCs w:val="28"/>
                <w:highlight w:val="none"/>
              </w:rPr>
            </w:pPr>
            <w:r>
              <w:rPr>
                <w:rFonts w:hint="eastAsia"/>
                <w:color w:val="auto"/>
                <w:sz w:val="28"/>
                <w:szCs w:val="28"/>
                <w:highlight w:val="none"/>
              </w:rPr>
              <w:t>联系人：</w:t>
            </w:r>
            <w:r>
              <w:rPr>
                <w:rFonts w:hint="eastAsia"/>
                <w:color w:val="auto"/>
                <w:sz w:val="28"/>
                <w:szCs w:val="28"/>
                <w:highlight w:val="none"/>
                <w:lang w:val="en-US" w:eastAsia="zh-CN"/>
              </w:rPr>
              <w:t>杨韦</w:t>
            </w:r>
            <w:r>
              <w:rPr>
                <w:rFonts w:hint="eastAsia"/>
                <w:color w:val="auto"/>
                <w:sz w:val="28"/>
                <w:szCs w:val="28"/>
                <w:highlight w:val="none"/>
              </w:rPr>
              <w:t xml:space="preserve"> </w:t>
            </w:r>
          </w:p>
          <w:p w14:paraId="0E688C69">
            <w:pPr>
              <w:adjustRightInd w:val="0"/>
              <w:snapToGrid w:val="0"/>
              <w:spacing w:line="560" w:lineRule="exact"/>
              <w:ind w:firstLine="560" w:firstLineChars="200"/>
              <w:rPr>
                <w:rFonts w:hint="eastAsia"/>
                <w:color w:val="auto"/>
                <w:sz w:val="28"/>
                <w:szCs w:val="28"/>
                <w:highlight w:val="none"/>
              </w:rPr>
            </w:pPr>
            <w:r>
              <w:rPr>
                <w:rFonts w:hint="eastAsia"/>
                <w:color w:val="auto"/>
                <w:sz w:val="28"/>
                <w:szCs w:val="28"/>
                <w:highlight w:val="none"/>
              </w:rPr>
              <w:t>联系电话：</w:t>
            </w:r>
            <w:r>
              <w:rPr>
                <w:rFonts w:hint="eastAsia"/>
                <w:color w:val="auto"/>
                <w:sz w:val="28"/>
                <w:szCs w:val="28"/>
                <w:highlight w:val="none"/>
                <w:lang w:val="en-US" w:eastAsia="zh-CN"/>
              </w:rPr>
              <w:t>0550-3519590、18005501210</w:t>
            </w:r>
            <w:r>
              <w:rPr>
                <w:rFonts w:hint="eastAsia"/>
                <w:color w:val="auto"/>
                <w:sz w:val="28"/>
                <w:szCs w:val="28"/>
                <w:highlight w:val="none"/>
              </w:rPr>
              <w:t xml:space="preserve"> </w:t>
            </w:r>
          </w:p>
          <w:p w14:paraId="301AF135">
            <w:pPr>
              <w:adjustRightInd w:val="0"/>
              <w:snapToGrid w:val="0"/>
              <w:spacing w:line="560" w:lineRule="exact"/>
              <w:ind w:firstLine="280" w:firstLineChars="100"/>
              <w:rPr>
                <w:rFonts w:hint="eastAsia"/>
                <w:color w:val="auto"/>
                <w:sz w:val="28"/>
                <w:szCs w:val="28"/>
                <w:highlight w:val="none"/>
              </w:rPr>
            </w:pPr>
            <w:r>
              <w:rPr>
                <w:rFonts w:hint="eastAsia"/>
                <w:color w:val="auto"/>
                <w:sz w:val="28"/>
                <w:szCs w:val="28"/>
                <w:highlight w:val="none"/>
              </w:rPr>
              <w:t xml:space="preserve">                                  </w:t>
            </w:r>
          </w:p>
          <w:p w14:paraId="321332DD">
            <w:pPr>
              <w:adjustRightInd w:val="0"/>
              <w:snapToGrid w:val="0"/>
              <w:spacing w:line="560" w:lineRule="exact"/>
              <w:ind w:firstLine="280" w:firstLineChars="100"/>
              <w:rPr>
                <w:rFonts w:hint="eastAsia"/>
                <w:color w:val="auto"/>
                <w:sz w:val="28"/>
                <w:szCs w:val="28"/>
                <w:highlight w:val="none"/>
              </w:rPr>
            </w:pPr>
          </w:p>
          <w:p w14:paraId="6EC33CF5">
            <w:pPr>
              <w:adjustRightInd w:val="0"/>
              <w:snapToGrid w:val="0"/>
              <w:spacing w:line="560" w:lineRule="exact"/>
              <w:ind w:firstLine="280" w:firstLineChars="100"/>
              <w:jc w:val="center"/>
              <w:rPr>
                <w:rFonts w:hint="eastAsia"/>
                <w:color w:val="auto"/>
                <w:sz w:val="28"/>
                <w:szCs w:val="28"/>
                <w:highlight w:val="none"/>
              </w:rPr>
            </w:pPr>
            <w:r>
              <w:rPr>
                <w:rFonts w:hint="eastAsia"/>
                <w:color w:val="auto"/>
                <w:sz w:val="28"/>
                <w:szCs w:val="28"/>
                <w:highlight w:val="none"/>
              </w:rPr>
              <w:t xml:space="preserve">                               （</w:t>
            </w:r>
            <w:r>
              <w:rPr>
                <w:rFonts w:eastAsia="黑体"/>
                <w:color w:val="auto"/>
                <w:sz w:val="28"/>
                <w:szCs w:val="28"/>
                <w:highlight w:val="none"/>
              </w:rPr>
              <w:t>签</w:t>
            </w:r>
            <w:r>
              <w:rPr>
                <w:rFonts w:hint="eastAsia" w:eastAsia="黑体"/>
                <w:color w:val="auto"/>
                <w:sz w:val="28"/>
                <w:szCs w:val="28"/>
                <w:highlight w:val="none"/>
              </w:rPr>
              <w:t>章</w:t>
            </w:r>
            <w:r>
              <w:rPr>
                <w:rFonts w:hint="eastAsia"/>
                <w:color w:val="auto"/>
                <w:sz w:val="28"/>
                <w:szCs w:val="28"/>
                <w:highlight w:val="none"/>
              </w:rPr>
              <w:t>）</w:t>
            </w:r>
          </w:p>
          <w:p w14:paraId="6B173176">
            <w:pPr>
              <w:adjustRightInd w:val="0"/>
              <w:snapToGrid w:val="0"/>
              <w:spacing w:line="560" w:lineRule="exact"/>
              <w:ind w:firstLine="4900" w:firstLineChars="1750"/>
              <w:rPr>
                <w:rFonts w:hint="eastAsia"/>
                <w:color w:val="auto"/>
                <w:sz w:val="30"/>
                <w:highlight w:val="none"/>
              </w:rPr>
            </w:pPr>
            <w:r>
              <w:rPr>
                <w:rFonts w:hint="eastAsia"/>
                <w:color w:val="auto"/>
                <w:sz w:val="28"/>
                <w:szCs w:val="28"/>
                <w:highlight w:val="none"/>
              </w:rPr>
              <w:t xml:space="preserve"> </w:t>
            </w:r>
            <w:r>
              <w:rPr>
                <w:rFonts w:hint="eastAsia"/>
                <w:color w:val="auto"/>
                <w:sz w:val="28"/>
                <w:szCs w:val="28"/>
                <w:highlight w:val="none"/>
                <w:lang w:val="en-US" w:eastAsia="zh-CN"/>
              </w:rPr>
              <w:t xml:space="preserve">       </w:t>
            </w:r>
            <w:r>
              <w:rPr>
                <w:rFonts w:hint="eastAsia"/>
                <w:color w:val="auto"/>
                <w:sz w:val="28"/>
                <w:szCs w:val="28"/>
                <w:highlight w:val="none"/>
              </w:rPr>
              <w:t xml:space="preserve"> </w:t>
            </w:r>
            <w:r>
              <w:rPr>
                <w:rFonts w:hint="eastAsia"/>
                <w:color w:val="auto"/>
                <w:sz w:val="28"/>
                <w:szCs w:val="28"/>
                <w:highlight w:val="none"/>
                <w:lang w:val="en-US" w:eastAsia="zh-CN"/>
              </w:rPr>
              <w:t>2026</w:t>
            </w:r>
            <w:r>
              <w:rPr>
                <w:rFonts w:hint="eastAsia"/>
                <w:color w:val="auto"/>
                <w:sz w:val="28"/>
                <w:szCs w:val="28"/>
                <w:highlight w:val="none"/>
              </w:rPr>
              <w:t>年</w:t>
            </w:r>
            <w:r>
              <w:rPr>
                <w:rFonts w:hint="eastAsia"/>
                <w:color w:val="auto"/>
                <w:sz w:val="28"/>
                <w:szCs w:val="28"/>
                <w:highlight w:val="none"/>
                <w:lang w:val="en-US" w:eastAsia="zh-CN"/>
              </w:rPr>
              <w:t>7</w:t>
            </w:r>
            <w:r>
              <w:rPr>
                <w:rFonts w:hint="eastAsia"/>
                <w:color w:val="auto"/>
                <w:sz w:val="28"/>
                <w:szCs w:val="28"/>
                <w:highlight w:val="none"/>
              </w:rPr>
              <w:t>月</w:t>
            </w:r>
            <w:r>
              <w:rPr>
                <w:rFonts w:hint="eastAsia"/>
                <w:color w:val="auto"/>
                <w:sz w:val="28"/>
                <w:szCs w:val="28"/>
                <w:highlight w:val="none"/>
                <w:lang w:val="en-US" w:eastAsia="zh-CN"/>
              </w:rPr>
              <w:t>8</w:t>
            </w:r>
            <w:r>
              <w:rPr>
                <w:rFonts w:hint="eastAsia"/>
                <w:color w:val="auto"/>
                <w:sz w:val="28"/>
                <w:szCs w:val="28"/>
                <w:highlight w:val="none"/>
              </w:rPr>
              <w:t>日</w:t>
            </w:r>
          </w:p>
        </w:tc>
      </w:tr>
    </w:tbl>
    <w:p w14:paraId="6D9F12F4">
      <w:pPr>
        <w:keepNext/>
        <w:keepLines/>
        <w:spacing w:before="200" w:after="200" w:line="600" w:lineRule="exact"/>
        <w:outlineLvl w:val="0"/>
        <w:rPr>
          <w:rFonts w:ascii="黑体" w:hAnsi="黑体" w:eastAsia="黑体"/>
          <w:b/>
          <w:bCs/>
          <w:color w:val="auto"/>
          <w:kern w:val="44"/>
          <w:sz w:val="28"/>
          <w:szCs w:val="28"/>
          <w:highlight w:val="none"/>
        </w:rPr>
      </w:pPr>
      <w:r>
        <w:rPr>
          <w:rFonts w:hint="eastAsia"/>
          <w:color w:val="auto"/>
          <w:sz w:val="24"/>
          <w:highlight w:val="none"/>
        </w:rPr>
        <w:br w:type="page"/>
      </w:r>
      <w:bookmarkEnd w:id="4"/>
      <w:bookmarkEnd w:id="5"/>
      <w:bookmarkEnd w:id="6"/>
      <w:bookmarkEnd w:id="7"/>
      <w:bookmarkEnd w:id="8"/>
      <w:bookmarkStart w:id="1533" w:name="OLE_LINK7"/>
      <w:bookmarkStart w:id="1534" w:name="OLE_LINK25"/>
      <w:bookmarkStart w:id="1535" w:name="OLE_LINK24"/>
      <w:r>
        <w:rPr>
          <w:rFonts w:hint="eastAsia" w:ascii="黑体" w:hAnsi="黑体" w:eastAsia="黑体"/>
          <w:b/>
          <w:bCs/>
          <w:color w:val="auto"/>
          <w:kern w:val="44"/>
          <w:sz w:val="36"/>
          <w:szCs w:val="28"/>
          <w:highlight w:val="none"/>
        </w:rPr>
        <w:t>附件1 关于联合惩戒失信行为加强信用查询管理的通知</w:t>
      </w:r>
    </w:p>
    <w:bookmarkEnd w:id="1533"/>
    <w:p w14:paraId="11E8273E">
      <w:pPr>
        <w:adjustRightInd w:val="0"/>
        <w:snapToGrid w:val="0"/>
        <w:spacing w:line="560" w:lineRule="exact"/>
        <w:ind w:firstLine="562" w:firstLineChars="200"/>
        <w:rPr>
          <w:rFonts w:hint="eastAsia" w:ascii="仿宋_GB2312" w:hAnsi="宋体" w:eastAsia="仿宋_GB2312"/>
          <w:b/>
          <w:color w:val="auto"/>
          <w:sz w:val="28"/>
          <w:szCs w:val="28"/>
          <w:highlight w:val="none"/>
        </w:rPr>
      </w:pPr>
      <w:r>
        <w:rPr>
          <w:rFonts w:hint="eastAsia" w:ascii="仿宋_GB2312" w:hAnsi="宋体" w:eastAsia="仿宋_GB2312"/>
          <w:b/>
          <w:color w:val="auto"/>
          <w:sz w:val="28"/>
          <w:szCs w:val="28"/>
          <w:highlight w:val="none"/>
        </w:rPr>
        <w:t>一、失信行为联合惩戒的范围和查询渠道</w:t>
      </w:r>
    </w:p>
    <w:p w14:paraId="692583C6">
      <w:pPr>
        <w:adjustRightInd w:val="0"/>
        <w:snapToGrid w:val="0"/>
        <w:spacing w:line="560" w:lineRule="exact"/>
        <w:ind w:firstLine="560" w:firstLineChars="200"/>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在我市公共资源交易活动中对存在下列失信行为的投标人、法定代表人及其项目经理（建造师）实施联合惩戒，禁止参与我市公共资源交易活动。</w:t>
      </w:r>
    </w:p>
    <w:p w14:paraId="1068ECDC">
      <w:pPr>
        <w:adjustRightInd w:val="0"/>
        <w:snapToGrid w:val="0"/>
        <w:spacing w:line="560" w:lineRule="exact"/>
        <w:ind w:firstLine="562" w:firstLineChars="200"/>
        <w:rPr>
          <w:rFonts w:hint="eastAsia" w:ascii="仿宋_GB2312" w:hAnsi="宋体" w:eastAsia="仿宋_GB2312"/>
          <w:b/>
          <w:color w:val="auto"/>
          <w:sz w:val="28"/>
          <w:szCs w:val="28"/>
          <w:highlight w:val="none"/>
        </w:rPr>
      </w:pPr>
      <w:r>
        <w:rPr>
          <w:rFonts w:hint="eastAsia" w:ascii="仿宋_GB2312" w:hAnsi="宋体" w:eastAsia="仿宋_GB2312"/>
          <w:b/>
          <w:color w:val="auto"/>
          <w:sz w:val="28"/>
          <w:szCs w:val="28"/>
          <w:highlight w:val="none"/>
        </w:rPr>
        <w:t>（一）工程建设项目</w:t>
      </w:r>
    </w:p>
    <w:bookmarkEnd w:id="1534"/>
    <w:bookmarkEnd w:id="1535"/>
    <w:p w14:paraId="50EB6F47">
      <w:pPr>
        <w:adjustRightInd w:val="0"/>
        <w:snapToGrid w:val="0"/>
        <w:spacing w:line="560" w:lineRule="exact"/>
        <w:ind w:firstLine="560" w:firstLineChars="200"/>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1、“信用中国”网站（www.creditchina.gov.cn）查询</w:t>
      </w:r>
      <w:bookmarkStart w:id="1536" w:name="OLE_LINK91"/>
      <w:bookmarkStart w:id="1537" w:name="OLE_LINK92"/>
      <w:bookmarkStart w:id="1538" w:name="OLE_LINK103"/>
      <w:bookmarkStart w:id="1539" w:name="OLE_LINK93"/>
      <w:r>
        <w:rPr>
          <w:rFonts w:hint="eastAsia" w:ascii="仿宋_GB2312" w:hAnsi="宋体" w:eastAsia="仿宋_GB2312"/>
          <w:color w:val="auto"/>
          <w:sz w:val="28"/>
          <w:szCs w:val="28"/>
          <w:highlight w:val="none"/>
        </w:rPr>
        <w:t>投标人、法定代表人及其项目经理(建造师)</w:t>
      </w:r>
      <w:bookmarkEnd w:id="1536"/>
      <w:bookmarkEnd w:id="1537"/>
      <w:bookmarkEnd w:id="1538"/>
      <w:bookmarkEnd w:id="1539"/>
      <w:r>
        <w:rPr>
          <w:rFonts w:hint="eastAsia" w:ascii="仿宋_GB2312" w:hAnsi="宋体" w:eastAsia="仿宋_GB2312"/>
          <w:color w:val="auto"/>
          <w:sz w:val="28"/>
          <w:szCs w:val="28"/>
          <w:highlight w:val="none"/>
        </w:rPr>
        <w:t>以下失信行为：</w:t>
      </w:r>
    </w:p>
    <w:p w14:paraId="4DCD41DA">
      <w:pPr>
        <w:adjustRightInd w:val="0"/>
        <w:snapToGrid w:val="0"/>
        <w:spacing w:line="560" w:lineRule="exact"/>
        <w:ind w:firstLine="560" w:firstLineChars="200"/>
        <w:rPr>
          <w:rFonts w:hint="eastAsia" w:ascii="仿宋_GB2312" w:hAnsi="宋体" w:eastAsia="仿宋_GB2312"/>
          <w:color w:val="auto"/>
          <w:sz w:val="28"/>
          <w:szCs w:val="28"/>
          <w:highlight w:val="none"/>
        </w:rPr>
      </w:pPr>
      <w:bookmarkStart w:id="1540" w:name="OLE_LINK86"/>
      <w:bookmarkStart w:id="1541" w:name="OLE_LINK94"/>
      <w:bookmarkStart w:id="1542" w:name="OLE_LINK119"/>
      <w:bookmarkStart w:id="1543" w:name="OLE_LINK87"/>
      <w:r>
        <w:rPr>
          <w:rFonts w:hint="eastAsia" w:ascii="仿宋_GB2312" w:hAnsi="宋体" w:eastAsia="仿宋_GB2312"/>
          <w:color w:val="auto"/>
          <w:sz w:val="28"/>
          <w:szCs w:val="28"/>
          <w:highlight w:val="none"/>
        </w:rPr>
        <w:t>①被列入“失信被执行人”的;</w:t>
      </w:r>
    </w:p>
    <w:p w14:paraId="1229C4BE">
      <w:pPr>
        <w:adjustRightInd w:val="0"/>
        <w:snapToGrid w:val="0"/>
        <w:spacing w:line="560" w:lineRule="exact"/>
        <w:ind w:firstLine="560" w:firstLineChars="200"/>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②被列入</w:t>
      </w:r>
      <w:bookmarkStart w:id="1544" w:name="OLE_LINK116"/>
      <w:bookmarkStart w:id="1545" w:name="OLE_LINK117"/>
      <w:bookmarkStart w:id="1546" w:name="OLE_LINK118"/>
      <w:bookmarkStart w:id="1547" w:name="OLE_LINK115"/>
      <w:r>
        <w:rPr>
          <w:rFonts w:hint="eastAsia" w:ascii="仿宋_GB2312" w:hAnsi="宋体" w:eastAsia="仿宋_GB2312"/>
          <w:color w:val="auto"/>
          <w:sz w:val="28"/>
          <w:szCs w:val="28"/>
          <w:highlight w:val="none"/>
        </w:rPr>
        <w:t>“重大税收违法失信主体”</w:t>
      </w:r>
      <w:bookmarkEnd w:id="1544"/>
      <w:bookmarkEnd w:id="1545"/>
      <w:bookmarkEnd w:id="1546"/>
      <w:bookmarkEnd w:id="1547"/>
      <w:r>
        <w:rPr>
          <w:rFonts w:hint="eastAsia" w:ascii="仿宋_GB2312" w:hAnsi="宋体" w:eastAsia="仿宋_GB2312"/>
          <w:color w:val="auto"/>
          <w:sz w:val="28"/>
          <w:szCs w:val="28"/>
          <w:highlight w:val="none"/>
        </w:rPr>
        <w:t>的；</w:t>
      </w:r>
    </w:p>
    <w:p w14:paraId="503D0486">
      <w:pPr>
        <w:adjustRightInd w:val="0"/>
        <w:snapToGrid w:val="0"/>
        <w:spacing w:line="560" w:lineRule="exact"/>
        <w:ind w:firstLine="560" w:firstLineChars="200"/>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③被列入“拖欠</w:t>
      </w:r>
      <w:bookmarkStart w:id="1548" w:name="OLE_LINK84"/>
      <w:bookmarkStart w:id="1549" w:name="OLE_LINK85"/>
      <w:r>
        <w:rPr>
          <w:rFonts w:hint="eastAsia" w:ascii="仿宋_GB2312" w:hAnsi="宋体" w:eastAsia="仿宋_GB2312"/>
          <w:color w:val="auto"/>
          <w:sz w:val="28"/>
          <w:szCs w:val="28"/>
          <w:highlight w:val="none"/>
        </w:rPr>
        <w:t>农民工工资失信联合惩戒对象</w:t>
      </w:r>
      <w:bookmarkEnd w:id="1548"/>
      <w:bookmarkEnd w:id="1549"/>
      <w:r>
        <w:rPr>
          <w:rFonts w:hint="eastAsia" w:ascii="仿宋_GB2312" w:hAnsi="宋体" w:eastAsia="仿宋_GB2312"/>
          <w:color w:val="auto"/>
          <w:sz w:val="28"/>
          <w:szCs w:val="28"/>
          <w:highlight w:val="none"/>
        </w:rPr>
        <w:t>名单”的；</w:t>
      </w:r>
    </w:p>
    <w:p w14:paraId="3416DBA7">
      <w:pPr>
        <w:adjustRightInd w:val="0"/>
        <w:snapToGrid w:val="0"/>
        <w:spacing w:line="560" w:lineRule="exact"/>
        <w:ind w:firstLine="560" w:firstLineChars="200"/>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④被列入 “严重失信主体名单”的；</w:t>
      </w:r>
    </w:p>
    <w:p w14:paraId="04D14FB5">
      <w:pPr>
        <w:adjustRightInd w:val="0"/>
        <w:snapToGrid w:val="0"/>
        <w:spacing w:line="560" w:lineRule="exact"/>
        <w:ind w:firstLine="560" w:firstLineChars="200"/>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⑤在“信用中国”网站上披露的仍在公示期的严重失信行为(具体行为类别及判定依据见附件2)的。</w:t>
      </w:r>
    </w:p>
    <w:bookmarkEnd w:id="1540"/>
    <w:bookmarkEnd w:id="1541"/>
    <w:bookmarkEnd w:id="1542"/>
    <w:bookmarkEnd w:id="1543"/>
    <w:p w14:paraId="60D37847">
      <w:pPr>
        <w:adjustRightInd w:val="0"/>
        <w:snapToGrid w:val="0"/>
        <w:spacing w:line="560" w:lineRule="exact"/>
        <w:ind w:firstLine="560" w:firstLineChars="200"/>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2、</w:t>
      </w:r>
      <w:bookmarkStart w:id="1550" w:name="OLE_LINK130"/>
      <w:r>
        <w:rPr>
          <w:rFonts w:hint="eastAsia" w:ascii="仿宋_GB2312" w:hAnsi="宋体" w:eastAsia="仿宋_GB2312"/>
          <w:color w:val="auto"/>
          <w:sz w:val="28"/>
          <w:szCs w:val="28"/>
          <w:highlight w:val="none"/>
        </w:rPr>
        <w:t>国家企业信用信息公示系统网站</w:t>
      </w:r>
      <w:bookmarkEnd w:id="1550"/>
      <w:r>
        <w:rPr>
          <w:rFonts w:hint="eastAsia" w:ascii="仿宋_GB2312" w:hAnsi="宋体" w:eastAsia="仿宋_GB2312"/>
          <w:color w:val="auto"/>
          <w:sz w:val="28"/>
          <w:szCs w:val="28"/>
          <w:highlight w:val="none"/>
        </w:rPr>
        <w:t>（</w:t>
      </w:r>
      <w:r>
        <w:rPr>
          <w:color w:val="auto"/>
          <w:highlight w:val="none"/>
        </w:rPr>
        <w:fldChar w:fldCharType="begin"/>
      </w:r>
      <w:r>
        <w:rPr>
          <w:color w:val="auto"/>
          <w:highlight w:val="none"/>
        </w:rPr>
        <w:instrText xml:space="preserve"> </w:instrText>
      </w:r>
      <w:r>
        <w:rPr>
          <w:rFonts w:hint="eastAsia"/>
          <w:color w:val="auto"/>
          <w:highlight w:val="none"/>
        </w:rPr>
        <w:instrText xml:space="preserve">HYPERLINK "http://www.gsxt.gov.cn）查询"</w:instrText>
      </w:r>
      <w:r>
        <w:rPr>
          <w:color w:val="auto"/>
          <w:highlight w:val="none"/>
        </w:rPr>
        <w:instrText xml:space="preserve"> </w:instrText>
      </w:r>
      <w:r>
        <w:rPr>
          <w:color w:val="auto"/>
          <w:highlight w:val="none"/>
        </w:rPr>
        <w:fldChar w:fldCharType="separate"/>
      </w:r>
      <w:bookmarkStart w:id="1551" w:name="OLE_LINK89"/>
      <w:bookmarkStart w:id="1552" w:name="OLE_LINK90"/>
      <w:r>
        <w:rPr>
          <w:rStyle w:val="30"/>
          <w:rFonts w:hint="eastAsia" w:ascii="仿宋_GB2312" w:hAnsi="宋体" w:eastAsia="仿宋_GB2312"/>
          <w:color w:val="auto"/>
          <w:sz w:val="28"/>
          <w:szCs w:val="28"/>
          <w:highlight w:val="none"/>
        </w:rPr>
        <w:t>www.gsxt.gov.cn</w:t>
      </w:r>
      <w:bookmarkEnd w:id="1551"/>
      <w:bookmarkEnd w:id="1552"/>
      <w:r>
        <w:rPr>
          <w:rStyle w:val="30"/>
          <w:rFonts w:hint="eastAsia" w:ascii="仿宋_GB2312" w:hAnsi="宋体" w:eastAsia="仿宋_GB2312"/>
          <w:color w:val="auto"/>
          <w:sz w:val="28"/>
          <w:szCs w:val="28"/>
          <w:highlight w:val="none"/>
        </w:rPr>
        <w:t>）</w:t>
      </w:r>
      <w:r>
        <w:rPr>
          <w:color w:val="auto"/>
          <w:highlight w:val="none"/>
        </w:rPr>
        <w:fldChar w:fldCharType="end"/>
      </w:r>
      <w:r>
        <w:rPr>
          <w:rFonts w:hint="eastAsia" w:ascii="仿宋_GB2312" w:hAnsi="宋体" w:eastAsia="仿宋_GB2312"/>
          <w:color w:val="auto"/>
          <w:sz w:val="28"/>
          <w:szCs w:val="28"/>
          <w:highlight w:val="none"/>
        </w:rPr>
        <w:t>查询投标人以下失信行为：</w:t>
      </w:r>
    </w:p>
    <w:p w14:paraId="32196045">
      <w:pPr>
        <w:adjustRightInd w:val="0"/>
        <w:snapToGrid w:val="0"/>
        <w:spacing w:line="560" w:lineRule="exact"/>
        <w:ind w:firstLine="560" w:firstLineChars="200"/>
        <w:rPr>
          <w:rFonts w:hint="eastAsia" w:ascii="仿宋_GB2312" w:hAnsi="宋体" w:eastAsia="仿宋_GB2312"/>
          <w:color w:val="auto"/>
          <w:sz w:val="28"/>
          <w:szCs w:val="28"/>
          <w:highlight w:val="none"/>
        </w:rPr>
      </w:pPr>
      <w:bookmarkStart w:id="1553" w:name="OLE_LINK120"/>
      <w:bookmarkStart w:id="1554" w:name="OLE_LINK121"/>
      <w:bookmarkStart w:id="1555" w:name="OLE_LINK122"/>
      <w:r>
        <w:rPr>
          <w:rFonts w:hint="eastAsia" w:ascii="仿宋_GB2312" w:hAnsi="宋体" w:eastAsia="仿宋_GB2312"/>
          <w:color w:val="auto"/>
          <w:sz w:val="28"/>
          <w:szCs w:val="28"/>
          <w:highlight w:val="none"/>
        </w:rPr>
        <w:t>①被列入“经营异常名录”或者“严重违法失信名单”的。</w:t>
      </w:r>
      <w:bookmarkEnd w:id="1553"/>
      <w:bookmarkEnd w:id="1554"/>
      <w:bookmarkEnd w:id="1555"/>
    </w:p>
    <w:p w14:paraId="745DDE4D">
      <w:pPr>
        <w:adjustRightInd w:val="0"/>
        <w:snapToGrid w:val="0"/>
        <w:spacing w:line="560" w:lineRule="exact"/>
        <w:ind w:firstLine="560" w:firstLineChars="200"/>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3、由</w:t>
      </w:r>
      <w:r>
        <w:rPr>
          <w:rFonts w:hint="eastAsia" w:ascii="仿宋_GB2312" w:hAnsi="宋体" w:eastAsia="仿宋_GB2312"/>
          <w:color w:val="auto"/>
          <w:kern w:val="0"/>
          <w:sz w:val="28"/>
          <w:szCs w:val="28"/>
          <w:highlight w:val="none"/>
        </w:rPr>
        <w:t>投标人、法定代表人及其项目经理(建造师)</w:t>
      </w:r>
      <w:r>
        <w:rPr>
          <w:rFonts w:hint="eastAsia" w:ascii="仿宋_GB2312" w:hAnsi="宋体" w:eastAsia="仿宋_GB2312"/>
          <w:color w:val="auto"/>
          <w:sz w:val="28"/>
          <w:szCs w:val="28"/>
          <w:highlight w:val="none"/>
        </w:rPr>
        <w:t>进行承诺，不进行现场网上信用查询的失信行为：</w:t>
      </w:r>
    </w:p>
    <w:p w14:paraId="5A5F1EAD">
      <w:pPr>
        <w:adjustRightInd w:val="0"/>
        <w:snapToGrid w:val="0"/>
        <w:spacing w:line="560" w:lineRule="exact"/>
        <w:ind w:firstLine="560" w:firstLineChars="200"/>
        <w:rPr>
          <w:rFonts w:hint="eastAsia" w:ascii="仿宋_GB2312" w:hAnsi="宋体" w:eastAsia="仿宋_GB2312" w:cs="楷体"/>
          <w:color w:val="auto"/>
          <w:sz w:val="28"/>
          <w:szCs w:val="28"/>
          <w:highlight w:val="none"/>
        </w:rPr>
      </w:pPr>
      <w:bookmarkStart w:id="1556" w:name="OLE_LINK123"/>
      <w:bookmarkStart w:id="1557" w:name="OLE_LINK124"/>
      <w:r>
        <w:rPr>
          <w:rFonts w:hint="eastAsia" w:ascii="仿宋_GB2312" w:hAnsi="宋体" w:eastAsia="仿宋_GB2312"/>
          <w:color w:val="auto"/>
          <w:sz w:val="28"/>
          <w:szCs w:val="28"/>
          <w:highlight w:val="none"/>
        </w:rPr>
        <w:t>①</w:t>
      </w:r>
      <w:r>
        <w:rPr>
          <w:rFonts w:hint="eastAsia" w:ascii="仿宋_GB2312" w:hAnsi="宋体" w:eastAsia="仿宋_GB2312" w:cs="楷体"/>
          <w:color w:val="auto"/>
          <w:sz w:val="28"/>
          <w:szCs w:val="28"/>
          <w:highlight w:val="none"/>
        </w:rPr>
        <w:t>前三年有行贿犯罪行为的单位和个人；</w:t>
      </w:r>
    </w:p>
    <w:p w14:paraId="772E5647">
      <w:pPr>
        <w:adjustRightInd w:val="0"/>
        <w:snapToGrid w:val="0"/>
        <w:spacing w:line="560" w:lineRule="exact"/>
        <w:ind w:firstLine="560" w:firstLineChars="200"/>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②被滁州市县两级公管部门取消在一定期限内的投标资格且在取消期限内的；</w:t>
      </w:r>
    </w:p>
    <w:p w14:paraId="0C610E00">
      <w:pPr>
        <w:adjustRightInd w:val="0"/>
        <w:snapToGrid w:val="0"/>
        <w:spacing w:line="560" w:lineRule="exact"/>
        <w:ind w:firstLine="560" w:firstLineChars="200"/>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③被滁州市县两级各行业主管部门取消在一定期限内的投标资格且在取消期限内的；</w:t>
      </w:r>
    </w:p>
    <w:p w14:paraId="77262D4B">
      <w:pPr>
        <w:adjustRightInd w:val="0"/>
        <w:snapToGrid w:val="0"/>
        <w:spacing w:line="560" w:lineRule="exact"/>
        <w:ind w:firstLine="560" w:firstLineChars="200"/>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④因拖欠农民工工资被</w:t>
      </w:r>
      <w:bookmarkStart w:id="1558" w:name="OLE_LINK108"/>
      <w:bookmarkStart w:id="1559" w:name="OLE_LINK107"/>
      <w:r>
        <w:rPr>
          <w:rFonts w:hint="eastAsia" w:ascii="仿宋_GB2312" w:hAnsi="宋体" w:eastAsia="仿宋_GB2312"/>
          <w:color w:val="auto"/>
          <w:sz w:val="28"/>
          <w:szCs w:val="28"/>
          <w:highlight w:val="none"/>
        </w:rPr>
        <w:t>县级及以上有关行政主管部门限制投标资格且在限制期限内的</w:t>
      </w:r>
      <w:bookmarkEnd w:id="1558"/>
      <w:bookmarkEnd w:id="1559"/>
      <w:r>
        <w:rPr>
          <w:rFonts w:hint="eastAsia" w:ascii="仿宋_GB2312" w:hAnsi="宋体" w:eastAsia="仿宋_GB2312"/>
          <w:color w:val="auto"/>
          <w:sz w:val="28"/>
          <w:szCs w:val="28"/>
          <w:highlight w:val="none"/>
        </w:rPr>
        <w:t>；</w:t>
      </w:r>
    </w:p>
    <w:p w14:paraId="7DF157CD">
      <w:pPr>
        <w:adjustRightInd w:val="0"/>
        <w:snapToGrid w:val="0"/>
        <w:spacing w:line="560" w:lineRule="exact"/>
        <w:ind w:firstLine="560" w:firstLineChars="200"/>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⑤被列入省级、市级农民工工资支付异常名录的施工企业，在限制其参加全市范围内房建和市政工程建设项目投标的期限内的；列入县级异常名录的施工企业，在限制其参加本行政区域内房建和市政建设项目投标的期限内的。</w:t>
      </w:r>
    </w:p>
    <w:bookmarkEnd w:id="1556"/>
    <w:bookmarkEnd w:id="1557"/>
    <w:p w14:paraId="70F7BEA9">
      <w:pPr>
        <w:adjustRightInd w:val="0"/>
        <w:snapToGrid w:val="0"/>
        <w:spacing w:line="560" w:lineRule="exact"/>
        <w:ind w:firstLine="562" w:firstLineChars="200"/>
        <w:rPr>
          <w:rFonts w:hint="eastAsia" w:ascii="仿宋_GB2312" w:hAnsi="宋体" w:eastAsia="仿宋_GB2312"/>
          <w:b/>
          <w:color w:val="auto"/>
          <w:sz w:val="28"/>
          <w:szCs w:val="28"/>
          <w:highlight w:val="none"/>
        </w:rPr>
      </w:pPr>
      <w:r>
        <w:rPr>
          <w:rFonts w:hint="eastAsia" w:ascii="仿宋_GB2312" w:hAnsi="宋体" w:eastAsia="仿宋_GB2312"/>
          <w:b/>
          <w:color w:val="auto"/>
          <w:sz w:val="28"/>
          <w:szCs w:val="28"/>
          <w:highlight w:val="none"/>
        </w:rPr>
        <w:t>（二）政府采购项目</w:t>
      </w:r>
    </w:p>
    <w:p w14:paraId="45B0FE29">
      <w:pPr>
        <w:adjustRightInd w:val="0"/>
        <w:snapToGrid w:val="0"/>
        <w:spacing w:line="560" w:lineRule="exact"/>
        <w:ind w:firstLine="560" w:firstLineChars="200"/>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1、“信用中国”网站</w:t>
      </w:r>
      <w:r>
        <w:rPr>
          <w:rFonts w:hint="eastAsia" w:ascii="仿宋" w:hAnsi="仿宋" w:eastAsia="仿宋"/>
          <w:color w:val="auto"/>
          <w:sz w:val="28"/>
          <w:szCs w:val="28"/>
          <w:highlight w:val="none"/>
        </w:rPr>
        <w:t>（</w:t>
      </w:r>
      <w:r>
        <w:rPr>
          <w:rStyle w:val="30"/>
          <w:rFonts w:hint="eastAsia" w:ascii="仿宋" w:hAnsi="仿宋" w:eastAsia="仿宋"/>
          <w:color w:val="auto"/>
          <w:sz w:val="28"/>
          <w:szCs w:val="28"/>
          <w:highlight w:val="none"/>
        </w:rPr>
        <w:t>www.creditchina.gov.cn</w:t>
      </w:r>
      <w:r>
        <w:rPr>
          <w:rFonts w:hint="eastAsia" w:ascii="仿宋" w:hAnsi="仿宋" w:eastAsia="仿宋"/>
          <w:color w:val="auto"/>
          <w:sz w:val="28"/>
          <w:szCs w:val="28"/>
          <w:highlight w:val="none"/>
        </w:rPr>
        <w:t>）</w:t>
      </w:r>
      <w:r>
        <w:rPr>
          <w:rFonts w:hint="eastAsia" w:ascii="仿宋_GB2312" w:hAnsi="宋体" w:eastAsia="仿宋_GB2312"/>
          <w:color w:val="auto"/>
          <w:sz w:val="28"/>
          <w:szCs w:val="28"/>
          <w:highlight w:val="none"/>
        </w:rPr>
        <w:t>查询供应商、法定代表人及其项目负责人以下失信行为：</w:t>
      </w:r>
    </w:p>
    <w:p w14:paraId="631285E3">
      <w:pPr>
        <w:adjustRightInd w:val="0"/>
        <w:snapToGrid w:val="0"/>
        <w:spacing w:line="560" w:lineRule="exact"/>
        <w:ind w:firstLine="560" w:firstLineChars="200"/>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①被列入“失信被执行人”的;</w:t>
      </w:r>
    </w:p>
    <w:p w14:paraId="24B103BA">
      <w:pPr>
        <w:adjustRightInd w:val="0"/>
        <w:snapToGrid w:val="0"/>
        <w:spacing w:line="560" w:lineRule="exact"/>
        <w:ind w:firstLine="560" w:firstLineChars="200"/>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②被列入“重大税收违法失信主体”的；</w:t>
      </w:r>
    </w:p>
    <w:p w14:paraId="2317C930">
      <w:pPr>
        <w:adjustRightInd w:val="0"/>
        <w:snapToGrid w:val="0"/>
        <w:spacing w:line="560" w:lineRule="exact"/>
        <w:ind w:firstLine="560" w:firstLineChars="200"/>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③被列入“拖欠农民工工资失信联合惩戒对象名单”的；</w:t>
      </w:r>
    </w:p>
    <w:p w14:paraId="6117A09B">
      <w:pPr>
        <w:adjustRightInd w:val="0"/>
        <w:snapToGrid w:val="0"/>
        <w:spacing w:line="560" w:lineRule="exact"/>
        <w:ind w:firstLine="560" w:firstLineChars="200"/>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④被列入 “严重失信主体名单”的；</w:t>
      </w:r>
    </w:p>
    <w:p w14:paraId="1C9A5444">
      <w:pPr>
        <w:adjustRightInd w:val="0"/>
        <w:snapToGrid w:val="0"/>
        <w:spacing w:line="560" w:lineRule="exact"/>
        <w:ind w:firstLine="560" w:firstLineChars="200"/>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⑤在“信用中国”网站上披露的仍在公示期的严重失信行为(具体行为类别及判定依据见附件2)的。</w:t>
      </w:r>
    </w:p>
    <w:p w14:paraId="30F8C96B">
      <w:pPr>
        <w:adjustRightInd w:val="0"/>
        <w:snapToGrid w:val="0"/>
        <w:spacing w:line="560" w:lineRule="exact"/>
        <w:ind w:firstLine="560" w:firstLineChars="200"/>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2、国家企业信用信息公示系统网站</w:t>
      </w:r>
      <w:r>
        <w:rPr>
          <w:rFonts w:hint="eastAsia" w:ascii="仿宋" w:hAnsi="仿宋" w:eastAsia="仿宋"/>
          <w:color w:val="auto"/>
          <w:sz w:val="28"/>
          <w:szCs w:val="28"/>
          <w:highlight w:val="none"/>
        </w:rPr>
        <w:t>（</w:t>
      </w:r>
      <w:r>
        <w:rPr>
          <w:color w:val="auto"/>
          <w:highlight w:val="none"/>
        </w:rPr>
        <w:fldChar w:fldCharType="begin"/>
      </w:r>
      <w:r>
        <w:rPr>
          <w:color w:val="auto"/>
          <w:highlight w:val="none"/>
        </w:rPr>
        <w:instrText xml:space="preserve"> </w:instrText>
      </w:r>
      <w:r>
        <w:rPr>
          <w:rFonts w:hint="eastAsia"/>
          <w:color w:val="auto"/>
          <w:highlight w:val="none"/>
        </w:rPr>
        <w:instrText xml:space="preserve">HYPERLINK "http://www.gsxt.gov.cn）查询"</w:instrText>
      </w:r>
      <w:r>
        <w:rPr>
          <w:color w:val="auto"/>
          <w:highlight w:val="none"/>
        </w:rPr>
        <w:instrText xml:space="preserve"> </w:instrText>
      </w:r>
      <w:r>
        <w:rPr>
          <w:color w:val="auto"/>
          <w:highlight w:val="none"/>
        </w:rPr>
        <w:fldChar w:fldCharType="separate"/>
      </w:r>
      <w:r>
        <w:rPr>
          <w:rStyle w:val="30"/>
          <w:rFonts w:hint="eastAsia" w:ascii="仿宋" w:hAnsi="仿宋" w:eastAsia="仿宋"/>
          <w:color w:val="auto"/>
          <w:sz w:val="28"/>
          <w:szCs w:val="28"/>
          <w:highlight w:val="none"/>
        </w:rPr>
        <w:t>www.gsxt.gov.cn）</w:t>
      </w:r>
      <w:r>
        <w:rPr>
          <w:color w:val="auto"/>
          <w:highlight w:val="none"/>
        </w:rPr>
        <w:fldChar w:fldCharType="end"/>
      </w:r>
      <w:r>
        <w:rPr>
          <w:rFonts w:hint="eastAsia" w:ascii="仿宋_GB2312" w:hAnsi="宋体" w:eastAsia="仿宋_GB2312"/>
          <w:color w:val="auto"/>
          <w:sz w:val="28"/>
          <w:szCs w:val="28"/>
          <w:highlight w:val="none"/>
        </w:rPr>
        <w:t>查询供应商以下失信行为：</w:t>
      </w:r>
    </w:p>
    <w:p w14:paraId="21159D3C">
      <w:pPr>
        <w:adjustRightInd w:val="0"/>
        <w:snapToGrid w:val="0"/>
        <w:spacing w:line="560" w:lineRule="exact"/>
        <w:ind w:firstLine="560" w:firstLineChars="200"/>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①</w:t>
      </w:r>
      <w:bookmarkStart w:id="1560" w:name="OLE_LINK100"/>
      <w:bookmarkStart w:id="1561" w:name="OLE_LINK101"/>
      <w:bookmarkStart w:id="1562" w:name="OLE_LINK102"/>
      <w:r>
        <w:rPr>
          <w:rFonts w:hint="eastAsia" w:ascii="仿宋_GB2312" w:hAnsi="宋体" w:eastAsia="仿宋_GB2312"/>
          <w:color w:val="auto"/>
          <w:sz w:val="28"/>
          <w:szCs w:val="28"/>
          <w:highlight w:val="none"/>
        </w:rPr>
        <w:t>被列入“经营异常名录”或者“严重违法失信名单”的</w:t>
      </w:r>
      <w:bookmarkEnd w:id="1560"/>
      <w:bookmarkEnd w:id="1561"/>
      <w:bookmarkEnd w:id="1562"/>
      <w:r>
        <w:rPr>
          <w:rFonts w:hint="eastAsia" w:ascii="仿宋_GB2312" w:hAnsi="宋体" w:eastAsia="仿宋_GB2312"/>
          <w:color w:val="auto"/>
          <w:sz w:val="28"/>
          <w:szCs w:val="28"/>
          <w:highlight w:val="none"/>
        </w:rPr>
        <w:t>。</w:t>
      </w:r>
    </w:p>
    <w:p w14:paraId="71F5FD81">
      <w:pPr>
        <w:adjustRightInd w:val="0"/>
        <w:snapToGrid w:val="0"/>
        <w:spacing w:line="560" w:lineRule="exact"/>
        <w:ind w:firstLine="560" w:firstLineChars="200"/>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3、中国政府采购网站</w:t>
      </w:r>
      <w:r>
        <w:rPr>
          <w:rFonts w:hint="eastAsia" w:ascii="仿宋" w:hAnsi="仿宋" w:eastAsia="仿宋"/>
          <w:color w:val="auto"/>
          <w:sz w:val="28"/>
          <w:szCs w:val="28"/>
          <w:highlight w:val="none"/>
        </w:rPr>
        <w:t>（</w:t>
      </w:r>
      <w:bookmarkStart w:id="1563" w:name="OLE_LINK96"/>
      <w:bookmarkStart w:id="1564" w:name="OLE_LINK95"/>
      <w:r>
        <w:rPr>
          <w:rFonts w:ascii="仿宋" w:hAnsi="仿宋" w:eastAsia="仿宋"/>
          <w:color w:val="auto"/>
          <w:sz w:val="28"/>
          <w:szCs w:val="28"/>
          <w:highlight w:val="none"/>
        </w:rPr>
        <w:fldChar w:fldCharType="begin"/>
      </w:r>
      <w:r>
        <w:rPr>
          <w:rFonts w:ascii="仿宋" w:hAnsi="仿宋" w:eastAsia="仿宋"/>
          <w:color w:val="auto"/>
          <w:sz w:val="28"/>
          <w:szCs w:val="28"/>
          <w:highlight w:val="none"/>
        </w:rPr>
        <w:instrText xml:space="preserve"> HYPERLINK "http://www.ccgp.gov.cn" </w:instrText>
      </w:r>
      <w:r>
        <w:rPr>
          <w:rFonts w:ascii="仿宋" w:hAnsi="仿宋" w:eastAsia="仿宋"/>
          <w:color w:val="auto"/>
          <w:sz w:val="28"/>
          <w:szCs w:val="28"/>
          <w:highlight w:val="none"/>
        </w:rPr>
        <w:fldChar w:fldCharType="separate"/>
      </w:r>
      <w:r>
        <w:rPr>
          <w:rStyle w:val="30"/>
          <w:rFonts w:hint="eastAsia" w:ascii="仿宋" w:hAnsi="仿宋" w:eastAsia="仿宋"/>
          <w:color w:val="auto"/>
          <w:sz w:val="28"/>
          <w:szCs w:val="28"/>
          <w:highlight w:val="none"/>
        </w:rPr>
        <w:t>www.ccgp.gov.cn</w:t>
      </w:r>
      <w:r>
        <w:rPr>
          <w:rFonts w:ascii="仿宋" w:hAnsi="仿宋" w:eastAsia="仿宋"/>
          <w:color w:val="auto"/>
          <w:sz w:val="28"/>
          <w:szCs w:val="28"/>
          <w:highlight w:val="none"/>
        </w:rPr>
        <w:fldChar w:fldCharType="end"/>
      </w:r>
      <w:bookmarkEnd w:id="1563"/>
      <w:bookmarkEnd w:id="1564"/>
      <w:r>
        <w:rPr>
          <w:rFonts w:hint="eastAsia" w:ascii="仿宋" w:hAnsi="仿宋" w:eastAsia="仿宋"/>
          <w:color w:val="auto"/>
          <w:sz w:val="28"/>
          <w:szCs w:val="28"/>
          <w:highlight w:val="none"/>
        </w:rPr>
        <w:t>）</w:t>
      </w:r>
      <w:r>
        <w:rPr>
          <w:rFonts w:hint="eastAsia" w:ascii="仿宋_GB2312" w:hAnsi="宋体" w:eastAsia="仿宋_GB2312"/>
          <w:color w:val="auto"/>
          <w:sz w:val="28"/>
          <w:szCs w:val="28"/>
          <w:highlight w:val="none"/>
        </w:rPr>
        <w:t>查询以下失信行为：</w:t>
      </w:r>
    </w:p>
    <w:p w14:paraId="56DDFA95">
      <w:pPr>
        <w:adjustRightInd w:val="0"/>
        <w:snapToGrid w:val="0"/>
        <w:spacing w:line="560" w:lineRule="exact"/>
        <w:ind w:firstLine="560" w:firstLineChars="200"/>
        <w:rPr>
          <w:rFonts w:hint="eastAsia" w:ascii="仿宋_GB2312" w:hAnsi="宋体" w:eastAsia="仿宋_GB2312" w:cs="楷体"/>
          <w:color w:val="auto"/>
          <w:sz w:val="28"/>
          <w:szCs w:val="28"/>
          <w:highlight w:val="none"/>
        </w:rPr>
      </w:pPr>
      <w:r>
        <w:rPr>
          <w:rFonts w:hint="eastAsia" w:ascii="仿宋_GB2312" w:hAnsi="宋体" w:eastAsia="仿宋_GB2312"/>
          <w:color w:val="auto"/>
          <w:sz w:val="28"/>
          <w:szCs w:val="28"/>
          <w:highlight w:val="none"/>
        </w:rPr>
        <w:t>①</w:t>
      </w:r>
      <w:bookmarkStart w:id="1565" w:name="OLE_LINK106"/>
      <w:bookmarkStart w:id="1566" w:name="OLE_LINK104"/>
      <w:bookmarkStart w:id="1567" w:name="OLE_LINK105"/>
      <w:r>
        <w:rPr>
          <w:rFonts w:hint="eastAsia" w:ascii="仿宋_GB2312" w:hAnsi="宋体" w:eastAsia="仿宋_GB2312"/>
          <w:color w:val="auto"/>
          <w:sz w:val="28"/>
          <w:szCs w:val="28"/>
          <w:highlight w:val="none"/>
        </w:rPr>
        <w:t>被列入“政府采购严重违法失信行为信息记录”的</w:t>
      </w:r>
      <w:bookmarkEnd w:id="1565"/>
      <w:bookmarkEnd w:id="1566"/>
      <w:bookmarkEnd w:id="1567"/>
      <w:r>
        <w:rPr>
          <w:rFonts w:hint="eastAsia" w:ascii="仿宋_GB2312" w:hAnsi="宋体" w:eastAsia="仿宋_GB2312" w:cs="楷体"/>
          <w:color w:val="auto"/>
          <w:sz w:val="28"/>
          <w:szCs w:val="28"/>
          <w:highlight w:val="none"/>
        </w:rPr>
        <w:t>。</w:t>
      </w:r>
    </w:p>
    <w:p w14:paraId="6C270ACC">
      <w:pPr>
        <w:adjustRightInd w:val="0"/>
        <w:snapToGrid w:val="0"/>
        <w:spacing w:line="560" w:lineRule="exact"/>
        <w:ind w:firstLine="560" w:firstLineChars="200"/>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4、由竞争主体进行承诺，不进行现场网上信用查询的失信行为：</w:t>
      </w:r>
    </w:p>
    <w:p w14:paraId="4750B58F">
      <w:pPr>
        <w:adjustRightInd w:val="0"/>
        <w:snapToGrid w:val="0"/>
        <w:spacing w:line="560" w:lineRule="exact"/>
        <w:ind w:firstLine="560" w:firstLineChars="200"/>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①</w:t>
      </w:r>
      <w:r>
        <w:rPr>
          <w:rFonts w:hint="eastAsia" w:ascii="仿宋_GB2312" w:hAnsi="宋体" w:eastAsia="仿宋_GB2312" w:cs="楷体"/>
          <w:color w:val="auto"/>
          <w:sz w:val="28"/>
          <w:szCs w:val="28"/>
          <w:highlight w:val="none"/>
        </w:rPr>
        <w:t>前三年有行贿犯罪行为的单位和个人</w:t>
      </w:r>
      <w:r>
        <w:rPr>
          <w:rFonts w:hint="eastAsia" w:ascii="仿宋_GB2312" w:hAnsi="宋体" w:eastAsia="仿宋_GB2312"/>
          <w:color w:val="auto"/>
          <w:sz w:val="28"/>
          <w:szCs w:val="28"/>
          <w:highlight w:val="none"/>
        </w:rPr>
        <w:t>。</w:t>
      </w:r>
    </w:p>
    <w:p w14:paraId="7BF72DC3">
      <w:pPr>
        <w:adjustRightInd w:val="0"/>
        <w:snapToGrid w:val="0"/>
        <w:spacing w:line="560" w:lineRule="exact"/>
        <w:ind w:firstLine="562" w:firstLineChars="200"/>
        <w:rPr>
          <w:rFonts w:hint="eastAsia" w:ascii="仿宋_GB2312" w:hAnsi="宋体" w:eastAsia="仿宋_GB2312"/>
          <w:b/>
          <w:color w:val="auto"/>
          <w:sz w:val="28"/>
          <w:szCs w:val="28"/>
          <w:highlight w:val="none"/>
        </w:rPr>
      </w:pPr>
      <w:r>
        <w:rPr>
          <w:rFonts w:hint="eastAsia" w:ascii="仿宋_GB2312" w:hAnsi="宋体" w:eastAsia="仿宋_GB2312"/>
          <w:b/>
          <w:color w:val="auto"/>
          <w:sz w:val="28"/>
          <w:szCs w:val="28"/>
          <w:highlight w:val="none"/>
        </w:rPr>
        <w:t>二、在开评标活动中的查询程序</w:t>
      </w:r>
    </w:p>
    <w:p w14:paraId="0DF67EF0">
      <w:pPr>
        <w:adjustRightInd w:val="0"/>
        <w:snapToGrid w:val="0"/>
        <w:spacing w:line="560" w:lineRule="exact"/>
        <w:ind w:firstLine="560" w:firstLineChars="200"/>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1、实行有限数量制资格审查的项目，由项目单位（代理机构）对入围的投标人、法定代表人及其项目经理（建造师）是否存在上述要求查询的失信行为进行网上核查；若核查结果与投标人承诺不一致，则提交评标委员会取消其入围资格，依次进行替补，并对替补单位进行核查。评审结论以核查后入围的结果重新计算最终评标基准价。</w:t>
      </w:r>
    </w:p>
    <w:p w14:paraId="3EAB7699">
      <w:pPr>
        <w:adjustRightInd w:val="0"/>
        <w:snapToGrid w:val="0"/>
        <w:spacing w:line="560" w:lineRule="exact"/>
        <w:ind w:firstLine="560" w:firstLineChars="200"/>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2、不实行有限数量制资格审查的项目，由项目单位（代理机构）对预中标候选人、法定代表人及其项目经理（建造师）是否存在上述要求查询的失信行为进行网上核查后，提交网站截图等查询记录给评标委员会复核。若核查结果不符合招标文件规定的投标人资格条件信誉要求，由评标委员会取消其预中标候选人资格，并依次替补，再次对替补单位进行核查。如评标现场未发现问题但标后质疑（异议）、投诉发现中标候选人存在信誉问题，则组织评标委员会重新启动复核程序。核查结果不改变原评标基准价。</w:t>
      </w:r>
    </w:p>
    <w:p w14:paraId="1815E7B9">
      <w:pPr>
        <w:adjustRightInd w:val="0"/>
        <w:snapToGrid w:val="0"/>
        <w:spacing w:line="560" w:lineRule="exact"/>
        <w:ind w:firstLine="560" w:firstLineChars="200"/>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3、项目单位及其委托的代理机构应当做好信用查询结果截图和记录留存。</w:t>
      </w:r>
    </w:p>
    <w:p w14:paraId="1BE14BFF">
      <w:pPr>
        <w:adjustRightInd w:val="0"/>
        <w:snapToGrid w:val="0"/>
        <w:spacing w:line="560" w:lineRule="exact"/>
        <w:ind w:firstLine="562" w:firstLineChars="200"/>
        <w:rPr>
          <w:rFonts w:hint="eastAsia" w:ascii="仿宋_GB2312" w:hAnsi="宋体" w:eastAsia="仿宋_GB2312"/>
          <w:b/>
          <w:color w:val="auto"/>
          <w:sz w:val="28"/>
          <w:szCs w:val="28"/>
          <w:highlight w:val="none"/>
        </w:rPr>
      </w:pPr>
      <w:r>
        <w:rPr>
          <w:rFonts w:hint="eastAsia" w:ascii="仿宋_GB2312" w:hAnsi="宋体" w:eastAsia="仿宋_GB2312"/>
          <w:b/>
          <w:color w:val="auto"/>
          <w:sz w:val="28"/>
          <w:szCs w:val="28"/>
          <w:highlight w:val="none"/>
        </w:rPr>
        <w:t>三、相关要求</w:t>
      </w:r>
    </w:p>
    <w:p w14:paraId="1FE93070">
      <w:pPr>
        <w:adjustRightInd w:val="0"/>
        <w:snapToGrid w:val="0"/>
        <w:spacing w:line="560" w:lineRule="exact"/>
        <w:ind w:firstLine="560" w:firstLineChars="200"/>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1、参与公共资源交易活动的竞争主体根据上述范围查询的内容进行自查并承诺，出具《诚信投标承诺书》（诚信投标承诺书包括但不限于上述自查并承诺内容）并注明承诺日期（投标截止时间前5日内）。</w:t>
      </w:r>
    </w:p>
    <w:p w14:paraId="78A08A4B">
      <w:pPr>
        <w:adjustRightInd w:val="0"/>
        <w:snapToGrid w:val="0"/>
        <w:spacing w:line="560" w:lineRule="exact"/>
        <w:ind w:firstLine="560" w:firstLineChars="200"/>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经核查，竞争主体在承诺日期之前（没有承诺日期的以资格审查日或开标日之前）有上述失信行为进行虚假承诺的，将视作不诚信行为，资格审查委员会或评标委员会及代理机构应当及时报告公共资源监管部门，依法依规予以处理。</w:t>
      </w:r>
    </w:p>
    <w:p w14:paraId="1B788A8B">
      <w:pPr>
        <w:wordWrap w:val="0"/>
        <w:adjustRightInd w:val="0"/>
        <w:snapToGrid w:val="0"/>
        <w:spacing w:line="560" w:lineRule="exact"/>
        <w:ind w:firstLine="560" w:firstLineChars="200"/>
        <w:rPr>
          <w:rFonts w:hint="eastAsia"/>
          <w:color w:val="auto"/>
          <w:highlight w:val="none"/>
        </w:rPr>
      </w:pPr>
      <w:r>
        <w:rPr>
          <w:rFonts w:hint="eastAsia" w:ascii="仿宋_GB2312" w:hAnsi="宋体" w:eastAsia="仿宋_GB2312"/>
          <w:color w:val="auto"/>
          <w:sz w:val="28"/>
          <w:szCs w:val="28"/>
          <w:highlight w:val="none"/>
        </w:rPr>
        <w:t xml:space="preserve">注册地在安徽省内且未在安徽省外开展业务、省外无违法违规行为的企业可通过安徽政务服务网开具由安徽省公共信用信息服务中心出具的《公共信用信息报告（无违法违规证明版或核查版）》代替《诚信投标承诺书》。《公共信用信息报告（无违法违规证明版或核查版）》可通过 “信用中国(安徽)”网站信用报告核验系统 ( </w:t>
      </w:r>
      <w:r>
        <w:rPr>
          <w:color w:val="auto"/>
          <w:highlight w:val="none"/>
        </w:rPr>
        <w:fldChar w:fldCharType="begin"/>
      </w:r>
      <w:r>
        <w:rPr>
          <w:color w:val="auto"/>
          <w:highlight w:val="none"/>
        </w:rPr>
        <w:instrText xml:space="preserve"> HYPERLINK "https://credit.ah.gov.cn/xinyong-fuwu/xvbahv/index.html" </w:instrText>
      </w:r>
      <w:r>
        <w:rPr>
          <w:color w:val="auto"/>
          <w:highlight w:val="none"/>
        </w:rPr>
        <w:fldChar w:fldCharType="separate"/>
      </w:r>
      <w:r>
        <w:rPr>
          <w:rStyle w:val="30"/>
          <w:rFonts w:hint="eastAsia" w:ascii="仿宋_GB2312" w:hAnsi="宋体" w:eastAsia="仿宋_GB2312"/>
          <w:color w:val="auto"/>
          <w:sz w:val="28"/>
          <w:szCs w:val="28"/>
          <w:highlight w:val="none"/>
        </w:rPr>
        <w:t>https://credit.ah.gov.cn/xinyong-fuwu/xvbahv/index.html</w:t>
      </w:r>
      <w:r>
        <w:rPr>
          <w:color w:val="auto"/>
          <w:highlight w:val="none"/>
        </w:rPr>
        <w:fldChar w:fldCharType="end"/>
      </w:r>
      <w:r>
        <w:rPr>
          <w:rFonts w:hint="eastAsia" w:ascii="仿宋_GB2312" w:hAnsi="宋体" w:eastAsia="仿宋_GB2312"/>
          <w:color w:val="auto"/>
          <w:sz w:val="28"/>
          <w:szCs w:val="28"/>
          <w:highlight w:val="none"/>
        </w:rPr>
        <w:t>)进行核验。核验不一致或提交《公共信用信息报告（无违法违规证明版或核查版）》的企业在省外有失信行为的将视作不诚信行为，资格审查委员会或评标委员会及代理机构应当及时报告公共资源监管部门，依法依规予以处理。</w:t>
      </w:r>
    </w:p>
    <w:p w14:paraId="457116F0">
      <w:pPr>
        <w:adjustRightInd w:val="0"/>
        <w:snapToGrid w:val="0"/>
        <w:spacing w:line="560" w:lineRule="exact"/>
        <w:ind w:firstLine="562" w:firstLineChars="200"/>
        <w:rPr>
          <w:rFonts w:ascii="仿宋_GB2312" w:hAnsi="宋体" w:eastAsia="仿宋_GB2312"/>
          <w:b/>
          <w:color w:val="auto"/>
          <w:sz w:val="28"/>
          <w:szCs w:val="28"/>
          <w:highlight w:val="none"/>
        </w:rPr>
      </w:pPr>
      <w:r>
        <w:rPr>
          <w:rFonts w:hint="eastAsia" w:ascii="仿宋_GB2312" w:hAnsi="宋体" w:eastAsia="仿宋_GB2312"/>
          <w:b/>
          <w:color w:val="auto"/>
          <w:sz w:val="28"/>
          <w:szCs w:val="28"/>
          <w:highlight w:val="none"/>
        </w:rPr>
        <w:t>2、“信用中国”查询的严重失信行为判定依据为各行业主管部门下发的联合惩戒文件中规定的行为（按附件2执行）。</w:t>
      </w:r>
    </w:p>
    <w:p w14:paraId="25791252">
      <w:pPr>
        <w:adjustRightInd w:val="0"/>
        <w:snapToGrid w:val="0"/>
        <w:spacing w:line="560" w:lineRule="exact"/>
        <w:ind w:firstLine="560" w:firstLineChars="200"/>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3、资格预审的项目以递交资格预审申请文件截止时间查询为准；资格后审的项目以递交投标文件截止时间查询为准。</w:t>
      </w:r>
    </w:p>
    <w:p w14:paraId="19EF4736">
      <w:pPr>
        <w:ind w:right="960"/>
        <w:rPr>
          <w:rFonts w:hint="eastAsia" w:ascii="仿宋" w:hAnsi="仿宋" w:eastAsia="仿宋"/>
          <w:color w:val="auto"/>
          <w:sz w:val="32"/>
          <w:szCs w:val="32"/>
          <w:highlight w:val="none"/>
        </w:rPr>
      </w:pPr>
    </w:p>
    <w:p w14:paraId="6D041875">
      <w:pPr>
        <w:ind w:right="960"/>
        <w:rPr>
          <w:rFonts w:hint="eastAsia" w:ascii="仿宋" w:hAnsi="仿宋" w:eastAsia="仿宋"/>
          <w:color w:val="auto"/>
          <w:sz w:val="32"/>
          <w:szCs w:val="32"/>
          <w:highlight w:val="none"/>
        </w:rPr>
      </w:pPr>
    </w:p>
    <w:p w14:paraId="5FE23594">
      <w:pPr>
        <w:ind w:right="960"/>
        <w:rPr>
          <w:rFonts w:hint="eastAsia" w:ascii="仿宋" w:hAnsi="仿宋" w:eastAsia="仿宋"/>
          <w:color w:val="auto"/>
          <w:sz w:val="32"/>
          <w:szCs w:val="32"/>
          <w:highlight w:val="none"/>
        </w:rPr>
      </w:pPr>
    </w:p>
    <w:p w14:paraId="0F33D2FC">
      <w:pPr>
        <w:ind w:right="960"/>
        <w:rPr>
          <w:rFonts w:hint="eastAsia" w:ascii="仿宋" w:hAnsi="仿宋" w:eastAsia="仿宋"/>
          <w:color w:val="auto"/>
          <w:sz w:val="32"/>
          <w:szCs w:val="32"/>
          <w:highlight w:val="none"/>
        </w:rPr>
      </w:pPr>
    </w:p>
    <w:p w14:paraId="2492FFAA">
      <w:pPr>
        <w:ind w:right="960"/>
        <w:rPr>
          <w:rFonts w:hint="eastAsia" w:ascii="仿宋" w:hAnsi="仿宋" w:eastAsia="仿宋"/>
          <w:color w:val="auto"/>
          <w:sz w:val="32"/>
          <w:szCs w:val="32"/>
          <w:highlight w:val="none"/>
        </w:rPr>
      </w:pPr>
    </w:p>
    <w:p w14:paraId="71EE2EE7">
      <w:pPr>
        <w:ind w:right="960"/>
        <w:rPr>
          <w:rFonts w:hint="eastAsia" w:ascii="仿宋" w:hAnsi="仿宋" w:eastAsia="仿宋"/>
          <w:color w:val="auto"/>
          <w:sz w:val="32"/>
          <w:szCs w:val="32"/>
          <w:highlight w:val="none"/>
        </w:rPr>
      </w:pPr>
    </w:p>
    <w:p w14:paraId="20D995BE">
      <w:pPr>
        <w:ind w:right="960"/>
        <w:rPr>
          <w:rFonts w:hint="eastAsia" w:ascii="仿宋" w:hAnsi="仿宋" w:eastAsia="仿宋"/>
          <w:color w:val="auto"/>
          <w:sz w:val="32"/>
          <w:szCs w:val="32"/>
          <w:highlight w:val="none"/>
        </w:rPr>
      </w:pPr>
    </w:p>
    <w:p w14:paraId="56C229FA">
      <w:pPr>
        <w:ind w:right="960"/>
        <w:rPr>
          <w:rFonts w:hint="eastAsia" w:ascii="仿宋" w:hAnsi="仿宋" w:eastAsia="仿宋"/>
          <w:color w:val="auto"/>
          <w:sz w:val="32"/>
          <w:szCs w:val="32"/>
          <w:highlight w:val="none"/>
        </w:rPr>
      </w:pPr>
    </w:p>
    <w:p w14:paraId="539E2A58">
      <w:pPr>
        <w:pStyle w:val="19"/>
        <w:rPr>
          <w:rFonts w:hint="eastAsia"/>
          <w:color w:val="auto"/>
          <w:highlight w:val="none"/>
        </w:rPr>
      </w:pPr>
    </w:p>
    <w:p w14:paraId="6D32120B">
      <w:pPr>
        <w:rPr>
          <w:color w:val="auto"/>
          <w:highlight w:val="none"/>
        </w:rPr>
      </w:pPr>
    </w:p>
    <w:p w14:paraId="6A4DFC3B">
      <w:pPr>
        <w:pStyle w:val="19"/>
        <w:rPr>
          <w:color w:val="auto"/>
          <w:highlight w:val="none"/>
        </w:rPr>
      </w:pPr>
    </w:p>
    <w:p w14:paraId="020CBAFE">
      <w:pPr>
        <w:rPr>
          <w:color w:val="auto"/>
          <w:highlight w:val="none"/>
        </w:rPr>
      </w:pPr>
    </w:p>
    <w:p w14:paraId="0D8C97F1">
      <w:pPr>
        <w:pStyle w:val="19"/>
        <w:rPr>
          <w:color w:val="auto"/>
          <w:highlight w:val="none"/>
        </w:rPr>
      </w:pPr>
    </w:p>
    <w:p w14:paraId="4A256B28">
      <w:pPr>
        <w:rPr>
          <w:color w:val="auto"/>
          <w:highlight w:val="none"/>
        </w:rPr>
      </w:pPr>
    </w:p>
    <w:p w14:paraId="457B9340">
      <w:pPr>
        <w:pStyle w:val="19"/>
        <w:rPr>
          <w:color w:val="auto"/>
          <w:highlight w:val="none"/>
        </w:rPr>
      </w:pPr>
    </w:p>
    <w:p w14:paraId="43EEB59D">
      <w:pPr>
        <w:rPr>
          <w:color w:val="auto"/>
          <w:highlight w:val="none"/>
        </w:rPr>
      </w:pPr>
    </w:p>
    <w:p w14:paraId="17D827DD">
      <w:pPr>
        <w:ind w:right="960"/>
        <w:rPr>
          <w:rFonts w:ascii="仿宋" w:hAnsi="仿宋" w:eastAsia="仿宋"/>
          <w:color w:val="auto"/>
          <w:sz w:val="32"/>
          <w:szCs w:val="32"/>
          <w:highlight w:val="none"/>
        </w:rPr>
      </w:pPr>
    </w:p>
    <w:p w14:paraId="1C153C24">
      <w:pPr>
        <w:keepNext/>
        <w:keepLines/>
        <w:spacing w:before="200" w:after="200" w:line="600" w:lineRule="exact"/>
        <w:outlineLvl w:val="0"/>
        <w:rPr>
          <w:rFonts w:hint="eastAsia" w:ascii="黑体" w:hAnsi="黑体" w:eastAsia="黑体"/>
          <w:b/>
          <w:bCs/>
          <w:color w:val="auto"/>
          <w:kern w:val="44"/>
          <w:sz w:val="36"/>
          <w:szCs w:val="28"/>
          <w:highlight w:val="none"/>
        </w:rPr>
      </w:pPr>
      <w:bookmarkStart w:id="1568" w:name="_Toc95223549"/>
      <w:bookmarkStart w:id="1569" w:name="OLE_LINK41"/>
      <w:bookmarkStart w:id="1570" w:name="OLE_LINK31"/>
      <w:bookmarkStart w:id="1571" w:name="OLE_LINK32"/>
      <w:r>
        <w:rPr>
          <w:rFonts w:hint="eastAsia" w:ascii="黑体" w:hAnsi="黑体" w:eastAsia="黑体"/>
          <w:b/>
          <w:bCs/>
          <w:color w:val="auto"/>
          <w:kern w:val="44"/>
          <w:sz w:val="36"/>
          <w:szCs w:val="28"/>
          <w:highlight w:val="none"/>
        </w:rPr>
        <w:t xml:space="preserve">附件2 </w:t>
      </w:r>
      <w:bookmarkStart w:id="1572" w:name="OLE_LINK75"/>
      <w:bookmarkStart w:id="1573" w:name="OLE_LINK74"/>
      <w:r>
        <w:rPr>
          <w:rFonts w:hint="eastAsia" w:ascii="黑体" w:hAnsi="黑体" w:eastAsia="黑体"/>
          <w:b/>
          <w:bCs/>
          <w:color w:val="auto"/>
          <w:kern w:val="44"/>
          <w:sz w:val="36"/>
          <w:szCs w:val="28"/>
          <w:highlight w:val="none"/>
        </w:rPr>
        <w:t>“信用中国”查询的严重失信行为</w:t>
      </w:r>
      <w:bookmarkStart w:id="1574" w:name="OLE_LINK39"/>
      <w:bookmarkStart w:id="1575" w:name="OLE_LINK76"/>
      <w:bookmarkStart w:id="1576" w:name="OLE_LINK40"/>
      <w:bookmarkStart w:id="1577" w:name="OLE_LINK38"/>
      <w:r>
        <w:rPr>
          <w:rFonts w:hint="eastAsia" w:ascii="黑体" w:hAnsi="黑体" w:eastAsia="黑体"/>
          <w:b/>
          <w:bCs/>
          <w:color w:val="auto"/>
          <w:kern w:val="44"/>
          <w:sz w:val="36"/>
          <w:szCs w:val="28"/>
          <w:highlight w:val="none"/>
        </w:rPr>
        <w:t>类别及判定依据</w:t>
      </w:r>
      <w:bookmarkEnd w:id="1568"/>
      <w:bookmarkEnd w:id="1572"/>
      <w:bookmarkEnd w:id="1573"/>
      <w:bookmarkEnd w:id="1574"/>
      <w:bookmarkEnd w:id="1575"/>
      <w:bookmarkEnd w:id="1576"/>
      <w:bookmarkEnd w:id="1577"/>
    </w:p>
    <w:bookmarkEnd w:id="1569"/>
    <w:bookmarkEnd w:id="1570"/>
    <w:bookmarkEnd w:id="1571"/>
    <w:p w14:paraId="4119D497">
      <w:pPr>
        <w:adjustRightInd w:val="0"/>
        <w:snapToGrid w:val="0"/>
        <w:spacing w:line="560" w:lineRule="exact"/>
        <w:ind w:firstLine="645"/>
        <w:jc w:val="left"/>
        <w:rPr>
          <w:rFonts w:hint="eastAsia" w:ascii="仿宋_GB2312" w:hAnsi="宋体" w:eastAsia="仿宋_GB2312"/>
          <w:color w:val="auto"/>
          <w:sz w:val="28"/>
          <w:szCs w:val="28"/>
          <w:highlight w:val="none"/>
        </w:rPr>
      </w:pPr>
      <w:r>
        <w:rPr>
          <w:rFonts w:hint="eastAsia" w:ascii="仿宋_GB2312" w:hAnsi="宋体" w:eastAsia="仿宋_GB2312"/>
          <w:color w:val="auto"/>
          <w:sz w:val="32"/>
          <w:szCs w:val="32"/>
          <w:highlight w:val="none"/>
        </w:rPr>
        <w:t>“</w:t>
      </w:r>
      <w:r>
        <w:rPr>
          <w:rFonts w:hint="eastAsia" w:ascii="仿宋_GB2312" w:hAnsi="宋体" w:eastAsia="仿宋_GB2312"/>
          <w:color w:val="auto"/>
          <w:sz w:val="28"/>
          <w:szCs w:val="28"/>
          <w:highlight w:val="none"/>
        </w:rPr>
        <w:t>信用中国”查询的严重失信行为判定依据为各行业主管部门下发的联合惩戒文件中规定的行为。下面将部分类别的严重失信行为列举如下：</w:t>
      </w:r>
    </w:p>
    <w:p w14:paraId="7DE45D7E">
      <w:pPr>
        <w:adjustRightInd w:val="0"/>
        <w:snapToGrid w:val="0"/>
        <w:spacing w:line="560" w:lineRule="exact"/>
        <w:ind w:firstLine="645"/>
        <w:jc w:val="left"/>
        <w:rPr>
          <w:rFonts w:hint="eastAsia" w:ascii="仿宋_GB2312" w:hAnsi="宋体" w:eastAsia="仿宋_GB2312"/>
          <w:b/>
          <w:color w:val="auto"/>
          <w:sz w:val="28"/>
          <w:szCs w:val="28"/>
          <w:highlight w:val="none"/>
        </w:rPr>
      </w:pPr>
      <w:r>
        <w:rPr>
          <w:rFonts w:hint="eastAsia" w:ascii="仿宋_GB2312" w:hAnsi="宋体" w:eastAsia="仿宋_GB2312"/>
          <w:b/>
          <w:color w:val="auto"/>
          <w:sz w:val="28"/>
          <w:szCs w:val="28"/>
          <w:highlight w:val="none"/>
        </w:rPr>
        <w:t>一、安全生产领域严重失信行为：</w:t>
      </w:r>
    </w:p>
    <w:p w14:paraId="47A6FBCA">
      <w:pPr>
        <w:adjustRightInd w:val="0"/>
        <w:snapToGrid w:val="0"/>
        <w:spacing w:line="560" w:lineRule="exact"/>
        <w:ind w:firstLine="645"/>
        <w:jc w:val="left"/>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（一）下列发生生产安全事故的生产经营单位及其有关人员应当列入严重失信主体名单：</w:t>
      </w:r>
    </w:p>
    <w:p w14:paraId="76215000">
      <w:pPr>
        <w:adjustRightInd w:val="0"/>
        <w:snapToGrid w:val="0"/>
        <w:spacing w:line="560" w:lineRule="exact"/>
        <w:ind w:firstLine="645"/>
        <w:jc w:val="left"/>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1、发生特别重大、重大生产安全事故的生产经营单位及其主要负责人，以及经调查认定对该事故发生负有责任，应当列入名单的其他单位和人员；</w:t>
      </w:r>
    </w:p>
    <w:p w14:paraId="435B9ACF">
      <w:pPr>
        <w:adjustRightInd w:val="0"/>
        <w:snapToGrid w:val="0"/>
        <w:spacing w:line="560" w:lineRule="exact"/>
        <w:ind w:firstLine="645"/>
        <w:jc w:val="left"/>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2、12个月内累计发生2起以上较大生产安全事故的生产经营单位及其主要负责人；</w:t>
      </w:r>
    </w:p>
    <w:p w14:paraId="053E12DF">
      <w:pPr>
        <w:adjustRightInd w:val="0"/>
        <w:snapToGrid w:val="0"/>
        <w:spacing w:line="560" w:lineRule="exact"/>
        <w:ind w:firstLine="645"/>
        <w:jc w:val="left"/>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3、发生生产安全事故，情节特别严重、影响特别恶劣，依照《中华人民共和国安全生产法》第一百一十四条的规定被处以罚款数额2倍以上5倍以下罚款的生产经营单位及其主要负责人；</w:t>
      </w:r>
    </w:p>
    <w:p w14:paraId="615FE460">
      <w:pPr>
        <w:adjustRightInd w:val="0"/>
        <w:snapToGrid w:val="0"/>
        <w:spacing w:line="560" w:lineRule="exact"/>
        <w:ind w:firstLine="645"/>
        <w:jc w:val="left"/>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4、瞒报、谎报生产安全事故的生产经营单位及其有关责任人员；</w:t>
      </w:r>
    </w:p>
    <w:p w14:paraId="5FF5885C">
      <w:pPr>
        <w:adjustRightInd w:val="0"/>
        <w:snapToGrid w:val="0"/>
        <w:spacing w:line="560" w:lineRule="exact"/>
        <w:ind w:firstLine="645"/>
        <w:jc w:val="left"/>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5、发生生产安全事故后，不立即组织抢救或者在事故调查处理期间擅离职守或者逃匿的生产经营单位主要负责人。</w:t>
      </w:r>
    </w:p>
    <w:p w14:paraId="4A024F03">
      <w:pPr>
        <w:adjustRightInd w:val="0"/>
        <w:snapToGrid w:val="0"/>
        <w:spacing w:line="560" w:lineRule="exact"/>
        <w:ind w:firstLine="645"/>
        <w:jc w:val="left"/>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（二）下列未发生生产安全事故，但因安全生产违法行为，受到行政处罚的生产经营单位或者机构及其有关人员，应当列入严重失信主体名单：</w:t>
      </w:r>
    </w:p>
    <w:p w14:paraId="5672212A">
      <w:pPr>
        <w:adjustRightInd w:val="0"/>
        <w:snapToGrid w:val="0"/>
        <w:spacing w:line="560" w:lineRule="exact"/>
        <w:ind w:firstLine="645"/>
        <w:jc w:val="left"/>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1、未依法取得安全生产相关许可或者许可被暂扣、吊销期间从事相关生产经营活动的生产经营单位及其主要负责人；</w:t>
      </w:r>
    </w:p>
    <w:p w14:paraId="0F4BF93E">
      <w:pPr>
        <w:adjustRightInd w:val="0"/>
        <w:snapToGrid w:val="0"/>
        <w:spacing w:line="560" w:lineRule="exact"/>
        <w:ind w:firstLine="645"/>
        <w:jc w:val="left"/>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2、承担安全评价、认证、检测、检验职责的机构及其直接责任人员租借资质、挂靠、出具虚假报告或者证书的；</w:t>
      </w:r>
    </w:p>
    <w:p w14:paraId="17827A7E">
      <w:pPr>
        <w:adjustRightInd w:val="0"/>
        <w:snapToGrid w:val="0"/>
        <w:spacing w:line="560" w:lineRule="exact"/>
        <w:ind w:firstLine="645"/>
        <w:jc w:val="left"/>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3、在应急管理部门作出行政处罚后，有执行能力拒不执行或者逃避执行的生产经营单位及其主要负责人；</w:t>
      </w:r>
    </w:p>
    <w:p w14:paraId="5717C0D0">
      <w:pPr>
        <w:adjustRightInd w:val="0"/>
        <w:snapToGrid w:val="0"/>
        <w:spacing w:line="560" w:lineRule="exact"/>
        <w:ind w:firstLine="645"/>
        <w:jc w:val="left"/>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4、其他违反安全生产法律法规受到行政处罚，且性质恶劣、情节严重的。</w:t>
      </w:r>
    </w:p>
    <w:p w14:paraId="6A9F8AC4">
      <w:pPr>
        <w:adjustRightInd w:val="0"/>
        <w:snapToGrid w:val="0"/>
        <w:spacing w:line="560" w:lineRule="exact"/>
        <w:ind w:firstLine="645"/>
        <w:jc w:val="left"/>
        <w:rPr>
          <w:rFonts w:hint="eastAsia" w:ascii="仿宋_GB2312" w:hAnsi="Calibri" w:eastAsia="仿宋_GB2312"/>
          <w:b/>
          <w:color w:val="auto"/>
          <w:sz w:val="28"/>
          <w:szCs w:val="28"/>
          <w:highlight w:val="none"/>
        </w:rPr>
      </w:pPr>
      <w:r>
        <w:rPr>
          <w:rFonts w:hint="eastAsia" w:ascii="仿宋_GB2312" w:hAnsi="宋体" w:eastAsia="仿宋_GB2312"/>
          <w:b/>
          <w:color w:val="auto"/>
          <w:sz w:val="28"/>
          <w:szCs w:val="28"/>
          <w:highlight w:val="none"/>
        </w:rPr>
        <w:t>依据：《安全生产严重失信主体名单管理办法》</w:t>
      </w:r>
      <w:r>
        <w:rPr>
          <w:rFonts w:hint="eastAsia" w:ascii="仿宋_GB2312" w:hAnsi="Calibri" w:eastAsia="仿宋_GB2312"/>
          <w:b/>
          <w:color w:val="auto"/>
          <w:sz w:val="28"/>
          <w:szCs w:val="28"/>
          <w:highlight w:val="none"/>
        </w:rPr>
        <w:t>（2023年8月8日应急管理部令第11号）</w:t>
      </w:r>
    </w:p>
    <w:p w14:paraId="35EE20BA">
      <w:pPr>
        <w:adjustRightInd w:val="0"/>
        <w:snapToGrid w:val="0"/>
        <w:spacing w:line="560" w:lineRule="exact"/>
        <w:ind w:firstLine="645"/>
        <w:jc w:val="left"/>
        <w:rPr>
          <w:rFonts w:hint="eastAsia" w:ascii="仿宋_GB2312" w:hAnsi="宋体" w:eastAsia="仿宋_GB2312"/>
          <w:b/>
          <w:color w:val="auto"/>
          <w:sz w:val="28"/>
          <w:szCs w:val="28"/>
          <w:highlight w:val="none"/>
        </w:rPr>
      </w:pPr>
    </w:p>
    <w:p w14:paraId="0416C4B8">
      <w:pPr>
        <w:adjustRightInd w:val="0"/>
        <w:snapToGrid w:val="0"/>
        <w:spacing w:line="560" w:lineRule="exact"/>
        <w:ind w:firstLine="645"/>
        <w:jc w:val="left"/>
        <w:rPr>
          <w:rFonts w:hint="eastAsia" w:ascii="仿宋_GB2312" w:hAnsi="宋体" w:eastAsia="仿宋_GB2312"/>
          <w:b/>
          <w:color w:val="auto"/>
          <w:sz w:val="28"/>
          <w:szCs w:val="28"/>
          <w:highlight w:val="none"/>
        </w:rPr>
      </w:pPr>
      <w:r>
        <w:rPr>
          <w:rFonts w:hint="eastAsia" w:ascii="仿宋_GB2312" w:hAnsi="宋体" w:eastAsia="仿宋_GB2312"/>
          <w:b/>
          <w:color w:val="auto"/>
          <w:sz w:val="28"/>
          <w:szCs w:val="28"/>
          <w:highlight w:val="none"/>
        </w:rPr>
        <w:t>二、环境保护领域严重失信行为：</w:t>
      </w:r>
    </w:p>
    <w:p w14:paraId="1E82435F">
      <w:pPr>
        <w:adjustRightInd w:val="0"/>
        <w:snapToGrid w:val="0"/>
        <w:spacing w:line="560" w:lineRule="exact"/>
        <w:ind w:firstLine="645"/>
        <w:jc w:val="left"/>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（一）因为环境违法构成</w:t>
      </w:r>
      <w:r>
        <w:rPr>
          <w:color w:val="auto"/>
          <w:highlight w:val="none"/>
        </w:rPr>
        <w:fldChar w:fldCharType="begin"/>
      </w:r>
      <w:r>
        <w:rPr>
          <w:color w:val="auto"/>
          <w:highlight w:val="none"/>
        </w:rPr>
        <w:instrText xml:space="preserve"> HYPERLINK "https://baike.sogou.com/m/fullLemma?lid=10403954&amp;g_ut=3" \t "https://baike.sogou.com/m/_blank" </w:instrText>
      </w:r>
      <w:r>
        <w:rPr>
          <w:color w:val="auto"/>
          <w:highlight w:val="none"/>
        </w:rPr>
        <w:fldChar w:fldCharType="separate"/>
      </w:r>
      <w:r>
        <w:rPr>
          <w:rStyle w:val="30"/>
          <w:rFonts w:hint="eastAsia" w:ascii="仿宋_GB2312" w:hAnsi="宋体" w:eastAsia="仿宋_GB2312"/>
          <w:color w:val="auto"/>
          <w:sz w:val="28"/>
          <w:szCs w:val="28"/>
          <w:highlight w:val="none"/>
        </w:rPr>
        <w:t>环境犯罪</w:t>
      </w:r>
      <w:r>
        <w:rPr>
          <w:color w:val="auto"/>
          <w:highlight w:val="none"/>
        </w:rPr>
        <w:fldChar w:fldCharType="end"/>
      </w:r>
      <w:r>
        <w:rPr>
          <w:rFonts w:hint="eastAsia" w:ascii="仿宋_GB2312" w:hAnsi="宋体" w:eastAsia="仿宋_GB2312"/>
          <w:color w:val="auto"/>
          <w:sz w:val="28"/>
          <w:szCs w:val="28"/>
          <w:highlight w:val="none"/>
        </w:rPr>
        <w:t>的；</w:t>
      </w:r>
    </w:p>
    <w:p w14:paraId="473C4627">
      <w:pPr>
        <w:adjustRightInd w:val="0"/>
        <w:snapToGrid w:val="0"/>
        <w:spacing w:line="560" w:lineRule="exact"/>
        <w:ind w:firstLine="645"/>
        <w:jc w:val="left"/>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（二）</w:t>
      </w:r>
      <w:r>
        <w:rPr>
          <w:color w:val="auto"/>
          <w:highlight w:val="none"/>
        </w:rPr>
        <w:fldChar w:fldCharType="begin"/>
      </w:r>
      <w:r>
        <w:rPr>
          <w:color w:val="auto"/>
          <w:highlight w:val="none"/>
        </w:rPr>
        <w:instrText xml:space="preserve"> HYPERLINK "https://baike.sogou.com/m/fullLemma?lid=76033123&amp;g_ut=3" \t "https://baike.sogou.com/m/_blank" </w:instrText>
      </w:r>
      <w:r>
        <w:rPr>
          <w:color w:val="auto"/>
          <w:highlight w:val="none"/>
        </w:rPr>
        <w:fldChar w:fldCharType="separate"/>
      </w:r>
      <w:r>
        <w:rPr>
          <w:rStyle w:val="30"/>
          <w:rFonts w:hint="eastAsia" w:ascii="仿宋_GB2312" w:hAnsi="宋体" w:eastAsia="仿宋_GB2312"/>
          <w:color w:val="auto"/>
          <w:sz w:val="28"/>
          <w:szCs w:val="28"/>
          <w:highlight w:val="none"/>
        </w:rPr>
        <w:t>建设项目环境影响评价</w:t>
      </w:r>
      <w:r>
        <w:rPr>
          <w:color w:val="auto"/>
          <w:highlight w:val="none"/>
        </w:rPr>
        <w:fldChar w:fldCharType="end"/>
      </w:r>
      <w:r>
        <w:rPr>
          <w:rFonts w:hint="eastAsia" w:ascii="仿宋_GB2312" w:hAnsi="宋体" w:eastAsia="仿宋_GB2312"/>
          <w:color w:val="auto"/>
          <w:sz w:val="28"/>
          <w:szCs w:val="28"/>
          <w:highlight w:val="none"/>
        </w:rPr>
        <w:t>文件未按规定通过审批，擅自开工建设的；</w:t>
      </w:r>
    </w:p>
    <w:p w14:paraId="5F6A68AF">
      <w:pPr>
        <w:adjustRightInd w:val="0"/>
        <w:snapToGrid w:val="0"/>
        <w:spacing w:line="560" w:lineRule="exact"/>
        <w:ind w:firstLine="645"/>
        <w:jc w:val="left"/>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（三）建设项目环保设施未建成、环保措施未落实、未通过</w:t>
      </w:r>
      <w:r>
        <w:rPr>
          <w:color w:val="auto"/>
          <w:highlight w:val="none"/>
        </w:rPr>
        <w:fldChar w:fldCharType="begin"/>
      </w:r>
      <w:r>
        <w:rPr>
          <w:color w:val="auto"/>
          <w:highlight w:val="none"/>
        </w:rPr>
        <w:instrText xml:space="preserve"> HYPERLINK "https://baike.sogou.com/m/fullLemma?lid=6470550&amp;g_ut=3" \t "https://baike.sogou.com/m/_blank" </w:instrText>
      </w:r>
      <w:r>
        <w:rPr>
          <w:color w:val="auto"/>
          <w:highlight w:val="none"/>
        </w:rPr>
        <w:fldChar w:fldCharType="separate"/>
      </w:r>
      <w:r>
        <w:rPr>
          <w:rStyle w:val="30"/>
          <w:rFonts w:hint="eastAsia" w:ascii="仿宋_GB2312" w:hAnsi="宋体" w:eastAsia="仿宋_GB2312"/>
          <w:color w:val="auto"/>
          <w:sz w:val="28"/>
          <w:szCs w:val="28"/>
          <w:highlight w:val="none"/>
        </w:rPr>
        <w:t>竣工环保验收</w:t>
      </w:r>
      <w:r>
        <w:rPr>
          <w:color w:val="auto"/>
          <w:highlight w:val="none"/>
        </w:rPr>
        <w:fldChar w:fldCharType="end"/>
      </w:r>
      <w:r>
        <w:rPr>
          <w:rFonts w:hint="eastAsia" w:ascii="仿宋_GB2312" w:hAnsi="宋体" w:eastAsia="仿宋_GB2312"/>
          <w:color w:val="auto"/>
          <w:sz w:val="28"/>
          <w:szCs w:val="28"/>
          <w:highlight w:val="none"/>
        </w:rPr>
        <w:t>或者验收不合格，主体工程正式投入生产或者使用的；</w:t>
      </w:r>
    </w:p>
    <w:p w14:paraId="0089C6D0">
      <w:pPr>
        <w:adjustRightInd w:val="0"/>
        <w:snapToGrid w:val="0"/>
        <w:spacing w:line="560" w:lineRule="exact"/>
        <w:ind w:firstLine="645"/>
        <w:jc w:val="left"/>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（四）建设项目性质、规模、地点、采用的生产工艺或者防治污染、防止生态破坏的措施发生重大变动，未重新报批环境影响评价文件，擅自投入生产或者使用的；</w:t>
      </w:r>
    </w:p>
    <w:p w14:paraId="578F14DC">
      <w:pPr>
        <w:adjustRightInd w:val="0"/>
        <w:snapToGrid w:val="0"/>
        <w:spacing w:line="560" w:lineRule="exact"/>
        <w:ind w:firstLine="645"/>
        <w:jc w:val="left"/>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（五）主要污染物排放总量超过控制指标的；</w:t>
      </w:r>
    </w:p>
    <w:p w14:paraId="05BDDF5C">
      <w:pPr>
        <w:adjustRightInd w:val="0"/>
        <w:snapToGrid w:val="0"/>
        <w:spacing w:line="560" w:lineRule="exact"/>
        <w:ind w:firstLine="645"/>
        <w:jc w:val="left"/>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（六）私设暗管或者利用</w:t>
      </w:r>
      <w:r>
        <w:rPr>
          <w:color w:val="auto"/>
          <w:highlight w:val="none"/>
        </w:rPr>
        <w:fldChar w:fldCharType="begin"/>
      </w:r>
      <w:r>
        <w:rPr>
          <w:color w:val="auto"/>
          <w:highlight w:val="none"/>
        </w:rPr>
        <w:instrText xml:space="preserve"> HYPERLINK "https://baike.sogou.com/m/fullLemma?lid=41657319&amp;g_ut=3" \t "https://baike.sogou.com/m/_blank" </w:instrText>
      </w:r>
      <w:r>
        <w:rPr>
          <w:color w:val="auto"/>
          <w:highlight w:val="none"/>
        </w:rPr>
        <w:fldChar w:fldCharType="separate"/>
      </w:r>
      <w:r>
        <w:rPr>
          <w:rStyle w:val="30"/>
          <w:rFonts w:hint="eastAsia" w:ascii="仿宋_GB2312" w:hAnsi="宋体" w:eastAsia="仿宋_GB2312"/>
          <w:color w:val="auto"/>
          <w:sz w:val="28"/>
          <w:szCs w:val="28"/>
          <w:highlight w:val="none"/>
        </w:rPr>
        <w:t>渗井</w:t>
      </w:r>
      <w:r>
        <w:rPr>
          <w:color w:val="auto"/>
          <w:highlight w:val="none"/>
        </w:rPr>
        <w:fldChar w:fldCharType="end"/>
      </w:r>
      <w:r>
        <w:rPr>
          <w:rFonts w:hint="eastAsia" w:ascii="仿宋_GB2312" w:hAnsi="宋体" w:eastAsia="仿宋_GB2312"/>
          <w:color w:val="auto"/>
          <w:sz w:val="28"/>
          <w:szCs w:val="28"/>
          <w:highlight w:val="none"/>
        </w:rPr>
        <w:t>、渗坑、裂隙、溶洞等排放、倾倒、处置水污染物，或者通过私设旁路排放</w:t>
      </w:r>
      <w:r>
        <w:rPr>
          <w:color w:val="auto"/>
          <w:highlight w:val="none"/>
        </w:rPr>
        <w:fldChar w:fldCharType="begin"/>
      </w:r>
      <w:r>
        <w:rPr>
          <w:color w:val="auto"/>
          <w:highlight w:val="none"/>
        </w:rPr>
        <w:instrText xml:space="preserve"> HYPERLINK "https://baike.sogou.com/m/fullLemma?lid=7758328&amp;g_ut=3" \t "https://baike.sogou.com/m/_blank" </w:instrText>
      </w:r>
      <w:r>
        <w:rPr>
          <w:color w:val="auto"/>
          <w:highlight w:val="none"/>
        </w:rPr>
        <w:fldChar w:fldCharType="separate"/>
      </w:r>
      <w:r>
        <w:rPr>
          <w:rStyle w:val="30"/>
          <w:rFonts w:hint="eastAsia" w:ascii="仿宋_GB2312" w:hAnsi="宋体" w:eastAsia="仿宋_GB2312"/>
          <w:color w:val="auto"/>
          <w:sz w:val="28"/>
          <w:szCs w:val="28"/>
          <w:highlight w:val="none"/>
        </w:rPr>
        <w:t>大气污染物</w:t>
      </w:r>
      <w:r>
        <w:rPr>
          <w:color w:val="auto"/>
          <w:highlight w:val="none"/>
        </w:rPr>
        <w:fldChar w:fldCharType="end"/>
      </w:r>
      <w:r>
        <w:rPr>
          <w:rFonts w:hint="eastAsia" w:ascii="仿宋_GB2312" w:hAnsi="宋体" w:eastAsia="仿宋_GB2312"/>
          <w:color w:val="auto"/>
          <w:sz w:val="28"/>
          <w:szCs w:val="28"/>
          <w:highlight w:val="none"/>
        </w:rPr>
        <w:t>的；</w:t>
      </w:r>
    </w:p>
    <w:p w14:paraId="03900A95">
      <w:pPr>
        <w:adjustRightInd w:val="0"/>
        <w:snapToGrid w:val="0"/>
        <w:spacing w:line="560" w:lineRule="exact"/>
        <w:ind w:firstLine="645"/>
        <w:jc w:val="left"/>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（七）非法排放、倾倒、处置危险废物，或者向无</w:t>
      </w:r>
      <w:r>
        <w:rPr>
          <w:color w:val="auto"/>
          <w:highlight w:val="none"/>
        </w:rPr>
        <w:fldChar w:fldCharType="begin"/>
      </w:r>
      <w:r>
        <w:rPr>
          <w:color w:val="auto"/>
          <w:highlight w:val="none"/>
        </w:rPr>
        <w:instrText xml:space="preserve"> HYPERLINK "https://baike.sogou.com/m/fullLemma?lid=5923292&amp;g_ut=3" \t "https://baike.sogou.com/m/_blank" </w:instrText>
      </w:r>
      <w:r>
        <w:rPr>
          <w:color w:val="auto"/>
          <w:highlight w:val="none"/>
        </w:rPr>
        <w:fldChar w:fldCharType="separate"/>
      </w:r>
      <w:r>
        <w:rPr>
          <w:rStyle w:val="30"/>
          <w:rFonts w:hint="eastAsia" w:ascii="仿宋_GB2312" w:hAnsi="宋体" w:eastAsia="仿宋_GB2312"/>
          <w:color w:val="auto"/>
          <w:sz w:val="28"/>
          <w:szCs w:val="28"/>
          <w:highlight w:val="none"/>
        </w:rPr>
        <w:t>经营许可证</w:t>
      </w:r>
      <w:r>
        <w:rPr>
          <w:color w:val="auto"/>
          <w:highlight w:val="none"/>
        </w:rPr>
        <w:fldChar w:fldCharType="end"/>
      </w:r>
      <w:r>
        <w:rPr>
          <w:rFonts w:hint="eastAsia" w:ascii="仿宋_GB2312" w:hAnsi="宋体" w:eastAsia="仿宋_GB2312"/>
          <w:color w:val="auto"/>
          <w:sz w:val="28"/>
          <w:szCs w:val="28"/>
          <w:highlight w:val="none"/>
        </w:rPr>
        <w:t>或者超出经营许可范围的单位或个人提供或者委托其收集、贮存、利用、处置危险废物的；</w:t>
      </w:r>
    </w:p>
    <w:p w14:paraId="340D7F87">
      <w:pPr>
        <w:adjustRightInd w:val="0"/>
        <w:snapToGrid w:val="0"/>
        <w:spacing w:line="560" w:lineRule="exact"/>
        <w:ind w:firstLine="645"/>
        <w:jc w:val="left"/>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（八）</w:t>
      </w:r>
      <w:r>
        <w:rPr>
          <w:color w:val="auto"/>
          <w:highlight w:val="none"/>
        </w:rPr>
        <w:fldChar w:fldCharType="begin"/>
      </w:r>
      <w:r>
        <w:rPr>
          <w:color w:val="auto"/>
          <w:highlight w:val="none"/>
        </w:rPr>
        <w:instrText xml:space="preserve"> HYPERLINK "https://baike.sogou.com/m/fullLemma?lid=167759803&amp;g_ut=3" \t "https://baike.sogou.com/m/_blank" </w:instrText>
      </w:r>
      <w:r>
        <w:rPr>
          <w:color w:val="auto"/>
          <w:highlight w:val="none"/>
        </w:rPr>
        <w:fldChar w:fldCharType="separate"/>
      </w:r>
      <w:r>
        <w:rPr>
          <w:rStyle w:val="30"/>
          <w:rFonts w:hint="eastAsia" w:ascii="仿宋_GB2312" w:hAnsi="宋体" w:eastAsia="仿宋_GB2312"/>
          <w:color w:val="auto"/>
          <w:sz w:val="28"/>
          <w:szCs w:val="28"/>
          <w:highlight w:val="none"/>
        </w:rPr>
        <w:t>环境违法行为</w:t>
      </w:r>
      <w:r>
        <w:rPr>
          <w:color w:val="auto"/>
          <w:highlight w:val="none"/>
        </w:rPr>
        <w:fldChar w:fldCharType="end"/>
      </w:r>
      <w:r>
        <w:rPr>
          <w:rFonts w:hint="eastAsia" w:ascii="仿宋_GB2312" w:hAnsi="宋体" w:eastAsia="仿宋_GB2312"/>
          <w:color w:val="auto"/>
          <w:sz w:val="28"/>
          <w:szCs w:val="28"/>
          <w:highlight w:val="none"/>
        </w:rPr>
        <w:t>造成集中式生活饮用水水源取水中断的；</w:t>
      </w:r>
    </w:p>
    <w:p w14:paraId="0813D6E0">
      <w:pPr>
        <w:adjustRightInd w:val="0"/>
        <w:snapToGrid w:val="0"/>
        <w:spacing w:line="560" w:lineRule="exact"/>
        <w:ind w:firstLine="645"/>
        <w:jc w:val="left"/>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（九）环境违法行为对生活饮用水水源保护区、自然保护区、</w:t>
      </w:r>
      <w:r>
        <w:rPr>
          <w:color w:val="auto"/>
          <w:highlight w:val="none"/>
        </w:rPr>
        <w:fldChar w:fldCharType="begin"/>
      </w:r>
      <w:r>
        <w:rPr>
          <w:color w:val="auto"/>
          <w:highlight w:val="none"/>
        </w:rPr>
        <w:instrText xml:space="preserve"> HYPERLINK "https://baike.sogou.com/m/fullLemma?lid=155199213&amp;g_ut=3" \t "https://baike.sogou.com/m/_blank" </w:instrText>
      </w:r>
      <w:r>
        <w:rPr>
          <w:color w:val="auto"/>
          <w:highlight w:val="none"/>
        </w:rPr>
        <w:fldChar w:fldCharType="separate"/>
      </w:r>
      <w:r>
        <w:rPr>
          <w:rStyle w:val="30"/>
          <w:rFonts w:hint="eastAsia" w:ascii="仿宋_GB2312" w:hAnsi="宋体" w:eastAsia="仿宋_GB2312"/>
          <w:color w:val="auto"/>
          <w:sz w:val="28"/>
          <w:szCs w:val="28"/>
          <w:highlight w:val="none"/>
        </w:rPr>
        <w:t>国家重点生态功能区</w:t>
      </w:r>
      <w:r>
        <w:rPr>
          <w:color w:val="auto"/>
          <w:highlight w:val="none"/>
        </w:rPr>
        <w:fldChar w:fldCharType="end"/>
      </w:r>
      <w:r>
        <w:rPr>
          <w:rFonts w:hint="eastAsia" w:ascii="仿宋_GB2312" w:hAnsi="宋体" w:eastAsia="仿宋_GB2312"/>
          <w:color w:val="auto"/>
          <w:sz w:val="28"/>
          <w:szCs w:val="28"/>
          <w:highlight w:val="none"/>
        </w:rPr>
        <w:t>、风景名胜区、居住功能区、</w:t>
      </w:r>
      <w:r>
        <w:rPr>
          <w:color w:val="auto"/>
          <w:highlight w:val="none"/>
        </w:rPr>
        <w:fldChar w:fldCharType="begin"/>
      </w:r>
      <w:r>
        <w:rPr>
          <w:color w:val="auto"/>
          <w:highlight w:val="none"/>
        </w:rPr>
        <w:instrText xml:space="preserve"> HYPERLINK "https://baike.sogou.com/m/fullLemma?lid=7757164&amp;g_ut=3" \t "https://baike.sogou.com/m/_blank" </w:instrText>
      </w:r>
      <w:r>
        <w:rPr>
          <w:color w:val="auto"/>
          <w:highlight w:val="none"/>
        </w:rPr>
        <w:fldChar w:fldCharType="separate"/>
      </w:r>
      <w:r>
        <w:rPr>
          <w:rStyle w:val="30"/>
          <w:rFonts w:hint="eastAsia" w:ascii="仿宋_GB2312" w:hAnsi="宋体" w:eastAsia="仿宋_GB2312"/>
          <w:color w:val="auto"/>
          <w:sz w:val="28"/>
          <w:szCs w:val="28"/>
          <w:highlight w:val="none"/>
        </w:rPr>
        <w:t>基本农田保护区</w:t>
      </w:r>
      <w:r>
        <w:rPr>
          <w:color w:val="auto"/>
          <w:highlight w:val="none"/>
        </w:rPr>
        <w:fldChar w:fldCharType="end"/>
      </w:r>
      <w:r>
        <w:rPr>
          <w:rFonts w:hint="eastAsia" w:ascii="仿宋_GB2312" w:hAnsi="宋体" w:eastAsia="仿宋_GB2312"/>
          <w:color w:val="auto"/>
          <w:sz w:val="28"/>
          <w:szCs w:val="28"/>
          <w:highlight w:val="none"/>
        </w:rPr>
        <w:t>等环境敏感区造成重大不利影响的；</w:t>
      </w:r>
    </w:p>
    <w:p w14:paraId="4363E5B4">
      <w:pPr>
        <w:adjustRightInd w:val="0"/>
        <w:snapToGrid w:val="0"/>
        <w:spacing w:line="560" w:lineRule="exact"/>
        <w:ind w:firstLine="645"/>
        <w:jc w:val="left"/>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（十）违法从事自然资源开发、交通基础设施建设，以及其他开发建设活动，造成严重生态破坏的；</w:t>
      </w:r>
    </w:p>
    <w:p w14:paraId="51DCADD8">
      <w:pPr>
        <w:adjustRightInd w:val="0"/>
        <w:snapToGrid w:val="0"/>
        <w:spacing w:line="560" w:lineRule="exact"/>
        <w:ind w:firstLine="645"/>
        <w:jc w:val="left"/>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（十一）发生较大及以上突发环境事件的；</w:t>
      </w:r>
    </w:p>
    <w:p w14:paraId="148EF659">
      <w:pPr>
        <w:adjustRightInd w:val="0"/>
        <w:snapToGrid w:val="0"/>
        <w:spacing w:line="560" w:lineRule="exact"/>
        <w:ind w:firstLine="645"/>
        <w:jc w:val="left"/>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（十二）被环保部门挂牌督办，整改逾期未完成的；</w:t>
      </w:r>
    </w:p>
    <w:p w14:paraId="3128E88A">
      <w:pPr>
        <w:adjustRightInd w:val="0"/>
        <w:snapToGrid w:val="0"/>
        <w:spacing w:line="560" w:lineRule="exact"/>
        <w:ind w:firstLine="645"/>
        <w:jc w:val="left"/>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（十三）以暴力、威胁等方式拒绝、阻挠环保部门工作人员现场检查的；</w:t>
      </w:r>
    </w:p>
    <w:p w14:paraId="6FC32DCB">
      <w:pPr>
        <w:adjustRightInd w:val="0"/>
        <w:snapToGrid w:val="0"/>
        <w:spacing w:line="560" w:lineRule="exact"/>
        <w:ind w:firstLine="645"/>
        <w:jc w:val="left"/>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（十四）违反重污染天气应急预案有关规定，对重污染天气响应不力的。</w:t>
      </w:r>
    </w:p>
    <w:p w14:paraId="6C5C736A">
      <w:pPr>
        <w:adjustRightInd w:val="0"/>
        <w:snapToGrid w:val="0"/>
        <w:spacing w:line="560" w:lineRule="exact"/>
        <w:ind w:firstLine="645"/>
        <w:jc w:val="left"/>
        <w:rPr>
          <w:rFonts w:hint="eastAsia" w:ascii="仿宋_GB2312" w:hAnsi="宋体" w:eastAsia="仿宋_GB2312"/>
          <w:b/>
          <w:color w:val="auto"/>
          <w:sz w:val="28"/>
          <w:szCs w:val="28"/>
          <w:highlight w:val="none"/>
        </w:rPr>
      </w:pPr>
      <w:r>
        <w:rPr>
          <w:rFonts w:hint="eastAsia" w:ascii="仿宋_GB2312" w:hAnsi="宋体" w:eastAsia="仿宋_GB2312"/>
          <w:b/>
          <w:color w:val="auto"/>
          <w:sz w:val="28"/>
          <w:szCs w:val="28"/>
          <w:highlight w:val="none"/>
        </w:rPr>
        <w:t>依据：《</w:t>
      </w:r>
      <w:bookmarkStart w:id="1578" w:name="OLE_LINK8"/>
      <w:bookmarkStart w:id="1579" w:name="OLE_LINK10"/>
      <w:bookmarkStart w:id="1580" w:name="OLE_LINK9"/>
      <w:r>
        <w:rPr>
          <w:rFonts w:hint="eastAsia" w:ascii="仿宋_GB2312" w:hAnsi="宋体" w:eastAsia="仿宋_GB2312"/>
          <w:b/>
          <w:color w:val="auto"/>
          <w:sz w:val="28"/>
          <w:szCs w:val="28"/>
          <w:highlight w:val="none"/>
        </w:rPr>
        <w:t>关于对环境保护领域失信生产经营单位及其有关人员开展联合惩戒的合作备忘录</w:t>
      </w:r>
      <w:bookmarkEnd w:id="1578"/>
      <w:bookmarkEnd w:id="1579"/>
      <w:bookmarkEnd w:id="1580"/>
      <w:r>
        <w:rPr>
          <w:rFonts w:hint="eastAsia" w:ascii="仿宋_GB2312" w:hAnsi="宋体" w:eastAsia="仿宋_GB2312"/>
          <w:b/>
          <w:color w:val="auto"/>
          <w:sz w:val="28"/>
          <w:szCs w:val="28"/>
          <w:highlight w:val="none"/>
        </w:rPr>
        <w:t>》、《</w:t>
      </w:r>
      <w:bookmarkStart w:id="1581" w:name="OLE_LINK11"/>
      <w:bookmarkStart w:id="1582" w:name="OLE_LINK12"/>
      <w:r>
        <w:rPr>
          <w:rFonts w:hint="eastAsia" w:ascii="仿宋_GB2312" w:hAnsi="宋体" w:eastAsia="仿宋_GB2312"/>
          <w:b/>
          <w:color w:val="auto"/>
          <w:sz w:val="28"/>
          <w:szCs w:val="28"/>
          <w:highlight w:val="none"/>
        </w:rPr>
        <w:t>企业环境信用评价办法（试行）</w:t>
      </w:r>
      <w:bookmarkEnd w:id="1581"/>
      <w:bookmarkEnd w:id="1582"/>
      <w:r>
        <w:rPr>
          <w:rFonts w:hint="eastAsia" w:ascii="仿宋_GB2312" w:hAnsi="宋体" w:eastAsia="仿宋_GB2312"/>
          <w:b/>
          <w:color w:val="auto"/>
          <w:sz w:val="28"/>
          <w:szCs w:val="28"/>
          <w:highlight w:val="none"/>
        </w:rPr>
        <w:t>》（环发〔2013〕150号）</w:t>
      </w:r>
    </w:p>
    <w:p w14:paraId="262F2436">
      <w:pPr>
        <w:adjustRightInd w:val="0"/>
        <w:snapToGrid w:val="0"/>
        <w:spacing w:line="560" w:lineRule="exact"/>
        <w:ind w:firstLine="645"/>
        <w:jc w:val="left"/>
        <w:rPr>
          <w:rFonts w:hint="eastAsia" w:ascii="仿宋_GB2312" w:hAnsi="宋体" w:eastAsia="仿宋_GB2312"/>
          <w:b/>
          <w:color w:val="auto"/>
          <w:sz w:val="28"/>
          <w:szCs w:val="28"/>
          <w:highlight w:val="none"/>
        </w:rPr>
      </w:pPr>
    </w:p>
    <w:p w14:paraId="71D74346">
      <w:pPr>
        <w:adjustRightInd w:val="0"/>
        <w:snapToGrid w:val="0"/>
        <w:spacing w:line="560" w:lineRule="exact"/>
        <w:ind w:firstLine="645"/>
        <w:jc w:val="left"/>
        <w:rPr>
          <w:rFonts w:hint="eastAsia" w:ascii="仿宋_GB2312" w:hAnsi="宋体" w:eastAsia="仿宋_GB2312"/>
          <w:b/>
          <w:color w:val="auto"/>
          <w:sz w:val="28"/>
          <w:szCs w:val="28"/>
          <w:highlight w:val="none"/>
        </w:rPr>
      </w:pPr>
      <w:r>
        <w:rPr>
          <w:rFonts w:hint="eastAsia" w:ascii="仿宋_GB2312" w:hAnsi="宋体" w:eastAsia="仿宋_GB2312"/>
          <w:b/>
          <w:color w:val="auto"/>
          <w:sz w:val="28"/>
          <w:szCs w:val="28"/>
          <w:highlight w:val="none"/>
        </w:rPr>
        <w:t>三、</w:t>
      </w:r>
      <w:r>
        <w:rPr>
          <w:rFonts w:hint="eastAsia" w:ascii="仿宋_GB2312" w:hAnsi="宋体" w:eastAsia="仿宋_GB2312"/>
          <w:b/>
          <w:bCs/>
          <w:color w:val="auto"/>
          <w:sz w:val="28"/>
          <w:szCs w:val="28"/>
          <w:highlight w:val="none"/>
        </w:rPr>
        <w:t>公共资源交易领域严重失信行为</w:t>
      </w:r>
    </w:p>
    <w:p w14:paraId="4CEE83B3">
      <w:pPr>
        <w:adjustRightInd w:val="0"/>
        <w:snapToGrid w:val="0"/>
        <w:spacing w:line="560" w:lineRule="exact"/>
        <w:ind w:firstLine="645"/>
        <w:jc w:val="left"/>
        <w:rPr>
          <w:rFonts w:hint="eastAsia" w:ascii="仿宋_GB2312" w:hAnsi="Calibri" w:eastAsia="仿宋_GB2312"/>
          <w:color w:val="auto"/>
          <w:sz w:val="28"/>
          <w:szCs w:val="28"/>
          <w:highlight w:val="none"/>
        </w:rPr>
      </w:pPr>
      <w:r>
        <w:rPr>
          <w:rFonts w:hint="eastAsia" w:ascii="仿宋_GB2312" w:hAnsi="Calibri" w:eastAsia="仿宋_GB2312"/>
          <w:color w:val="auto"/>
          <w:sz w:val="28"/>
          <w:szCs w:val="28"/>
          <w:highlight w:val="none"/>
        </w:rPr>
        <w:t xml:space="preserve">（一）违反法律规定，必须进行招标的项目而不招标的，将必须进行招标的项目化整为零或者以其他任何方式规避招标的； </w:t>
      </w:r>
    </w:p>
    <w:p w14:paraId="3AA78DFD">
      <w:pPr>
        <w:adjustRightInd w:val="0"/>
        <w:snapToGrid w:val="0"/>
        <w:spacing w:line="560" w:lineRule="exact"/>
        <w:ind w:firstLine="645"/>
        <w:jc w:val="left"/>
        <w:rPr>
          <w:rFonts w:hint="eastAsia" w:ascii="仿宋_GB2312" w:hAnsi="Calibri" w:eastAsia="仿宋_GB2312"/>
          <w:color w:val="auto"/>
          <w:sz w:val="28"/>
          <w:szCs w:val="28"/>
          <w:highlight w:val="none"/>
        </w:rPr>
      </w:pPr>
      <w:r>
        <w:rPr>
          <w:rFonts w:hint="eastAsia" w:ascii="仿宋_GB2312" w:hAnsi="Calibri" w:eastAsia="仿宋_GB2312"/>
          <w:color w:val="auto"/>
          <w:sz w:val="28"/>
          <w:szCs w:val="28"/>
          <w:highlight w:val="none"/>
        </w:rPr>
        <w:t>（二）招标代理机构违反法律规定，泄露应当保密的与招标投标活动有关的情况和资料的，或者与招标人、投标人串通损害 国家利益、社会公共利益或者他人合法权益的；</w:t>
      </w:r>
    </w:p>
    <w:p w14:paraId="0B7ED874">
      <w:pPr>
        <w:adjustRightInd w:val="0"/>
        <w:snapToGrid w:val="0"/>
        <w:spacing w:line="560" w:lineRule="exact"/>
        <w:ind w:firstLine="560" w:firstLineChars="200"/>
        <w:jc w:val="left"/>
        <w:rPr>
          <w:rFonts w:hint="eastAsia" w:ascii="仿宋_GB2312" w:hAnsi="Calibri" w:eastAsia="仿宋_GB2312"/>
          <w:color w:val="auto"/>
          <w:sz w:val="28"/>
          <w:szCs w:val="28"/>
          <w:highlight w:val="none"/>
        </w:rPr>
      </w:pPr>
      <w:r>
        <w:rPr>
          <w:rFonts w:hint="eastAsia" w:ascii="仿宋_GB2312" w:hAnsi="Calibri" w:eastAsia="仿宋_GB2312"/>
          <w:color w:val="auto"/>
          <w:sz w:val="28"/>
          <w:szCs w:val="28"/>
          <w:highlight w:val="none"/>
        </w:rPr>
        <w:t>（三）招标人以不合理的条件限制或者排斥潜在投标人的，对潜在投标人实行歧视待遇的，强制要求投标人组成联合体共同 投标的，或者限制投标人之间竞争的；</w:t>
      </w:r>
    </w:p>
    <w:p w14:paraId="1AFEB07F">
      <w:pPr>
        <w:adjustRightInd w:val="0"/>
        <w:snapToGrid w:val="0"/>
        <w:spacing w:line="560" w:lineRule="exact"/>
        <w:ind w:firstLine="560" w:firstLineChars="200"/>
        <w:jc w:val="left"/>
        <w:rPr>
          <w:rFonts w:hint="eastAsia" w:ascii="仿宋_GB2312" w:hAnsi="Calibri" w:eastAsia="仿宋_GB2312"/>
          <w:color w:val="auto"/>
          <w:sz w:val="28"/>
          <w:szCs w:val="28"/>
          <w:highlight w:val="none"/>
        </w:rPr>
      </w:pPr>
      <w:r>
        <w:rPr>
          <w:rFonts w:hint="eastAsia" w:ascii="仿宋_GB2312" w:hAnsi="Calibri" w:eastAsia="仿宋_GB2312"/>
          <w:color w:val="auto"/>
          <w:sz w:val="28"/>
          <w:szCs w:val="28"/>
          <w:highlight w:val="none"/>
        </w:rPr>
        <w:t>（四）依法必须进行招标的项目的招标人向他人透露已获取招标文件的潜在投标人的名称、数量或者可能影响公平竞争的有 关招标投标的其他情况的，或者泄露标底的；</w:t>
      </w:r>
    </w:p>
    <w:p w14:paraId="6995745F">
      <w:pPr>
        <w:adjustRightInd w:val="0"/>
        <w:snapToGrid w:val="0"/>
        <w:spacing w:line="560" w:lineRule="exact"/>
        <w:ind w:firstLine="560" w:firstLineChars="200"/>
        <w:jc w:val="left"/>
        <w:rPr>
          <w:rFonts w:hint="eastAsia" w:ascii="仿宋_GB2312" w:hAnsi="Calibri" w:eastAsia="仿宋_GB2312"/>
          <w:color w:val="auto"/>
          <w:sz w:val="28"/>
          <w:szCs w:val="28"/>
          <w:highlight w:val="none"/>
        </w:rPr>
      </w:pPr>
      <w:r>
        <w:rPr>
          <w:rFonts w:hint="eastAsia" w:ascii="仿宋_GB2312" w:hAnsi="Calibri" w:eastAsia="仿宋_GB2312"/>
          <w:color w:val="auto"/>
          <w:sz w:val="28"/>
          <w:szCs w:val="28"/>
          <w:highlight w:val="none"/>
        </w:rPr>
        <w:t xml:space="preserve">（五）投标人相互串通投标或者与招标人串通投标的，投标人以向招标人或者评标委员会成员行贿的手段谋取中标的； </w:t>
      </w:r>
    </w:p>
    <w:p w14:paraId="44E47AC6">
      <w:pPr>
        <w:adjustRightInd w:val="0"/>
        <w:snapToGrid w:val="0"/>
        <w:spacing w:line="560" w:lineRule="exact"/>
        <w:ind w:firstLine="560" w:firstLineChars="200"/>
        <w:jc w:val="left"/>
        <w:rPr>
          <w:rFonts w:hint="eastAsia" w:ascii="仿宋_GB2312" w:hAnsi="Calibri" w:eastAsia="仿宋_GB2312"/>
          <w:color w:val="auto"/>
          <w:sz w:val="28"/>
          <w:szCs w:val="28"/>
          <w:highlight w:val="none"/>
        </w:rPr>
      </w:pPr>
      <w:r>
        <w:rPr>
          <w:rFonts w:hint="eastAsia" w:ascii="仿宋_GB2312" w:hAnsi="Calibri" w:eastAsia="仿宋_GB2312"/>
          <w:color w:val="auto"/>
          <w:sz w:val="28"/>
          <w:szCs w:val="28"/>
          <w:highlight w:val="none"/>
        </w:rPr>
        <w:t>（六）投标人以他人名义投标或者以其他方式弄虚作假，骗取中标的；</w:t>
      </w:r>
    </w:p>
    <w:p w14:paraId="77855242">
      <w:pPr>
        <w:adjustRightInd w:val="0"/>
        <w:snapToGrid w:val="0"/>
        <w:spacing w:line="560" w:lineRule="exact"/>
        <w:ind w:firstLine="560" w:firstLineChars="200"/>
        <w:jc w:val="left"/>
        <w:rPr>
          <w:rFonts w:hint="eastAsia" w:ascii="仿宋_GB2312" w:hAnsi="Calibri" w:eastAsia="仿宋_GB2312"/>
          <w:color w:val="auto"/>
          <w:sz w:val="28"/>
          <w:szCs w:val="28"/>
          <w:highlight w:val="none"/>
        </w:rPr>
      </w:pPr>
      <w:r>
        <w:rPr>
          <w:rFonts w:hint="eastAsia" w:ascii="仿宋_GB2312" w:hAnsi="Calibri" w:eastAsia="仿宋_GB2312"/>
          <w:color w:val="auto"/>
          <w:sz w:val="28"/>
          <w:szCs w:val="28"/>
          <w:highlight w:val="none"/>
        </w:rPr>
        <w:t>（七）依法必须进行招标的项目，招标人违反法律规定，与投标人就投标价格、投标方案等实质性内容进行谈判的；</w:t>
      </w:r>
    </w:p>
    <w:p w14:paraId="6514202C">
      <w:pPr>
        <w:adjustRightInd w:val="0"/>
        <w:snapToGrid w:val="0"/>
        <w:spacing w:line="560" w:lineRule="exact"/>
        <w:ind w:firstLine="645"/>
        <w:jc w:val="left"/>
        <w:rPr>
          <w:rFonts w:hint="eastAsia" w:ascii="仿宋_GB2312" w:hAnsi="Calibri" w:eastAsia="仿宋_GB2312"/>
          <w:color w:val="auto"/>
          <w:sz w:val="28"/>
          <w:szCs w:val="28"/>
          <w:highlight w:val="none"/>
        </w:rPr>
      </w:pPr>
      <w:r>
        <w:rPr>
          <w:rFonts w:hint="eastAsia" w:ascii="仿宋_GB2312" w:hAnsi="Calibri" w:eastAsia="仿宋_GB2312"/>
          <w:color w:val="auto"/>
          <w:sz w:val="28"/>
          <w:szCs w:val="28"/>
          <w:highlight w:val="none"/>
        </w:rPr>
        <w:t xml:space="preserve">（八）评标委员会成员收受投标人的财物或者其他好处的，评标委员会成员或者参加评标的有关工作人员向他人透露对投 标文件的评审和比较、中标候选人的推荐以及与评标有关的其他 情况的； </w:t>
      </w:r>
    </w:p>
    <w:p w14:paraId="420E5D06">
      <w:pPr>
        <w:adjustRightInd w:val="0"/>
        <w:snapToGrid w:val="0"/>
        <w:spacing w:line="560" w:lineRule="exact"/>
        <w:ind w:firstLine="645"/>
        <w:jc w:val="left"/>
        <w:rPr>
          <w:rFonts w:hint="eastAsia" w:ascii="仿宋_GB2312" w:hAnsi="Calibri" w:eastAsia="仿宋_GB2312"/>
          <w:color w:val="auto"/>
          <w:sz w:val="28"/>
          <w:szCs w:val="28"/>
          <w:highlight w:val="none"/>
        </w:rPr>
      </w:pPr>
      <w:r>
        <w:rPr>
          <w:rFonts w:hint="eastAsia" w:ascii="仿宋_GB2312" w:hAnsi="Calibri" w:eastAsia="仿宋_GB2312"/>
          <w:color w:val="auto"/>
          <w:sz w:val="28"/>
          <w:szCs w:val="28"/>
          <w:highlight w:val="none"/>
        </w:rPr>
        <w:t xml:space="preserve">（九）招标人在评标委员会依法推荐的中标候选人以外确定中标人的，依法必须进行招标的项目在所有投标被评标委员会否 决后自行确定中标人的； </w:t>
      </w:r>
    </w:p>
    <w:p w14:paraId="24ACDB63">
      <w:pPr>
        <w:adjustRightInd w:val="0"/>
        <w:snapToGrid w:val="0"/>
        <w:spacing w:line="560" w:lineRule="exact"/>
        <w:ind w:firstLine="645"/>
        <w:jc w:val="left"/>
        <w:rPr>
          <w:rFonts w:hint="eastAsia" w:ascii="仿宋_GB2312" w:hAnsi="Calibri" w:eastAsia="仿宋_GB2312"/>
          <w:color w:val="auto"/>
          <w:sz w:val="28"/>
          <w:szCs w:val="28"/>
          <w:highlight w:val="none"/>
        </w:rPr>
      </w:pPr>
      <w:r>
        <w:rPr>
          <w:rFonts w:hint="eastAsia" w:ascii="仿宋_GB2312" w:hAnsi="Calibri" w:eastAsia="仿宋_GB2312"/>
          <w:color w:val="auto"/>
          <w:sz w:val="28"/>
          <w:szCs w:val="28"/>
          <w:highlight w:val="none"/>
        </w:rPr>
        <w:t xml:space="preserve">（十）中标人将中标项目转让给他人的，将中标项目肢解后分别转让给他人的，违反法律规定将中标项目的部分主体、关键 性工作分包给他人的，或者分包人再次分包的； </w:t>
      </w:r>
    </w:p>
    <w:p w14:paraId="655337D7">
      <w:pPr>
        <w:adjustRightInd w:val="0"/>
        <w:snapToGrid w:val="0"/>
        <w:spacing w:line="560" w:lineRule="exact"/>
        <w:ind w:firstLine="645"/>
        <w:jc w:val="left"/>
        <w:rPr>
          <w:rFonts w:hint="eastAsia" w:ascii="仿宋_GB2312" w:hAnsi="Calibri" w:eastAsia="仿宋_GB2312"/>
          <w:color w:val="auto"/>
          <w:sz w:val="28"/>
          <w:szCs w:val="28"/>
          <w:highlight w:val="none"/>
        </w:rPr>
      </w:pPr>
      <w:r>
        <w:rPr>
          <w:rFonts w:hint="eastAsia" w:ascii="仿宋_GB2312" w:hAnsi="Calibri" w:eastAsia="仿宋_GB2312"/>
          <w:color w:val="auto"/>
          <w:sz w:val="28"/>
          <w:szCs w:val="28"/>
          <w:highlight w:val="none"/>
        </w:rPr>
        <w:t xml:space="preserve">（十一）招标人与中标人不按照招标文件和中标人的投标文件订立合同的，或者招标人、中标人订立背离合同实质性内容的 协议的； </w:t>
      </w:r>
    </w:p>
    <w:p w14:paraId="2D919834">
      <w:pPr>
        <w:adjustRightInd w:val="0"/>
        <w:snapToGrid w:val="0"/>
        <w:spacing w:line="560" w:lineRule="exact"/>
        <w:ind w:firstLine="645"/>
        <w:jc w:val="left"/>
        <w:rPr>
          <w:rFonts w:hint="eastAsia" w:ascii="仿宋_GB2312" w:hAnsi="Calibri" w:eastAsia="仿宋_GB2312"/>
          <w:color w:val="auto"/>
          <w:sz w:val="28"/>
          <w:szCs w:val="28"/>
          <w:highlight w:val="none"/>
        </w:rPr>
      </w:pPr>
      <w:r>
        <w:rPr>
          <w:rFonts w:hint="eastAsia" w:ascii="仿宋_GB2312" w:hAnsi="Calibri" w:eastAsia="仿宋_GB2312"/>
          <w:color w:val="auto"/>
          <w:sz w:val="28"/>
          <w:szCs w:val="28"/>
          <w:highlight w:val="none"/>
        </w:rPr>
        <w:t xml:space="preserve">（十二）中标人不按照与招标人订立的合同履行义务，情节严重的； </w:t>
      </w:r>
    </w:p>
    <w:p w14:paraId="2673BAE1">
      <w:pPr>
        <w:adjustRightInd w:val="0"/>
        <w:snapToGrid w:val="0"/>
        <w:spacing w:line="560" w:lineRule="exact"/>
        <w:ind w:firstLine="645"/>
        <w:jc w:val="left"/>
        <w:rPr>
          <w:rFonts w:hint="eastAsia" w:ascii="仿宋_GB2312" w:hAnsi="Calibri" w:eastAsia="仿宋_GB2312"/>
          <w:color w:val="auto"/>
          <w:sz w:val="28"/>
          <w:szCs w:val="28"/>
          <w:highlight w:val="none"/>
        </w:rPr>
      </w:pPr>
      <w:r>
        <w:rPr>
          <w:rFonts w:hint="eastAsia" w:ascii="仿宋_GB2312" w:hAnsi="Calibri" w:eastAsia="仿宋_GB2312"/>
          <w:color w:val="auto"/>
          <w:sz w:val="28"/>
          <w:szCs w:val="28"/>
          <w:highlight w:val="none"/>
        </w:rPr>
        <w:t>（十三）采购人、采购代理机构存在应当采用公开招标方式而擅自采用其他方式采购，擅自提高采购标准，以不合理的条件 对供应商实行差别待遇或者歧视待遇，在招标采购过程中与投标 人进行协商谈判，中标、成交通知书发出后不与中标、成交供应商签订采购合同，或者拒绝有关部门依法实施监督检查等情形的；</w:t>
      </w:r>
    </w:p>
    <w:p w14:paraId="44F22951">
      <w:pPr>
        <w:adjustRightInd w:val="0"/>
        <w:snapToGrid w:val="0"/>
        <w:spacing w:line="560" w:lineRule="exact"/>
        <w:ind w:firstLine="645"/>
        <w:jc w:val="left"/>
        <w:rPr>
          <w:rFonts w:hint="eastAsia" w:ascii="仿宋_GB2312" w:hAnsi="Calibri" w:eastAsia="仿宋_GB2312"/>
          <w:color w:val="auto"/>
          <w:sz w:val="28"/>
          <w:szCs w:val="28"/>
          <w:highlight w:val="none"/>
        </w:rPr>
      </w:pPr>
      <w:r>
        <w:rPr>
          <w:rFonts w:hint="eastAsia" w:ascii="仿宋_GB2312" w:hAnsi="Calibri" w:eastAsia="仿宋_GB2312"/>
          <w:color w:val="auto"/>
          <w:sz w:val="28"/>
          <w:szCs w:val="28"/>
          <w:highlight w:val="none"/>
        </w:rPr>
        <w:t xml:space="preserve"> （十四）采购人、采购代理机构及其工作人员存在与供应商 或者采购代理机构恶意串通，在采购过程中接受贿赂或者获取其 他不正当利益，在有关部门依法实施的监督检查中提供虚假情况， 或者开标前泄露标底等情形的；</w:t>
      </w:r>
    </w:p>
    <w:p w14:paraId="34612379">
      <w:pPr>
        <w:adjustRightInd w:val="0"/>
        <w:snapToGrid w:val="0"/>
        <w:spacing w:line="560" w:lineRule="exact"/>
        <w:ind w:firstLine="645"/>
        <w:jc w:val="left"/>
        <w:rPr>
          <w:rFonts w:hint="eastAsia" w:ascii="仿宋_GB2312" w:hAnsi="Calibri" w:eastAsia="仿宋_GB2312"/>
          <w:color w:val="auto"/>
          <w:sz w:val="28"/>
          <w:szCs w:val="28"/>
          <w:highlight w:val="none"/>
        </w:rPr>
      </w:pPr>
      <w:r>
        <w:rPr>
          <w:rFonts w:hint="eastAsia" w:ascii="仿宋_GB2312" w:hAnsi="Calibri" w:eastAsia="仿宋_GB2312"/>
          <w:color w:val="auto"/>
          <w:sz w:val="28"/>
          <w:szCs w:val="28"/>
          <w:highlight w:val="none"/>
        </w:rPr>
        <w:t xml:space="preserve"> （十五）采购人对应当实行集中采购的政府采购项目，不委托集中采购机构实行集中采购的； </w:t>
      </w:r>
    </w:p>
    <w:p w14:paraId="6FD6C7D2">
      <w:pPr>
        <w:adjustRightInd w:val="0"/>
        <w:snapToGrid w:val="0"/>
        <w:spacing w:line="560" w:lineRule="exact"/>
        <w:ind w:firstLine="645"/>
        <w:jc w:val="left"/>
        <w:rPr>
          <w:rFonts w:hint="eastAsia" w:ascii="仿宋_GB2312" w:hAnsi="Calibri" w:eastAsia="仿宋_GB2312"/>
          <w:color w:val="auto"/>
          <w:sz w:val="28"/>
          <w:szCs w:val="28"/>
          <w:highlight w:val="none"/>
        </w:rPr>
      </w:pPr>
      <w:r>
        <w:rPr>
          <w:rFonts w:hint="eastAsia" w:ascii="仿宋_GB2312" w:hAnsi="Calibri" w:eastAsia="仿宋_GB2312"/>
          <w:color w:val="auto"/>
          <w:sz w:val="28"/>
          <w:szCs w:val="28"/>
          <w:highlight w:val="none"/>
        </w:rPr>
        <w:t xml:space="preserve">（十六）采购人、采购代理机构违反法律规定隐匿、销毁应当保存的采购文件或者伪造、变造采购文件的； </w:t>
      </w:r>
    </w:p>
    <w:p w14:paraId="46535F19">
      <w:pPr>
        <w:adjustRightInd w:val="0"/>
        <w:snapToGrid w:val="0"/>
        <w:spacing w:line="560" w:lineRule="exact"/>
        <w:ind w:firstLine="645"/>
        <w:jc w:val="left"/>
        <w:rPr>
          <w:rFonts w:hint="eastAsia" w:ascii="仿宋_GB2312" w:hAnsi="Calibri" w:eastAsia="仿宋_GB2312"/>
          <w:color w:val="auto"/>
          <w:sz w:val="28"/>
          <w:szCs w:val="28"/>
          <w:highlight w:val="none"/>
        </w:rPr>
      </w:pPr>
      <w:r>
        <w:rPr>
          <w:rFonts w:hint="eastAsia" w:ascii="仿宋_GB2312" w:hAnsi="Calibri" w:eastAsia="仿宋_GB2312"/>
          <w:color w:val="auto"/>
          <w:sz w:val="28"/>
          <w:szCs w:val="28"/>
          <w:highlight w:val="none"/>
        </w:rPr>
        <w:t xml:space="preserve">（十七）供应商存在提供虚假材料谋取中标、成交，采取不 正当手段诋毁、排挤其他供应商，与采购人、其他供应商或者采 购代理机构恶意串通，向采购人、采购代理机构行贿或者提供其 他不正当利益，在招标采购过程中与采购人进行协商谈判，或拒 绝有关部门监督检查或者提供虚假情况等情形的； </w:t>
      </w:r>
    </w:p>
    <w:p w14:paraId="4C65B063">
      <w:pPr>
        <w:adjustRightInd w:val="0"/>
        <w:snapToGrid w:val="0"/>
        <w:spacing w:line="560" w:lineRule="exact"/>
        <w:ind w:left="141" w:leftChars="67" w:firstLine="420" w:firstLineChars="150"/>
        <w:jc w:val="left"/>
        <w:rPr>
          <w:rFonts w:hint="eastAsia" w:ascii="仿宋_GB2312" w:hAnsi="Calibri" w:eastAsia="仿宋_GB2312"/>
          <w:color w:val="auto"/>
          <w:sz w:val="28"/>
          <w:szCs w:val="28"/>
          <w:highlight w:val="none"/>
        </w:rPr>
      </w:pPr>
      <w:r>
        <w:rPr>
          <w:rFonts w:hint="eastAsia" w:ascii="仿宋_GB2312" w:hAnsi="Calibri" w:eastAsia="仿宋_GB2312"/>
          <w:color w:val="auto"/>
          <w:sz w:val="28"/>
          <w:szCs w:val="28"/>
          <w:highlight w:val="none"/>
        </w:rPr>
        <w:t xml:space="preserve">（十八）疫苗生产企业向县级疾病预防控制机构以外的单位或者个人销售第二类疫苗的； </w:t>
      </w:r>
    </w:p>
    <w:p w14:paraId="1429F2BC">
      <w:pPr>
        <w:adjustRightInd w:val="0"/>
        <w:snapToGrid w:val="0"/>
        <w:spacing w:line="560" w:lineRule="exact"/>
        <w:ind w:left="141" w:leftChars="67" w:firstLine="420" w:firstLineChars="150"/>
        <w:jc w:val="left"/>
        <w:rPr>
          <w:rFonts w:hint="eastAsia" w:ascii="仿宋_GB2312" w:hAnsi="宋体" w:eastAsia="仿宋_GB2312"/>
          <w:color w:val="auto"/>
          <w:sz w:val="28"/>
          <w:szCs w:val="28"/>
          <w:highlight w:val="none"/>
        </w:rPr>
      </w:pPr>
      <w:r>
        <w:rPr>
          <w:rFonts w:hint="eastAsia" w:ascii="仿宋_GB2312" w:hAnsi="Calibri" w:eastAsia="仿宋_GB2312"/>
          <w:color w:val="auto"/>
          <w:sz w:val="28"/>
          <w:szCs w:val="28"/>
          <w:highlight w:val="none"/>
        </w:rPr>
        <w:t>（十九）存在其他违反公共资源交易法律法规行为的。</w:t>
      </w:r>
    </w:p>
    <w:p w14:paraId="3FC3754F">
      <w:pPr>
        <w:adjustRightInd w:val="0"/>
        <w:snapToGrid w:val="0"/>
        <w:spacing w:line="560" w:lineRule="exact"/>
        <w:ind w:firstLine="894" w:firstLineChars="318"/>
        <w:jc w:val="left"/>
        <w:rPr>
          <w:rFonts w:hint="eastAsia" w:ascii="仿宋_GB2312" w:hAnsi="宋体" w:eastAsia="仿宋_GB2312"/>
          <w:b/>
          <w:color w:val="auto"/>
          <w:sz w:val="28"/>
          <w:szCs w:val="28"/>
          <w:highlight w:val="none"/>
        </w:rPr>
      </w:pPr>
      <w:r>
        <w:rPr>
          <w:rFonts w:hint="eastAsia" w:ascii="仿宋_GB2312" w:hAnsi="宋体" w:eastAsia="仿宋_GB2312"/>
          <w:b/>
          <w:color w:val="auto"/>
          <w:sz w:val="28"/>
          <w:szCs w:val="28"/>
          <w:highlight w:val="none"/>
        </w:rPr>
        <w:t>依据：《</w:t>
      </w:r>
      <w:bookmarkStart w:id="1583" w:name="OLE_LINK14"/>
      <w:bookmarkStart w:id="1584" w:name="OLE_LINK13"/>
      <w:r>
        <w:rPr>
          <w:rFonts w:hint="eastAsia" w:ascii="仿宋_GB2312" w:hAnsi="宋体" w:eastAsia="仿宋_GB2312"/>
          <w:b/>
          <w:color w:val="auto"/>
          <w:sz w:val="28"/>
          <w:szCs w:val="28"/>
          <w:highlight w:val="none"/>
        </w:rPr>
        <w:t>关于对公共资源交易领域严重失信主体开展联合惩戒的备忘录</w:t>
      </w:r>
      <w:bookmarkEnd w:id="1583"/>
      <w:bookmarkEnd w:id="1584"/>
      <w:r>
        <w:rPr>
          <w:rFonts w:hint="eastAsia" w:ascii="仿宋_GB2312" w:hAnsi="宋体" w:eastAsia="仿宋_GB2312"/>
          <w:b/>
          <w:color w:val="auto"/>
          <w:sz w:val="28"/>
          <w:szCs w:val="28"/>
          <w:highlight w:val="none"/>
        </w:rPr>
        <w:t>》（发改法规〔2018〕457号）</w:t>
      </w:r>
    </w:p>
    <w:p w14:paraId="072360DA">
      <w:pPr>
        <w:adjustRightInd w:val="0"/>
        <w:snapToGrid w:val="0"/>
        <w:spacing w:line="560" w:lineRule="exact"/>
        <w:ind w:firstLine="645"/>
        <w:jc w:val="left"/>
        <w:rPr>
          <w:rFonts w:hint="eastAsia" w:ascii="仿宋_GB2312" w:hAnsi="宋体" w:eastAsia="仿宋_GB2312"/>
          <w:color w:val="auto"/>
          <w:sz w:val="28"/>
          <w:szCs w:val="28"/>
          <w:highlight w:val="none"/>
        </w:rPr>
      </w:pPr>
    </w:p>
    <w:p w14:paraId="6F52A5D3">
      <w:pPr>
        <w:adjustRightInd w:val="0"/>
        <w:snapToGrid w:val="0"/>
        <w:spacing w:line="560" w:lineRule="exact"/>
        <w:ind w:firstLine="645"/>
        <w:jc w:val="left"/>
        <w:rPr>
          <w:rFonts w:hint="eastAsia" w:ascii="仿宋_GB2312" w:hAnsi="宋体" w:eastAsia="仿宋_GB2312"/>
          <w:b/>
          <w:bCs/>
          <w:color w:val="auto"/>
          <w:sz w:val="28"/>
          <w:szCs w:val="28"/>
          <w:highlight w:val="none"/>
        </w:rPr>
      </w:pPr>
      <w:r>
        <w:rPr>
          <w:rFonts w:hint="eastAsia" w:ascii="仿宋_GB2312" w:hAnsi="宋体" w:eastAsia="仿宋_GB2312"/>
          <w:b/>
          <w:color w:val="auto"/>
          <w:sz w:val="28"/>
          <w:szCs w:val="28"/>
          <w:highlight w:val="none"/>
        </w:rPr>
        <w:t>四、</w:t>
      </w:r>
      <w:r>
        <w:rPr>
          <w:rFonts w:hint="eastAsia" w:ascii="仿宋_GB2312" w:hAnsi="宋体" w:eastAsia="仿宋_GB2312"/>
          <w:b/>
          <w:bCs/>
          <w:color w:val="auto"/>
          <w:sz w:val="28"/>
          <w:szCs w:val="28"/>
          <w:highlight w:val="none"/>
        </w:rPr>
        <w:t>社会保险领域严重失信行为</w:t>
      </w:r>
    </w:p>
    <w:p w14:paraId="0619FBF1">
      <w:pPr>
        <w:adjustRightInd w:val="0"/>
        <w:snapToGrid w:val="0"/>
        <w:spacing w:line="560" w:lineRule="exact"/>
        <w:ind w:left="141" w:leftChars="67" w:firstLine="420" w:firstLineChars="150"/>
        <w:jc w:val="left"/>
        <w:rPr>
          <w:rFonts w:hint="eastAsia" w:ascii="仿宋_GB2312" w:hAnsi="Calibri" w:eastAsia="仿宋_GB2312"/>
          <w:color w:val="auto"/>
          <w:sz w:val="28"/>
          <w:szCs w:val="28"/>
          <w:highlight w:val="none"/>
        </w:rPr>
      </w:pPr>
      <w:r>
        <w:rPr>
          <w:rFonts w:hint="eastAsia" w:ascii="仿宋_GB2312" w:hAnsi="Calibri" w:eastAsia="仿宋_GB2312"/>
          <w:color w:val="auto"/>
          <w:sz w:val="28"/>
          <w:szCs w:val="28"/>
          <w:highlight w:val="none"/>
        </w:rPr>
        <w:t xml:space="preserve">（一）用人单位未按相关规定参加社会保险且拒不整改的； </w:t>
      </w:r>
    </w:p>
    <w:p w14:paraId="1E1E9B64">
      <w:pPr>
        <w:adjustRightInd w:val="0"/>
        <w:snapToGrid w:val="0"/>
        <w:spacing w:line="560" w:lineRule="exact"/>
        <w:ind w:left="141" w:leftChars="67" w:firstLine="420" w:firstLineChars="150"/>
        <w:jc w:val="left"/>
        <w:rPr>
          <w:rFonts w:hint="eastAsia" w:ascii="仿宋_GB2312" w:hAnsi="Calibri" w:eastAsia="仿宋_GB2312"/>
          <w:color w:val="auto"/>
          <w:sz w:val="28"/>
          <w:szCs w:val="28"/>
          <w:highlight w:val="none"/>
        </w:rPr>
      </w:pPr>
      <w:r>
        <w:rPr>
          <w:rFonts w:hint="eastAsia" w:ascii="仿宋_GB2312" w:hAnsi="Calibri" w:eastAsia="仿宋_GB2312"/>
          <w:color w:val="auto"/>
          <w:sz w:val="28"/>
          <w:szCs w:val="28"/>
          <w:highlight w:val="none"/>
        </w:rPr>
        <w:t xml:space="preserve">（二）用人单位未如实申报社会保险缴费基数且拒不整改的； </w:t>
      </w:r>
    </w:p>
    <w:p w14:paraId="2F0EB6DB">
      <w:pPr>
        <w:adjustRightInd w:val="0"/>
        <w:snapToGrid w:val="0"/>
        <w:spacing w:line="560" w:lineRule="exact"/>
        <w:ind w:left="141" w:leftChars="67" w:firstLine="420" w:firstLineChars="150"/>
        <w:jc w:val="left"/>
        <w:rPr>
          <w:rFonts w:hint="eastAsia" w:ascii="仿宋_GB2312" w:hAnsi="Calibri" w:eastAsia="仿宋_GB2312"/>
          <w:color w:val="auto"/>
          <w:sz w:val="28"/>
          <w:szCs w:val="28"/>
          <w:highlight w:val="none"/>
        </w:rPr>
      </w:pPr>
      <w:r>
        <w:rPr>
          <w:rFonts w:hint="eastAsia" w:ascii="仿宋_GB2312" w:hAnsi="Calibri" w:eastAsia="仿宋_GB2312"/>
          <w:color w:val="auto"/>
          <w:sz w:val="28"/>
          <w:szCs w:val="28"/>
          <w:highlight w:val="none"/>
        </w:rPr>
        <w:t xml:space="preserve">（三）应缴纳社会保险费却拒不缴纳的； </w:t>
      </w:r>
    </w:p>
    <w:p w14:paraId="76407D42">
      <w:pPr>
        <w:adjustRightInd w:val="0"/>
        <w:snapToGrid w:val="0"/>
        <w:spacing w:line="560" w:lineRule="exact"/>
        <w:ind w:left="141" w:leftChars="67" w:firstLine="420" w:firstLineChars="150"/>
        <w:jc w:val="left"/>
        <w:rPr>
          <w:rFonts w:hint="eastAsia" w:ascii="仿宋_GB2312" w:hAnsi="Calibri" w:eastAsia="仿宋_GB2312"/>
          <w:color w:val="auto"/>
          <w:sz w:val="28"/>
          <w:szCs w:val="28"/>
          <w:highlight w:val="none"/>
        </w:rPr>
      </w:pPr>
      <w:r>
        <w:rPr>
          <w:rFonts w:hint="eastAsia" w:ascii="仿宋_GB2312" w:hAnsi="Calibri" w:eastAsia="仿宋_GB2312"/>
          <w:color w:val="auto"/>
          <w:sz w:val="28"/>
          <w:szCs w:val="28"/>
          <w:highlight w:val="none"/>
        </w:rPr>
        <w:t>（四）隐匿、转移、侵占、挪用社会保险费款、基金或者违规投资运营的；</w:t>
      </w:r>
    </w:p>
    <w:p w14:paraId="1FC31809">
      <w:pPr>
        <w:adjustRightInd w:val="0"/>
        <w:snapToGrid w:val="0"/>
        <w:spacing w:line="560" w:lineRule="exact"/>
        <w:ind w:left="141" w:leftChars="67" w:firstLine="420" w:firstLineChars="150"/>
        <w:jc w:val="left"/>
        <w:rPr>
          <w:rFonts w:hint="eastAsia" w:ascii="仿宋_GB2312" w:hAnsi="Calibri" w:eastAsia="仿宋_GB2312"/>
          <w:color w:val="auto"/>
          <w:sz w:val="28"/>
          <w:szCs w:val="28"/>
          <w:highlight w:val="none"/>
        </w:rPr>
      </w:pPr>
      <w:r>
        <w:rPr>
          <w:rFonts w:hint="eastAsia" w:ascii="仿宋_GB2312" w:hAnsi="Calibri" w:eastAsia="仿宋_GB2312"/>
          <w:color w:val="auto"/>
          <w:sz w:val="28"/>
          <w:szCs w:val="28"/>
          <w:highlight w:val="none"/>
        </w:rPr>
        <w:t xml:space="preserve">（五）以欺诈、伪造证明材料或者其他手段参加、申报社会保险和骗取社会保险基金支出或社会保险待遇的； </w:t>
      </w:r>
    </w:p>
    <w:p w14:paraId="327DB42E">
      <w:pPr>
        <w:adjustRightInd w:val="0"/>
        <w:snapToGrid w:val="0"/>
        <w:spacing w:line="560" w:lineRule="exact"/>
        <w:ind w:left="141" w:leftChars="67" w:firstLine="420" w:firstLineChars="150"/>
        <w:jc w:val="left"/>
        <w:rPr>
          <w:rFonts w:hint="eastAsia" w:ascii="仿宋_GB2312" w:hAnsi="Calibri" w:eastAsia="仿宋_GB2312"/>
          <w:color w:val="auto"/>
          <w:sz w:val="28"/>
          <w:szCs w:val="28"/>
          <w:highlight w:val="none"/>
        </w:rPr>
      </w:pPr>
      <w:r>
        <w:rPr>
          <w:rFonts w:hint="eastAsia" w:ascii="仿宋_GB2312" w:hAnsi="Calibri" w:eastAsia="仿宋_GB2312"/>
          <w:color w:val="auto"/>
          <w:sz w:val="28"/>
          <w:szCs w:val="28"/>
          <w:highlight w:val="none"/>
        </w:rPr>
        <w:t xml:space="preserve">（六）非法获取、出售或变相交易社会保险个人权益数据的； </w:t>
      </w:r>
    </w:p>
    <w:p w14:paraId="5C283C81">
      <w:pPr>
        <w:adjustRightInd w:val="0"/>
        <w:snapToGrid w:val="0"/>
        <w:spacing w:line="560" w:lineRule="exact"/>
        <w:ind w:left="141" w:leftChars="67" w:firstLine="420" w:firstLineChars="150"/>
        <w:jc w:val="left"/>
        <w:rPr>
          <w:rFonts w:hint="eastAsia" w:ascii="仿宋_GB2312" w:hAnsi="Calibri" w:eastAsia="仿宋_GB2312"/>
          <w:color w:val="auto"/>
          <w:sz w:val="28"/>
          <w:szCs w:val="28"/>
          <w:highlight w:val="none"/>
        </w:rPr>
      </w:pPr>
      <w:r>
        <w:rPr>
          <w:rFonts w:hint="eastAsia" w:ascii="仿宋_GB2312" w:hAnsi="Calibri" w:eastAsia="仿宋_GB2312"/>
          <w:color w:val="auto"/>
          <w:sz w:val="28"/>
          <w:szCs w:val="28"/>
          <w:highlight w:val="none"/>
        </w:rPr>
        <w:t xml:space="preserve">（七）社会保险服务机构违反服务协议或相关规定的； </w:t>
      </w:r>
    </w:p>
    <w:p w14:paraId="355BE91C">
      <w:pPr>
        <w:adjustRightInd w:val="0"/>
        <w:snapToGrid w:val="0"/>
        <w:spacing w:line="560" w:lineRule="exact"/>
        <w:ind w:left="141" w:leftChars="67" w:firstLine="420" w:firstLineChars="150"/>
        <w:jc w:val="left"/>
        <w:rPr>
          <w:rFonts w:hint="eastAsia" w:ascii="仿宋_GB2312" w:hAnsi="Calibri" w:eastAsia="仿宋_GB2312"/>
          <w:color w:val="auto"/>
          <w:sz w:val="28"/>
          <w:szCs w:val="28"/>
          <w:highlight w:val="none"/>
        </w:rPr>
      </w:pPr>
      <w:r>
        <w:rPr>
          <w:rFonts w:hint="eastAsia" w:ascii="仿宋_GB2312" w:hAnsi="Calibri" w:eastAsia="仿宋_GB2312"/>
          <w:color w:val="auto"/>
          <w:sz w:val="28"/>
          <w:szCs w:val="28"/>
          <w:highlight w:val="none"/>
        </w:rPr>
        <w:t xml:space="preserve">（八）拒绝协助社会保险行政部门、经办机构对事故和问题进 行调查核实的；拒绝接受或协助税务部门对社会保险实施监督检查， 不如实提供与社会保险相关各项资料的； </w:t>
      </w:r>
    </w:p>
    <w:p w14:paraId="5C5D81C0">
      <w:pPr>
        <w:adjustRightInd w:val="0"/>
        <w:snapToGrid w:val="0"/>
        <w:spacing w:line="560" w:lineRule="exact"/>
        <w:ind w:left="141" w:leftChars="67" w:firstLine="420" w:firstLineChars="150"/>
        <w:jc w:val="left"/>
        <w:rPr>
          <w:rFonts w:hint="eastAsia" w:ascii="仿宋_GB2312" w:hAnsi="Calibri" w:eastAsia="仿宋_GB2312"/>
          <w:color w:val="auto"/>
          <w:sz w:val="28"/>
          <w:szCs w:val="28"/>
          <w:highlight w:val="none"/>
        </w:rPr>
      </w:pPr>
      <w:r>
        <w:rPr>
          <w:rFonts w:hint="eastAsia" w:ascii="仿宋_GB2312" w:hAnsi="Calibri" w:eastAsia="仿宋_GB2312"/>
          <w:color w:val="auto"/>
          <w:sz w:val="28"/>
          <w:szCs w:val="28"/>
          <w:highlight w:val="none"/>
        </w:rPr>
        <w:t>（九）其他违反法律法规规定的。</w:t>
      </w:r>
    </w:p>
    <w:p w14:paraId="100C538D">
      <w:pPr>
        <w:adjustRightInd w:val="0"/>
        <w:snapToGrid w:val="0"/>
        <w:spacing w:line="560" w:lineRule="exact"/>
        <w:ind w:firstLine="551" w:firstLineChars="196"/>
        <w:jc w:val="left"/>
        <w:rPr>
          <w:rFonts w:hint="eastAsia" w:ascii="仿宋_GB2312" w:hAnsi="Calibri" w:eastAsia="仿宋_GB2312"/>
          <w:color w:val="auto"/>
          <w:sz w:val="28"/>
          <w:szCs w:val="28"/>
          <w:highlight w:val="none"/>
        </w:rPr>
      </w:pPr>
      <w:r>
        <w:rPr>
          <w:rFonts w:hint="eastAsia" w:ascii="仿宋_GB2312" w:hAnsi="Calibri" w:eastAsia="仿宋_GB2312"/>
          <w:b/>
          <w:color w:val="auto"/>
          <w:sz w:val="28"/>
          <w:szCs w:val="28"/>
          <w:highlight w:val="none"/>
        </w:rPr>
        <w:t>依据：《</w:t>
      </w:r>
      <w:bookmarkStart w:id="1585" w:name="OLE_LINK15"/>
      <w:bookmarkStart w:id="1586" w:name="OLE_LINK16"/>
      <w:r>
        <w:rPr>
          <w:rFonts w:hint="eastAsia" w:ascii="仿宋_GB2312" w:hAnsi="Calibri" w:eastAsia="仿宋_GB2312"/>
          <w:b/>
          <w:color w:val="auto"/>
          <w:sz w:val="28"/>
          <w:szCs w:val="28"/>
          <w:highlight w:val="none"/>
        </w:rPr>
        <w:t>关于对社会保险领域严重失信企业及其有关人员实施联合惩戒的合作备忘录</w:t>
      </w:r>
      <w:bookmarkEnd w:id="1585"/>
      <w:bookmarkEnd w:id="1586"/>
      <w:r>
        <w:rPr>
          <w:rFonts w:hint="eastAsia" w:ascii="仿宋_GB2312" w:hAnsi="Calibri" w:eastAsia="仿宋_GB2312"/>
          <w:b/>
          <w:color w:val="auto"/>
          <w:sz w:val="28"/>
          <w:szCs w:val="28"/>
          <w:highlight w:val="none"/>
        </w:rPr>
        <w:t>》（发改财金〔2018〕1704号）</w:t>
      </w:r>
    </w:p>
    <w:p w14:paraId="46637090">
      <w:pPr>
        <w:adjustRightInd w:val="0"/>
        <w:snapToGrid w:val="0"/>
        <w:spacing w:line="560" w:lineRule="exact"/>
        <w:jc w:val="left"/>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 xml:space="preserve">     </w:t>
      </w:r>
    </w:p>
    <w:p w14:paraId="43CECB76">
      <w:pPr>
        <w:adjustRightInd w:val="0"/>
        <w:snapToGrid w:val="0"/>
        <w:spacing w:line="560" w:lineRule="exact"/>
        <w:ind w:firstLine="562" w:firstLineChars="200"/>
        <w:jc w:val="left"/>
        <w:rPr>
          <w:rFonts w:hint="eastAsia" w:ascii="仿宋_GB2312" w:hAnsi="宋体" w:eastAsia="仿宋_GB2312"/>
          <w:b/>
          <w:bCs/>
          <w:color w:val="auto"/>
          <w:sz w:val="28"/>
          <w:szCs w:val="28"/>
          <w:highlight w:val="none"/>
        </w:rPr>
      </w:pPr>
      <w:r>
        <w:rPr>
          <w:rFonts w:hint="eastAsia" w:ascii="仿宋_GB2312" w:hAnsi="宋体" w:eastAsia="仿宋_GB2312"/>
          <w:b/>
          <w:color w:val="auto"/>
          <w:sz w:val="28"/>
          <w:szCs w:val="28"/>
          <w:highlight w:val="none"/>
        </w:rPr>
        <w:t>五、建筑市场领域</w:t>
      </w:r>
      <w:r>
        <w:rPr>
          <w:rFonts w:hint="eastAsia" w:ascii="仿宋_GB2312" w:hAnsi="宋体" w:eastAsia="仿宋_GB2312"/>
          <w:b/>
          <w:bCs/>
          <w:color w:val="auto"/>
          <w:sz w:val="28"/>
          <w:szCs w:val="28"/>
          <w:highlight w:val="none"/>
        </w:rPr>
        <w:t>严重失信行为</w:t>
      </w:r>
    </w:p>
    <w:p w14:paraId="1E966E0C">
      <w:pPr>
        <w:adjustRightInd w:val="0"/>
        <w:snapToGrid w:val="0"/>
        <w:spacing w:line="560" w:lineRule="exact"/>
        <w:ind w:firstLine="560" w:firstLineChars="200"/>
        <w:jc w:val="left"/>
        <w:rPr>
          <w:rFonts w:hint="eastAsia" w:ascii="仿宋_GB2312" w:hAnsi="Calibri" w:eastAsia="仿宋_GB2312"/>
          <w:color w:val="auto"/>
          <w:sz w:val="28"/>
          <w:szCs w:val="28"/>
          <w:highlight w:val="none"/>
        </w:rPr>
      </w:pPr>
      <w:r>
        <w:rPr>
          <w:rFonts w:hint="eastAsia" w:ascii="仿宋_GB2312" w:hAnsi="Calibri" w:eastAsia="仿宋_GB2312"/>
          <w:color w:val="auto"/>
          <w:sz w:val="28"/>
          <w:szCs w:val="28"/>
          <w:highlight w:val="none"/>
        </w:rPr>
        <w:t>（一）利用虚假材料、以欺骗手段取得企业资质的；</w:t>
      </w:r>
    </w:p>
    <w:p w14:paraId="26F015D3">
      <w:pPr>
        <w:adjustRightInd w:val="0"/>
        <w:snapToGrid w:val="0"/>
        <w:spacing w:line="560" w:lineRule="exact"/>
        <w:ind w:firstLine="560" w:firstLineChars="200"/>
        <w:jc w:val="left"/>
        <w:rPr>
          <w:rFonts w:hint="eastAsia" w:ascii="仿宋_GB2312" w:hAnsi="Calibri" w:eastAsia="仿宋_GB2312"/>
          <w:color w:val="auto"/>
          <w:sz w:val="28"/>
          <w:szCs w:val="28"/>
          <w:highlight w:val="none"/>
        </w:rPr>
      </w:pPr>
      <w:r>
        <w:rPr>
          <w:rFonts w:hint="eastAsia" w:ascii="仿宋_GB2312" w:hAnsi="Calibri" w:eastAsia="仿宋_GB2312"/>
          <w:color w:val="auto"/>
          <w:sz w:val="28"/>
          <w:szCs w:val="28"/>
          <w:highlight w:val="none"/>
        </w:rPr>
        <w:t>（二）发生转包、出借资质，受到行政处罚的；</w:t>
      </w:r>
    </w:p>
    <w:p w14:paraId="20B68384">
      <w:pPr>
        <w:adjustRightInd w:val="0"/>
        <w:snapToGrid w:val="0"/>
        <w:spacing w:line="560" w:lineRule="exact"/>
        <w:ind w:firstLine="560" w:firstLineChars="200"/>
        <w:jc w:val="left"/>
        <w:rPr>
          <w:rFonts w:hint="eastAsia" w:ascii="仿宋_GB2312" w:hAnsi="Calibri" w:eastAsia="仿宋_GB2312"/>
          <w:color w:val="auto"/>
          <w:sz w:val="28"/>
          <w:szCs w:val="28"/>
          <w:highlight w:val="none"/>
        </w:rPr>
      </w:pPr>
      <w:r>
        <w:rPr>
          <w:rFonts w:hint="eastAsia" w:ascii="仿宋_GB2312" w:hAnsi="Calibri" w:eastAsia="仿宋_GB2312"/>
          <w:color w:val="auto"/>
          <w:sz w:val="28"/>
          <w:szCs w:val="28"/>
          <w:highlight w:val="none"/>
        </w:rPr>
        <w:t>（三）发生重大及以上工程质量安全事故，或1年内累计发生2次及以上较大工程质量安全事故，或发生性质恶劣、危害性严重、社会影响大的较大工程质量安全事故，受到行政处罚的；</w:t>
      </w:r>
    </w:p>
    <w:p w14:paraId="5F089954">
      <w:pPr>
        <w:adjustRightInd w:val="0"/>
        <w:snapToGrid w:val="0"/>
        <w:spacing w:line="560" w:lineRule="exact"/>
        <w:ind w:firstLine="560" w:firstLineChars="200"/>
        <w:jc w:val="left"/>
        <w:rPr>
          <w:rFonts w:hint="eastAsia" w:ascii="仿宋_GB2312" w:hAnsi="Calibri" w:eastAsia="仿宋_GB2312"/>
          <w:color w:val="auto"/>
          <w:sz w:val="28"/>
          <w:szCs w:val="28"/>
          <w:highlight w:val="none"/>
        </w:rPr>
      </w:pPr>
      <w:r>
        <w:rPr>
          <w:rFonts w:hint="eastAsia" w:ascii="仿宋_GB2312" w:hAnsi="Calibri" w:eastAsia="仿宋_GB2312"/>
          <w:color w:val="auto"/>
          <w:sz w:val="28"/>
          <w:szCs w:val="28"/>
          <w:highlight w:val="none"/>
        </w:rPr>
        <w:t>（四）经法院判决或仲裁机构裁决，认定为拖欠工程款,且拒不履行生效法律文书确定的义务的。</w:t>
      </w:r>
    </w:p>
    <w:p w14:paraId="2DCFBD29">
      <w:pPr>
        <w:adjustRightInd w:val="0"/>
        <w:snapToGrid w:val="0"/>
        <w:spacing w:line="560" w:lineRule="exact"/>
        <w:ind w:firstLine="560" w:firstLineChars="200"/>
        <w:jc w:val="left"/>
        <w:rPr>
          <w:rFonts w:hint="eastAsia" w:ascii="仿宋_GB2312" w:hAnsi="Calibri" w:eastAsia="仿宋_GB2312"/>
          <w:color w:val="auto"/>
          <w:sz w:val="28"/>
          <w:szCs w:val="28"/>
          <w:highlight w:val="none"/>
        </w:rPr>
      </w:pPr>
      <w:r>
        <w:rPr>
          <w:rFonts w:hint="eastAsia" w:ascii="仿宋_GB2312" w:hAnsi="Calibri" w:eastAsia="仿宋_GB2312"/>
          <w:color w:val="auto"/>
          <w:sz w:val="28"/>
          <w:szCs w:val="28"/>
          <w:highlight w:val="none"/>
        </w:rPr>
        <w:t>各级住房城乡建设主管部门应当参照建筑市场主体“黑名单”，对被人力资源社会保障行政部门列入拖欠农民工工资“黑名单”的建筑市场各方主体加强监管。</w:t>
      </w:r>
    </w:p>
    <w:p w14:paraId="37219A1A">
      <w:pPr>
        <w:ind w:firstLine="562" w:firstLineChars="200"/>
        <w:jc w:val="left"/>
        <w:rPr>
          <w:rFonts w:hint="eastAsia" w:ascii="宋体" w:hAnsi="宋体"/>
          <w:color w:val="auto"/>
          <w:sz w:val="28"/>
          <w:szCs w:val="28"/>
          <w:highlight w:val="none"/>
        </w:rPr>
      </w:pPr>
      <w:r>
        <w:rPr>
          <w:rFonts w:hint="eastAsia" w:ascii="仿宋_GB2312" w:hAnsi="Calibri" w:eastAsia="仿宋_GB2312"/>
          <w:b/>
          <w:color w:val="auto"/>
          <w:sz w:val="28"/>
          <w:szCs w:val="28"/>
          <w:highlight w:val="none"/>
        </w:rPr>
        <w:t>依据：《</w:t>
      </w:r>
      <w:bookmarkStart w:id="1587" w:name="OLE_LINK17"/>
      <w:bookmarkStart w:id="1588" w:name="OLE_LINK18"/>
      <w:r>
        <w:rPr>
          <w:rFonts w:hint="eastAsia" w:ascii="仿宋_GB2312" w:hAnsi="Calibri" w:eastAsia="仿宋_GB2312"/>
          <w:b/>
          <w:color w:val="auto"/>
          <w:sz w:val="28"/>
          <w:szCs w:val="28"/>
          <w:highlight w:val="none"/>
        </w:rPr>
        <w:t>建筑市场信用管理暂行办法</w:t>
      </w:r>
      <w:bookmarkEnd w:id="1587"/>
      <w:bookmarkEnd w:id="1588"/>
      <w:r>
        <w:rPr>
          <w:rFonts w:hint="eastAsia" w:ascii="仿宋_GB2312" w:hAnsi="Calibri" w:eastAsia="仿宋_GB2312"/>
          <w:b/>
          <w:color w:val="auto"/>
          <w:sz w:val="28"/>
          <w:szCs w:val="28"/>
          <w:highlight w:val="none"/>
        </w:rPr>
        <w:t>》（建市〔2017〕241号）</w:t>
      </w:r>
    </w:p>
    <w:p w14:paraId="04A4A0F5">
      <w:pPr>
        <w:adjustRightInd w:val="0"/>
        <w:snapToGrid w:val="0"/>
        <w:spacing w:line="560" w:lineRule="exact"/>
        <w:rPr>
          <w:rFonts w:hint="eastAsia" w:ascii="仿宋_GB2312" w:hAnsi="宋体" w:eastAsia="仿宋_GB2312"/>
          <w:b/>
          <w:color w:val="auto"/>
          <w:sz w:val="28"/>
          <w:szCs w:val="28"/>
          <w:highlight w:val="none"/>
        </w:rPr>
      </w:pPr>
    </w:p>
    <w:p w14:paraId="55AA6FEE">
      <w:pPr>
        <w:adjustRightInd w:val="0"/>
        <w:snapToGrid w:val="0"/>
        <w:spacing w:line="560" w:lineRule="exact"/>
        <w:ind w:firstLine="562" w:firstLineChars="200"/>
        <w:rPr>
          <w:rFonts w:hint="eastAsia" w:ascii="仿宋_GB2312" w:hAnsi="宋体" w:eastAsia="仿宋_GB2312"/>
          <w:b/>
          <w:color w:val="auto"/>
          <w:sz w:val="28"/>
          <w:szCs w:val="28"/>
          <w:highlight w:val="none"/>
        </w:rPr>
      </w:pPr>
      <w:r>
        <w:rPr>
          <w:rFonts w:hint="eastAsia" w:ascii="仿宋_GB2312" w:hAnsi="宋体" w:eastAsia="仿宋_GB2312"/>
          <w:b/>
          <w:color w:val="auto"/>
          <w:sz w:val="28"/>
          <w:szCs w:val="28"/>
          <w:highlight w:val="none"/>
        </w:rPr>
        <w:t>六、</w:t>
      </w:r>
      <w:bookmarkStart w:id="1589" w:name="OLE_LINK19"/>
      <w:bookmarkStart w:id="1590" w:name="OLE_LINK20"/>
      <w:r>
        <w:rPr>
          <w:rFonts w:hint="eastAsia" w:ascii="仿宋_GB2312" w:hAnsi="宋体" w:eastAsia="仿宋_GB2312"/>
          <w:b/>
          <w:color w:val="auto"/>
          <w:sz w:val="28"/>
          <w:szCs w:val="28"/>
          <w:highlight w:val="none"/>
        </w:rPr>
        <w:t>政府采购严重失信行为</w:t>
      </w:r>
      <w:bookmarkEnd w:id="1589"/>
      <w:bookmarkEnd w:id="1590"/>
    </w:p>
    <w:p w14:paraId="10C0A3AC">
      <w:pPr>
        <w:adjustRightInd w:val="0"/>
        <w:snapToGrid w:val="0"/>
        <w:spacing w:line="560" w:lineRule="exact"/>
        <w:ind w:firstLine="615"/>
        <w:rPr>
          <w:rFonts w:hint="eastAsia" w:ascii="仿宋_GB2312" w:hAnsi="Calibri" w:eastAsia="仿宋_GB2312"/>
          <w:color w:val="auto"/>
          <w:sz w:val="28"/>
          <w:szCs w:val="28"/>
          <w:highlight w:val="none"/>
        </w:rPr>
      </w:pPr>
      <w:r>
        <w:rPr>
          <w:rFonts w:hint="eastAsia" w:ascii="仿宋_GB2312" w:hAnsi="Calibri" w:eastAsia="仿宋_GB2312"/>
          <w:color w:val="auto"/>
          <w:sz w:val="28"/>
          <w:szCs w:val="28"/>
          <w:highlight w:val="none"/>
        </w:rPr>
        <w:t>供应商、采购代理机构在三年内受到财政部门作出下列情形之一的行政处罚，列入政府采购严重违法失信行为记录名单。</w:t>
      </w:r>
      <w:r>
        <w:rPr>
          <w:rFonts w:hint="eastAsia" w:ascii="仿宋_GB2312" w:hAnsi="Calibri" w:eastAsia="仿宋_GB2312"/>
          <w:color w:val="auto"/>
          <w:sz w:val="28"/>
          <w:szCs w:val="28"/>
          <w:highlight w:val="none"/>
        </w:rPr>
        <w:br w:type="textWrapping"/>
      </w:r>
      <w:r>
        <w:rPr>
          <w:rFonts w:hint="eastAsia" w:ascii="仿宋_GB2312" w:hAnsi="Calibri" w:eastAsia="仿宋_GB2312"/>
          <w:color w:val="auto"/>
          <w:sz w:val="28"/>
          <w:szCs w:val="28"/>
          <w:highlight w:val="none"/>
        </w:rPr>
        <w:t>　　（一）三万元以上罚款；</w:t>
      </w:r>
      <w:r>
        <w:rPr>
          <w:rFonts w:hint="eastAsia" w:ascii="仿宋_GB2312" w:hAnsi="Calibri" w:eastAsia="仿宋_GB2312"/>
          <w:color w:val="auto"/>
          <w:sz w:val="28"/>
          <w:szCs w:val="28"/>
          <w:highlight w:val="none"/>
        </w:rPr>
        <w:br w:type="textWrapping"/>
      </w:r>
      <w:r>
        <w:rPr>
          <w:rFonts w:hint="eastAsia" w:ascii="仿宋_GB2312" w:hAnsi="Calibri" w:eastAsia="仿宋_GB2312"/>
          <w:color w:val="auto"/>
          <w:sz w:val="28"/>
          <w:szCs w:val="28"/>
          <w:highlight w:val="none"/>
        </w:rPr>
        <w:t>　　（二）在一至三年内禁止参加政府采购活动（处罚期限届满的除外）；</w:t>
      </w:r>
      <w:r>
        <w:rPr>
          <w:rFonts w:hint="eastAsia" w:ascii="仿宋_GB2312" w:hAnsi="Calibri" w:eastAsia="仿宋_GB2312"/>
          <w:color w:val="auto"/>
          <w:sz w:val="28"/>
          <w:szCs w:val="28"/>
          <w:highlight w:val="none"/>
        </w:rPr>
        <w:br w:type="textWrapping"/>
      </w:r>
      <w:r>
        <w:rPr>
          <w:rFonts w:hint="eastAsia" w:ascii="仿宋_GB2312" w:hAnsi="Calibri" w:eastAsia="仿宋_GB2312"/>
          <w:color w:val="auto"/>
          <w:sz w:val="28"/>
          <w:szCs w:val="28"/>
          <w:highlight w:val="none"/>
        </w:rPr>
        <w:t>　　（三）在一至三年内禁止代理政府采购业务（处罚期限届满的除外）；</w:t>
      </w:r>
      <w:r>
        <w:rPr>
          <w:rFonts w:hint="eastAsia" w:ascii="仿宋_GB2312" w:hAnsi="Calibri" w:eastAsia="仿宋_GB2312"/>
          <w:color w:val="auto"/>
          <w:sz w:val="28"/>
          <w:szCs w:val="28"/>
          <w:highlight w:val="none"/>
        </w:rPr>
        <w:br w:type="textWrapping"/>
      </w:r>
      <w:r>
        <w:rPr>
          <w:rFonts w:hint="eastAsia" w:ascii="仿宋_GB2312" w:hAnsi="宋体" w:eastAsia="仿宋_GB2312"/>
          <w:color w:val="auto"/>
          <w:sz w:val="28"/>
          <w:szCs w:val="28"/>
          <w:highlight w:val="none"/>
        </w:rPr>
        <w:t xml:space="preserve">　 </w:t>
      </w:r>
      <w:r>
        <w:rPr>
          <w:rFonts w:hint="eastAsia" w:ascii="仿宋_GB2312" w:hAnsi="Calibri" w:eastAsia="仿宋_GB2312"/>
          <w:color w:val="auto"/>
          <w:sz w:val="28"/>
          <w:szCs w:val="28"/>
          <w:highlight w:val="none"/>
        </w:rPr>
        <w:t>（四）撤销政府采购代理机构资格（仅针对《政府采购法》第78条修改前作出的处罚决定）。</w:t>
      </w:r>
    </w:p>
    <w:p w14:paraId="0D9C8F56">
      <w:pPr>
        <w:adjustRightInd w:val="0"/>
        <w:snapToGrid w:val="0"/>
        <w:spacing w:line="560" w:lineRule="exact"/>
        <w:ind w:firstLine="562" w:firstLineChars="200"/>
        <w:jc w:val="left"/>
        <w:rPr>
          <w:rFonts w:hint="eastAsia" w:ascii="仿宋_GB2312" w:hAnsi="Calibri" w:eastAsia="仿宋_GB2312"/>
          <w:b/>
          <w:color w:val="auto"/>
          <w:sz w:val="28"/>
          <w:szCs w:val="28"/>
          <w:highlight w:val="none"/>
        </w:rPr>
      </w:pPr>
      <w:r>
        <w:rPr>
          <w:rFonts w:hint="eastAsia" w:ascii="仿宋_GB2312" w:hAnsi="Calibri" w:eastAsia="仿宋_GB2312"/>
          <w:b/>
          <w:color w:val="auto"/>
          <w:sz w:val="28"/>
          <w:szCs w:val="28"/>
          <w:highlight w:val="none"/>
        </w:rPr>
        <w:t>依据：《关于报送政府采购严重违法失信行为信息记录的通知》</w:t>
      </w:r>
      <w:r>
        <w:rPr>
          <w:rFonts w:hint="eastAsia" w:ascii="Calibri" w:hAnsi="Calibri"/>
          <w:b/>
          <w:color w:val="auto"/>
          <w:sz w:val="28"/>
          <w:szCs w:val="28"/>
          <w:highlight w:val="none"/>
        </w:rPr>
        <w:t>（财办库〔</w:t>
      </w:r>
      <w:r>
        <w:rPr>
          <w:rFonts w:ascii="Calibri" w:hAnsi="Calibri"/>
          <w:b/>
          <w:color w:val="auto"/>
          <w:sz w:val="28"/>
          <w:szCs w:val="28"/>
          <w:highlight w:val="none"/>
        </w:rPr>
        <w:t>2014</w:t>
      </w:r>
      <w:r>
        <w:rPr>
          <w:rFonts w:hint="eastAsia" w:ascii="Calibri" w:hAnsi="Calibri"/>
          <w:b/>
          <w:color w:val="auto"/>
          <w:sz w:val="28"/>
          <w:szCs w:val="28"/>
          <w:highlight w:val="none"/>
        </w:rPr>
        <w:t>〕</w:t>
      </w:r>
      <w:r>
        <w:rPr>
          <w:rFonts w:ascii="Calibri" w:hAnsi="Calibri"/>
          <w:b/>
          <w:color w:val="auto"/>
          <w:sz w:val="28"/>
          <w:szCs w:val="28"/>
          <w:highlight w:val="none"/>
        </w:rPr>
        <w:t>526</w:t>
      </w:r>
      <w:r>
        <w:rPr>
          <w:rFonts w:hint="eastAsia" w:ascii="Calibri" w:hAnsi="Calibri"/>
          <w:b/>
          <w:color w:val="auto"/>
          <w:sz w:val="28"/>
          <w:szCs w:val="28"/>
          <w:highlight w:val="none"/>
        </w:rPr>
        <w:t>号）</w:t>
      </w:r>
    </w:p>
    <w:p w14:paraId="12592644">
      <w:pPr>
        <w:adjustRightInd w:val="0"/>
        <w:snapToGrid w:val="0"/>
        <w:spacing w:line="560" w:lineRule="exact"/>
        <w:rPr>
          <w:rFonts w:hint="eastAsia" w:ascii="仿宋_GB2312" w:hAnsi="宋体" w:eastAsia="仿宋_GB2312"/>
          <w:b/>
          <w:color w:val="auto"/>
          <w:sz w:val="28"/>
          <w:szCs w:val="28"/>
          <w:highlight w:val="none"/>
        </w:rPr>
      </w:pPr>
    </w:p>
    <w:p w14:paraId="3B22875A">
      <w:pPr>
        <w:adjustRightInd w:val="0"/>
        <w:snapToGrid w:val="0"/>
        <w:spacing w:line="560" w:lineRule="exact"/>
        <w:ind w:firstLine="615"/>
        <w:rPr>
          <w:rFonts w:hint="eastAsia" w:ascii="仿宋_GB2312" w:hAnsi="Calibri" w:eastAsia="仿宋_GB2312"/>
          <w:b/>
          <w:color w:val="auto"/>
          <w:sz w:val="32"/>
          <w:szCs w:val="32"/>
          <w:highlight w:val="none"/>
        </w:rPr>
      </w:pPr>
      <w:r>
        <w:rPr>
          <w:rFonts w:hint="eastAsia" w:ascii="仿宋_GB2312" w:hAnsi="宋体" w:eastAsia="仿宋_GB2312"/>
          <w:b/>
          <w:color w:val="auto"/>
          <w:sz w:val="28"/>
          <w:szCs w:val="28"/>
          <w:highlight w:val="none"/>
        </w:rPr>
        <w:t>未列出的其他类别严重失信行为，由招标人（代理机构）根据各类别行业主管部门下发的联合惩戒文件进行判</w:t>
      </w:r>
      <w:r>
        <w:rPr>
          <w:rFonts w:hint="eastAsia" w:ascii="仿宋_GB2312" w:hAnsi="宋体" w:eastAsia="仿宋_GB2312"/>
          <w:b/>
          <w:color w:val="auto"/>
          <w:sz w:val="32"/>
          <w:szCs w:val="32"/>
          <w:highlight w:val="none"/>
        </w:rPr>
        <w:t>断。</w:t>
      </w:r>
    </w:p>
    <w:p w14:paraId="0AA939ED">
      <w:pPr>
        <w:pStyle w:val="2"/>
        <w:spacing w:before="200" w:after="200" w:line="600" w:lineRule="exact"/>
        <w:rPr>
          <w:rFonts w:hint="eastAsia" w:ascii="仿宋_GB2312" w:eastAsia="仿宋_GB2312"/>
          <w:b w:val="0"/>
          <w:color w:val="auto"/>
          <w:sz w:val="32"/>
          <w:szCs w:val="32"/>
          <w:highlight w:val="none"/>
        </w:rPr>
      </w:pPr>
    </w:p>
    <w:p w14:paraId="73BFE545">
      <w:pPr>
        <w:rPr>
          <w:color w:val="auto"/>
          <w:highlight w:val="none"/>
        </w:rPr>
      </w:pPr>
    </w:p>
    <w:sectPr>
      <w:pgSz w:w="11906" w:h="16838"/>
      <w:pgMar w:top="1134" w:right="1417" w:bottom="1134" w:left="1417"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5A89574-CD2A-4D36-BDE1-3B7029BCB69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2B18BB14-0A1F-4D5E-99FE-277E06747777}"/>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6FF" w:usb1="420024FF" w:usb2="02000000" w:usb3="00000000" w:csb0="2000019F" w:csb1="00000000"/>
  </w:font>
  <w:font w:name="MS Mincho">
    <w:panose1 w:val="02020609040205080304"/>
    <w:charset w:val="80"/>
    <w:family w:val="modern"/>
    <w:pitch w:val="default"/>
    <w:sig w:usb0="A00002BF" w:usb1="68C7FCFB" w:usb2="00000010" w:usb3="00000000" w:csb0="4002009F" w:csb1="DFD70000"/>
    <w:embedRegular r:id="rId3" w:fontKey="{83CA0478-5193-46F5-8F02-224A873211F4}"/>
  </w:font>
  <w:font w:name="仿宋_GB2312">
    <w:panose1 w:val="02010609030101010101"/>
    <w:charset w:val="86"/>
    <w:family w:val="modern"/>
    <w:pitch w:val="default"/>
    <w:sig w:usb0="00000001" w:usb1="080E0000" w:usb2="00000000" w:usb3="00000000" w:csb0="00040000" w:csb1="00000000"/>
    <w:embedRegular r:id="rId4" w:fontKey="{D213EC38-409A-4E45-8631-8B298FA8BF19}"/>
  </w:font>
  <w:font w:name="华文中宋">
    <w:panose1 w:val="02010600040101010101"/>
    <w:charset w:val="86"/>
    <w:family w:val="auto"/>
    <w:pitch w:val="default"/>
    <w:sig w:usb0="00000287" w:usb1="080F0000" w:usb2="00000000" w:usb3="00000000" w:csb0="0004009F" w:csb1="DFD70000"/>
    <w:embedRegular r:id="rId5" w:fontKey="{C8F7C259-3824-4E85-8878-90B9A9E113EA}"/>
  </w:font>
  <w:font w:name="仿宋">
    <w:panose1 w:val="02010609060101010101"/>
    <w:charset w:val="86"/>
    <w:family w:val="auto"/>
    <w:pitch w:val="default"/>
    <w:sig w:usb0="800002BF" w:usb1="38CF7CFA" w:usb2="00000016" w:usb3="00000000" w:csb0="00040001" w:csb1="00000000"/>
    <w:embedRegular r:id="rId6" w:fontKey="{D0113706-B7E9-4D4F-89E1-EBF17734D1F2}"/>
  </w:font>
  <w:font w:name="等线">
    <w:panose1 w:val="02010600030101010101"/>
    <w:charset w:val="86"/>
    <w:family w:val="auto"/>
    <w:pitch w:val="default"/>
    <w:sig w:usb0="A00002BF" w:usb1="38CF7CFA" w:usb2="00000016" w:usb3="00000000" w:csb0="0004000F" w:csb1="00000000"/>
    <w:embedRegular r:id="rId7" w:fontKey="{CDD7308A-66F7-4C7C-9DA1-CC6B20A7A3E7}"/>
  </w:font>
  <w:font w:name="Cambria Math">
    <w:panose1 w:val="02040503050406030204"/>
    <w:charset w:val="00"/>
    <w:family w:val="roman"/>
    <w:pitch w:val="default"/>
    <w:sig w:usb0="E00006FF" w:usb1="420024FF" w:usb2="02000000" w:usb3="00000000" w:csb0="2000019F" w:csb1="00000000"/>
    <w:embedRegular r:id="rId8" w:fontKey="{393AD34B-A794-4E0C-9315-4AFE72A42B43}"/>
  </w:font>
  <w:font w:name="楷体">
    <w:panose1 w:val="02010609060101010101"/>
    <w:charset w:val="86"/>
    <w:family w:val="modern"/>
    <w:pitch w:val="default"/>
    <w:sig w:usb0="800002BF" w:usb1="38CF7CFA" w:usb2="00000016" w:usb3="00000000" w:csb0="00040001" w:csb1="00000000"/>
    <w:embedRegular r:id="rId9" w:fontKey="{4B442B05-DE96-4BFD-A85C-EAAC4649390C}"/>
  </w:font>
  <w:font w:name="WPSEMBED1">
    <w:panose1 w:val="02020609040205080304"/>
    <w:charset w:val="80"/>
    <w:family w:val="auto"/>
    <w:pitch w:val="default"/>
    <w:sig w:usb0="A00002BF" w:usb1="68C7FCFB" w:usb2="00000010" w:usb3="00000000" w:csb0="4002009F" w:csb1="DFD70000"/>
  </w:font>
  <w:font w:name="WPSEMBED2">
    <w:panose1 w:val="02010609030101010101"/>
    <w:charset w:val="86"/>
    <w:family w:val="auto"/>
    <w:pitch w:val="default"/>
    <w:sig w:usb0="00000001" w:usb1="080E0000" w:usb2="00000000" w:usb3="00000000" w:csb0="00040000" w:csb1="00000000"/>
  </w:font>
  <w:font w:name="ActionIcon">
    <w:altName w:val="ksdb"/>
    <w:panose1 w:val="00000000000000000000"/>
    <w:charset w:val="00"/>
    <w:family w:val="auto"/>
    <w:pitch w:val="default"/>
    <w:sig w:usb0="00000000" w:usb1="00000000" w:usb2="00000000" w:usb3="00000000" w:csb0="00000000" w:csb1="00000000"/>
  </w:font>
  <w:font w:name="ModIcon">
    <w:altName w:val="ksdb"/>
    <w:panose1 w:val="00000000000000000000"/>
    <w:charset w:val="00"/>
    <w:family w:val="auto"/>
    <w:pitch w:val="default"/>
    <w:sig w:usb0="00000000" w:usb1="00000000" w:usb2="00000000" w:usb3="00000000" w:csb0="00000000" w:csb1="00000000"/>
  </w:font>
  <w:font w:name="SourceHanSansCN-Regular">
    <w:altName w:val="ksdb"/>
    <w:panose1 w:val="00000000000000000000"/>
    <w:charset w:val="00"/>
    <w:family w:val="auto"/>
    <w:pitch w:val="default"/>
    <w:sig w:usb0="00000000" w:usb1="00000000" w:usb2="00000000" w:usb3="00000000" w:csb0="00000000" w:csb1="00000000"/>
  </w:font>
  <w:font w:name="ksdb">
    <w:panose1 w:val="02000500000000000000"/>
    <w:charset w:val="00"/>
    <w:family w:val="auto"/>
    <w:pitch w:val="default"/>
    <w:sig w:usb0="00000001" w:usb1="00000000" w:usb2="00000000" w:usb3="00000000" w:csb0="00000001"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9340E">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D8D428">
                          <w:pPr>
                            <w:pStyle w:val="14"/>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CD8D428">
                    <w:pPr>
                      <w:pStyle w:val="14"/>
                    </w:pPr>
                    <w:r>
                      <w:fldChar w:fldCharType="begin"/>
                    </w:r>
                    <w:r>
                      <w:instrText xml:space="preserve"> PAGE  \* MERGEFORMAT </w:instrText>
                    </w:r>
                    <w:r>
                      <w:fldChar w:fldCharType="separate"/>
                    </w:r>
                    <w:r>
                      <w:t>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E545C">
    <w:pPr>
      <w:pStyle w:val="15"/>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A7A05">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D0D545"/>
    <w:multiLevelType w:val="singleLevel"/>
    <w:tmpl w:val="BFD0D545"/>
    <w:lvl w:ilvl="0" w:tentative="0">
      <w:start w:val="3"/>
      <w:numFmt w:val="decimal"/>
      <w:suff w:val="nothing"/>
      <w:lvlText w:val="（%1）"/>
      <w:lvlJc w:val="left"/>
    </w:lvl>
  </w:abstractNum>
  <w:abstractNum w:abstractNumId="1">
    <w:nsid w:val="48F83098"/>
    <w:multiLevelType w:val="singleLevel"/>
    <w:tmpl w:val="48F83098"/>
    <w:lvl w:ilvl="0" w:tentative="0">
      <w:start w:val="1"/>
      <w:numFmt w:val="decimal"/>
      <w:suff w:val="nothing"/>
      <w:lvlText w:val="（%1）"/>
      <w:lvlJc w:val="left"/>
    </w:lvl>
  </w:abstractNum>
  <w:abstractNum w:abstractNumId="2">
    <w:nsid w:val="6FBF3256"/>
    <w:multiLevelType w:val="multilevel"/>
    <w:tmpl w:val="6FBF3256"/>
    <w:lvl w:ilvl="0" w:tentative="0">
      <w:start w:val="1"/>
      <w:numFmt w:val="japaneseCounting"/>
      <w:lvlText w:val="（%1）"/>
      <w:lvlJc w:val="left"/>
      <w:pPr>
        <w:ind w:left="900" w:hanging="9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VjMjNhOGFiZDlmMmFjZDZlMWZjN2IzMmRmNzQ3NDcifQ=="/>
  </w:docVars>
  <w:rsids>
    <w:rsidRoot w:val="04C200ED"/>
    <w:rsid w:val="00072C34"/>
    <w:rsid w:val="002108CA"/>
    <w:rsid w:val="00307A95"/>
    <w:rsid w:val="00555609"/>
    <w:rsid w:val="00681EDA"/>
    <w:rsid w:val="00BC57CD"/>
    <w:rsid w:val="00CD3FA8"/>
    <w:rsid w:val="00DE5743"/>
    <w:rsid w:val="01227D26"/>
    <w:rsid w:val="013D4B60"/>
    <w:rsid w:val="013F77F9"/>
    <w:rsid w:val="017D31AE"/>
    <w:rsid w:val="01891B53"/>
    <w:rsid w:val="01BC583F"/>
    <w:rsid w:val="01CF32DE"/>
    <w:rsid w:val="01FE3B56"/>
    <w:rsid w:val="02180E2A"/>
    <w:rsid w:val="028B7948"/>
    <w:rsid w:val="02B072E7"/>
    <w:rsid w:val="034620B4"/>
    <w:rsid w:val="03676684"/>
    <w:rsid w:val="036902F4"/>
    <w:rsid w:val="03B677F7"/>
    <w:rsid w:val="03E26D1D"/>
    <w:rsid w:val="03EA2651"/>
    <w:rsid w:val="041F21D1"/>
    <w:rsid w:val="04221DEB"/>
    <w:rsid w:val="047107B7"/>
    <w:rsid w:val="04853043"/>
    <w:rsid w:val="04965593"/>
    <w:rsid w:val="04C200ED"/>
    <w:rsid w:val="04C74740"/>
    <w:rsid w:val="04EA6DAD"/>
    <w:rsid w:val="050F05C1"/>
    <w:rsid w:val="052E44FE"/>
    <w:rsid w:val="052E656D"/>
    <w:rsid w:val="05445D91"/>
    <w:rsid w:val="057C377D"/>
    <w:rsid w:val="059127FB"/>
    <w:rsid w:val="05AA02EA"/>
    <w:rsid w:val="05BF6CDE"/>
    <w:rsid w:val="05C36FC4"/>
    <w:rsid w:val="05D62E8D"/>
    <w:rsid w:val="05FE23E4"/>
    <w:rsid w:val="060168C2"/>
    <w:rsid w:val="06372E72"/>
    <w:rsid w:val="064810A9"/>
    <w:rsid w:val="068D39FF"/>
    <w:rsid w:val="06A26B68"/>
    <w:rsid w:val="07395C28"/>
    <w:rsid w:val="074A3962"/>
    <w:rsid w:val="08365E65"/>
    <w:rsid w:val="084B4405"/>
    <w:rsid w:val="08BC746A"/>
    <w:rsid w:val="08DC4C5E"/>
    <w:rsid w:val="08FA3336"/>
    <w:rsid w:val="092E5190"/>
    <w:rsid w:val="09375566"/>
    <w:rsid w:val="097F12A3"/>
    <w:rsid w:val="099941A3"/>
    <w:rsid w:val="09C51A18"/>
    <w:rsid w:val="09CB187F"/>
    <w:rsid w:val="09EE51E0"/>
    <w:rsid w:val="0A171CC6"/>
    <w:rsid w:val="0A3250CE"/>
    <w:rsid w:val="0A4D5A91"/>
    <w:rsid w:val="0A4E22FB"/>
    <w:rsid w:val="0A4E7F3C"/>
    <w:rsid w:val="0A605D88"/>
    <w:rsid w:val="0A662CDA"/>
    <w:rsid w:val="0A8464FD"/>
    <w:rsid w:val="0AEC4F01"/>
    <w:rsid w:val="0B112AF1"/>
    <w:rsid w:val="0B9338DE"/>
    <w:rsid w:val="0BC47C2C"/>
    <w:rsid w:val="0BDE0CED"/>
    <w:rsid w:val="0BE8391A"/>
    <w:rsid w:val="0BF978D5"/>
    <w:rsid w:val="0C120997"/>
    <w:rsid w:val="0C7B4653"/>
    <w:rsid w:val="0C88602A"/>
    <w:rsid w:val="0C922E8C"/>
    <w:rsid w:val="0CA313D8"/>
    <w:rsid w:val="0CFD1647"/>
    <w:rsid w:val="0D016552"/>
    <w:rsid w:val="0D2E1801"/>
    <w:rsid w:val="0D6339B7"/>
    <w:rsid w:val="0D887163"/>
    <w:rsid w:val="0DB5188A"/>
    <w:rsid w:val="0DFA2A11"/>
    <w:rsid w:val="0E197DBB"/>
    <w:rsid w:val="0E6D6359"/>
    <w:rsid w:val="0ED1719D"/>
    <w:rsid w:val="0ED71A24"/>
    <w:rsid w:val="0F7D4865"/>
    <w:rsid w:val="0F8370B3"/>
    <w:rsid w:val="0F873994"/>
    <w:rsid w:val="0F8971C2"/>
    <w:rsid w:val="0FE642B6"/>
    <w:rsid w:val="0FEC7C3F"/>
    <w:rsid w:val="0FF46D31"/>
    <w:rsid w:val="10020573"/>
    <w:rsid w:val="102913E9"/>
    <w:rsid w:val="10B4026F"/>
    <w:rsid w:val="10B60B86"/>
    <w:rsid w:val="10DE353E"/>
    <w:rsid w:val="11576580"/>
    <w:rsid w:val="117A5014"/>
    <w:rsid w:val="11AE4EED"/>
    <w:rsid w:val="11EE155E"/>
    <w:rsid w:val="12767ED2"/>
    <w:rsid w:val="128807D2"/>
    <w:rsid w:val="12BA7692"/>
    <w:rsid w:val="13174AE5"/>
    <w:rsid w:val="13196F8B"/>
    <w:rsid w:val="13217712"/>
    <w:rsid w:val="13533A71"/>
    <w:rsid w:val="13691706"/>
    <w:rsid w:val="136C66D5"/>
    <w:rsid w:val="1372527A"/>
    <w:rsid w:val="13986D70"/>
    <w:rsid w:val="13AF6B58"/>
    <w:rsid w:val="13CA1363"/>
    <w:rsid w:val="13E0137B"/>
    <w:rsid w:val="146D463D"/>
    <w:rsid w:val="14BA1BCC"/>
    <w:rsid w:val="14CE5342"/>
    <w:rsid w:val="152A6D51"/>
    <w:rsid w:val="152A7A45"/>
    <w:rsid w:val="154E6CD0"/>
    <w:rsid w:val="15796456"/>
    <w:rsid w:val="159D39C7"/>
    <w:rsid w:val="15B71B1D"/>
    <w:rsid w:val="15B739BD"/>
    <w:rsid w:val="15BD1BCA"/>
    <w:rsid w:val="15E52C78"/>
    <w:rsid w:val="163A2906"/>
    <w:rsid w:val="163D313F"/>
    <w:rsid w:val="164125A5"/>
    <w:rsid w:val="16914904"/>
    <w:rsid w:val="16924BAE"/>
    <w:rsid w:val="16A668AC"/>
    <w:rsid w:val="16B8213B"/>
    <w:rsid w:val="16ED0036"/>
    <w:rsid w:val="16FA5506"/>
    <w:rsid w:val="16FB6BF7"/>
    <w:rsid w:val="170B2D8B"/>
    <w:rsid w:val="17112A73"/>
    <w:rsid w:val="1720040C"/>
    <w:rsid w:val="17614581"/>
    <w:rsid w:val="177E5132"/>
    <w:rsid w:val="178A6601"/>
    <w:rsid w:val="17EB193D"/>
    <w:rsid w:val="185D743E"/>
    <w:rsid w:val="187A3B4C"/>
    <w:rsid w:val="18932E60"/>
    <w:rsid w:val="189813DB"/>
    <w:rsid w:val="18C57A32"/>
    <w:rsid w:val="18C80D5B"/>
    <w:rsid w:val="18F45F0D"/>
    <w:rsid w:val="19046B90"/>
    <w:rsid w:val="192B68B8"/>
    <w:rsid w:val="19681569"/>
    <w:rsid w:val="19D0792D"/>
    <w:rsid w:val="1A3D367B"/>
    <w:rsid w:val="1A6D3318"/>
    <w:rsid w:val="1A805353"/>
    <w:rsid w:val="1A845156"/>
    <w:rsid w:val="1AA94BBC"/>
    <w:rsid w:val="1AEA05DF"/>
    <w:rsid w:val="1B487F31"/>
    <w:rsid w:val="1B787A2E"/>
    <w:rsid w:val="1BAD2BF6"/>
    <w:rsid w:val="1BAE0ABF"/>
    <w:rsid w:val="1BBC5A4A"/>
    <w:rsid w:val="1BEE218B"/>
    <w:rsid w:val="1C146536"/>
    <w:rsid w:val="1C4C33DE"/>
    <w:rsid w:val="1C8A474A"/>
    <w:rsid w:val="1C9378D2"/>
    <w:rsid w:val="1D2642A2"/>
    <w:rsid w:val="1DA17203"/>
    <w:rsid w:val="1DB913DB"/>
    <w:rsid w:val="1DBA11F5"/>
    <w:rsid w:val="1DBE097F"/>
    <w:rsid w:val="1DE71C83"/>
    <w:rsid w:val="1EC27237"/>
    <w:rsid w:val="1EFC05DA"/>
    <w:rsid w:val="1F170346"/>
    <w:rsid w:val="1F917661"/>
    <w:rsid w:val="1F9D2589"/>
    <w:rsid w:val="202C4BD6"/>
    <w:rsid w:val="205B0D8E"/>
    <w:rsid w:val="206A14BF"/>
    <w:rsid w:val="20931C4F"/>
    <w:rsid w:val="20CA7543"/>
    <w:rsid w:val="20D63E58"/>
    <w:rsid w:val="210C5F98"/>
    <w:rsid w:val="214178FD"/>
    <w:rsid w:val="21A06893"/>
    <w:rsid w:val="21E32B5E"/>
    <w:rsid w:val="221A3813"/>
    <w:rsid w:val="22407BB4"/>
    <w:rsid w:val="22574EFE"/>
    <w:rsid w:val="22AC788E"/>
    <w:rsid w:val="22EF5136"/>
    <w:rsid w:val="22F07A78"/>
    <w:rsid w:val="231040B3"/>
    <w:rsid w:val="235002CB"/>
    <w:rsid w:val="23711FEF"/>
    <w:rsid w:val="23762DDD"/>
    <w:rsid w:val="23D22A8E"/>
    <w:rsid w:val="23EF693F"/>
    <w:rsid w:val="242920CC"/>
    <w:rsid w:val="245E07C6"/>
    <w:rsid w:val="246526AE"/>
    <w:rsid w:val="249D7540"/>
    <w:rsid w:val="24AB3C18"/>
    <w:rsid w:val="24AC1531"/>
    <w:rsid w:val="24EE1B49"/>
    <w:rsid w:val="25021151"/>
    <w:rsid w:val="25220111"/>
    <w:rsid w:val="25760E8E"/>
    <w:rsid w:val="25A8248F"/>
    <w:rsid w:val="25F80DA5"/>
    <w:rsid w:val="26164C47"/>
    <w:rsid w:val="26466C94"/>
    <w:rsid w:val="266235BB"/>
    <w:rsid w:val="26751385"/>
    <w:rsid w:val="26B26BA7"/>
    <w:rsid w:val="26E42110"/>
    <w:rsid w:val="26FB65F8"/>
    <w:rsid w:val="271E5FEA"/>
    <w:rsid w:val="273075E2"/>
    <w:rsid w:val="27457A1B"/>
    <w:rsid w:val="278E3654"/>
    <w:rsid w:val="27C92BBA"/>
    <w:rsid w:val="28176711"/>
    <w:rsid w:val="282A2D36"/>
    <w:rsid w:val="28642123"/>
    <w:rsid w:val="28757E8C"/>
    <w:rsid w:val="28812772"/>
    <w:rsid w:val="29023CB8"/>
    <w:rsid w:val="2940255A"/>
    <w:rsid w:val="29714AF7"/>
    <w:rsid w:val="298133BF"/>
    <w:rsid w:val="29A077CD"/>
    <w:rsid w:val="29C64750"/>
    <w:rsid w:val="29E3739C"/>
    <w:rsid w:val="2A050C55"/>
    <w:rsid w:val="2A0D1F23"/>
    <w:rsid w:val="2A467D32"/>
    <w:rsid w:val="2A6B1546"/>
    <w:rsid w:val="2ABF5E91"/>
    <w:rsid w:val="2ADF3CE2"/>
    <w:rsid w:val="2AFA2458"/>
    <w:rsid w:val="2B54003D"/>
    <w:rsid w:val="2BB138D1"/>
    <w:rsid w:val="2BB4516F"/>
    <w:rsid w:val="2BE07D12"/>
    <w:rsid w:val="2C1D0F66"/>
    <w:rsid w:val="2C343987"/>
    <w:rsid w:val="2C7F71B4"/>
    <w:rsid w:val="2C8D572B"/>
    <w:rsid w:val="2CB66D78"/>
    <w:rsid w:val="2CCF6074"/>
    <w:rsid w:val="2D0D36B6"/>
    <w:rsid w:val="2D3A499E"/>
    <w:rsid w:val="2D3C3E3E"/>
    <w:rsid w:val="2D523989"/>
    <w:rsid w:val="2D6629C0"/>
    <w:rsid w:val="2D687FBF"/>
    <w:rsid w:val="2D6C4A4A"/>
    <w:rsid w:val="2D8A7021"/>
    <w:rsid w:val="2E1F2D74"/>
    <w:rsid w:val="2EC8785D"/>
    <w:rsid w:val="2F3960B7"/>
    <w:rsid w:val="2FF93442"/>
    <w:rsid w:val="305807BF"/>
    <w:rsid w:val="30865E1D"/>
    <w:rsid w:val="30D64D73"/>
    <w:rsid w:val="3119625B"/>
    <w:rsid w:val="315471D8"/>
    <w:rsid w:val="31E700F2"/>
    <w:rsid w:val="31F500A1"/>
    <w:rsid w:val="320F1351"/>
    <w:rsid w:val="322873BD"/>
    <w:rsid w:val="322F554F"/>
    <w:rsid w:val="3276317E"/>
    <w:rsid w:val="32B55A55"/>
    <w:rsid w:val="32CC36BF"/>
    <w:rsid w:val="32E922D7"/>
    <w:rsid w:val="32EB76C8"/>
    <w:rsid w:val="3321133C"/>
    <w:rsid w:val="3351311A"/>
    <w:rsid w:val="33610A26"/>
    <w:rsid w:val="33D30C84"/>
    <w:rsid w:val="33D71736"/>
    <w:rsid w:val="33FC5905"/>
    <w:rsid w:val="343D21A6"/>
    <w:rsid w:val="344C561A"/>
    <w:rsid w:val="34942F0E"/>
    <w:rsid w:val="35331788"/>
    <w:rsid w:val="355E6877"/>
    <w:rsid w:val="35C74E92"/>
    <w:rsid w:val="35D10F79"/>
    <w:rsid w:val="35D1112E"/>
    <w:rsid w:val="35ED7BFB"/>
    <w:rsid w:val="360B5E16"/>
    <w:rsid w:val="36136D0A"/>
    <w:rsid w:val="361A4FF4"/>
    <w:rsid w:val="3627057C"/>
    <w:rsid w:val="364E0849"/>
    <w:rsid w:val="3667386B"/>
    <w:rsid w:val="36B10C29"/>
    <w:rsid w:val="36D6243D"/>
    <w:rsid w:val="36DF7544"/>
    <w:rsid w:val="373D24BC"/>
    <w:rsid w:val="373F44A3"/>
    <w:rsid w:val="374E6478"/>
    <w:rsid w:val="37B2264E"/>
    <w:rsid w:val="37DC3A83"/>
    <w:rsid w:val="38014680"/>
    <w:rsid w:val="38267B9B"/>
    <w:rsid w:val="38697764"/>
    <w:rsid w:val="38926C41"/>
    <w:rsid w:val="38AD17EB"/>
    <w:rsid w:val="392C0A3B"/>
    <w:rsid w:val="39424B74"/>
    <w:rsid w:val="39447B32"/>
    <w:rsid w:val="397C544B"/>
    <w:rsid w:val="399C1237"/>
    <w:rsid w:val="39B527DE"/>
    <w:rsid w:val="3A3A2CE3"/>
    <w:rsid w:val="3A8F1281"/>
    <w:rsid w:val="3A900B55"/>
    <w:rsid w:val="3AA665E2"/>
    <w:rsid w:val="3AB42A96"/>
    <w:rsid w:val="3ADE5D64"/>
    <w:rsid w:val="3B294DC3"/>
    <w:rsid w:val="3B46796D"/>
    <w:rsid w:val="3B61689A"/>
    <w:rsid w:val="3B691AD2"/>
    <w:rsid w:val="3BA541E0"/>
    <w:rsid w:val="3BC27434"/>
    <w:rsid w:val="3C2D0D52"/>
    <w:rsid w:val="3C4D6CFE"/>
    <w:rsid w:val="3C544530"/>
    <w:rsid w:val="3C7E77FF"/>
    <w:rsid w:val="3CF96B37"/>
    <w:rsid w:val="3D6168CB"/>
    <w:rsid w:val="3DA02E6A"/>
    <w:rsid w:val="3DD32C78"/>
    <w:rsid w:val="3E40209B"/>
    <w:rsid w:val="3E4156DC"/>
    <w:rsid w:val="3E612F34"/>
    <w:rsid w:val="3EC97461"/>
    <w:rsid w:val="3F30190B"/>
    <w:rsid w:val="3F3109A9"/>
    <w:rsid w:val="3F3E5E4B"/>
    <w:rsid w:val="3F59082E"/>
    <w:rsid w:val="3F833841"/>
    <w:rsid w:val="3FAF7CCF"/>
    <w:rsid w:val="40B90E06"/>
    <w:rsid w:val="40E345BE"/>
    <w:rsid w:val="41765F5A"/>
    <w:rsid w:val="417E204F"/>
    <w:rsid w:val="41A2478F"/>
    <w:rsid w:val="41A27AEC"/>
    <w:rsid w:val="421742D4"/>
    <w:rsid w:val="421F738E"/>
    <w:rsid w:val="42334F9F"/>
    <w:rsid w:val="428914FE"/>
    <w:rsid w:val="42B605BA"/>
    <w:rsid w:val="42C13F64"/>
    <w:rsid w:val="42F72B39"/>
    <w:rsid w:val="42F80640"/>
    <w:rsid w:val="43300440"/>
    <w:rsid w:val="43543068"/>
    <w:rsid w:val="43944DF9"/>
    <w:rsid w:val="43C03ED8"/>
    <w:rsid w:val="43D63D74"/>
    <w:rsid w:val="44150E3F"/>
    <w:rsid w:val="442347E8"/>
    <w:rsid w:val="4469669F"/>
    <w:rsid w:val="44A13649"/>
    <w:rsid w:val="451D65DD"/>
    <w:rsid w:val="453E18DA"/>
    <w:rsid w:val="459C6CDB"/>
    <w:rsid w:val="45D60A99"/>
    <w:rsid w:val="460C19D8"/>
    <w:rsid w:val="462E4906"/>
    <w:rsid w:val="46B34F8B"/>
    <w:rsid w:val="46BB09F6"/>
    <w:rsid w:val="46CE7B4A"/>
    <w:rsid w:val="46E26BDC"/>
    <w:rsid w:val="470276B2"/>
    <w:rsid w:val="472C4C55"/>
    <w:rsid w:val="47627777"/>
    <w:rsid w:val="47727F60"/>
    <w:rsid w:val="47AB6FCE"/>
    <w:rsid w:val="47E334DF"/>
    <w:rsid w:val="47F96828"/>
    <w:rsid w:val="486A6E89"/>
    <w:rsid w:val="486F44A0"/>
    <w:rsid w:val="48A06C6D"/>
    <w:rsid w:val="49060960"/>
    <w:rsid w:val="492B3326"/>
    <w:rsid w:val="493059DD"/>
    <w:rsid w:val="49896373"/>
    <w:rsid w:val="498B5309"/>
    <w:rsid w:val="499E503D"/>
    <w:rsid w:val="49AB1508"/>
    <w:rsid w:val="49C32CF5"/>
    <w:rsid w:val="49FA5FEB"/>
    <w:rsid w:val="4A0F5F3A"/>
    <w:rsid w:val="4A464097"/>
    <w:rsid w:val="4ADF3B5F"/>
    <w:rsid w:val="4B125CE2"/>
    <w:rsid w:val="4B1A0571"/>
    <w:rsid w:val="4B4A7B6A"/>
    <w:rsid w:val="4B983D0E"/>
    <w:rsid w:val="4B9F509C"/>
    <w:rsid w:val="4BDC6CF8"/>
    <w:rsid w:val="4C137FAF"/>
    <w:rsid w:val="4C3677AE"/>
    <w:rsid w:val="4C465B56"/>
    <w:rsid w:val="4C59349D"/>
    <w:rsid w:val="4C7354D5"/>
    <w:rsid w:val="4CA77FB6"/>
    <w:rsid w:val="4CAC6F1D"/>
    <w:rsid w:val="4CEF6FC4"/>
    <w:rsid w:val="4CF66F3E"/>
    <w:rsid w:val="4D453A21"/>
    <w:rsid w:val="4D7112B5"/>
    <w:rsid w:val="4D8C1117"/>
    <w:rsid w:val="4DB31898"/>
    <w:rsid w:val="4DCB0F30"/>
    <w:rsid w:val="4DFC0584"/>
    <w:rsid w:val="4E06542A"/>
    <w:rsid w:val="4E086F29"/>
    <w:rsid w:val="4E3221F7"/>
    <w:rsid w:val="4E600B13"/>
    <w:rsid w:val="4EAC1FAA"/>
    <w:rsid w:val="4F0C7024"/>
    <w:rsid w:val="4F380341"/>
    <w:rsid w:val="4F4A3571"/>
    <w:rsid w:val="4F9D5D96"/>
    <w:rsid w:val="4FEF0804"/>
    <w:rsid w:val="4FF95F8B"/>
    <w:rsid w:val="50863BA3"/>
    <w:rsid w:val="50D46B08"/>
    <w:rsid w:val="510F3A86"/>
    <w:rsid w:val="51255A35"/>
    <w:rsid w:val="518A7817"/>
    <w:rsid w:val="51A451BA"/>
    <w:rsid w:val="51EE7F7C"/>
    <w:rsid w:val="522B4FA8"/>
    <w:rsid w:val="523753C9"/>
    <w:rsid w:val="52410C5B"/>
    <w:rsid w:val="52506A55"/>
    <w:rsid w:val="528A0854"/>
    <w:rsid w:val="52C84ED8"/>
    <w:rsid w:val="52CA29FF"/>
    <w:rsid w:val="52F30D1F"/>
    <w:rsid w:val="5313262A"/>
    <w:rsid w:val="53603363"/>
    <w:rsid w:val="53A17FF4"/>
    <w:rsid w:val="53BB4A3D"/>
    <w:rsid w:val="53BF536C"/>
    <w:rsid w:val="53F35F85"/>
    <w:rsid w:val="541F2895"/>
    <w:rsid w:val="5429409D"/>
    <w:rsid w:val="545A24A8"/>
    <w:rsid w:val="545C1D7C"/>
    <w:rsid w:val="547E7F44"/>
    <w:rsid w:val="54E106CE"/>
    <w:rsid w:val="54F2623D"/>
    <w:rsid w:val="550353B8"/>
    <w:rsid w:val="552830AF"/>
    <w:rsid w:val="552C2EC0"/>
    <w:rsid w:val="5546361F"/>
    <w:rsid w:val="555251D5"/>
    <w:rsid w:val="555B64D8"/>
    <w:rsid w:val="555D12ED"/>
    <w:rsid w:val="56243BF4"/>
    <w:rsid w:val="566A0BDF"/>
    <w:rsid w:val="567D5154"/>
    <w:rsid w:val="56C02A99"/>
    <w:rsid w:val="56D014DF"/>
    <w:rsid w:val="56DF6039"/>
    <w:rsid w:val="56E66275"/>
    <w:rsid w:val="56FC7846"/>
    <w:rsid w:val="570B1838"/>
    <w:rsid w:val="571E156B"/>
    <w:rsid w:val="5740208C"/>
    <w:rsid w:val="5740490C"/>
    <w:rsid w:val="575536ED"/>
    <w:rsid w:val="57781E36"/>
    <w:rsid w:val="57A74D78"/>
    <w:rsid w:val="57E24C8E"/>
    <w:rsid w:val="58237473"/>
    <w:rsid w:val="589870FB"/>
    <w:rsid w:val="590D1897"/>
    <w:rsid w:val="593C217C"/>
    <w:rsid w:val="5999137D"/>
    <w:rsid w:val="5A102BB9"/>
    <w:rsid w:val="5A236E98"/>
    <w:rsid w:val="5A2F1CE1"/>
    <w:rsid w:val="5A62218C"/>
    <w:rsid w:val="5ABF6EB9"/>
    <w:rsid w:val="5AC25AE6"/>
    <w:rsid w:val="5AC42E7D"/>
    <w:rsid w:val="5B062A42"/>
    <w:rsid w:val="5B286E5C"/>
    <w:rsid w:val="5B2D6220"/>
    <w:rsid w:val="5B4A6138"/>
    <w:rsid w:val="5B5E178C"/>
    <w:rsid w:val="5BBE0E30"/>
    <w:rsid w:val="5CBC1B3E"/>
    <w:rsid w:val="5CF52036"/>
    <w:rsid w:val="5D144F38"/>
    <w:rsid w:val="5D3025C8"/>
    <w:rsid w:val="5D3A352A"/>
    <w:rsid w:val="5D795F6D"/>
    <w:rsid w:val="5DE70005"/>
    <w:rsid w:val="5E324AF8"/>
    <w:rsid w:val="5E50299B"/>
    <w:rsid w:val="5E652175"/>
    <w:rsid w:val="5E8F7AC1"/>
    <w:rsid w:val="5E9B7945"/>
    <w:rsid w:val="5EF32416"/>
    <w:rsid w:val="5F592854"/>
    <w:rsid w:val="5F645E8C"/>
    <w:rsid w:val="5F8959EF"/>
    <w:rsid w:val="5FDC1FC3"/>
    <w:rsid w:val="6008663C"/>
    <w:rsid w:val="60310561"/>
    <w:rsid w:val="605424A1"/>
    <w:rsid w:val="60651FB9"/>
    <w:rsid w:val="60D33F85"/>
    <w:rsid w:val="60D373D4"/>
    <w:rsid w:val="60DE326C"/>
    <w:rsid w:val="60F514A7"/>
    <w:rsid w:val="61B52ACC"/>
    <w:rsid w:val="61CA2A1B"/>
    <w:rsid w:val="61E433B1"/>
    <w:rsid w:val="61F61B53"/>
    <w:rsid w:val="61FF4ABA"/>
    <w:rsid w:val="62373E29"/>
    <w:rsid w:val="623E0D13"/>
    <w:rsid w:val="62791D57"/>
    <w:rsid w:val="62D35345"/>
    <w:rsid w:val="62D653F0"/>
    <w:rsid w:val="62DC3CFB"/>
    <w:rsid w:val="63041BFB"/>
    <w:rsid w:val="631269A0"/>
    <w:rsid w:val="631E0807"/>
    <w:rsid w:val="64153CF6"/>
    <w:rsid w:val="64526CF8"/>
    <w:rsid w:val="6457430E"/>
    <w:rsid w:val="64662CCF"/>
    <w:rsid w:val="64857089"/>
    <w:rsid w:val="64D63485"/>
    <w:rsid w:val="65080569"/>
    <w:rsid w:val="65102E3B"/>
    <w:rsid w:val="65841133"/>
    <w:rsid w:val="65A87ECA"/>
    <w:rsid w:val="65B33BEC"/>
    <w:rsid w:val="66212E26"/>
    <w:rsid w:val="66321666"/>
    <w:rsid w:val="669E42B5"/>
    <w:rsid w:val="66E17CE4"/>
    <w:rsid w:val="671C3FB3"/>
    <w:rsid w:val="677130A1"/>
    <w:rsid w:val="677B1F86"/>
    <w:rsid w:val="67BA708E"/>
    <w:rsid w:val="67D13936"/>
    <w:rsid w:val="67DA0982"/>
    <w:rsid w:val="67E266DE"/>
    <w:rsid w:val="68106CAE"/>
    <w:rsid w:val="681646F1"/>
    <w:rsid w:val="6873723D"/>
    <w:rsid w:val="688D300E"/>
    <w:rsid w:val="68A11FFC"/>
    <w:rsid w:val="68B71DBC"/>
    <w:rsid w:val="68C87588"/>
    <w:rsid w:val="68FE1A22"/>
    <w:rsid w:val="690E50A9"/>
    <w:rsid w:val="69181B01"/>
    <w:rsid w:val="694C1F68"/>
    <w:rsid w:val="6984294B"/>
    <w:rsid w:val="69C77840"/>
    <w:rsid w:val="69DD18D6"/>
    <w:rsid w:val="6A1F745E"/>
    <w:rsid w:val="6A350C4E"/>
    <w:rsid w:val="6AB04778"/>
    <w:rsid w:val="6AC34955"/>
    <w:rsid w:val="6AD370E6"/>
    <w:rsid w:val="6AD45CD0"/>
    <w:rsid w:val="6BCB0EE9"/>
    <w:rsid w:val="6C3659BD"/>
    <w:rsid w:val="6C44161C"/>
    <w:rsid w:val="6C727F37"/>
    <w:rsid w:val="6C787517"/>
    <w:rsid w:val="6C95040D"/>
    <w:rsid w:val="6CB322FE"/>
    <w:rsid w:val="6CB542C8"/>
    <w:rsid w:val="6CC664D5"/>
    <w:rsid w:val="6CCD33BF"/>
    <w:rsid w:val="6D0D2A3E"/>
    <w:rsid w:val="6DAE53F9"/>
    <w:rsid w:val="6E096BA4"/>
    <w:rsid w:val="6E533773"/>
    <w:rsid w:val="6E8A3EFB"/>
    <w:rsid w:val="6E9248C1"/>
    <w:rsid w:val="6ECE183D"/>
    <w:rsid w:val="6F423F95"/>
    <w:rsid w:val="6F6224EC"/>
    <w:rsid w:val="6F76083C"/>
    <w:rsid w:val="6F933D7C"/>
    <w:rsid w:val="6FCA1E38"/>
    <w:rsid w:val="6FD3454E"/>
    <w:rsid w:val="7046283D"/>
    <w:rsid w:val="705426F3"/>
    <w:rsid w:val="70826F57"/>
    <w:rsid w:val="70CC520D"/>
    <w:rsid w:val="710E5EDF"/>
    <w:rsid w:val="71EF5B86"/>
    <w:rsid w:val="72395012"/>
    <w:rsid w:val="72E70F53"/>
    <w:rsid w:val="7306762B"/>
    <w:rsid w:val="730F7446"/>
    <w:rsid w:val="735F4F8D"/>
    <w:rsid w:val="73750E39"/>
    <w:rsid w:val="73A1609D"/>
    <w:rsid w:val="73B01345"/>
    <w:rsid w:val="73C31078"/>
    <w:rsid w:val="73F27BAF"/>
    <w:rsid w:val="73FA488D"/>
    <w:rsid w:val="740A3453"/>
    <w:rsid w:val="749E4116"/>
    <w:rsid w:val="74AE64EB"/>
    <w:rsid w:val="74D30172"/>
    <w:rsid w:val="75104791"/>
    <w:rsid w:val="757B56CA"/>
    <w:rsid w:val="75814D02"/>
    <w:rsid w:val="75E95B16"/>
    <w:rsid w:val="75EC09C9"/>
    <w:rsid w:val="76022B63"/>
    <w:rsid w:val="766957AF"/>
    <w:rsid w:val="76BD6322"/>
    <w:rsid w:val="76CF3B75"/>
    <w:rsid w:val="76D025F8"/>
    <w:rsid w:val="7725204A"/>
    <w:rsid w:val="772750DB"/>
    <w:rsid w:val="77336515"/>
    <w:rsid w:val="77361AE6"/>
    <w:rsid w:val="775C1F10"/>
    <w:rsid w:val="781520BE"/>
    <w:rsid w:val="78191BAF"/>
    <w:rsid w:val="785276AB"/>
    <w:rsid w:val="789B25C4"/>
    <w:rsid w:val="79002D6F"/>
    <w:rsid w:val="79336CA0"/>
    <w:rsid w:val="796055BB"/>
    <w:rsid w:val="79CD5799"/>
    <w:rsid w:val="79CE4C1B"/>
    <w:rsid w:val="79D7762B"/>
    <w:rsid w:val="79E00282"/>
    <w:rsid w:val="79F53F55"/>
    <w:rsid w:val="7A0348D0"/>
    <w:rsid w:val="7A826E51"/>
    <w:rsid w:val="7ACD0560"/>
    <w:rsid w:val="7AD24979"/>
    <w:rsid w:val="7AD87AFF"/>
    <w:rsid w:val="7AE2097E"/>
    <w:rsid w:val="7AEA1E0E"/>
    <w:rsid w:val="7AFE508C"/>
    <w:rsid w:val="7B0363F4"/>
    <w:rsid w:val="7B9A4DB4"/>
    <w:rsid w:val="7C2E56AF"/>
    <w:rsid w:val="7C43369E"/>
    <w:rsid w:val="7C5E4034"/>
    <w:rsid w:val="7CF15EFA"/>
    <w:rsid w:val="7D1E159E"/>
    <w:rsid w:val="7D581EF7"/>
    <w:rsid w:val="7D8950E1"/>
    <w:rsid w:val="7D9817C8"/>
    <w:rsid w:val="7DCE51E9"/>
    <w:rsid w:val="7DD41A0F"/>
    <w:rsid w:val="7E1150D6"/>
    <w:rsid w:val="7E301A00"/>
    <w:rsid w:val="7E730D4D"/>
    <w:rsid w:val="7ED56104"/>
    <w:rsid w:val="7F017163"/>
    <w:rsid w:val="7F743BAB"/>
    <w:rsid w:val="7F7E679B"/>
    <w:rsid w:val="7F8B59A9"/>
    <w:rsid w:val="7F9F50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qFormat="1" w:unhideWhenUsed="0" w:uiPriority="39"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after="330" w:afterLines="0" w:line="576" w:lineRule="auto"/>
      <w:outlineLvl w:val="0"/>
    </w:pPr>
    <w:rPr>
      <w:b/>
      <w:bCs/>
      <w:kern w:val="44"/>
      <w:sz w:val="44"/>
      <w:szCs w:val="44"/>
    </w:rPr>
  </w:style>
  <w:style w:type="paragraph" w:styleId="3">
    <w:name w:val="heading 2"/>
    <w:basedOn w:val="1"/>
    <w:next w:val="1"/>
    <w:qFormat/>
    <w:uiPriority w:val="0"/>
    <w:pPr>
      <w:keepNext/>
      <w:keepLines/>
      <w:spacing w:before="260" w:beforeLines="0" w:after="260" w:afterLines="0" w:line="415"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beforeLines="0" w:after="260" w:afterLines="0" w:line="415" w:lineRule="auto"/>
      <w:outlineLvl w:val="2"/>
    </w:pPr>
    <w:rPr>
      <w:b/>
      <w:bCs/>
      <w:kern w:val="0"/>
      <w:sz w:val="32"/>
      <w:szCs w:val="32"/>
    </w:rPr>
  </w:style>
  <w:style w:type="paragraph" w:styleId="5">
    <w:name w:val="heading 4"/>
    <w:basedOn w:val="1"/>
    <w:next w:val="6"/>
    <w:qFormat/>
    <w:uiPriority w:val="0"/>
    <w:pPr>
      <w:keepNext/>
      <w:keepLines/>
      <w:spacing w:before="280" w:beforeLines="0" w:after="290" w:afterLines="0" w:line="374" w:lineRule="auto"/>
      <w:outlineLvl w:val="3"/>
    </w:pPr>
    <w:rPr>
      <w:rFonts w:ascii="Arial" w:hAnsi="Arial" w:eastAsia="黑体"/>
      <w:b/>
      <w:bCs/>
      <w:sz w:val="28"/>
      <w:szCs w:val="28"/>
    </w:rPr>
  </w:style>
  <w:style w:type="paragraph" w:styleId="7">
    <w:name w:val="heading 5"/>
    <w:basedOn w:val="1"/>
    <w:next w:val="1"/>
    <w:qFormat/>
    <w:uiPriority w:val="0"/>
    <w:pPr>
      <w:keepNext/>
      <w:keepLines/>
      <w:spacing w:before="280" w:beforeLines="0" w:after="290" w:afterLines="0" w:line="376" w:lineRule="auto"/>
      <w:outlineLvl w:val="4"/>
    </w:pPr>
    <w:rPr>
      <w:b/>
      <w:bCs/>
      <w:sz w:val="28"/>
      <w:szCs w:val="28"/>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ind w:firstLine="420" w:firstLineChars="200"/>
    </w:pPr>
  </w:style>
  <w:style w:type="paragraph" w:styleId="8">
    <w:name w:val="toc 7"/>
    <w:basedOn w:val="1"/>
    <w:next w:val="1"/>
    <w:qFormat/>
    <w:uiPriority w:val="39"/>
    <w:pPr>
      <w:ind w:left="1260"/>
      <w:jc w:val="left"/>
    </w:pPr>
    <w:rPr>
      <w:sz w:val="18"/>
      <w:szCs w:val="18"/>
    </w:rPr>
  </w:style>
  <w:style w:type="paragraph" w:styleId="9">
    <w:name w:val="annotation text"/>
    <w:basedOn w:val="1"/>
    <w:qFormat/>
    <w:uiPriority w:val="0"/>
    <w:pPr>
      <w:jc w:val="left"/>
    </w:pPr>
  </w:style>
  <w:style w:type="paragraph" w:styleId="10">
    <w:name w:val="Body Text 3"/>
    <w:basedOn w:val="1"/>
    <w:qFormat/>
    <w:uiPriority w:val="0"/>
    <w:rPr>
      <w:rFonts w:ascii="宋体"/>
      <w:sz w:val="24"/>
      <w:szCs w:val="20"/>
    </w:rPr>
  </w:style>
  <w:style w:type="paragraph" w:styleId="11">
    <w:name w:val="Body Text"/>
    <w:basedOn w:val="1"/>
    <w:qFormat/>
    <w:uiPriority w:val="0"/>
    <w:pPr>
      <w:spacing w:after="120" w:afterLines="0"/>
    </w:pPr>
  </w:style>
  <w:style w:type="paragraph" w:styleId="12">
    <w:name w:val="Body Text Indent"/>
    <w:basedOn w:val="1"/>
    <w:next w:val="13"/>
    <w:qFormat/>
    <w:uiPriority w:val="99"/>
    <w:pPr>
      <w:spacing w:after="120" w:afterLines="0"/>
      <w:ind w:left="420" w:leftChars="200"/>
    </w:pPr>
  </w:style>
  <w:style w:type="paragraph" w:styleId="13">
    <w:name w:val="envelope return"/>
    <w:basedOn w:val="1"/>
    <w:next w:val="8"/>
    <w:qFormat/>
    <w:uiPriority w:val="0"/>
    <w:pPr>
      <w:snapToGrid w:val="0"/>
    </w:pPr>
    <w:rPr>
      <w:rFonts w:ascii="Arial" w:hAnsi="Arial"/>
    </w:rPr>
  </w:style>
  <w:style w:type="paragraph" w:styleId="14">
    <w:name w:val="footer"/>
    <w:basedOn w:val="1"/>
    <w:qFormat/>
    <w:uiPriority w:val="99"/>
    <w:pPr>
      <w:tabs>
        <w:tab w:val="center" w:pos="4153"/>
        <w:tab w:val="right" w:pos="8306"/>
      </w:tabs>
      <w:snapToGrid w:val="0"/>
      <w:jc w:val="left"/>
    </w:pPr>
    <w:rPr>
      <w:sz w:val="18"/>
      <w:szCs w:val="18"/>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pPr>
      <w:spacing w:before="120" w:beforeLines="0" w:after="120" w:afterLines="0"/>
      <w:jc w:val="left"/>
    </w:pPr>
    <w:rPr>
      <w:b/>
      <w:bCs/>
      <w:caps/>
      <w:sz w:val="20"/>
      <w:szCs w:val="20"/>
    </w:rPr>
  </w:style>
  <w:style w:type="paragraph" w:styleId="17">
    <w:name w:val="footnote text"/>
    <w:basedOn w:val="1"/>
    <w:qFormat/>
    <w:uiPriority w:val="0"/>
    <w:rPr>
      <w:sz w:val="20"/>
      <w:szCs w:val="20"/>
    </w:rPr>
  </w:style>
  <w:style w:type="paragraph" w:styleId="18">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9">
    <w:name w:val="Body Text First Indent 2"/>
    <w:basedOn w:val="12"/>
    <w:next w:val="1"/>
    <w:qFormat/>
    <w:uiPriority w:val="99"/>
    <w:pPr>
      <w:ind w:firstLine="420" w:firstLineChars="200"/>
    </w:p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0"/>
    <w:rPr>
      <w:b/>
      <w:bCs/>
    </w:rPr>
  </w:style>
  <w:style w:type="character" w:styleId="24">
    <w:name w:val="FollowedHyperlink"/>
    <w:basedOn w:val="22"/>
    <w:qFormat/>
    <w:uiPriority w:val="0"/>
    <w:rPr>
      <w:color w:val="5C5C5C"/>
      <w:u w:val="none"/>
    </w:rPr>
  </w:style>
  <w:style w:type="character" w:styleId="25">
    <w:name w:val="Emphasis"/>
    <w:basedOn w:val="22"/>
    <w:qFormat/>
    <w:uiPriority w:val="0"/>
    <w:rPr>
      <w:b/>
      <w:bCs/>
    </w:rPr>
  </w:style>
  <w:style w:type="character" w:styleId="26">
    <w:name w:val="HTML Definition"/>
    <w:basedOn w:val="22"/>
    <w:qFormat/>
    <w:uiPriority w:val="0"/>
  </w:style>
  <w:style w:type="character" w:styleId="27">
    <w:name w:val="HTML Typewriter"/>
    <w:basedOn w:val="22"/>
    <w:qFormat/>
    <w:uiPriority w:val="0"/>
    <w:rPr>
      <w:rFonts w:hint="default" w:ascii="monospace" w:hAnsi="monospace" w:eastAsia="monospace" w:cs="monospace"/>
      <w:sz w:val="20"/>
    </w:rPr>
  </w:style>
  <w:style w:type="character" w:styleId="28">
    <w:name w:val="HTML Acronym"/>
    <w:basedOn w:val="22"/>
    <w:qFormat/>
    <w:uiPriority w:val="0"/>
    <w:rPr>
      <w:vanish/>
    </w:rPr>
  </w:style>
  <w:style w:type="character" w:styleId="29">
    <w:name w:val="HTML Variable"/>
    <w:basedOn w:val="22"/>
    <w:qFormat/>
    <w:uiPriority w:val="0"/>
    <w:rPr>
      <w:bdr w:val="single" w:color="EBEBEB" w:sz="6" w:space="0"/>
      <w:shd w:val="clear" w:fill="FFFFFF"/>
    </w:rPr>
  </w:style>
  <w:style w:type="character" w:styleId="30">
    <w:name w:val="Hyperlink"/>
    <w:qFormat/>
    <w:uiPriority w:val="99"/>
    <w:rPr>
      <w:color w:val="333333"/>
      <w:u w:val="none"/>
    </w:rPr>
  </w:style>
  <w:style w:type="character" w:styleId="31">
    <w:name w:val="HTML Code"/>
    <w:basedOn w:val="22"/>
    <w:qFormat/>
    <w:uiPriority w:val="0"/>
    <w:rPr>
      <w:rFonts w:ascii="monospace" w:hAnsi="monospace" w:eastAsia="monospace" w:cs="monospace"/>
      <w:sz w:val="20"/>
    </w:rPr>
  </w:style>
  <w:style w:type="character" w:styleId="32">
    <w:name w:val="HTML Cite"/>
    <w:basedOn w:val="22"/>
    <w:qFormat/>
    <w:uiPriority w:val="0"/>
  </w:style>
  <w:style w:type="character" w:styleId="33">
    <w:name w:val="footnote reference"/>
    <w:qFormat/>
    <w:uiPriority w:val="0"/>
    <w:rPr>
      <w:vertAlign w:val="superscript"/>
    </w:rPr>
  </w:style>
  <w:style w:type="character" w:styleId="34">
    <w:name w:val="HTML Keyboard"/>
    <w:basedOn w:val="22"/>
    <w:qFormat/>
    <w:uiPriority w:val="0"/>
    <w:rPr>
      <w:rFonts w:hint="default" w:ascii="monospace" w:hAnsi="monospace" w:eastAsia="monospace" w:cs="monospace"/>
      <w:sz w:val="20"/>
    </w:rPr>
  </w:style>
  <w:style w:type="character" w:styleId="35">
    <w:name w:val="HTML Sample"/>
    <w:basedOn w:val="22"/>
    <w:qFormat/>
    <w:uiPriority w:val="0"/>
    <w:rPr>
      <w:rFonts w:hint="default" w:ascii="monospace" w:hAnsi="monospace" w:eastAsia="monospace" w:cs="monospace"/>
      <w:sz w:val="21"/>
      <w:szCs w:val="21"/>
    </w:rPr>
  </w:style>
  <w:style w:type="paragraph" w:customStyle="1" w:styleId="36">
    <w:name w:val="_Style 11"/>
    <w:basedOn w:val="2"/>
    <w:next w:val="1"/>
    <w:qFormat/>
    <w:uiPriority w:val="3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37">
    <w:name w:val="p0"/>
    <w:basedOn w:val="1"/>
    <w:qFormat/>
    <w:uiPriority w:val="0"/>
    <w:pPr>
      <w:widowControl/>
    </w:pPr>
    <w:rPr>
      <w:kern w:val="0"/>
      <w:szCs w:val="21"/>
    </w:rPr>
  </w:style>
  <w:style w:type="paragraph" w:customStyle="1" w:styleId="38">
    <w:name w:val="Table Paragraph"/>
    <w:basedOn w:val="1"/>
    <w:qFormat/>
    <w:uiPriority w:val="1"/>
    <w:rPr>
      <w:rFonts w:ascii="宋体" w:hAnsi="宋体" w:eastAsia="宋体" w:cs="宋体"/>
      <w:lang w:val="zh-CN" w:eastAsia="zh-CN" w:bidi="zh-CN"/>
    </w:rPr>
  </w:style>
  <w:style w:type="paragraph" w:customStyle="1" w:styleId="39">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1">
    <w:name w:val="列出段落1"/>
    <w:basedOn w:val="1"/>
    <w:qFormat/>
    <w:uiPriority w:val="34"/>
    <w:pPr>
      <w:ind w:firstLine="420" w:firstLineChars="200"/>
    </w:pPr>
  </w:style>
  <w:style w:type="paragraph" w:customStyle="1" w:styleId="42">
    <w:name w:val="Table Text"/>
    <w:basedOn w:val="1"/>
    <w:semiHidden/>
    <w:qFormat/>
    <w:uiPriority w:val="0"/>
    <w:rPr>
      <w:rFonts w:ascii="宋体" w:hAnsi="宋体" w:eastAsia="宋体" w:cs="宋体"/>
      <w:sz w:val="18"/>
      <w:szCs w:val="18"/>
      <w:lang w:val="en-US" w:eastAsia="en-US" w:bidi="ar-SA"/>
    </w:rPr>
  </w:style>
  <w:style w:type="table" w:customStyle="1" w:styleId="43">
    <w:name w:val="Table Normal"/>
    <w:unhideWhenUsed/>
    <w:qFormat/>
    <w:uiPriority w:val="0"/>
    <w:tblPr>
      <w:tblCellMar>
        <w:top w:w="0" w:type="dxa"/>
        <w:left w:w="0" w:type="dxa"/>
        <w:bottom w:w="0" w:type="dxa"/>
        <w:right w:w="0" w:type="dxa"/>
      </w:tblCellMar>
    </w:tblPr>
  </w:style>
  <w:style w:type="paragraph" w:customStyle="1" w:styleId="44">
    <w:name w:val="节标题"/>
    <w:basedOn w:val="1"/>
    <w:next w:val="1"/>
    <w:qFormat/>
    <w:uiPriority w:val="0"/>
    <w:pPr>
      <w:widowControl/>
      <w:spacing w:line="289" w:lineRule="atLeast"/>
      <w:jc w:val="center"/>
      <w:textAlignment w:val="baseline"/>
    </w:pPr>
    <w:rPr>
      <w:color w:val="000000"/>
      <w:kern w:val="0"/>
      <w:sz w:val="28"/>
      <w:szCs w:val="20"/>
      <w:u w:val="none" w:color="000000"/>
    </w:rPr>
  </w:style>
  <w:style w:type="paragraph" w:customStyle="1" w:styleId="45">
    <w:name w:val="List Paragraph"/>
    <w:basedOn w:val="1"/>
    <w:qFormat/>
    <w:uiPriority w:val="1"/>
    <w:pPr>
      <w:ind w:left="354" w:firstLine="420"/>
    </w:pPr>
    <w:rPr>
      <w:rFonts w:ascii="宋体" w:hAnsi="宋体" w:eastAsia="宋体" w:cs="宋体"/>
      <w:lang w:val="zh-CN" w:eastAsia="zh-CN" w:bidi="zh-CN"/>
    </w:rPr>
  </w:style>
  <w:style w:type="character" w:customStyle="1" w:styleId="46">
    <w:name w:val="hover"/>
    <w:basedOn w:val="22"/>
    <w:qFormat/>
    <w:uiPriority w:val="0"/>
  </w:style>
  <w:style w:type="character" w:customStyle="1" w:styleId="47">
    <w:name w:val="hover1"/>
    <w:basedOn w:val="22"/>
    <w:qFormat/>
    <w:uiPriority w:val="0"/>
    <w:rPr>
      <w:color w:val="2590EB"/>
    </w:rPr>
  </w:style>
  <w:style w:type="character" w:customStyle="1" w:styleId="48">
    <w:name w:val="hover2"/>
    <w:basedOn w:val="22"/>
    <w:qFormat/>
    <w:uiPriority w:val="0"/>
    <w:rPr>
      <w:color w:val="2590EB"/>
    </w:rPr>
  </w:style>
  <w:style w:type="character" w:customStyle="1" w:styleId="49">
    <w:name w:val="hover3"/>
    <w:basedOn w:val="22"/>
    <w:qFormat/>
    <w:uiPriority w:val="0"/>
    <w:rPr>
      <w:color w:val="2590EB"/>
      <w:shd w:val="clear" w:fill="E9F4FD"/>
    </w:rPr>
  </w:style>
  <w:style w:type="character" w:customStyle="1" w:styleId="50">
    <w:name w:val="mini-outputtext1"/>
    <w:basedOn w:val="22"/>
    <w:qFormat/>
    <w:uiPriority w:val="0"/>
  </w:style>
  <w:style w:type="character" w:customStyle="1" w:styleId="51">
    <w:name w:val="hover4"/>
    <w:basedOn w:val="22"/>
    <w:qFormat/>
    <w:uiPriority w:val="0"/>
  </w:style>
  <w:style w:type="character" w:customStyle="1" w:styleId="52">
    <w:name w:val="first-child"/>
    <w:basedOn w:val="22"/>
    <w:qFormat/>
    <w:uiPriority w:val="0"/>
  </w:style>
  <w:style w:type="character" w:customStyle="1" w:styleId="53">
    <w:name w:val="layui-this"/>
    <w:basedOn w:val="22"/>
    <w:qFormat/>
    <w:uiPriority w:val="0"/>
    <w:rPr>
      <w:bdr w:val="single" w:color="EEEEEE" w:sz="6" w:space="0"/>
      <w:shd w:val="clear" w:fill="FFFFFF"/>
    </w:rPr>
  </w:style>
  <w:style w:type="character" w:customStyle="1" w:styleId="54">
    <w:name w:val="font21"/>
    <w:basedOn w:val="22"/>
    <w:qFormat/>
    <w:uiPriority w:val="0"/>
    <w:rPr>
      <w:rFonts w:hint="default" w:ascii="Times New Roman" w:hAnsi="Times New Roman" w:cs="Times New Roman"/>
      <w:color w:val="000000"/>
      <w:sz w:val="22"/>
      <w:szCs w:val="22"/>
      <w:u w:val="none"/>
    </w:rPr>
  </w:style>
  <w:style w:type="character" w:customStyle="1" w:styleId="55">
    <w:name w:val="font11"/>
    <w:basedOn w:val="22"/>
    <w:qFormat/>
    <w:uiPriority w:val="0"/>
    <w:rPr>
      <w:rFonts w:hint="eastAsia" w:ascii="宋体" w:hAnsi="宋体" w:eastAsia="宋体" w:cs="宋体"/>
      <w:color w:val="000000"/>
      <w:sz w:val="22"/>
      <w:szCs w:val="22"/>
      <w:u w:val="none"/>
    </w:rPr>
  </w:style>
  <w:style w:type="paragraph" w:customStyle="1" w:styleId="56">
    <w:name w:val="范本-表格-宋体-五号-两端对齐"/>
    <w:basedOn w:val="1"/>
    <w:qFormat/>
    <w:uiPriority w:val="0"/>
    <w:pPr>
      <w:adjustRightInd w:val="0"/>
      <w:spacing w:line="400" w:lineRule="exact"/>
    </w:pPr>
    <w:rPr>
      <w:rFonts w:ascii="Calibri" w:hAnsi="Calibri" w:eastAsia="宋体" w:cs="Times New Roman"/>
      <w:szCs w:val="21"/>
    </w:rPr>
  </w:style>
  <w:style w:type="character" w:customStyle="1" w:styleId="57">
    <w:name w:val="font01"/>
    <w:basedOn w:val="22"/>
    <w:qFormat/>
    <w:uiPriority w:val="0"/>
    <w:rPr>
      <w:rFonts w:hint="eastAsia" w:ascii="宋体" w:hAnsi="宋体" w:eastAsia="宋体" w:cs="宋体"/>
      <w:color w:val="000000"/>
      <w:sz w:val="22"/>
      <w:szCs w:val="22"/>
      <w:u w:val="none"/>
    </w:rPr>
  </w:style>
  <w:style w:type="character" w:customStyle="1" w:styleId="58">
    <w:name w:val="font51"/>
    <w:basedOn w:val="22"/>
    <w:qFormat/>
    <w:uiPriority w:val="0"/>
    <w:rPr>
      <w:rFonts w:ascii="Calibri" w:hAnsi="Calibri" w:cs="Calibri"/>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169</Pages>
  <Words>17981</Words>
  <Characters>19462</Characters>
  <Lines>0</Lines>
  <Paragraphs>0</Paragraphs>
  <TotalTime>0</TotalTime>
  <ScaleCrop>false</ScaleCrop>
  <LinksUpToDate>false</LinksUpToDate>
  <CharactersWithSpaces>19930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2025-06-04T11:06:00Z</dcterms:created>
  <dc:creator>椰语百合</dc:creator>
  <cp:lastModifiedBy>韦韦</cp:lastModifiedBy>
  <cp:lastPrinted>2025-06-10T08:46:00Z</cp:lastPrinted>
  <dcterms:modified xsi:type="dcterms:W3CDTF">2026-07-08T03:10:24Z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7F85242AB9EA48A4BC8CCBD3102D98F3_13</vt:lpwstr>
  </property>
  <property fmtid="{D5CDD505-2E9C-101B-9397-08002B2CF9AE}" pid="4" name="KSOTemplateDocerSaveRecord">
    <vt:lpwstr>eyJoZGlkIjoiZmQ5MGI3YTdkMjVkZTZjM2ZjZTQ5YjMxYTJjZjRlOWEiLCJ1c2VySWQiOiIzNjE4MjQ5In0=</vt:lpwstr>
  </property>
</Properties>
</file>