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666DE">
      <w:pPr>
        <w:kinsoku/>
        <w:wordWrap w:val="0"/>
        <w:overflowPunct/>
        <w:topLinePunct w:val="0"/>
        <w:bidi w:val="0"/>
        <w:spacing w:before="156" w:beforeLines="50" w:after="156" w:afterLines="50"/>
        <w:ind w:left="-850" w:leftChars="-405" w:right="-625"/>
        <w:jc w:val="center"/>
        <w:outlineLvl w:val="0"/>
        <w:rPr>
          <w:rFonts w:hint="eastAsia" w:ascii="新宋体" w:hAnsi="新宋体" w:eastAsia="新宋体" w:cs="新宋体"/>
          <w:b/>
          <w:bCs/>
          <w:color w:val="auto"/>
          <w:spacing w:val="1"/>
          <w:sz w:val="47"/>
          <w:szCs w:val="47"/>
          <w:highlight w:val="none"/>
          <w:lang w:eastAsia="zh-CN"/>
        </w:rPr>
      </w:pPr>
      <w:bookmarkStart w:id="0" w:name="OLE_LINK1"/>
    </w:p>
    <w:p w14:paraId="7A332A64">
      <w:pPr>
        <w:keepNext w:val="0"/>
        <w:keepLines w:val="0"/>
        <w:pageBreakBefore w:val="0"/>
        <w:widowControl w:val="0"/>
        <w:kinsoku/>
        <w:wordWrap w:val="0"/>
        <w:overflowPunct/>
        <w:topLinePunct w:val="0"/>
        <w:autoSpaceDE/>
        <w:autoSpaceDN/>
        <w:bidi w:val="0"/>
        <w:adjustRightInd/>
        <w:snapToGrid/>
        <w:spacing w:before="156" w:beforeLines="50" w:after="156" w:afterLines="50"/>
        <w:ind w:left="0" w:leftChars="0" w:right="0"/>
        <w:jc w:val="center"/>
        <w:textAlignment w:val="auto"/>
        <w:outlineLvl w:val="0"/>
        <w:rPr>
          <w:rFonts w:hint="eastAsia" w:ascii="新宋体" w:hAnsi="新宋体" w:eastAsia="新宋体"/>
          <w:b/>
          <w:color w:val="auto"/>
          <w:sz w:val="48"/>
          <w:szCs w:val="48"/>
          <w:highlight w:val="none"/>
          <w:lang w:val="en-US" w:eastAsia="zh-CN"/>
        </w:rPr>
      </w:pPr>
      <w:r>
        <w:rPr>
          <w:rFonts w:hint="eastAsia" w:ascii="新宋体" w:hAnsi="新宋体" w:eastAsia="新宋体"/>
          <w:b/>
          <w:color w:val="auto"/>
          <w:kern w:val="2"/>
          <w:sz w:val="44"/>
          <w:szCs w:val="44"/>
          <w:highlight w:val="none"/>
          <w:lang w:eastAsia="zh-CN"/>
        </w:rPr>
        <w:t>中新苏滁高新区兰州路</w:t>
      </w:r>
      <w:r>
        <w:rPr>
          <w:rFonts w:hint="eastAsia" w:ascii="新宋体" w:hAnsi="新宋体" w:eastAsia="新宋体"/>
          <w:b/>
          <w:color w:val="auto"/>
          <w:kern w:val="2"/>
          <w:sz w:val="44"/>
          <w:szCs w:val="44"/>
          <w:highlight w:val="none"/>
          <w:lang w:val="en-US" w:eastAsia="zh-CN"/>
        </w:rPr>
        <w:t>及杭州路</w:t>
      </w:r>
      <w:r>
        <w:rPr>
          <w:rFonts w:hint="eastAsia" w:ascii="新宋体" w:hAnsi="新宋体" w:eastAsia="新宋体"/>
          <w:b/>
          <w:color w:val="auto"/>
          <w:kern w:val="2"/>
          <w:sz w:val="44"/>
          <w:szCs w:val="44"/>
          <w:highlight w:val="none"/>
          <w:lang w:eastAsia="zh-CN"/>
        </w:rPr>
        <w:t>垃圾中转站202</w:t>
      </w:r>
      <w:r>
        <w:rPr>
          <w:rFonts w:hint="eastAsia" w:ascii="新宋体" w:hAnsi="新宋体" w:eastAsia="新宋体"/>
          <w:b/>
          <w:color w:val="auto"/>
          <w:kern w:val="2"/>
          <w:sz w:val="44"/>
          <w:szCs w:val="44"/>
          <w:highlight w:val="none"/>
          <w:lang w:val="en-US" w:eastAsia="zh-CN"/>
        </w:rPr>
        <w:t>6-2029</w:t>
      </w:r>
      <w:r>
        <w:rPr>
          <w:rFonts w:hint="eastAsia" w:ascii="新宋体" w:hAnsi="新宋体" w:eastAsia="新宋体"/>
          <w:b/>
          <w:color w:val="auto"/>
          <w:kern w:val="2"/>
          <w:sz w:val="44"/>
          <w:szCs w:val="44"/>
          <w:highlight w:val="none"/>
          <w:lang w:eastAsia="zh-CN"/>
        </w:rPr>
        <w:t>年度服务</w:t>
      </w:r>
      <w:r>
        <w:rPr>
          <w:rFonts w:hint="eastAsia" w:ascii="新宋体" w:hAnsi="新宋体" w:eastAsia="新宋体"/>
          <w:b/>
          <w:color w:val="auto"/>
          <w:kern w:val="2"/>
          <w:sz w:val="44"/>
          <w:szCs w:val="44"/>
          <w:highlight w:val="none"/>
          <w:lang w:val="en-US" w:eastAsia="zh-CN"/>
        </w:rPr>
        <w:t>项目</w:t>
      </w:r>
    </w:p>
    <w:p w14:paraId="0F1F8AAA">
      <w:pPr>
        <w:kinsoku/>
        <w:wordWrap w:val="0"/>
        <w:overflowPunct/>
        <w:topLinePunct w:val="0"/>
        <w:bidi w:val="0"/>
        <w:spacing w:before="156" w:beforeLines="50" w:after="156" w:afterLines="50"/>
        <w:ind w:left="-850" w:leftChars="-405" w:right="-625"/>
        <w:jc w:val="center"/>
        <w:rPr>
          <w:rFonts w:hint="eastAsia" w:ascii="新宋体" w:hAnsi="新宋体" w:eastAsia="新宋体"/>
          <w:b/>
          <w:color w:val="auto"/>
          <w:sz w:val="44"/>
          <w:szCs w:val="44"/>
          <w:highlight w:val="none"/>
          <w:lang w:val="en-US" w:eastAsia="zh-CN"/>
        </w:rPr>
      </w:pPr>
    </w:p>
    <w:p w14:paraId="41E21688">
      <w:pPr>
        <w:kinsoku/>
        <w:wordWrap w:val="0"/>
        <w:overflowPunct/>
        <w:topLinePunct w:val="0"/>
        <w:bidi w:val="0"/>
        <w:spacing w:before="156" w:beforeLines="50" w:after="156" w:afterLines="50"/>
        <w:ind w:left="-850" w:leftChars="-405" w:right="-625"/>
        <w:jc w:val="center"/>
        <w:rPr>
          <w:rFonts w:hint="eastAsia" w:ascii="宋体" w:hAnsi="宋体"/>
          <w:color w:val="auto"/>
          <w:sz w:val="40"/>
          <w:szCs w:val="36"/>
          <w:highlight w:val="none"/>
        </w:rPr>
      </w:pPr>
      <w:r>
        <w:rPr>
          <w:rFonts w:hint="eastAsia" w:ascii="宋体" w:hAnsi="宋体"/>
          <w:color w:val="auto"/>
          <w:sz w:val="40"/>
          <w:szCs w:val="36"/>
          <w:highlight w:val="none"/>
        </w:rPr>
        <w:t>（电子招标投标）</w:t>
      </w:r>
    </w:p>
    <w:p w14:paraId="7C457A36">
      <w:pPr>
        <w:pStyle w:val="12"/>
        <w:kinsoku/>
        <w:wordWrap w:val="0"/>
        <w:overflowPunct/>
        <w:topLinePunct w:val="0"/>
        <w:bidi w:val="0"/>
        <w:ind w:left="0" w:leftChars="0" w:firstLine="3360" w:firstLineChars="1400"/>
        <w:rPr>
          <w:rFonts w:hint="eastAsia"/>
          <w:color w:val="auto"/>
          <w:sz w:val="24"/>
          <w:highlight w:val="none"/>
        </w:rPr>
      </w:pPr>
    </w:p>
    <w:p w14:paraId="172CB5E5">
      <w:pPr>
        <w:pStyle w:val="12"/>
        <w:kinsoku/>
        <w:wordWrap w:val="0"/>
        <w:overflowPunct/>
        <w:topLinePunct w:val="0"/>
        <w:bidi w:val="0"/>
        <w:ind w:left="0" w:leftChars="0" w:firstLine="3360" w:firstLineChars="1400"/>
        <w:rPr>
          <w:rFonts w:hint="eastAsia"/>
          <w:color w:val="auto"/>
          <w:sz w:val="24"/>
          <w:highlight w:val="none"/>
        </w:rPr>
      </w:pPr>
    </w:p>
    <w:p w14:paraId="47D4EBB1">
      <w:pPr>
        <w:pStyle w:val="12"/>
        <w:kinsoku/>
        <w:wordWrap w:val="0"/>
        <w:overflowPunct/>
        <w:topLinePunct w:val="0"/>
        <w:bidi w:val="0"/>
        <w:ind w:left="0" w:leftChars="0" w:firstLine="0" w:firstLineChars="0"/>
        <w:jc w:val="center"/>
        <w:rPr>
          <w:rFonts w:hint="default" w:eastAsia="宋体"/>
          <w:color w:val="auto"/>
          <w:sz w:val="24"/>
          <w:highlight w:val="none"/>
          <w:lang w:val="en-US" w:eastAsia="zh-CN"/>
        </w:rPr>
      </w:pPr>
      <w:r>
        <w:rPr>
          <w:rFonts w:hint="eastAsia"/>
          <w:color w:val="auto"/>
          <w:sz w:val="24"/>
          <w:highlight w:val="none"/>
        </w:rPr>
        <w:t>项目编号</w:t>
      </w:r>
      <w:r>
        <w:rPr>
          <w:rFonts w:hint="eastAsia"/>
          <w:color w:val="auto"/>
          <w:sz w:val="24"/>
          <w:highlight w:val="none"/>
          <w:lang w:eastAsia="zh-CN"/>
        </w:rPr>
        <w:t>：</w:t>
      </w:r>
      <w:r>
        <w:rPr>
          <w:rFonts w:hint="eastAsia"/>
          <w:color w:val="auto"/>
          <w:sz w:val="24"/>
          <w:highlight w:val="none"/>
          <w:lang w:val="en-US" w:eastAsia="zh-CN"/>
        </w:rPr>
        <w:t xml:space="preserve">czsjqt202602-008 </w:t>
      </w:r>
    </w:p>
    <w:p w14:paraId="4BAF0646">
      <w:pPr>
        <w:pStyle w:val="54"/>
        <w:kinsoku/>
        <w:wordWrap w:val="0"/>
        <w:overflowPunct/>
        <w:topLinePunct w:val="0"/>
        <w:bidi w:val="0"/>
        <w:ind w:firstLine="0" w:firstLineChars="0"/>
        <w:rPr>
          <w:rFonts w:hint="eastAsia"/>
          <w:color w:val="auto"/>
          <w:highlight w:val="none"/>
        </w:rPr>
      </w:pPr>
    </w:p>
    <w:p w14:paraId="7E474243">
      <w:pPr>
        <w:pStyle w:val="54"/>
        <w:kinsoku/>
        <w:wordWrap w:val="0"/>
        <w:overflowPunct/>
        <w:topLinePunct w:val="0"/>
        <w:bidi w:val="0"/>
        <w:ind w:firstLine="480"/>
        <w:rPr>
          <w:rFonts w:hint="eastAsia"/>
          <w:color w:val="auto"/>
          <w:highlight w:val="none"/>
        </w:rPr>
      </w:pPr>
    </w:p>
    <w:p w14:paraId="04C16649">
      <w:pPr>
        <w:kinsoku/>
        <w:wordWrap w:val="0"/>
        <w:overflowPunct/>
        <w:topLinePunct w:val="0"/>
        <w:bidi w:val="0"/>
        <w:rPr>
          <w:rFonts w:hint="eastAsia" w:ascii="宋体"/>
          <w:bCs/>
          <w:color w:val="auto"/>
          <w:szCs w:val="21"/>
          <w:highlight w:val="none"/>
        </w:rPr>
      </w:pPr>
    </w:p>
    <w:p w14:paraId="4FAF5586">
      <w:pPr>
        <w:kinsoku/>
        <w:wordWrap w:val="0"/>
        <w:overflowPunct/>
        <w:topLinePunct w:val="0"/>
        <w:bidi w:val="0"/>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5B47F4ED">
      <w:pPr>
        <w:kinsoku/>
        <w:wordWrap w:val="0"/>
        <w:overflowPunct/>
        <w:topLinePunct w:val="0"/>
        <w:bidi w:val="0"/>
        <w:rPr>
          <w:rFonts w:hint="eastAsia" w:ascii="宋体"/>
          <w:bCs/>
          <w:color w:val="auto"/>
          <w:szCs w:val="21"/>
          <w:highlight w:val="none"/>
        </w:rPr>
      </w:pPr>
    </w:p>
    <w:p w14:paraId="056742A0">
      <w:pPr>
        <w:kinsoku/>
        <w:wordWrap w:val="0"/>
        <w:overflowPunct/>
        <w:topLinePunct w:val="0"/>
        <w:bidi w:val="0"/>
        <w:rPr>
          <w:rFonts w:hint="eastAsia" w:ascii="宋体" w:hAnsi="宋体" w:eastAsia="宋体"/>
          <w:b/>
          <w:color w:val="auto"/>
          <w:sz w:val="84"/>
          <w:szCs w:val="84"/>
          <w:highlight w:val="none"/>
          <w:lang w:val="en-US" w:eastAsia="zh-CN"/>
        </w:rPr>
      </w:pPr>
      <w:r>
        <w:rPr>
          <w:rFonts w:hint="eastAsia" w:ascii="宋体" w:hAnsi="宋体"/>
          <w:b/>
          <w:color w:val="auto"/>
          <w:sz w:val="84"/>
          <w:szCs w:val="84"/>
          <w:highlight w:val="none"/>
          <w:lang w:val="en-US" w:eastAsia="zh-CN"/>
        </w:rPr>
        <w:t xml:space="preserve"> </w:t>
      </w:r>
    </w:p>
    <w:p w14:paraId="08FEC5C9">
      <w:pPr>
        <w:kinsoku/>
        <w:wordWrap w:val="0"/>
        <w:overflowPunct/>
        <w:topLinePunct w:val="0"/>
        <w:bidi w:val="0"/>
        <w:spacing w:before="312" w:beforeLines="100" w:after="312" w:afterLines="100" w:line="360" w:lineRule="auto"/>
        <w:jc w:val="left"/>
        <w:rPr>
          <w:rFonts w:hint="default"/>
          <w:color w:val="auto"/>
          <w:highlight w:val="none"/>
          <w:lang w:val="en-US" w:eastAsia="zh-CN"/>
        </w:rPr>
      </w:pPr>
    </w:p>
    <w:p w14:paraId="4B855B5E">
      <w:pPr>
        <w:pStyle w:val="12"/>
        <w:kinsoku/>
        <w:wordWrap w:val="0"/>
        <w:overflowPunct/>
        <w:topLinePunct w:val="0"/>
        <w:bidi w:val="0"/>
        <w:rPr>
          <w:rFonts w:hint="eastAsia"/>
          <w:color w:val="auto"/>
          <w:highlight w:val="none"/>
        </w:rPr>
      </w:pPr>
    </w:p>
    <w:p w14:paraId="7826D1BD">
      <w:pPr>
        <w:kinsoku/>
        <w:wordWrap w:val="0"/>
        <w:overflowPunct/>
        <w:topLinePunct w:val="0"/>
        <w:bidi w:val="0"/>
        <w:spacing w:before="312" w:beforeLines="100" w:after="312" w:afterLines="100" w:line="480" w:lineRule="auto"/>
        <w:ind w:right="-199" w:rightChars="-95" w:firstLine="964" w:firstLineChars="300"/>
        <w:jc w:val="left"/>
        <w:outlineLvl w:val="0"/>
        <w:rPr>
          <w:rFonts w:hint="eastAsia" w:ascii="宋体"/>
          <w:b/>
          <w:color w:val="auto"/>
          <w:sz w:val="32"/>
          <w:szCs w:val="32"/>
          <w:highlight w:val="none"/>
        </w:rPr>
      </w:pPr>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人：</w:t>
      </w:r>
      <w:r>
        <w:rPr>
          <w:rFonts w:hint="eastAsia" w:ascii="宋体"/>
          <w:b/>
          <w:color w:val="auto"/>
          <w:sz w:val="32"/>
          <w:szCs w:val="32"/>
          <w:highlight w:val="none"/>
          <w:u w:val="single"/>
          <w:lang w:val="en-US" w:eastAsia="zh-CN"/>
        </w:rPr>
        <w:t>滁州市苏滁市政公用发展有限公司</w:t>
      </w:r>
      <w:r>
        <w:rPr>
          <w:rFonts w:hint="eastAsia" w:ascii="宋体"/>
          <w:b/>
          <w:color w:val="auto"/>
          <w:sz w:val="32"/>
          <w:szCs w:val="32"/>
          <w:highlight w:val="none"/>
        </w:rPr>
        <w:t>（盖单位章）</w:t>
      </w:r>
    </w:p>
    <w:p w14:paraId="78A1ED7A">
      <w:pPr>
        <w:kinsoku/>
        <w:wordWrap w:val="0"/>
        <w:overflowPunct/>
        <w:topLinePunct w:val="0"/>
        <w:bidi w:val="0"/>
        <w:spacing w:before="312" w:beforeLines="100" w:after="312" w:afterLines="100" w:line="480" w:lineRule="auto"/>
        <w:ind w:firstLine="964" w:firstLineChars="300"/>
        <w:outlineLvl w:val="0"/>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5178CC57">
      <w:pPr>
        <w:kinsoku/>
        <w:wordWrap w:val="0"/>
        <w:overflowPunct/>
        <w:topLinePunct w:val="0"/>
        <w:bidi w:val="0"/>
        <w:spacing w:before="312" w:beforeLines="100" w:after="312" w:afterLines="100" w:line="480" w:lineRule="auto"/>
        <w:jc w:val="center"/>
        <w:rPr>
          <w:rFonts w:hint="eastAsia"/>
          <w:b/>
          <w:color w:val="auto"/>
          <w:sz w:val="36"/>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02</w:t>
      </w:r>
      <w:r>
        <w:rPr>
          <w:rFonts w:hint="eastAsia" w:ascii="宋体"/>
          <w:b/>
          <w:color w:val="auto"/>
          <w:sz w:val="32"/>
          <w:szCs w:val="32"/>
          <w:highlight w:val="none"/>
        </w:rPr>
        <w:t>月</w:t>
      </w:r>
    </w:p>
    <w:p w14:paraId="33353F90">
      <w:pPr>
        <w:pStyle w:val="13"/>
        <w:kinsoku/>
        <w:wordWrap w:val="0"/>
        <w:overflowPunct/>
        <w:topLinePunct w:val="0"/>
        <w:bidi w:val="0"/>
        <w:ind w:left="420"/>
        <w:rPr>
          <w:rFonts w:hint="eastAsia"/>
          <w:color w:val="auto"/>
          <w:highlight w:val="none"/>
        </w:rPr>
        <w:sectPr>
          <w:headerReference r:id="rId3" w:type="default"/>
          <w:footerReference r:id="rId4" w:type="default"/>
          <w:pgSz w:w="11906" w:h="16838"/>
          <w:pgMar w:top="1417" w:right="1361" w:bottom="1417"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6B742B0">
      <w:pPr>
        <w:pStyle w:val="14"/>
        <w:kinsoku/>
        <w:wordWrap w:val="0"/>
        <w:overflowPunct/>
        <w:topLinePunct w:val="0"/>
        <w:bidi w:val="0"/>
        <w:rPr>
          <w:rFonts w:hint="eastAsia"/>
          <w:color w:val="auto"/>
          <w:highlight w:val="none"/>
        </w:rPr>
      </w:pPr>
    </w:p>
    <w:p w14:paraId="4C2F898F">
      <w:pPr>
        <w:pStyle w:val="14"/>
        <w:kinsoku/>
        <w:wordWrap w:val="0"/>
        <w:overflowPunct/>
        <w:topLinePunct w:val="0"/>
        <w:bidi w:val="0"/>
        <w:rPr>
          <w:rFonts w:hint="eastAsia"/>
          <w:color w:val="auto"/>
          <w:highlight w:val="none"/>
        </w:rPr>
      </w:pPr>
    </w:p>
    <w:p w14:paraId="4D038C7D">
      <w:pPr>
        <w:kinsoku/>
        <w:wordWrap w:val="0"/>
        <w:overflowPunct/>
        <w:topLinePunct w:val="0"/>
        <w:bidi w:val="0"/>
        <w:spacing w:line="360" w:lineRule="exact"/>
        <w:jc w:val="both"/>
        <w:rPr>
          <w:rFonts w:hint="eastAsia"/>
          <w:b/>
          <w:color w:val="auto"/>
          <w:sz w:val="36"/>
          <w:highlight w:val="none"/>
        </w:rPr>
      </w:pPr>
    </w:p>
    <w:p w14:paraId="38D844F0">
      <w:pPr>
        <w:kinsoku/>
        <w:wordWrap w:val="0"/>
        <w:overflowPunct/>
        <w:topLinePunct w:val="0"/>
        <w:bidi w:val="0"/>
        <w:spacing w:line="360" w:lineRule="auto"/>
        <w:jc w:val="center"/>
        <w:rPr>
          <w:rFonts w:hint="eastAsia"/>
          <w:b/>
          <w:color w:val="auto"/>
          <w:sz w:val="44"/>
          <w:szCs w:val="32"/>
          <w:highlight w:val="none"/>
        </w:rPr>
      </w:pPr>
      <w:r>
        <w:rPr>
          <w:rFonts w:hint="eastAsia"/>
          <w:b/>
          <w:color w:val="auto"/>
          <w:sz w:val="44"/>
          <w:szCs w:val="32"/>
          <w:highlight w:val="none"/>
        </w:rPr>
        <w:t>目  录</w:t>
      </w:r>
    </w:p>
    <w:p w14:paraId="6F2A410F">
      <w:pPr>
        <w:keepNext w:val="0"/>
        <w:keepLines w:val="0"/>
        <w:pageBreakBefore w:val="0"/>
        <w:widowControl w:val="0"/>
        <w:kinsoku/>
        <w:wordWrap w:val="0"/>
        <w:overflowPunct/>
        <w:topLinePunct w:val="0"/>
        <w:autoSpaceDE/>
        <w:autoSpaceDN/>
        <w:bidi w:val="0"/>
        <w:spacing w:line="720" w:lineRule="auto"/>
        <w:ind w:left="0"/>
        <w:jc w:val="center"/>
        <w:textAlignment w:val="auto"/>
        <w:rPr>
          <w:rFonts w:hint="eastAsia"/>
          <w:b/>
          <w:color w:val="auto"/>
          <w:sz w:val="36"/>
          <w:highlight w:val="none"/>
        </w:rPr>
      </w:pPr>
    </w:p>
    <w:p w14:paraId="0FA16566">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jc w:val="center"/>
        <w:textAlignment w:val="auto"/>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6"/>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6"/>
          <w:rFonts w:ascii="宋体" w:hAnsi="宋体"/>
          <w:color w:val="auto"/>
          <w:sz w:val="24"/>
          <w:highlight w:val="none"/>
        </w:rPr>
        <w:instrText xml:space="preserve"> </w:instrText>
      </w:r>
      <w:r>
        <w:rPr>
          <w:rFonts w:ascii="宋体" w:hAnsi="宋体"/>
          <w:color w:val="auto"/>
          <w:sz w:val="24"/>
          <w:highlight w:val="none"/>
        </w:rPr>
        <w:fldChar w:fldCharType="separate"/>
      </w:r>
      <w:r>
        <w:rPr>
          <w:rStyle w:val="46"/>
          <w:rFonts w:hint="eastAsia" w:ascii="宋体" w:hAnsi="宋体"/>
          <w:b/>
          <w:color w:val="auto"/>
          <w:sz w:val="24"/>
          <w:highlight w:val="none"/>
        </w:rPr>
        <w:t>第一章</w:t>
      </w:r>
      <w:r>
        <w:rPr>
          <w:rStyle w:val="46"/>
          <w:rFonts w:ascii="宋体" w:hAnsi="宋体"/>
          <w:b/>
          <w:color w:val="auto"/>
          <w:sz w:val="24"/>
          <w:highlight w:val="none"/>
        </w:rPr>
        <w:t xml:space="preserve"> </w:t>
      </w:r>
      <w:r>
        <w:rPr>
          <w:rStyle w:val="46"/>
          <w:rFonts w:hint="eastAsia" w:ascii="宋体" w:hAnsi="宋体"/>
          <w:b/>
          <w:color w:val="auto"/>
          <w:sz w:val="24"/>
          <w:highlight w:val="none"/>
        </w:rPr>
        <w:t>招标公告</w:t>
      </w:r>
      <w:r>
        <w:rPr>
          <w:rFonts w:ascii="宋体" w:hAnsi="宋体"/>
          <w:b/>
          <w:color w:val="auto"/>
          <w:sz w:val="24"/>
          <w:highlight w:val="none"/>
        </w:rPr>
        <w:tab/>
      </w:r>
      <w:r>
        <w:rPr>
          <w:rFonts w:hint="eastAsia" w:ascii="宋体" w:hAnsi="宋体"/>
          <w:b/>
          <w:color w:val="auto"/>
          <w:sz w:val="24"/>
          <w:highlight w:val="none"/>
          <w:lang w:val="en-US" w:eastAsia="zh-CN"/>
        </w:rPr>
        <w:t>3</w:t>
      </w:r>
      <w:r>
        <w:rPr>
          <w:rFonts w:ascii="宋体" w:hAnsi="宋体"/>
          <w:b/>
          <w:color w:val="auto"/>
          <w:sz w:val="24"/>
          <w:highlight w:val="none"/>
        </w:rPr>
        <w:fldChar w:fldCharType="end"/>
      </w:r>
    </w:p>
    <w:p w14:paraId="5614AA93">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jc w:val="center"/>
        <w:textAlignment w:val="auto"/>
        <w:rPr>
          <w:rFonts w:ascii="宋体" w:hAnsi="宋体"/>
          <w:b/>
          <w:color w:val="auto"/>
          <w:sz w:val="24"/>
          <w:highlight w:val="none"/>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第二章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投标人须知</w:t>
      </w:r>
      <w:r>
        <w:rPr>
          <w:rFonts w:ascii="宋体" w:hAnsi="宋体"/>
          <w:b/>
          <w:color w:val="auto"/>
          <w:sz w:val="24"/>
          <w:highlight w:val="none"/>
        </w:rPr>
        <w:tab/>
      </w:r>
      <w:r>
        <w:rPr>
          <w:rFonts w:hint="eastAsia" w:ascii="宋体" w:hAnsi="宋体"/>
          <w:b/>
          <w:color w:val="auto"/>
          <w:sz w:val="24"/>
          <w:highlight w:val="none"/>
          <w:lang w:val="en-US" w:eastAsia="zh-CN"/>
        </w:rPr>
        <w:t>7</w:t>
      </w:r>
      <w:r>
        <w:rPr>
          <w:rFonts w:ascii="宋体" w:hAnsi="宋体"/>
          <w:b/>
          <w:color w:val="auto"/>
          <w:sz w:val="24"/>
          <w:highlight w:val="none"/>
        </w:rPr>
        <w:fldChar w:fldCharType="end"/>
      </w:r>
    </w:p>
    <w:p w14:paraId="1C19A4B9">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jc w:val="center"/>
        <w:textAlignment w:val="auto"/>
        <w:rPr>
          <w:rFonts w:hint="eastAsia" w:ascii="宋体" w:hAnsi="宋体" w:eastAsia="宋体"/>
          <w:b/>
          <w:color w:val="auto"/>
          <w:sz w:val="24"/>
          <w:highlight w:val="none"/>
          <w:lang w:val="en-US" w:eastAsia="zh-CN"/>
        </w:rPr>
      </w:pPr>
      <w:r>
        <w:rPr>
          <w:rStyle w:val="46"/>
          <w:rFonts w:hint="eastAsia" w:ascii="宋体" w:hAnsi="宋体"/>
          <w:b/>
          <w:color w:val="auto"/>
          <w:sz w:val="24"/>
          <w:highlight w:val="none"/>
        </w:rPr>
        <w:t>第三章 资格审查办法</w:t>
      </w: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tab/>
      </w:r>
      <w:r>
        <w:rPr>
          <w:rFonts w:hint="eastAsia" w:ascii="宋体" w:hAnsi="宋体"/>
          <w:b/>
          <w:color w:val="auto"/>
          <w:sz w:val="24"/>
          <w:highlight w:val="none"/>
          <w:lang w:val="en-US" w:eastAsia="zh-CN"/>
        </w:rPr>
        <w:t>2</w:t>
      </w:r>
      <w:r>
        <w:rPr>
          <w:rFonts w:ascii="宋体" w:hAnsi="宋体"/>
          <w:b/>
          <w:color w:val="auto"/>
          <w:sz w:val="24"/>
          <w:highlight w:val="none"/>
        </w:rPr>
        <w:fldChar w:fldCharType="end"/>
      </w:r>
      <w:r>
        <w:rPr>
          <w:rFonts w:hint="eastAsia" w:ascii="宋体" w:hAnsi="宋体"/>
          <w:b/>
          <w:color w:val="auto"/>
          <w:sz w:val="24"/>
          <w:highlight w:val="none"/>
          <w:lang w:val="en-US" w:eastAsia="zh-CN"/>
        </w:rPr>
        <w:t>6</w:t>
      </w:r>
    </w:p>
    <w:p w14:paraId="79548DCD">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jc w:val="center"/>
        <w:textAlignment w:val="auto"/>
        <w:rPr>
          <w:rFonts w:hint="eastAsia" w:ascii="宋体" w:eastAsia="宋体"/>
          <w:b/>
          <w:color w:val="auto"/>
          <w:sz w:val="32"/>
          <w:szCs w:val="32"/>
          <w:highlight w:val="none"/>
          <w:lang w:val="en-US" w:eastAsia="zh-CN"/>
        </w:rPr>
      </w:pPr>
      <w:r>
        <w:rPr>
          <w:rStyle w:val="46"/>
          <w:rFonts w:hint="eastAsia" w:ascii="宋体" w:hAnsi="宋体"/>
          <w:b/>
          <w:color w:val="auto"/>
          <w:sz w:val="24"/>
          <w:highlight w:val="none"/>
        </w:rPr>
        <w:t>第四章</w:t>
      </w:r>
      <w:r>
        <w:rPr>
          <w:rStyle w:val="46"/>
          <w:rFonts w:ascii="宋体" w:hAnsi="宋体"/>
          <w:b/>
          <w:color w:val="auto"/>
          <w:sz w:val="24"/>
          <w:highlight w:val="none"/>
        </w:rPr>
        <w:t xml:space="preserve"> </w:t>
      </w:r>
      <w:r>
        <w:rPr>
          <w:rStyle w:val="46"/>
          <w:rFonts w:hint="eastAsia" w:ascii="宋体" w:hAnsi="宋体"/>
          <w:b/>
          <w:color w:val="auto"/>
          <w:sz w:val="24"/>
          <w:highlight w:val="none"/>
        </w:rPr>
        <w:t>评标办法</w:t>
      </w:r>
      <w:r>
        <w:rPr>
          <w:rStyle w:val="46"/>
          <w:rFonts w:hint="eastAsia" w:ascii="宋体" w:hAnsi="宋体"/>
          <w:b/>
          <w:color w:val="auto"/>
          <w:sz w:val="24"/>
          <w:highlight w:val="none"/>
          <w:lang w:eastAsia="zh-CN"/>
        </w:rPr>
        <w:t>（</w:t>
      </w:r>
      <w:r>
        <w:rPr>
          <w:rStyle w:val="46"/>
          <w:rFonts w:hint="eastAsia" w:ascii="宋体" w:hAnsi="宋体"/>
          <w:b/>
          <w:color w:val="auto"/>
          <w:sz w:val="24"/>
          <w:highlight w:val="none"/>
          <w:lang w:val="en-US" w:eastAsia="zh-CN"/>
        </w:rPr>
        <w:t>综合评分法</w:t>
      </w:r>
      <w:r>
        <w:rPr>
          <w:rStyle w:val="46"/>
          <w:rFonts w:hint="eastAsia" w:ascii="宋体" w:hAnsi="宋体"/>
          <w:b/>
          <w:color w:val="auto"/>
          <w:sz w:val="24"/>
          <w:highlight w:val="none"/>
          <w:lang w:eastAsia="zh-CN"/>
        </w:rPr>
        <w:t>）</w:t>
      </w:r>
      <w:r>
        <w:rPr>
          <w:rFonts w:ascii="宋体" w:hAnsi="宋体"/>
          <w:b/>
          <w:color w:val="auto"/>
          <w:sz w:val="24"/>
          <w:highlight w:val="none"/>
        </w:rPr>
        <w:tab/>
      </w:r>
      <w:r>
        <w:rPr>
          <w:rFonts w:hint="eastAsia" w:ascii="宋体" w:hAnsi="宋体"/>
          <w:b/>
          <w:color w:val="auto"/>
          <w:sz w:val="24"/>
          <w:highlight w:val="none"/>
        </w:rPr>
        <w:t>2</w:t>
      </w:r>
      <w:r>
        <w:rPr>
          <w:rFonts w:hint="eastAsia" w:ascii="宋体" w:hAnsi="宋体"/>
          <w:b/>
          <w:color w:val="auto"/>
          <w:sz w:val="24"/>
          <w:highlight w:val="none"/>
          <w:lang w:val="en-US" w:eastAsia="zh-CN"/>
        </w:rPr>
        <w:t>8</w:t>
      </w:r>
    </w:p>
    <w:p w14:paraId="3AEA599E">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jc w:val="center"/>
        <w:textAlignment w:val="auto"/>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"_Toc58430328"</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第五章</w:t>
      </w:r>
      <w:r>
        <w:rPr>
          <w:rStyle w:val="46"/>
          <w:rFonts w:ascii="宋体" w:hAnsi="宋体"/>
          <w:b/>
          <w:color w:val="auto"/>
          <w:sz w:val="24"/>
          <w:highlight w:val="none"/>
        </w:rPr>
        <w:t xml:space="preserve"> </w:t>
      </w:r>
      <w:r>
        <w:rPr>
          <w:rStyle w:val="46"/>
          <w:rFonts w:hint="eastAsia" w:ascii="宋体" w:hAnsi="宋体"/>
          <w:b/>
          <w:color w:val="auto"/>
          <w:sz w:val="24"/>
          <w:highlight w:val="none"/>
          <w:lang w:eastAsia="zh-CN"/>
        </w:rPr>
        <w:t>采购需求</w:t>
      </w:r>
      <w:r>
        <w:rPr>
          <w:rFonts w:ascii="宋体" w:hAnsi="宋体"/>
          <w:b/>
          <w:color w:val="auto"/>
          <w:sz w:val="24"/>
          <w:highlight w:val="none"/>
        </w:rPr>
        <w:tab/>
      </w:r>
      <w:r>
        <w:rPr>
          <w:rFonts w:hint="eastAsia" w:ascii="宋体" w:hAnsi="宋体"/>
          <w:b/>
          <w:color w:val="auto"/>
          <w:sz w:val="24"/>
          <w:highlight w:val="none"/>
          <w:lang w:val="en-US" w:eastAsia="zh-CN"/>
        </w:rPr>
        <w:t>3</w:t>
      </w:r>
      <w:r>
        <w:rPr>
          <w:rFonts w:ascii="宋体" w:hAnsi="宋体"/>
          <w:b/>
          <w:color w:val="auto"/>
          <w:sz w:val="24"/>
          <w:highlight w:val="none"/>
        </w:rPr>
        <w:fldChar w:fldCharType="end"/>
      </w:r>
      <w:r>
        <w:rPr>
          <w:rFonts w:hint="eastAsia" w:ascii="宋体" w:hAnsi="宋体"/>
          <w:b/>
          <w:color w:val="auto"/>
          <w:sz w:val="24"/>
          <w:highlight w:val="none"/>
          <w:lang w:val="en-US" w:eastAsia="zh-CN"/>
        </w:rPr>
        <w:t>6</w:t>
      </w:r>
    </w:p>
    <w:p w14:paraId="100632AF">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jc w:val="center"/>
        <w:textAlignment w:val="auto"/>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"_Toc58430329"</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第六章</w:t>
      </w:r>
      <w:r>
        <w:rPr>
          <w:rStyle w:val="46"/>
          <w:rFonts w:ascii="宋体" w:hAnsi="宋体"/>
          <w:b/>
          <w:color w:val="auto"/>
          <w:sz w:val="24"/>
          <w:highlight w:val="none"/>
        </w:rPr>
        <w:t xml:space="preserve"> </w:t>
      </w:r>
      <w:r>
        <w:rPr>
          <w:rStyle w:val="46"/>
          <w:rFonts w:hint="eastAsia" w:ascii="宋体" w:hAnsi="宋体"/>
          <w:b/>
          <w:color w:val="auto"/>
          <w:sz w:val="24"/>
          <w:highlight w:val="none"/>
        </w:rPr>
        <w:t>合同条款及格式</w:t>
      </w:r>
      <w:r>
        <w:rPr>
          <w:rFonts w:ascii="宋体" w:hAnsi="宋体"/>
          <w:b/>
          <w:color w:val="auto"/>
          <w:sz w:val="24"/>
          <w:highlight w:val="none"/>
        </w:rPr>
        <w:tab/>
      </w:r>
      <w:r>
        <w:rPr>
          <w:rFonts w:hint="eastAsia" w:ascii="宋体" w:hAnsi="宋体"/>
          <w:b/>
          <w:color w:val="auto"/>
          <w:sz w:val="24"/>
          <w:highlight w:val="none"/>
          <w:lang w:val="en-US" w:eastAsia="zh-CN"/>
        </w:rPr>
        <w:t>4</w:t>
      </w:r>
      <w:r>
        <w:rPr>
          <w:rFonts w:ascii="宋体" w:hAnsi="宋体"/>
          <w:b/>
          <w:color w:val="auto"/>
          <w:sz w:val="24"/>
          <w:highlight w:val="none"/>
        </w:rPr>
        <w:fldChar w:fldCharType="end"/>
      </w:r>
      <w:r>
        <w:rPr>
          <w:rFonts w:hint="eastAsia" w:ascii="宋体" w:hAnsi="宋体"/>
          <w:b/>
          <w:color w:val="auto"/>
          <w:sz w:val="24"/>
          <w:highlight w:val="none"/>
          <w:lang w:val="en-US" w:eastAsia="zh-CN"/>
        </w:rPr>
        <w:t>0</w:t>
      </w:r>
    </w:p>
    <w:p w14:paraId="161704C2">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jc w:val="center"/>
        <w:textAlignment w:val="auto"/>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第七章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51</w:t>
      </w:r>
    </w:p>
    <w:p w14:paraId="61B0C8C9">
      <w:pPr>
        <w:pStyle w:val="25"/>
        <w:keepNext w:val="0"/>
        <w:keepLines w:val="0"/>
        <w:pageBreakBefore w:val="0"/>
        <w:widowControl w:val="0"/>
        <w:tabs>
          <w:tab w:val="right" w:leader="dot" w:pos="8296"/>
        </w:tabs>
        <w:kinsoku/>
        <w:wordWrap w:val="0"/>
        <w:overflowPunct/>
        <w:topLinePunct w:val="0"/>
        <w:autoSpaceDE/>
        <w:autoSpaceDN/>
        <w:bidi w:val="0"/>
        <w:spacing w:line="720" w:lineRule="auto"/>
        <w:ind w:left="0"/>
        <w:jc w:val="center"/>
        <w:textAlignment w:val="auto"/>
        <w:rPr>
          <w:rStyle w:val="46"/>
          <w:rFonts w:hint="default" w:ascii="宋体" w:hAnsi="宋体" w:eastAsia="宋体"/>
          <w:b/>
          <w:color w:val="auto"/>
          <w:sz w:val="24"/>
          <w:highlight w:val="none"/>
          <w:lang w:val="en-US" w:eastAsia="zh-CN"/>
        </w:rPr>
      </w:pPr>
      <w:r>
        <w:rPr>
          <w:rStyle w:val="46"/>
          <w:rFonts w:hint="eastAsia" w:ascii="宋体" w:hAnsi="宋体"/>
          <w:b/>
          <w:color w:val="auto"/>
          <w:sz w:val="24"/>
          <w:highlight w:val="none"/>
        </w:rPr>
        <w:fldChar w:fldCharType="begin"/>
      </w:r>
      <w:r>
        <w:rPr>
          <w:rStyle w:val="46"/>
          <w:rFonts w:hint="eastAsia" w:ascii="宋体" w:hAnsi="宋体"/>
          <w:b/>
          <w:color w:val="auto"/>
          <w:sz w:val="24"/>
          <w:highlight w:val="none"/>
        </w:rPr>
        <w:instrText xml:space="preserve"> HYPERLINK \l "_Toc58430332" </w:instrText>
      </w:r>
      <w:r>
        <w:rPr>
          <w:rStyle w:val="46"/>
          <w:rFonts w:hint="eastAsia" w:ascii="宋体" w:hAnsi="宋体"/>
          <w:b/>
          <w:color w:val="auto"/>
          <w:sz w:val="24"/>
          <w:highlight w:val="none"/>
        </w:rPr>
        <w:fldChar w:fldCharType="separate"/>
      </w:r>
      <w:r>
        <w:rPr>
          <w:rStyle w:val="46"/>
          <w:rFonts w:hint="eastAsia" w:ascii="宋体" w:hAnsi="宋体"/>
          <w:b/>
          <w:color w:val="auto"/>
          <w:sz w:val="24"/>
          <w:highlight w:val="none"/>
        </w:rPr>
        <w:t>第八章 招标单位和代理机构对本招标文件的确认</w:t>
      </w:r>
      <w:r>
        <w:rPr>
          <w:rStyle w:val="46"/>
          <w:rFonts w:hint="eastAsia" w:ascii="宋体" w:hAnsi="宋体"/>
          <w:b/>
          <w:color w:val="auto"/>
          <w:sz w:val="24"/>
          <w:highlight w:val="none"/>
        </w:rPr>
        <w:tab/>
      </w:r>
      <w:r>
        <w:rPr>
          <w:rStyle w:val="46"/>
          <w:rFonts w:hint="eastAsia" w:ascii="宋体" w:hAnsi="宋体"/>
          <w:b/>
          <w:color w:val="auto"/>
          <w:sz w:val="24"/>
          <w:highlight w:val="none"/>
        </w:rPr>
        <w:fldChar w:fldCharType="end"/>
      </w:r>
      <w:r>
        <w:rPr>
          <w:rStyle w:val="46"/>
          <w:rFonts w:hint="eastAsia" w:ascii="宋体" w:hAnsi="宋体"/>
          <w:b/>
          <w:color w:val="auto"/>
          <w:sz w:val="24"/>
          <w:highlight w:val="none"/>
          <w:lang w:val="en-US" w:eastAsia="zh-CN"/>
        </w:rPr>
        <w:t>73</w:t>
      </w:r>
    </w:p>
    <w:p w14:paraId="39872368">
      <w:pPr>
        <w:pStyle w:val="25"/>
        <w:keepNext w:val="0"/>
        <w:keepLines w:val="0"/>
        <w:pageBreakBefore w:val="0"/>
        <w:widowControl w:val="0"/>
        <w:tabs>
          <w:tab w:val="right" w:leader="dot" w:pos="8296"/>
        </w:tabs>
        <w:kinsoku/>
        <w:wordWrap w:val="0"/>
        <w:overflowPunct/>
        <w:topLinePunct w:val="0"/>
        <w:autoSpaceDE/>
        <w:autoSpaceDN/>
        <w:bidi w:val="0"/>
        <w:adjustRightInd w:val="0"/>
        <w:snapToGrid w:val="0"/>
        <w:spacing w:line="700" w:lineRule="exact"/>
        <w:ind w:left="0" w:hanging="120" w:hangingChars="50"/>
        <w:jc w:val="center"/>
        <w:textAlignment w:val="auto"/>
        <w:rPr>
          <w:rFonts w:hint="eastAsia" w:ascii="华文中宋" w:hAnsi="华文中宋" w:eastAsia="华文中宋"/>
          <w:color w:val="auto"/>
          <w:highlight w:val="none"/>
        </w:rPr>
      </w:pPr>
      <w:r>
        <w:rPr>
          <w:rFonts w:hint="eastAsia" w:ascii="宋体" w:hAnsi="宋体" w:cs="宋体"/>
          <w:color w:val="auto"/>
          <w:sz w:val="24"/>
          <w:highlight w:val="none"/>
        </w:rPr>
        <w:fldChar w:fldCharType="end"/>
      </w:r>
      <w:bookmarkStart w:id="1" w:name="_Toc17328"/>
    </w:p>
    <w:p w14:paraId="3A08651A">
      <w:pPr>
        <w:pStyle w:val="2"/>
        <w:pageBreakBefore w:val="0"/>
        <w:widowControl w:val="0"/>
        <w:tabs>
          <w:tab w:val="left" w:pos="0"/>
          <w:tab w:val="left" w:pos="3165"/>
          <w:tab w:val="center" w:pos="4153"/>
        </w:tabs>
        <w:kinsoku/>
        <w:wordWrap w:val="0"/>
        <w:overflowPunct/>
        <w:topLinePunct w:val="0"/>
        <w:autoSpaceDE w:val="0"/>
        <w:autoSpaceDN w:val="0"/>
        <w:bidi w:val="0"/>
        <w:adjustRightInd w:val="0"/>
        <w:snapToGrid/>
        <w:spacing w:before="0" w:beforeLines="0" w:after="0" w:afterLines="0" w:line="480" w:lineRule="exact"/>
        <w:ind w:left="0" w:leftChars="0"/>
        <w:rPr>
          <w:rFonts w:hint="eastAsia" w:ascii="黑体" w:hAnsi="黑体" w:cs="宋体"/>
          <w:b w:val="0"/>
          <w:color w:val="auto"/>
          <w:sz w:val="28"/>
          <w:szCs w:val="28"/>
          <w:highlight w:val="none"/>
        </w:rPr>
      </w:pPr>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28359002"/>
      <w:bookmarkStart w:id="3" w:name="_Toc35393621"/>
      <w:bookmarkStart w:id="4" w:name="_Hlk24379207"/>
      <w:bookmarkStart w:id="5" w:name="_Toc35393790"/>
      <w:bookmarkStart w:id="6" w:name="_Toc28359079"/>
    </w:p>
    <w:bookmarkEnd w:id="2"/>
    <w:bookmarkEnd w:id="3"/>
    <w:bookmarkEnd w:id="4"/>
    <w:bookmarkEnd w:id="5"/>
    <w:bookmarkEnd w:id="6"/>
    <w:p w14:paraId="1B3E52FD">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bookmarkStart w:id="7" w:name="_Toc35393622"/>
      <w:bookmarkStart w:id="8" w:name="_Toc28359080"/>
      <w:bookmarkStart w:id="9" w:name="_Toc35393791"/>
      <w:bookmarkStart w:id="10" w:name="_Toc28359003"/>
      <w:r>
        <w:rPr>
          <w:rFonts w:hint="eastAsia" w:ascii="仿宋" w:hAnsi="仿宋" w:eastAsia="仿宋" w:cs="仿宋"/>
          <w:color w:val="auto"/>
          <w:sz w:val="28"/>
          <w:szCs w:val="28"/>
          <w:highlight w:val="none"/>
        </w:rPr>
        <w:t>项目概况</w:t>
      </w:r>
    </w:p>
    <w:p w14:paraId="7A086CB5">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中新苏滁高新区兰州路</w:t>
      </w:r>
      <w:r>
        <w:rPr>
          <w:rFonts w:hint="eastAsia" w:ascii="仿宋" w:hAnsi="仿宋" w:eastAsia="仿宋" w:cs="仿宋"/>
          <w:color w:val="auto"/>
          <w:sz w:val="28"/>
          <w:szCs w:val="28"/>
          <w:highlight w:val="none"/>
          <w:u w:val="single"/>
          <w:lang w:val="en-US" w:eastAsia="zh-CN"/>
        </w:rPr>
        <w:t>及杭州路</w:t>
      </w:r>
      <w:r>
        <w:rPr>
          <w:rFonts w:hint="eastAsia" w:ascii="仿宋" w:hAnsi="仿宋" w:eastAsia="仿宋" w:cs="仿宋"/>
          <w:color w:val="auto"/>
          <w:sz w:val="28"/>
          <w:szCs w:val="28"/>
          <w:highlight w:val="none"/>
          <w:u w:val="single"/>
          <w:lang w:eastAsia="zh-CN"/>
        </w:rPr>
        <w:t>垃圾中转站202</w:t>
      </w:r>
      <w:r>
        <w:rPr>
          <w:rFonts w:hint="eastAsia" w:ascii="仿宋" w:hAnsi="仿宋" w:eastAsia="仿宋" w:cs="仿宋"/>
          <w:color w:val="auto"/>
          <w:sz w:val="28"/>
          <w:szCs w:val="28"/>
          <w:highlight w:val="none"/>
          <w:u w:val="single"/>
          <w:lang w:val="en-US" w:eastAsia="zh-CN"/>
        </w:rPr>
        <w:t>6-2029</w:t>
      </w:r>
      <w:r>
        <w:rPr>
          <w:rFonts w:hint="eastAsia" w:ascii="仿宋" w:hAnsi="仿宋" w:eastAsia="仿宋" w:cs="仿宋"/>
          <w:color w:val="auto"/>
          <w:sz w:val="28"/>
          <w:szCs w:val="28"/>
          <w:highlight w:val="none"/>
          <w:u w:val="single"/>
          <w:lang w:eastAsia="zh-CN"/>
        </w:rPr>
        <w:t>年度服务</w:t>
      </w:r>
      <w:r>
        <w:rPr>
          <w:rFonts w:hint="eastAsia" w:ascii="仿宋" w:hAnsi="仿宋" w:eastAsia="仿宋" w:cs="仿宋"/>
          <w:color w:val="auto"/>
          <w:sz w:val="28"/>
          <w:szCs w:val="28"/>
          <w:highlight w:val="none"/>
          <w:u w:val="single"/>
          <w:lang w:val="en-US" w:eastAsia="zh-CN"/>
        </w:rPr>
        <w:t>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3月6日08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388EAE5B">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59EAE765">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rPr>
        <w:t>项目编号：</w:t>
      </w:r>
      <w:r>
        <w:rPr>
          <w:rFonts w:hint="eastAsia" w:ascii="仿宋" w:hAnsi="仿宋" w:eastAsia="仿宋" w:cs="仿宋"/>
          <w:color w:val="auto"/>
          <w:sz w:val="28"/>
          <w:szCs w:val="28"/>
          <w:highlight w:val="none"/>
          <w:shd w:val="clear" w:fill="auto"/>
          <w:lang w:val="en-US" w:eastAsia="zh-CN"/>
        </w:rPr>
        <w:t xml:space="preserve">czsjqt202602-008 </w:t>
      </w:r>
    </w:p>
    <w:p w14:paraId="630CF119">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lang w:eastAsia="zh-CN"/>
        </w:rPr>
      </w:pPr>
      <w:r>
        <w:rPr>
          <w:rFonts w:hint="eastAsia" w:ascii="仿宋" w:hAnsi="仿宋" w:eastAsia="仿宋" w:cs="仿宋"/>
          <w:color w:val="auto"/>
          <w:sz w:val="28"/>
          <w:szCs w:val="28"/>
          <w:highlight w:val="none"/>
          <w:shd w:val="clear" w:fill="auto"/>
        </w:rPr>
        <w:t>项目名称：</w:t>
      </w:r>
      <w:r>
        <w:rPr>
          <w:rFonts w:hint="eastAsia" w:ascii="仿宋" w:hAnsi="仿宋" w:eastAsia="仿宋" w:cs="仿宋"/>
          <w:color w:val="auto"/>
          <w:sz w:val="28"/>
          <w:szCs w:val="28"/>
          <w:highlight w:val="none"/>
          <w:shd w:val="clear" w:fill="auto"/>
          <w:lang w:eastAsia="zh-CN"/>
        </w:rPr>
        <w:t>中新苏滁高新区兰州路</w:t>
      </w:r>
      <w:r>
        <w:rPr>
          <w:rFonts w:hint="eastAsia" w:ascii="仿宋" w:hAnsi="仿宋" w:eastAsia="仿宋" w:cs="仿宋"/>
          <w:color w:val="auto"/>
          <w:sz w:val="28"/>
          <w:szCs w:val="28"/>
          <w:highlight w:val="none"/>
          <w:shd w:val="clear" w:fill="auto"/>
          <w:lang w:val="en-US" w:eastAsia="zh-CN"/>
        </w:rPr>
        <w:t>及杭州路</w:t>
      </w:r>
      <w:r>
        <w:rPr>
          <w:rFonts w:hint="eastAsia" w:ascii="仿宋" w:hAnsi="仿宋" w:eastAsia="仿宋" w:cs="仿宋"/>
          <w:color w:val="auto"/>
          <w:sz w:val="28"/>
          <w:szCs w:val="28"/>
          <w:highlight w:val="none"/>
          <w:shd w:val="clear" w:fill="auto"/>
          <w:lang w:eastAsia="zh-CN"/>
        </w:rPr>
        <w:t>垃圾中转站202</w:t>
      </w:r>
      <w:r>
        <w:rPr>
          <w:rFonts w:hint="eastAsia" w:ascii="仿宋" w:hAnsi="仿宋" w:eastAsia="仿宋" w:cs="仿宋"/>
          <w:color w:val="auto"/>
          <w:sz w:val="28"/>
          <w:szCs w:val="28"/>
          <w:highlight w:val="none"/>
          <w:shd w:val="clear" w:fill="auto"/>
          <w:lang w:val="en-US" w:eastAsia="zh-CN"/>
        </w:rPr>
        <w:t>6-2029</w:t>
      </w:r>
      <w:r>
        <w:rPr>
          <w:rFonts w:hint="eastAsia" w:ascii="仿宋" w:hAnsi="仿宋" w:eastAsia="仿宋" w:cs="仿宋"/>
          <w:color w:val="auto"/>
          <w:sz w:val="28"/>
          <w:szCs w:val="28"/>
          <w:highlight w:val="none"/>
          <w:shd w:val="clear" w:fill="auto"/>
          <w:lang w:eastAsia="zh-CN"/>
        </w:rPr>
        <w:t>年度服务</w:t>
      </w:r>
      <w:r>
        <w:rPr>
          <w:rFonts w:hint="eastAsia" w:ascii="仿宋" w:hAnsi="仿宋" w:eastAsia="仿宋" w:cs="仿宋"/>
          <w:color w:val="auto"/>
          <w:sz w:val="28"/>
          <w:szCs w:val="28"/>
          <w:highlight w:val="none"/>
          <w:shd w:val="clear" w:fill="auto"/>
          <w:lang w:val="en-US" w:eastAsia="zh-CN"/>
        </w:rPr>
        <w:t>项目</w:t>
      </w:r>
    </w:p>
    <w:p w14:paraId="59FB027C">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预算金额：</w:t>
      </w:r>
      <w:r>
        <w:rPr>
          <w:rFonts w:hint="eastAsia" w:ascii="仿宋" w:hAnsi="仿宋" w:eastAsia="仿宋" w:cs="仿宋"/>
          <w:color w:val="auto"/>
          <w:sz w:val="28"/>
          <w:szCs w:val="28"/>
          <w:highlight w:val="none"/>
          <w:shd w:val="clear" w:fill="auto"/>
          <w:lang w:val="en-US" w:eastAsia="zh-CN"/>
        </w:rPr>
        <w:t>1656000元；</w:t>
      </w:r>
    </w:p>
    <w:p w14:paraId="488C3839">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最高限价</w:t>
      </w:r>
      <w:r>
        <w:rPr>
          <w:rFonts w:hint="eastAsia" w:ascii="仿宋" w:hAnsi="仿宋" w:eastAsia="仿宋" w:cs="仿宋"/>
          <w:color w:val="auto"/>
          <w:sz w:val="28"/>
          <w:szCs w:val="28"/>
          <w:highlight w:val="none"/>
          <w:shd w:val="clear" w:fill="auto"/>
          <w:lang w:val="en-US" w:eastAsia="zh-CN"/>
        </w:rPr>
        <w:t>：投标总报价最高限价每年壹佰陆拾伍万陆仟元整（1656000元/年），单价最高限价详见《分项报价清单》</w:t>
      </w:r>
      <w:r>
        <w:rPr>
          <w:rFonts w:hint="eastAsia" w:ascii="仿宋" w:hAnsi="仿宋" w:eastAsia="仿宋" w:cs="仿宋"/>
          <w:color w:val="auto"/>
          <w:sz w:val="28"/>
          <w:szCs w:val="28"/>
          <w:highlight w:val="none"/>
          <w:shd w:val="clear" w:fill="auto"/>
          <w:lang w:eastAsia="zh-CN"/>
        </w:rPr>
        <w:t>，</w:t>
      </w:r>
      <w:r>
        <w:rPr>
          <w:rFonts w:hint="eastAsia" w:ascii="仿宋" w:hAnsi="仿宋" w:eastAsia="仿宋" w:cs="仿宋"/>
          <w:color w:val="auto"/>
          <w:sz w:val="28"/>
          <w:szCs w:val="28"/>
          <w:highlight w:val="none"/>
          <w:shd w:val="clear" w:fill="auto"/>
          <w:lang w:val="en-US" w:eastAsia="zh-CN"/>
        </w:rPr>
        <w:t>投标报价高于最高限价的，按无效标处理。</w:t>
      </w:r>
    </w:p>
    <w:p w14:paraId="4084E9D7">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lang w:eastAsia="zh-CN"/>
        </w:rPr>
      </w:pPr>
      <w:r>
        <w:rPr>
          <w:rFonts w:hint="eastAsia" w:ascii="仿宋" w:hAnsi="仿宋" w:eastAsia="仿宋" w:cs="仿宋"/>
          <w:color w:val="auto"/>
          <w:sz w:val="28"/>
          <w:szCs w:val="28"/>
          <w:highlight w:val="none"/>
          <w:shd w:val="clear" w:fill="auto"/>
          <w:lang w:eastAsia="zh-CN"/>
        </w:rPr>
        <w:t>采购需求：详见《采购需求》。</w:t>
      </w:r>
    </w:p>
    <w:p w14:paraId="7818D1F8">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合同履行期限：</w:t>
      </w:r>
      <w:r>
        <w:rPr>
          <w:rFonts w:hint="eastAsia" w:ascii="仿宋" w:hAnsi="仿宋" w:eastAsia="仿宋" w:cs="仿宋"/>
          <w:color w:val="auto"/>
          <w:sz w:val="28"/>
          <w:szCs w:val="28"/>
          <w:highlight w:val="none"/>
          <w:shd w:val="clear" w:fill="auto"/>
          <w:lang w:val="en-US" w:eastAsia="zh-CN"/>
        </w:rPr>
        <w:t>服务期三</w:t>
      </w:r>
      <w:r>
        <w:rPr>
          <w:rFonts w:hint="eastAsia" w:ascii="仿宋" w:hAnsi="仿宋" w:eastAsia="仿宋" w:cs="仿宋"/>
          <w:color w:val="auto"/>
          <w:sz w:val="28"/>
          <w:szCs w:val="28"/>
          <w:highlight w:val="none"/>
          <w:shd w:val="clear" w:fill="auto"/>
          <w:lang w:eastAsia="zh-CN"/>
        </w:rPr>
        <w:t>年，</w:t>
      </w:r>
      <w:r>
        <w:rPr>
          <w:rFonts w:hint="eastAsia" w:ascii="仿宋" w:hAnsi="仿宋" w:eastAsia="仿宋" w:cs="仿宋"/>
          <w:color w:val="auto"/>
          <w:sz w:val="28"/>
          <w:szCs w:val="28"/>
          <w:highlight w:val="none"/>
          <w:shd w:val="clear" w:fill="auto"/>
          <w:lang w:val="en-US" w:eastAsia="zh-CN"/>
        </w:rPr>
        <w:t>合同一年一签</w:t>
      </w:r>
      <w:r>
        <w:rPr>
          <w:rFonts w:hint="eastAsia" w:ascii="仿宋" w:hAnsi="仿宋" w:eastAsia="仿宋" w:cs="仿宋"/>
          <w:color w:val="auto"/>
          <w:sz w:val="28"/>
          <w:szCs w:val="28"/>
          <w:highlight w:val="none"/>
          <w:shd w:val="clear" w:fill="auto"/>
          <w:lang w:eastAsia="zh-CN"/>
        </w:rPr>
        <w:t>，具体以合同签订时间为准。</w:t>
      </w:r>
    </w:p>
    <w:p w14:paraId="500494CC">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rPr>
      </w:pPr>
      <w:r>
        <w:rPr>
          <w:rFonts w:hint="eastAsia" w:ascii="仿宋" w:hAnsi="仿宋" w:eastAsia="仿宋" w:cs="仿宋"/>
          <w:color w:val="auto"/>
          <w:sz w:val="28"/>
          <w:szCs w:val="28"/>
          <w:highlight w:val="none"/>
          <w:shd w:val="clear" w:fill="auto"/>
        </w:rPr>
        <w:t>本项目不接受联合体投标。</w:t>
      </w:r>
    </w:p>
    <w:p w14:paraId="7C46FFCD">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bookmarkEnd w:id="7"/>
      <w:bookmarkEnd w:id="8"/>
      <w:bookmarkEnd w:id="9"/>
      <w:bookmarkEnd w:id="10"/>
    </w:p>
    <w:p w14:paraId="2538820F">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rPr>
      </w:pPr>
      <w:bookmarkStart w:id="11" w:name="_Toc35393792"/>
      <w:bookmarkStart w:id="12" w:name="_Toc28359004"/>
      <w:bookmarkStart w:id="13" w:name="_Toc28359081"/>
      <w:bookmarkStart w:id="14" w:name="_Toc35393623"/>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投标人</w:t>
      </w:r>
      <w:r>
        <w:rPr>
          <w:rFonts w:hint="eastAsia" w:ascii="仿宋" w:hAnsi="仿宋" w:eastAsia="仿宋" w:cs="Times New Roman"/>
          <w:color w:val="auto"/>
          <w:sz w:val="28"/>
          <w:szCs w:val="28"/>
          <w:highlight w:val="none"/>
        </w:rPr>
        <w:t>要求：</w:t>
      </w:r>
      <w:r>
        <w:rPr>
          <w:rFonts w:hint="eastAsia" w:ascii="仿宋" w:hAnsi="仿宋" w:eastAsia="仿宋" w:cs="楷体"/>
          <w:bCs/>
          <w:snapToGrid w:val="0"/>
          <w:color w:val="auto"/>
          <w:kern w:val="0"/>
          <w:sz w:val="28"/>
          <w:szCs w:val="28"/>
          <w:highlight w:val="none"/>
          <w:lang w:val="en-US" w:eastAsia="zh-CN"/>
        </w:rPr>
        <w:t>具备独立承担民事责任能力且具备相应的服务能力</w:t>
      </w:r>
      <w:r>
        <w:rPr>
          <w:rFonts w:hint="eastAsia" w:ascii="仿宋" w:hAnsi="仿宋" w:eastAsia="仿宋" w:cs="Times New Roman"/>
          <w:color w:val="auto"/>
          <w:sz w:val="28"/>
          <w:szCs w:val="28"/>
          <w:highlight w:val="none"/>
          <w:lang w:val="en-US" w:eastAsia="zh-CN"/>
        </w:rPr>
        <w:t>；</w:t>
      </w:r>
    </w:p>
    <w:p w14:paraId="233968BA">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信誉要求：投标人不得存在以下情形：</w:t>
      </w:r>
    </w:p>
    <w:p w14:paraId="5F7E4BF1">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①被列入“信用中国”网站“失信被执行人”的；</w:t>
      </w:r>
    </w:p>
    <w:p w14:paraId="571B1C19">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②被列入“信用中国”网站“重大税收违法失信主体”的；</w:t>
      </w:r>
    </w:p>
    <w:p w14:paraId="63BA4A3B">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③被列入“信用中国”网站“拖欠农民工工资失信联合惩戒对象名单”的；</w:t>
      </w:r>
    </w:p>
    <w:p w14:paraId="1E8D87C0">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④被列入“信用中国”网站 “严重失信主体名单”的；</w:t>
      </w:r>
    </w:p>
    <w:p w14:paraId="2F2BB7E2">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⑤在“信用中国”网站上披露的仍在公示期的严重失信行为(具体行为类别及判定依据见附件2)的；</w:t>
      </w:r>
    </w:p>
    <w:p w14:paraId="35B5D298">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⑥被列入国家企业信用信息公示系统网站“经营异常名录”或者“严重违法失信名单”的；</w:t>
      </w:r>
    </w:p>
    <w:p w14:paraId="48F468AB">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⑦前三年有行贿犯罪行为的单位和个人；</w:t>
      </w:r>
    </w:p>
    <w:p w14:paraId="45B0D508">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⑧被滁州市县两级公管部门及各行业主管部门取消在一定期限内的投标资格且在取消期限内的；</w:t>
      </w:r>
    </w:p>
    <w:p w14:paraId="1B9C79BB">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⑨因拖欠农民工工资被县级及以上有关行政主管部门限制投标资格且在限制期限内的；</w:t>
      </w:r>
    </w:p>
    <w:p w14:paraId="3C30342D">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C5F5426">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款信誉要求①-</w:t>
      </w:r>
      <w:r>
        <w:rPr>
          <w:rFonts w:hint="eastAsia" w:ascii="仿宋" w:hAnsi="仿宋" w:eastAsia="仿宋" w:cs="Times New Roman"/>
          <w:color w:val="auto"/>
          <w:sz w:val="28"/>
          <w:szCs w:val="28"/>
          <w:highlight w:val="none"/>
          <w:lang w:val="en-US" w:eastAsia="zh-CN"/>
        </w:rPr>
        <w:t>⑩</w:t>
      </w:r>
      <w:r>
        <w:rPr>
          <w:rFonts w:hint="eastAsia" w:ascii="仿宋" w:hAnsi="仿宋" w:eastAsia="仿宋" w:cs="Times New Roman"/>
          <w:color w:val="auto"/>
          <w:sz w:val="28"/>
          <w:szCs w:val="28"/>
          <w:highlight w:val="none"/>
        </w:rPr>
        <w:t>项情形之一的，</w:t>
      </w:r>
      <w:r>
        <w:rPr>
          <w:rFonts w:hint="eastAsia" w:ascii="仿宋" w:hAnsi="仿宋" w:eastAsia="仿宋"/>
          <w:color w:val="auto"/>
          <w:sz w:val="28"/>
          <w:szCs w:val="28"/>
          <w:highlight w:val="none"/>
        </w:rPr>
        <w:t>接受投标人参加本项目</w:t>
      </w:r>
      <w:r>
        <w:rPr>
          <w:rFonts w:hint="eastAsia" w:ascii="仿宋" w:hAnsi="仿宋" w:eastAsia="仿宋" w:cs="Times New Roman"/>
          <w:color w:val="auto"/>
          <w:sz w:val="28"/>
          <w:szCs w:val="28"/>
          <w:highlight w:val="none"/>
        </w:rPr>
        <w:t>。</w:t>
      </w:r>
    </w:p>
    <w:p w14:paraId="133ADD3F">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2、3</w:t>
      </w:r>
      <w:r>
        <w:rPr>
          <w:rFonts w:hint="eastAsia" w:ascii="仿宋" w:hAnsi="仿宋" w:eastAsia="仿宋" w:cs="Times New Roman"/>
          <w:color w:val="auto"/>
          <w:sz w:val="28"/>
          <w:szCs w:val="28"/>
          <w:highlight w:val="none"/>
        </w:rPr>
        <w:t>条按照</w:t>
      </w:r>
      <w:r>
        <w:rPr>
          <w:rFonts w:hint="eastAsia" w:ascii="仿宋" w:hAnsi="仿宋" w:eastAsia="仿宋" w:cs="Times New Roman"/>
          <w:color w:val="auto"/>
          <w:sz w:val="28"/>
          <w:szCs w:val="28"/>
          <w:highlight w:val="none"/>
          <w:lang w:val="en-US" w:eastAsia="zh-CN"/>
        </w:rPr>
        <w:t>附件1</w:t>
      </w:r>
      <w:r>
        <w:rPr>
          <w:rFonts w:hint="eastAsia" w:ascii="仿宋" w:hAnsi="仿宋" w:eastAsia="仿宋" w:cs="Times New Roman"/>
          <w:color w:val="auto"/>
          <w:sz w:val="28"/>
          <w:szCs w:val="28"/>
          <w:highlight w:val="none"/>
        </w:rPr>
        <w:t>“关于联合惩戒失信行为加强信用查询管理的通知”查询或承诺。</w:t>
      </w:r>
    </w:p>
    <w:p w14:paraId="475B077C">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5F0CA3CF">
      <w:pPr>
        <w:pageBreakBefore w:val="0"/>
        <w:widowControl w:val="0"/>
        <w:kinsoku/>
        <w:wordWrap w:val="0"/>
        <w:overflowPunct/>
        <w:topLinePunct w:val="0"/>
        <w:autoSpaceDE/>
        <w:autoSpaceDN/>
        <w:bidi w:val="0"/>
        <w:adjustRightInd/>
        <w:snapToGrid/>
        <w:spacing w:line="500" w:lineRule="exact"/>
        <w:ind w:left="0" w:leftChars="0" w:firstLine="540"/>
        <w:textAlignment w:val="auto"/>
        <w:rPr>
          <w:rFonts w:hint="eastAsia"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3月6日</w:t>
      </w:r>
    </w:p>
    <w:p w14:paraId="4A781DC4">
      <w:pPr>
        <w:pageBreakBefore w:val="0"/>
        <w:widowControl w:val="0"/>
        <w:kinsoku/>
        <w:wordWrap w:val="0"/>
        <w:overflowPunct/>
        <w:topLinePunct w:val="0"/>
        <w:autoSpaceDE/>
        <w:autoSpaceDN/>
        <w:bidi w:val="0"/>
        <w:adjustRightInd/>
        <w:snapToGrid/>
        <w:spacing w:line="50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地点：滁州市公共资源交易中心网</w:t>
      </w:r>
    </w:p>
    <w:p w14:paraId="47ED78AA">
      <w:pPr>
        <w:pageBreakBefore w:val="0"/>
        <w:widowControl w:val="0"/>
        <w:kinsoku/>
        <w:wordWrap w:val="0"/>
        <w:overflowPunct/>
        <w:topLinePunct w:val="0"/>
        <w:autoSpaceDE/>
        <w:autoSpaceDN/>
        <w:bidi w:val="0"/>
        <w:adjustRightInd/>
        <w:snapToGrid/>
        <w:spacing w:line="50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方式：网上下载</w:t>
      </w:r>
    </w:p>
    <w:p w14:paraId="31E0123D">
      <w:pPr>
        <w:pageBreakBefore w:val="0"/>
        <w:widowControl w:val="0"/>
        <w:kinsoku/>
        <w:wordWrap w:val="0"/>
        <w:overflowPunct/>
        <w:topLinePunct w:val="0"/>
        <w:autoSpaceDE/>
        <w:autoSpaceDN/>
        <w:bidi w:val="0"/>
        <w:adjustRightInd/>
        <w:snapToGrid/>
        <w:spacing w:line="50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373DE464">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bookmarkStart w:id="15" w:name="_Toc28359082"/>
      <w:bookmarkStart w:id="16" w:name="_Toc28359005"/>
      <w:bookmarkStart w:id="17" w:name="_Toc35393624"/>
      <w:bookmarkStart w:id="18" w:name="_Toc35393793"/>
      <w:r>
        <w:rPr>
          <w:rFonts w:hint="eastAsia" w:ascii="黑体" w:hAnsi="黑体" w:eastAsia="黑体" w:cs="黑体"/>
          <w:color w:val="auto"/>
          <w:sz w:val="28"/>
          <w:szCs w:val="28"/>
          <w:highlight w:val="none"/>
        </w:rPr>
        <w:t>四、提交投标文件</w:t>
      </w:r>
      <w:bookmarkEnd w:id="15"/>
      <w:bookmarkEnd w:id="16"/>
      <w:r>
        <w:rPr>
          <w:rFonts w:hint="eastAsia" w:ascii="黑体" w:hAnsi="黑体" w:eastAsia="黑体" w:cs="黑体"/>
          <w:color w:val="auto"/>
          <w:sz w:val="28"/>
          <w:szCs w:val="28"/>
          <w:highlight w:val="none"/>
        </w:rPr>
        <w:t>截止时间、开标时间和地点</w:t>
      </w:r>
      <w:bookmarkEnd w:id="17"/>
      <w:bookmarkEnd w:id="18"/>
    </w:p>
    <w:p w14:paraId="367D95C6">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ascii="仿宋" w:hAnsi="仿宋" w:eastAsia="仿宋"/>
          <w:bCs/>
          <w:iCs/>
          <w:color w:val="auto"/>
          <w:sz w:val="28"/>
          <w:szCs w:val="28"/>
          <w:highlight w:val="none"/>
        </w:rPr>
      </w:pPr>
      <w:bookmarkStart w:id="19" w:name="_Toc28359007"/>
      <w:bookmarkStart w:id="20" w:name="_Toc28359084"/>
      <w:bookmarkStart w:id="21" w:name="_Toc35393794"/>
      <w:bookmarkStart w:id="22" w:name="_Toc35393625"/>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3月6日</w:t>
      </w:r>
      <w:r>
        <w:rPr>
          <w:rFonts w:hint="eastAsia" w:ascii="仿宋" w:hAnsi="仿宋" w:eastAsia="仿宋"/>
          <w:bCs/>
          <w:color w:val="auto"/>
          <w:sz w:val="28"/>
          <w:szCs w:val="28"/>
          <w:highlight w:val="none"/>
          <w:u w:val="single"/>
          <w:lang w:val="en-US" w:eastAsia="zh-CN"/>
        </w:rPr>
        <w:t>08</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14:paraId="608030FE">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地点：滁州市公共资源交易中心</w:t>
      </w:r>
      <w:r>
        <w:rPr>
          <w:rFonts w:hint="eastAsia" w:ascii="仿宋" w:hAnsi="仿宋" w:eastAsia="仿宋"/>
          <w:color w:val="auto"/>
          <w:sz w:val="28"/>
          <w:szCs w:val="28"/>
          <w:highlight w:val="none"/>
          <w:lang w:val="en-US" w:eastAsia="zh-CN"/>
        </w:rPr>
        <w:t>网</w:t>
      </w:r>
      <w:r>
        <w:rPr>
          <w:rFonts w:hint="eastAsia" w:ascii="仿宋" w:hAnsi="仿宋" w:eastAsia="仿宋"/>
          <w:color w:val="auto"/>
          <w:sz w:val="28"/>
          <w:szCs w:val="28"/>
          <w:highlight w:val="none"/>
        </w:rPr>
        <w:t>。</w:t>
      </w:r>
    </w:p>
    <w:p w14:paraId="168639DF">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五、公告期限</w:t>
      </w:r>
      <w:bookmarkEnd w:id="19"/>
      <w:bookmarkEnd w:id="20"/>
      <w:bookmarkEnd w:id="21"/>
      <w:bookmarkEnd w:id="22"/>
    </w:p>
    <w:p w14:paraId="3FCEFD8B">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2BE8EBE8">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投标保证金金额及缴纳账户</w:t>
      </w:r>
    </w:p>
    <w:p w14:paraId="67F19344">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bookmarkStart w:id="23" w:name="_Toc35393626"/>
      <w:bookmarkStart w:id="24" w:name="_Toc35393795"/>
      <w:r>
        <w:rPr>
          <w:rFonts w:hint="eastAsia" w:ascii="仿宋" w:hAnsi="仿宋" w:eastAsia="仿宋" w:cs="Times New Roman"/>
          <w:color w:val="auto"/>
          <w:sz w:val="28"/>
          <w:szCs w:val="28"/>
          <w:highlight w:val="none"/>
        </w:rPr>
        <w:t>本项目不要求投标人提交投标保证金。本项目不缴纳投标保证金条款仅针对在投标过程中未违反23.4约定的投标人。如在投标过程中投标人存在招标文件23.4约定情形，则无条件按招标人要求的金额（3.0万元）、时间、帐号缴纳投标保证金。</w:t>
      </w:r>
    </w:p>
    <w:p w14:paraId="6503DFA9">
      <w:pPr>
        <w:pStyle w:val="120"/>
        <w:pageBreakBefore w:val="0"/>
        <w:widowControl w:val="0"/>
        <w:kinsoku/>
        <w:wordWrap w:val="0"/>
        <w:overflowPunct/>
        <w:topLinePunct w:val="0"/>
        <w:autoSpaceDE/>
        <w:autoSpaceDN/>
        <w:bidi w:val="0"/>
        <w:adjustRightInd/>
        <w:snapToGrid/>
        <w:spacing w:line="500" w:lineRule="exact"/>
        <w:ind w:left="0" w:leftChars="0"/>
        <w:textAlignment w:val="auto"/>
        <w:rPr>
          <w:color w:val="auto"/>
          <w:highlight w:val="none"/>
        </w:rPr>
      </w:pPr>
      <w:r>
        <w:rPr>
          <w:color w:val="auto"/>
          <w:highlight w:val="none"/>
        </w:rPr>
        <w:t>窗体顶端</w:t>
      </w:r>
    </w:p>
    <w:p w14:paraId="42527FF2">
      <w:pPr>
        <w:pStyle w:val="121"/>
        <w:pageBreakBefore w:val="0"/>
        <w:widowControl w:val="0"/>
        <w:kinsoku/>
        <w:wordWrap w:val="0"/>
        <w:overflowPunct/>
        <w:topLinePunct w:val="0"/>
        <w:autoSpaceDE/>
        <w:autoSpaceDN/>
        <w:bidi w:val="0"/>
        <w:adjustRightInd/>
        <w:snapToGrid/>
        <w:spacing w:line="500" w:lineRule="exact"/>
        <w:ind w:left="0" w:leftChars="0"/>
        <w:textAlignment w:val="auto"/>
        <w:rPr>
          <w:color w:val="auto"/>
          <w:highlight w:val="none"/>
        </w:rPr>
      </w:pPr>
      <w:r>
        <w:rPr>
          <w:rFonts w:hint="eastAsia" w:ascii="仿宋_GB2312" w:hAnsi="仿宋_GB2312" w:eastAsia="仿宋_GB2312" w:cs="仿宋_GB2312"/>
          <w:color w:val="auto"/>
          <w:sz w:val="28"/>
          <w:szCs w:val="28"/>
          <w:highlight w:val="none"/>
        </w:rPr>
        <w:t>投标保证金的金额：</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eastAsia="仿宋_GB2312" w:cs="仿宋_GB2312"/>
          <w:color w:val="auto"/>
          <w:sz w:val="28"/>
          <w:szCs w:val="28"/>
          <w:highlight w:val="none"/>
        </w:rPr>
        <w:t>万元</w:t>
      </w:r>
      <w:r>
        <w:rPr>
          <w:color w:val="auto"/>
          <w:highlight w:val="none"/>
        </w:rPr>
        <w:t>窗体底端</w:t>
      </w:r>
    </w:p>
    <w:p w14:paraId="6B6E0875">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3"/>
      <w:bookmarkEnd w:id="24"/>
    </w:p>
    <w:p w14:paraId="61C99EEE">
      <w:pPr>
        <w:keepNext w:val="0"/>
        <w:keepLines w:val="0"/>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79D1C92F">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2.请投标人登录滁州市公共资源交易中心网站查看参加本项目的程序（具体操作步骤和程序请参见服务指南&gt;交易须知&gt;投标人填写投标信息、下载文件及网上提问操作手册）。</w:t>
      </w:r>
    </w:p>
    <w:p w14:paraId="3713EE9E">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5A25691D">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4.投标文件格式、内容和制作要求以招标文件为准，投标文件制作工具中提供的相关格式及内容仅供参考，投标企业可根据招标文件要求自行调整。</w:t>
      </w:r>
    </w:p>
    <w:p w14:paraId="3B92CED2">
      <w:pPr>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投标人提出异议的截止时间及方式：如投标人对招标文件有异议，请于2026年2月24日08时30分（投标截止10日）前在滁州市公共资源交易中心网电子交易系统中进行异议，具体操作步骤和程序请参见服务指南&gt;交易须知&gt;在线异议、质疑和投诉操作手册。</w:t>
      </w:r>
    </w:p>
    <w:p w14:paraId="110471A2">
      <w:pPr>
        <w:keepNext w:val="0"/>
        <w:keepLines w:val="0"/>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6.受理异议的联系人及联系方式：李传旭0550-2201369、关勤勤0550-3519590。</w:t>
      </w:r>
    </w:p>
    <w:p w14:paraId="395B4808">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56029E8">
      <w:pPr>
        <w:pStyle w:val="3"/>
        <w:pageBreakBefore w:val="0"/>
        <w:widowControl w:val="0"/>
        <w:numPr>
          <w:ilvl w:val="0"/>
          <w:numId w:val="0"/>
        </w:numPr>
        <w:kinsoku/>
        <w:wordWrap w:val="0"/>
        <w:overflowPunct/>
        <w:topLinePunct w:val="0"/>
        <w:autoSpaceDE/>
        <w:autoSpaceDN/>
        <w:bidi w:val="0"/>
        <w:adjustRightInd/>
        <w:snapToGrid/>
        <w:spacing w:line="500" w:lineRule="exact"/>
        <w:ind w:firstLine="560"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1.招标人信息</w:t>
      </w:r>
    </w:p>
    <w:p w14:paraId="368AE969">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val="en-US" w:eastAsia="zh-CN"/>
        </w:rPr>
        <w:t>滁州市苏滁市政公用发展有限公司</w:t>
      </w:r>
      <w:r>
        <w:rPr>
          <w:rFonts w:hint="eastAsia" w:ascii="仿宋" w:hAnsi="仿宋" w:eastAsia="仿宋" w:cs="仿宋"/>
          <w:color w:val="auto"/>
          <w:sz w:val="28"/>
          <w:szCs w:val="28"/>
          <w:highlight w:val="none"/>
          <w:u w:val="single"/>
        </w:rPr>
        <w:t xml:space="preserve">  </w:t>
      </w:r>
    </w:p>
    <w:p w14:paraId="44ABF0A4">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滁州市中新苏滁高新技术产业开发区双城路66号 </w:t>
      </w:r>
    </w:p>
    <w:p w14:paraId="09F47A80">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0550-2201369</w:t>
      </w:r>
    </w:p>
    <w:p w14:paraId="1002910F">
      <w:pPr>
        <w:pStyle w:val="3"/>
        <w:pageBreakBefore w:val="0"/>
        <w:widowControl w:val="0"/>
        <w:numPr>
          <w:ilvl w:val="0"/>
          <w:numId w:val="0"/>
        </w:numPr>
        <w:kinsoku/>
        <w:wordWrap w:val="0"/>
        <w:overflowPunct/>
        <w:topLinePunct w:val="0"/>
        <w:autoSpaceDE/>
        <w:autoSpaceDN/>
        <w:bidi w:val="0"/>
        <w:adjustRightInd/>
        <w:snapToGrid/>
        <w:spacing w:line="500" w:lineRule="exact"/>
        <w:ind w:firstLine="560"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7A138625">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5D0C90F0">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r>
        <w:rPr>
          <w:rFonts w:hint="eastAsia" w:ascii="仿宋" w:hAnsi="仿宋" w:eastAsia="仿宋" w:cs="仿宋"/>
          <w:color w:val="auto"/>
          <w:sz w:val="28"/>
          <w:szCs w:val="28"/>
          <w:highlight w:val="none"/>
          <w:u w:val="single"/>
          <w:lang w:val="en-US" w:eastAsia="zh-CN"/>
        </w:rPr>
        <w:t>620</w:t>
      </w:r>
    </w:p>
    <w:p w14:paraId="0AB3287B">
      <w:pPr>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0550-3519590</w:t>
      </w:r>
    </w:p>
    <w:p w14:paraId="4D1F0C41">
      <w:pPr>
        <w:pStyle w:val="3"/>
        <w:pageBreakBefore w:val="0"/>
        <w:widowControl w:val="0"/>
        <w:numPr>
          <w:ilvl w:val="0"/>
          <w:numId w:val="0"/>
        </w:numPr>
        <w:kinsoku/>
        <w:wordWrap w:val="0"/>
        <w:overflowPunct/>
        <w:topLinePunct w:val="0"/>
        <w:autoSpaceDE/>
        <w:autoSpaceDN/>
        <w:bidi w:val="0"/>
        <w:adjustRightInd/>
        <w:snapToGrid/>
        <w:spacing w:line="500" w:lineRule="exact"/>
        <w:ind w:firstLine="560"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3FFDB35">
      <w:pPr>
        <w:pStyle w:val="19"/>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李传旭</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lang w:val="en-US" w:eastAsia="zh-CN"/>
        </w:rPr>
        <w:t>关勤勤</w:t>
      </w:r>
    </w:p>
    <w:p w14:paraId="05876C33">
      <w:pPr>
        <w:pageBreakBefore w:val="0"/>
        <w:widowControl w:val="0"/>
        <w:kinsoku/>
        <w:wordWrap w:val="0"/>
        <w:overflowPunct/>
        <w:topLinePunct w:val="0"/>
        <w:autoSpaceDE/>
        <w:autoSpaceDN/>
        <w:bidi w:val="0"/>
        <w:adjustRightInd/>
        <w:snapToGrid/>
        <w:spacing w:line="500" w:lineRule="exact"/>
        <w:ind w:left="0" w:leftChars="0" w:firstLine="560" w:firstLineChars="2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0550-2201369</w:t>
      </w:r>
      <w:r>
        <w:rPr>
          <w:rFonts w:hint="eastAsia" w:ascii="仿宋_GB2312" w:hAnsi="仿宋_GB2312" w:eastAsia="仿宋_GB2312" w:cs="仿宋_GB2312"/>
          <w:color w:val="auto"/>
          <w:sz w:val="28"/>
          <w:szCs w:val="28"/>
          <w:highlight w:val="none"/>
          <w:u w:val="single"/>
          <w:lang w:val="en-US" w:eastAsia="zh-CN"/>
        </w:rPr>
        <w:t>、</w:t>
      </w:r>
      <w:r>
        <w:rPr>
          <w:rFonts w:hint="eastAsia" w:ascii="仿宋" w:hAnsi="仿宋" w:eastAsia="仿宋" w:cs="仿宋"/>
          <w:color w:val="auto"/>
          <w:sz w:val="28"/>
          <w:szCs w:val="28"/>
          <w:highlight w:val="none"/>
          <w:u w:val="single"/>
          <w:lang w:val="en-US" w:eastAsia="zh-CN"/>
        </w:rPr>
        <w:t>0550-3519590</w:t>
      </w:r>
      <w:r>
        <w:rPr>
          <w:rFonts w:hint="eastAsia" w:ascii="仿宋" w:hAnsi="仿宋" w:eastAsia="仿宋" w:cs="仿宋"/>
          <w:color w:val="auto"/>
          <w:sz w:val="28"/>
          <w:szCs w:val="28"/>
          <w:highlight w:val="none"/>
          <w:u w:val="single"/>
        </w:rPr>
        <w:t xml:space="preserve">  </w:t>
      </w:r>
    </w:p>
    <w:p w14:paraId="4CFFFA95">
      <w:pPr>
        <w:pStyle w:val="2"/>
        <w:keepNext/>
        <w:keepLines/>
        <w:pageBreakBefore w:val="0"/>
        <w:widowControl w:val="0"/>
        <w:kinsoku/>
        <w:wordWrap w:val="0"/>
        <w:overflowPunct/>
        <w:topLinePunct w:val="0"/>
        <w:autoSpaceDE/>
        <w:autoSpaceDN/>
        <w:bidi w:val="0"/>
        <w:adjustRightInd/>
        <w:snapToGrid/>
        <w:spacing w:before="0" w:beforeLines="0" w:after="0" w:afterLines="0" w:line="240" w:lineRule="auto"/>
        <w:textAlignment w:val="auto"/>
        <w:rPr>
          <w:rFonts w:hint="eastAsia" w:ascii="宋体"/>
          <w:b w:val="0"/>
          <w:color w:val="auto"/>
          <w:szCs w:val="32"/>
          <w:highlight w:val="none"/>
        </w:rPr>
      </w:pPr>
      <w:bookmarkStart w:id="25" w:name="_Toc20364"/>
      <w:r>
        <w:rPr>
          <w:rFonts w:hint="eastAsia"/>
          <w:color w:val="auto"/>
          <w:highlight w:val="none"/>
        </w:rPr>
        <w:br w:type="page"/>
      </w:r>
      <w:r>
        <w:rPr>
          <w:rFonts w:hint="eastAsia" w:ascii="华文中宋" w:hAnsi="华文中宋" w:eastAsia="华文中宋"/>
          <w:color w:val="auto"/>
          <w:highlight w:val="none"/>
        </w:rPr>
        <w:t>第二章 投标人须知</w:t>
      </w:r>
      <w:bookmarkEnd w:id="25"/>
    </w:p>
    <w:p w14:paraId="0F7DC333">
      <w:pPr>
        <w:kinsoku/>
        <w:wordWrap w:val="0"/>
        <w:overflowPunct/>
        <w:topLinePunct w:val="0"/>
        <w:bidi w:val="0"/>
        <w:snapToGrid w:val="0"/>
        <w:spacing w:line="440" w:lineRule="exact"/>
        <w:jc w:val="center"/>
        <w:outlineLvl w:val="1"/>
        <w:rPr>
          <w:rFonts w:hint="eastAsia" w:ascii="宋体"/>
          <w:b/>
          <w:color w:val="auto"/>
          <w:sz w:val="28"/>
          <w:szCs w:val="28"/>
          <w:highlight w:val="none"/>
        </w:rPr>
      </w:pPr>
      <w:bookmarkStart w:id="26" w:name="_Toc1019"/>
      <w:bookmarkStart w:id="27" w:name="_Toc58430314"/>
      <w:bookmarkStart w:id="28"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6"/>
      <w:bookmarkEnd w:id="27"/>
      <w:bookmarkEnd w:id="28"/>
    </w:p>
    <w:tbl>
      <w:tblPr>
        <w:tblStyle w:val="35"/>
        <w:tblW w:w="1021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7025"/>
      </w:tblGrid>
      <w:tr w14:paraId="39AA7F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jc w:val="center"/>
        </w:trPr>
        <w:tc>
          <w:tcPr>
            <w:tcW w:w="1048" w:type="dxa"/>
            <w:noWrap w:val="0"/>
            <w:vAlign w:val="center"/>
          </w:tcPr>
          <w:p w14:paraId="055B5E0F">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40" w:type="dxa"/>
            <w:gridSpan w:val="2"/>
            <w:noWrap w:val="0"/>
            <w:vAlign w:val="center"/>
          </w:tcPr>
          <w:p w14:paraId="044C8C51">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025" w:type="dxa"/>
            <w:noWrap w:val="0"/>
            <w:vAlign w:val="center"/>
          </w:tcPr>
          <w:p w14:paraId="77404232">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0331E6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jc w:val="center"/>
        </w:trPr>
        <w:tc>
          <w:tcPr>
            <w:tcW w:w="1048" w:type="dxa"/>
            <w:noWrap w:val="0"/>
            <w:vAlign w:val="center"/>
          </w:tcPr>
          <w:p w14:paraId="58AAB213">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3F8980E3">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025" w:type="dxa"/>
            <w:noWrap w:val="0"/>
            <w:vAlign w:val="center"/>
          </w:tcPr>
          <w:p w14:paraId="7AE3702A">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中新苏滁高新区兰州路及杭州路垃圾中转站2026-2029年度服务项目</w:t>
            </w:r>
          </w:p>
        </w:tc>
      </w:tr>
      <w:tr w14:paraId="252FD0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jc w:val="center"/>
        </w:trPr>
        <w:tc>
          <w:tcPr>
            <w:tcW w:w="1048" w:type="dxa"/>
            <w:noWrap w:val="0"/>
            <w:vAlign w:val="center"/>
          </w:tcPr>
          <w:p w14:paraId="3FBFC986">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124F41DD">
            <w:pPr>
              <w:pStyle w:val="19"/>
              <w:keepNext w:val="0"/>
              <w:keepLines w:val="0"/>
              <w:pageBreakBefore w:val="0"/>
              <w:kinsoku/>
              <w:wordWrap w:val="0"/>
              <w:overflowPunct/>
              <w:topLinePunct w:val="0"/>
              <w:autoSpaceDE/>
              <w:autoSpaceDN/>
              <w:bidi w:val="0"/>
              <w:adjustRightInd/>
              <w:spacing w:line="440" w:lineRule="exact"/>
              <w:textAlignment w:val="auto"/>
              <w:rPr>
                <w:rFonts w:hint="eastAsia" w:hAnsi="宋体" w:cs="宋体"/>
                <w:color w:val="auto"/>
                <w:szCs w:val="21"/>
                <w:highlight w:val="none"/>
                <w:lang w:eastAsia="zh-CN"/>
              </w:rPr>
            </w:pPr>
            <w:r>
              <w:rPr>
                <w:rFonts w:hint="eastAsia" w:hAnsi="宋体" w:cs="宋体"/>
                <w:color w:val="auto"/>
                <w:szCs w:val="21"/>
                <w:highlight w:val="none"/>
                <w:lang w:eastAsia="zh-CN"/>
              </w:rPr>
              <w:t>项目编号</w:t>
            </w:r>
          </w:p>
        </w:tc>
        <w:tc>
          <w:tcPr>
            <w:tcW w:w="7025" w:type="dxa"/>
            <w:noWrap w:val="0"/>
            <w:vAlign w:val="center"/>
          </w:tcPr>
          <w:p w14:paraId="6AB1B6D2">
            <w:pPr>
              <w:pStyle w:val="19"/>
              <w:keepNext w:val="0"/>
              <w:keepLines w:val="0"/>
              <w:pageBreakBefore w:val="0"/>
              <w:kinsoku/>
              <w:wordWrap w:val="0"/>
              <w:overflowPunct/>
              <w:topLinePunct w:val="0"/>
              <w:autoSpaceDE/>
              <w:autoSpaceDN/>
              <w:bidi w:val="0"/>
              <w:adjustRightInd/>
              <w:spacing w:line="440" w:lineRule="exact"/>
              <w:textAlignment w:val="auto"/>
              <w:rPr>
                <w:rFonts w:hint="default" w:hAnsi="宋体" w:cs="宋体"/>
                <w:color w:val="auto"/>
                <w:szCs w:val="21"/>
                <w:highlight w:val="none"/>
                <w:lang w:val="en-US" w:eastAsia="zh-CN"/>
              </w:rPr>
            </w:pPr>
            <w:r>
              <w:rPr>
                <w:rFonts w:hint="eastAsia" w:hAnsi="宋体" w:cs="宋体"/>
                <w:color w:val="auto"/>
                <w:szCs w:val="21"/>
                <w:highlight w:val="none"/>
                <w:lang w:val="en-US" w:eastAsia="zh-CN"/>
              </w:rPr>
              <w:t>czsjqt202602-008</w:t>
            </w:r>
          </w:p>
        </w:tc>
      </w:tr>
      <w:tr w14:paraId="3EBD18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48" w:type="dxa"/>
            <w:noWrap w:val="0"/>
            <w:vAlign w:val="center"/>
          </w:tcPr>
          <w:p w14:paraId="545F3843">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3C162275">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p>
        </w:tc>
        <w:tc>
          <w:tcPr>
            <w:tcW w:w="7025" w:type="dxa"/>
            <w:noWrap w:val="0"/>
            <w:vAlign w:val="center"/>
          </w:tcPr>
          <w:p w14:paraId="29029C20">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lang w:val="en-US" w:eastAsia="zh-CN"/>
              </w:rPr>
              <w:t>三年，合同一年一签，招标人可以根据服务质量等因素续签一年，具体以合同签订时间为准</w:t>
            </w:r>
            <w:r>
              <w:rPr>
                <w:rFonts w:hint="eastAsia" w:ascii="宋体" w:hAnsi="宋体" w:eastAsia="宋体" w:cs="宋体"/>
                <w:color w:val="auto"/>
                <w:sz w:val="21"/>
                <w:szCs w:val="21"/>
                <w:highlight w:val="none"/>
                <w:lang w:eastAsia="zh-CN"/>
              </w:rPr>
              <w:t>。</w:t>
            </w:r>
          </w:p>
        </w:tc>
      </w:tr>
      <w:tr w14:paraId="4D718E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jc w:val="center"/>
        </w:trPr>
        <w:tc>
          <w:tcPr>
            <w:tcW w:w="1048" w:type="dxa"/>
            <w:noWrap w:val="0"/>
            <w:vAlign w:val="center"/>
          </w:tcPr>
          <w:p w14:paraId="65698C94">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57E3254C">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7025" w:type="dxa"/>
            <w:noWrap w:val="0"/>
            <w:vAlign w:val="center"/>
          </w:tcPr>
          <w:p w14:paraId="4112ED39">
            <w:pPr>
              <w:pStyle w:val="19"/>
              <w:keepNext w:val="0"/>
              <w:keepLines w:val="0"/>
              <w:pageBreakBefore w:val="0"/>
              <w:kinsoku/>
              <w:wordWrap w:val="0"/>
              <w:overflowPunct/>
              <w:topLinePunct w:val="0"/>
              <w:autoSpaceDE/>
              <w:autoSpaceDN/>
              <w:bidi w:val="0"/>
              <w:adjustRightInd/>
              <w:spacing w:line="440" w:lineRule="exact"/>
              <w:textAlignment w:val="auto"/>
              <w:rPr>
                <w:rFonts w:hint="default" w:ascii="宋体" w:hAnsi="宋体" w:eastAsia="宋体" w:cs="宋体"/>
                <w:color w:val="auto"/>
                <w:kern w:val="2"/>
                <w:sz w:val="21"/>
                <w:szCs w:val="21"/>
                <w:highlight w:val="none"/>
                <w:u w:val="none" w:color="000000"/>
                <w:lang w:val="en-US" w:eastAsia="zh-CN" w:bidi="ar-SA"/>
              </w:rPr>
            </w:pPr>
            <w:r>
              <w:rPr>
                <w:rFonts w:hint="eastAsia" w:ascii="宋体" w:hAnsi="Times New Roman" w:eastAsia="宋体" w:cs="Times New Roman"/>
                <w:color w:val="auto"/>
                <w:kern w:val="2"/>
                <w:sz w:val="21"/>
                <w:szCs w:val="21"/>
                <w:highlight w:val="none"/>
                <w:lang w:val="en-US" w:eastAsia="zh-CN" w:bidi="ar-SA"/>
              </w:rPr>
              <w:t>招标人指定地点</w:t>
            </w:r>
          </w:p>
        </w:tc>
      </w:tr>
      <w:tr w14:paraId="353BC4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1048" w:type="dxa"/>
            <w:noWrap w:val="0"/>
            <w:vAlign w:val="center"/>
          </w:tcPr>
          <w:p w14:paraId="7B76056F">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140" w:type="dxa"/>
            <w:gridSpan w:val="2"/>
            <w:noWrap w:val="0"/>
            <w:vAlign w:val="center"/>
          </w:tcPr>
          <w:p w14:paraId="34497193">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招标人联系人及电话</w:t>
            </w:r>
          </w:p>
        </w:tc>
        <w:tc>
          <w:tcPr>
            <w:tcW w:w="7025" w:type="dxa"/>
            <w:noWrap w:val="0"/>
            <w:vAlign w:val="center"/>
          </w:tcPr>
          <w:p w14:paraId="660CEB90">
            <w:pPr>
              <w:pStyle w:val="19"/>
              <w:keepNext w:val="0"/>
              <w:keepLines w:val="0"/>
              <w:pageBreakBefore w:val="0"/>
              <w:kinsoku/>
              <w:wordWrap w:val="0"/>
              <w:overflowPunct/>
              <w:topLinePunct w:val="0"/>
              <w:autoSpaceDE/>
              <w:autoSpaceDN/>
              <w:bidi w:val="0"/>
              <w:adjustRightInd/>
              <w:spacing w:line="440" w:lineRule="exact"/>
              <w:textAlignment w:val="auto"/>
              <w:rPr>
                <w:rFonts w:hint="default" w:hAnsi="宋体" w:cs="宋体-18030"/>
                <w:color w:val="auto"/>
                <w:szCs w:val="21"/>
                <w:highlight w:val="none"/>
                <w:lang w:val="en-US" w:eastAsia="zh-CN"/>
              </w:rPr>
            </w:pPr>
            <w:r>
              <w:rPr>
                <w:rFonts w:hint="eastAsia" w:hAnsi="宋体" w:cs="宋体-18030"/>
                <w:color w:val="auto"/>
                <w:szCs w:val="21"/>
                <w:highlight w:val="none"/>
                <w:lang w:val="en-US" w:eastAsia="zh-CN"/>
              </w:rPr>
              <w:t>李传旭 0550-2201369</w:t>
            </w:r>
          </w:p>
        </w:tc>
      </w:tr>
      <w:tr w14:paraId="36E2B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1048" w:type="dxa"/>
            <w:noWrap w:val="0"/>
            <w:vAlign w:val="center"/>
          </w:tcPr>
          <w:p w14:paraId="45030870">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140" w:type="dxa"/>
            <w:gridSpan w:val="2"/>
            <w:noWrap w:val="0"/>
            <w:vAlign w:val="center"/>
          </w:tcPr>
          <w:p w14:paraId="7C898304">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采购代理机构联系人及电话</w:t>
            </w:r>
          </w:p>
        </w:tc>
        <w:tc>
          <w:tcPr>
            <w:tcW w:w="7025" w:type="dxa"/>
            <w:noWrap w:val="0"/>
            <w:vAlign w:val="center"/>
          </w:tcPr>
          <w:p w14:paraId="739D79FD">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关勤勤 0550-3519590</w:t>
            </w:r>
          </w:p>
        </w:tc>
      </w:tr>
      <w:tr w14:paraId="6CC807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1048" w:type="dxa"/>
            <w:noWrap w:val="0"/>
            <w:vAlign w:val="center"/>
          </w:tcPr>
          <w:p w14:paraId="7FE15D6D">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140" w:type="dxa"/>
            <w:gridSpan w:val="2"/>
            <w:noWrap w:val="0"/>
            <w:vAlign w:val="center"/>
          </w:tcPr>
          <w:p w14:paraId="785042AE">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7025" w:type="dxa"/>
            <w:noWrap w:val="0"/>
            <w:vAlign w:val="center"/>
          </w:tcPr>
          <w:p w14:paraId="398BB176">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自筹资金</w:t>
            </w:r>
          </w:p>
        </w:tc>
      </w:tr>
      <w:tr w14:paraId="7164DB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jc w:val="center"/>
        </w:trPr>
        <w:tc>
          <w:tcPr>
            <w:tcW w:w="1048" w:type="dxa"/>
            <w:noWrap w:val="0"/>
            <w:vAlign w:val="center"/>
          </w:tcPr>
          <w:p w14:paraId="5FC943D6">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140" w:type="dxa"/>
            <w:gridSpan w:val="2"/>
            <w:noWrap w:val="0"/>
            <w:vAlign w:val="center"/>
          </w:tcPr>
          <w:p w14:paraId="497CB69A">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采购预算</w:t>
            </w:r>
          </w:p>
        </w:tc>
        <w:tc>
          <w:tcPr>
            <w:tcW w:w="7025" w:type="dxa"/>
            <w:noWrap w:val="0"/>
            <w:vAlign w:val="center"/>
          </w:tcPr>
          <w:p w14:paraId="435A9125">
            <w:pPr>
              <w:keepNext w:val="0"/>
              <w:keepLines w:val="0"/>
              <w:pageBreakBefore w:val="0"/>
              <w:kinsoku/>
              <w:wordWrap w:val="0"/>
              <w:overflowPunct/>
              <w:topLinePunct w:val="0"/>
              <w:autoSpaceDE/>
              <w:autoSpaceDN/>
              <w:bidi w:val="0"/>
              <w:adjustRightIn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1656000</w:t>
            </w:r>
            <w:r>
              <w:rPr>
                <w:rFonts w:hint="default" w:ascii="宋体" w:hAnsi="宋体" w:eastAsia="宋体" w:cs="宋体"/>
                <w:color w:val="auto"/>
                <w:sz w:val="21"/>
                <w:szCs w:val="21"/>
                <w:highlight w:val="none"/>
                <w:lang w:val="en-US" w:eastAsia="zh-CN"/>
              </w:rPr>
              <w:t>元；</w:t>
            </w:r>
          </w:p>
        </w:tc>
      </w:tr>
      <w:tr w14:paraId="5C56D5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5DCB8659">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140" w:type="dxa"/>
            <w:gridSpan w:val="2"/>
            <w:noWrap w:val="0"/>
            <w:vAlign w:val="center"/>
          </w:tcPr>
          <w:p w14:paraId="07733A79">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p>
        </w:tc>
        <w:tc>
          <w:tcPr>
            <w:tcW w:w="7025" w:type="dxa"/>
            <w:noWrap w:val="0"/>
            <w:vAlign w:val="center"/>
          </w:tcPr>
          <w:p w14:paraId="3F36D462">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投标总报价最高限价每年壹佰陆拾伍万陆仟元整（1656000元/年），单价最高限价详见《分项报价清单》，投标报价高于最高限价的，按无效标处理。</w:t>
            </w:r>
          </w:p>
        </w:tc>
      </w:tr>
      <w:tr w14:paraId="59B41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jc w:val="center"/>
        </w:trPr>
        <w:tc>
          <w:tcPr>
            <w:tcW w:w="1048" w:type="dxa"/>
            <w:noWrap w:val="0"/>
            <w:vAlign w:val="center"/>
          </w:tcPr>
          <w:p w14:paraId="5C384A0C">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140" w:type="dxa"/>
            <w:gridSpan w:val="2"/>
            <w:noWrap w:val="0"/>
            <w:vAlign w:val="center"/>
          </w:tcPr>
          <w:p w14:paraId="19F1D852">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7025" w:type="dxa"/>
            <w:noWrap w:val="0"/>
            <w:vAlign w:val="center"/>
          </w:tcPr>
          <w:p w14:paraId="2B995C4A">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具体详见招标文件第</w:t>
            </w:r>
            <w:r>
              <w:rPr>
                <w:rFonts w:hint="eastAsia" w:hAnsi="宋体" w:cs="宋体"/>
                <w:color w:val="auto"/>
                <w:kern w:val="2"/>
                <w:sz w:val="21"/>
                <w:szCs w:val="21"/>
                <w:highlight w:val="none"/>
                <w:u w:val="none" w:color="000000"/>
                <w:lang w:val="en-US" w:eastAsia="zh-CN" w:bidi="ar-SA"/>
              </w:rPr>
              <w:t>五</w:t>
            </w:r>
            <w:r>
              <w:rPr>
                <w:rFonts w:hint="eastAsia" w:ascii="宋体" w:hAnsi="宋体" w:eastAsia="宋体" w:cs="宋体"/>
                <w:color w:val="auto"/>
                <w:kern w:val="2"/>
                <w:sz w:val="21"/>
                <w:szCs w:val="21"/>
                <w:highlight w:val="none"/>
                <w:u w:val="none" w:color="000000"/>
                <w:lang w:val="en-US" w:eastAsia="zh-CN" w:bidi="ar-SA"/>
              </w:rPr>
              <w:t>章《采购需求》</w:t>
            </w:r>
          </w:p>
        </w:tc>
      </w:tr>
      <w:tr w14:paraId="2F4E38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30AA7329">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40" w:type="dxa"/>
            <w:gridSpan w:val="2"/>
            <w:noWrap w:val="0"/>
            <w:vAlign w:val="center"/>
          </w:tcPr>
          <w:p w14:paraId="4C24B410">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r>
              <w:rPr>
                <w:rFonts w:hint="eastAsia" w:hAnsi="宋体" w:cs="宋体"/>
                <w:color w:val="auto"/>
                <w:szCs w:val="21"/>
                <w:highlight w:val="none"/>
                <w:lang w:val="en-US" w:eastAsia="zh-CN"/>
              </w:rPr>
              <w:t>段</w:t>
            </w:r>
            <w:r>
              <w:rPr>
                <w:rFonts w:hint="eastAsia" w:ascii="宋体" w:hAnsi="宋体" w:eastAsia="宋体" w:cs="宋体"/>
                <w:color w:val="auto"/>
                <w:szCs w:val="21"/>
                <w:highlight w:val="none"/>
              </w:rPr>
              <w:t>划分</w:t>
            </w:r>
          </w:p>
        </w:tc>
        <w:tc>
          <w:tcPr>
            <w:tcW w:w="7025" w:type="dxa"/>
            <w:noWrap w:val="0"/>
            <w:vAlign w:val="center"/>
          </w:tcPr>
          <w:p w14:paraId="6F518146">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本项目划分为</w:t>
            </w:r>
            <w:r>
              <w:rPr>
                <w:rFonts w:hint="eastAsia" w:hAnsi="宋体" w:cs="宋体"/>
                <w:color w:val="auto"/>
                <w:kern w:val="2"/>
                <w:sz w:val="21"/>
                <w:szCs w:val="21"/>
                <w:highlight w:val="none"/>
                <w:u w:val="none" w:color="000000"/>
                <w:lang w:val="en-US" w:eastAsia="zh-CN" w:bidi="ar-SA"/>
              </w:rPr>
              <w:t>1</w:t>
            </w:r>
            <w:r>
              <w:rPr>
                <w:rFonts w:hint="eastAsia" w:ascii="宋体" w:hAnsi="宋体" w:eastAsia="宋体" w:cs="宋体"/>
                <w:color w:val="auto"/>
                <w:kern w:val="2"/>
                <w:sz w:val="21"/>
                <w:szCs w:val="21"/>
                <w:highlight w:val="none"/>
                <w:u w:val="none" w:color="000000"/>
                <w:lang w:val="en-US" w:eastAsia="zh-CN" w:bidi="ar-SA"/>
              </w:rPr>
              <w:t>个标</w:t>
            </w:r>
            <w:r>
              <w:rPr>
                <w:rFonts w:hint="eastAsia" w:hAnsi="宋体" w:cs="宋体"/>
                <w:color w:val="auto"/>
                <w:kern w:val="2"/>
                <w:sz w:val="21"/>
                <w:szCs w:val="21"/>
                <w:highlight w:val="none"/>
                <w:u w:val="none" w:color="000000"/>
                <w:lang w:val="en-US" w:eastAsia="zh-CN" w:bidi="ar-SA"/>
              </w:rPr>
              <w:t>段。</w:t>
            </w:r>
          </w:p>
        </w:tc>
      </w:tr>
      <w:tr w14:paraId="21B54B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048" w:type="dxa"/>
            <w:noWrap w:val="0"/>
            <w:vAlign w:val="center"/>
          </w:tcPr>
          <w:p w14:paraId="41C07448">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2140" w:type="dxa"/>
            <w:gridSpan w:val="2"/>
            <w:noWrap w:val="0"/>
            <w:vAlign w:val="center"/>
          </w:tcPr>
          <w:p w14:paraId="5AF290DB">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025" w:type="dxa"/>
            <w:noWrap w:val="0"/>
            <w:vAlign w:val="center"/>
          </w:tcPr>
          <w:p w14:paraId="21ACDCBF">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公开招标</w:t>
            </w:r>
          </w:p>
        </w:tc>
      </w:tr>
      <w:tr w14:paraId="710414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1048" w:type="dxa"/>
            <w:noWrap w:val="0"/>
            <w:vAlign w:val="center"/>
          </w:tcPr>
          <w:p w14:paraId="3A423DBD">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2140" w:type="dxa"/>
            <w:gridSpan w:val="2"/>
            <w:noWrap w:val="0"/>
            <w:vAlign w:val="center"/>
          </w:tcPr>
          <w:p w14:paraId="017CCF4F">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投标人资格条件及其他要求</w:t>
            </w:r>
          </w:p>
        </w:tc>
        <w:tc>
          <w:tcPr>
            <w:tcW w:w="7025" w:type="dxa"/>
            <w:noWrap w:val="0"/>
            <w:vAlign w:val="center"/>
          </w:tcPr>
          <w:p w14:paraId="3517199A">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详见第一章“招标公告”</w:t>
            </w:r>
          </w:p>
        </w:tc>
      </w:tr>
      <w:tr w14:paraId="14CC67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4CC03E38">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p>
        </w:tc>
        <w:tc>
          <w:tcPr>
            <w:tcW w:w="2140" w:type="dxa"/>
            <w:gridSpan w:val="2"/>
            <w:noWrap w:val="0"/>
            <w:vAlign w:val="center"/>
          </w:tcPr>
          <w:p w14:paraId="427C5534">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7025" w:type="dxa"/>
            <w:noWrap w:val="0"/>
            <w:vAlign w:val="center"/>
          </w:tcPr>
          <w:p w14:paraId="5919B2C7">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不组织,投标人自行踏勘。</w:t>
            </w:r>
          </w:p>
        </w:tc>
      </w:tr>
      <w:tr w14:paraId="4AE7BD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1B5E7B5A">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2140" w:type="dxa"/>
            <w:gridSpan w:val="2"/>
            <w:noWrap w:val="0"/>
            <w:vAlign w:val="center"/>
          </w:tcPr>
          <w:p w14:paraId="2410C623">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7025" w:type="dxa"/>
            <w:noWrap w:val="0"/>
            <w:vAlign w:val="center"/>
          </w:tcPr>
          <w:p w14:paraId="7383FF14">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不召开</w:t>
            </w:r>
          </w:p>
        </w:tc>
      </w:tr>
      <w:tr w14:paraId="5916F9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6504DCEB">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w:t>
            </w:r>
          </w:p>
        </w:tc>
        <w:tc>
          <w:tcPr>
            <w:tcW w:w="2140" w:type="dxa"/>
            <w:gridSpan w:val="2"/>
            <w:noWrap w:val="0"/>
            <w:vAlign w:val="center"/>
          </w:tcPr>
          <w:p w14:paraId="4F8795CC">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投标人提出</w:t>
            </w:r>
            <w:r>
              <w:rPr>
                <w:rFonts w:hint="eastAsia" w:ascii="宋体" w:hAnsi="宋体" w:eastAsia="宋体" w:cs="宋体"/>
                <w:color w:val="auto"/>
                <w:szCs w:val="21"/>
                <w:highlight w:val="none"/>
                <w:u w:val="none" w:color="auto"/>
              </w:rPr>
              <w:t>疑问</w:t>
            </w:r>
            <w:r>
              <w:rPr>
                <w:rFonts w:hint="eastAsia" w:ascii="宋体" w:hAnsi="宋体" w:eastAsia="宋体" w:cs="宋体"/>
                <w:color w:val="auto"/>
                <w:szCs w:val="21"/>
                <w:highlight w:val="none"/>
              </w:rPr>
              <w:t>的截止时间及方式</w:t>
            </w:r>
          </w:p>
        </w:tc>
        <w:tc>
          <w:tcPr>
            <w:tcW w:w="7025" w:type="dxa"/>
            <w:noWrap w:val="0"/>
            <w:vAlign w:val="center"/>
          </w:tcPr>
          <w:p w14:paraId="4E5FDCD3">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color="auto"/>
              </w:rPr>
              <w:t>如投标人对招标文件有疑问，请于</w:t>
            </w:r>
            <w:r>
              <w:rPr>
                <w:rFonts w:hint="eastAsia" w:ascii="宋体" w:hAnsi="宋体" w:eastAsia="宋体" w:cs="宋体"/>
                <w:b/>
                <w:bCs/>
                <w:color w:val="auto"/>
                <w:szCs w:val="21"/>
                <w:highlight w:val="none"/>
                <w:u w:val="none" w:color="auto"/>
              </w:rPr>
              <w:t>202</w:t>
            </w:r>
            <w:r>
              <w:rPr>
                <w:rFonts w:hint="eastAsia" w:hAnsi="宋体" w:cs="宋体"/>
                <w:b/>
                <w:bCs/>
                <w:color w:val="auto"/>
                <w:szCs w:val="21"/>
                <w:highlight w:val="none"/>
                <w:u w:val="none" w:color="auto"/>
                <w:lang w:val="en-US" w:eastAsia="zh-CN"/>
              </w:rPr>
              <w:t>6</w:t>
            </w:r>
            <w:r>
              <w:rPr>
                <w:rFonts w:hint="eastAsia" w:ascii="宋体" w:hAnsi="宋体" w:eastAsia="宋体" w:cs="宋体"/>
                <w:b/>
                <w:bCs/>
                <w:color w:val="auto"/>
                <w:szCs w:val="21"/>
                <w:highlight w:val="none"/>
                <w:u w:val="none" w:color="auto"/>
              </w:rPr>
              <w:t>年</w:t>
            </w:r>
            <w:r>
              <w:rPr>
                <w:rFonts w:hint="eastAsia" w:hAnsi="宋体" w:cs="宋体"/>
                <w:b/>
                <w:bCs/>
                <w:color w:val="auto"/>
                <w:szCs w:val="21"/>
                <w:highlight w:val="none"/>
                <w:u w:val="none" w:color="auto"/>
                <w:lang w:val="en-US" w:eastAsia="zh-CN"/>
              </w:rPr>
              <w:t>02</w:t>
            </w:r>
            <w:r>
              <w:rPr>
                <w:rFonts w:hint="eastAsia" w:ascii="宋体" w:hAnsi="宋体" w:eastAsia="宋体" w:cs="宋体"/>
                <w:b/>
                <w:bCs/>
                <w:color w:val="auto"/>
                <w:szCs w:val="21"/>
                <w:highlight w:val="none"/>
                <w:u w:val="none" w:color="auto"/>
              </w:rPr>
              <w:t>月</w:t>
            </w:r>
            <w:r>
              <w:rPr>
                <w:rFonts w:hint="eastAsia" w:hAnsi="宋体" w:cs="宋体"/>
                <w:b/>
                <w:bCs/>
                <w:color w:val="auto"/>
                <w:szCs w:val="21"/>
                <w:highlight w:val="none"/>
                <w:u w:val="none" w:color="auto"/>
                <w:lang w:val="en-US" w:eastAsia="zh-CN"/>
              </w:rPr>
              <w:t>24</w:t>
            </w:r>
            <w:r>
              <w:rPr>
                <w:rFonts w:hint="eastAsia" w:ascii="宋体" w:hAnsi="宋体" w:eastAsia="宋体" w:cs="宋体"/>
                <w:b/>
                <w:bCs/>
                <w:color w:val="auto"/>
                <w:szCs w:val="21"/>
                <w:highlight w:val="none"/>
                <w:u w:val="none" w:color="auto"/>
              </w:rPr>
              <w:t>日</w:t>
            </w:r>
            <w:r>
              <w:rPr>
                <w:rFonts w:hint="eastAsia" w:hAnsi="宋体" w:cs="宋体"/>
                <w:b/>
                <w:bCs/>
                <w:color w:val="auto"/>
                <w:szCs w:val="21"/>
                <w:highlight w:val="none"/>
                <w:u w:val="none" w:color="auto"/>
                <w:lang w:val="en-US" w:eastAsia="zh-CN"/>
              </w:rPr>
              <w:t>8</w:t>
            </w:r>
            <w:r>
              <w:rPr>
                <w:rFonts w:hint="eastAsia" w:ascii="宋体" w:hAnsi="宋体" w:eastAsia="宋体" w:cs="宋体"/>
                <w:b/>
                <w:bCs/>
                <w:color w:val="auto"/>
                <w:szCs w:val="21"/>
                <w:highlight w:val="none"/>
                <w:u w:val="none" w:color="auto"/>
              </w:rPr>
              <w:t>时</w:t>
            </w:r>
            <w:r>
              <w:rPr>
                <w:rFonts w:hint="eastAsia" w:hAnsi="宋体" w:cs="宋体"/>
                <w:b/>
                <w:bCs/>
                <w:color w:val="auto"/>
                <w:szCs w:val="21"/>
                <w:highlight w:val="none"/>
                <w:u w:val="none" w:color="auto"/>
                <w:lang w:val="en-US" w:eastAsia="zh-CN"/>
              </w:rPr>
              <w:t>30分</w:t>
            </w:r>
            <w:r>
              <w:rPr>
                <w:rFonts w:hint="eastAsia" w:ascii="宋体" w:hAnsi="宋体" w:eastAsia="宋体" w:cs="宋体"/>
                <w:color w:val="auto"/>
                <w:szCs w:val="21"/>
                <w:highlight w:val="none"/>
                <w:u w:val="none" w:color="auto"/>
              </w:rPr>
              <w:t>（投标截止10日）前</w:t>
            </w:r>
            <w:bookmarkStart w:id="29" w:name="_Hlk61815279"/>
            <w:r>
              <w:rPr>
                <w:rFonts w:hint="eastAsia" w:ascii="宋体" w:hAnsi="宋体" w:eastAsia="宋体" w:cs="宋体"/>
                <w:color w:val="auto"/>
                <w:szCs w:val="21"/>
                <w:highlight w:val="none"/>
                <w:u w:val="none" w:color="auto"/>
              </w:rPr>
              <w:t xml:space="preserve">在滁州市公共资源交易中心网电子交易系统中进行异议（质疑），具体操作步骤和程序请参见服务指南&gt;交易须知&gt;在线异议、质疑和投诉操作手册。 </w:t>
            </w:r>
            <w:bookmarkEnd w:id="29"/>
          </w:p>
        </w:tc>
      </w:tr>
      <w:tr w14:paraId="62D53E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66DF5308">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2140" w:type="dxa"/>
            <w:gridSpan w:val="2"/>
            <w:noWrap w:val="0"/>
            <w:vAlign w:val="center"/>
          </w:tcPr>
          <w:p w14:paraId="5051C68B">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招标人澄清的时间及方式</w:t>
            </w:r>
          </w:p>
        </w:tc>
        <w:tc>
          <w:tcPr>
            <w:tcW w:w="7025" w:type="dxa"/>
            <w:noWrap w:val="0"/>
            <w:vAlign w:val="center"/>
          </w:tcPr>
          <w:p w14:paraId="37A490CC">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none" w:color="000000"/>
              </w:rPr>
              <w:t>202</w:t>
            </w:r>
            <w:r>
              <w:rPr>
                <w:rFonts w:hint="eastAsia" w:ascii="宋体" w:hAnsi="宋体" w:cs="宋体"/>
                <w:b/>
                <w:bCs/>
                <w:color w:val="auto"/>
                <w:szCs w:val="21"/>
                <w:highlight w:val="none"/>
                <w:u w:val="none" w:color="000000"/>
                <w:lang w:val="en-US" w:eastAsia="zh-CN"/>
              </w:rPr>
              <w:t>6</w:t>
            </w:r>
            <w:r>
              <w:rPr>
                <w:rFonts w:hint="eastAsia" w:ascii="宋体" w:hAnsi="宋体" w:eastAsia="宋体" w:cs="宋体"/>
                <w:b/>
                <w:bCs/>
                <w:color w:val="auto"/>
                <w:szCs w:val="21"/>
                <w:highlight w:val="none"/>
                <w:u w:val="none" w:color="000000"/>
              </w:rPr>
              <w:t>年</w:t>
            </w:r>
            <w:r>
              <w:rPr>
                <w:rFonts w:hint="eastAsia" w:ascii="宋体" w:hAnsi="宋体" w:cs="宋体"/>
                <w:b/>
                <w:bCs/>
                <w:color w:val="auto"/>
                <w:szCs w:val="21"/>
                <w:highlight w:val="none"/>
                <w:u w:val="none" w:color="000000"/>
                <w:lang w:val="en-US" w:eastAsia="zh-CN"/>
              </w:rPr>
              <w:t>2</w:t>
            </w:r>
            <w:r>
              <w:rPr>
                <w:rFonts w:hint="eastAsia" w:ascii="宋体" w:hAnsi="宋体" w:eastAsia="宋体" w:cs="宋体"/>
                <w:b/>
                <w:bCs/>
                <w:color w:val="auto"/>
                <w:szCs w:val="21"/>
                <w:highlight w:val="none"/>
                <w:u w:val="none" w:color="000000"/>
              </w:rPr>
              <w:t>月</w:t>
            </w:r>
            <w:r>
              <w:rPr>
                <w:rFonts w:hint="eastAsia" w:ascii="宋体" w:hAnsi="宋体" w:cs="宋体"/>
                <w:b/>
                <w:bCs/>
                <w:color w:val="auto"/>
                <w:szCs w:val="21"/>
                <w:highlight w:val="none"/>
                <w:u w:val="none" w:color="000000"/>
                <w:lang w:val="en-US" w:eastAsia="zh-CN"/>
              </w:rPr>
              <w:t>26</w:t>
            </w:r>
            <w:r>
              <w:rPr>
                <w:rFonts w:hint="eastAsia" w:ascii="宋体" w:hAnsi="宋体" w:eastAsia="宋体" w:cs="宋体"/>
                <w:b/>
                <w:bCs/>
                <w:color w:val="auto"/>
                <w:szCs w:val="21"/>
                <w:highlight w:val="none"/>
                <w:u w:val="none" w:color="000000"/>
              </w:rPr>
              <w:t>日17时</w:t>
            </w:r>
            <w:r>
              <w:rPr>
                <w:rFonts w:hint="eastAsia" w:ascii="宋体" w:hAnsi="宋体" w:eastAsia="宋体" w:cs="宋体"/>
                <w:b/>
                <w:bCs/>
                <w:color w:val="auto"/>
                <w:szCs w:val="21"/>
                <w:highlight w:val="none"/>
              </w:rPr>
              <w:t>前</w:t>
            </w:r>
            <w:r>
              <w:rPr>
                <w:rFonts w:hint="eastAsia" w:ascii="宋体" w:hAnsi="宋体" w:eastAsia="宋体" w:cs="宋体"/>
                <w:color w:val="auto"/>
                <w:kern w:val="2"/>
                <w:sz w:val="21"/>
                <w:szCs w:val="21"/>
                <w:highlight w:val="none"/>
                <w:u w:val="none" w:color="auto"/>
                <w:lang w:val="en-US" w:eastAsia="zh-CN" w:bidi="ar-SA"/>
              </w:rPr>
              <w:t>在滁州市公共资源交易中心网站 “答疑澄清文件”栏目予以公告。</w:t>
            </w:r>
          </w:p>
        </w:tc>
      </w:tr>
      <w:tr w14:paraId="1C514B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jc w:val="center"/>
        </w:trPr>
        <w:tc>
          <w:tcPr>
            <w:tcW w:w="1048" w:type="dxa"/>
            <w:noWrap w:val="0"/>
            <w:vAlign w:val="center"/>
          </w:tcPr>
          <w:p w14:paraId="4BF9D386">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2140" w:type="dxa"/>
            <w:gridSpan w:val="2"/>
            <w:noWrap w:val="0"/>
            <w:vAlign w:val="center"/>
          </w:tcPr>
          <w:p w14:paraId="019D8C8E">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w:t>
            </w:r>
          </w:p>
        </w:tc>
        <w:tc>
          <w:tcPr>
            <w:tcW w:w="7025" w:type="dxa"/>
            <w:noWrap w:val="0"/>
            <w:vAlign w:val="center"/>
          </w:tcPr>
          <w:p w14:paraId="43999CAE">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w:t>
            </w:r>
            <w:r>
              <w:rPr>
                <w:rFonts w:hint="eastAsia" w:ascii="宋体" w:hAnsi="宋体" w:eastAsia="宋体" w:cs="宋体"/>
                <w:color w:val="auto"/>
                <w:szCs w:val="21"/>
                <w:highlight w:val="none"/>
                <w:u w:val="none" w:color="auto"/>
              </w:rPr>
              <w:t>不接受</w:t>
            </w:r>
            <w:r>
              <w:rPr>
                <w:rFonts w:hint="eastAsia" w:ascii="宋体" w:hAnsi="宋体" w:eastAsia="宋体" w:cs="宋体"/>
                <w:color w:val="auto"/>
                <w:szCs w:val="21"/>
                <w:highlight w:val="none"/>
              </w:rPr>
              <w:t>联合体投标</w:t>
            </w:r>
          </w:p>
        </w:tc>
      </w:tr>
      <w:tr w14:paraId="55C831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667DC5D8">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2140" w:type="dxa"/>
            <w:gridSpan w:val="2"/>
            <w:noWrap w:val="0"/>
            <w:vAlign w:val="center"/>
          </w:tcPr>
          <w:p w14:paraId="14B666AD">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招标代理费</w:t>
            </w:r>
          </w:p>
        </w:tc>
        <w:tc>
          <w:tcPr>
            <w:tcW w:w="7025" w:type="dxa"/>
            <w:noWrap w:val="0"/>
            <w:vAlign w:val="center"/>
          </w:tcPr>
          <w:p w14:paraId="7EFBBE24">
            <w:pPr>
              <w:keepNext w:val="0"/>
              <w:keepLines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20" w:lineRule="exact"/>
              <w:ind w:left="0" w:right="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代理服务费金额：</w:t>
            </w:r>
            <w:r>
              <w:rPr>
                <w:rFonts w:hint="eastAsia" w:ascii="宋体" w:hAnsi="宋体" w:cs="宋体"/>
                <w:color w:val="auto"/>
                <w:szCs w:val="21"/>
                <w:highlight w:val="none"/>
                <w:lang w:val="en-US" w:eastAsia="zh-CN"/>
              </w:rPr>
              <w:t>10000元。</w:t>
            </w:r>
            <w:r>
              <w:rPr>
                <w:rFonts w:hint="eastAsia" w:ascii="宋体" w:hAnsi="宋体" w:eastAsia="宋体" w:cs="宋体"/>
                <w:color w:val="auto"/>
                <w:szCs w:val="21"/>
                <w:highlight w:val="none"/>
                <w:lang w:val="en-US" w:eastAsia="zh-CN"/>
              </w:rPr>
              <w:t>参考计价格【2002】1980号文件规定的</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，以最高限价为计费基数。</w:t>
            </w:r>
          </w:p>
          <w:p w14:paraId="57530574">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代理服务费</w:t>
            </w:r>
            <w:r>
              <w:rPr>
                <w:rFonts w:hint="eastAsia" w:ascii="宋体" w:hAnsi="宋体" w:eastAsia="宋体" w:cs="宋体"/>
                <w:color w:val="auto"/>
                <w:szCs w:val="21"/>
                <w:highlight w:val="none"/>
                <w:lang w:val="en-US" w:eastAsia="zh-CN"/>
              </w:rPr>
              <w:t>支付主体</w:t>
            </w:r>
            <w:r>
              <w:rPr>
                <w:rFonts w:hint="eastAsia" w:ascii="宋体" w:hAnsi="宋体" w:eastAsia="宋体" w:cs="宋体"/>
                <w:color w:val="auto"/>
                <w:szCs w:val="21"/>
                <w:highlight w:val="none"/>
              </w:rPr>
              <w:t>：中标单位。</w:t>
            </w:r>
          </w:p>
        </w:tc>
      </w:tr>
      <w:tr w14:paraId="4D3176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2A8C53EB">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2</w:t>
            </w:r>
          </w:p>
        </w:tc>
        <w:tc>
          <w:tcPr>
            <w:tcW w:w="2140" w:type="dxa"/>
            <w:gridSpan w:val="2"/>
            <w:noWrap w:val="0"/>
            <w:vAlign w:val="center"/>
          </w:tcPr>
          <w:p w14:paraId="23788468">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专家评审劳务费</w:t>
            </w:r>
          </w:p>
        </w:tc>
        <w:tc>
          <w:tcPr>
            <w:tcW w:w="7025" w:type="dxa"/>
            <w:noWrap w:val="0"/>
            <w:vAlign w:val="center"/>
          </w:tcPr>
          <w:p w14:paraId="34DEFD6A">
            <w:pPr>
              <w:keepNext w:val="0"/>
              <w:keepLines w:val="0"/>
              <w:pageBreakBefore w:val="0"/>
              <w:kinsoku/>
              <w:wordWrap w:val="0"/>
              <w:overflowPunct/>
              <w:topLinePunct w:val="0"/>
              <w:autoSpaceDE/>
              <w:autoSpaceDN/>
              <w:bidi w:val="0"/>
              <w:adjustRightInd/>
              <w:spacing w:line="44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费用或支付标准：按实支付。</w:t>
            </w:r>
          </w:p>
          <w:p w14:paraId="1DAB0A91">
            <w:pPr>
              <w:keepNext w:val="0"/>
              <w:keepLines w:val="0"/>
              <w:pageBreakBefore w:val="0"/>
              <w:kinsoku/>
              <w:wordWrap w:val="0"/>
              <w:overflowPunct/>
              <w:topLinePunct w:val="0"/>
              <w:autoSpaceDE/>
              <w:autoSpaceDN/>
              <w:bidi w:val="0"/>
              <w:adjustRightInd/>
              <w:spacing w:line="440" w:lineRule="exact"/>
              <w:jc w:val="left"/>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支付主体：</w:t>
            </w:r>
            <w:r>
              <w:rPr>
                <w:rFonts w:hint="eastAsia" w:ascii="宋体" w:hAnsi="宋体" w:cs="宋体"/>
                <w:color w:val="auto"/>
                <w:szCs w:val="21"/>
                <w:highlight w:val="none"/>
                <w:lang w:val="en-US" w:eastAsia="zh-CN"/>
              </w:rPr>
              <w:t>招标单位</w:t>
            </w:r>
            <w:r>
              <w:rPr>
                <w:rFonts w:hint="eastAsia" w:ascii="宋体" w:hAnsi="宋体" w:eastAsia="宋体" w:cs="宋体"/>
                <w:color w:val="auto"/>
                <w:szCs w:val="21"/>
                <w:highlight w:val="none"/>
                <w:lang w:val="en-US" w:eastAsia="zh-CN"/>
              </w:rPr>
              <w:t>。</w:t>
            </w:r>
          </w:p>
        </w:tc>
      </w:tr>
      <w:tr w14:paraId="253BC7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jc w:val="center"/>
        </w:trPr>
        <w:tc>
          <w:tcPr>
            <w:tcW w:w="1048" w:type="dxa"/>
            <w:noWrap w:val="0"/>
            <w:vAlign w:val="center"/>
          </w:tcPr>
          <w:p w14:paraId="1D0E2D4B">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w:t>
            </w:r>
          </w:p>
        </w:tc>
        <w:tc>
          <w:tcPr>
            <w:tcW w:w="2140" w:type="dxa"/>
            <w:gridSpan w:val="2"/>
            <w:noWrap w:val="0"/>
            <w:vAlign w:val="center"/>
          </w:tcPr>
          <w:p w14:paraId="7CFE93A0">
            <w:pPr>
              <w:keepNext w:val="0"/>
              <w:keepLines w:val="0"/>
              <w:pageBreakBefore w:val="0"/>
              <w:kinsoku/>
              <w:wordWrap w:val="0"/>
              <w:overflowPunct/>
              <w:topLinePunct w:val="0"/>
              <w:autoSpaceDE/>
              <w:autoSpaceDN/>
              <w:bidi w:val="0"/>
              <w:adjustRightInd/>
              <w:spacing w:line="440" w:lineRule="exact"/>
              <w:ind w:right="-27" w:rightChars="-13"/>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投标人要求澄清招标文件的截止时间及方式</w:t>
            </w:r>
          </w:p>
        </w:tc>
        <w:tc>
          <w:tcPr>
            <w:tcW w:w="7025" w:type="dxa"/>
            <w:noWrap w:val="0"/>
            <w:vAlign w:val="center"/>
          </w:tcPr>
          <w:p w14:paraId="318D5C74">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同表10.2款</w:t>
            </w:r>
          </w:p>
        </w:tc>
      </w:tr>
      <w:tr w14:paraId="1D2027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4B8769BD">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2140" w:type="dxa"/>
            <w:gridSpan w:val="2"/>
            <w:noWrap w:val="0"/>
            <w:vAlign w:val="center"/>
          </w:tcPr>
          <w:p w14:paraId="78472053">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025" w:type="dxa"/>
            <w:noWrap w:val="0"/>
            <w:vAlign w:val="center"/>
          </w:tcPr>
          <w:p w14:paraId="02821FA5">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投标有效期为</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日历天（从投标截止之日算起）。在此期限内，凡符合本招标文件要求的投标文件均保持有效。</w:t>
            </w:r>
          </w:p>
        </w:tc>
      </w:tr>
      <w:tr w14:paraId="515BA3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1048" w:type="dxa"/>
            <w:noWrap w:val="0"/>
            <w:vAlign w:val="center"/>
          </w:tcPr>
          <w:p w14:paraId="6633D0B5">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2140" w:type="dxa"/>
            <w:gridSpan w:val="2"/>
            <w:noWrap w:val="0"/>
            <w:vAlign w:val="center"/>
          </w:tcPr>
          <w:p w14:paraId="4C54C166">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025" w:type="dxa"/>
            <w:noWrap w:val="0"/>
            <w:vAlign w:val="top"/>
          </w:tcPr>
          <w:p w14:paraId="77597DB1">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投标保证金收取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投标保证金的金额：</w:t>
            </w:r>
            <w:permStart w:id="0" w:edGrp="everyone"/>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w:t>
            </w:r>
            <w:permEnd w:id="0"/>
            <w:r>
              <w:rPr>
                <w:rFonts w:hint="eastAsia" w:ascii="宋体" w:hAnsi="宋体" w:eastAsia="宋体" w:cs="宋体"/>
                <w:color w:val="auto"/>
                <w:szCs w:val="21"/>
                <w:highlight w:val="none"/>
              </w:rPr>
              <w:t>万元，</w:t>
            </w:r>
            <w:permStart w:id="1" w:edGrp="everyone"/>
            <w:r>
              <w:rPr>
                <w:rFonts w:hint="eastAsia" w:ascii="宋体" w:hAnsi="宋体" w:eastAsia="宋体" w:cs="宋体"/>
                <w:color w:val="auto"/>
                <w:szCs w:val="21"/>
                <w:highlight w:val="none"/>
              </w:rPr>
              <w:t>不要求</w:t>
            </w:r>
            <w:permEnd w:id="1"/>
            <w:r>
              <w:rPr>
                <w:rFonts w:hint="eastAsia" w:ascii="宋体" w:hAnsi="宋体" w:eastAsia="宋体" w:cs="宋体"/>
                <w:color w:val="auto"/>
                <w:szCs w:val="21"/>
                <w:highlight w:val="none"/>
              </w:rPr>
              <w:t>投标人提交投标保证金。</w:t>
            </w:r>
          </w:p>
          <w:p w14:paraId="07956EED">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（2）投标保证金形式：</w:t>
            </w:r>
            <w:bookmarkStart w:id="30" w:name="OLE_LINK62"/>
            <w:bookmarkStart w:id="31" w:name="OLE_LINK61"/>
            <w:bookmarkStart w:id="32" w:name="OLE_LINK71"/>
            <w:bookmarkStart w:id="33" w:name="OLE_LINK69"/>
            <w:bookmarkStart w:id="34" w:name="OLE_LINK66"/>
            <w:r>
              <w:rPr>
                <w:rFonts w:hint="eastAsia" w:ascii="宋体" w:hAnsi="宋体" w:eastAsia="宋体" w:cs="宋体"/>
                <w:color w:val="auto"/>
                <w:szCs w:val="21"/>
                <w:highlight w:val="none"/>
              </w:rPr>
              <w:t>支持现金（银行转账、银行电汇等）、非现金形式（支票、银行汇票、本票等）、电子保函、纸质银行保函。</w:t>
            </w:r>
            <w:bookmarkEnd w:id="30"/>
            <w:bookmarkEnd w:id="31"/>
            <w:bookmarkEnd w:id="32"/>
            <w:bookmarkEnd w:id="33"/>
            <w:bookmarkEnd w:id="34"/>
          </w:p>
          <w:p w14:paraId="16F25B66">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（3）接收投标保证金的账户信息：</w:t>
            </w:r>
          </w:p>
          <w:p w14:paraId="6219D173">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421BBE44">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①户名：滁州市公共资源交易中心</w:t>
            </w:r>
          </w:p>
          <w:p w14:paraId="02428FEC">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开户行：中国银行滁州分行 </w:t>
            </w:r>
          </w:p>
          <w:p w14:paraId="316C7F01">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 </w:t>
            </w:r>
          </w:p>
          <w:p w14:paraId="24BD37F4">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②户  名：滁州市公共资源交易中心 </w:t>
            </w:r>
          </w:p>
          <w:p w14:paraId="4D908EEF">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开户行：中国建设银行股份有限公司滁州南谯支行</w:t>
            </w:r>
          </w:p>
          <w:p w14:paraId="74C795C6">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账  号：</w:t>
            </w:r>
            <w:r>
              <w:rPr>
                <w:rFonts w:hint="eastAsia" w:ascii="宋体" w:hAnsi="宋体" w:cs="宋体"/>
                <w:color w:val="auto"/>
                <w:szCs w:val="21"/>
                <w:highlight w:val="none"/>
                <w:lang w:val="en-US" w:eastAsia="zh-CN"/>
              </w:rPr>
              <w:t>/</w:t>
            </w:r>
          </w:p>
          <w:p w14:paraId="5C875159">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③户  名：滁州市公共资源交易中心        </w:t>
            </w:r>
          </w:p>
          <w:p w14:paraId="56420BD1">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开户行：中国农业银行滁州中都支行                </w:t>
            </w:r>
          </w:p>
          <w:p w14:paraId="023A1EB4">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账  号：</w:t>
            </w:r>
            <w:r>
              <w:rPr>
                <w:rFonts w:hint="eastAsia" w:ascii="宋体" w:hAnsi="宋体" w:cs="宋体"/>
                <w:color w:val="auto"/>
                <w:szCs w:val="21"/>
                <w:highlight w:val="none"/>
                <w:lang w:val="en-US" w:eastAsia="zh-CN"/>
              </w:rPr>
              <w:t>/</w:t>
            </w:r>
          </w:p>
          <w:p w14:paraId="01B2F2CD">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采用现金形式缴纳保证金时须在交易附言中注明：“（招标项目编号）项目投标保证金”。</w:t>
            </w:r>
          </w:p>
          <w:p w14:paraId="5B697F3E">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银行汇票、本票等非现金形式提交投标保证金时，投标人应在付款人开户行申请书附言处注明“（招标项目编号）项目投标保证金”字样，应确保收款人开户行进账单完整反映交易附言内容，由此导致无法识别投标保证金对应的投标项目，其后果由投标人负责。</w:t>
            </w:r>
          </w:p>
          <w:p w14:paraId="2C4C7203">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3)采用电子保函形式具体要求如下：</w:t>
            </w:r>
          </w:p>
          <w:p w14:paraId="4DEB0AB2">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①电子保函提交要求：</w:t>
            </w:r>
          </w:p>
          <w:p w14:paraId="7F1BC249">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a.投标人须在投标文件提交截止时间前提供与滁州市公共资源交易中心金融服务平台对接的电子保函，否则视为投标保证金未按规定要求缴纳。</w:t>
            </w:r>
          </w:p>
          <w:p w14:paraId="7C346CE4">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2511EE29">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c.投标有效期内未能确定中标结果，需要延长投标有效期，投标人同意延长投标有效期的，须相应延长电子保函的有效期。</w:t>
            </w:r>
          </w:p>
          <w:p w14:paraId="02679D24">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d.</w:t>
            </w:r>
            <w:bookmarkStart w:id="35" w:name="OLE_LINK53"/>
            <w:bookmarkStart w:id="36" w:name="OLE_LINK52"/>
            <w:r>
              <w:rPr>
                <w:rFonts w:hint="eastAsia" w:ascii="宋体" w:hAnsi="宋体" w:eastAsia="宋体" w:cs="宋体"/>
                <w:color w:val="auto"/>
                <w:szCs w:val="21"/>
                <w:highlight w:val="none"/>
              </w:rPr>
              <w:t>投标人存在投标保证金不予退还的情形，采用电子保函形式的将予以追缴。</w:t>
            </w:r>
          </w:p>
          <w:bookmarkEnd w:id="35"/>
          <w:bookmarkEnd w:id="36"/>
          <w:p w14:paraId="140664C8">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4)采用纸质</w:t>
            </w:r>
            <w:r>
              <w:rPr>
                <w:rFonts w:hint="eastAsia" w:ascii="宋体" w:hAnsi="宋体" w:eastAsia="宋体" w:cs="宋体"/>
                <w:color w:val="auto"/>
                <w:szCs w:val="21"/>
                <w:highlight w:val="none"/>
                <w:lang w:eastAsia="zh-CN"/>
              </w:rPr>
              <w:t>银行</w:t>
            </w:r>
            <w:r>
              <w:rPr>
                <w:rFonts w:hint="eastAsia" w:ascii="宋体" w:hAnsi="宋体" w:eastAsia="宋体" w:cs="宋体"/>
                <w:color w:val="auto"/>
                <w:szCs w:val="21"/>
                <w:highlight w:val="none"/>
              </w:rPr>
              <w:t>保函形式具体要求如下：</w:t>
            </w:r>
          </w:p>
          <w:p w14:paraId="3327C709">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①应为投标人基本账户开户银行出具的不可撤销、不可转让的见索即付独立保函,所需费用由投标人承担。</w:t>
            </w:r>
          </w:p>
          <w:p w14:paraId="564FEC7B">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②投标人在投标文件中必须提供基本存款账户证明（如基本存款账户开户许可证或基本存款账户信息），同时将纸质保函扫描件提供在投标文件中</w:t>
            </w:r>
            <w:r>
              <w:rPr>
                <w:rFonts w:hint="eastAsia" w:ascii="宋体" w:hAnsi="宋体" w:eastAsia="宋体" w:cs="宋体"/>
                <w:color w:val="auto"/>
                <w:szCs w:val="21"/>
                <w:highlight w:val="none"/>
                <w:lang w:eastAsia="zh-CN"/>
              </w:rPr>
              <w:t>。</w:t>
            </w:r>
          </w:p>
          <w:p w14:paraId="6B0EB279">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③投标人在投标文件中必须提供明确有效的查询途径（ 网址链接及查询方式），否则该纸质银行保函无效。</w:t>
            </w:r>
          </w:p>
          <w:p w14:paraId="7F18CE75">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406F6A82">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2.保证金电子保函业务应急处置措施。由于自然灾害、事故灾难、突发公共网络安全事件或者系统原因，以及保证金电子保函系统使用过程中出现的以下情况：</w:t>
            </w:r>
          </w:p>
          <w:p w14:paraId="5FCD3BC5">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（1）开标时，系统获取明文保函文件异常，无法正常获取保函文件；</w:t>
            </w:r>
          </w:p>
          <w:p w14:paraId="0E8DCE9E">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（2）保证金电子保函系统的软件或数据库出现错误，不能进行正常操作；</w:t>
            </w:r>
          </w:p>
          <w:p w14:paraId="46BD1CF6">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（3）保证金电子保函系统服务器发生故障等情况，无法访问或无法使用电子保函；</w:t>
            </w:r>
          </w:p>
          <w:p w14:paraId="03958A5C">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（4）保证金电子保函系统服务器受到病毒或其他外来的攻击；</w:t>
            </w:r>
          </w:p>
          <w:p w14:paraId="5EC821F8">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（5）其他影响电子保函出具的异常情形。</w:t>
            </w:r>
          </w:p>
          <w:p w14:paraId="480DE016">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57B91997">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3.本次招标失败，再次进行招标的，投标人须按照新的账户重新缴纳投标保证金。</w:t>
            </w:r>
          </w:p>
          <w:p w14:paraId="037B9460">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4.投标人为联合体投标的，由牵头人基本账户转出投标保证金或由牵头人办理保函。</w:t>
            </w:r>
          </w:p>
          <w:p w14:paraId="63881C65">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5.是否适用免缴投标保证金政策</w:t>
            </w:r>
            <w:r>
              <w:rPr>
                <w:rFonts w:hint="eastAsia" w:ascii="宋体" w:hAnsi="宋体" w:cs="宋体"/>
                <w:color w:val="auto"/>
                <w:szCs w:val="21"/>
                <w:highlight w:val="none"/>
                <w:lang w:eastAsia="zh-CN"/>
              </w:rPr>
              <w:t>：</w:t>
            </w:r>
          </w:p>
          <w:p w14:paraId="1549D7AA">
            <w:pPr>
              <w:keepNext w:val="0"/>
              <w:keepLines w:val="0"/>
              <w:pageBreakBefore w:val="0"/>
              <w:widowControl/>
              <w:shd w:val="clear" w:color="auto" w:fill="FFFFFF"/>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permStart w:id="2" w:edGrp="everyone"/>
            <w:r>
              <w:rPr>
                <w:rFonts w:hint="eastAsia" w:ascii="宋体" w:hAnsi="宋体" w:eastAsia="宋体" w:cs="宋体"/>
                <w:color w:val="auto"/>
                <w:szCs w:val="21"/>
                <w:highlight w:val="none"/>
              </w:rPr>
              <w:t xml:space="preserve">不适用 </w:t>
            </w:r>
            <w:permEnd w:id="2"/>
            <w:r>
              <w:rPr>
                <w:rFonts w:hint="eastAsia" w:ascii="宋体" w:hAnsi="宋体" w:eastAsia="宋体" w:cs="宋体"/>
                <w:color w:val="auto"/>
                <w:szCs w:val="21"/>
                <w:highlight w:val="none"/>
              </w:rPr>
              <w:t>。</w:t>
            </w:r>
          </w:p>
        </w:tc>
      </w:tr>
      <w:tr w14:paraId="5EC849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47FCC79A">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w:t>
            </w:r>
          </w:p>
        </w:tc>
        <w:tc>
          <w:tcPr>
            <w:tcW w:w="2140" w:type="dxa"/>
            <w:gridSpan w:val="2"/>
            <w:noWrap w:val="0"/>
            <w:vAlign w:val="center"/>
          </w:tcPr>
          <w:p w14:paraId="3F4BB70E">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投标文件数量</w:t>
            </w:r>
          </w:p>
        </w:tc>
        <w:tc>
          <w:tcPr>
            <w:tcW w:w="7025" w:type="dxa"/>
            <w:noWrap w:val="0"/>
            <w:vAlign w:val="center"/>
          </w:tcPr>
          <w:p w14:paraId="0199DB69">
            <w:pPr>
              <w:keepNext w:val="0"/>
              <w:keepLines w:val="0"/>
              <w:pageBreakBefore w:val="0"/>
              <w:widowControl/>
              <w:kinsoku/>
              <w:wordWrap w:val="0"/>
              <w:overflowPunct/>
              <w:topLinePunct w:val="0"/>
              <w:autoSpaceDE/>
              <w:autoSpaceDN/>
              <w:bidi w:val="0"/>
              <w:adjustRightInd/>
              <w:spacing w:line="440" w:lineRule="exact"/>
              <w:ind w:firstLine="88" w:firstLineChars="42"/>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网上递交的电子投标文件：一份。以投标人在投标截止时间前网上递交的电子投标文件为准，逾期提交的，投标文件将被拒绝。</w:t>
            </w:r>
          </w:p>
          <w:p w14:paraId="52DDC81E">
            <w:pPr>
              <w:keepNext w:val="0"/>
              <w:keepLines w:val="0"/>
              <w:pageBreakBefore w:val="0"/>
              <w:widowControl/>
              <w:kinsoku/>
              <w:wordWrap w:val="0"/>
              <w:overflowPunct/>
              <w:topLinePunct w:val="0"/>
              <w:autoSpaceDE/>
              <w:autoSpaceDN/>
              <w:bidi w:val="0"/>
              <w:adjustRightInd/>
              <w:spacing w:line="440" w:lineRule="exact"/>
              <w:ind w:firstLine="89" w:firstLineChars="42"/>
              <w:jc w:val="left"/>
              <w:textAlignment w:val="auto"/>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Cs w:val="21"/>
                <w:highlight w:val="none"/>
                <w:u w:val="single"/>
              </w:rPr>
              <w:t xml:space="preserve"> 1 </w:t>
            </w:r>
            <w:r>
              <w:rPr>
                <w:rFonts w:hint="eastAsia" w:ascii="宋体" w:hAnsi="宋体" w:eastAsia="宋体" w:cs="宋体"/>
                <w:b/>
                <w:color w:val="auto"/>
                <w:kern w:val="0"/>
                <w:szCs w:val="21"/>
                <w:highlight w:val="none"/>
              </w:rPr>
              <w:t>份，副本</w:t>
            </w:r>
            <w:r>
              <w:rPr>
                <w:rFonts w:hint="eastAsia" w:ascii="宋体" w:hAnsi="宋体" w:eastAsia="宋体" w:cs="宋体"/>
                <w:b/>
                <w:color w:val="auto"/>
                <w:kern w:val="0"/>
                <w:szCs w:val="21"/>
                <w:highlight w:val="none"/>
                <w:u w:val="single"/>
              </w:rPr>
              <w:t xml:space="preserve"> 2 </w:t>
            </w:r>
            <w:r>
              <w:rPr>
                <w:rFonts w:hint="eastAsia" w:ascii="宋体" w:hAnsi="宋体" w:eastAsia="宋体" w:cs="宋体"/>
                <w:b/>
                <w:color w:val="auto"/>
                <w:kern w:val="0"/>
                <w:szCs w:val="21"/>
                <w:highlight w:val="none"/>
              </w:rPr>
              <w:t>份；中标人领取中标通知书时，一并递交给招标代理机构）。</w:t>
            </w:r>
          </w:p>
        </w:tc>
      </w:tr>
      <w:tr w14:paraId="1329C6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4110D6E7">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w:t>
            </w:r>
          </w:p>
        </w:tc>
        <w:tc>
          <w:tcPr>
            <w:tcW w:w="2140" w:type="dxa"/>
            <w:gridSpan w:val="2"/>
            <w:noWrap w:val="0"/>
            <w:vAlign w:val="center"/>
          </w:tcPr>
          <w:p w14:paraId="414E88B0">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7025" w:type="dxa"/>
            <w:noWrap w:val="0"/>
            <w:vAlign w:val="center"/>
          </w:tcPr>
          <w:p w14:paraId="62A7AAE6">
            <w:pPr>
              <w:keepNext w:val="0"/>
              <w:keepLines w:val="0"/>
              <w:pageBreakBefore w:val="0"/>
              <w:widowControl/>
              <w:kinsoku/>
              <w:wordWrap w:val="0"/>
              <w:overflowPunct/>
              <w:topLinePunct w:val="0"/>
              <w:autoSpaceDE/>
              <w:autoSpaceDN/>
              <w:bidi w:val="0"/>
              <w:adjustRightInd/>
              <w:spacing w:line="440" w:lineRule="exact"/>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电子投标文件须按格式文件要求签字或盖章（电子签章），招标文件格式中要求“签章”部位，指电子签章或盖章后扫描上传均可。</w:t>
            </w:r>
          </w:p>
          <w:p w14:paraId="400380CC">
            <w:pPr>
              <w:keepNext w:val="0"/>
              <w:keepLines w:val="0"/>
              <w:pageBreakBefore w:val="0"/>
              <w:widowControl/>
              <w:kinsoku/>
              <w:wordWrap w:val="0"/>
              <w:overflowPunct/>
              <w:topLinePunct w:val="0"/>
              <w:autoSpaceDE/>
              <w:autoSpaceDN/>
              <w:bidi w:val="0"/>
              <w:adjustRightInd/>
              <w:spacing w:line="44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否则经评委会一致认定且经过招投标监管部门批准后，按照无效投标处理。</w:t>
            </w:r>
          </w:p>
        </w:tc>
      </w:tr>
      <w:tr w14:paraId="565B71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1048" w:type="dxa"/>
            <w:noWrap w:val="0"/>
            <w:vAlign w:val="center"/>
          </w:tcPr>
          <w:p w14:paraId="67F7DF61">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w:t>
            </w:r>
          </w:p>
        </w:tc>
        <w:tc>
          <w:tcPr>
            <w:tcW w:w="2140" w:type="dxa"/>
            <w:gridSpan w:val="2"/>
            <w:noWrap w:val="0"/>
            <w:vAlign w:val="center"/>
          </w:tcPr>
          <w:p w14:paraId="0D1A74CA">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投标文件提交截止时间</w:t>
            </w:r>
          </w:p>
        </w:tc>
        <w:tc>
          <w:tcPr>
            <w:tcW w:w="7025" w:type="dxa"/>
            <w:noWrap w:val="0"/>
            <w:vAlign w:val="center"/>
          </w:tcPr>
          <w:p w14:paraId="132C8FF6">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网上递交投标文件截止时间：</w:t>
            </w:r>
            <w:r>
              <w:rPr>
                <w:rFonts w:hint="eastAsia" w:ascii="宋体" w:hAnsi="宋体" w:eastAsia="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3月6日08</w:t>
            </w:r>
            <w:r>
              <w:rPr>
                <w:rFonts w:hint="eastAsia" w:ascii="宋体" w:hAnsi="宋体" w:eastAsia="宋体" w:cs="宋体"/>
                <w:b/>
                <w:bCs/>
                <w:color w:val="auto"/>
                <w:szCs w:val="21"/>
                <w:highlight w:val="none"/>
              </w:rPr>
              <w:t>点</w:t>
            </w:r>
            <w:r>
              <w:rPr>
                <w:rFonts w:hint="eastAsia" w:ascii="宋体" w:hAnsi="宋体" w:cs="宋体"/>
                <w:b/>
                <w:bCs/>
                <w:color w:val="auto"/>
                <w:szCs w:val="21"/>
                <w:highlight w:val="none"/>
                <w:lang w:val="en-US" w:eastAsia="zh-CN"/>
              </w:rPr>
              <w:t>30分</w:t>
            </w:r>
            <w:r>
              <w:rPr>
                <w:rFonts w:hint="eastAsia" w:ascii="宋体" w:hAnsi="宋体" w:eastAsia="宋体" w:cs="宋体"/>
                <w:b/>
                <w:bCs/>
                <w:color w:val="auto"/>
                <w:szCs w:val="21"/>
                <w:highlight w:val="none"/>
              </w:rPr>
              <w:t>（北京时间）</w:t>
            </w:r>
          </w:p>
          <w:p w14:paraId="486E1351">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注：以投标人在投标截止时间前网上递交的电子投标文件为准，逾期提交的，投标文件将被拒绝。</w:t>
            </w:r>
          </w:p>
          <w:p w14:paraId="24FC95C9">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1.解密程序开始后60分钟内（以本项目网上招投标系统解密倒计时为准）。</w:t>
            </w:r>
          </w:p>
          <w:p w14:paraId="767DE5FB">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3月6日08</w:t>
            </w:r>
            <w:r>
              <w:rPr>
                <w:rFonts w:hint="eastAsia" w:ascii="宋体" w:hAnsi="宋体" w:eastAsia="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3月6日09</w:t>
            </w:r>
            <w:r>
              <w:rPr>
                <w:rFonts w:hint="eastAsia" w:ascii="宋体" w:hAnsi="宋体" w:eastAsia="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分。</w:t>
            </w:r>
          </w:p>
        </w:tc>
      </w:tr>
      <w:tr w14:paraId="59A759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1048" w:type="dxa"/>
            <w:noWrap w:val="0"/>
            <w:vAlign w:val="center"/>
          </w:tcPr>
          <w:p w14:paraId="283BD2C4">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w:t>
            </w:r>
          </w:p>
        </w:tc>
        <w:tc>
          <w:tcPr>
            <w:tcW w:w="2140" w:type="dxa"/>
            <w:gridSpan w:val="2"/>
            <w:noWrap w:val="0"/>
            <w:vAlign w:val="center"/>
          </w:tcPr>
          <w:p w14:paraId="21F9804E">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是否退还投标文件</w:t>
            </w:r>
          </w:p>
        </w:tc>
        <w:tc>
          <w:tcPr>
            <w:tcW w:w="7025" w:type="dxa"/>
            <w:noWrap w:val="0"/>
            <w:vAlign w:val="center"/>
          </w:tcPr>
          <w:p w14:paraId="10D6252D">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14:paraId="75E1C3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3E3F47C5">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2140" w:type="dxa"/>
            <w:gridSpan w:val="2"/>
            <w:noWrap w:val="0"/>
            <w:vAlign w:val="center"/>
          </w:tcPr>
          <w:p w14:paraId="6334176A">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开标时间及地点</w:t>
            </w:r>
          </w:p>
        </w:tc>
        <w:tc>
          <w:tcPr>
            <w:tcW w:w="7025" w:type="dxa"/>
            <w:noWrap w:val="0"/>
            <w:vAlign w:val="center"/>
          </w:tcPr>
          <w:p w14:paraId="097BBF43">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开标时间：</w:t>
            </w:r>
            <w:r>
              <w:rPr>
                <w:rFonts w:hint="eastAsia" w:ascii="宋体" w:hAnsi="宋体" w:eastAsia="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3月6日08</w:t>
            </w:r>
            <w:r>
              <w:rPr>
                <w:rFonts w:hint="eastAsia" w:ascii="宋体" w:hAnsi="宋体" w:eastAsia="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分（北京时间）</w:t>
            </w:r>
          </w:p>
          <w:p w14:paraId="5FE4E9B4">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开标地点：网上开标，投标人登录滁州市不见面开标系统参与网上开标（网址：</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"https://ggzy.chuzhou.gov.cn/BidOpening/bidopeninghallaction/hall/login）。操作手册见"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https://ggzy.chuzhou.gov.cn/BidOpening/bidopeninghallaction/hall/login）。操作手册见</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https://ggzy.chuzhou.gov.cn/fwzn/011006/20240510/f0637388-583d-4c69-8331-05b6adfcf24d.html。</w:t>
            </w:r>
          </w:p>
        </w:tc>
      </w:tr>
      <w:tr w14:paraId="6CBA1D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3537D84B">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w:t>
            </w:r>
          </w:p>
        </w:tc>
        <w:tc>
          <w:tcPr>
            <w:tcW w:w="2140" w:type="dxa"/>
            <w:gridSpan w:val="2"/>
            <w:noWrap w:val="0"/>
            <w:vAlign w:val="center"/>
          </w:tcPr>
          <w:p w14:paraId="62D4C071">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7025" w:type="dxa"/>
            <w:noWrap w:val="0"/>
            <w:vAlign w:val="center"/>
          </w:tcPr>
          <w:p w14:paraId="39E342F0">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开标顺序：解密电子投标文件后，由评标委员会评审。</w:t>
            </w:r>
          </w:p>
        </w:tc>
      </w:tr>
      <w:tr w14:paraId="608CE7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jc w:val="center"/>
        </w:trPr>
        <w:tc>
          <w:tcPr>
            <w:tcW w:w="1048" w:type="dxa"/>
            <w:noWrap w:val="0"/>
            <w:vAlign w:val="center"/>
          </w:tcPr>
          <w:p w14:paraId="51773FFC">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2140" w:type="dxa"/>
            <w:gridSpan w:val="2"/>
            <w:noWrap w:val="0"/>
            <w:vAlign w:val="center"/>
          </w:tcPr>
          <w:p w14:paraId="1544EF6A">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7025" w:type="dxa"/>
            <w:noWrap w:val="0"/>
            <w:vAlign w:val="top"/>
          </w:tcPr>
          <w:p w14:paraId="2AFB3A49">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评标委员会构成：</w:t>
            </w:r>
            <w:r>
              <w:rPr>
                <w:rFonts w:hint="eastAsia" w:ascii="宋体" w:hAnsi="宋体" w:cs="宋体"/>
                <w:color w:val="auto"/>
                <w:highlight w:val="none"/>
                <w:lang w:val="en-US" w:eastAsia="zh-CN"/>
              </w:rPr>
              <w:t>招标人依法组建</w:t>
            </w:r>
            <w:r>
              <w:rPr>
                <w:rFonts w:hint="eastAsia" w:ascii="宋体" w:hAnsi="宋体" w:eastAsia="宋体" w:cs="宋体"/>
                <w:color w:val="auto"/>
                <w:highlight w:val="none"/>
              </w:rPr>
              <w:t>。</w:t>
            </w:r>
          </w:p>
          <w:p w14:paraId="647B28CD">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评标专家确定方式：评标专家由招标人在开标前从专家库中随机抽取。</w:t>
            </w:r>
          </w:p>
        </w:tc>
      </w:tr>
      <w:tr w14:paraId="55E8CD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1048" w:type="dxa"/>
            <w:noWrap w:val="0"/>
            <w:vAlign w:val="center"/>
          </w:tcPr>
          <w:p w14:paraId="00885B72">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32.1.1</w:t>
            </w:r>
          </w:p>
        </w:tc>
        <w:tc>
          <w:tcPr>
            <w:tcW w:w="2140" w:type="dxa"/>
            <w:gridSpan w:val="2"/>
            <w:noWrap w:val="0"/>
            <w:vAlign w:val="center"/>
          </w:tcPr>
          <w:p w14:paraId="6B9F1732">
            <w:pPr>
              <w:pStyle w:val="19"/>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是否授权评标委员会确定中标候选人</w:t>
            </w:r>
          </w:p>
        </w:tc>
        <w:tc>
          <w:tcPr>
            <w:tcW w:w="7025" w:type="dxa"/>
            <w:noWrap w:val="0"/>
            <w:vAlign w:val="center"/>
          </w:tcPr>
          <w:p w14:paraId="5E70B89E">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是，评标委员会推荐3名中标候选人。</w:t>
            </w:r>
          </w:p>
        </w:tc>
      </w:tr>
      <w:tr w14:paraId="2A7E80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1048" w:type="dxa"/>
            <w:noWrap w:val="0"/>
            <w:vAlign w:val="center"/>
          </w:tcPr>
          <w:p w14:paraId="20314E1A">
            <w:pPr>
              <w:pStyle w:val="19"/>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32.1.2</w:t>
            </w:r>
          </w:p>
        </w:tc>
        <w:tc>
          <w:tcPr>
            <w:tcW w:w="2140" w:type="dxa"/>
            <w:gridSpan w:val="2"/>
            <w:noWrap w:val="0"/>
            <w:vAlign w:val="center"/>
          </w:tcPr>
          <w:p w14:paraId="0C7EEE5A">
            <w:pPr>
              <w:pStyle w:val="19"/>
              <w:keepNext w:val="0"/>
              <w:keepLines w:val="0"/>
              <w:pageBreakBefore w:val="0"/>
              <w:kinsoku/>
              <w:wordWrap w:val="0"/>
              <w:overflowPunct/>
              <w:topLinePunct w:val="0"/>
              <w:autoSpaceDE/>
              <w:autoSpaceDN/>
              <w:bidi w:val="0"/>
              <w:adjustRightInd/>
              <w:spacing w:line="44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中标结果公告媒介</w:t>
            </w:r>
            <w:r>
              <w:rPr>
                <w:rFonts w:hint="eastAsia" w:hAnsi="宋体" w:cs="宋体"/>
                <w:color w:val="auto"/>
                <w:szCs w:val="21"/>
                <w:highlight w:val="none"/>
                <w:lang w:val="en-US" w:eastAsia="zh-CN"/>
              </w:rPr>
              <w:t>及期限</w:t>
            </w:r>
          </w:p>
        </w:tc>
        <w:tc>
          <w:tcPr>
            <w:tcW w:w="7025" w:type="dxa"/>
            <w:noWrap w:val="0"/>
            <w:vAlign w:val="top"/>
          </w:tcPr>
          <w:p w14:paraId="7BA8BE6D">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公示媒介：同招标公告发布媒介</w:t>
            </w:r>
          </w:p>
          <w:p w14:paraId="16AF3A95">
            <w:pPr>
              <w:pStyle w:val="19"/>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pacing w:val="-4"/>
                <w:szCs w:val="21"/>
                <w:highlight w:val="none"/>
              </w:rPr>
            </w:pPr>
            <w:r>
              <w:rPr>
                <w:rFonts w:hint="eastAsia" w:ascii="宋体" w:hAnsi="宋体" w:eastAsia="宋体" w:cs="宋体"/>
                <w:color w:val="auto"/>
                <w:szCs w:val="21"/>
                <w:highlight w:val="none"/>
              </w:rPr>
              <w:t>公示期限：公示发布次日起3日（如公示第三日为休息日或节假日，则顺延至休息日或节假日后第一个工作日）</w:t>
            </w:r>
          </w:p>
        </w:tc>
      </w:tr>
      <w:tr w14:paraId="73DDB7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1048" w:type="dxa"/>
            <w:vMerge w:val="restart"/>
            <w:noWrap w:val="0"/>
            <w:vAlign w:val="center"/>
          </w:tcPr>
          <w:p w14:paraId="0C2AFA01">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p>
        </w:tc>
        <w:tc>
          <w:tcPr>
            <w:tcW w:w="2140" w:type="dxa"/>
            <w:gridSpan w:val="2"/>
            <w:noWrap w:val="0"/>
            <w:vAlign w:val="center"/>
          </w:tcPr>
          <w:p w14:paraId="3551FFFC">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w:t>
            </w:r>
          </w:p>
        </w:tc>
        <w:tc>
          <w:tcPr>
            <w:tcW w:w="7025" w:type="dxa"/>
            <w:noWrap w:val="0"/>
            <w:vAlign w:val="center"/>
          </w:tcPr>
          <w:p w14:paraId="6CEC7E40">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中标通知书须加盖公共资源交易中心见证章后方可发出。</w:t>
            </w:r>
          </w:p>
        </w:tc>
      </w:tr>
      <w:tr w14:paraId="04A4B7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1048" w:type="dxa"/>
            <w:vMerge w:val="continue"/>
            <w:noWrap w:val="0"/>
            <w:vAlign w:val="center"/>
          </w:tcPr>
          <w:p w14:paraId="12CB57A4">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p>
        </w:tc>
        <w:tc>
          <w:tcPr>
            <w:tcW w:w="2140" w:type="dxa"/>
            <w:gridSpan w:val="2"/>
            <w:noWrap w:val="0"/>
            <w:vAlign w:val="center"/>
          </w:tcPr>
          <w:p w14:paraId="62F9DA9A">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中标通知书发出形式</w:t>
            </w:r>
          </w:p>
        </w:tc>
        <w:tc>
          <w:tcPr>
            <w:tcW w:w="7025" w:type="dxa"/>
            <w:noWrap w:val="0"/>
            <w:vAlign w:val="center"/>
          </w:tcPr>
          <w:p w14:paraId="2507B046">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数据电文</w:t>
            </w:r>
          </w:p>
        </w:tc>
      </w:tr>
      <w:tr w14:paraId="21B96F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5" w:hRule="atLeast"/>
          <w:jc w:val="center"/>
        </w:trPr>
        <w:tc>
          <w:tcPr>
            <w:tcW w:w="1048" w:type="dxa"/>
            <w:noWrap w:val="0"/>
            <w:vAlign w:val="center"/>
          </w:tcPr>
          <w:p w14:paraId="59BBECF9">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140" w:type="dxa"/>
            <w:gridSpan w:val="2"/>
            <w:noWrap w:val="0"/>
            <w:vAlign w:val="center"/>
          </w:tcPr>
          <w:p w14:paraId="7033EEF0">
            <w:pPr>
              <w:keepNext w:val="0"/>
              <w:keepLines w:val="0"/>
              <w:pageBreakBefore w:val="0"/>
              <w:kinsoku/>
              <w:wordWrap w:val="0"/>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履约担保</w:t>
            </w:r>
          </w:p>
        </w:tc>
        <w:tc>
          <w:tcPr>
            <w:tcW w:w="7025" w:type="dxa"/>
            <w:noWrap w:val="0"/>
            <w:vAlign w:val="center"/>
          </w:tcPr>
          <w:p w14:paraId="12BDD6A9">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要求中标人提交履约保证金</w:t>
            </w:r>
            <w:r>
              <w:rPr>
                <w:rFonts w:hint="eastAsia" w:ascii="宋体" w:hAnsi="宋体" w:eastAsia="宋体" w:cs="宋体"/>
                <w:color w:val="auto"/>
                <w:szCs w:val="21"/>
                <w:highlight w:val="none"/>
                <w:lang w:eastAsia="zh-CN"/>
              </w:rPr>
              <w:t>。</w:t>
            </w:r>
          </w:p>
          <w:p w14:paraId="6E368133">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b/>
                <w:bCs/>
                <w:color w:val="auto"/>
                <w:szCs w:val="21"/>
                <w:highlight w:val="none"/>
              </w:rPr>
              <w:t>支持银行转账、银行电汇、银行保函、担保机构担保、保证保险使用。</w:t>
            </w:r>
          </w:p>
          <w:p w14:paraId="189BDF46">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r>
              <w:rPr>
                <w:rFonts w:hint="eastAsia" w:ascii="宋体" w:hAnsi="宋体"/>
                <w:color w:val="auto"/>
                <w:szCs w:val="21"/>
                <w:highlight w:val="none"/>
                <w:lang w:val="en-US" w:eastAsia="zh-CN"/>
              </w:rPr>
              <w:t>中标价</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%，取整到千位</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 xml:space="preserve"> </w:t>
            </w:r>
          </w:p>
          <w:p w14:paraId="007234AB">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收款单位：</w:t>
            </w:r>
            <w:r>
              <w:rPr>
                <w:rFonts w:hint="eastAsia" w:ascii="宋体" w:hAnsi="宋体" w:cs="宋体"/>
                <w:color w:val="auto"/>
                <w:szCs w:val="21"/>
                <w:highlight w:val="none"/>
                <w:lang w:val="en-US" w:eastAsia="zh-CN"/>
              </w:rPr>
              <w:t xml:space="preserve"> 另行通知</w:t>
            </w:r>
            <w:r>
              <w:rPr>
                <w:rFonts w:hint="eastAsia" w:ascii="宋体" w:hAnsi="宋体" w:eastAsia="宋体" w:cs="宋体"/>
                <w:color w:val="auto"/>
                <w:szCs w:val="21"/>
                <w:highlight w:val="none"/>
              </w:rPr>
              <w:t xml:space="preserve">                 </w:t>
            </w:r>
          </w:p>
          <w:p w14:paraId="743D13E4">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cs="宋体"/>
                <w:color w:val="auto"/>
                <w:szCs w:val="21"/>
                <w:highlight w:val="none"/>
                <w:lang w:val="en-US" w:eastAsia="zh-CN"/>
              </w:rPr>
              <w:t xml:space="preserve"> 另行通知</w:t>
            </w:r>
            <w:r>
              <w:rPr>
                <w:rFonts w:hint="eastAsia" w:ascii="宋体" w:hAnsi="宋体" w:eastAsia="宋体" w:cs="宋体"/>
                <w:color w:val="auto"/>
                <w:szCs w:val="21"/>
                <w:highlight w:val="none"/>
              </w:rPr>
              <w:t xml:space="preserve">                     </w:t>
            </w:r>
          </w:p>
          <w:p w14:paraId="46359778">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cs="宋体"/>
                <w:color w:val="auto"/>
                <w:szCs w:val="21"/>
                <w:highlight w:val="none"/>
                <w:lang w:val="en-US" w:eastAsia="zh-CN"/>
              </w:rPr>
              <w:t xml:space="preserve"> 另行通知</w:t>
            </w:r>
            <w:r>
              <w:rPr>
                <w:rFonts w:hint="eastAsia" w:ascii="宋体" w:hAnsi="宋体" w:eastAsia="宋体" w:cs="宋体"/>
                <w:color w:val="auto"/>
                <w:szCs w:val="21"/>
                <w:highlight w:val="none"/>
              </w:rPr>
              <w:t xml:space="preserve">                  </w:t>
            </w:r>
          </w:p>
          <w:p w14:paraId="1AC04422">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汇款务必注明缴款人名称及用途，切勿以现金存入。</w:t>
            </w:r>
          </w:p>
          <w:p w14:paraId="3627FE6F">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缴纳时限：</w:t>
            </w:r>
            <w:r>
              <w:rPr>
                <w:rFonts w:hint="eastAsia" w:ascii="宋体" w:hAnsi="宋体"/>
                <w:color w:val="auto"/>
                <w:szCs w:val="21"/>
                <w:highlight w:val="none"/>
              </w:rPr>
              <w:t>中标人须在中标通知书发出后</w:t>
            </w:r>
            <w:r>
              <w:rPr>
                <w:rFonts w:hint="eastAsia" w:ascii="宋体" w:hAnsi="宋体"/>
                <w:color w:val="auto"/>
                <w:szCs w:val="21"/>
                <w:highlight w:val="none"/>
                <w:lang w:val="en-US" w:eastAsia="zh-CN"/>
              </w:rPr>
              <w:t>30</w:t>
            </w:r>
            <w:r>
              <w:rPr>
                <w:rFonts w:hint="eastAsia" w:ascii="宋体" w:hAnsi="宋体"/>
                <w:color w:val="auto"/>
                <w:szCs w:val="21"/>
                <w:highlight w:val="none"/>
              </w:rPr>
              <w:t>日内完成履约保证金缴纳及合同签订，如未按期交齐履约保证金或未按期签订合同的，视同放弃中标资格，招标人将扣除投标保证金</w:t>
            </w:r>
            <w:r>
              <w:rPr>
                <w:rFonts w:hint="eastAsia" w:ascii="Times New Roman" w:hAnsi="Times New Roman" w:eastAsia="宋体" w:cs="Times New Roman"/>
                <w:color w:val="auto"/>
                <w:kern w:val="2"/>
                <w:sz w:val="21"/>
                <w:szCs w:val="21"/>
                <w:highlight w:val="none"/>
                <w:lang w:val="en-US" w:eastAsia="zh-CN" w:bidi="ar-SA"/>
              </w:rPr>
              <w:t>。</w:t>
            </w:r>
            <w:r>
              <w:rPr>
                <w:rFonts w:hint="eastAsia" w:ascii="宋体" w:hAnsi="宋体" w:eastAsia="宋体" w:cs="宋体"/>
                <w:color w:val="auto"/>
                <w:szCs w:val="21"/>
                <w:highlight w:val="none"/>
              </w:rPr>
              <w:t xml:space="preserve">                </w:t>
            </w:r>
          </w:p>
          <w:p w14:paraId="515853C9">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履约保证金退还时限：履约保证金有效期满</w:t>
            </w:r>
            <w:r>
              <w:rPr>
                <w:rFonts w:hint="eastAsia" w:ascii="宋体" w:hAnsi="宋体" w:cs="宋体"/>
                <w:color w:val="auto"/>
                <w:szCs w:val="21"/>
                <w:highlight w:val="none"/>
                <w:lang w:val="en-US" w:eastAsia="zh-CN"/>
              </w:rPr>
              <w:t>一个月</w:t>
            </w:r>
            <w:r>
              <w:rPr>
                <w:rFonts w:hint="eastAsia" w:ascii="宋体" w:hAnsi="宋体" w:eastAsia="宋体" w:cs="宋体"/>
                <w:color w:val="auto"/>
                <w:szCs w:val="21"/>
                <w:highlight w:val="none"/>
                <w:lang w:val="en-US" w:eastAsia="zh-CN"/>
              </w:rPr>
              <w:t>内。采用银行转</w:t>
            </w:r>
            <w:r>
              <w:rPr>
                <w:rFonts w:hint="eastAsia" w:ascii="宋体" w:hAnsi="宋体" w:cs="宋体"/>
                <w:color w:val="auto"/>
                <w:szCs w:val="21"/>
                <w:highlight w:val="none"/>
                <w:lang w:val="en-US" w:eastAsia="zh-CN"/>
              </w:rPr>
              <w:t>账</w:t>
            </w:r>
            <w:r>
              <w:rPr>
                <w:rFonts w:hint="eastAsia" w:ascii="宋体" w:hAnsi="宋体" w:eastAsia="宋体" w:cs="宋体"/>
                <w:color w:val="auto"/>
                <w:szCs w:val="21"/>
                <w:highlight w:val="none"/>
                <w:lang w:val="en-US" w:eastAsia="zh-CN"/>
              </w:rPr>
              <w:t>方式的，待项目完成后双方无异议办理书面正式移交手续后按招标人相关制度退还；采用银行或保险公司保函或</w:t>
            </w:r>
            <w:r>
              <w:rPr>
                <w:rFonts w:hint="eastAsia" w:ascii="宋体" w:hAnsi="宋体" w:eastAsia="宋体" w:cs="宋体"/>
                <w:color w:val="auto"/>
                <w:szCs w:val="21"/>
                <w:highlight w:val="none"/>
              </w:rPr>
              <w:t>担保机构担保</w:t>
            </w:r>
            <w:r>
              <w:rPr>
                <w:rFonts w:hint="eastAsia" w:ascii="宋体" w:hAnsi="宋体" w:eastAsia="宋体" w:cs="宋体"/>
                <w:color w:val="auto"/>
                <w:szCs w:val="21"/>
                <w:highlight w:val="none"/>
                <w:lang w:val="en-US" w:eastAsia="zh-CN"/>
              </w:rPr>
              <w:t>或保证保险方式的，有效期为自合同签订之日起至项目完成后</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个月内，如果项目合同提前终止，应在终止日后满3个月后由采购人准许后撤销。</w:t>
            </w:r>
          </w:p>
          <w:p w14:paraId="4002A98C">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具体要求：</w:t>
            </w:r>
          </w:p>
          <w:p w14:paraId="4A0C0F32">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1、采用银行保函的具体要求：见索即付型（无条件保函），保函内容及格式须经招标人确认后开具；</w:t>
            </w:r>
          </w:p>
          <w:p w14:paraId="5CB4232D">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2、采用担保保函的具体要求：见索即付型（无条件保函），保函内容及格式须经招标人确认后开具；</w:t>
            </w:r>
          </w:p>
          <w:p w14:paraId="5977F032">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3、采用商业保险的具体要求：保险内容及格式须经招标人确认后开具；</w:t>
            </w:r>
          </w:p>
          <w:p w14:paraId="4048F022">
            <w:pPr>
              <w:keepNext w:val="0"/>
              <w:keepLines w:val="0"/>
              <w:pageBreakBefore w:val="0"/>
              <w:kinsoku/>
              <w:wordWrap w:val="0"/>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4、采用第三方担保的具体要求：担保内容及格式须经招标人确认后开具。</w:t>
            </w:r>
          </w:p>
          <w:p w14:paraId="546F4990">
            <w:pPr>
              <w:keepNext w:val="0"/>
              <w:keepLines w:val="0"/>
              <w:pageBreakBefore w:val="0"/>
              <w:kinsoku/>
              <w:wordWrap w:val="0"/>
              <w:overflowPunct/>
              <w:topLinePunct w:val="0"/>
              <w:autoSpaceDE/>
              <w:autoSpaceDN/>
              <w:bidi w:val="0"/>
              <w:adjustRightInd/>
              <w:spacing w:line="440" w:lineRule="exact"/>
              <w:textAlignment w:val="auto"/>
              <w:rPr>
                <w:rFonts w:hint="eastAsia"/>
                <w:color w:val="auto"/>
                <w:highlight w:val="none"/>
                <w:lang w:val="en-US" w:eastAsia="zh-CN"/>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投标人或委托其分公司及全资子公司办理履约担保事项视同投标人办理。</w:t>
            </w:r>
          </w:p>
        </w:tc>
      </w:tr>
      <w:tr w14:paraId="4863E9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926" w:type="dxa"/>
            <w:gridSpan w:val="2"/>
            <w:noWrap w:val="0"/>
            <w:vAlign w:val="center"/>
          </w:tcPr>
          <w:p w14:paraId="72E13AED">
            <w:pPr>
              <w:keepNext w:val="0"/>
              <w:keepLines w:val="0"/>
              <w:pageBreakBefore w:val="0"/>
              <w:kinsoku/>
              <w:wordWrap w:val="0"/>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付款方式、时间、条件</w:t>
            </w:r>
          </w:p>
        </w:tc>
        <w:tc>
          <w:tcPr>
            <w:tcW w:w="8287" w:type="dxa"/>
            <w:gridSpan w:val="2"/>
            <w:noWrap w:val="0"/>
            <w:vAlign w:val="center"/>
          </w:tcPr>
          <w:p w14:paraId="5B58D803">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付款方式：</w:t>
            </w:r>
          </w:p>
          <w:p w14:paraId="404F7B5C">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中标人</w:t>
            </w:r>
            <w:r>
              <w:rPr>
                <w:rFonts w:hint="eastAsia" w:ascii="宋体" w:hAnsi="宋体" w:eastAsia="宋体" w:cs="宋体"/>
                <w:b/>
                <w:bCs/>
                <w:color w:val="auto"/>
                <w:highlight w:val="none"/>
                <w:lang w:val="en-US" w:eastAsia="zh-CN"/>
              </w:rPr>
              <w:t>应在月服务结束后的10个工作日内向招标人提交该周期服务进度付款申请(按照中标综合单价进行结算)，月度服务报告（复印件）及由招标人签发的月度现场考核表单、考勤记录（复印件）应作为附件。招标人</w:t>
            </w:r>
            <w:r>
              <w:rPr>
                <w:rFonts w:hint="eastAsia" w:ascii="宋体" w:hAnsi="宋体" w:cs="宋体"/>
                <w:b/>
                <w:bCs/>
                <w:color w:val="auto"/>
                <w:highlight w:val="none"/>
                <w:lang w:val="en-US" w:eastAsia="zh-CN"/>
              </w:rPr>
              <w:t>收到</w:t>
            </w:r>
            <w:r>
              <w:rPr>
                <w:rFonts w:hint="eastAsia" w:ascii="宋体" w:hAnsi="宋体" w:eastAsia="宋体" w:cs="宋体"/>
                <w:b/>
                <w:bCs/>
                <w:color w:val="auto"/>
                <w:highlight w:val="none"/>
                <w:lang w:val="en-US" w:eastAsia="zh-CN"/>
              </w:rPr>
              <w:t>付款申请后，审核无误，则在其后的30个工作日内根据考核标准支付进度款给</w:t>
            </w:r>
            <w:r>
              <w:rPr>
                <w:rFonts w:hint="eastAsia" w:ascii="宋体" w:hAnsi="宋体" w:cs="宋体"/>
                <w:b/>
                <w:bCs/>
                <w:color w:val="auto"/>
                <w:highlight w:val="none"/>
                <w:lang w:val="en-US" w:eastAsia="zh-CN"/>
              </w:rPr>
              <w:t>中标人</w:t>
            </w:r>
            <w:r>
              <w:rPr>
                <w:rFonts w:hint="eastAsia" w:ascii="宋体" w:hAnsi="宋体" w:eastAsia="宋体" w:cs="宋体"/>
                <w:b/>
                <w:bCs/>
                <w:color w:val="auto"/>
                <w:highlight w:val="none"/>
                <w:lang w:val="en-US" w:eastAsia="zh-CN"/>
              </w:rPr>
              <w:t>。招标人付款时，考核扣除金额将从该周期应给付的服务费用中予以扣除。</w:t>
            </w:r>
            <w:r>
              <w:rPr>
                <w:rFonts w:hint="eastAsia" w:ascii="宋体" w:hAnsi="宋体" w:cs="宋体"/>
                <w:b/>
                <w:bCs/>
                <w:color w:val="auto"/>
                <w:highlight w:val="none"/>
                <w:lang w:val="en-US" w:eastAsia="zh-CN"/>
              </w:rPr>
              <w:t>中标人</w:t>
            </w:r>
            <w:r>
              <w:rPr>
                <w:rFonts w:hint="eastAsia" w:ascii="宋体" w:hAnsi="宋体" w:eastAsia="宋体" w:cs="宋体"/>
                <w:b/>
                <w:bCs/>
                <w:color w:val="auto"/>
                <w:highlight w:val="none"/>
                <w:lang w:val="en-US" w:eastAsia="zh-CN"/>
              </w:rPr>
              <w:t>必须开具符合招标人要求的发票。</w:t>
            </w:r>
          </w:p>
          <w:p w14:paraId="3D6A6B8A">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考评分在95分（含95分）以上的，月服务费用全额支付；月考评分在80分（含）以上95分（不含）以下按每分200元扣除月度服务费款；月考评分在80分（不含）以下则按每分500元扣款并加扣该周期服务费用5%；连续两月未满80分则扣30%并限期整改，如第三月月考评分仍在80分（不含）以下则终止合同并扣除履约保证金</w:t>
            </w:r>
            <w:r>
              <w:rPr>
                <w:rFonts w:hint="eastAsia" w:ascii="宋体" w:hAnsi="宋体" w:cs="宋体"/>
                <w:b/>
                <w:bCs/>
                <w:color w:val="auto"/>
                <w:highlight w:val="none"/>
                <w:lang w:val="en-US" w:eastAsia="zh-CN"/>
              </w:rPr>
              <w:t>。</w:t>
            </w:r>
          </w:p>
        </w:tc>
      </w:tr>
      <w:tr w14:paraId="3946A1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6A97D197">
            <w:pPr>
              <w:tabs>
                <w:tab w:val="left" w:pos="5034"/>
              </w:tabs>
              <w:kinsoku/>
              <w:wordWrap w:val="0"/>
              <w:overflowPunct/>
              <w:topLinePunct w:val="0"/>
              <w:bidi w:val="0"/>
              <w:spacing w:line="400" w:lineRule="exact"/>
              <w:jc w:val="center"/>
              <w:rPr>
                <w:rFonts w:hint="eastAsia" w:ascii="宋体" w:hAnsi="宋体" w:eastAsia="宋体" w:cs="宋体"/>
                <w:color w:val="auto"/>
                <w:szCs w:val="21"/>
                <w:highlight w:val="none"/>
              </w:rPr>
            </w:pPr>
            <w:r>
              <w:rPr>
                <w:rFonts w:hint="eastAsia"/>
                <w:color w:val="auto"/>
                <w:highlight w:val="none"/>
              </w:rPr>
              <w:t>电子招投标</w:t>
            </w:r>
          </w:p>
        </w:tc>
        <w:tc>
          <w:tcPr>
            <w:tcW w:w="8287" w:type="dxa"/>
            <w:gridSpan w:val="2"/>
            <w:noWrap w:val="0"/>
            <w:vAlign w:val="center"/>
          </w:tcPr>
          <w:p w14:paraId="19367C48">
            <w:pPr>
              <w:tabs>
                <w:tab w:val="left" w:pos="5034"/>
              </w:tabs>
              <w:kinsoku/>
              <w:wordWrap w:val="0"/>
              <w:overflowPunct/>
              <w:topLinePunct w:val="0"/>
              <w:bidi w:val="0"/>
              <w:spacing w:line="360" w:lineRule="exact"/>
              <w:rPr>
                <w:rFonts w:hint="eastAsia" w:ascii="宋体" w:hAnsi="宋体" w:eastAsia="宋体" w:cs="宋体"/>
                <w:color w:val="auto"/>
                <w:szCs w:val="21"/>
                <w:highlight w:val="none"/>
              </w:rPr>
            </w:pPr>
            <w:r>
              <w:rPr>
                <w:rFonts w:hint="eastAsia"/>
                <w:color w:val="auto"/>
                <w:highlight w:val="none"/>
              </w:rPr>
              <w:t>本项目采用电子招标投标方式。</w:t>
            </w:r>
          </w:p>
        </w:tc>
      </w:tr>
      <w:tr w14:paraId="2578BD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334BAC33">
            <w:pPr>
              <w:kinsoku/>
              <w:wordWrap w:val="0"/>
              <w:overflowPunct/>
              <w:topLinePunct w:val="0"/>
              <w:bidi w:val="0"/>
              <w:spacing w:line="400" w:lineRule="exact"/>
              <w:jc w:val="center"/>
              <w:rPr>
                <w:rFonts w:hint="eastAsia" w:ascii="宋体" w:hAnsi="宋体" w:eastAsia="宋体" w:cs="宋体"/>
                <w:color w:val="auto"/>
                <w:szCs w:val="21"/>
                <w:highlight w:val="none"/>
              </w:rPr>
            </w:pPr>
            <w:r>
              <w:rPr>
                <w:rFonts w:hint="eastAsia" w:ascii="宋体"/>
                <w:color w:val="auto"/>
                <w:szCs w:val="21"/>
                <w:highlight w:val="none"/>
              </w:rPr>
              <w:t>获取与查看通知</w:t>
            </w:r>
          </w:p>
        </w:tc>
        <w:tc>
          <w:tcPr>
            <w:tcW w:w="8287" w:type="dxa"/>
            <w:gridSpan w:val="2"/>
            <w:noWrap w:val="0"/>
            <w:vAlign w:val="center"/>
          </w:tcPr>
          <w:p w14:paraId="6A170896">
            <w:pPr>
              <w:kinsoku/>
              <w:wordWrap w:val="0"/>
              <w:overflowPunct/>
              <w:topLinePunct w:val="0"/>
              <w:bidi w:val="0"/>
              <w:spacing w:line="360" w:lineRule="exact"/>
              <w:jc w:val="left"/>
              <w:rPr>
                <w:rFonts w:hint="eastAsia" w:ascii="宋体" w:hAnsi="宋体" w:eastAsia="宋体" w:cs="宋体"/>
                <w:color w:val="auto"/>
                <w:szCs w:val="21"/>
                <w:highlight w:val="none"/>
              </w:rPr>
            </w:pPr>
            <w:r>
              <w:rPr>
                <w:rFonts w:hint="eastAsia" w:ascii="宋体"/>
                <w:color w:val="auto"/>
                <w:szCs w:val="21"/>
                <w:highlight w:val="none"/>
              </w:rPr>
              <w:t>本项目的招标文件等相关资料均通过滁州市公共资源交易中心网站发布，投标人应自行下载。投标人应当及时登录滁州市公共资源交易中心交易系统查看。</w:t>
            </w:r>
          </w:p>
        </w:tc>
      </w:tr>
      <w:tr w14:paraId="76B2BF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38E570E2">
            <w:pPr>
              <w:kinsoku/>
              <w:wordWrap w:val="0"/>
              <w:overflowPunct/>
              <w:topLinePunct w:val="0"/>
              <w:bidi w:val="0"/>
              <w:spacing w:line="400" w:lineRule="exact"/>
              <w:jc w:val="center"/>
              <w:rPr>
                <w:rFonts w:hint="eastAsia" w:ascii="宋体" w:hAnsi="宋体" w:eastAsia="宋体" w:cs="宋体"/>
                <w:color w:val="auto"/>
                <w:szCs w:val="21"/>
                <w:highlight w:val="none"/>
              </w:rPr>
            </w:pPr>
            <w:r>
              <w:rPr>
                <w:rFonts w:hint="eastAsia" w:ascii="宋体"/>
                <w:color w:val="auto"/>
                <w:szCs w:val="21"/>
                <w:highlight w:val="none"/>
              </w:rPr>
              <w:t>评标过程中的澄清、说明或补正</w:t>
            </w:r>
          </w:p>
        </w:tc>
        <w:tc>
          <w:tcPr>
            <w:tcW w:w="8287" w:type="dxa"/>
            <w:gridSpan w:val="2"/>
            <w:noWrap w:val="0"/>
            <w:vAlign w:val="center"/>
          </w:tcPr>
          <w:p w14:paraId="38D42A50">
            <w:pPr>
              <w:kinsoku/>
              <w:wordWrap w:val="0"/>
              <w:overflowPunct/>
              <w:topLinePunct w:val="0"/>
              <w:bidi w:val="0"/>
              <w:spacing w:line="36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w:t>
            </w:r>
            <w:r>
              <w:rPr>
                <w:rFonts w:hint="eastAsia" w:ascii="宋体" w:cs="Times New Roman"/>
                <w:color w:val="auto"/>
                <w:szCs w:val="21"/>
                <w:highlight w:val="none"/>
                <w:lang w:eastAsia="zh-CN"/>
              </w:rPr>
              <w:t>.</w:t>
            </w:r>
            <w:r>
              <w:rPr>
                <w:rFonts w:hint="eastAsia" w:ascii="宋体" w:hAnsi="Times New Roman" w:eastAsia="宋体" w:cs="Times New Roman"/>
                <w:color w:val="auto"/>
                <w:szCs w:val="21"/>
                <w:highlight w:val="none"/>
              </w:rPr>
              <w:t>评标委员会通过网上招投标系统将需要澄清、说明或补正的内容以询标函的形式发送给投标人，投标人应安排专人登录网上招投标系统并保持在线状态，并确保联系方式有效，以便及时接收评标委员会可能发出的询标函。</w:t>
            </w:r>
          </w:p>
          <w:p w14:paraId="755C0084">
            <w:pPr>
              <w:kinsoku/>
              <w:wordWrap w:val="0"/>
              <w:overflowPunct/>
              <w:topLinePunct w:val="0"/>
              <w:bidi w:val="0"/>
              <w:spacing w:line="36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w:t>
            </w:r>
            <w:r>
              <w:rPr>
                <w:rFonts w:hint="eastAsia" w:ascii="宋体" w:cs="Times New Roman"/>
                <w:color w:val="auto"/>
                <w:szCs w:val="21"/>
                <w:highlight w:val="none"/>
                <w:lang w:eastAsia="zh-CN"/>
              </w:rPr>
              <w:t>.</w:t>
            </w:r>
            <w:r>
              <w:rPr>
                <w:rFonts w:hint="eastAsia" w:ascii="宋体" w:hAnsi="Times New Roman" w:eastAsia="宋体" w:cs="Times New Roman"/>
                <w:color w:val="auto"/>
                <w:szCs w:val="21"/>
                <w:highlight w:val="none"/>
              </w:rPr>
              <w:t>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766899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3260EBC4">
            <w:pPr>
              <w:kinsoku/>
              <w:wordWrap w:val="0"/>
              <w:overflowPunct/>
              <w:topLinePunct w:val="0"/>
              <w:bidi w:val="0"/>
              <w:adjustRightInd w:val="0"/>
              <w:snapToGrid w:val="0"/>
              <w:spacing w:line="56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解释权</w:t>
            </w:r>
          </w:p>
        </w:tc>
        <w:tc>
          <w:tcPr>
            <w:tcW w:w="8287" w:type="dxa"/>
            <w:gridSpan w:val="2"/>
            <w:noWrap w:val="0"/>
            <w:vAlign w:val="center"/>
          </w:tcPr>
          <w:p w14:paraId="29A1A8A4">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构成本招标文件的各个组成文件应互为解释，互为说明；</w:t>
            </w:r>
          </w:p>
          <w:p w14:paraId="0005F3AA">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同一组成文件中就同一事项的规定或约定不一致的，以编排顺序在后者为准；</w:t>
            </w:r>
          </w:p>
          <w:p w14:paraId="01D38F20">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如有不明确或不一致，构成合同文件组成内容的，以合同文件约定内容为准，且以专用合同条款约定的合同文件优先顺序解释；</w:t>
            </w:r>
          </w:p>
          <w:p w14:paraId="584F57C3">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4</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系统中提供的表格（或格式文件）与招标文件中不一致时，以招标文件中提供的为准；</w:t>
            </w:r>
          </w:p>
          <w:p w14:paraId="090D82C4">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5</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按本款前述规定仍不能形成结论的，由招标人负责解释。</w:t>
            </w:r>
          </w:p>
        </w:tc>
      </w:tr>
      <w:tr w14:paraId="0A8C8E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073A9E89">
            <w:pPr>
              <w:kinsoku/>
              <w:wordWrap w:val="0"/>
              <w:overflowPunct/>
              <w:topLinePunct w:val="0"/>
              <w:bidi w:val="0"/>
              <w:adjustRightInd w:val="0"/>
              <w:snapToGrid w:val="0"/>
              <w:spacing w:line="56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同义词语</w:t>
            </w:r>
          </w:p>
        </w:tc>
        <w:tc>
          <w:tcPr>
            <w:tcW w:w="8287" w:type="dxa"/>
            <w:gridSpan w:val="2"/>
            <w:noWrap w:val="0"/>
            <w:vAlign w:val="center"/>
          </w:tcPr>
          <w:p w14:paraId="590F7465">
            <w:pPr>
              <w:keepNext w:val="0"/>
              <w:keepLines w:val="0"/>
              <w:pageBreakBefore w:val="0"/>
              <w:numPr>
                <w:ilvl w:val="0"/>
                <w:numId w:val="0"/>
              </w:numPr>
              <w:kinsoku/>
              <w:wordWrap w:val="0"/>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构成招标文件组成部分的“通用合同条款”、“专用合同条款”、“</w:t>
            </w:r>
            <w:r>
              <w:rPr>
                <w:rFonts w:hint="eastAsia" w:ascii="宋体" w:hAnsi="宋体" w:cs="宋体"/>
                <w:b w:val="0"/>
                <w:bCs w:val="0"/>
                <w:color w:val="auto"/>
                <w:highlight w:val="none"/>
                <w:lang w:val="en-US" w:eastAsia="zh-CN"/>
              </w:rPr>
              <w:t>采购需求</w:t>
            </w:r>
            <w:r>
              <w:rPr>
                <w:rFonts w:hint="eastAsia" w:ascii="宋体" w:hAnsi="宋体" w:eastAsia="宋体" w:cs="宋体"/>
                <w:b w:val="0"/>
                <w:bCs w:val="0"/>
                <w:color w:val="auto"/>
                <w:highlight w:val="none"/>
              </w:rPr>
              <w:t>”等章节中 “发包人”和“承包人”，等同于招标投标阶段的“招标人”和“投标人/中标人”。</w:t>
            </w:r>
          </w:p>
        </w:tc>
      </w:tr>
      <w:tr w14:paraId="24CCF6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926" w:type="dxa"/>
            <w:gridSpan w:val="2"/>
            <w:noWrap w:val="0"/>
            <w:vAlign w:val="center"/>
          </w:tcPr>
          <w:p w14:paraId="64FA8420">
            <w:pPr>
              <w:keepNext w:val="0"/>
              <w:keepLines w:val="0"/>
              <w:pageBreakBefore w:val="0"/>
              <w:widowControl/>
              <w:suppressLineNumbers w:val="0"/>
              <w:kinsoku/>
              <w:wordWrap w:val="0"/>
              <w:overflowPunct/>
              <w:topLinePunct w:val="0"/>
              <w:autoSpaceDE/>
              <w:autoSpaceDN/>
              <w:bidi w:val="0"/>
              <w:spacing w:before="0" w:beforeAutospacing="0" w:afterAutospacing="0" w:line="500" w:lineRule="exact"/>
              <w:ind w:left="0" w:leftChars="0"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特别提示</w:t>
            </w:r>
          </w:p>
        </w:tc>
        <w:tc>
          <w:tcPr>
            <w:tcW w:w="8287" w:type="dxa"/>
            <w:gridSpan w:val="2"/>
            <w:noWrap w:val="0"/>
            <w:vAlign w:val="top"/>
          </w:tcPr>
          <w:p w14:paraId="7E6F1641">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1.本项目投标保证金、履约保证金、工程质量保证金、农民工工资保证金均支持保函使用。以现金形式提交保证金的，应当同时退还保证金本金和银行同期存款利息。</w:t>
            </w:r>
          </w:p>
          <w:p w14:paraId="2DF77183">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2.投标人应填写投标信息并下载招标文件，否则无法上传投标文件。</w:t>
            </w:r>
          </w:p>
          <w:p w14:paraId="2E43510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3C9AC8B3">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4.如果过程中出现招标文件更改，应以最后发布的招标答疑澄清文件中的模板制作本项目最新投标文件。</w:t>
            </w:r>
          </w:p>
          <w:p w14:paraId="55231E46">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5.投标人应当用本单位CA数字证书制作投标文件，制作成功后进行投标文件上传。 </w:t>
            </w:r>
          </w:p>
          <w:p w14:paraId="443239E3">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5E4962D7">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7.请投标人注意加密投标文件CA数字证书的有效期，不在有效期的CA数字证书无法解密投标文件。</w:t>
            </w:r>
          </w:p>
          <w:p w14:paraId="05937AC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8.投标人投标MAC地址一致或申请开具电子保函MAC地址一致的，由评标委员会否决其投标。</w:t>
            </w:r>
          </w:p>
          <w:p w14:paraId="4A189C00">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9.投标人投标文件中单方面出现其他投标人材料的（依法组成联合体投标的除外），由评标委员会否决其投标。</w:t>
            </w:r>
          </w:p>
          <w:p w14:paraId="071F6DBC">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F0F7491">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11.若存在不予退还投标人投标保证金的情形，银行转账的，由市公共资源交易中心代为收缴，递交保函的，由招标人予以追缴。</w:t>
            </w:r>
          </w:p>
          <w:p w14:paraId="145B61D5">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72E7BFB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13.投标人联系人或联系电话相同的，由评标委员会否决其投标，并报告监管部门作不良行为处理和进一步调查。</w:t>
            </w:r>
          </w:p>
          <w:p w14:paraId="0F395F74">
            <w:pPr>
              <w:keepNext w:val="0"/>
              <w:keepLines w:val="0"/>
              <w:pageBreakBefore w:val="0"/>
              <w:suppressLineNumbers w:val="0"/>
              <w:kinsoku/>
              <w:wordWrap w:val="0"/>
              <w:overflowPunct/>
              <w:topLinePunct w:val="0"/>
              <w:autoSpaceDE/>
              <w:autoSpaceDN/>
              <w:bidi w:val="0"/>
              <w:spacing w:before="0" w:beforeAutospacing="0" w:afterAutospacing="0" w:line="500" w:lineRule="exact"/>
              <w:ind w:left="0" w:leftChars="0" w:right="0" w:rightChars="0"/>
              <w:jc w:val="left"/>
              <w:textAlignment w:val="auto"/>
              <w:rPr>
                <w:rFonts w:hint="eastAsia" w:ascii="宋体" w:hAnsi="宋体" w:eastAsia="宋体" w:cs="宋体"/>
                <w:b/>
                <w:bCs/>
                <w:color w:val="auto"/>
                <w:szCs w:val="21"/>
                <w:highlight w:val="none"/>
                <w:lang w:bidi="ar"/>
              </w:rPr>
            </w:pPr>
            <w:r>
              <w:rPr>
                <w:rFonts w:hint="eastAsia" w:ascii="宋体" w:hAnsi="宋体" w:eastAsia="宋体" w:cs="宋体"/>
                <w:b w:val="0"/>
                <w:bCs w:val="0"/>
                <w:color w:val="auto"/>
                <w:sz w:val="21"/>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BC1A8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926" w:type="dxa"/>
            <w:gridSpan w:val="2"/>
            <w:noWrap w:val="0"/>
            <w:vAlign w:val="center"/>
          </w:tcPr>
          <w:p w14:paraId="2528ACD9">
            <w:pPr>
              <w:keepNext w:val="0"/>
              <w:keepLines w:val="0"/>
              <w:pageBreakBefore w:val="0"/>
              <w:suppressLineNumbers w:val="0"/>
              <w:kinsoku/>
              <w:wordWrap w:val="0"/>
              <w:overflowPunct/>
              <w:topLinePunct w:val="0"/>
              <w:autoSpaceDE/>
              <w:autoSpaceDN/>
              <w:bidi w:val="0"/>
              <w:adjustRightInd/>
              <w:spacing w:before="0" w:beforeAutospacing="0" w:afterAutospacing="0" w:line="500" w:lineRule="exact"/>
              <w:ind w:left="0" w:leftChars="0" w:right="0" w:rightChars="0"/>
              <w:jc w:val="center"/>
              <w:textAlignment w:val="auto"/>
              <w:rPr>
                <w:rFonts w:hint="eastAsia" w:ascii="宋体" w:hAnsi="宋体" w:eastAsia="宋体" w:cs="宋体"/>
                <w:bCs/>
                <w:color w:val="auto"/>
                <w:szCs w:val="21"/>
                <w:highlight w:val="none"/>
                <w:lang w:val="en-US" w:eastAsia="zh-CN" w:bidi="ar"/>
              </w:rPr>
            </w:pPr>
            <w:bookmarkStart w:id="37" w:name="_Toc28397"/>
            <w:bookmarkStart w:id="38" w:name="_Toc58430315"/>
            <w:bookmarkStart w:id="39" w:name="_Toc449028866"/>
            <w:r>
              <w:rPr>
                <w:rFonts w:hint="eastAsia" w:ascii="宋体" w:hAnsi="宋体" w:eastAsia="宋体" w:cs="宋体"/>
                <w:bCs/>
                <w:color w:val="auto"/>
                <w:sz w:val="21"/>
                <w:szCs w:val="21"/>
                <w:highlight w:val="none"/>
                <w:lang w:val="en-US" w:eastAsia="zh-CN" w:bidi="ar"/>
              </w:rPr>
              <w:t>其他</w:t>
            </w:r>
          </w:p>
        </w:tc>
        <w:tc>
          <w:tcPr>
            <w:tcW w:w="8287" w:type="dxa"/>
            <w:gridSpan w:val="2"/>
            <w:noWrap w:val="0"/>
            <w:vAlign w:val="top"/>
          </w:tcPr>
          <w:p w14:paraId="4F9EB6D5">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26C482A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2.中标人未履行下述义务的，滁州市公共资源交易监督管理局将依法对中标人进行处理，追究相关责任：</w:t>
            </w:r>
          </w:p>
          <w:p w14:paraId="2D3AC748">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①中标人无正当理由不与招标人订立合同，在签订合同时向招标人提出附加条件，或者不按照招标文件要求提交履约保证金的，招标人有权取消中标人中标资格，并将相关违约行为报送监管部门处理；</w:t>
            </w:r>
          </w:p>
          <w:p w14:paraId="793CB6AF">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Autospacing="0" w:line="500" w:lineRule="exact"/>
              <w:ind w:left="0" w:leftChars="0" w:right="0" w:rightChars="0" w:firstLine="0" w:firstLineChars="0"/>
              <w:textAlignment w:val="auto"/>
              <w:rPr>
                <w:rFonts w:hint="eastAsia" w:eastAsia="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7F3396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926" w:type="dxa"/>
            <w:gridSpan w:val="2"/>
            <w:noWrap w:val="0"/>
            <w:vAlign w:val="center"/>
          </w:tcPr>
          <w:p w14:paraId="0CE4781F">
            <w:pPr>
              <w:kinsoku/>
              <w:wordWrap w:val="0"/>
              <w:overflowPunct/>
              <w:topLinePunct w:val="0"/>
              <w:bidi w:val="0"/>
              <w:adjustRightInd w:val="0"/>
              <w:snapToGrid w:val="0"/>
              <w:spacing w:line="560" w:lineRule="exact"/>
              <w:jc w:val="center"/>
              <w:rPr>
                <w:rFonts w:hint="eastAsia" w:ascii="宋体" w:hAnsi="宋体" w:cs="宋体"/>
                <w:bCs/>
                <w:color w:val="auto"/>
                <w:szCs w:val="21"/>
                <w:highlight w:val="none"/>
                <w:lang w:val="en-US" w:eastAsia="zh-CN" w:bidi="ar"/>
              </w:rPr>
            </w:pPr>
            <w:r>
              <w:rPr>
                <w:rFonts w:hint="eastAsia" w:ascii="宋体" w:hAnsi="宋体" w:eastAsia="宋体" w:cs="宋体"/>
                <w:bCs/>
                <w:color w:val="auto"/>
                <w:szCs w:val="21"/>
                <w:highlight w:val="none"/>
                <w:lang w:val="en-US" w:eastAsia="zh-CN" w:bidi="ar"/>
              </w:rPr>
              <w:t>变更招标方式</w:t>
            </w:r>
          </w:p>
        </w:tc>
        <w:tc>
          <w:tcPr>
            <w:tcW w:w="8287" w:type="dxa"/>
            <w:gridSpan w:val="2"/>
            <w:noWrap w:val="0"/>
            <w:vAlign w:val="center"/>
          </w:tcPr>
          <w:p w14:paraId="36675E4B">
            <w:pPr>
              <w:pStyle w:val="17"/>
              <w:kinsoku/>
              <w:wordWrap w:val="0"/>
              <w:overflowPunct/>
              <w:topLinePunct w:val="0"/>
              <w:bidi w:val="0"/>
              <w:adjustRightInd w:val="0"/>
              <w:snapToGrid w:val="0"/>
              <w:spacing w:after="0" w:line="560" w:lineRule="exact"/>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按照滁州市公共资源交易监督管理局现行规定执行。</w:t>
            </w:r>
          </w:p>
        </w:tc>
      </w:tr>
    </w:tbl>
    <w:p w14:paraId="1A5C89D1">
      <w:pPr>
        <w:keepNext w:val="0"/>
        <w:keepLines w:val="0"/>
        <w:pageBreakBefore/>
        <w:widowControl w:val="0"/>
        <w:kinsoku/>
        <w:wordWrap w:val="0"/>
        <w:overflowPunct/>
        <w:topLinePunct w:val="0"/>
        <w:autoSpaceDE/>
        <w:autoSpaceDN/>
        <w:bidi w:val="0"/>
        <w:spacing w:line="520" w:lineRule="exact"/>
        <w:ind w:left="0" w:right="0" w:rightChars="0" w:firstLine="562" w:firstLineChars="200"/>
        <w:jc w:val="center"/>
        <w:textAlignment w:val="auto"/>
        <w:outlineLvl w:val="1"/>
        <w:rPr>
          <w:rFonts w:hint="eastAsia" w:ascii="宋体"/>
          <w:b/>
          <w:color w:val="auto"/>
          <w:sz w:val="28"/>
          <w:szCs w:val="32"/>
          <w:highlight w:val="none"/>
        </w:rPr>
      </w:pPr>
      <w:r>
        <w:rPr>
          <w:rFonts w:hint="eastAsia" w:ascii="宋体"/>
          <w:b/>
          <w:color w:val="auto"/>
          <w:sz w:val="28"/>
          <w:szCs w:val="28"/>
          <w:highlight w:val="none"/>
        </w:rPr>
        <w:t>二、投标人须知</w:t>
      </w:r>
      <w:bookmarkEnd w:id="37"/>
      <w:bookmarkEnd w:id="38"/>
      <w:bookmarkEnd w:id="39"/>
    </w:p>
    <w:p w14:paraId="5C3CC863">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eastAsia" w:ascii="宋体" w:hAnsi="宋体" w:cs="宋体"/>
          <w:color w:val="auto"/>
          <w:sz w:val="28"/>
          <w:szCs w:val="28"/>
          <w:highlight w:val="none"/>
        </w:rPr>
      </w:pPr>
      <w:bookmarkStart w:id="40" w:name="_Toc449028867"/>
      <w:r>
        <w:rPr>
          <w:rFonts w:hint="eastAsia" w:ascii="宋体" w:hAnsi="宋体" w:cs="宋体"/>
          <w:b/>
          <w:color w:val="auto"/>
          <w:sz w:val="28"/>
          <w:szCs w:val="28"/>
          <w:highlight w:val="none"/>
        </w:rPr>
        <w:t>（一）总  则</w:t>
      </w:r>
      <w:bookmarkEnd w:id="40"/>
    </w:p>
    <w:p w14:paraId="30DDF07D">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D758039">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1.1本次招标项目名称：见投标人须知前附表。</w:t>
      </w:r>
    </w:p>
    <w:p w14:paraId="2BB1F285">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项目编号：见投标人须知前附表。</w:t>
      </w:r>
    </w:p>
    <w:p w14:paraId="6BE129B6">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招标人：见投标人须知前附表。</w:t>
      </w:r>
    </w:p>
    <w:p w14:paraId="47DCFA30">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服务期限</w:t>
      </w:r>
      <w:r>
        <w:rPr>
          <w:rFonts w:hint="eastAsia" w:ascii="宋体" w:hAnsi="宋体" w:eastAsia="宋体" w:cs="宋体"/>
          <w:color w:val="auto"/>
          <w:szCs w:val="21"/>
          <w:highlight w:val="none"/>
        </w:rPr>
        <w:t>：见投标人须知前附表。</w:t>
      </w:r>
    </w:p>
    <w:p w14:paraId="2D3F4BF1">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服务地点：见投标人须知前附表。</w:t>
      </w:r>
    </w:p>
    <w:p w14:paraId="40CB3F65">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1.2招标人及联系人: 见投标人须知前附表。</w:t>
      </w:r>
    </w:p>
    <w:p w14:paraId="44191BDF">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代理机构及联系人：见投标人须知前附表。</w:t>
      </w:r>
    </w:p>
    <w:p w14:paraId="507A5E0A">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1.3资金来源：见投标人须知前附表。</w:t>
      </w:r>
    </w:p>
    <w:p w14:paraId="4F4B6FCE">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1.4本项目预算：见投标人须知前附表。</w:t>
      </w:r>
    </w:p>
    <w:p w14:paraId="4D0F5F0C">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1.5本项目最高限价：见投标人须知前附表。</w:t>
      </w:r>
    </w:p>
    <w:p w14:paraId="5098E02E">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458EA95A">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采购内容：详见《采购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w:t>
      </w:r>
    </w:p>
    <w:p w14:paraId="7931DE94">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w:t>
      </w:r>
    </w:p>
    <w:p w14:paraId="196C9EBA">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3FA4CAAA">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75A8800B">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5B019EB2">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5CA8B9A2">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742417EB">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u w:val="single"/>
        </w:rPr>
        <w:t xml:space="preserve"> 。</w:t>
      </w:r>
    </w:p>
    <w:p w14:paraId="59898711">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526C073E">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b/>
          <w:bCs/>
          <w:color w:val="auto"/>
          <w:szCs w:val="21"/>
          <w:highlight w:val="none"/>
          <w:u w:val="single"/>
          <w:lang w:val="en-US" w:eastAsia="zh-CN"/>
        </w:rPr>
        <w:t>综合评分法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（详见第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章评标办法）</w:t>
      </w:r>
    </w:p>
    <w:p w14:paraId="5EAD2306">
      <w:pPr>
        <w:keepNext w:val="0"/>
        <w:keepLines w:val="0"/>
        <w:widowControl w:val="0"/>
        <w:kinsoku/>
        <w:wordWrap w:val="0"/>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6BE26A5A">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3229B958">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415BA09F">
      <w:pPr>
        <w:keepNext w:val="0"/>
        <w:keepLines w:val="0"/>
        <w:widowControl w:val="0"/>
        <w:kinsoku/>
        <w:wordWrap w:val="0"/>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8.1投标人准备和参加投标活动发生费用的自理。</w:t>
      </w:r>
    </w:p>
    <w:p w14:paraId="6381C1A8">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9.</w:t>
      </w:r>
      <w:bookmarkStart w:id="41" w:name="_Toc247592876"/>
      <w:bookmarkStart w:id="42" w:name="_Toc152042315"/>
      <w:bookmarkStart w:id="43" w:name="_Toc247513962"/>
      <w:bookmarkStart w:id="44" w:name="_Toc296602429"/>
      <w:bookmarkStart w:id="45" w:name="_Toc144974507"/>
      <w:bookmarkStart w:id="46" w:name="_Toc152045539"/>
      <w:bookmarkStart w:id="47" w:name="_Toc247527563"/>
      <w:r>
        <w:rPr>
          <w:rFonts w:hint="eastAsia" w:ascii="宋体" w:hAnsi="宋体" w:cs="宋体"/>
          <w:b/>
          <w:color w:val="auto"/>
          <w:szCs w:val="21"/>
          <w:highlight w:val="none"/>
        </w:rPr>
        <w:t xml:space="preserve"> 踏勘现场</w:t>
      </w:r>
      <w:bookmarkEnd w:id="41"/>
      <w:bookmarkEnd w:id="42"/>
      <w:bookmarkEnd w:id="43"/>
      <w:bookmarkEnd w:id="44"/>
      <w:bookmarkEnd w:id="45"/>
      <w:bookmarkEnd w:id="46"/>
      <w:bookmarkEnd w:id="47"/>
    </w:p>
    <w:p w14:paraId="51C99CB2">
      <w:pPr>
        <w:kinsoku/>
        <w:wordWrap w:val="0"/>
        <w:overflowPunct/>
        <w:topLinePunct w:val="0"/>
        <w:bidi w:val="0"/>
        <w:spacing w:line="440" w:lineRule="exact"/>
        <w:ind w:firstLine="409" w:firstLineChars="195"/>
        <w:rPr>
          <w:rFonts w:hint="eastAsia" w:ascii="宋体"/>
          <w:color w:val="auto"/>
          <w:szCs w:val="21"/>
          <w:highlight w:val="none"/>
        </w:rPr>
      </w:pPr>
      <w:bookmarkStart w:id="48" w:name="_Toc247527564"/>
      <w:bookmarkStart w:id="49" w:name="_Toc296602430"/>
      <w:bookmarkStart w:id="50" w:name="_Toc247592877"/>
      <w:bookmarkStart w:id="51" w:name="_Toc152045540"/>
      <w:bookmarkStart w:id="52" w:name="_Toc152042316"/>
      <w:bookmarkStart w:id="53" w:name="_Toc144974508"/>
      <w:bookmarkStart w:id="54" w:name="_Toc247513963"/>
      <w:r>
        <w:rPr>
          <w:rFonts w:hint="eastAsia" w:ascii="宋体"/>
          <w:color w:val="auto"/>
          <w:szCs w:val="21"/>
          <w:highlight w:val="none"/>
        </w:rPr>
        <w:t xml:space="preserve">9.1 投标人须知前附表规定组织踏勘现场的，招标人按投标人须知前附表规定的时间、地点组织投标人踏勘项目现场。 </w:t>
      </w:r>
    </w:p>
    <w:p w14:paraId="07EA6D32">
      <w:pPr>
        <w:kinsoku/>
        <w:wordWrap w:val="0"/>
        <w:overflowPunct/>
        <w:topLinePunct w:val="0"/>
        <w:bidi w:val="0"/>
        <w:spacing w:line="440" w:lineRule="exact"/>
        <w:ind w:firstLine="409" w:firstLineChars="195"/>
        <w:outlineLvl w:val="4"/>
        <w:rPr>
          <w:rFonts w:hint="eastAsia" w:ascii="宋体"/>
          <w:color w:val="auto"/>
          <w:szCs w:val="21"/>
          <w:highlight w:val="none"/>
        </w:rPr>
      </w:pPr>
      <w:r>
        <w:rPr>
          <w:rFonts w:hint="eastAsia" w:ascii="宋体"/>
          <w:color w:val="auto"/>
          <w:szCs w:val="21"/>
          <w:highlight w:val="none"/>
        </w:rPr>
        <w:t>9.2 投标人踏勘现场发生的费用自理。</w:t>
      </w:r>
    </w:p>
    <w:p w14:paraId="585FB609">
      <w:pPr>
        <w:kinsoku/>
        <w:wordWrap w:val="0"/>
        <w:overflowPunct/>
        <w:topLinePunct w:val="0"/>
        <w:bidi w:val="0"/>
        <w:spacing w:line="440" w:lineRule="exact"/>
        <w:ind w:firstLine="409"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14:paraId="071E463D">
      <w:pPr>
        <w:kinsoku/>
        <w:wordWrap w:val="0"/>
        <w:overflowPunct/>
        <w:topLinePunct w:val="0"/>
        <w:bidi w:val="0"/>
        <w:spacing w:line="440" w:lineRule="exact"/>
        <w:ind w:firstLine="409"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p>
    <w:p w14:paraId="321E3E5C">
      <w:pPr>
        <w:kinsoku/>
        <w:wordWrap w:val="0"/>
        <w:overflowPunct/>
        <w:topLinePunct w:val="0"/>
        <w:bidi w:val="0"/>
        <w:spacing w:line="440" w:lineRule="exact"/>
        <w:ind w:firstLine="409" w:firstLineChars="195"/>
        <w:rPr>
          <w:rFonts w:hint="eastAsia" w:ascii="宋体"/>
          <w:color w:val="auto"/>
          <w:szCs w:val="21"/>
          <w:highlight w:val="none"/>
        </w:rPr>
      </w:pPr>
      <w:r>
        <w:rPr>
          <w:rFonts w:hint="eastAsia" w:ascii="宋体"/>
          <w:color w:val="auto"/>
          <w:szCs w:val="21"/>
          <w:highlight w:val="none"/>
        </w:rPr>
        <w:t>9.5无论投标人是否到现场实地踏勘，中标后签订合同时和履约过程中，投标人不得以不完全了解现场情况或现场情况与招标文件描述不一致等为由，提出任何形式的增加</w:t>
      </w:r>
      <w:r>
        <w:rPr>
          <w:rFonts w:hint="eastAsia" w:ascii="宋体"/>
          <w:color w:val="auto"/>
          <w:szCs w:val="21"/>
          <w:highlight w:val="none"/>
          <w:lang w:val="en-US" w:eastAsia="zh-CN"/>
        </w:rPr>
        <w:t>合同价</w:t>
      </w:r>
      <w:r>
        <w:rPr>
          <w:rFonts w:hint="eastAsia" w:ascii="宋体"/>
          <w:color w:val="auto"/>
          <w:szCs w:val="21"/>
          <w:highlight w:val="none"/>
        </w:rPr>
        <w:t>或索赔的要求。</w:t>
      </w:r>
    </w:p>
    <w:p w14:paraId="488ED471">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48"/>
      <w:bookmarkEnd w:id="49"/>
      <w:bookmarkEnd w:id="50"/>
      <w:bookmarkEnd w:id="51"/>
      <w:bookmarkEnd w:id="52"/>
      <w:bookmarkEnd w:id="53"/>
      <w:bookmarkEnd w:id="54"/>
      <w:r>
        <w:rPr>
          <w:rFonts w:hint="eastAsia" w:ascii="宋体" w:hAnsi="宋体" w:cs="宋体"/>
          <w:b/>
          <w:color w:val="auto"/>
          <w:szCs w:val="21"/>
          <w:highlight w:val="none"/>
        </w:rPr>
        <w:t>（本项目不采用）</w:t>
      </w:r>
    </w:p>
    <w:p w14:paraId="1E52D0E3">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2429F51E">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11.联合投标</w:t>
      </w:r>
    </w:p>
    <w:p w14:paraId="2B69FA50">
      <w:pPr>
        <w:pStyle w:val="13"/>
        <w:kinsoku/>
        <w:wordWrap w:val="0"/>
        <w:overflowPunct/>
        <w:topLinePunct w:val="0"/>
        <w:bidi w:val="0"/>
        <w:spacing w:after="0" w:line="400" w:lineRule="exact"/>
        <w:ind w:left="0" w:leftChars="0" w:firstLine="424" w:firstLineChars="202"/>
        <w:outlineLvl w:val="4"/>
        <w:rPr>
          <w:rFonts w:hint="eastAsia"/>
          <w:bCs/>
          <w:color w:val="auto"/>
          <w:szCs w:val="21"/>
          <w:highlight w:val="none"/>
        </w:rPr>
      </w:pPr>
      <w:r>
        <w:rPr>
          <w:rFonts w:hint="eastAsia" w:ascii="宋体"/>
          <w:bCs/>
          <w:color w:val="auto"/>
          <w:szCs w:val="21"/>
          <w:highlight w:val="none"/>
        </w:rPr>
        <w:t>11.1本项</w:t>
      </w:r>
      <w:r>
        <w:rPr>
          <w:rFonts w:hint="eastAsia"/>
          <w:bCs/>
          <w:color w:val="auto"/>
          <w:szCs w:val="21"/>
          <w:highlight w:val="none"/>
        </w:rPr>
        <w:t xml:space="preserve">目不接受联合体投标。 </w:t>
      </w:r>
    </w:p>
    <w:p w14:paraId="7157FD07">
      <w:pPr>
        <w:kinsoku/>
        <w:wordWrap w:val="0"/>
        <w:overflowPunct/>
        <w:topLinePunct w:val="0"/>
        <w:bidi w:val="0"/>
        <w:spacing w:line="440" w:lineRule="exact"/>
        <w:ind w:firstLine="413" w:firstLineChars="196"/>
        <w:jc w:val="left"/>
        <w:outlineLvl w:val="3"/>
        <w:rPr>
          <w:rFonts w:hint="eastAsia" w:ascii="宋体"/>
          <w:b/>
          <w:color w:val="auto"/>
          <w:szCs w:val="21"/>
          <w:highlight w:val="none"/>
        </w:rPr>
      </w:pPr>
      <w:r>
        <w:rPr>
          <w:rFonts w:hint="eastAsia" w:ascii="宋体"/>
          <w:b/>
          <w:color w:val="auto"/>
          <w:szCs w:val="21"/>
          <w:highlight w:val="none"/>
        </w:rPr>
        <w:t>12.招标代理服务费和专家评审劳务费</w:t>
      </w:r>
    </w:p>
    <w:p w14:paraId="5914372D">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12.1 本项目的招标代理服务费详见投标人须知前附表。</w:t>
      </w:r>
    </w:p>
    <w:p w14:paraId="7E27BB00">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12.2本项目的专家评审劳务费详见投标人须知前附表。</w:t>
      </w:r>
    </w:p>
    <w:p w14:paraId="2C12BBC3">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59DDAAA0">
      <w:pPr>
        <w:kinsoku/>
        <w:wordWrap w:val="0"/>
        <w:overflowPunct/>
        <w:topLinePunct w:val="0"/>
        <w:bidi w:val="0"/>
        <w:spacing w:line="360" w:lineRule="auto"/>
        <w:ind w:firstLine="420" w:firstLineChars="200"/>
        <w:rPr>
          <w:rFonts w:hint="eastAsia" w:ascii="宋体"/>
          <w:color w:val="auto"/>
          <w:szCs w:val="21"/>
          <w:highlight w:val="none"/>
        </w:rPr>
      </w:pPr>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38F1CC34">
      <w:pPr>
        <w:kinsoku/>
        <w:wordWrap w:val="0"/>
        <w:overflowPunct/>
        <w:topLinePunct w:val="0"/>
        <w:bidi w:val="0"/>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w:t>
      </w:r>
      <w:r>
        <w:rPr>
          <w:rFonts w:hint="eastAsia" w:ascii="宋体"/>
          <w:color w:val="auto"/>
          <w:szCs w:val="21"/>
          <w:highlight w:val="none"/>
          <w:lang w:eastAsia="zh-CN"/>
        </w:rPr>
        <w:t>采购需求及服务要求</w:t>
      </w:r>
      <w:r>
        <w:rPr>
          <w:rFonts w:hint="eastAsia" w:ascii="宋体"/>
          <w:color w:val="auto"/>
          <w:szCs w:val="21"/>
          <w:highlight w:val="none"/>
        </w:rPr>
        <w:t>等必须满足招标文件的相关要求。</w:t>
      </w:r>
    </w:p>
    <w:p w14:paraId="7B304D94">
      <w:pPr>
        <w:kinsoku/>
        <w:wordWrap w:val="0"/>
        <w:overflowPunct/>
        <w:topLinePunct w:val="0"/>
        <w:bidi w:val="0"/>
        <w:spacing w:line="440" w:lineRule="exact"/>
        <w:ind w:firstLine="411" w:firstLineChars="196"/>
        <w:rPr>
          <w:rFonts w:ascii="宋体"/>
          <w:bCs/>
          <w:color w:val="auto"/>
          <w:szCs w:val="21"/>
          <w:highlight w:val="none"/>
        </w:rPr>
      </w:pPr>
      <w:r>
        <w:rPr>
          <w:rFonts w:hint="eastAsia" w:ascii="宋体"/>
          <w:bCs/>
          <w:color w:val="auto"/>
          <w:szCs w:val="21"/>
          <w:highlight w:val="none"/>
        </w:rPr>
        <w:t>13.3 所有投标人的投标保证金都应在招标文件规定的投标保证金缴纳截止日期前缴纳，银行转账形式的以资金到账时间为准。</w:t>
      </w:r>
    </w:p>
    <w:p w14:paraId="3176867E">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4</w:t>
      </w:r>
      <w:r>
        <w:rPr>
          <w:rFonts w:hint="eastAsia" w:ascii="宋体" w:hAnsi="宋体" w:cs="宋体"/>
          <w:bCs/>
          <w:color w:val="auto"/>
          <w:szCs w:val="21"/>
          <w:highlight w:val="none"/>
        </w:rPr>
        <w:t>单位负责人为同一人或者存在直接控股、管理关系的</w:t>
      </w:r>
      <w:r>
        <w:rPr>
          <w:rFonts w:hint="eastAsia" w:ascii="宋体" w:hAnsi="宋体" w:eastAsia="宋体" w:cs="宋体"/>
          <w:bCs/>
          <w:color w:val="auto"/>
          <w:szCs w:val="21"/>
          <w:highlight w:val="none"/>
        </w:rPr>
        <w:t>不同投标人</w:t>
      </w:r>
      <w:r>
        <w:rPr>
          <w:rFonts w:hint="eastAsia" w:ascii="宋体" w:hAnsi="宋体" w:eastAsia="宋体" w:cs="宋体"/>
          <w:bCs/>
          <w:color w:val="auto"/>
          <w:szCs w:val="21"/>
          <w:highlight w:val="none"/>
          <w:lang w:val="en-US" w:eastAsia="zh-CN"/>
        </w:rPr>
        <w:t>（包含法定代表人为同一个人的两个及两个以上法人，母公司、全资子公司及其控股公司）</w:t>
      </w:r>
      <w:r>
        <w:rPr>
          <w:rFonts w:hint="eastAsia" w:ascii="宋体" w:hAnsi="宋体" w:cs="宋体"/>
          <w:bCs/>
          <w:color w:val="auto"/>
          <w:szCs w:val="21"/>
          <w:highlight w:val="none"/>
        </w:rPr>
        <w:t>，不得参加同一合同项下的采购活动。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7F47966D">
      <w:pPr>
        <w:kinsoku/>
        <w:wordWrap w:val="0"/>
        <w:overflowPunct/>
        <w:topLinePunct w:val="0"/>
        <w:bidi w:val="0"/>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13.5投标人被视为充分熟悉本招标项目所在地的与履行合同有关的各种情况，包括但不限于：</w:t>
      </w:r>
    </w:p>
    <w:p w14:paraId="5CB60E44">
      <w:pPr>
        <w:kinsoku/>
        <w:wordWrap w:val="0"/>
        <w:overflowPunct/>
        <w:topLinePunct w:val="0"/>
        <w:bidi w:val="0"/>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25A24885">
      <w:pPr>
        <w:kinsoku/>
        <w:wordWrap w:val="0"/>
        <w:overflowPunct/>
        <w:topLinePunct w:val="0"/>
        <w:bidi w:val="0"/>
        <w:spacing w:line="400" w:lineRule="exact"/>
        <w:ind w:firstLine="315" w:firstLineChars="150"/>
        <w:outlineLvl w:val="4"/>
        <w:rPr>
          <w:rFonts w:hint="eastAsia" w:ascii="宋体"/>
          <w:color w:val="auto"/>
          <w:szCs w:val="21"/>
          <w:highlight w:val="none"/>
        </w:rPr>
      </w:pPr>
      <w:r>
        <w:rPr>
          <w:rFonts w:hint="eastAsia" w:ascii="宋体"/>
          <w:color w:val="auto"/>
          <w:szCs w:val="21"/>
          <w:highlight w:val="none"/>
        </w:rPr>
        <w:t>（2）安徽省及滁州市等有关管理部门的相关规定；</w:t>
      </w:r>
    </w:p>
    <w:p w14:paraId="655D8710">
      <w:pPr>
        <w:kinsoku/>
        <w:wordWrap w:val="0"/>
        <w:overflowPunct/>
        <w:topLinePunct w:val="0"/>
        <w:bidi w:val="0"/>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42DB41A3">
      <w:pPr>
        <w:kinsoku/>
        <w:wordWrap w:val="0"/>
        <w:overflowPunct/>
        <w:topLinePunct w:val="0"/>
        <w:bidi w:val="0"/>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14EDD162">
      <w:pPr>
        <w:kinsoku/>
        <w:wordWrap w:val="0"/>
        <w:overflowPunct/>
        <w:topLinePunct w:val="0"/>
        <w:bidi w:val="0"/>
        <w:spacing w:line="400" w:lineRule="exact"/>
        <w:ind w:firstLine="420" w:firstLineChars="200"/>
        <w:rPr>
          <w:rFonts w:hint="eastAsia" w:ascii="宋体"/>
          <w:color w:val="auto"/>
          <w:szCs w:val="21"/>
          <w:highlight w:val="none"/>
        </w:rPr>
      </w:pPr>
      <w:r>
        <w:rPr>
          <w:rFonts w:hint="eastAsia" w:ascii="宋体"/>
          <w:color w:val="auto"/>
          <w:szCs w:val="21"/>
          <w:highlight w:val="none"/>
        </w:rPr>
        <w:t>13.6 凡投标人在我市公共资源交易活动中出现违法违规、破坏市场秩序等不良行为且被监管部门处罚的，一律在滁州市公共资源交易网等相关网站曝光。</w:t>
      </w:r>
    </w:p>
    <w:p w14:paraId="1F89E23E">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rPr>
        <w:t>13.7 投标人的不良行为、失信行为及行政处罚等效力不因企业名称的变更而改变。</w:t>
      </w:r>
    </w:p>
    <w:p w14:paraId="3E4D9409">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14.保密</w:t>
      </w:r>
    </w:p>
    <w:p w14:paraId="51BADE8E">
      <w:pPr>
        <w:pStyle w:val="12"/>
        <w:keepNext w:val="0"/>
        <w:keepLines w:val="0"/>
        <w:widowControl w:val="0"/>
        <w:kinsoku/>
        <w:wordWrap w:val="0"/>
        <w:overflowPunct/>
        <w:topLinePunct w:val="0"/>
        <w:autoSpaceDE/>
        <w:autoSpaceDN/>
        <w:bidi w:val="0"/>
        <w:spacing w:after="0" w:afterLines="0" w:line="520" w:lineRule="exact"/>
        <w:ind w:left="0" w:leftChars="0"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58B48058">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eastAsia" w:ascii="宋体" w:hAnsi="宋体" w:cs="宋体"/>
          <w:b/>
          <w:color w:val="auto"/>
          <w:sz w:val="28"/>
          <w:szCs w:val="28"/>
          <w:highlight w:val="none"/>
        </w:rPr>
      </w:pPr>
      <w:bookmarkStart w:id="55" w:name="_Toc449028868"/>
      <w:r>
        <w:rPr>
          <w:rFonts w:hint="eastAsia" w:ascii="宋体" w:hAnsi="宋体" w:cs="宋体"/>
          <w:b/>
          <w:color w:val="auto"/>
          <w:sz w:val="28"/>
          <w:szCs w:val="28"/>
          <w:highlight w:val="none"/>
        </w:rPr>
        <w:t>（二）</w:t>
      </w:r>
      <w:bookmarkEnd w:id="55"/>
      <w:r>
        <w:rPr>
          <w:rFonts w:hint="eastAsia" w:ascii="宋体" w:hAnsi="宋体" w:cs="宋体"/>
          <w:b/>
          <w:color w:val="auto"/>
          <w:sz w:val="28"/>
          <w:szCs w:val="28"/>
          <w:highlight w:val="none"/>
        </w:rPr>
        <w:t>招标文件</w:t>
      </w:r>
    </w:p>
    <w:p w14:paraId="0027A16E">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15. 招标文件的编制依据</w:t>
      </w:r>
    </w:p>
    <w:p w14:paraId="13B0B48A">
      <w:pPr>
        <w:keepNext w:val="0"/>
        <w:keepLines w:val="0"/>
        <w:widowControl w:val="0"/>
        <w:kinsoku/>
        <w:wordWrap w:val="0"/>
        <w:overflowPunct/>
        <w:topLinePunct w:val="0"/>
        <w:autoSpaceDE/>
        <w:autoSpaceDN/>
        <w:bidi w:val="0"/>
        <w:spacing w:line="520" w:lineRule="exact"/>
        <w:ind w:left="0" w:right="0" w:rightChars="0" w:firstLine="420" w:firstLineChars="200"/>
        <w:textAlignment w:val="auto"/>
        <w:rPr>
          <w:rFonts w:hint="eastAsia"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385D3B0B">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16. 招标文件的组成</w:t>
      </w:r>
    </w:p>
    <w:p w14:paraId="6F797A01">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16.1 招标文件包括内容：</w:t>
      </w:r>
    </w:p>
    <w:p w14:paraId="26711374">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第一章  招标公告</w:t>
      </w:r>
    </w:p>
    <w:p w14:paraId="754F1C19">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第二章  投标人须知</w:t>
      </w:r>
    </w:p>
    <w:p w14:paraId="02C3A6D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第三章  资格审查办法</w:t>
      </w:r>
    </w:p>
    <w:p w14:paraId="7CEF56E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第四章  评标办法</w:t>
      </w:r>
    </w:p>
    <w:p w14:paraId="58CFF9DF">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eastAsia="宋体"/>
          <w:color w:val="auto"/>
          <w:szCs w:val="21"/>
          <w:highlight w:val="none"/>
          <w:lang w:eastAsia="zh-CN"/>
        </w:rPr>
      </w:pPr>
      <w:r>
        <w:rPr>
          <w:rFonts w:hint="eastAsia" w:ascii="宋体"/>
          <w:color w:val="auto"/>
          <w:szCs w:val="21"/>
          <w:highlight w:val="none"/>
        </w:rPr>
        <w:t xml:space="preserve">第五章  </w:t>
      </w:r>
      <w:r>
        <w:rPr>
          <w:rFonts w:hint="eastAsia" w:ascii="宋体" w:hAnsi="宋体" w:cs="宋体"/>
          <w:color w:val="auto"/>
          <w:szCs w:val="21"/>
          <w:highlight w:val="none"/>
          <w:lang w:eastAsia="zh-CN"/>
        </w:rPr>
        <w:t>采购需求</w:t>
      </w:r>
    </w:p>
    <w:p w14:paraId="7A6C21F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第六章  合同条款及格式</w:t>
      </w:r>
    </w:p>
    <w:p w14:paraId="2800122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第七章  投标文件格式</w:t>
      </w:r>
    </w:p>
    <w:p w14:paraId="06F0958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color w:val="auto"/>
          <w:highlight w:val="none"/>
        </w:rPr>
      </w:pPr>
      <w:r>
        <w:rPr>
          <w:rFonts w:hint="eastAsia" w:ascii="宋体"/>
          <w:color w:val="auto"/>
          <w:szCs w:val="21"/>
          <w:highlight w:val="none"/>
        </w:rPr>
        <w:t>第八章  招标单位、招标代理机构对本招标文件的确认</w:t>
      </w:r>
    </w:p>
    <w:p w14:paraId="35BCF40F">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16.2 除16.1款内容外，招标答疑亦为招标文件的组成部分，对招标人和投标人起约束作用。</w:t>
      </w:r>
    </w:p>
    <w:p w14:paraId="5D44C0C5">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16.3投标人应仔细阅读和检查招标文件的全部内容。如发现缺页或附件不全，应及时向招标人提出，以便补齐。</w:t>
      </w:r>
    </w:p>
    <w:p w14:paraId="31A36B3D">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16.4 当招标文件、招标文件的澄清或修改等在同一内容的表述上不一致时，以最后发出的文件为准。</w:t>
      </w:r>
    </w:p>
    <w:p w14:paraId="15A0950E">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5808696E">
      <w:pPr>
        <w:kinsoku/>
        <w:wordWrap w:val="0"/>
        <w:overflowPunct/>
        <w:topLinePunct w:val="0"/>
        <w:bidi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17.1投标人或其他利害关系人投标人应仔细阅读和检查招标文件的全部内容，对招标文件有异议的，应在投标截止时间10日前以以投标人须知前附表规定的网上留言或书面形式提出。招标人将在收到异议之日起3日内作出答复；作出答复前，将暂停招标投标活动。</w:t>
      </w:r>
    </w:p>
    <w:p w14:paraId="72B364BD">
      <w:pPr>
        <w:kinsoku/>
        <w:wordWrap w:val="0"/>
        <w:overflowPunct/>
        <w:topLinePunct w:val="0"/>
        <w:bidi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17.2 招标人可以澄清招标文件，并以以投标人须知前附表规定澄清的方式在滁州市公共资源交易中心网站发布。但如果修改招标文件的时间距投标截止时间不足15天，并且修改内容影响投标文件编制的，将相应延长投标截止时间。</w:t>
      </w:r>
    </w:p>
    <w:p w14:paraId="65B76F57">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18. 招标文件的发出</w:t>
      </w:r>
    </w:p>
    <w:p w14:paraId="1871AC2A">
      <w:pPr>
        <w:kinsoku/>
        <w:wordWrap w:val="0"/>
        <w:overflowPunct/>
        <w:topLinePunct w:val="0"/>
        <w:bidi w:val="0"/>
        <w:spacing w:line="440" w:lineRule="exact"/>
        <w:ind w:firstLine="420" w:firstLineChars="200"/>
        <w:rPr>
          <w:rFonts w:hint="eastAsia" w:ascii="宋体"/>
          <w:color w:val="auto"/>
          <w:szCs w:val="21"/>
          <w:highlight w:val="none"/>
        </w:rPr>
      </w:pPr>
      <w:bookmarkStart w:id="56" w:name="_Toc449028869"/>
      <w:r>
        <w:rPr>
          <w:rFonts w:hint="eastAsia" w:ascii="宋体"/>
          <w:color w:val="auto"/>
          <w:szCs w:val="21"/>
          <w:highlight w:val="none"/>
        </w:rPr>
        <w:t>18.1招标文件、招标文件的澄清、修改、补充及招标答疑等均应报公共资源交易监督管理机构备案后，方可发出。</w:t>
      </w:r>
    </w:p>
    <w:p w14:paraId="661DCFC9">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（三）投标文件的编制</w:t>
      </w:r>
      <w:bookmarkEnd w:id="56"/>
    </w:p>
    <w:p w14:paraId="6FB3E67E">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19</w:t>
      </w:r>
      <w:r>
        <w:rPr>
          <w:rFonts w:hint="eastAsia" w:ascii="宋体" w:hAnsi="宋体" w:cs="宋体"/>
          <w:b/>
          <w:color w:val="auto"/>
          <w:szCs w:val="21"/>
          <w:highlight w:val="none"/>
        </w:rPr>
        <w:t>. 投标的语言及度量衡单位</w:t>
      </w:r>
    </w:p>
    <w:p w14:paraId="7649C1C8">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cs="宋体"/>
          <w:color w:val="auto"/>
          <w:szCs w:val="21"/>
          <w:highlight w:val="none"/>
        </w:rPr>
        <w:t>.1投标人的投标文件、以及投标人与招标人就投标的所有往来函电，均须使用简体中文。</w:t>
      </w:r>
    </w:p>
    <w:p w14:paraId="2FC1A9AD">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.2除招标文件中另有规定外，投标文件所使用的度量衡均须采用法定计量单位。</w:t>
      </w:r>
    </w:p>
    <w:p w14:paraId="26AB3A44">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20</w:t>
      </w:r>
      <w:r>
        <w:rPr>
          <w:rFonts w:hint="eastAsia" w:ascii="宋体" w:hAnsi="宋体" w:cs="宋体"/>
          <w:b/>
          <w:color w:val="auto"/>
          <w:szCs w:val="21"/>
          <w:highlight w:val="none"/>
        </w:rPr>
        <w:t xml:space="preserve">. </w:t>
      </w:r>
      <w:r>
        <w:rPr>
          <w:rFonts w:hint="eastAsia" w:ascii="宋体"/>
          <w:b/>
          <w:bCs/>
          <w:color w:val="auto"/>
          <w:szCs w:val="21"/>
          <w:highlight w:val="none"/>
        </w:rPr>
        <w:t>投标文件的组成、编制</w:t>
      </w:r>
    </w:p>
    <w:p w14:paraId="777D9332">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4"/>
        <w:rPr>
          <w:rFonts w:hint="eastAsia" w:ascii="宋体" w:hAnsi="宋体" w:cs="宋体"/>
          <w:color w:val="auto"/>
          <w:szCs w:val="21"/>
          <w:highlight w:val="none"/>
        </w:rPr>
      </w:pPr>
      <w:r>
        <w:rPr>
          <w:rFonts w:hint="eastAsia" w:ascii="宋体" w:hAnsi="宋体" w:cs="宋体"/>
          <w:b/>
          <w:color w:val="auto"/>
          <w:szCs w:val="21"/>
          <w:highlight w:val="none"/>
          <w:lang w:eastAsia="zh-CN"/>
        </w:rPr>
        <w:t>20</w:t>
      </w:r>
      <w:r>
        <w:rPr>
          <w:rFonts w:hint="eastAsia" w:ascii="宋体" w:hAnsi="宋体" w:cs="宋体"/>
          <w:b/>
          <w:color w:val="auto"/>
          <w:szCs w:val="21"/>
          <w:highlight w:val="none"/>
        </w:rPr>
        <w:t>.1投标文件的组成</w:t>
      </w:r>
    </w:p>
    <w:p w14:paraId="2F9D8B3B">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rPr>
          <w:rFonts w:hint="eastAsia" w:ascii="宋体" w:hAnsi="宋体" w:cs="宋体"/>
          <w:color w:val="auto"/>
          <w:szCs w:val="21"/>
          <w:highlight w:val="none"/>
        </w:rPr>
      </w:pPr>
      <w:r>
        <w:rPr>
          <w:rFonts w:hint="eastAsia" w:ascii="宋体" w:hAnsi="宋体"/>
          <w:b/>
          <w:bCs/>
          <w:color w:val="auto"/>
          <w:szCs w:val="21"/>
          <w:highlight w:val="none"/>
        </w:rPr>
        <w:t>投标文件具体详见第七章投标文件格式内容。</w:t>
      </w:r>
    </w:p>
    <w:p w14:paraId="4BF7BD5F">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20</w:t>
      </w:r>
      <w:r>
        <w:rPr>
          <w:rFonts w:hint="eastAsia" w:ascii="宋体" w:hAnsi="宋体" w:eastAsia="宋体" w:cs="宋体"/>
          <w:b/>
          <w:color w:val="auto"/>
          <w:szCs w:val="21"/>
          <w:highlight w:val="none"/>
        </w:rPr>
        <w:t>.2投标文件的编制</w:t>
      </w:r>
    </w:p>
    <w:p w14:paraId="3F6E3099">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.2.1投标文件应按第七章“投标文件格式”进行编写，如有必要，可以增加附页，作为投标文件的组成部分。其中，投标函在满足招标文件实质性要求的基础上，可以提出比招标文件要求更有利于招标人的承诺。</w:t>
      </w:r>
    </w:p>
    <w:p w14:paraId="46B0D0DD">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.2.2本次投标不需要提供纸质投标文件，投标人应按照电子招标投标的要求，在投标人的电子系统中制作、签章、上传加密的电子投标文件。</w:t>
      </w:r>
    </w:p>
    <w:p w14:paraId="710C938C">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.2.3投标文件应当对招标文件有关</w:t>
      </w:r>
      <w:r>
        <w:rPr>
          <w:rFonts w:hint="eastAsia" w:ascii="宋体" w:hAnsi="宋体"/>
          <w:color w:val="auto"/>
          <w:szCs w:val="21"/>
          <w:highlight w:val="none"/>
          <w:lang w:val="en-US" w:eastAsia="zh-CN"/>
        </w:rPr>
        <w:t>服务期</w:t>
      </w:r>
      <w:r>
        <w:rPr>
          <w:rFonts w:hint="eastAsia" w:ascii="宋体" w:hAnsi="宋体"/>
          <w:color w:val="auto"/>
          <w:szCs w:val="21"/>
          <w:highlight w:val="none"/>
        </w:rPr>
        <w:t>、投标有效期、质量要求、技术标准和要求、招标范围等实质性内容作出响应。</w:t>
      </w:r>
    </w:p>
    <w:p w14:paraId="127CDD9F">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公共资源交易监督管理部门处理。</w:t>
      </w:r>
    </w:p>
    <w:p w14:paraId="29531483">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.2.5投标文件的制作应满足以下规定：</w:t>
      </w:r>
    </w:p>
    <w:p w14:paraId="76E28193">
      <w:pPr>
        <w:kinsoku/>
        <w:wordWrap w:val="0"/>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lang w:eastAsia="zh-CN"/>
        </w:rPr>
        <w:t>　　</w:t>
      </w:r>
      <w:r>
        <w:rPr>
          <w:rFonts w:hint="eastAsia" w:ascii="宋体" w:hAnsi="宋体"/>
          <w:color w:val="auto"/>
          <w:szCs w:val="21"/>
          <w:highlight w:val="none"/>
        </w:rPr>
        <w:t>（1）投标文件由投标人使用电子交易系统提供的“投标文件制作工具”制作生成。“投标文件制作工具”可以通过电子交易系统下载。</w:t>
      </w:r>
    </w:p>
    <w:p w14:paraId="3574143F">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招标文件中“签章”是指签字或盖章。在第七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77AC24F4">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12682191">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（4）投标文件制作的具体方法详见“投标文件制作工具”中的帮助文档。</w:t>
      </w:r>
    </w:p>
    <w:p w14:paraId="74883A5D">
      <w:pPr>
        <w:kinsoku/>
        <w:wordWrap w:val="0"/>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.2.6 因投标人自身原因而导致投标文件无法导入电子交易系统电子开标、评标系统，该投标视为无效投标，投标人自行承担由此导致的全部责任。</w:t>
      </w:r>
    </w:p>
    <w:p w14:paraId="7C1A545A">
      <w:pPr>
        <w:kinsoku/>
        <w:wordWrap w:val="0"/>
        <w:overflowPunct/>
        <w:topLinePunct w:val="0"/>
        <w:bidi w:val="0"/>
        <w:spacing w:line="400" w:lineRule="exact"/>
        <w:ind w:firstLine="420" w:firstLineChars="200"/>
        <w:rPr>
          <w:rFonts w:ascii="宋体"/>
          <w:b/>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.2.7 投标人中标后须递交与网上电子投标文件完全一致的纸质版投标文件，在领取中标通知书时，一并递交给招标代理机构。</w:t>
      </w:r>
    </w:p>
    <w:p w14:paraId="569F9F9B">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color w:val="auto"/>
          <w:szCs w:val="21"/>
          <w:highlight w:val="none"/>
        </w:rPr>
      </w:pPr>
      <w:r>
        <w:rPr>
          <w:rFonts w:hint="eastAsia" w:ascii="宋体" w:hAnsi="宋体" w:cs="宋体"/>
          <w:b/>
          <w:color w:val="auto"/>
          <w:szCs w:val="21"/>
          <w:highlight w:val="none"/>
          <w:lang w:eastAsia="zh-CN"/>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130BEA42">
      <w:pPr>
        <w:kinsoku/>
        <w:wordWrap w:val="0"/>
        <w:overflowPunct/>
        <w:topLinePunct w:val="0"/>
        <w:bidi w:val="0"/>
        <w:spacing w:line="40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.1投标报价文件中的单价和总价全部采用人民币表示。投标人的报价应含有</w:t>
      </w:r>
      <w:r>
        <w:rPr>
          <w:rFonts w:hint="eastAsia" w:ascii="宋体"/>
          <w:color w:val="auto"/>
          <w:szCs w:val="21"/>
          <w:highlight w:val="none"/>
          <w:lang w:val="en-US" w:eastAsia="zh-CN"/>
        </w:rPr>
        <w:t>服务</w:t>
      </w:r>
      <w:r>
        <w:rPr>
          <w:rFonts w:hint="eastAsia" w:ascii="宋体"/>
          <w:color w:val="auto"/>
          <w:szCs w:val="21"/>
          <w:highlight w:val="none"/>
        </w:rPr>
        <w:t>、利润、税金、政策性文件规定及合同包含的所有风险、责任、义务等，即为完成招标文件要求的</w:t>
      </w:r>
      <w:r>
        <w:rPr>
          <w:rFonts w:hint="eastAsia" w:ascii="宋体"/>
          <w:color w:val="auto"/>
          <w:szCs w:val="21"/>
          <w:highlight w:val="none"/>
          <w:lang w:val="en-US" w:eastAsia="zh-CN"/>
        </w:rPr>
        <w:t>服务</w:t>
      </w:r>
      <w:r>
        <w:rPr>
          <w:rFonts w:hint="eastAsia" w:ascii="宋体"/>
          <w:color w:val="auto"/>
          <w:szCs w:val="21"/>
          <w:highlight w:val="none"/>
        </w:rPr>
        <w:t>内容所包含的一切应有费用，</w:t>
      </w:r>
      <w:r>
        <w:rPr>
          <w:rFonts w:hint="eastAsia" w:ascii="宋体" w:hAnsi="宋体" w:eastAsia="宋体" w:cs="Times New Roman"/>
          <w:color w:val="auto"/>
          <w:szCs w:val="21"/>
          <w:highlight w:val="none"/>
          <w:lang w:val="en-US" w:eastAsia="zh-CN"/>
        </w:rPr>
        <w:t>中标价格除合同约定调整内容以外的</w:t>
      </w:r>
      <w:r>
        <w:rPr>
          <w:rFonts w:hint="eastAsia" w:ascii="宋体" w:hAnsi="宋体" w:eastAsia="宋体" w:cs="Times New Roman"/>
          <w:color w:val="auto"/>
          <w:szCs w:val="21"/>
          <w:highlight w:val="none"/>
        </w:rPr>
        <w:t>今后将不作任何调整</w:t>
      </w:r>
      <w:r>
        <w:rPr>
          <w:rFonts w:hint="eastAsia" w:ascii="宋体" w:hAnsi="宋体" w:eastAsia="宋体" w:cs="Times New Roman"/>
          <w:color w:val="auto"/>
          <w:szCs w:val="21"/>
          <w:highlight w:val="none"/>
          <w:lang w:eastAsia="zh-CN"/>
        </w:rPr>
        <w:t>，</w:t>
      </w:r>
      <w:r>
        <w:rPr>
          <w:rFonts w:hint="eastAsia" w:ascii="宋体" w:eastAsia="宋体"/>
          <w:color w:val="auto"/>
          <w:szCs w:val="21"/>
          <w:highlight w:val="none"/>
          <w:lang w:val="en-US" w:eastAsia="zh-CN"/>
        </w:rPr>
        <w:t>招标人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1A863FFE">
      <w:pPr>
        <w:keepNext w:val="0"/>
        <w:keepLines w:val="0"/>
        <w:pageBreakBefore w:val="0"/>
        <w:kinsoku/>
        <w:wordWrap w:val="0"/>
        <w:overflowPunct/>
        <w:topLinePunct w:val="0"/>
        <w:bidi w:val="0"/>
        <w:spacing w:line="360" w:lineRule="exact"/>
        <w:ind w:firstLine="420" w:firstLineChars="200"/>
        <w:textAlignment w:val="auto"/>
        <w:outlineLvl w:val="4"/>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.2投标人只允许有一个方案、一个报价。</w:t>
      </w:r>
    </w:p>
    <w:p w14:paraId="5525CFF4">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.3投标报价是完成项目全部内容（包括后期的相关服务）交付验收的</w:t>
      </w:r>
      <w:r>
        <w:rPr>
          <w:rFonts w:hint="eastAsia" w:ascii="宋体"/>
          <w:color w:val="auto"/>
          <w:szCs w:val="21"/>
          <w:highlight w:val="none"/>
          <w:lang w:val="en-US" w:eastAsia="zh-CN"/>
        </w:rPr>
        <w:t>价格</w:t>
      </w:r>
      <w:r>
        <w:rPr>
          <w:rFonts w:hint="eastAsia" w:ascii="宋体"/>
          <w:color w:val="auto"/>
          <w:szCs w:val="21"/>
          <w:highlight w:val="none"/>
        </w:rPr>
        <w:t>，其</w:t>
      </w:r>
      <w:r>
        <w:rPr>
          <w:rFonts w:hint="eastAsia" w:ascii="宋体"/>
          <w:color w:val="auto"/>
          <w:szCs w:val="21"/>
          <w:highlight w:val="none"/>
          <w:lang w:val="en-US" w:eastAsia="zh-CN"/>
        </w:rPr>
        <w:t>单</w:t>
      </w:r>
      <w:r>
        <w:rPr>
          <w:rFonts w:hint="eastAsia" w:ascii="宋体"/>
          <w:color w:val="auto"/>
          <w:szCs w:val="21"/>
          <w:highlight w:val="none"/>
        </w:rPr>
        <w:t>价即为履行合同的固定</w:t>
      </w:r>
      <w:r>
        <w:rPr>
          <w:rFonts w:hint="eastAsia" w:ascii="宋体"/>
          <w:color w:val="auto"/>
          <w:szCs w:val="21"/>
          <w:highlight w:val="none"/>
          <w:lang w:val="en-US" w:eastAsia="zh-CN"/>
        </w:rPr>
        <w:t>单价</w:t>
      </w:r>
      <w:r>
        <w:rPr>
          <w:rFonts w:hint="eastAsia" w:ascii="宋体"/>
          <w:color w:val="auto"/>
          <w:szCs w:val="21"/>
          <w:highlight w:val="none"/>
        </w:rPr>
        <w:t>。</w:t>
      </w:r>
    </w:p>
    <w:p w14:paraId="4F46D99D">
      <w:pPr>
        <w:keepNext w:val="0"/>
        <w:keepLines w:val="0"/>
        <w:pageBreakBefore w:val="0"/>
        <w:kinsoku/>
        <w:wordWrap w:val="0"/>
        <w:overflowPunct/>
        <w:topLinePunct w:val="0"/>
        <w:bidi w:val="0"/>
        <w:spacing w:line="360" w:lineRule="exact"/>
        <w:ind w:firstLine="420" w:firstLineChars="200"/>
        <w:textAlignment w:val="auto"/>
        <w:outlineLvl w:val="4"/>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.4投标报价应由法定代表人或被授权人签署。</w:t>
      </w:r>
    </w:p>
    <w:p w14:paraId="2BBD7C61">
      <w:pPr>
        <w:keepNext w:val="0"/>
        <w:keepLines w:val="0"/>
        <w:pageBreakBefore w:val="0"/>
        <w:kinsoku/>
        <w:wordWrap w:val="0"/>
        <w:overflowPunct/>
        <w:topLinePunct w:val="0"/>
        <w:bidi w:val="0"/>
        <w:spacing w:line="360" w:lineRule="exact"/>
        <w:ind w:firstLine="420" w:firstLineChars="200"/>
        <w:textAlignment w:val="auto"/>
        <w:rPr>
          <w:rFonts w:hint="eastAsia" w:ascii="宋体" w:hAnsi="宋体"/>
          <w:b/>
          <w:bCs/>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D73893C">
      <w:pPr>
        <w:keepNext w:val="0"/>
        <w:keepLines w:val="0"/>
        <w:pageBreakBefore w:val="0"/>
        <w:kinsoku/>
        <w:wordWrap w:val="0"/>
        <w:overflowPunct/>
        <w:topLinePunct w:val="0"/>
        <w:bidi w:val="0"/>
        <w:spacing w:line="36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.6如投标文件中未列明全面实现投标货物功能而必须配置的配套或辅助设施及相应技术措施的费用，这些费用将被视为已包含在总投标价中。</w:t>
      </w:r>
    </w:p>
    <w:p w14:paraId="24465A9B">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.7投标价中不得包含招标文件要求以外的内容，否则，在评标时不予核减，但在授予合同时，招标人有权将这部分价格从其中标价格中扣除。</w:t>
      </w:r>
    </w:p>
    <w:p w14:paraId="28BEECA2">
      <w:pPr>
        <w:kinsoku/>
        <w:wordWrap w:val="0"/>
        <w:overflowPunct/>
        <w:topLinePunct w:val="0"/>
        <w:bidi w:val="0"/>
        <w:spacing w:line="440" w:lineRule="exact"/>
        <w:ind w:firstLine="403" w:firstLineChars="192"/>
        <w:rPr>
          <w:rFonts w:hint="eastAsia" w:ascii="宋体"/>
          <w:color w:val="auto"/>
          <w:szCs w:val="21"/>
          <w:highlight w:val="none"/>
        </w:rPr>
      </w:pPr>
      <w:r>
        <w:rPr>
          <w:rFonts w:hint="eastAsia" w:ascii="宋体"/>
          <w:b w:val="0"/>
          <w:bCs/>
          <w:color w:val="auto"/>
          <w:szCs w:val="21"/>
          <w:highlight w:val="none"/>
        </w:rPr>
        <w:t>2</w:t>
      </w:r>
      <w:r>
        <w:rPr>
          <w:rFonts w:hint="eastAsia" w:ascii="宋体"/>
          <w:b w:val="0"/>
          <w:bCs/>
          <w:color w:val="auto"/>
          <w:szCs w:val="21"/>
          <w:highlight w:val="none"/>
          <w:lang w:val="en-US" w:eastAsia="zh-CN"/>
        </w:rPr>
        <w:t>1</w:t>
      </w:r>
      <w:r>
        <w:rPr>
          <w:rFonts w:hint="eastAsia" w:ascii="宋体"/>
          <w:b w:val="0"/>
          <w:bCs/>
          <w:color w:val="auto"/>
          <w:szCs w:val="21"/>
          <w:highlight w:val="none"/>
        </w:rPr>
        <w:t>.8</w:t>
      </w:r>
      <w:r>
        <w:rPr>
          <w:rFonts w:hint="eastAsia" w:ascii="宋体"/>
          <w:color w:val="auto"/>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2A05B75A">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22</w:t>
      </w:r>
      <w:r>
        <w:rPr>
          <w:rFonts w:hint="eastAsia" w:ascii="宋体" w:hAnsi="宋体" w:cs="宋体"/>
          <w:b/>
          <w:color w:val="auto"/>
          <w:szCs w:val="21"/>
          <w:highlight w:val="none"/>
        </w:rPr>
        <w:t>. 投标有效期</w:t>
      </w:r>
    </w:p>
    <w:p w14:paraId="79EC7EA8">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 xml:space="preserve">.1 </w:t>
      </w:r>
      <w:r>
        <w:rPr>
          <w:rFonts w:hint="eastAsia" w:ascii="宋体"/>
          <w:color w:val="auto"/>
          <w:szCs w:val="21"/>
          <w:highlight w:val="none"/>
        </w:rPr>
        <w:t>投标有效期见投标人须知前附表。</w:t>
      </w:r>
    </w:p>
    <w:p w14:paraId="287051E5">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.2</w:t>
      </w:r>
      <w:r>
        <w:rPr>
          <w:rFonts w:hint="eastAsia" w:ascii="宋体"/>
          <w:color w:val="auto"/>
          <w:szCs w:val="21"/>
          <w:highlight w:val="none"/>
        </w:rPr>
        <w:t>在投标有效期内，投标人撤销或修改其投标文件的，应承担招标文件和法律规定的责任。</w:t>
      </w:r>
    </w:p>
    <w:p w14:paraId="7E807804">
      <w:pPr>
        <w:kinsoku/>
        <w:wordWrap w:val="0"/>
        <w:overflowPunct/>
        <w:topLinePunct w:val="0"/>
        <w:bidi w:val="0"/>
        <w:spacing w:line="440" w:lineRule="exact"/>
        <w:ind w:firstLine="420" w:firstLineChars="200"/>
        <w:rPr>
          <w:rFonts w:ascii="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.3</w:t>
      </w:r>
      <w:r>
        <w:rPr>
          <w:rFonts w:hint="eastAsia" w:ascii="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76653B8">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eastAsia="zh-CN"/>
        </w:rPr>
        <w:t>23</w:t>
      </w:r>
      <w:r>
        <w:rPr>
          <w:rFonts w:hint="eastAsia" w:ascii="宋体" w:hAnsi="宋体" w:cs="宋体"/>
          <w:b/>
          <w:color w:val="auto"/>
          <w:szCs w:val="21"/>
          <w:highlight w:val="none"/>
        </w:rPr>
        <w:t>. 投标保证金</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val="en-US" w:eastAsia="zh-CN"/>
        </w:rPr>
        <w:t>本项目</w:t>
      </w:r>
      <w:r>
        <w:rPr>
          <w:rFonts w:hint="eastAsia" w:ascii="宋体" w:hAnsi="宋体" w:cs="宋体"/>
          <w:b/>
          <w:color w:val="auto"/>
          <w:szCs w:val="21"/>
          <w:highlight w:val="none"/>
          <w:lang w:val="en-US" w:eastAsia="zh-CN"/>
        </w:rPr>
        <w:t>投标时</w:t>
      </w:r>
      <w:r>
        <w:rPr>
          <w:rFonts w:hint="eastAsia" w:ascii="宋体" w:hAnsi="宋体" w:eastAsia="宋体" w:cs="宋体"/>
          <w:b/>
          <w:color w:val="auto"/>
          <w:szCs w:val="21"/>
          <w:highlight w:val="none"/>
          <w:lang w:val="en-US" w:eastAsia="zh-CN"/>
        </w:rPr>
        <w:t>不要求投标人提交投标保证金）</w:t>
      </w:r>
    </w:p>
    <w:p w14:paraId="6A2A2E5D">
      <w:pPr>
        <w:kinsoku/>
        <w:wordWrap w:val="0"/>
        <w:overflowPunct/>
        <w:topLinePunct w:val="0"/>
        <w:bidi w:val="0"/>
        <w:spacing w:line="440" w:lineRule="exact"/>
        <w:ind w:firstLine="420" w:firstLineChars="200"/>
        <w:rPr>
          <w:rFonts w:hint="eastAsia" w:ascii="宋体"/>
          <w:color w:val="auto"/>
          <w:szCs w:val="21"/>
          <w:highlight w:val="none"/>
        </w:rPr>
      </w:pPr>
      <w:bookmarkStart w:id="57" w:name="_Toc449028870"/>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七章“投标文件格式”规定的或者事先经过招标人认可的保证金格式递交保证金，并作为其投标文件的组成部分。联合体投标的，其投标保证金由牵头人递交，并应符合投标人须知前附表的规定。</w:t>
      </w:r>
    </w:p>
    <w:p w14:paraId="10C0FB75">
      <w:pPr>
        <w:kinsoku/>
        <w:wordWrap w:val="0"/>
        <w:overflowPunct/>
        <w:topLinePunct w:val="0"/>
        <w:bidi w:val="0"/>
        <w:spacing w:line="440" w:lineRule="exact"/>
        <w:ind w:firstLine="420" w:firstLineChars="200"/>
        <w:rPr>
          <w:rFonts w:hint="eastAsia" w:ascii="宋体"/>
          <w:color w:val="auto"/>
          <w:szCs w:val="21"/>
          <w:highlight w:val="none"/>
        </w:rPr>
      </w:pPr>
      <w:r>
        <w:rPr>
          <w:rFonts w:hint="eastAsia" w:ascii="宋体"/>
          <w:color w:val="auto"/>
          <w:szCs w:val="21"/>
          <w:highlight w:val="none"/>
        </w:rPr>
        <w:t>无论采取何种形式的投标保证金，投标保证金有效期均应与投标有效期一致（采用投标电子保函的保证期截止时间不得早于该项目投标有效期的截止时间）。招标人如果按本章第2</w:t>
      </w:r>
      <w:r>
        <w:rPr>
          <w:rFonts w:hint="eastAsia" w:ascii="宋体"/>
          <w:color w:val="auto"/>
          <w:szCs w:val="21"/>
          <w:highlight w:val="none"/>
          <w:lang w:val="en-US" w:eastAsia="zh-CN"/>
        </w:rPr>
        <w:t>2</w:t>
      </w:r>
      <w:r>
        <w:rPr>
          <w:rFonts w:hint="eastAsia" w:ascii="宋体"/>
          <w:color w:val="auto"/>
          <w:szCs w:val="21"/>
          <w:highlight w:val="none"/>
        </w:rPr>
        <w:t>.3项的规定延长了投标有效期，则投标保证金的有效期也相应延长。</w:t>
      </w:r>
    </w:p>
    <w:p w14:paraId="0A2F9F5C">
      <w:pPr>
        <w:kinsoku/>
        <w:wordWrap w:val="0"/>
        <w:overflowPunct/>
        <w:topLinePunct w:val="0"/>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.2投标人不按本章第2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.1项要求提交投标保证金的，评标委员会将否决其投标。</w:t>
      </w:r>
    </w:p>
    <w:p w14:paraId="719E8206">
      <w:pPr>
        <w:kinsoku/>
        <w:wordWrap w:val="0"/>
        <w:overflowPunct/>
        <w:topLinePunct w:val="0"/>
        <w:bidi w:val="0"/>
        <w:spacing w:line="440" w:lineRule="exact"/>
        <w:ind w:firstLine="420" w:firstLineChars="200"/>
        <w:rPr>
          <w:rFonts w:hint="eastAsia" w:ascii="宋体" w:eastAsia="宋体"/>
          <w:color w:val="auto"/>
          <w:szCs w:val="21"/>
          <w:highlight w:val="none"/>
          <w:lang w:eastAsia="zh-CN"/>
        </w:rPr>
      </w:pPr>
      <w:r>
        <w:rPr>
          <w:rFonts w:hint="eastAsia" w:ascii="宋体"/>
          <w:color w:val="auto"/>
          <w:szCs w:val="21"/>
          <w:highlight w:val="none"/>
          <w:lang w:val="en-US" w:eastAsia="zh-CN"/>
        </w:rPr>
        <w:t>23</w:t>
      </w:r>
      <w:r>
        <w:rPr>
          <w:rFonts w:hint="eastAsia" w:ascii="宋体"/>
          <w:color w:val="auto"/>
          <w:szCs w:val="21"/>
          <w:highlight w:val="none"/>
        </w:rPr>
        <w:t>.3</w:t>
      </w:r>
      <w:r>
        <w:rPr>
          <w:rFonts w:hint="eastAsia" w:ascii="宋体" w:hAnsi="宋体" w:cs="宋体"/>
          <w:color w:val="auto"/>
          <w:szCs w:val="21"/>
          <w:highlight w:val="none"/>
          <w:lang w:eastAsia="zh-CN"/>
        </w:rPr>
        <w:t>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6593AEAE">
      <w:pPr>
        <w:kinsoku/>
        <w:wordWrap w:val="0"/>
        <w:overflowPunct/>
        <w:topLinePunct w:val="0"/>
        <w:bidi w:val="0"/>
        <w:spacing w:line="440" w:lineRule="exact"/>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.4有下列情形之一的，投标保证金将不予退还： </w:t>
      </w:r>
    </w:p>
    <w:p w14:paraId="10D9E8AB">
      <w:pPr>
        <w:kinsoku/>
        <w:wordWrap w:val="0"/>
        <w:overflowPunct/>
        <w:topLinePunct w:val="0"/>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1B922C42">
      <w:pPr>
        <w:kinsoku/>
        <w:wordWrap w:val="0"/>
        <w:overflowPunct/>
        <w:topLinePunct w:val="0"/>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31EEBEB6">
      <w:pPr>
        <w:kinsoku/>
        <w:wordWrap w:val="0"/>
        <w:overflowPunct/>
        <w:topLinePunct w:val="0"/>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.5投标保证金按《</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"https://www.chuzhou.gov.cn/group1/M00/12/83/CpYI8mGDiKqAD_IkAAEIAMLVghw186.doc" \t "_blank"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45A4FAD7">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（四）投标文件的递交</w:t>
      </w:r>
      <w:bookmarkEnd w:id="57"/>
    </w:p>
    <w:p w14:paraId="0C04D2F3">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24</w:t>
      </w:r>
      <w:r>
        <w:rPr>
          <w:rFonts w:hint="eastAsia" w:ascii="宋体" w:hAnsi="宋体" w:eastAsia="宋体" w:cs="宋体"/>
          <w:b/>
          <w:color w:val="auto"/>
          <w:szCs w:val="21"/>
          <w:highlight w:val="none"/>
        </w:rPr>
        <w:t>.投标文件的密封和标记</w:t>
      </w:r>
    </w:p>
    <w:p w14:paraId="6693D198">
      <w:pPr>
        <w:kinsoku/>
        <w:wordWrap w:val="0"/>
        <w:overflowPunct/>
        <w:topLinePunct w:val="0"/>
        <w:bidi w:val="0"/>
        <w:spacing w:line="440" w:lineRule="exact"/>
        <w:ind w:firstLine="420" w:firstLineChars="200"/>
        <w:rPr>
          <w:rFonts w:hint="eastAsia" w:ascii="宋体" w:hAnsi="宋体" w:eastAsia="宋体" w:cs="宋体"/>
          <w:color w:val="auto"/>
          <w:szCs w:val="21"/>
          <w:highlight w:val="none"/>
          <w:lang w:eastAsia="zh-CN"/>
        </w:rPr>
      </w:pPr>
      <w:bookmarkStart w:id="58" w:name="_Toc449028871"/>
      <w:r>
        <w:rPr>
          <w:rFonts w:hint="eastAsia" w:ascii="宋体" w:hAnsi="宋体" w:eastAsia="宋体" w:cs="宋体"/>
          <w:color w:val="auto"/>
          <w:szCs w:val="21"/>
          <w:highlight w:val="none"/>
          <w:lang w:eastAsia="zh-CN"/>
        </w:rPr>
        <w:t>24.1投标文件应按照本章第2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.2.5项要求制作并加密，未按要求加密的投标文件将被拒绝接收。以投标人在投标截止时间前网上递交的电子投标文件为准。</w:t>
      </w:r>
    </w:p>
    <w:p w14:paraId="2E82EAFD">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25</w:t>
      </w:r>
      <w:r>
        <w:rPr>
          <w:rFonts w:hint="eastAsia" w:ascii="宋体" w:hAnsi="宋体" w:cs="宋体"/>
          <w:b/>
          <w:color w:val="auto"/>
          <w:szCs w:val="21"/>
          <w:highlight w:val="none"/>
        </w:rPr>
        <w:t xml:space="preserve">. </w:t>
      </w:r>
      <w:r>
        <w:rPr>
          <w:rFonts w:hint="eastAsia" w:ascii="宋体"/>
          <w:b/>
          <w:color w:val="auto"/>
          <w:szCs w:val="21"/>
          <w:highlight w:val="none"/>
        </w:rPr>
        <w:t>投标文件上传</w:t>
      </w:r>
    </w:p>
    <w:p w14:paraId="7473381A">
      <w:pPr>
        <w:kinsoku/>
        <w:wordWrap w:val="0"/>
        <w:overflowPunct/>
        <w:topLinePunct w:val="0"/>
        <w:bidi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eastAsia="zh-CN"/>
        </w:rPr>
        <w:t>.1请投标人通过系统下载投标工具制作投标文件，并利用CA数字证书进行上传投标文件，上传已加密的投标文件，务必通过此方式上传投标文件。</w:t>
      </w:r>
    </w:p>
    <w:p w14:paraId="14957C63">
      <w:pPr>
        <w:kinsoku/>
        <w:wordWrap w:val="0"/>
        <w:overflowPunct/>
        <w:topLinePunct w:val="0"/>
        <w:bidi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25.2</w:t>
      </w:r>
      <w:r>
        <w:rPr>
          <w:rFonts w:hint="eastAsia" w:ascii="宋体" w:hAnsi="宋体" w:eastAsia="宋体" w:cs="宋体"/>
          <w:color w:val="auto"/>
          <w:szCs w:val="21"/>
          <w:highlight w:val="none"/>
          <w:lang w:eastAsia="zh-CN"/>
        </w:rPr>
        <w:t>投标人在投标文件编制、签章、上传过程中如有任何操作的疑问请及时联系技术支持，电话：0550-3801701。</w:t>
      </w:r>
    </w:p>
    <w:p w14:paraId="364B74B2">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26</w:t>
      </w:r>
      <w:r>
        <w:rPr>
          <w:rFonts w:hint="eastAsia" w:ascii="宋体" w:hAnsi="Times New Roman" w:eastAsia="宋体" w:cs="Times New Roman"/>
          <w:b/>
          <w:color w:val="auto"/>
          <w:szCs w:val="21"/>
          <w:highlight w:val="none"/>
        </w:rPr>
        <w:t>．投标文件的递交</w:t>
      </w:r>
    </w:p>
    <w:p w14:paraId="27889FEF">
      <w:pPr>
        <w:kinsoku/>
        <w:wordWrap w:val="0"/>
        <w:overflowPunct/>
        <w:topLinePunct w:val="0"/>
        <w:bidi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.1 投标人应当在第一章“招标公告”规定的投标截止时间前，将加密投标文件上传至电子交易系统。</w:t>
      </w:r>
    </w:p>
    <w:p w14:paraId="3A402126">
      <w:pPr>
        <w:kinsoku/>
        <w:wordWrap w:val="0"/>
        <w:overflowPunct/>
        <w:topLinePunct w:val="0"/>
        <w:bidi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.2 除投标人须知前附表另有规定外，投标人所递交的投标文件不予退还。</w:t>
      </w:r>
    </w:p>
    <w:p w14:paraId="5C58DBE0">
      <w:pPr>
        <w:kinsoku/>
        <w:wordWrap w:val="0"/>
        <w:overflowPunct/>
        <w:topLinePunct w:val="0"/>
        <w:bidi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59A65B1A">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27</w:t>
      </w:r>
      <w:r>
        <w:rPr>
          <w:rFonts w:hint="eastAsia" w:ascii="宋体"/>
          <w:b/>
          <w:color w:val="auto"/>
          <w:szCs w:val="21"/>
          <w:highlight w:val="none"/>
        </w:rPr>
        <w:t>.投标文件的修改与撤回</w:t>
      </w:r>
    </w:p>
    <w:p w14:paraId="66E280A0">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.1在第一章“招标公告”规定的投标截止时间前，投标人可以自行从网上招投标系统撤回已递交的投标文件，并可修改后重新加密上传，开标时以投标截止时间前投标人最终上传的投标文件为准。</w:t>
      </w:r>
    </w:p>
    <w:p w14:paraId="5C999B15">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2</w:t>
      </w:r>
      <w:r>
        <w:rPr>
          <w:rFonts w:hint="eastAsia" w:ascii="宋体" w:hAnsi="Times New Roman" w:eastAsia="宋体" w:cs="Times New Roman"/>
          <w:b/>
          <w:color w:val="auto"/>
          <w:szCs w:val="21"/>
          <w:highlight w:val="none"/>
          <w:lang w:val="en-US" w:eastAsia="zh-CN"/>
        </w:rPr>
        <w:t>8</w:t>
      </w:r>
      <w:r>
        <w:rPr>
          <w:rFonts w:hint="eastAsia" w:ascii="宋体" w:hAnsi="Times New Roman" w:eastAsia="宋体" w:cs="Times New Roman"/>
          <w:b/>
          <w:color w:val="auto"/>
          <w:szCs w:val="21"/>
          <w:highlight w:val="none"/>
        </w:rPr>
        <w:t>.偏离</w:t>
      </w:r>
    </w:p>
    <w:p w14:paraId="0A490C86">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.1投标文件偏离招标文件某些要求，视为投标文件存在偏差。偏差包括重大偏差和细微偏差。</w:t>
      </w:r>
    </w:p>
    <w:p w14:paraId="5DE849ED">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.1.1投标文件应对招标文件的实质性要求和条件作出满足性或更有利于招标人的响应，否则，视为投标文件存在重大偏差，投标人的投标将被否决。</w:t>
      </w:r>
    </w:p>
    <w:p w14:paraId="6E73B1C9">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投标文件存在第四章“评标办法”中所列任一无效投标情形的，均属于存在重大偏差。</w:t>
      </w:r>
    </w:p>
    <w:p w14:paraId="1C02BF72">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.1.2投标文件中的下列偏差为细微偏差：</w:t>
      </w:r>
    </w:p>
    <w:p w14:paraId="6A23A1AF">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3391FA10">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（2）投标文件个别文字有遗漏错误等不影响投标文件实质性内容的偏差。</w:t>
      </w:r>
    </w:p>
    <w:p w14:paraId="32D37E94">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.1.3评标委员会对投标文件中的细微偏差按如下规定处理：</w:t>
      </w:r>
    </w:p>
    <w:p w14:paraId="3ECFDE34">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 项（1）目所述的细微偏差，按照第</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章“评标办法”的规定予以修正并要求投标人进行澄清；</w:t>
      </w:r>
    </w:p>
    <w:p w14:paraId="2688EC33">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 项（2）目所述的细微偏差，可要求投标人对细微偏差进行澄清。</w:t>
      </w:r>
    </w:p>
    <w:p w14:paraId="77F74337">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（五）开标和评标</w:t>
      </w:r>
      <w:bookmarkEnd w:id="58"/>
    </w:p>
    <w:p w14:paraId="01090C61">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29</w:t>
      </w:r>
      <w:r>
        <w:rPr>
          <w:rFonts w:hint="eastAsia" w:ascii="宋体"/>
          <w:b/>
          <w:color w:val="auto"/>
          <w:szCs w:val="21"/>
          <w:highlight w:val="none"/>
        </w:rPr>
        <w:t>. 开标</w:t>
      </w:r>
    </w:p>
    <w:p w14:paraId="5D620E4F">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.1 开标的时间和地点</w:t>
      </w:r>
    </w:p>
    <w:p w14:paraId="3C9C1676">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.1.1招标人在第一章“招标公告”规定的投标截止时间前（开标时间）和地点通过电子交易系统公开开标。</w:t>
      </w:r>
    </w:p>
    <w:p w14:paraId="7087F77E">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.2开标程序</w:t>
      </w:r>
    </w:p>
    <w:p w14:paraId="73162B70">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.2.1主持人按下列程序进行开标：</w:t>
      </w:r>
    </w:p>
    <w:p w14:paraId="689C4A41">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（1）公布在投标截止时间前通过电子交易系统完成投标文件递交的投标人名称；</w:t>
      </w:r>
    </w:p>
    <w:p w14:paraId="591439C8">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（2）投标人在投标截止时间后在投标人须知前附表规定的解密时间内完成投标文件的解密工作；</w:t>
      </w:r>
    </w:p>
    <w:p w14:paraId="453120C9">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（3）招标人或招标代理机构完成解密工作，导入并读取所有成功解密的投标文件；</w:t>
      </w:r>
    </w:p>
    <w:p w14:paraId="66D590B6">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（4）按投标人须知前附表规定公布投标人名称、标段名称、投标报价、质量目标、工期及其他内容；</w:t>
      </w:r>
    </w:p>
    <w:p w14:paraId="0512B007">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7D649818">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.3开标异议</w:t>
      </w:r>
    </w:p>
    <w:p w14:paraId="77FAF369">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.3.1投标人对开标有异议的，应当在开标过程中提出，招标人在开标过程中作出答复，并制作记录。异议与答复应通过电子交易系统进行。</w:t>
      </w:r>
    </w:p>
    <w:p w14:paraId="35299798">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30</w:t>
      </w:r>
      <w:r>
        <w:rPr>
          <w:rFonts w:hint="eastAsia" w:ascii="宋体"/>
          <w:b/>
          <w:color w:val="auto"/>
          <w:szCs w:val="21"/>
          <w:highlight w:val="none"/>
        </w:rPr>
        <w:t>.评标委员会</w:t>
      </w:r>
    </w:p>
    <w:p w14:paraId="00F35BB7">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159AAA4">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outlineLvl w:val="4"/>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F9C2A2F">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1B452B94">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A238691">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4E826BF">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562D2709">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544BB892">
      <w:pPr>
        <w:kinsoku/>
        <w:wordWrap w:val="0"/>
        <w:overflowPunct/>
        <w:topLinePunct w:val="0"/>
        <w:bidi w:val="0"/>
        <w:spacing w:line="42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项目实施主体及其子公司、下属单位、上级主管部门或者控股公司的工作人员或者退休人员不得以专家身份参与本单位或者代理项目的评标评审。 </w:t>
      </w:r>
    </w:p>
    <w:p w14:paraId="25F00B30">
      <w:pPr>
        <w:kinsoku/>
        <w:wordWrap w:val="0"/>
        <w:overflowPunct/>
        <w:topLinePunct w:val="0"/>
        <w:bidi w:val="0"/>
        <w:spacing w:line="420" w:lineRule="exact"/>
        <w:ind w:firstLine="422" w:firstLineChars="200"/>
        <w:jc w:val="left"/>
        <w:rPr>
          <w:rFonts w:hint="eastAsia" w:ascii="宋体" w:hAnsi="宋体" w:cs="宋体"/>
          <w:b/>
          <w:bCs/>
          <w:color w:val="auto"/>
          <w:szCs w:val="21"/>
          <w:highlight w:val="none"/>
          <w:lang w:val="en-US" w:eastAsia="zh-CN"/>
        </w:rPr>
      </w:pPr>
      <w:r>
        <w:rPr>
          <w:rFonts w:hint="eastAsia" w:ascii="宋体" w:hAnsi="宋体" w:eastAsia="宋体" w:cs="宋体"/>
          <w:b/>
          <w:bCs/>
          <w:color w:val="auto"/>
          <w:szCs w:val="21"/>
          <w:highlight w:val="none"/>
        </w:rPr>
        <w:t xml:space="preserve">评标委员会或评审机构成员有前两款规定情形的，应当主动提出回避；已经进入的应当更换，被更换的成员评标评审意见无效。 </w:t>
      </w:r>
    </w:p>
    <w:p w14:paraId="533E5B8A">
      <w:pPr>
        <w:keepNext w:val="0"/>
        <w:keepLines w:val="0"/>
        <w:widowControl w:val="0"/>
        <w:kinsoku/>
        <w:wordWrap w:val="0"/>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42535C5D">
      <w:pPr>
        <w:kinsoku/>
        <w:wordWrap w:val="0"/>
        <w:overflowPunct/>
        <w:topLinePunct w:val="0"/>
        <w:bidi w:val="0"/>
        <w:spacing w:line="420" w:lineRule="exact"/>
        <w:ind w:firstLine="421"/>
        <w:jc w:val="left"/>
        <w:outlineLvl w:val="3"/>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.评标原则</w:t>
      </w:r>
    </w:p>
    <w:p w14:paraId="56C5A9CB">
      <w:pPr>
        <w:kinsoku/>
        <w:wordWrap w:val="0"/>
        <w:overflowPunct/>
        <w:topLinePunct w:val="0"/>
        <w:bidi w:val="0"/>
        <w:spacing w:line="420" w:lineRule="exact"/>
        <w:ind w:firstLine="420" w:firstLineChars="200"/>
        <w:jc w:val="left"/>
        <w:outlineLvl w:val="4"/>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.1评标活动遵循公平、公正、科学和择优的原则。</w:t>
      </w:r>
    </w:p>
    <w:p w14:paraId="23680C65">
      <w:pPr>
        <w:keepNext w:val="0"/>
        <w:keepLines w:val="0"/>
        <w:widowControl w:val="0"/>
        <w:kinsoku/>
        <w:wordWrap w:val="0"/>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.评标</w:t>
      </w:r>
    </w:p>
    <w:p w14:paraId="33ADBD21">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59" w:name="_Toc449028873"/>
      <w:r>
        <w:rPr>
          <w:rFonts w:hint="eastAsia" w:ascii="宋体" w:hAnsi="宋体" w:eastAsia="宋体" w:cs="宋体"/>
          <w:color w:val="auto"/>
          <w:szCs w:val="21"/>
          <w:highlight w:val="none"/>
        </w:rPr>
        <w:t>评标委员会按照第四章“评标办法”规定的方法、评审因素、标准和程序对投标文件进行评审。第四章“评标办法”没有规定的方法、评审因素和标准，不作为评标依据。</w:t>
      </w:r>
    </w:p>
    <w:p w14:paraId="224B4852">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26D13EE6">
      <w:pPr>
        <w:keepNext w:val="0"/>
        <w:keepLines w:val="0"/>
        <w:widowControl w:val="0"/>
        <w:kinsoku/>
        <w:wordWrap w:val="0"/>
        <w:overflowPunct/>
        <w:topLinePunct w:val="0"/>
        <w:autoSpaceDE/>
        <w:autoSpaceDN/>
        <w:bidi w:val="0"/>
        <w:spacing w:line="520" w:lineRule="exact"/>
        <w:ind w:left="0" w:right="0" w:rightChars="0" w:firstLine="560" w:firstLineChars="200"/>
        <w:jc w:val="center"/>
        <w:textAlignment w:val="auto"/>
        <w:outlineLvl w:val="2"/>
        <w:rPr>
          <w:rFonts w:hint="eastAsia" w:ascii="黑体" w:eastAsia="黑体"/>
          <w:color w:val="auto"/>
          <w:sz w:val="24"/>
          <w:highlight w:val="none"/>
        </w:rPr>
      </w:pPr>
      <w:r>
        <w:rPr>
          <w:rFonts w:hint="eastAsia" w:ascii="黑体" w:eastAsia="黑体"/>
          <w:color w:val="auto"/>
          <w:sz w:val="28"/>
          <w:szCs w:val="28"/>
          <w:highlight w:val="none"/>
        </w:rPr>
        <w:t>（六）合同授予</w:t>
      </w:r>
      <w:bookmarkEnd w:id="59"/>
    </w:p>
    <w:p w14:paraId="4636B96D">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bookmarkStart w:id="60" w:name="_Toc449028874"/>
      <w:r>
        <w:rPr>
          <w:rFonts w:hint="eastAsia" w:ascii="宋体" w:hAnsi="Times New Roman" w:eastAsia="宋体" w:cs="Times New Roman"/>
          <w:b/>
          <w:color w:val="auto"/>
          <w:szCs w:val="21"/>
          <w:highlight w:val="none"/>
        </w:rPr>
        <w:t>3</w:t>
      </w:r>
      <w:r>
        <w:rPr>
          <w:rFonts w:hint="eastAsia" w:ascii="宋体" w:hAnsi="Times New Roman" w:eastAsia="宋体" w:cs="Times New Roman"/>
          <w:b/>
          <w:color w:val="auto"/>
          <w:szCs w:val="21"/>
          <w:highlight w:val="none"/>
          <w:lang w:val="en-US" w:eastAsia="zh-CN"/>
        </w:rPr>
        <w:t>2</w:t>
      </w:r>
      <w:r>
        <w:rPr>
          <w:rFonts w:hint="eastAsia" w:ascii="宋体" w:hAnsi="Times New Roman" w:eastAsia="宋体" w:cs="Times New Roman"/>
          <w:b/>
          <w:color w:val="auto"/>
          <w:szCs w:val="21"/>
          <w:highlight w:val="none"/>
        </w:rPr>
        <w:t>.中标公示</w:t>
      </w:r>
    </w:p>
    <w:p w14:paraId="568E5602">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.1招标人在收到评标报告之日起3日内，按照投标人须知前附表规定的公示媒介和期限依法公示。公示期不得少于3日。</w:t>
      </w:r>
    </w:p>
    <w:p w14:paraId="02295EEA">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33.</w:t>
      </w:r>
      <w:r>
        <w:rPr>
          <w:rFonts w:hint="eastAsia" w:ascii="宋体" w:hAnsi="Times New Roman" w:eastAsia="宋体" w:cs="Times New Roman"/>
          <w:b/>
          <w:color w:val="auto"/>
          <w:szCs w:val="21"/>
          <w:highlight w:val="none"/>
        </w:rPr>
        <w:t>评标结果异议</w:t>
      </w:r>
    </w:p>
    <w:p w14:paraId="69234AB3">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.1投标人或其他利害关系人对评标结果有异议的，应在中标候选人公示期内提出。招标人将在收到异议之日起3日内作出答复；作出答复前，将暂停招标投标活动。</w:t>
      </w:r>
    </w:p>
    <w:p w14:paraId="365352A6">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34.</w:t>
      </w:r>
      <w:r>
        <w:rPr>
          <w:rFonts w:hint="eastAsia" w:ascii="宋体" w:hAnsi="Times New Roman" w:eastAsia="宋体" w:cs="Times New Roman"/>
          <w:b/>
          <w:color w:val="auto"/>
          <w:szCs w:val="21"/>
          <w:highlight w:val="none"/>
        </w:rPr>
        <w:t>中标候选人履约能力审查</w:t>
      </w:r>
    </w:p>
    <w:p w14:paraId="081FB1E6">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.1中标候选人的经营、财务状况发生较大变化或者存在违法行为，招标人认为可能影响其履约能力的，应当在发出中标通知书前由原评标委员会按照招标文件规定的标准和方法审查确认。</w:t>
      </w:r>
    </w:p>
    <w:p w14:paraId="7F9C4509">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35.</w:t>
      </w:r>
      <w:r>
        <w:rPr>
          <w:rFonts w:hint="eastAsia" w:ascii="宋体" w:hAnsi="Times New Roman" w:eastAsia="宋体" w:cs="Times New Roman"/>
          <w:b/>
          <w:color w:val="auto"/>
          <w:szCs w:val="21"/>
          <w:highlight w:val="none"/>
        </w:rPr>
        <w:t>业绩公示</w:t>
      </w:r>
    </w:p>
    <w:p w14:paraId="771F4BCB">
      <w:pPr>
        <w:kinsoku/>
        <w:wordWrap w:val="0"/>
        <w:overflowPunct/>
        <w:topLinePunct w:val="0"/>
        <w:bidi w:val="0"/>
        <w:spacing w:line="420" w:lineRule="exact"/>
        <w:ind w:firstLine="420" w:firstLineChars="200"/>
        <w:jc w:val="left"/>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.1招标人对中标人的得分业绩进行公示。</w:t>
      </w:r>
    </w:p>
    <w:p w14:paraId="56FFBD3C">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36.</w:t>
      </w:r>
      <w:r>
        <w:rPr>
          <w:rFonts w:hint="eastAsia" w:ascii="宋体" w:hAnsi="Times New Roman" w:eastAsia="宋体" w:cs="Times New Roman"/>
          <w:b/>
          <w:color w:val="auto"/>
          <w:szCs w:val="21"/>
          <w:highlight w:val="none"/>
        </w:rPr>
        <w:t>定标</w:t>
      </w:r>
    </w:p>
    <w:p w14:paraId="1B1C5EA6">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685F399">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37.</w:t>
      </w:r>
      <w:r>
        <w:rPr>
          <w:rFonts w:hint="eastAsia" w:ascii="宋体" w:hAnsi="Times New Roman" w:eastAsia="宋体" w:cs="Times New Roman"/>
          <w:b/>
          <w:color w:val="auto"/>
          <w:szCs w:val="21"/>
          <w:highlight w:val="none"/>
        </w:rPr>
        <w:t>中标通知</w:t>
      </w:r>
    </w:p>
    <w:p w14:paraId="4A5D538A">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.1在本招标文件规定的投标有效期内，招标人以数据电文向中标人发出中标通知书，同时将中标结果通知未中标的投标人。</w:t>
      </w:r>
    </w:p>
    <w:p w14:paraId="41B418CA">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38.</w:t>
      </w:r>
      <w:r>
        <w:rPr>
          <w:rFonts w:hint="eastAsia" w:ascii="宋体" w:hAnsi="Times New Roman" w:eastAsia="宋体" w:cs="Times New Roman"/>
          <w:b/>
          <w:color w:val="auto"/>
          <w:szCs w:val="21"/>
          <w:highlight w:val="none"/>
        </w:rPr>
        <w:t>履约担保</w:t>
      </w:r>
    </w:p>
    <w:p w14:paraId="559875E8">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1在签订合同前，中标人应按投标人须知前附表规定的担保形式和招标文件第六章“合同条款及格式”规定的或者事先经过招标人书面认可的履约担保格式向招标人提交履约担保。联合体中标的，其履约担保应符合投标人须知前附表规定的金额、担保形式和招标文件第六章“合同条款及格式”规定的履约担保格式要求。</w:t>
      </w:r>
    </w:p>
    <w:p w14:paraId="522C2A1D">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.2中标人不能按本章第</w:t>
      </w: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.1项要求提交履约担保的，视为放弃中标，其投标保证金不予退还，给招标人造成的损失超过投标保证金数额的，中标人还应当对超过部分予以赔偿。</w:t>
      </w:r>
    </w:p>
    <w:p w14:paraId="714716C8">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39.</w:t>
      </w:r>
      <w:r>
        <w:rPr>
          <w:rFonts w:hint="eastAsia" w:ascii="宋体" w:hAnsi="Times New Roman" w:eastAsia="宋体" w:cs="Times New Roman"/>
          <w:b/>
          <w:color w:val="auto"/>
          <w:szCs w:val="21"/>
          <w:highlight w:val="none"/>
        </w:rPr>
        <w:t>签订合同</w:t>
      </w:r>
    </w:p>
    <w:p w14:paraId="30514238">
      <w:pPr>
        <w:kinsoku/>
        <w:wordWrap w:val="0"/>
        <w:overflowPunct/>
        <w:topLinePunct w:val="0"/>
        <w:bidi w:val="0"/>
        <w:spacing w:line="420" w:lineRule="exact"/>
        <w:ind w:firstLine="420" w:firstLineChars="200"/>
        <w:jc w:val="left"/>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.1本项目合同将授予按本须知第</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款规定所确定的中标人。</w:t>
      </w:r>
    </w:p>
    <w:p w14:paraId="07827BB3">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290FBC6D">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.3发出中标通知书后，招标人无正当理由拒签合同的，招标人向中标人退还投标保证金；给中标人造成损失的，还应当赔偿损失。</w:t>
      </w:r>
    </w:p>
    <w:p w14:paraId="72486D3B">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.4 除法定情形外，建设工程合同履行期间项目经理（建造师）不得更换。项目经理（建造师）确需变更的，应根据招标文件要求，变更后的项目经理（建造师）不低于投标文件中拟派项目经理（建造师）的资格条件。</w:t>
      </w:r>
    </w:p>
    <w:p w14:paraId="58E4699E">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.5联合体中标的，联合体各方应当共同与招标人签订合同，就中标项目向招标人承担连带责任。</w:t>
      </w:r>
    </w:p>
    <w:p w14:paraId="52E4472B">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40.</w:t>
      </w:r>
      <w:r>
        <w:rPr>
          <w:rFonts w:hint="eastAsia" w:ascii="宋体" w:hAnsi="Times New Roman" w:eastAsia="宋体" w:cs="Times New Roman"/>
          <w:b/>
          <w:color w:val="auto"/>
          <w:szCs w:val="21"/>
          <w:highlight w:val="none"/>
        </w:rPr>
        <w:t>重新招标和不再招标</w:t>
      </w:r>
    </w:p>
    <w:p w14:paraId="1E131DFC">
      <w:pPr>
        <w:kinsoku/>
        <w:wordWrap w:val="0"/>
        <w:overflowPunct/>
        <w:topLinePunct w:val="0"/>
        <w:bidi w:val="0"/>
        <w:spacing w:line="420" w:lineRule="exact"/>
        <w:ind w:firstLine="420" w:firstLineChars="200"/>
        <w:jc w:val="left"/>
        <w:outlineLvl w:val="4"/>
        <w:rPr>
          <w:rFonts w:hint="eastAsia" w:ascii="宋体" w:hAnsi="宋体" w:eastAsia="宋体" w:cs="宋体"/>
          <w:color w:val="auto"/>
          <w:szCs w:val="21"/>
          <w:highlight w:val="none"/>
        </w:rPr>
      </w:pPr>
      <w:bookmarkStart w:id="61" w:name="_Toc144974540"/>
      <w:bookmarkStart w:id="62" w:name="_Toc179632590"/>
      <w:bookmarkStart w:id="63" w:name="_Toc95223382"/>
      <w:bookmarkStart w:id="64" w:name="_Toc152045572"/>
      <w:bookmarkStart w:id="65" w:name="_Toc152042348"/>
      <w:bookmarkStart w:id="66" w:name="_Toc83301733"/>
      <w:bookmarkStart w:id="67" w:name="_Toc60061479"/>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 重新招标</w:t>
      </w:r>
      <w:bookmarkEnd w:id="61"/>
      <w:bookmarkEnd w:id="62"/>
      <w:bookmarkEnd w:id="63"/>
      <w:bookmarkEnd w:id="64"/>
      <w:bookmarkEnd w:id="65"/>
      <w:bookmarkEnd w:id="66"/>
      <w:bookmarkEnd w:id="67"/>
    </w:p>
    <w:p w14:paraId="22E3163D">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.1.1依法必须招标的项目有下列情形之一的，招标人将重新招标：</w:t>
      </w:r>
    </w:p>
    <w:p w14:paraId="28D0EC33">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73FF38E9">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03203369">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7698396F">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45FDAF26">
      <w:pPr>
        <w:kinsoku/>
        <w:wordWrap w:val="0"/>
        <w:overflowPunct/>
        <w:topLinePunct w:val="0"/>
        <w:bidi w:val="0"/>
        <w:spacing w:line="420" w:lineRule="exact"/>
        <w:ind w:firstLine="420" w:firstLineChars="200"/>
        <w:jc w:val="left"/>
        <w:outlineLvl w:val="4"/>
        <w:rPr>
          <w:rFonts w:hint="eastAsia" w:ascii="宋体" w:hAnsi="宋体" w:eastAsia="宋体" w:cs="宋体"/>
          <w:color w:val="auto"/>
          <w:szCs w:val="21"/>
          <w:highlight w:val="none"/>
        </w:rPr>
      </w:pPr>
      <w:bookmarkStart w:id="68" w:name="_Toc152042349"/>
      <w:bookmarkStart w:id="69" w:name="_Toc60061480"/>
      <w:bookmarkStart w:id="70" w:name="_Toc83301734"/>
      <w:bookmarkStart w:id="71" w:name="_Toc152045573"/>
      <w:bookmarkStart w:id="72" w:name="_Toc95223383"/>
      <w:bookmarkStart w:id="73" w:name="_Toc144974541"/>
      <w:bookmarkStart w:id="74" w:name="_Toc179632591"/>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 不再招标</w:t>
      </w:r>
      <w:bookmarkEnd w:id="68"/>
      <w:bookmarkEnd w:id="69"/>
      <w:bookmarkEnd w:id="70"/>
      <w:bookmarkEnd w:id="71"/>
      <w:bookmarkEnd w:id="72"/>
      <w:bookmarkEnd w:id="73"/>
      <w:bookmarkEnd w:id="74"/>
    </w:p>
    <w:p w14:paraId="4760FEC9">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.2.1重新招标后投标人仍少于3个或者所有投标被否决的，属于必须审批或核准的工程建设项目，经原审批或核准部门批准后不再进行招标。</w:t>
      </w:r>
    </w:p>
    <w:p w14:paraId="0567F33D">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（七）纪律和监督</w:t>
      </w:r>
      <w:bookmarkEnd w:id="60"/>
    </w:p>
    <w:p w14:paraId="5228FBB9">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41.</w:t>
      </w:r>
      <w:r>
        <w:rPr>
          <w:rFonts w:hint="eastAsia" w:ascii="宋体" w:hAnsi="Times New Roman" w:eastAsia="宋体" w:cs="Times New Roman"/>
          <w:b/>
          <w:color w:val="auto"/>
          <w:szCs w:val="21"/>
          <w:highlight w:val="none"/>
        </w:rPr>
        <w:t xml:space="preserve">对招标人的纪律要求 </w:t>
      </w:r>
    </w:p>
    <w:p w14:paraId="4D21C0A1">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.1招标人不得泄漏招标投标活动中应当保密的情况和资料，不得与投标人串通损害国家利益、社会公共利益或者他人合法权益。</w:t>
      </w:r>
    </w:p>
    <w:p w14:paraId="227A8D31">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42.</w:t>
      </w:r>
      <w:r>
        <w:rPr>
          <w:rFonts w:hint="eastAsia" w:ascii="宋体" w:hAnsi="Times New Roman" w:eastAsia="宋体" w:cs="Times New Roman"/>
          <w:b/>
          <w:color w:val="auto"/>
          <w:szCs w:val="21"/>
          <w:highlight w:val="none"/>
        </w:rPr>
        <w:t xml:space="preserve">对投标人的纪律要求 </w:t>
      </w:r>
    </w:p>
    <w:p w14:paraId="597D9998">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4AF56EB7">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43.</w:t>
      </w:r>
      <w:r>
        <w:rPr>
          <w:rFonts w:hint="eastAsia" w:ascii="宋体" w:hAnsi="Times New Roman" w:eastAsia="宋体" w:cs="Times New Roman"/>
          <w:b/>
          <w:color w:val="auto"/>
          <w:szCs w:val="21"/>
          <w:highlight w:val="none"/>
        </w:rPr>
        <w:t xml:space="preserve">对评标委员会成员的纪律要求 </w:t>
      </w:r>
    </w:p>
    <w:p w14:paraId="082DD567">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1EF15B87">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44.</w:t>
      </w:r>
      <w:r>
        <w:rPr>
          <w:rFonts w:hint="eastAsia" w:ascii="宋体" w:hAnsi="Times New Roman" w:eastAsia="宋体" w:cs="Times New Roman"/>
          <w:b/>
          <w:color w:val="auto"/>
          <w:szCs w:val="21"/>
          <w:highlight w:val="none"/>
        </w:rPr>
        <w:t xml:space="preserve">对与评标活动有关的工作人员的纪律要求 </w:t>
      </w:r>
    </w:p>
    <w:p w14:paraId="1C1F2639">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bookmarkStart w:id="75" w:name="_Toc152042355"/>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5"/>
    </w:p>
    <w:p w14:paraId="2E11900B">
      <w:pPr>
        <w:keepNext w:val="0"/>
        <w:keepLines w:val="0"/>
        <w:widowControl w:val="0"/>
        <w:kinsoku/>
        <w:wordWrap w:val="0"/>
        <w:overflowPunct/>
        <w:topLinePunct w:val="0"/>
        <w:autoSpaceDE/>
        <w:autoSpaceDN/>
        <w:bidi w:val="0"/>
        <w:spacing w:line="520" w:lineRule="exact"/>
        <w:ind w:left="0" w:right="0" w:rightChars="0" w:firstLine="562" w:firstLineChars="200"/>
        <w:jc w:val="center"/>
        <w:textAlignment w:val="auto"/>
        <w:outlineLvl w:val="2"/>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（八）投诉</w:t>
      </w:r>
    </w:p>
    <w:p w14:paraId="5D9A1662">
      <w:pPr>
        <w:kinsoku/>
        <w:wordWrap w:val="0"/>
        <w:overflowPunct/>
        <w:topLinePunct w:val="0"/>
        <w:bidi w:val="0"/>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4</w:t>
      </w:r>
      <w:r>
        <w:rPr>
          <w:rFonts w:hint="eastAsia" w:ascii="宋体" w:hAnsi="Times New Roman" w:eastAsia="宋体" w:cs="Times New Roman"/>
          <w:b/>
          <w:color w:val="auto"/>
          <w:szCs w:val="21"/>
          <w:highlight w:val="none"/>
          <w:lang w:val="en-US" w:eastAsia="zh-CN"/>
        </w:rPr>
        <w:t>5</w:t>
      </w:r>
      <w:r>
        <w:rPr>
          <w:rFonts w:hint="eastAsia" w:ascii="宋体" w:hAnsi="Times New Roman" w:eastAsia="宋体" w:cs="Times New Roman"/>
          <w:b/>
          <w:color w:val="auto"/>
          <w:szCs w:val="21"/>
          <w:highlight w:val="none"/>
        </w:rPr>
        <w:t>. 投诉</w:t>
      </w:r>
    </w:p>
    <w:p w14:paraId="7C554752">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.1投标人或者其他利害关系人认为招标投标活动违反法律、法规和规章规定的，有权向相关行政监督部门投诉。投诉应当有明确的请求和必要的证明材料。</w:t>
      </w:r>
    </w:p>
    <w:p w14:paraId="2277CC36">
      <w:pPr>
        <w:kinsoku/>
        <w:wordWrap w:val="0"/>
        <w:overflowPunct/>
        <w:topLinePunct w:val="0"/>
        <w:bidi w:val="0"/>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.2投标人和其他利害关系人对招标文件、开标和评标结果事项投诉的，应当按照投标人须知的规定先向招标人提出异议。异议答复期间不计算在第4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.1项规定的期限内。</w:t>
      </w:r>
    </w:p>
    <w:p w14:paraId="23A690D3">
      <w:pPr>
        <w:kinsoku/>
        <w:wordWrap w:val="0"/>
        <w:overflowPunct/>
        <w:topLinePunct w:val="0"/>
        <w:bidi w:val="0"/>
        <w:rPr>
          <w:rFonts w:hint="eastAsia" w:ascii="宋体"/>
          <w:bCs w:val="0"/>
          <w:color w:val="auto"/>
          <w:szCs w:val="32"/>
          <w:highlight w:val="none"/>
        </w:rPr>
      </w:pPr>
      <w:bookmarkStart w:id="76" w:name="_Toc28871"/>
      <w:r>
        <w:rPr>
          <w:rFonts w:hint="eastAsia" w:ascii="宋体"/>
          <w:bCs w:val="0"/>
          <w:color w:val="auto"/>
          <w:szCs w:val="32"/>
          <w:highlight w:val="none"/>
        </w:rPr>
        <w:br w:type="page"/>
      </w:r>
    </w:p>
    <w:p w14:paraId="4075E232">
      <w:pPr>
        <w:pStyle w:val="2"/>
        <w:kinsoku/>
        <w:wordWrap w:val="0"/>
        <w:overflowPunct/>
        <w:topLinePunct w:val="0"/>
        <w:bidi w:val="0"/>
        <w:spacing w:before="0" w:after="0" w:line="240" w:lineRule="auto"/>
        <w:jc w:val="center"/>
        <w:rPr>
          <w:rFonts w:hint="eastAsia"/>
          <w:color w:val="auto"/>
          <w:highlight w:val="none"/>
        </w:rPr>
      </w:pPr>
      <w:r>
        <w:rPr>
          <w:rFonts w:hint="eastAsia" w:ascii="宋体"/>
          <w:b/>
          <w:color w:val="auto"/>
          <w:sz w:val="28"/>
          <w:szCs w:val="28"/>
          <w:highlight w:val="none"/>
        </w:rPr>
        <w:t>第三章 资格审查办法</w:t>
      </w:r>
    </w:p>
    <w:p w14:paraId="6F597E36">
      <w:pPr>
        <w:kinsoku/>
        <w:wordWrap w:val="0"/>
        <w:overflowPunct/>
        <w:topLinePunct w:val="0"/>
        <w:bidi w:val="0"/>
        <w:spacing w:before="240" w:beforeLines="100" w:after="240" w:afterLines="100" w:line="400" w:lineRule="exact"/>
        <w:jc w:val="center"/>
        <w:rPr>
          <w:rFonts w:hint="eastAsia" w:ascii="宋体"/>
          <w:b/>
          <w:color w:val="auto"/>
          <w:sz w:val="28"/>
          <w:szCs w:val="28"/>
          <w:highlight w:val="none"/>
        </w:rPr>
      </w:pPr>
      <w:r>
        <w:rPr>
          <w:rFonts w:hint="eastAsia" w:ascii="宋体"/>
          <w:b/>
          <w:color w:val="auto"/>
          <w:sz w:val="28"/>
          <w:szCs w:val="28"/>
          <w:highlight w:val="none"/>
        </w:rPr>
        <w:t>资格审查办法前附表</w:t>
      </w:r>
    </w:p>
    <w:tbl>
      <w:tblPr>
        <w:tblStyle w:val="35"/>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679"/>
        <w:gridCol w:w="3430"/>
      </w:tblGrid>
      <w:tr w14:paraId="381B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noWrap w:val="0"/>
            <w:vAlign w:val="center"/>
          </w:tcPr>
          <w:p w14:paraId="4CC3096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color w:val="auto"/>
                <w:highlight w:val="none"/>
              </w:rPr>
            </w:pPr>
            <w:r>
              <w:rPr>
                <w:rFonts w:hint="eastAsia" w:ascii="黑体" w:eastAsia="黑体" w:cs="黑体"/>
                <w:b/>
                <w:bCs/>
                <w:color w:val="auto"/>
                <w:szCs w:val="21"/>
                <w:highlight w:val="none"/>
              </w:rPr>
              <w:t>序号</w:t>
            </w:r>
          </w:p>
        </w:tc>
        <w:tc>
          <w:tcPr>
            <w:tcW w:w="4914" w:type="dxa"/>
            <w:gridSpan w:val="2"/>
            <w:noWrap w:val="0"/>
            <w:vAlign w:val="center"/>
          </w:tcPr>
          <w:p w14:paraId="353F4A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color w:val="auto"/>
                <w:highlight w:val="none"/>
              </w:rPr>
            </w:pPr>
            <w:r>
              <w:rPr>
                <w:rFonts w:hint="eastAsia" w:ascii="宋体" w:hAnsi="宋体"/>
                <w:color w:val="auto"/>
                <w:szCs w:val="21"/>
                <w:highlight w:val="none"/>
              </w:rPr>
              <w:t>评审因素</w:t>
            </w:r>
          </w:p>
        </w:tc>
        <w:tc>
          <w:tcPr>
            <w:tcW w:w="3430" w:type="dxa"/>
            <w:noWrap w:val="0"/>
            <w:vAlign w:val="center"/>
          </w:tcPr>
          <w:p w14:paraId="3CE63EC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color w:val="auto"/>
                <w:highlight w:val="none"/>
              </w:rPr>
            </w:pPr>
            <w:r>
              <w:rPr>
                <w:rFonts w:hint="eastAsia" w:ascii="宋体" w:hAnsi="宋体"/>
                <w:color w:val="auto"/>
                <w:szCs w:val="21"/>
                <w:highlight w:val="none"/>
              </w:rPr>
              <w:t>评审标准</w:t>
            </w:r>
          </w:p>
        </w:tc>
      </w:tr>
      <w:tr w14:paraId="6D88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25" w:type="dxa"/>
            <w:noWrap w:val="0"/>
            <w:vAlign w:val="center"/>
          </w:tcPr>
          <w:p w14:paraId="62C1915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75869B6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ascii="宋体"/>
                <w:color w:val="auto"/>
                <w:szCs w:val="21"/>
                <w:highlight w:val="none"/>
              </w:rPr>
              <w:t>重要要求</w:t>
            </w:r>
          </w:p>
        </w:tc>
        <w:tc>
          <w:tcPr>
            <w:tcW w:w="3679" w:type="dxa"/>
            <w:noWrap w:val="0"/>
            <w:vAlign w:val="center"/>
          </w:tcPr>
          <w:p w14:paraId="45B7DAB0">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430" w:type="dxa"/>
            <w:noWrap w:val="0"/>
            <w:vAlign w:val="center"/>
          </w:tcPr>
          <w:p w14:paraId="0BE743AD">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19B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725" w:type="dxa"/>
            <w:vMerge w:val="restart"/>
            <w:noWrap w:val="0"/>
            <w:vAlign w:val="center"/>
          </w:tcPr>
          <w:p w14:paraId="4C7456E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37B251B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679" w:type="dxa"/>
            <w:noWrap w:val="0"/>
            <w:vAlign w:val="center"/>
          </w:tcPr>
          <w:p w14:paraId="482EC6B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3430" w:type="dxa"/>
            <w:noWrap w:val="0"/>
            <w:vAlign w:val="center"/>
          </w:tcPr>
          <w:p w14:paraId="395DA89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0BDF0C0E">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宋体" w:eastAsia="宋体"/>
                <w:color w:val="auto"/>
                <w:szCs w:val="21"/>
                <w:highlight w:val="none"/>
                <w:lang w:val="en-US" w:eastAsia="zh-CN"/>
              </w:rPr>
            </w:pPr>
            <w:r>
              <w:rPr>
                <w:rFonts w:hint="eastAsia" w:ascii="宋体"/>
                <w:color w:val="auto"/>
                <w:szCs w:val="21"/>
                <w:highlight w:val="none"/>
              </w:rPr>
              <w:t>投标人有效的营业执照、税务登记证、组织机构码证（或“三证合一证书”）</w:t>
            </w:r>
            <w:r>
              <w:rPr>
                <w:rFonts w:hint="eastAsia" w:ascii="宋体"/>
                <w:color w:val="auto"/>
                <w:szCs w:val="21"/>
                <w:highlight w:val="none"/>
                <w:lang w:val="en-US" w:eastAsia="zh-CN"/>
              </w:rPr>
              <w:t>或事业单位法人证书；</w:t>
            </w:r>
          </w:p>
        </w:tc>
      </w:tr>
      <w:tr w14:paraId="38B0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25" w:type="dxa"/>
            <w:vMerge w:val="continue"/>
            <w:noWrap w:val="0"/>
            <w:vAlign w:val="center"/>
          </w:tcPr>
          <w:p w14:paraId="49AB816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p>
        </w:tc>
        <w:tc>
          <w:tcPr>
            <w:tcW w:w="1235" w:type="dxa"/>
            <w:vMerge w:val="continue"/>
            <w:noWrap w:val="0"/>
            <w:vAlign w:val="center"/>
          </w:tcPr>
          <w:p w14:paraId="52A2F36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olor w:val="auto"/>
                <w:szCs w:val="21"/>
                <w:highlight w:val="none"/>
              </w:rPr>
            </w:pPr>
          </w:p>
        </w:tc>
        <w:tc>
          <w:tcPr>
            <w:tcW w:w="3679" w:type="dxa"/>
            <w:noWrap w:val="0"/>
            <w:vAlign w:val="top"/>
          </w:tcPr>
          <w:p w14:paraId="7A5CE12E">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）诚信投标承诺书（或《</w:t>
            </w:r>
            <w:r>
              <w:rPr>
                <w:rFonts w:hint="eastAsia" w:ascii="宋体" w:hAnsi="宋体" w:eastAsia="宋体" w:cs="宋体"/>
                <w:color w:val="auto"/>
                <w:kern w:val="0"/>
                <w:szCs w:val="21"/>
                <w:highlight w:val="none"/>
              </w:rPr>
              <w:t>公共信用信息报告（无违法违规证明版或核查版）</w:t>
            </w:r>
            <w:r>
              <w:rPr>
                <w:rFonts w:hint="eastAsia" w:ascii="宋体" w:hAnsi="宋体" w:eastAsia="宋体" w:cs="宋体"/>
                <w:color w:val="auto"/>
                <w:szCs w:val="21"/>
                <w:highlight w:val="none"/>
              </w:rPr>
              <w:t>》）</w:t>
            </w:r>
          </w:p>
        </w:tc>
        <w:tc>
          <w:tcPr>
            <w:tcW w:w="3430" w:type="dxa"/>
            <w:noWrap w:val="0"/>
            <w:vAlign w:val="center"/>
          </w:tcPr>
          <w:p w14:paraId="2C38A85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宋体"/>
                <w:b/>
                <w:color w:val="auto"/>
                <w:szCs w:val="21"/>
                <w:highlight w:val="none"/>
              </w:rPr>
            </w:pPr>
            <w:r>
              <w:rPr>
                <w:rFonts w:hint="eastAsia"/>
                <w:color w:val="auto"/>
                <w:highlight w:val="none"/>
              </w:rPr>
              <w:t>格式见附件，检验电子标书</w:t>
            </w:r>
          </w:p>
        </w:tc>
      </w:tr>
      <w:tr w14:paraId="680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5" w:type="dxa"/>
            <w:vMerge w:val="continue"/>
            <w:noWrap w:val="0"/>
            <w:vAlign w:val="center"/>
          </w:tcPr>
          <w:p w14:paraId="0077545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p>
        </w:tc>
        <w:tc>
          <w:tcPr>
            <w:tcW w:w="1235" w:type="dxa"/>
            <w:vMerge w:val="continue"/>
            <w:noWrap w:val="0"/>
            <w:vAlign w:val="center"/>
          </w:tcPr>
          <w:p w14:paraId="11D3626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olor w:val="auto"/>
                <w:szCs w:val="21"/>
                <w:highlight w:val="none"/>
              </w:rPr>
            </w:pPr>
          </w:p>
        </w:tc>
        <w:tc>
          <w:tcPr>
            <w:tcW w:w="3679" w:type="dxa"/>
            <w:noWrap w:val="0"/>
            <w:vAlign w:val="center"/>
          </w:tcPr>
          <w:p w14:paraId="4B6A9C2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）服务承诺书</w:t>
            </w:r>
          </w:p>
        </w:tc>
        <w:tc>
          <w:tcPr>
            <w:tcW w:w="3430" w:type="dxa"/>
            <w:noWrap w:val="0"/>
            <w:vAlign w:val="center"/>
          </w:tcPr>
          <w:p w14:paraId="18D7A63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宋体"/>
                <w:color w:val="auto"/>
                <w:szCs w:val="21"/>
                <w:highlight w:val="none"/>
              </w:rPr>
            </w:pPr>
            <w:r>
              <w:rPr>
                <w:rFonts w:hint="eastAsia"/>
                <w:color w:val="auto"/>
                <w:highlight w:val="none"/>
              </w:rPr>
              <w:t>格式见附件，检验电子标书</w:t>
            </w:r>
          </w:p>
        </w:tc>
      </w:tr>
    </w:tbl>
    <w:p w14:paraId="7037EF55">
      <w:pPr>
        <w:kinsoku/>
        <w:wordWrap w:val="0"/>
        <w:overflowPunct/>
        <w:topLinePunct w:val="0"/>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35520FE8">
      <w:pPr>
        <w:kinsoku/>
        <w:wordWrap w:val="0"/>
        <w:overflowPunct/>
        <w:topLinePunct w:val="0"/>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bookmarkStart w:id="77" w:name="_Toc506107320"/>
      <w:bookmarkStart w:id="78" w:name="_Toc60061492"/>
      <w:bookmarkStart w:id="79" w:name="_Toc15058909"/>
      <w:bookmarkStart w:id="80" w:name="_Toc95223395"/>
      <w:r>
        <w:rPr>
          <w:rFonts w:hint="eastAsia" w:ascii="黑体" w:hAnsi="黑体" w:eastAsia="黑体" w:cs="黑体"/>
          <w:b/>
          <w:bCs/>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C0B0C1E">
      <w:pPr>
        <w:kinsoku/>
        <w:wordWrap w:val="0"/>
        <w:overflowPunct/>
        <w:topLinePunct w:val="0"/>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bookmarkEnd w:id="77"/>
    <w:bookmarkEnd w:id="78"/>
    <w:bookmarkEnd w:id="79"/>
    <w:bookmarkEnd w:id="80"/>
    <w:p w14:paraId="18D4AEAA">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1.审查资料</w:t>
      </w:r>
    </w:p>
    <w:p w14:paraId="1860720F">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（1）法定代表人身份证明及其有效身份证（或法定代表人授权委托书及其有效身份证）（格式见附件）；</w:t>
      </w:r>
    </w:p>
    <w:p w14:paraId="64BBF026">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（2）投标人有效的营业执照、税务登记证、组织机构代码证（或三合一证书）</w:t>
      </w:r>
      <w:r>
        <w:rPr>
          <w:rFonts w:hint="eastAsia" w:ascii="宋体" w:hAnsi="宋体" w:cs="宋体"/>
          <w:color w:val="auto"/>
          <w:szCs w:val="21"/>
          <w:highlight w:val="none"/>
          <w:lang w:val="en-US" w:eastAsia="zh-CN"/>
        </w:rPr>
        <w:t>或事业单位法人证书</w:t>
      </w:r>
      <w:r>
        <w:rPr>
          <w:rFonts w:hint="eastAsia" w:ascii="宋体" w:hAnsi="宋体" w:cs="宋体"/>
          <w:color w:val="auto"/>
          <w:szCs w:val="21"/>
          <w:highlight w:val="none"/>
        </w:rPr>
        <w:t>；</w:t>
      </w:r>
    </w:p>
    <w:p w14:paraId="3B535541">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（3）诚信投标承诺书（或《公共信用信息报告（无违法违规证明版或核查版）》）；</w:t>
      </w:r>
    </w:p>
    <w:p w14:paraId="18C152D9">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）服务承诺：是否响应招标文件要求的书面说明和服务承诺书（格式见附件）</w:t>
      </w:r>
      <w:r>
        <w:rPr>
          <w:rFonts w:hint="eastAsia" w:ascii="宋体" w:hAnsi="宋体" w:cs="宋体"/>
          <w:color w:val="auto"/>
          <w:szCs w:val="21"/>
          <w:highlight w:val="none"/>
          <w:lang w:eastAsia="zh-CN"/>
        </w:rPr>
        <w:t>。</w:t>
      </w:r>
    </w:p>
    <w:p w14:paraId="2B76722F">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2.审查办法</w:t>
      </w:r>
    </w:p>
    <w:p w14:paraId="179AC7E3">
      <w:pPr>
        <w:keepNext w:val="0"/>
        <w:keepLines w:val="0"/>
        <w:pageBreakBefore w:val="0"/>
        <w:widowControl w:val="0"/>
        <w:kinsoku/>
        <w:wordWrap w:val="0"/>
        <w:overflowPunct/>
        <w:topLinePunct w:val="0"/>
        <w:autoSpaceDE/>
        <w:autoSpaceDN/>
        <w:bidi w:val="0"/>
        <w:adjustRightInd w:val="0"/>
        <w:snapToGrid w:val="0"/>
        <w:spacing w:line="420" w:lineRule="exact"/>
        <w:ind w:firstLine="420" w:firstLineChars="200"/>
        <w:textAlignment w:val="auto"/>
        <w:rPr>
          <w:rFonts w:hint="eastAsia" w:ascii="宋体" w:hAnsi="宋体" w:cs="宋体"/>
          <w:color w:val="auto"/>
          <w:szCs w:val="21"/>
          <w:highlight w:val="none"/>
        </w:rPr>
      </w:pPr>
      <w:bookmarkStart w:id="81" w:name="_Toc15058910"/>
      <w:bookmarkStart w:id="82" w:name="_Toc324404868"/>
      <w:bookmarkStart w:id="83" w:name="_Toc506107321"/>
      <w:bookmarkStart w:id="84" w:name="_Toc60061493"/>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0F02F6DA">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bookmarkStart w:id="85" w:name="_Toc95223396"/>
      <w:r>
        <w:rPr>
          <w:rFonts w:hint="eastAsia" w:ascii="宋体" w:hAnsi="宋体" w:cs="宋体"/>
          <w:color w:val="auto"/>
          <w:szCs w:val="21"/>
          <w:highlight w:val="none"/>
          <w:lang w:eastAsia="zh-CN"/>
        </w:rPr>
        <w:t>　</w:t>
      </w:r>
      <w:r>
        <w:rPr>
          <w:rFonts w:hint="eastAsia" w:ascii="宋体" w:hAnsi="宋体" w:cs="宋体"/>
          <w:color w:val="auto"/>
          <w:szCs w:val="21"/>
          <w:highlight w:val="none"/>
        </w:rPr>
        <w:t>3.资格审查委员会和审查标准</w:t>
      </w:r>
      <w:bookmarkEnd w:id="81"/>
      <w:bookmarkEnd w:id="82"/>
      <w:bookmarkEnd w:id="83"/>
      <w:bookmarkEnd w:id="84"/>
      <w:bookmarkEnd w:id="85"/>
    </w:p>
    <w:p w14:paraId="62916BFD">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3.1资格审查由招标人依法组建的资格审查委员会（或评标委员会）负责。审查标准见资格审查办法前附表。</w:t>
      </w:r>
    </w:p>
    <w:p w14:paraId="354A9A59">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18A0622E">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bookmarkStart w:id="86" w:name="_Toc324404869"/>
      <w:bookmarkStart w:id="87" w:name="_Toc60061494"/>
      <w:bookmarkStart w:id="88" w:name="_Toc15058911"/>
      <w:bookmarkStart w:id="89" w:name="_Toc506107322"/>
      <w:bookmarkStart w:id="90" w:name="_Toc95223397"/>
      <w:r>
        <w:rPr>
          <w:rFonts w:hint="eastAsia" w:ascii="宋体" w:hAnsi="宋体" w:cs="宋体"/>
          <w:color w:val="auto"/>
          <w:szCs w:val="21"/>
          <w:highlight w:val="none"/>
        </w:rPr>
        <w:t>（1）未上传电子标书或电子标书经审查不合格；</w:t>
      </w:r>
    </w:p>
    <w:p w14:paraId="6AF53C30">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本条不采用）</w:t>
      </w:r>
      <w:r>
        <w:rPr>
          <w:rFonts w:hint="eastAsia" w:ascii="宋体" w:hAnsi="宋体" w:cs="宋体"/>
          <w:color w:val="auto"/>
          <w:szCs w:val="21"/>
          <w:highlight w:val="none"/>
        </w:rPr>
        <w:t>；</w:t>
      </w:r>
    </w:p>
    <w:p w14:paraId="6BF68436">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（3）保证金不按第一章“招标公告”要求提交投标保证金的； </w:t>
      </w:r>
    </w:p>
    <w:p w14:paraId="0769E61C">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（4）投标人未办理省主体库登记入库手续的；</w:t>
      </w:r>
    </w:p>
    <w:p w14:paraId="437D4C2F">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（5）投标人投标 MAC 地址一致的；</w:t>
      </w:r>
    </w:p>
    <w:p w14:paraId="6BE07A49">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（6）投标人申请开具电子保函 MAC 地址一致的；</w:t>
      </w:r>
    </w:p>
    <w:p w14:paraId="4C3B8022">
      <w:pPr>
        <w:kinsoku/>
        <w:wordWrap w:val="0"/>
        <w:overflowPunct/>
        <w:topLinePunct w:val="0"/>
        <w:bidi w:val="0"/>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（7）投标人投标文件制作机器码、文件创建标识码及造价软件加密锁号信息雷同的；</w:t>
      </w:r>
    </w:p>
    <w:p w14:paraId="6C7FBE6F">
      <w:pPr>
        <w:kinsoku/>
        <w:wordWrap w:val="0"/>
        <w:overflowPunct/>
        <w:topLinePunct w:val="0"/>
        <w:bidi w:val="0"/>
        <w:adjustRightInd w:val="0"/>
        <w:snapToGrid w:val="0"/>
        <w:spacing w:line="420" w:lineRule="exact"/>
        <w:ind w:firstLine="315" w:firstLineChars="150"/>
        <w:outlineLvl w:val="2"/>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）法律、法规规定的其他情形。</w:t>
      </w:r>
    </w:p>
    <w:p w14:paraId="170DCB94">
      <w:pPr>
        <w:kinsoku/>
        <w:wordWrap w:val="0"/>
        <w:overflowPunct/>
        <w:topLinePunct w:val="0"/>
        <w:bidi w:val="0"/>
        <w:adjustRightInd w:val="0"/>
        <w:snapToGrid w:val="0"/>
        <w:spacing w:line="420" w:lineRule="exact"/>
        <w:outlineLvl w:val="1"/>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4.审查结果</w:t>
      </w:r>
      <w:bookmarkEnd w:id="86"/>
      <w:bookmarkEnd w:id="87"/>
      <w:bookmarkEnd w:id="88"/>
      <w:bookmarkEnd w:id="89"/>
      <w:bookmarkEnd w:id="90"/>
    </w:p>
    <w:p w14:paraId="466E39FD">
      <w:pPr>
        <w:kinsoku/>
        <w:wordWrap w:val="0"/>
        <w:overflowPunct/>
        <w:topLinePunct w:val="0"/>
        <w:bidi w:val="0"/>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只有通过资格审查的投标人才能进入下一步的评标程序。</w:t>
      </w:r>
    </w:p>
    <w:p w14:paraId="30E52F2C">
      <w:pPr>
        <w:kinsoku/>
        <w:wordWrap w:val="0"/>
        <w:overflowPunct/>
        <w:topLinePunct w:val="0"/>
        <w:bidi w:val="0"/>
        <w:rPr>
          <w:rFonts w:hint="eastAsia" w:ascii="华文中宋" w:hAnsi="华文中宋" w:eastAsia="华文中宋"/>
          <w:color w:val="auto"/>
          <w:highlight w:val="none"/>
        </w:rPr>
      </w:pPr>
      <w:r>
        <w:rPr>
          <w:rFonts w:hint="eastAsia" w:ascii="华文中宋" w:hAnsi="华文中宋" w:eastAsia="华文中宋"/>
          <w:color w:val="auto"/>
          <w:highlight w:val="none"/>
        </w:rPr>
        <w:br w:type="page"/>
      </w:r>
    </w:p>
    <w:bookmarkEnd w:id="76"/>
    <w:p w14:paraId="1E183FA0">
      <w:pPr>
        <w:pStyle w:val="2"/>
        <w:kinsoku/>
        <w:wordWrap w:val="0"/>
        <w:overflowPunct/>
        <w:topLinePunct w:val="0"/>
        <w:bidi w:val="0"/>
        <w:adjustRightInd w:val="0"/>
        <w:snapToGrid w:val="0"/>
        <w:spacing w:before="0" w:after="0" w:line="560" w:lineRule="exact"/>
        <w:jc w:val="center"/>
        <w:rPr>
          <w:rFonts w:hint="eastAsia"/>
          <w:color w:val="auto"/>
          <w:highlight w:val="none"/>
        </w:rPr>
      </w:pPr>
      <w:bookmarkStart w:id="91" w:name="_Toc95223428"/>
      <w:bookmarkStart w:id="92" w:name="_Toc267320058"/>
      <w:bookmarkStart w:id="93" w:name="_Toc363135205"/>
      <w:r>
        <w:rPr>
          <w:rFonts w:hint="eastAsia"/>
          <w:color w:val="auto"/>
          <w:highlight w:val="none"/>
        </w:rPr>
        <w:t>第四章 评标办法</w:t>
      </w:r>
      <w:bookmarkEnd w:id="91"/>
    </w:p>
    <w:p w14:paraId="2CCDE303">
      <w:pPr>
        <w:numPr>
          <w:ilvl w:val="0"/>
          <w:numId w:val="8"/>
        </w:numPr>
        <w:kinsoku/>
        <w:wordWrap w:val="0"/>
        <w:overflowPunct/>
        <w:topLinePunct w:val="0"/>
        <w:bidi w:val="0"/>
        <w:spacing w:line="560" w:lineRule="exact"/>
        <w:ind w:left="0"/>
        <w:jc w:val="center"/>
        <w:outlineLvl w:val="1"/>
        <w:rPr>
          <w:rFonts w:hint="eastAsia"/>
          <w:b/>
          <w:color w:val="auto"/>
          <w:sz w:val="28"/>
          <w:szCs w:val="21"/>
          <w:highlight w:val="none"/>
        </w:rPr>
      </w:pPr>
      <w:r>
        <w:rPr>
          <w:rFonts w:hint="eastAsia"/>
          <w:b/>
          <w:color w:val="auto"/>
          <w:sz w:val="28"/>
          <w:szCs w:val="21"/>
          <w:highlight w:val="none"/>
        </w:rPr>
        <w:t>中标候选人的确定</w:t>
      </w:r>
    </w:p>
    <w:p w14:paraId="5EE5B8D6">
      <w:pPr>
        <w:keepNext w:val="0"/>
        <w:keepLines w:val="0"/>
        <w:pageBreakBefore w:val="0"/>
        <w:widowControl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eastAsia="宋体" w:cs="宋体"/>
          <w:color w:val="auto"/>
          <w:szCs w:val="21"/>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6DF2A266">
      <w:pPr>
        <w:numPr>
          <w:ilvl w:val="0"/>
          <w:numId w:val="8"/>
        </w:numPr>
        <w:kinsoku/>
        <w:wordWrap w:val="0"/>
        <w:overflowPunct/>
        <w:topLinePunct w:val="0"/>
        <w:bidi w:val="0"/>
        <w:spacing w:line="560" w:lineRule="exact"/>
        <w:ind w:left="0"/>
        <w:jc w:val="center"/>
        <w:rPr>
          <w:rFonts w:hint="eastAsia" w:ascii="Times New Roman" w:hAnsi="Times New Roman" w:eastAsia="宋体" w:cs="Times New Roman"/>
          <w:b/>
          <w:color w:val="auto"/>
          <w:sz w:val="28"/>
          <w:szCs w:val="21"/>
          <w:highlight w:val="none"/>
        </w:rPr>
      </w:pPr>
      <w:r>
        <w:rPr>
          <w:rFonts w:hint="eastAsia" w:ascii="Times New Roman" w:hAnsi="Times New Roman" w:eastAsia="宋体" w:cs="Times New Roman"/>
          <w:b/>
          <w:color w:val="auto"/>
          <w:sz w:val="28"/>
          <w:szCs w:val="21"/>
          <w:highlight w:val="none"/>
        </w:rPr>
        <w:t>资信标评审</w:t>
      </w:r>
      <w:r>
        <w:rPr>
          <w:rFonts w:hint="eastAsia" w:cs="Times New Roman"/>
          <w:b/>
          <w:color w:val="auto"/>
          <w:sz w:val="28"/>
          <w:szCs w:val="21"/>
          <w:highlight w:val="none"/>
          <w:lang w:eastAsia="zh-CN"/>
        </w:rPr>
        <w:t>（</w:t>
      </w:r>
      <w:r>
        <w:rPr>
          <w:rFonts w:hint="eastAsia" w:cs="Times New Roman"/>
          <w:b/>
          <w:color w:val="auto"/>
          <w:sz w:val="28"/>
          <w:szCs w:val="21"/>
          <w:highlight w:val="none"/>
          <w:lang w:val="en-US" w:eastAsia="zh-CN"/>
        </w:rPr>
        <w:t>30分）</w:t>
      </w:r>
    </w:p>
    <w:tbl>
      <w:tblPr>
        <w:tblStyle w:val="35"/>
        <w:tblW w:w="9651"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6981"/>
      </w:tblGrid>
      <w:tr w14:paraId="7CDE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A6A0837">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1ADAC392">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3DF3CA6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6981" w:type="dxa"/>
            <w:shd w:val="clear" w:color="auto" w:fill="auto"/>
            <w:noWrap/>
            <w:vAlign w:val="center"/>
          </w:tcPr>
          <w:p w14:paraId="7D7BD7FF">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2456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8F6227B">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p>
        </w:tc>
        <w:tc>
          <w:tcPr>
            <w:tcW w:w="1078" w:type="dxa"/>
            <w:shd w:val="clear" w:color="auto" w:fill="auto"/>
            <w:noWrap/>
            <w:vAlign w:val="center"/>
          </w:tcPr>
          <w:p w14:paraId="167E967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投标人业绩</w:t>
            </w:r>
          </w:p>
        </w:tc>
        <w:tc>
          <w:tcPr>
            <w:tcW w:w="840" w:type="dxa"/>
            <w:shd w:val="clear" w:color="auto" w:fill="auto"/>
            <w:noWrap/>
            <w:vAlign w:val="center"/>
          </w:tcPr>
          <w:p w14:paraId="4C2A3E09">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10分</w:t>
            </w:r>
          </w:p>
        </w:tc>
        <w:tc>
          <w:tcPr>
            <w:tcW w:w="6981" w:type="dxa"/>
            <w:shd w:val="clear" w:color="auto" w:fill="auto"/>
            <w:noWrap/>
            <w:vAlign w:val="center"/>
          </w:tcPr>
          <w:p w14:paraId="1F5BCA04">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2023年1月1日至投标截止时间止</w:t>
            </w:r>
            <w:r>
              <w:rPr>
                <w:rFonts w:hint="eastAsia" w:ascii="宋体" w:hAnsi="宋体" w:cs="宋体"/>
                <w:color w:val="auto"/>
                <w:kern w:val="0"/>
                <w:sz w:val="21"/>
                <w:szCs w:val="21"/>
                <w:highlight w:val="none"/>
                <w:lang w:val="en-US" w:eastAsia="zh-CN" w:bidi="ar"/>
              </w:rPr>
              <w:t>（时间以合同签订时间为准）</w:t>
            </w:r>
            <w:r>
              <w:rPr>
                <w:rFonts w:hint="eastAsia" w:ascii="宋体" w:hAnsi="宋体" w:eastAsia="宋体" w:cs="宋体"/>
                <w:color w:val="auto"/>
                <w:kern w:val="0"/>
                <w:sz w:val="21"/>
                <w:szCs w:val="21"/>
                <w:highlight w:val="none"/>
                <w:lang w:val="en-US" w:eastAsia="zh-CN" w:bidi="ar"/>
              </w:rPr>
              <w:t>，投标人每提供一个服务内容包含垃圾中转</w:t>
            </w:r>
            <w:r>
              <w:rPr>
                <w:rFonts w:hint="eastAsia" w:ascii="宋体" w:hAnsi="宋体" w:cs="宋体"/>
                <w:color w:val="auto"/>
                <w:kern w:val="0"/>
                <w:sz w:val="21"/>
                <w:szCs w:val="21"/>
                <w:highlight w:val="none"/>
                <w:lang w:val="en-US" w:eastAsia="zh-CN" w:bidi="ar"/>
              </w:rPr>
              <w:t>站</w:t>
            </w:r>
            <w:r>
              <w:rPr>
                <w:rFonts w:hint="eastAsia" w:ascii="宋体" w:hAnsi="宋体" w:eastAsia="宋体" w:cs="宋体"/>
                <w:color w:val="auto"/>
                <w:kern w:val="0"/>
                <w:sz w:val="21"/>
                <w:szCs w:val="21"/>
                <w:highlight w:val="none"/>
                <w:lang w:val="en-US" w:eastAsia="zh-CN" w:bidi="ar"/>
              </w:rPr>
              <w:t>运行维护</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或运营维护）的环卫服务类业绩的得</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本项最高得10</w:t>
            </w:r>
            <w:r>
              <w:rPr>
                <w:rFonts w:hint="eastAsia" w:ascii="宋体" w:hAnsi="宋体" w:eastAsia="宋体" w:cs="宋体"/>
                <w:color w:val="auto"/>
                <w:kern w:val="0"/>
                <w:sz w:val="21"/>
                <w:szCs w:val="21"/>
                <w:highlight w:val="none"/>
                <w:lang w:val="en-US" w:eastAsia="zh-CN" w:bidi="ar"/>
              </w:rPr>
              <w:t>分。</w:t>
            </w:r>
          </w:p>
          <w:p w14:paraId="2E44F144">
            <w:pPr>
              <w:keepNext w:val="0"/>
              <w:keepLines w:val="0"/>
              <w:pageBreakBefore w:val="0"/>
              <w:widowControl/>
              <w:suppressLineNumbers w:val="0"/>
              <w:kinsoku/>
              <w:wordWrap w:val="0"/>
              <w:overflowPunct/>
              <w:topLinePunct w:val="0"/>
              <w:autoSpaceDE/>
              <w:autoSpaceDN/>
              <w:bidi w:val="0"/>
              <w:adjustRightInd/>
              <w:snapToGrid/>
              <w:spacing w:line="440" w:lineRule="exact"/>
              <w:jc w:val="left"/>
              <w:textAlignment w:val="auto"/>
              <w:rPr>
                <w:rFonts w:hint="default"/>
                <w:color w:val="auto"/>
                <w:sz w:val="21"/>
                <w:szCs w:val="21"/>
                <w:highlight w:val="none"/>
                <w:lang w:val="en-US" w:eastAsia="zh-CN"/>
              </w:rPr>
            </w:pP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投标文件中须提供</w:t>
            </w:r>
            <w:r>
              <w:rPr>
                <w:rFonts w:hint="eastAsia" w:ascii="宋体" w:hAnsi="宋体"/>
                <w:b/>
                <w:bCs w:val="0"/>
                <w:color w:val="auto"/>
                <w:sz w:val="21"/>
                <w:szCs w:val="21"/>
                <w:highlight w:val="none"/>
                <w:lang w:val="zh-CN" w:eastAsia="zh-CN"/>
              </w:rPr>
              <w:t>①中标通知书，中标通知书须加盖招投标管理部门印章或招投标管理部门备案印章，无招投标管理部门盖章的还须提供招投标管理部门官网或公共资源交易平台官网发布的中标公示网页完整截图及网址链接，②合同。二者缺一不可</w:t>
            </w:r>
            <w:r>
              <w:rPr>
                <w:rFonts w:hint="eastAsia" w:ascii="宋体" w:hAnsi="宋体" w:eastAsia="宋体" w:cs="宋体"/>
                <w:b/>
                <w:bCs/>
                <w:color w:val="auto"/>
                <w:kern w:val="0"/>
                <w:sz w:val="21"/>
                <w:szCs w:val="21"/>
                <w:highlight w:val="none"/>
                <w:lang w:val="en-US" w:eastAsia="zh-CN" w:bidi="ar"/>
              </w:rPr>
              <w:t>；如上述材料</w:t>
            </w:r>
            <w:r>
              <w:rPr>
                <w:rFonts w:hint="eastAsia" w:ascii="宋体" w:hAnsi="宋体" w:cs="宋体"/>
                <w:b/>
                <w:bCs/>
                <w:color w:val="auto"/>
                <w:kern w:val="0"/>
                <w:sz w:val="21"/>
                <w:szCs w:val="21"/>
                <w:highlight w:val="none"/>
                <w:lang w:val="en-US" w:eastAsia="zh-CN" w:bidi="ar"/>
              </w:rPr>
              <w:t>中体现不出评审因素的</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须</w:t>
            </w:r>
            <w:r>
              <w:rPr>
                <w:rFonts w:hint="eastAsia" w:ascii="宋体" w:hAnsi="宋体" w:eastAsia="宋体" w:cs="宋体"/>
                <w:b/>
                <w:bCs/>
                <w:color w:val="auto"/>
                <w:kern w:val="0"/>
                <w:sz w:val="21"/>
                <w:szCs w:val="21"/>
                <w:highlight w:val="none"/>
                <w:lang w:val="en-US" w:eastAsia="zh-CN" w:bidi="ar"/>
              </w:rPr>
              <w:t>另</w:t>
            </w:r>
            <w:r>
              <w:rPr>
                <w:rFonts w:hint="eastAsia" w:ascii="宋体" w:hAnsi="宋体" w:cs="宋体"/>
                <w:b/>
                <w:bCs/>
                <w:color w:val="auto"/>
                <w:kern w:val="0"/>
                <w:sz w:val="21"/>
                <w:szCs w:val="21"/>
                <w:highlight w:val="none"/>
                <w:lang w:val="en-US" w:eastAsia="zh-CN" w:bidi="ar"/>
              </w:rPr>
              <w:t>附业主盖章</w:t>
            </w:r>
            <w:r>
              <w:rPr>
                <w:rFonts w:hint="eastAsia" w:ascii="宋体" w:hAnsi="宋体" w:eastAsia="宋体" w:cs="宋体"/>
                <w:b/>
                <w:bCs/>
                <w:color w:val="auto"/>
                <w:kern w:val="0"/>
                <w:sz w:val="21"/>
                <w:szCs w:val="21"/>
                <w:highlight w:val="none"/>
                <w:lang w:val="en-US" w:eastAsia="zh-CN" w:bidi="ar"/>
              </w:rPr>
              <w:t>证明材料扫描件，</w:t>
            </w:r>
            <w:r>
              <w:rPr>
                <w:rFonts w:hint="eastAsia"/>
                <w:b/>
                <w:bCs w:val="0"/>
                <w:color w:val="auto"/>
                <w:sz w:val="21"/>
                <w:szCs w:val="21"/>
                <w:highlight w:val="none"/>
                <w:lang w:val="en-US" w:eastAsia="zh-CN"/>
              </w:rPr>
              <w:t>证明材料</w:t>
            </w:r>
            <w:r>
              <w:rPr>
                <w:rFonts w:hint="eastAsia"/>
                <w:b/>
                <w:bCs w:val="0"/>
                <w:color w:val="auto"/>
                <w:sz w:val="21"/>
                <w:szCs w:val="21"/>
                <w:highlight w:val="none"/>
              </w:rPr>
              <w:t>必须提供业主单位联系方式以</w:t>
            </w:r>
            <w:r>
              <w:rPr>
                <w:rFonts w:hint="eastAsia" w:ascii="宋体" w:hAnsi="宋体" w:eastAsia="宋体" w:cs="Times New Roman"/>
                <w:b/>
                <w:bCs w:val="0"/>
                <w:color w:val="auto"/>
                <w:sz w:val="21"/>
                <w:szCs w:val="21"/>
                <w:highlight w:val="none"/>
                <w:lang w:val="zh-CN" w:eastAsia="zh-CN"/>
              </w:rPr>
              <w:t>便核实，否则不得分。】</w:t>
            </w:r>
          </w:p>
        </w:tc>
      </w:tr>
      <w:tr w14:paraId="078C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57940275">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p>
        </w:tc>
        <w:tc>
          <w:tcPr>
            <w:tcW w:w="1078" w:type="dxa"/>
            <w:shd w:val="clear" w:color="auto" w:fill="auto"/>
            <w:noWrap/>
            <w:vAlign w:val="center"/>
          </w:tcPr>
          <w:p w14:paraId="594D4638">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投标人荣誉</w:t>
            </w:r>
          </w:p>
        </w:tc>
        <w:tc>
          <w:tcPr>
            <w:tcW w:w="840" w:type="dxa"/>
            <w:shd w:val="clear" w:color="auto" w:fill="auto"/>
            <w:noWrap/>
            <w:vAlign w:val="center"/>
          </w:tcPr>
          <w:p w14:paraId="2961E5D1">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分</w:t>
            </w:r>
          </w:p>
        </w:tc>
        <w:tc>
          <w:tcPr>
            <w:tcW w:w="6981" w:type="dxa"/>
            <w:shd w:val="clear" w:color="auto" w:fill="auto"/>
            <w:noWrap/>
            <w:vAlign w:val="center"/>
          </w:tcPr>
          <w:p w14:paraId="56E6F12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投标人自</w:t>
            </w:r>
            <w:r>
              <w:rPr>
                <w:rFonts w:hint="eastAsia" w:ascii="宋体" w:hAnsi="宋体" w:eastAsia="宋体" w:cs="宋体"/>
                <w:bCs/>
                <w:color w:val="auto"/>
                <w:sz w:val="21"/>
                <w:szCs w:val="21"/>
                <w:highlight w:val="none"/>
                <w:lang w:val="en-US" w:eastAsia="zh-CN"/>
              </w:rPr>
              <w:t>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年1月1日</w:t>
            </w:r>
            <w:r>
              <w:rPr>
                <w:rFonts w:hint="eastAsia" w:ascii="宋体" w:hAnsi="宋体" w:eastAsia="宋体" w:cs="宋体"/>
                <w:bCs/>
                <w:color w:val="auto"/>
                <w:sz w:val="21"/>
                <w:szCs w:val="21"/>
                <w:highlight w:val="none"/>
                <w:lang w:val="en-US" w:eastAsia="zh-CN"/>
              </w:rPr>
              <w:t>至投标截止时间止，</w:t>
            </w:r>
            <w:r>
              <w:rPr>
                <w:rFonts w:hint="eastAsia" w:ascii="宋体" w:hAnsi="宋体" w:eastAsia="宋体" w:cs="宋体"/>
                <w:bCs/>
                <w:color w:val="auto"/>
                <w:sz w:val="21"/>
                <w:szCs w:val="21"/>
                <w:highlight w:val="none"/>
              </w:rPr>
              <w:t>获得</w:t>
            </w:r>
            <w:r>
              <w:rPr>
                <w:rFonts w:hint="eastAsia" w:ascii="宋体" w:hAnsi="宋体" w:eastAsia="宋体" w:cs="宋体"/>
                <w:bCs/>
                <w:color w:val="auto"/>
                <w:sz w:val="21"/>
                <w:szCs w:val="21"/>
                <w:highlight w:val="none"/>
                <w:lang w:val="en-US" w:eastAsia="zh-CN"/>
              </w:rPr>
              <w:t>县级及以上</w:t>
            </w:r>
            <w:r>
              <w:rPr>
                <w:rFonts w:hint="eastAsia" w:ascii="宋体" w:hAnsi="宋体" w:eastAsia="宋体" w:cs="宋体"/>
                <w:bCs/>
                <w:color w:val="auto"/>
                <w:sz w:val="21"/>
                <w:szCs w:val="21"/>
                <w:highlight w:val="none"/>
              </w:rPr>
              <w:t>行政主管部门或政府部门</w:t>
            </w:r>
            <w:r>
              <w:rPr>
                <w:rFonts w:hint="eastAsia" w:ascii="宋体" w:hAnsi="宋体" w:cs="宋体"/>
                <w:bCs/>
                <w:color w:val="auto"/>
                <w:sz w:val="21"/>
                <w:szCs w:val="21"/>
                <w:highlight w:val="none"/>
                <w:lang w:val="en-US" w:eastAsia="zh-CN"/>
              </w:rPr>
              <w:t>颁发</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环卫类表彰</w:t>
            </w:r>
            <w:r>
              <w:rPr>
                <w:rFonts w:hint="eastAsia" w:ascii="宋体" w:hAnsi="宋体" w:eastAsia="宋体" w:cs="宋体"/>
                <w:bCs/>
                <w:color w:val="auto"/>
                <w:sz w:val="21"/>
                <w:szCs w:val="21"/>
                <w:highlight w:val="none"/>
                <w:lang w:val="en-US" w:eastAsia="zh-CN"/>
              </w:rPr>
              <w:t>的得</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本项最高得</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w:t>
            </w:r>
            <w:r>
              <w:rPr>
                <w:rFonts w:hint="eastAsia" w:ascii="宋体" w:hAnsi="宋体" w:eastAsia="宋体" w:cs="宋体"/>
                <w:bCs/>
                <w:color w:val="auto"/>
                <w:sz w:val="21"/>
                <w:szCs w:val="21"/>
                <w:highlight w:val="none"/>
              </w:rPr>
              <w:t>。</w:t>
            </w:r>
          </w:p>
          <w:p w14:paraId="0A8E99B9">
            <w:pPr>
              <w:pStyle w:val="1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提供</w:t>
            </w:r>
            <w:r>
              <w:rPr>
                <w:rFonts w:hint="eastAsia" w:ascii="宋体" w:hAnsi="宋体" w:eastAsia="宋体" w:cs="宋体"/>
                <w:b/>
                <w:bCs w:val="0"/>
                <w:color w:val="auto"/>
                <w:sz w:val="21"/>
                <w:szCs w:val="21"/>
                <w:highlight w:val="none"/>
                <w:lang w:val="en-US" w:eastAsia="zh-CN"/>
              </w:rPr>
              <w:t>荣誉证书或相关材料</w:t>
            </w:r>
            <w:r>
              <w:rPr>
                <w:rFonts w:hint="eastAsia" w:ascii="宋体" w:hAnsi="宋体" w:eastAsia="宋体" w:cs="宋体"/>
                <w:b/>
                <w:bCs w:val="0"/>
                <w:color w:val="auto"/>
                <w:sz w:val="21"/>
                <w:szCs w:val="21"/>
                <w:highlight w:val="none"/>
              </w:rPr>
              <w:t>原件扫描件</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具体日期以荣誉证书或相关材料为准】。</w:t>
            </w:r>
          </w:p>
          <w:p w14:paraId="26EFA7E7">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color w:val="auto"/>
                <w:highlight w:val="none"/>
                <w:lang w:val="en-US" w:eastAsia="zh-CN"/>
              </w:rPr>
            </w:pPr>
            <w:r>
              <w:rPr>
                <w:rFonts w:hint="eastAsia" w:ascii="宋体" w:hAnsi="宋体" w:eastAsia="宋体" w:cs="宋体"/>
                <w:bCs/>
                <w:color w:val="auto"/>
                <w:sz w:val="21"/>
                <w:szCs w:val="21"/>
                <w:highlight w:val="none"/>
              </w:rPr>
              <w:t>各地规定、叫法可能不一样，但只要是性质类似的，均予以承认</w:t>
            </w:r>
            <w:r>
              <w:rPr>
                <w:rFonts w:hint="eastAsia" w:ascii="宋体" w:hAnsi="宋体" w:cs="宋体"/>
                <w:bCs/>
                <w:color w:val="auto"/>
                <w:sz w:val="21"/>
                <w:szCs w:val="21"/>
                <w:highlight w:val="none"/>
                <w:lang w:eastAsia="zh-CN"/>
              </w:rPr>
              <w:t>。</w:t>
            </w:r>
          </w:p>
        </w:tc>
      </w:tr>
      <w:tr w14:paraId="021B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3C2FF8E">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078" w:type="dxa"/>
            <w:shd w:val="clear" w:color="auto" w:fill="auto"/>
            <w:noWrap/>
            <w:vAlign w:val="center"/>
          </w:tcPr>
          <w:p w14:paraId="26510DC8">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投标人实力</w:t>
            </w:r>
          </w:p>
        </w:tc>
        <w:tc>
          <w:tcPr>
            <w:tcW w:w="840" w:type="dxa"/>
            <w:shd w:val="clear" w:color="auto" w:fill="auto"/>
            <w:noWrap/>
            <w:vAlign w:val="center"/>
          </w:tcPr>
          <w:p w14:paraId="76495EEA">
            <w:pPr>
              <w:keepNext w:val="0"/>
              <w:keepLines w:val="0"/>
              <w:pageBreakBefore w:val="0"/>
              <w:kinsoku/>
              <w:wordWrap w:val="0"/>
              <w:overflowPunct/>
              <w:topLinePunct w:val="0"/>
              <w:autoSpaceDE/>
              <w:autoSpaceDN/>
              <w:bidi w:val="0"/>
              <w:adjustRightInd/>
              <w:snapToGrid/>
              <w:spacing w:line="44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15分</w:t>
            </w:r>
          </w:p>
        </w:tc>
        <w:tc>
          <w:tcPr>
            <w:tcW w:w="6981" w:type="dxa"/>
            <w:shd w:val="clear" w:color="auto" w:fill="auto"/>
            <w:noWrap/>
            <w:vAlign w:val="center"/>
          </w:tcPr>
          <w:p w14:paraId="13F4977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具有核定载质量4吨及以上压缩式垃圾车，每提供1台得2.5分，本项最高得5分；</w:t>
            </w:r>
          </w:p>
          <w:p w14:paraId="0068C59F">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具有核定载质量5吨及以上餐厨垃圾车1台，每台得5分，本项最高得5分；</w:t>
            </w:r>
          </w:p>
          <w:p w14:paraId="2A35026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具有核定载质量1吨及以上吸污车1台，每台得5分，本项最高得5分。</w:t>
            </w:r>
          </w:p>
          <w:p w14:paraId="2698184C">
            <w:pPr>
              <w:pStyle w:val="1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【若为自有车辆须同时提供下列证明材料原件扫描件：①车辆行驶证（需在有效期内），②车辆登记证书，③</w:t>
            </w:r>
            <w:r>
              <w:rPr>
                <w:rFonts w:hint="eastAsia" w:ascii="宋体" w:hAnsi="宋体" w:cs="宋体"/>
                <w:b/>
                <w:bCs w:val="0"/>
                <w:color w:val="auto"/>
                <w:sz w:val="21"/>
                <w:szCs w:val="21"/>
                <w:highlight w:val="none"/>
                <w:lang w:val="en-US" w:eastAsia="zh-CN"/>
              </w:rPr>
              <w:t>购车发票</w:t>
            </w:r>
            <w:r>
              <w:rPr>
                <w:rFonts w:hint="eastAsia" w:ascii="宋体" w:hAnsi="宋体" w:eastAsia="宋体" w:cs="宋体"/>
                <w:b/>
                <w:bCs w:val="0"/>
                <w:color w:val="auto"/>
                <w:sz w:val="21"/>
                <w:szCs w:val="21"/>
                <w:highlight w:val="none"/>
                <w:lang w:val="en-US" w:eastAsia="zh-CN"/>
              </w:rPr>
              <w:t>，三项缺一不可；行驶证</w:t>
            </w:r>
            <w:r>
              <w:rPr>
                <w:rFonts w:hint="eastAsia" w:ascii="宋体" w:hAnsi="宋体" w:cs="宋体"/>
                <w:b/>
                <w:bCs w:val="0"/>
                <w:color w:val="auto"/>
                <w:sz w:val="21"/>
                <w:szCs w:val="21"/>
                <w:highlight w:val="none"/>
                <w:lang w:val="en-US" w:eastAsia="zh-CN"/>
              </w:rPr>
              <w:t>所有人</w:t>
            </w:r>
            <w:r>
              <w:rPr>
                <w:rFonts w:hint="eastAsia" w:ascii="宋体" w:hAnsi="宋体" w:eastAsia="宋体" w:cs="宋体"/>
                <w:b/>
                <w:bCs w:val="0"/>
                <w:color w:val="auto"/>
                <w:sz w:val="21"/>
                <w:szCs w:val="21"/>
                <w:highlight w:val="none"/>
                <w:lang w:val="en-US" w:eastAsia="zh-CN"/>
              </w:rPr>
              <w:t>名称、车辆登记证书</w:t>
            </w:r>
            <w:r>
              <w:rPr>
                <w:rFonts w:hint="eastAsia" w:ascii="宋体" w:hAnsi="宋体" w:cs="宋体"/>
                <w:b/>
                <w:bCs w:val="0"/>
                <w:color w:val="auto"/>
                <w:sz w:val="21"/>
                <w:szCs w:val="21"/>
                <w:highlight w:val="none"/>
                <w:lang w:val="en-US" w:eastAsia="zh-CN"/>
              </w:rPr>
              <w:t>的机动车所有人名称</w:t>
            </w:r>
            <w:r>
              <w:rPr>
                <w:rFonts w:hint="eastAsia" w:ascii="宋体" w:hAnsi="宋体" w:eastAsia="宋体" w:cs="宋体"/>
                <w:b/>
                <w:bCs w:val="0"/>
                <w:color w:val="auto"/>
                <w:sz w:val="21"/>
                <w:szCs w:val="21"/>
                <w:highlight w:val="none"/>
                <w:lang w:val="en-US" w:eastAsia="zh-CN"/>
              </w:rPr>
              <w:t>和</w:t>
            </w:r>
            <w:r>
              <w:rPr>
                <w:rFonts w:hint="eastAsia" w:ascii="宋体" w:hAnsi="宋体" w:cs="宋体"/>
                <w:b/>
                <w:bCs w:val="0"/>
                <w:color w:val="auto"/>
                <w:sz w:val="21"/>
                <w:szCs w:val="21"/>
                <w:highlight w:val="none"/>
                <w:lang w:val="en-US" w:eastAsia="zh-CN"/>
              </w:rPr>
              <w:t>购车发票采购方</w:t>
            </w:r>
            <w:r>
              <w:rPr>
                <w:rFonts w:hint="eastAsia" w:ascii="宋体" w:hAnsi="宋体" w:eastAsia="宋体" w:cs="宋体"/>
                <w:b/>
                <w:bCs w:val="0"/>
                <w:color w:val="auto"/>
                <w:sz w:val="21"/>
                <w:szCs w:val="21"/>
                <w:highlight w:val="none"/>
                <w:lang w:val="en-US" w:eastAsia="zh-CN"/>
              </w:rPr>
              <w:t>必须与投标单位</w:t>
            </w:r>
            <w:r>
              <w:rPr>
                <w:rFonts w:hint="eastAsia" w:ascii="宋体" w:hAnsi="宋体" w:cs="宋体"/>
                <w:b/>
                <w:bCs w:val="0"/>
                <w:color w:val="auto"/>
                <w:sz w:val="21"/>
                <w:szCs w:val="21"/>
                <w:highlight w:val="none"/>
                <w:lang w:val="en-US" w:eastAsia="zh-CN"/>
              </w:rPr>
              <w:t>名称</w:t>
            </w:r>
            <w:r>
              <w:rPr>
                <w:rFonts w:hint="eastAsia" w:ascii="宋体" w:hAnsi="宋体" w:eastAsia="宋体" w:cs="宋体"/>
                <w:b/>
                <w:bCs w:val="0"/>
                <w:color w:val="auto"/>
                <w:sz w:val="21"/>
                <w:szCs w:val="21"/>
                <w:highlight w:val="none"/>
                <w:lang w:val="en-US" w:eastAsia="zh-CN"/>
              </w:rPr>
              <w:t>一致。</w:t>
            </w:r>
          </w:p>
          <w:p w14:paraId="5D1BAD4A">
            <w:pPr>
              <w:pStyle w:val="1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default"/>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若为租赁车辆须同时提供下列证明材料原件扫描件：①投标人与租赁公司签订的车辆租赁合同。租赁期限必须满足本项目服务周期，否则不得分。②车辆行驶证（需在有效期内）</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车辆登记证书、</w:t>
            </w:r>
            <w:r>
              <w:rPr>
                <w:rFonts w:hint="eastAsia" w:ascii="宋体" w:hAnsi="宋体" w:cs="宋体"/>
                <w:b/>
                <w:bCs w:val="0"/>
                <w:color w:val="auto"/>
                <w:sz w:val="21"/>
                <w:szCs w:val="21"/>
                <w:highlight w:val="none"/>
                <w:lang w:val="en-US" w:eastAsia="zh-CN"/>
              </w:rPr>
              <w:t>购车发票；</w:t>
            </w:r>
            <w:r>
              <w:rPr>
                <w:rFonts w:hint="eastAsia" w:ascii="宋体" w:hAnsi="宋体" w:eastAsia="宋体" w:cs="宋体"/>
                <w:b/>
                <w:bCs w:val="0"/>
                <w:color w:val="auto"/>
                <w:sz w:val="21"/>
                <w:szCs w:val="21"/>
                <w:highlight w:val="none"/>
                <w:lang w:val="en-US" w:eastAsia="zh-CN"/>
              </w:rPr>
              <w:t>行驶证</w:t>
            </w:r>
            <w:r>
              <w:rPr>
                <w:rFonts w:hint="eastAsia" w:ascii="宋体" w:hAnsi="宋体" w:cs="宋体"/>
                <w:b/>
                <w:bCs w:val="0"/>
                <w:color w:val="auto"/>
                <w:sz w:val="21"/>
                <w:szCs w:val="21"/>
                <w:highlight w:val="none"/>
                <w:lang w:val="en-US" w:eastAsia="zh-CN"/>
              </w:rPr>
              <w:t>所有人</w:t>
            </w:r>
            <w:r>
              <w:rPr>
                <w:rFonts w:hint="eastAsia" w:ascii="宋体" w:hAnsi="宋体" w:eastAsia="宋体" w:cs="宋体"/>
                <w:b/>
                <w:bCs w:val="0"/>
                <w:color w:val="auto"/>
                <w:sz w:val="21"/>
                <w:szCs w:val="21"/>
                <w:highlight w:val="none"/>
                <w:lang w:val="en-US" w:eastAsia="zh-CN"/>
              </w:rPr>
              <w:t>名称、车辆登记证书</w:t>
            </w:r>
            <w:r>
              <w:rPr>
                <w:rFonts w:hint="eastAsia" w:ascii="宋体" w:hAnsi="宋体" w:cs="宋体"/>
                <w:b/>
                <w:bCs w:val="0"/>
                <w:color w:val="auto"/>
                <w:sz w:val="21"/>
                <w:szCs w:val="21"/>
                <w:highlight w:val="none"/>
                <w:lang w:val="en-US" w:eastAsia="zh-CN"/>
              </w:rPr>
              <w:t>的机动车所有人名称</w:t>
            </w:r>
            <w:r>
              <w:rPr>
                <w:rFonts w:hint="eastAsia" w:ascii="宋体" w:hAnsi="宋体" w:eastAsia="宋体" w:cs="宋体"/>
                <w:b/>
                <w:bCs w:val="0"/>
                <w:color w:val="auto"/>
                <w:sz w:val="21"/>
                <w:szCs w:val="21"/>
                <w:highlight w:val="none"/>
                <w:lang w:val="en-US" w:eastAsia="zh-CN"/>
              </w:rPr>
              <w:t>和</w:t>
            </w:r>
            <w:r>
              <w:rPr>
                <w:rFonts w:hint="eastAsia" w:ascii="宋体" w:hAnsi="宋体" w:cs="宋体"/>
                <w:b/>
                <w:bCs w:val="0"/>
                <w:color w:val="auto"/>
                <w:sz w:val="21"/>
                <w:szCs w:val="21"/>
                <w:highlight w:val="none"/>
                <w:lang w:val="en-US" w:eastAsia="zh-CN"/>
              </w:rPr>
              <w:t>购车发票采购方</w:t>
            </w:r>
            <w:r>
              <w:rPr>
                <w:rFonts w:hint="eastAsia" w:ascii="宋体" w:hAnsi="宋体" w:eastAsia="宋体" w:cs="宋体"/>
                <w:b/>
                <w:bCs w:val="0"/>
                <w:color w:val="auto"/>
                <w:sz w:val="21"/>
                <w:szCs w:val="21"/>
                <w:highlight w:val="none"/>
                <w:lang w:val="en-US" w:eastAsia="zh-CN"/>
              </w:rPr>
              <w:t>必须与</w:t>
            </w:r>
            <w:r>
              <w:rPr>
                <w:rFonts w:hint="eastAsia" w:ascii="宋体" w:hAnsi="宋体" w:cs="宋体"/>
                <w:b/>
                <w:bCs w:val="0"/>
                <w:color w:val="auto"/>
                <w:sz w:val="21"/>
                <w:szCs w:val="21"/>
                <w:highlight w:val="none"/>
                <w:lang w:val="en-US" w:eastAsia="zh-CN"/>
              </w:rPr>
              <w:t>车辆租赁公司名称</w:t>
            </w:r>
            <w:r>
              <w:rPr>
                <w:rFonts w:hint="eastAsia" w:ascii="宋体" w:hAnsi="宋体" w:eastAsia="宋体" w:cs="宋体"/>
                <w:b/>
                <w:bCs w:val="0"/>
                <w:color w:val="auto"/>
                <w:sz w:val="21"/>
                <w:szCs w:val="21"/>
                <w:highlight w:val="none"/>
                <w:lang w:val="en-US" w:eastAsia="zh-CN"/>
              </w:rPr>
              <w:t>一致。】</w:t>
            </w:r>
          </w:p>
        </w:tc>
      </w:tr>
    </w:tbl>
    <w:p w14:paraId="2EAAE6E0">
      <w:pPr>
        <w:pStyle w:val="12"/>
        <w:kinsoku/>
        <w:wordWrap w:val="0"/>
        <w:overflowPunct/>
        <w:topLinePunct w:val="0"/>
        <w:bidi w:val="0"/>
        <w:adjustRightInd w:val="0"/>
        <w:snapToGrid w:val="0"/>
        <w:spacing w:after="0" w:line="560" w:lineRule="exact"/>
        <w:ind w:left="0" w:leftChars="0" w:firstLine="0" w:firstLineChars="0"/>
        <w:jc w:val="center"/>
        <w:rPr>
          <w:rFonts w:hint="eastAsia"/>
          <w:b/>
          <w:color w:val="auto"/>
          <w:sz w:val="28"/>
          <w:szCs w:val="21"/>
          <w:highlight w:val="none"/>
        </w:rPr>
      </w:pPr>
    </w:p>
    <w:p w14:paraId="1589319A">
      <w:pPr>
        <w:pStyle w:val="12"/>
        <w:kinsoku/>
        <w:wordWrap w:val="0"/>
        <w:overflowPunct/>
        <w:topLinePunct w:val="0"/>
        <w:bidi w:val="0"/>
        <w:adjustRightInd w:val="0"/>
        <w:snapToGrid w:val="0"/>
        <w:spacing w:after="0" w:line="560" w:lineRule="exact"/>
        <w:ind w:left="0" w:leftChars="0" w:firstLine="0" w:firstLineChars="0"/>
        <w:jc w:val="center"/>
        <w:rPr>
          <w:rFonts w:hint="default" w:eastAsia="宋体"/>
          <w:b/>
          <w:color w:val="auto"/>
          <w:sz w:val="28"/>
          <w:szCs w:val="21"/>
          <w:highlight w:val="none"/>
          <w:lang w:val="en-US" w:eastAsia="zh-CN"/>
        </w:rPr>
      </w:pPr>
      <w:r>
        <w:rPr>
          <w:rFonts w:hint="eastAsia"/>
          <w:b/>
          <w:color w:val="auto"/>
          <w:sz w:val="28"/>
          <w:szCs w:val="21"/>
          <w:highlight w:val="none"/>
        </w:rPr>
        <w:t>（三）技术标评审</w:t>
      </w:r>
      <w:r>
        <w:rPr>
          <w:rFonts w:hint="eastAsia"/>
          <w:b/>
          <w:color w:val="auto"/>
          <w:sz w:val="28"/>
          <w:szCs w:val="21"/>
          <w:highlight w:val="none"/>
          <w:lang w:eastAsia="zh-CN"/>
        </w:rPr>
        <w:t>（</w:t>
      </w:r>
      <w:r>
        <w:rPr>
          <w:rFonts w:hint="eastAsia"/>
          <w:b/>
          <w:color w:val="auto"/>
          <w:sz w:val="28"/>
          <w:szCs w:val="21"/>
          <w:highlight w:val="none"/>
          <w:lang w:val="en-US" w:eastAsia="zh-CN"/>
        </w:rPr>
        <w:t>55分）</w:t>
      </w:r>
    </w:p>
    <w:bookmarkEnd w:id="92"/>
    <w:tbl>
      <w:tblPr>
        <w:tblStyle w:val="35"/>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639"/>
        <w:gridCol w:w="840"/>
        <w:gridCol w:w="6749"/>
      </w:tblGrid>
      <w:tr w14:paraId="0317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642" w:type="dxa"/>
            <w:noWrap w:val="0"/>
            <w:vAlign w:val="center"/>
          </w:tcPr>
          <w:p w14:paraId="087A8039">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1"/>
                <w:szCs w:val="21"/>
                <w:highlight w:val="none"/>
              </w:rPr>
            </w:pPr>
            <w:bookmarkStart w:id="94" w:name="_Toc362983805"/>
            <w:r>
              <w:rPr>
                <w:rFonts w:hint="eastAsia" w:ascii="宋体" w:hAnsi="宋体" w:eastAsia="宋体" w:cs="宋体"/>
                <w:b/>
                <w:bCs/>
                <w:color w:val="auto"/>
                <w:sz w:val="21"/>
                <w:szCs w:val="21"/>
                <w:highlight w:val="none"/>
              </w:rPr>
              <w:t>序号</w:t>
            </w:r>
          </w:p>
        </w:tc>
        <w:tc>
          <w:tcPr>
            <w:tcW w:w="1639" w:type="dxa"/>
            <w:noWrap w:val="0"/>
            <w:vAlign w:val="center"/>
          </w:tcPr>
          <w:p w14:paraId="43E2BCB7">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840" w:type="dxa"/>
            <w:noWrap w:val="0"/>
            <w:vAlign w:val="center"/>
          </w:tcPr>
          <w:p w14:paraId="4FBACCD3">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749" w:type="dxa"/>
            <w:noWrap w:val="0"/>
            <w:vAlign w:val="center"/>
          </w:tcPr>
          <w:p w14:paraId="65CAD6BA">
            <w:pPr>
              <w:keepNext w:val="0"/>
              <w:keepLines w:val="0"/>
              <w:pageBreakBefore w:val="0"/>
              <w:widowControl w:val="0"/>
              <w:kinsoku/>
              <w:wordWrap w:val="0"/>
              <w:overflowPunct/>
              <w:topLinePunct w:val="0"/>
              <w:autoSpaceDE/>
              <w:autoSpaceDN/>
              <w:bidi w:val="0"/>
              <w:adjustRightInd/>
              <w:snapToGrid/>
              <w:spacing w:line="38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u w:val="none"/>
                <w:lang w:val="en-US" w:eastAsia="zh-CN"/>
              </w:rPr>
              <w:t>技术标评审细则</w:t>
            </w:r>
          </w:p>
        </w:tc>
      </w:tr>
      <w:tr w14:paraId="001A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50B57C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sz w:val="21"/>
                <w:szCs w:val="21"/>
                <w:highlight w:val="none"/>
              </w:rPr>
              <w:t>1</w:t>
            </w:r>
          </w:p>
        </w:tc>
        <w:tc>
          <w:tcPr>
            <w:tcW w:w="1639" w:type="dxa"/>
            <w:noWrap w:val="0"/>
            <w:vAlign w:val="center"/>
          </w:tcPr>
          <w:p w14:paraId="36541930">
            <w:pPr>
              <w:pStyle w:val="113"/>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sz w:val="21"/>
                <w:szCs w:val="21"/>
                <w:highlight w:val="none"/>
              </w:rPr>
              <w:t>人员配备</w:t>
            </w:r>
            <w:r>
              <w:rPr>
                <w:rFonts w:hint="eastAsia" w:ascii="宋体" w:hAnsi="宋体" w:eastAsia="宋体" w:cs="宋体"/>
                <w:b/>
                <w:bCs/>
                <w:color w:val="auto"/>
                <w:sz w:val="21"/>
                <w:szCs w:val="21"/>
                <w:highlight w:val="none"/>
                <w:shd w:val="clear" w:color="auto" w:fill="auto"/>
              </w:rPr>
              <w:t>管理</w:t>
            </w:r>
            <w:r>
              <w:rPr>
                <w:rFonts w:hint="eastAsia" w:ascii="宋体" w:hAnsi="宋体" w:eastAsia="宋体" w:cs="宋体"/>
                <w:b/>
                <w:bCs/>
                <w:color w:val="auto"/>
                <w:sz w:val="21"/>
                <w:szCs w:val="21"/>
                <w:highlight w:val="none"/>
              </w:rPr>
              <w:t>方案</w:t>
            </w:r>
          </w:p>
        </w:tc>
        <w:tc>
          <w:tcPr>
            <w:tcW w:w="840" w:type="dxa"/>
            <w:noWrap w:val="0"/>
            <w:vAlign w:val="center"/>
          </w:tcPr>
          <w:p w14:paraId="68F710B5">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5分</w:t>
            </w:r>
          </w:p>
        </w:tc>
        <w:tc>
          <w:tcPr>
            <w:tcW w:w="6749" w:type="dxa"/>
            <w:noWrap w:val="0"/>
            <w:vAlign w:val="center"/>
          </w:tcPr>
          <w:p w14:paraId="148B4830">
            <w:pPr>
              <w:pStyle w:val="113"/>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1"/>
                <w:szCs w:val="21"/>
                <w:highlight w:val="none"/>
              </w:rPr>
              <w:t>组织机构清晰、完整，人员岗位分工明确、工作计划完整、有效；</w:t>
            </w:r>
            <w:r>
              <w:rPr>
                <w:rFonts w:hint="eastAsia" w:ascii="宋体" w:hAnsi="宋体" w:eastAsia="宋体" w:cs="宋体"/>
                <w:color w:val="auto"/>
                <w:sz w:val="21"/>
                <w:szCs w:val="21"/>
                <w:highlight w:val="none"/>
                <w:lang w:val="en-US" w:eastAsia="zh-CN"/>
              </w:rPr>
              <w:t>优的得5分，良的得4分，一般的得3分，</w:t>
            </w:r>
            <w:r>
              <w:rPr>
                <w:rFonts w:hint="eastAsia" w:ascii="宋体" w:hAnsi="宋体" w:cs="宋体"/>
                <w:color w:val="auto"/>
                <w:sz w:val="21"/>
                <w:szCs w:val="21"/>
                <w:highlight w:val="none"/>
                <w:lang w:val="en-US" w:eastAsia="zh-CN"/>
              </w:rPr>
              <w:t>合格</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不合格或</w:t>
            </w:r>
            <w:r>
              <w:rPr>
                <w:rFonts w:hint="eastAsia" w:ascii="宋体" w:hAnsi="宋体" w:eastAsia="宋体" w:cs="宋体"/>
                <w:color w:val="auto"/>
                <w:sz w:val="21"/>
                <w:szCs w:val="21"/>
                <w:highlight w:val="none"/>
                <w:lang w:val="en-US" w:eastAsia="zh-CN"/>
              </w:rPr>
              <w:t>未提供的得0分；</w:t>
            </w:r>
          </w:p>
        </w:tc>
      </w:tr>
      <w:tr w14:paraId="6236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0FC9C8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sz w:val="21"/>
                <w:szCs w:val="21"/>
                <w:highlight w:val="none"/>
                <w:lang w:val="en-US" w:eastAsia="zh-CN"/>
              </w:rPr>
              <w:t>2</w:t>
            </w:r>
          </w:p>
        </w:tc>
        <w:tc>
          <w:tcPr>
            <w:tcW w:w="1639" w:type="dxa"/>
            <w:noWrap w:val="0"/>
            <w:vAlign w:val="center"/>
          </w:tcPr>
          <w:p w14:paraId="11BDF2D0">
            <w:pPr>
              <w:keepNext w:val="0"/>
              <w:keepLines w:val="0"/>
              <w:pageBreakBefore w:val="0"/>
              <w:widowControl/>
              <w:kinsoku/>
              <w:wordWrap/>
              <w:overflowPunct/>
              <w:topLinePunct w:val="0"/>
              <w:autoSpaceDE/>
              <w:autoSpaceDN/>
              <w:bidi w:val="0"/>
              <w:adjustRightInd/>
              <w:snapToGrid/>
              <w:spacing w:line="440" w:lineRule="exact"/>
              <w:ind w:right="-107" w:rightChars="-51"/>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0"/>
                <w:sz w:val="21"/>
                <w:szCs w:val="21"/>
                <w:highlight w:val="none"/>
              </w:rPr>
              <w:t>管理规章制度</w:t>
            </w:r>
          </w:p>
        </w:tc>
        <w:tc>
          <w:tcPr>
            <w:tcW w:w="840" w:type="dxa"/>
            <w:noWrap w:val="0"/>
            <w:vAlign w:val="center"/>
          </w:tcPr>
          <w:p w14:paraId="779A879D">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5分</w:t>
            </w:r>
          </w:p>
        </w:tc>
        <w:tc>
          <w:tcPr>
            <w:tcW w:w="6749" w:type="dxa"/>
            <w:noWrap w:val="0"/>
            <w:vAlign w:val="center"/>
          </w:tcPr>
          <w:p w14:paraId="24BEFD3F">
            <w:pPr>
              <w:pStyle w:val="113"/>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1"/>
                <w:szCs w:val="21"/>
                <w:highlight w:val="none"/>
              </w:rPr>
              <w:t>岗位责任清晰、完整；管理制度及标准完整、有效；上墙文件齐全、规范。</w:t>
            </w:r>
            <w:r>
              <w:rPr>
                <w:rFonts w:hint="eastAsia" w:ascii="宋体" w:hAnsi="宋体" w:eastAsia="宋体" w:cs="宋体"/>
                <w:color w:val="auto"/>
                <w:sz w:val="21"/>
                <w:szCs w:val="21"/>
                <w:highlight w:val="none"/>
                <w:lang w:val="en-US" w:eastAsia="zh-CN"/>
              </w:rPr>
              <w:t>优的得5分，良的得4分，一般的得3分，</w:t>
            </w:r>
            <w:r>
              <w:rPr>
                <w:rFonts w:hint="eastAsia" w:ascii="宋体" w:hAnsi="宋体" w:cs="宋体"/>
                <w:color w:val="auto"/>
                <w:sz w:val="21"/>
                <w:szCs w:val="21"/>
                <w:highlight w:val="none"/>
                <w:lang w:val="en-US" w:eastAsia="zh-CN"/>
              </w:rPr>
              <w:t>合格</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不合格或</w:t>
            </w:r>
            <w:r>
              <w:rPr>
                <w:rFonts w:hint="eastAsia" w:ascii="宋体" w:hAnsi="宋体" w:eastAsia="宋体" w:cs="宋体"/>
                <w:color w:val="auto"/>
                <w:sz w:val="21"/>
                <w:szCs w:val="21"/>
                <w:highlight w:val="none"/>
                <w:lang w:val="en-US" w:eastAsia="zh-CN"/>
              </w:rPr>
              <w:t>未提供的得0分；</w:t>
            </w:r>
          </w:p>
        </w:tc>
      </w:tr>
      <w:tr w14:paraId="1D42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75999C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sz w:val="21"/>
                <w:szCs w:val="21"/>
                <w:highlight w:val="none"/>
                <w:lang w:val="en-US" w:eastAsia="zh-CN"/>
              </w:rPr>
              <w:t>3</w:t>
            </w:r>
          </w:p>
        </w:tc>
        <w:tc>
          <w:tcPr>
            <w:tcW w:w="1639" w:type="dxa"/>
            <w:noWrap w:val="0"/>
            <w:vAlign w:val="center"/>
          </w:tcPr>
          <w:p w14:paraId="3D41B65E">
            <w:pPr>
              <w:keepNext w:val="0"/>
              <w:keepLines w:val="0"/>
              <w:pageBreakBefore w:val="0"/>
              <w:widowControl/>
              <w:kinsoku/>
              <w:wordWrap/>
              <w:overflowPunct/>
              <w:topLinePunct w:val="0"/>
              <w:autoSpaceDE/>
              <w:autoSpaceDN/>
              <w:bidi w:val="0"/>
              <w:adjustRightInd/>
              <w:snapToGrid/>
              <w:spacing w:line="440" w:lineRule="exact"/>
              <w:ind w:right="-107" w:rightChars="-51"/>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0"/>
                <w:sz w:val="21"/>
                <w:szCs w:val="21"/>
                <w:highlight w:val="none"/>
              </w:rPr>
              <w:t>管理方案</w:t>
            </w:r>
          </w:p>
        </w:tc>
        <w:tc>
          <w:tcPr>
            <w:tcW w:w="840" w:type="dxa"/>
            <w:noWrap w:val="0"/>
            <w:vAlign w:val="center"/>
          </w:tcPr>
          <w:p w14:paraId="4A985C2B">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10分</w:t>
            </w:r>
          </w:p>
        </w:tc>
        <w:tc>
          <w:tcPr>
            <w:tcW w:w="6749" w:type="dxa"/>
            <w:noWrap w:val="0"/>
            <w:vAlign w:val="center"/>
          </w:tcPr>
          <w:p w14:paraId="6B2F14B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针对本项目制定管理模式、管理流程、操作作业流程，方案完整、有效、符合项目要求。</w:t>
            </w:r>
            <w:r>
              <w:rPr>
                <w:rFonts w:hint="eastAsia" w:ascii="宋体" w:hAnsi="宋体" w:eastAsia="宋体" w:cs="宋体"/>
                <w:color w:val="auto"/>
                <w:sz w:val="21"/>
                <w:szCs w:val="21"/>
                <w:highlight w:val="none"/>
                <w:lang w:val="en-US" w:eastAsia="zh-CN"/>
              </w:rPr>
              <w:t>优的得</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分，良的得</w:t>
            </w: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分，一般的得</w:t>
            </w: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合格</w:t>
            </w:r>
            <w:r>
              <w:rPr>
                <w:rFonts w:hint="eastAsia" w:ascii="宋体" w:hAnsi="宋体" w:eastAsia="宋体" w:cs="宋体"/>
                <w:color w:val="auto"/>
                <w:sz w:val="21"/>
                <w:szCs w:val="21"/>
                <w:highlight w:val="none"/>
                <w:lang w:val="en-US" w:eastAsia="zh-CN"/>
              </w:rPr>
              <w:t>的得</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不合格或</w:t>
            </w:r>
            <w:r>
              <w:rPr>
                <w:rFonts w:hint="eastAsia" w:ascii="宋体" w:hAnsi="宋体" w:eastAsia="宋体" w:cs="宋体"/>
                <w:color w:val="auto"/>
                <w:sz w:val="21"/>
                <w:szCs w:val="21"/>
                <w:highlight w:val="none"/>
                <w:lang w:val="en-US" w:eastAsia="zh-CN"/>
              </w:rPr>
              <w:t>未提供的得0分；</w:t>
            </w:r>
          </w:p>
        </w:tc>
      </w:tr>
      <w:tr w14:paraId="0BC5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4756AB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sz w:val="21"/>
                <w:szCs w:val="21"/>
                <w:highlight w:val="none"/>
                <w:lang w:val="en-US" w:eastAsia="zh-CN"/>
              </w:rPr>
              <w:t>4</w:t>
            </w:r>
          </w:p>
        </w:tc>
        <w:tc>
          <w:tcPr>
            <w:tcW w:w="1639" w:type="dxa"/>
            <w:noWrap w:val="0"/>
            <w:vAlign w:val="center"/>
          </w:tcPr>
          <w:p w14:paraId="25F476D1">
            <w:pPr>
              <w:keepNext w:val="0"/>
              <w:keepLines w:val="0"/>
              <w:pageBreakBefore w:val="0"/>
              <w:widowControl/>
              <w:kinsoku/>
              <w:wordWrap/>
              <w:overflowPunct/>
              <w:topLinePunct w:val="0"/>
              <w:autoSpaceDE/>
              <w:autoSpaceDN/>
              <w:bidi w:val="0"/>
              <w:adjustRightInd/>
              <w:snapToGrid/>
              <w:spacing w:line="440" w:lineRule="exact"/>
              <w:ind w:right="-107" w:rightChars="-51"/>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0"/>
                <w:sz w:val="21"/>
                <w:szCs w:val="21"/>
                <w:highlight w:val="none"/>
              </w:rPr>
              <w:t>重大突发情况应急预案</w:t>
            </w:r>
          </w:p>
        </w:tc>
        <w:tc>
          <w:tcPr>
            <w:tcW w:w="840" w:type="dxa"/>
            <w:noWrap w:val="0"/>
            <w:vAlign w:val="center"/>
          </w:tcPr>
          <w:p w14:paraId="3CBC7856">
            <w:pPr>
              <w:keepNext w:val="0"/>
              <w:keepLines w:val="0"/>
              <w:pageBreakBefore w:val="0"/>
              <w:widowControl w:val="0"/>
              <w:kinsoku/>
              <w:wordWrap w:val="0"/>
              <w:overflowPunct/>
              <w:topLinePunct w:val="0"/>
              <w:autoSpaceDE/>
              <w:autoSpaceDN/>
              <w:bidi w:val="0"/>
              <w:adjustRightInd/>
              <w:snapToGrid/>
              <w:spacing w:line="440" w:lineRule="exact"/>
              <w:jc w:val="center"/>
              <w:rPr>
                <w:rFonts w:hint="default"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9分</w:t>
            </w:r>
          </w:p>
        </w:tc>
        <w:tc>
          <w:tcPr>
            <w:tcW w:w="6749" w:type="dxa"/>
            <w:noWrap w:val="0"/>
            <w:vAlign w:val="center"/>
          </w:tcPr>
          <w:p w14:paraId="79DBC85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建立应急预案机制并定期演习，预案包括但不限于压缩设备故障处理应急预案、运输车辆故障处理应急预案、停电期间垃圾清运处理应急预案等，演习记录完整、真实、有效。</w:t>
            </w:r>
            <w:r>
              <w:rPr>
                <w:rFonts w:hint="eastAsia" w:ascii="宋体" w:hAnsi="宋体" w:eastAsia="宋体" w:cs="宋体"/>
                <w:color w:val="auto"/>
                <w:sz w:val="21"/>
                <w:szCs w:val="21"/>
                <w:highlight w:val="none"/>
                <w:lang w:val="en-US" w:eastAsia="zh-CN"/>
              </w:rPr>
              <w:t>优的得</w:t>
            </w: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分，良的得8分，一般的得</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合格</w:t>
            </w:r>
            <w:r>
              <w:rPr>
                <w:rFonts w:hint="eastAsia" w:ascii="宋体" w:hAnsi="宋体" w:eastAsia="宋体" w:cs="宋体"/>
                <w:color w:val="auto"/>
                <w:sz w:val="21"/>
                <w:szCs w:val="21"/>
                <w:highlight w:val="none"/>
                <w:lang w:val="en-US" w:eastAsia="zh-CN"/>
              </w:rPr>
              <w:t>的得</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不合格或</w:t>
            </w:r>
            <w:r>
              <w:rPr>
                <w:rFonts w:hint="eastAsia" w:ascii="宋体" w:hAnsi="宋体" w:eastAsia="宋体" w:cs="宋体"/>
                <w:color w:val="auto"/>
                <w:sz w:val="21"/>
                <w:szCs w:val="21"/>
                <w:highlight w:val="none"/>
                <w:lang w:val="en-US" w:eastAsia="zh-CN"/>
              </w:rPr>
              <w:t>未提供的得0分；</w:t>
            </w:r>
          </w:p>
        </w:tc>
      </w:tr>
      <w:tr w14:paraId="40A7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594B63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sz w:val="21"/>
                <w:szCs w:val="21"/>
                <w:highlight w:val="none"/>
                <w:lang w:val="en-US" w:eastAsia="zh-CN"/>
              </w:rPr>
              <w:t>5</w:t>
            </w:r>
          </w:p>
        </w:tc>
        <w:tc>
          <w:tcPr>
            <w:tcW w:w="1639" w:type="dxa"/>
            <w:noWrap w:val="0"/>
            <w:vAlign w:val="center"/>
          </w:tcPr>
          <w:p w14:paraId="3F0F7290">
            <w:pPr>
              <w:keepNext w:val="0"/>
              <w:keepLines w:val="0"/>
              <w:pageBreakBefore w:val="0"/>
              <w:widowControl/>
              <w:kinsoku/>
              <w:wordWrap/>
              <w:overflowPunct/>
              <w:topLinePunct w:val="0"/>
              <w:autoSpaceDE/>
              <w:autoSpaceDN/>
              <w:bidi w:val="0"/>
              <w:adjustRightInd/>
              <w:snapToGrid/>
              <w:spacing w:line="440" w:lineRule="exact"/>
              <w:ind w:right="-107" w:rightChars="-51"/>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0"/>
                <w:sz w:val="21"/>
                <w:szCs w:val="21"/>
                <w:highlight w:val="none"/>
              </w:rPr>
              <w:t>安全措施和文明作业</w:t>
            </w:r>
          </w:p>
        </w:tc>
        <w:tc>
          <w:tcPr>
            <w:tcW w:w="840" w:type="dxa"/>
            <w:noWrap w:val="0"/>
            <w:vAlign w:val="center"/>
          </w:tcPr>
          <w:p w14:paraId="4CF6F811">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6分</w:t>
            </w:r>
          </w:p>
        </w:tc>
        <w:tc>
          <w:tcPr>
            <w:tcW w:w="6749" w:type="dxa"/>
            <w:noWrap w:val="0"/>
            <w:vAlign w:val="center"/>
          </w:tcPr>
          <w:p w14:paraId="1B3F7D5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建立安全管控措施、制度完整、有效；有文明作业管理制度。</w:t>
            </w:r>
            <w:r>
              <w:rPr>
                <w:rFonts w:hint="eastAsia" w:ascii="宋体" w:hAnsi="宋体" w:eastAsia="宋体" w:cs="宋体"/>
                <w:color w:val="auto"/>
                <w:sz w:val="21"/>
                <w:szCs w:val="21"/>
                <w:highlight w:val="none"/>
                <w:lang w:val="en-US" w:eastAsia="zh-CN"/>
              </w:rPr>
              <w:t>优的得6分，良的得  5分，一般的得4分，</w:t>
            </w:r>
            <w:r>
              <w:rPr>
                <w:rFonts w:hint="eastAsia" w:ascii="宋体" w:hAnsi="宋体" w:cs="宋体"/>
                <w:color w:val="auto"/>
                <w:sz w:val="21"/>
                <w:szCs w:val="21"/>
                <w:highlight w:val="none"/>
                <w:lang w:val="en-US" w:eastAsia="zh-CN"/>
              </w:rPr>
              <w:t>合格</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不合格或</w:t>
            </w:r>
            <w:r>
              <w:rPr>
                <w:rFonts w:hint="eastAsia" w:ascii="宋体" w:hAnsi="宋体" w:eastAsia="宋体" w:cs="宋体"/>
                <w:color w:val="auto"/>
                <w:sz w:val="21"/>
                <w:szCs w:val="21"/>
                <w:highlight w:val="none"/>
                <w:lang w:val="en-US" w:eastAsia="zh-CN"/>
              </w:rPr>
              <w:t>未提供的得0分；</w:t>
            </w:r>
          </w:p>
        </w:tc>
      </w:tr>
      <w:tr w14:paraId="1563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025ABA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sz w:val="21"/>
                <w:szCs w:val="21"/>
                <w:highlight w:val="none"/>
                <w:lang w:val="en-US" w:eastAsia="zh-CN"/>
              </w:rPr>
              <w:t>6</w:t>
            </w:r>
          </w:p>
        </w:tc>
        <w:tc>
          <w:tcPr>
            <w:tcW w:w="1639" w:type="dxa"/>
            <w:noWrap w:val="0"/>
            <w:vAlign w:val="center"/>
          </w:tcPr>
          <w:p w14:paraId="206B847C">
            <w:pPr>
              <w:keepNext w:val="0"/>
              <w:keepLines w:val="0"/>
              <w:pageBreakBefore w:val="0"/>
              <w:widowControl/>
              <w:kinsoku/>
              <w:wordWrap/>
              <w:overflowPunct/>
              <w:topLinePunct w:val="0"/>
              <w:autoSpaceDE/>
              <w:autoSpaceDN/>
              <w:bidi w:val="0"/>
              <w:adjustRightInd/>
              <w:snapToGrid/>
              <w:spacing w:line="440" w:lineRule="exact"/>
              <w:ind w:right="-107" w:rightChars="-51"/>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0"/>
                <w:sz w:val="21"/>
                <w:szCs w:val="21"/>
                <w:highlight w:val="none"/>
              </w:rPr>
              <w:t>设备物资管理</w:t>
            </w:r>
          </w:p>
        </w:tc>
        <w:tc>
          <w:tcPr>
            <w:tcW w:w="840" w:type="dxa"/>
            <w:noWrap w:val="0"/>
            <w:vAlign w:val="center"/>
          </w:tcPr>
          <w:p w14:paraId="2F8BE811">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5分</w:t>
            </w:r>
          </w:p>
        </w:tc>
        <w:tc>
          <w:tcPr>
            <w:tcW w:w="6749" w:type="dxa"/>
            <w:noWrap w:val="0"/>
            <w:vAlign w:val="center"/>
          </w:tcPr>
          <w:p w14:paraId="6166132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设备、物资（易耗品、药剂）清单完整；设备管理制度齐全、完整；物资管理制度规范。</w:t>
            </w:r>
            <w:r>
              <w:rPr>
                <w:rFonts w:hint="eastAsia" w:ascii="宋体" w:hAnsi="宋体" w:eastAsia="宋体" w:cs="宋体"/>
                <w:color w:val="auto"/>
                <w:sz w:val="21"/>
                <w:szCs w:val="21"/>
                <w:highlight w:val="none"/>
                <w:lang w:val="en-US" w:eastAsia="zh-CN"/>
              </w:rPr>
              <w:t>优的得5分，良的得4分，一般的得3分，</w:t>
            </w:r>
            <w:r>
              <w:rPr>
                <w:rFonts w:hint="eastAsia" w:ascii="宋体" w:hAnsi="宋体" w:cs="宋体"/>
                <w:color w:val="auto"/>
                <w:sz w:val="21"/>
                <w:szCs w:val="21"/>
                <w:highlight w:val="none"/>
                <w:lang w:val="en-US" w:eastAsia="zh-CN"/>
              </w:rPr>
              <w:t>合格</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不合格或</w:t>
            </w:r>
            <w:r>
              <w:rPr>
                <w:rFonts w:hint="eastAsia" w:ascii="宋体" w:hAnsi="宋体" w:eastAsia="宋体" w:cs="宋体"/>
                <w:color w:val="auto"/>
                <w:sz w:val="21"/>
                <w:szCs w:val="21"/>
                <w:highlight w:val="none"/>
                <w:lang w:val="en-US" w:eastAsia="zh-CN"/>
              </w:rPr>
              <w:t>未提供的得0分；</w:t>
            </w:r>
          </w:p>
        </w:tc>
      </w:tr>
      <w:tr w14:paraId="6474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614B28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sz w:val="21"/>
                <w:szCs w:val="21"/>
                <w:highlight w:val="none"/>
                <w:lang w:val="en-US" w:eastAsia="zh-CN"/>
              </w:rPr>
              <w:t>7</w:t>
            </w:r>
          </w:p>
        </w:tc>
        <w:tc>
          <w:tcPr>
            <w:tcW w:w="1639" w:type="dxa"/>
            <w:noWrap w:val="0"/>
            <w:vAlign w:val="center"/>
          </w:tcPr>
          <w:p w14:paraId="055B3B04">
            <w:pPr>
              <w:keepNext w:val="0"/>
              <w:keepLines w:val="0"/>
              <w:pageBreakBefore w:val="0"/>
              <w:widowControl/>
              <w:kinsoku/>
              <w:wordWrap/>
              <w:overflowPunct/>
              <w:topLinePunct w:val="0"/>
              <w:autoSpaceDE/>
              <w:autoSpaceDN/>
              <w:bidi w:val="0"/>
              <w:adjustRightInd/>
              <w:snapToGrid/>
              <w:spacing w:line="440" w:lineRule="exact"/>
              <w:ind w:right="-107" w:rightChars="-51"/>
              <w:jc w:val="center"/>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0"/>
                <w:sz w:val="21"/>
                <w:szCs w:val="21"/>
                <w:highlight w:val="none"/>
              </w:rPr>
              <w:t>进退场和配合方案</w:t>
            </w:r>
          </w:p>
        </w:tc>
        <w:tc>
          <w:tcPr>
            <w:tcW w:w="840" w:type="dxa"/>
            <w:noWrap w:val="0"/>
            <w:vAlign w:val="center"/>
          </w:tcPr>
          <w:p w14:paraId="76623CB7">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5分</w:t>
            </w:r>
          </w:p>
        </w:tc>
        <w:tc>
          <w:tcPr>
            <w:tcW w:w="6749" w:type="dxa"/>
            <w:noWrap w:val="0"/>
            <w:vAlign w:val="center"/>
          </w:tcPr>
          <w:p w14:paraId="2269F933">
            <w:pPr>
              <w:keepNext w:val="0"/>
              <w:keepLines w:val="0"/>
              <w:pageBreakBefore w:val="0"/>
              <w:widowControl/>
              <w:kinsoku/>
              <w:wordWrap/>
              <w:overflowPunct/>
              <w:topLinePunct w:val="0"/>
              <w:autoSpaceDE/>
              <w:autoSpaceDN/>
              <w:bidi w:val="0"/>
              <w:adjustRightInd/>
              <w:snapToGrid/>
              <w:spacing w:line="440" w:lineRule="exact"/>
              <w:ind w:right="-107" w:rightChars="-51"/>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进退场交接管理方案完整、有效；日常沟通、配合方案完整、有效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优的得5分，良的得4分，一般的得3分，</w:t>
            </w:r>
            <w:r>
              <w:rPr>
                <w:rFonts w:hint="eastAsia" w:ascii="宋体" w:hAnsi="宋体" w:cs="宋体"/>
                <w:color w:val="auto"/>
                <w:sz w:val="21"/>
                <w:szCs w:val="21"/>
                <w:highlight w:val="none"/>
                <w:lang w:val="en-US" w:eastAsia="zh-CN"/>
              </w:rPr>
              <w:t>合格</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不合格或</w:t>
            </w:r>
            <w:r>
              <w:rPr>
                <w:rFonts w:hint="eastAsia" w:ascii="宋体" w:hAnsi="宋体" w:eastAsia="宋体" w:cs="宋体"/>
                <w:color w:val="auto"/>
                <w:sz w:val="21"/>
                <w:szCs w:val="21"/>
                <w:highlight w:val="none"/>
                <w:lang w:val="en-US" w:eastAsia="zh-CN"/>
              </w:rPr>
              <w:t>未提供的得0分；</w:t>
            </w:r>
          </w:p>
        </w:tc>
      </w:tr>
      <w:tr w14:paraId="417D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2F8C06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sz w:val="21"/>
                <w:szCs w:val="21"/>
                <w:highlight w:val="none"/>
                <w:lang w:val="en-US" w:eastAsia="zh-CN"/>
              </w:rPr>
              <w:t>8</w:t>
            </w:r>
          </w:p>
        </w:tc>
        <w:tc>
          <w:tcPr>
            <w:tcW w:w="1639" w:type="dxa"/>
            <w:noWrap w:val="0"/>
            <w:vAlign w:val="center"/>
          </w:tcPr>
          <w:p w14:paraId="3354732F">
            <w:pPr>
              <w:keepNext w:val="0"/>
              <w:keepLines w:val="0"/>
              <w:pageBreakBefore w:val="0"/>
              <w:widowControl/>
              <w:kinsoku/>
              <w:wordWrap/>
              <w:overflowPunct/>
              <w:topLinePunct w:val="0"/>
              <w:autoSpaceDE/>
              <w:autoSpaceDN/>
              <w:bidi w:val="0"/>
              <w:adjustRightInd/>
              <w:snapToGrid/>
              <w:spacing w:line="440" w:lineRule="exact"/>
              <w:ind w:right="-107" w:rightChars="-51"/>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0"/>
                <w:sz w:val="21"/>
                <w:szCs w:val="21"/>
                <w:highlight w:val="none"/>
              </w:rPr>
              <w:t>合理化建议</w:t>
            </w:r>
          </w:p>
        </w:tc>
        <w:tc>
          <w:tcPr>
            <w:tcW w:w="840" w:type="dxa"/>
            <w:noWrap w:val="0"/>
            <w:vAlign w:val="center"/>
          </w:tcPr>
          <w:p w14:paraId="4D8E05D7">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5分</w:t>
            </w:r>
          </w:p>
        </w:tc>
        <w:tc>
          <w:tcPr>
            <w:tcW w:w="6749" w:type="dxa"/>
            <w:noWrap w:val="0"/>
            <w:vAlign w:val="center"/>
          </w:tcPr>
          <w:p w14:paraId="36051DB8">
            <w:pPr>
              <w:keepNext w:val="0"/>
              <w:keepLines w:val="0"/>
              <w:pageBreakBefore w:val="0"/>
              <w:widowControl/>
              <w:kinsoku/>
              <w:wordWrap/>
              <w:overflowPunct/>
              <w:topLinePunct w:val="0"/>
              <w:autoSpaceDE/>
              <w:autoSpaceDN/>
              <w:bidi w:val="0"/>
              <w:adjustRightInd/>
              <w:snapToGrid/>
              <w:spacing w:line="440" w:lineRule="exact"/>
              <w:ind w:right="-107" w:rightChars="-51"/>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针对本项目提出合理化建议，建议有效并有建议方案。</w:t>
            </w:r>
            <w:r>
              <w:rPr>
                <w:rFonts w:hint="eastAsia" w:ascii="宋体" w:hAnsi="宋体" w:eastAsia="宋体" w:cs="宋体"/>
                <w:color w:val="auto"/>
                <w:sz w:val="21"/>
                <w:szCs w:val="21"/>
                <w:highlight w:val="none"/>
                <w:lang w:val="en-US" w:eastAsia="zh-CN"/>
              </w:rPr>
              <w:t>优的得5分，良的得4分，一般的得3分，</w:t>
            </w:r>
            <w:r>
              <w:rPr>
                <w:rFonts w:hint="eastAsia" w:ascii="宋体" w:hAnsi="宋体" w:cs="宋体"/>
                <w:color w:val="auto"/>
                <w:sz w:val="21"/>
                <w:szCs w:val="21"/>
                <w:highlight w:val="none"/>
                <w:lang w:val="en-US" w:eastAsia="zh-CN"/>
              </w:rPr>
              <w:t>合格</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不合格或</w:t>
            </w:r>
            <w:r>
              <w:rPr>
                <w:rFonts w:hint="eastAsia" w:ascii="宋体" w:hAnsi="宋体" w:eastAsia="宋体" w:cs="宋体"/>
                <w:color w:val="auto"/>
                <w:sz w:val="21"/>
                <w:szCs w:val="21"/>
                <w:highlight w:val="none"/>
                <w:lang w:val="en-US" w:eastAsia="zh-CN"/>
              </w:rPr>
              <w:t>未提供的得0分；</w:t>
            </w:r>
          </w:p>
        </w:tc>
      </w:tr>
      <w:tr w14:paraId="5446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0C49C5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sz w:val="21"/>
                <w:szCs w:val="21"/>
                <w:highlight w:val="none"/>
                <w:lang w:val="en-US" w:eastAsia="zh-CN"/>
              </w:rPr>
              <w:t>9</w:t>
            </w:r>
          </w:p>
        </w:tc>
        <w:tc>
          <w:tcPr>
            <w:tcW w:w="1639" w:type="dxa"/>
            <w:noWrap w:val="0"/>
            <w:vAlign w:val="center"/>
          </w:tcPr>
          <w:p w14:paraId="020A92C0">
            <w:pPr>
              <w:keepNext w:val="0"/>
              <w:keepLines w:val="0"/>
              <w:pageBreakBefore w:val="0"/>
              <w:widowControl/>
              <w:kinsoku/>
              <w:wordWrap/>
              <w:overflowPunct/>
              <w:topLinePunct w:val="0"/>
              <w:autoSpaceDE/>
              <w:autoSpaceDN/>
              <w:bidi w:val="0"/>
              <w:adjustRightInd/>
              <w:snapToGrid/>
              <w:spacing w:line="440" w:lineRule="exact"/>
              <w:ind w:right="-107" w:rightChars="-51"/>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0"/>
                <w:sz w:val="21"/>
                <w:szCs w:val="21"/>
                <w:highlight w:val="none"/>
              </w:rPr>
              <w:t>服务保障</w:t>
            </w:r>
          </w:p>
        </w:tc>
        <w:tc>
          <w:tcPr>
            <w:tcW w:w="840" w:type="dxa"/>
            <w:noWrap w:val="0"/>
            <w:vAlign w:val="center"/>
          </w:tcPr>
          <w:p w14:paraId="75F201B5">
            <w:pPr>
              <w:keepNext w:val="0"/>
              <w:keepLines w:val="0"/>
              <w:pageBreakBefore w:val="0"/>
              <w:widowControl w:val="0"/>
              <w:kinsoku/>
              <w:wordWrap w:val="0"/>
              <w:overflowPunct/>
              <w:topLinePunct w:val="0"/>
              <w:autoSpaceDE/>
              <w:autoSpaceDN/>
              <w:bidi w:val="0"/>
              <w:adjustRightInd/>
              <w:snapToGrid/>
              <w:spacing w:line="440" w:lineRule="exact"/>
              <w:jc w:val="center"/>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5分</w:t>
            </w:r>
          </w:p>
        </w:tc>
        <w:tc>
          <w:tcPr>
            <w:tcW w:w="6749" w:type="dxa"/>
            <w:noWrap w:val="0"/>
            <w:vAlign w:val="center"/>
          </w:tcPr>
          <w:p w14:paraId="0709DE15">
            <w:pPr>
              <w:keepNext w:val="0"/>
              <w:keepLines w:val="0"/>
              <w:pageBreakBefore w:val="0"/>
              <w:widowControl/>
              <w:kinsoku/>
              <w:wordWrap/>
              <w:overflowPunct/>
              <w:topLinePunct w:val="0"/>
              <w:autoSpaceDE/>
              <w:autoSpaceDN/>
              <w:bidi w:val="0"/>
              <w:adjustRightInd/>
              <w:snapToGrid/>
              <w:spacing w:line="440" w:lineRule="exact"/>
              <w:ind w:right="-107" w:rightChars="-51"/>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建立服务保障机制，服务承诺有响应时效、有标准。</w:t>
            </w:r>
            <w:r>
              <w:rPr>
                <w:rFonts w:hint="eastAsia" w:ascii="宋体" w:hAnsi="宋体" w:eastAsia="宋体" w:cs="宋体"/>
                <w:color w:val="auto"/>
                <w:sz w:val="21"/>
                <w:szCs w:val="21"/>
                <w:highlight w:val="none"/>
                <w:lang w:val="en-US" w:eastAsia="zh-CN"/>
              </w:rPr>
              <w:t>优的得5分，良的得4分，一般的得3分，</w:t>
            </w:r>
            <w:r>
              <w:rPr>
                <w:rFonts w:hint="eastAsia" w:ascii="宋体" w:hAnsi="宋体" w:cs="宋体"/>
                <w:color w:val="auto"/>
                <w:sz w:val="21"/>
                <w:szCs w:val="21"/>
                <w:highlight w:val="none"/>
                <w:lang w:val="en-US" w:eastAsia="zh-CN"/>
              </w:rPr>
              <w:t>合格</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不合格或</w:t>
            </w:r>
            <w:r>
              <w:rPr>
                <w:rFonts w:hint="eastAsia" w:ascii="宋体" w:hAnsi="宋体" w:eastAsia="宋体" w:cs="宋体"/>
                <w:color w:val="auto"/>
                <w:sz w:val="21"/>
                <w:szCs w:val="21"/>
                <w:highlight w:val="none"/>
                <w:lang w:val="en-US" w:eastAsia="zh-CN"/>
              </w:rPr>
              <w:t>未提供的得0分；</w:t>
            </w:r>
          </w:p>
        </w:tc>
      </w:tr>
      <w:tr w14:paraId="5818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70" w:type="dxa"/>
            <w:gridSpan w:val="4"/>
            <w:noWrap w:val="0"/>
            <w:vAlign w:val="center"/>
          </w:tcPr>
          <w:p w14:paraId="06CAF7FF">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w:t>
            </w:r>
            <w:r>
              <w:rPr>
                <w:rFonts w:hint="eastAsia" w:ascii="宋体" w:hAnsi="宋体" w:cs="宋体"/>
                <w:color w:val="auto"/>
                <w:kern w:val="0"/>
                <w:szCs w:val="21"/>
                <w:highlight w:val="none"/>
              </w:rPr>
              <w:t>各投标人技术标总得分为各评委评分的平均值为最终得分。取两位小数，小数点后第三位四舍五入。</w:t>
            </w:r>
          </w:p>
          <w:p w14:paraId="37428F67">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54E48658">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 技术标暗标不设空白页。技术标投标文件封面不出现投标人、法定代表人签章内容，格式以系统设置为准。正文必须按招标文件要求的顺序进行排版；</w:t>
            </w:r>
          </w:p>
          <w:p w14:paraId="602E1F6B">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r>
              <w:rPr>
                <w:rFonts w:hint="eastAsia" w:ascii="宋体" w:hAnsi="宋体" w:cs="宋体"/>
                <w:color w:val="auto"/>
                <w:kern w:val="0"/>
                <w:sz w:val="21"/>
                <w:szCs w:val="21"/>
                <w:highlight w:val="none"/>
                <w:lang w:val="en-US" w:eastAsia="zh-CN" w:bidi="ar"/>
              </w:rPr>
              <w:t>。</w:t>
            </w:r>
          </w:p>
          <w:p w14:paraId="6094CF47">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49CCB92A">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3.技术标暗标文件的格式、制作不符合上述要求的，每一分项扣0.2分。技术标实行暗标的，对技术标（暗标）部分不予澄清、说明或者补正。</w:t>
            </w:r>
          </w:p>
          <w:p w14:paraId="5CB85F06">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cs="宋体"/>
                <w:b/>
                <w:bCs/>
                <w:color w:val="auto"/>
                <w:kern w:val="0"/>
                <w:sz w:val="21"/>
                <w:szCs w:val="21"/>
                <w:highlight w:val="none"/>
                <w:lang w:val="en-US" w:eastAsia="zh-CN" w:bidi="ar"/>
              </w:rPr>
              <w:t>技术标的各评分因素，页数不多于30页。</w:t>
            </w:r>
            <w:r>
              <w:rPr>
                <w:rFonts w:hint="eastAsia" w:ascii="宋体" w:hAnsi="宋体"/>
                <w:b/>
                <w:bCs/>
                <w:color w:val="auto"/>
                <w:szCs w:val="21"/>
                <w:highlight w:val="none"/>
              </w:rPr>
              <w:t>具体篇幅(字数)要求及扣分标准（扣分值为0.2分）</w:t>
            </w:r>
            <w:r>
              <w:rPr>
                <w:rFonts w:hint="eastAsia" w:ascii="宋体" w:hAnsi="宋体"/>
                <w:b/>
                <w:bCs/>
                <w:color w:val="auto"/>
                <w:szCs w:val="21"/>
                <w:highlight w:val="none"/>
                <w:lang w:eastAsia="zh-CN"/>
              </w:rPr>
              <w:t>。</w:t>
            </w:r>
            <w:r>
              <w:rPr>
                <w:rFonts w:hint="eastAsia" w:ascii="宋体" w:hAnsi="宋体"/>
                <w:b/>
                <w:bCs/>
                <w:color w:val="auto"/>
                <w:szCs w:val="21"/>
                <w:highlight w:val="none"/>
              </w:rPr>
              <w:t>偏离规定标准的，评标委员会应酌情扣分。</w:t>
            </w:r>
          </w:p>
          <w:p w14:paraId="337ED59B">
            <w:pPr>
              <w:keepNext w:val="0"/>
              <w:keepLines w:val="0"/>
              <w:pageBreakBefore w:val="0"/>
              <w:widowControl/>
              <w:suppressLineNumbers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6116C1B9">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rPr>
              <w:t>如所有投标企业技术标都出现能反映企业信息等相关内容的，该项目流标。</w:t>
            </w:r>
          </w:p>
        </w:tc>
      </w:tr>
    </w:tbl>
    <w:p w14:paraId="495E9558">
      <w:pPr>
        <w:pStyle w:val="12"/>
        <w:kinsoku/>
        <w:wordWrap w:val="0"/>
        <w:overflowPunct/>
        <w:topLinePunct w:val="0"/>
        <w:bidi w:val="0"/>
        <w:adjustRightInd w:val="0"/>
        <w:snapToGrid w:val="0"/>
        <w:spacing w:after="0" w:line="560" w:lineRule="exact"/>
        <w:ind w:left="0" w:leftChars="0" w:firstLine="0" w:firstLineChars="0"/>
        <w:jc w:val="center"/>
        <w:rPr>
          <w:rFonts w:hint="eastAsia"/>
          <w:b/>
          <w:color w:val="auto"/>
          <w:sz w:val="28"/>
          <w:szCs w:val="21"/>
          <w:highlight w:val="none"/>
        </w:rPr>
      </w:pPr>
      <w:bookmarkStart w:id="95" w:name="_Toc449028881"/>
      <w:bookmarkStart w:id="96" w:name="_Toc58430321"/>
      <w:bookmarkStart w:id="97" w:name="_Toc23311"/>
      <w:r>
        <w:rPr>
          <w:rFonts w:hint="eastAsia"/>
          <w:b/>
          <w:color w:val="auto"/>
          <w:sz w:val="28"/>
          <w:szCs w:val="21"/>
          <w:highlight w:val="none"/>
        </w:rPr>
        <w:t>（四）商务标评审</w:t>
      </w:r>
      <w:r>
        <w:rPr>
          <w:rFonts w:hint="eastAsia"/>
          <w:b/>
          <w:color w:val="auto"/>
          <w:sz w:val="28"/>
          <w:szCs w:val="21"/>
          <w:highlight w:val="none"/>
          <w:lang w:eastAsia="zh-CN"/>
        </w:rPr>
        <w:t>（</w:t>
      </w:r>
      <w:r>
        <w:rPr>
          <w:rFonts w:hint="eastAsia"/>
          <w:b/>
          <w:color w:val="auto"/>
          <w:sz w:val="28"/>
          <w:szCs w:val="21"/>
          <w:highlight w:val="none"/>
          <w:lang w:val="en-US" w:eastAsia="zh-CN"/>
        </w:rPr>
        <w:t>15分）</w:t>
      </w:r>
    </w:p>
    <w:tbl>
      <w:tblPr>
        <w:tblStyle w:val="35"/>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073"/>
        <w:gridCol w:w="1741"/>
        <w:gridCol w:w="6422"/>
      </w:tblGrid>
      <w:tr w14:paraId="61D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noWrap w:val="0"/>
            <w:vAlign w:val="center"/>
          </w:tcPr>
          <w:p w14:paraId="3977139C">
            <w:pPr>
              <w:kinsoku/>
              <w:wordWrap w:val="0"/>
              <w:overflowPunct/>
              <w:topLinePunct w:val="0"/>
              <w:bidi w:val="0"/>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2814" w:type="dxa"/>
            <w:gridSpan w:val="2"/>
            <w:noWrap w:val="0"/>
            <w:vAlign w:val="center"/>
          </w:tcPr>
          <w:p w14:paraId="63F313A0">
            <w:pPr>
              <w:kinsoku/>
              <w:wordWrap w:val="0"/>
              <w:overflowPunct/>
              <w:topLinePunct w:val="0"/>
              <w:bidi w:val="0"/>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6422" w:type="dxa"/>
            <w:noWrap w:val="0"/>
            <w:vAlign w:val="center"/>
          </w:tcPr>
          <w:p w14:paraId="29D6B977">
            <w:pPr>
              <w:kinsoku/>
              <w:wordWrap w:val="0"/>
              <w:overflowPunct/>
              <w:topLinePunct w:val="0"/>
              <w:bidi w:val="0"/>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1F10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vMerge w:val="restart"/>
            <w:noWrap w:val="0"/>
            <w:vAlign w:val="center"/>
          </w:tcPr>
          <w:p w14:paraId="1ABF8A1B">
            <w:pPr>
              <w:kinsoku/>
              <w:wordWrap w:val="0"/>
              <w:overflowPunct/>
              <w:topLinePunct w:val="0"/>
              <w:bidi w:val="0"/>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073" w:type="dxa"/>
            <w:vMerge w:val="restart"/>
            <w:noWrap w:val="0"/>
            <w:vAlign w:val="center"/>
          </w:tcPr>
          <w:p w14:paraId="1952009C">
            <w:pPr>
              <w:kinsoku/>
              <w:wordWrap w:val="0"/>
              <w:overflowPunct/>
              <w:topLinePunct w:val="0"/>
              <w:bidi w:val="0"/>
              <w:spacing w:line="320" w:lineRule="atLeast"/>
              <w:jc w:val="center"/>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1741" w:type="dxa"/>
            <w:noWrap w:val="0"/>
            <w:vAlign w:val="center"/>
          </w:tcPr>
          <w:p w14:paraId="50126A10">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6422" w:type="dxa"/>
            <w:noWrap w:val="0"/>
            <w:vAlign w:val="center"/>
          </w:tcPr>
          <w:p w14:paraId="1CE14F1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14:paraId="541D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31" w:type="dxa"/>
            <w:vMerge w:val="continue"/>
            <w:noWrap w:val="0"/>
            <w:vAlign w:val="center"/>
          </w:tcPr>
          <w:p w14:paraId="64A73E8A">
            <w:pPr>
              <w:kinsoku/>
              <w:wordWrap w:val="0"/>
              <w:overflowPunct/>
              <w:topLinePunct w:val="0"/>
              <w:bidi w:val="0"/>
              <w:spacing w:line="320" w:lineRule="atLeast"/>
              <w:rPr>
                <w:color w:val="auto"/>
                <w:highlight w:val="none"/>
              </w:rPr>
            </w:pPr>
          </w:p>
        </w:tc>
        <w:tc>
          <w:tcPr>
            <w:tcW w:w="1073" w:type="dxa"/>
            <w:vMerge w:val="continue"/>
            <w:noWrap w:val="0"/>
            <w:vAlign w:val="center"/>
          </w:tcPr>
          <w:p w14:paraId="75F3A208">
            <w:pPr>
              <w:kinsoku/>
              <w:wordWrap w:val="0"/>
              <w:overflowPunct/>
              <w:topLinePunct w:val="0"/>
              <w:bidi w:val="0"/>
              <w:spacing w:line="320" w:lineRule="atLeast"/>
              <w:rPr>
                <w:color w:val="auto"/>
                <w:highlight w:val="none"/>
              </w:rPr>
            </w:pPr>
          </w:p>
        </w:tc>
        <w:tc>
          <w:tcPr>
            <w:tcW w:w="1741" w:type="dxa"/>
            <w:noWrap w:val="0"/>
            <w:vAlign w:val="center"/>
          </w:tcPr>
          <w:p w14:paraId="1A5AC64E">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6422" w:type="dxa"/>
            <w:noWrap w:val="0"/>
            <w:vAlign w:val="center"/>
          </w:tcPr>
          <w:p w14:paraId="396356FA">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cs="宋体"/>
                <w:color w:val="auto"/>
                <w:szCs w:val="21"/>
                <w:highlight w:val="none"/>
              </w:rPr>
            </w:pPr>
            <w:r>
              <w:rPr>
                <w:rFonts w:hint="eastAsia" w:ascii="宋体" w:hAnsi="宋体" w:cs="宋体"/>
                <w:color w:val="auto"/>
                <w:szCs w:val="21"/>
                <w:highlight w:val="none"/>
              </w:rPr>
              <w:t>符合第七章“投标文件格式”的要求。</w:t>
            </w:r>
          </w:p>
        </w:tc>
      </w:tr>
      <w:tr w14:paraId="32D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vMerge w:val="continue"/>
            <w:noWrap w:val="0"/>
            <w:vAlign w:val="center"/>
          </w:tcPr>
          <w:p w14:paraId="3F2A88DF">
            <w:pPr>
              <w:kinsoku/>
              <w:wordWrap w:val="0"/>
              <w:overflowPunct/>
              <w:topLinePunct w:val="0"/>
              <w:bidi w:val="0"/>
              <w:spacing w:line="320" w:lineRule="atLeast"/>
              <w:rPr>
                <w:color w:val="auto"/>
                <w:highlight w:val="none"/>
              </w:rPr>
            </w:pPr>
          </w:p>
        </w:tc>
        <w:tc>
          <w:tcPr>
            <w:tcW w:w="1073" w:type="dxa"/>
            <w:vMerge w:val="continue"/>
            <w:noWrap w:val="0"/>
            <w:vAlign w:val="center"/>
          </w:tcPr>
          <w:p w14:paraId="79A5AF2E">
            <w:pPr>
              <w:kinsoku/>
              <w:wordWrap w:val="0"/>
              <w:overflowPunct/>
              <w:topLinePunct w:val="0"/>
              <w:bidi w:val="0"/>
              <w:spacing w:line="320" w:lineRule="atLeast"/>
              <w:rPr>
                <w:color w:val="auto"/>
                <w:highlight w:val="none"/>
              </w:rPr>
            </w:pPr>
          </w:p>
        </w:tc>
        <w:tc>
          <w:tcPr>
            <w:tcW w:w="1741" w:type="dxa"/>
            <w:noWrap w:val="0"/>
            <w:vAlign w:val="center"/>
          </w:tcPr>
          <w:p w14:paraId="632241E3">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仿宋_GB2312"/>
                <w:color w:val="auto"/>
                <w:szCs w:val="21"/>
                <w:highlight w:val="none"/>
                <w:lang w:val="zh-CN"/>
              </w:rPr>
            </w:pPr>
            <w:r>
              <w:rPr>
                <w:rFonts w:hint="eastAsia" w:ascii="宋体" w:hAnsi="宋体" w:cs="宋体"/>
                <w:color w:val="auto"/>
                <w:szCs w:val="21"/>
                <w:highlight w:val="none"/>
              </w:rPr>
              <w:t>商务标签字盖章</w:t>
            </w:r>
          </w:p>
        </w:tc>
        <w:tc>
          <w:tcPr>
            <w:tcW w:w="6422" w:type="dxa"/>
            <w:noWrap w:val="0"/>
            <w:vAlign w:val="center"/>
          </w:tcPr>
          <w:p w14:paraId="6E60DFB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cs="宋体"/>
                <w:color w:val="auto"/>
                <w:szCs w:val="21"/>
                <w:highlight w:val="none"/>
              </w:rPr>
            </w:pPr>
            <w:r>
              <w:rPr>
                <w:rFonts w:hint="eastAsia" w:ascii="宋体" w:hAnsi="宋体" w:cs="宋体"/>
                <w:color w:val="auto"/>
                <w:szCs w:val="21"/>
                <w:highlight w:val="none"/>
              </w:rPr>
              <w:t>按投标文件格式要求签章。</w:t>
            </w:r>
          </w:p>
        </w:tc>
      </w:tr>
      <w:tr w14:paraId="0254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noWrap w:val="0"/>
            <w:vAlign w:val="center"/>
          </w:tcPr>
          <w:p w14:paraId="3A970CF4">
            <w:pPr>
              <w:kinsoku/>
              <w:wordWrap w:val="0"/>
              <w:overflowPunct/>
              <w:topLinePunct w:val="0"/>
              <w:bidi w:val="0"/>
              <w:spacing w:line="320" w:lineRule="atLeast"/>
              <w:rPr>
                <w:color w:val="auto"/>
                <w:highlight w:val="none"/>
              </w:rPr>
            </w:pPr>
          </w:p>
        </w:tc>
        <w:tc>
          <w:tcPr>
            <w:tcW w:w="1073" w:type="dxa"/>
            <w:vMerge w:val="continue"/>
            <w:noWrap w:val="0"/>
            <w:vAlign w:val="center"/>
          </w:tcPr>
          <w:p w14:paraId="4BD40365">
            <w:pPr>
              <w:kinsoku/>
              <w:wordWrap w:val="0"/>
              <w:overflowPunct/>
              <w:topLinePunct w:val="0"/>
              <w:bidi w:val="0"/>
              <w:spacing w:line="320" w:lineRule="atLeast"/>
              <w:rPr>
                <w:color w:val="auto"/>
                <w:highlight w:val="none"/>
              </w:rPr>
            </w:pPr>
          </w:p>
        </w:tc>
        <w:tc>
          <w:tcPr>
            <w:tcW w:w="1741" w:type="dxa"/>
            <w:noWrap w:val="0"/>
            <w:vAlign w:val="center"/>
          </w:tcPr>
          <w:p w14:paraId="7D57DEB1">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olor w:val="auto"/>
                <w:szCs w:val="21"/>
                <w:highlight w:val="none"/>
              </w:rPr>
            </w:pPr>
            <w:r>
              <w:rPr>
                <w:rFonts w:hint="eastAsia" w:ascii="宋体" w:hAnsi="宋体" w:cs="宋体"/>
                <w:color w:val="auto"/>
                <w:szCs w:val="21"/>
                <w:highlight w:val="none"/>
              </w:rPr>
              <w:t>报价唯一</w:t>
            </w:r>
          </w:p>
        </w:tc>
        <w:tc>
          <w:tcPr>
            <w:tcW w:w="6422" w:type="dxa"/>
            <w:noWrap w:val="0"/>
            <w:vAlign w:val="center"/>
          </w:tcPr>
          <w:p w14:paraId="01FEC4FC">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14:paraId="0D82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noWrap w:val="0"/>
            <w:vAlign w:val="center"/>
          </w:tcPr>
          <w:p w14:paraId="4C765CBA">
            <w:pPr>
              <w:kinsoku/>
              <w:wordWrap w:val="0"/>
              <w:overflowPunct/>
              <w:topLinePunct w:val="0"/>
              <w:bidi w:val="0"/>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073" w:type="dxa"/>
            <w:vMerge w:val="restart"/>
            <w:noWrap w:val="0"/>
            <w:vAlign w:val="center"/>
          </w:tcPr>
          <w:p w14:paraId="64C52B71">
            <w:pPr>
              <w:kinsoku/>
              <w:wordWrap w:val="0"/>
              <w:overflowPunct/>
              <w:topLinePunct w:val="0"/>
              <w:bidi w:val="0"/>
              <w:adjustRightInd w:val="0"/>
              <w:snapToGrid w:val="0"/>
              <w:spacing w:line="560" w:lineRule="exact"/>
              <w:jc w:val="center"/>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1741" w:type="dxa"/>
            <w:noWrap w:val="0"/>
            <w:vAlign w:val="center"/>
          </w:tcPr>
          <w:p w14:paraId="781F2622">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期限</w:t>
            </w:r>
          </w:p>
        </w:tc>
        <w:tc>
          <w:tcPr>
            <w:tcW w:w="6422" w:type="dxa"/>
            <w:noWrap w:val="0"/>
            <w:vAlign w:val="center"/>
          </w:tcPr>
          <w:p w14:paraId="6F1AA096">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14:paraId="7A45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184892BD">
            <w:pPr>
              <w:kinsoku/>
              <w:wordWrap w:val="0"/>
              <w:overflowPunct/>
              <w:topLinePunct w:val="0"/>
              <w:bidi w:val="0"/>
              <w:spacing w:line="320" w:lineRule="atLeast"/>
              <w:rPr>
                <w:color w:val="auto"/>
                <w:highlight w:val="none"/>
              </w:rPr>
            </w:pPr>
          </w:p>
        </w:tc>
        <w:tc>
          <w:tcPr>
            <w:tcW w:w="1073" w:type="dxa"/>
            <w:vMerge w:val="continue"/>
            <w:noWrap w:val="0"/>
            <w:vAlign w:val="center"/>
          </w:tcPr>
          <w:p w14:paraId="36637CCB">
            <w:pPr>
              <w:kinsoku/>
              <w:wordWrap w:val="0"/>
              <w:overflowPunct/>
              <w:topLinePunct w:val="0"/>
              <w:bidi w:val="0"/>
              <w:spacing w:line="320" w:lineRule="atLeast"/>
              <w:rPr>
                <w:color w:val="auto"/>
                <w:highlight w:val="none"/>
              </w:rPr>
            </w:pPr>
          </w:p>
        </w:tc>
        <w:tc>
          <w:tcPr>
            <w:tcW w:w="1741" w:type="dxa"/>
            <w:noWrap w:val="0"/>
            <w:vAlign w:val="center"/>
          </w:tcPr>
          <w:p w14:paraId="36B63CA6">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6422" w:type="dxa"/>
            <w:noWrap w:val="0"/>
            <w:vAlign w:val="center"/>
          </w:tcPr>
          <w:p w14:paraId="72C68692">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03CE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5EDDA9FB">
            <w:pPr>
              <w:kinsoku/>
              <w:wordWrap w:val="0"/>
              <w:overflowPunct/>
              <w:topLinePunct w:val="0"/>
              <w:bidi w:val="0"/>
              <w:spacing w:line="320" w:lineRule="atLeast"/>
              <w:rPr>
                <w:color w:val="auto"/>
                <w:highlight w:val="none"/>
              </w:rPr>
            </w:pPr>
          </w:p>
        </w:tc>
        <w:tc>
          <w:tcPr>
            <w:tcW w:w="1073" w:type="dxa"/>
            <w:vMerge w:val="continue"/>
            <w:noWrap w:val="0"/>
            <w:vAlign w:val="center"/>
          </w:tcPr>
          <w:p w14:paraId="0249D354">
            <w:pPr>
              <w:kinsoku/>
              <w:wordWrap w:val="0"/>
              <w:overflowPunct/>
              <w:topLinePunct w:val="0"/>
              <w:bidi w:val="0"/>
              <w:spacing w:line="320" w:lineRule="atLeast"/>
              <w:rPr>
                <w:color w:val="auto"/>
                <w:highlight w:val="none"/>
              </w:rPr>
            </w:pPr>
          </w:p>
        </w:tc>
        <w:tc>
          <w:tcPr>
            <w:tcW w:w="1741" w:type="dxa"/>
            <w:noWrap w:val="0"/>
            <w:vAlign w:val="center"/>
          </w:tcPr>
          <w:p w14:paraId="01C4C5BA">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投标报价评审</w:t>
            </w:r>
          </w:p>
        </w:tc>
        <w:tc>
          <w:tcPr>
            <w:tcW w:w="6422" w:type="dxa"/>
            <w:noWrap w:val="0"/>
            <w:vAlign w:val="center"/>
          </w:tcPr>
          <w:p w14:paraId="0CFC9EA4">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不得高于最高投标限价。</w:t>
            </w:r>
          </w:p>
        </w:tc>
      </w:tr>
      <w:tr w14:paraId="7770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jc w:val="center"/>
        </w:trPr>
        <w:tc>
          <w:tcPr>
            <w:tcW w:w="731" w:type="dxa"/>
            <w:noWrap w:val="0"/>
            <w:vAlign w:val="center"/>
          </w:tcPr>
          <w:p w14:paraId="770B1645">
            <w:pPr>
              <w:kinsoku/>
              <w:wordWrap w:val="0"/>
              <w:overflowPunct/>
              <w:topLinePunct w:val="0"/>
              <w:bidi w:val="0"/>
              <w:adjustRightInd w:val="0"/>
              <w:snapToGrid w:val="0"/>
              <w:spacing w:line="560" w:lineRule="exact"/>
              <w:jc w:val="center"/>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3</w:t>
            </w:r>
          </w:p>
        </w:tc>
        <w:tc>
          <w:tcPr>
            <w:tcW w:w="2814" w:type="dxa"/>
            <w:gridSpan w:val="2"/>
            <w:noWrap w:val="0"/>
            <w:vAlign w:val="center"/>
          </w:tcPr>
          <w:p w14:paraId="11E1FFD1">
            <w:pPr>
              <w:keepNext w:val="0"/>
              <w:keepLines w:val="0"/>
              <w:pageBreakBefore w:val="0"/>
              <w:widowControl w:val="0"/>
              <w:kinsoku/>
              <w:wordWrap w:val="0"/>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投标报价（</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分）</w:t>
            </w:r>
          </w:p>
        </w:tc>
        <w:tc>
          <w:tcPr>
            <w:tcW w:w="6422" w:type="dxa"/>
            <w:noWrap w:val="0"/>
            <w:vAlign w:val="center"/>
          </w:tcPr>
          <w:p w14:paraId="03275266">
            <w:pPr>
              <w:keepNext w:val="0"/>
              <w:keepLines w:val="0"/>
              <w:pageBreakBefore w:val="0"/>
              <w:widowControl w:val="0"/>
              <w:kinsoku/>
              <w:wordWrap w:val="0"/>
              <w:overflowPunct/>
              <w:topLinePunct w:val="0"/>
              <w:autoSpaceDE/>
              <w:autoSpaceDN/>
              <w:bidi w:val="0"/>
              <w:spacing w:line="440" w:lineRule="exact"/>
              <w:textAlignment w:val="auto"/>
              <w:rPr>
                <w:rFonts w:hint="eastAsia" w:ascii="Times New Roman" w:hAnsi="Times New Roman" w:eastAsia="宋体" w:cs="Times New Roman"/>
                <w:color w:val="auto"/>
                <w:highlight w:val="none"/>
              </w:rPr>
            </w:pPr>
            <w:r>
              <w:rPr>
                <w:rFonts w:hint="eastAsia"/>
                <w:color w:val="auto"/>
                <w:highlight w:val="none"/>
                <w:lang w:val="en-US" w:eastAsia="zh-CN"/>
              </w:rPr>
              <w:t>1.</w:t>
            </w:r>
            <w:r>
              <w:rPr>
                <w:rFonts w:hint="eastAsia" w:ascii="Times New Roman" w:hAnsi="Times New Roman" w:eastAsia="宋体" w:cs="Times New Roman"/>
                <w:color w:val="auto"/>
                <w:highlight w:val="none"/>
              </w:rPr>
              <w:t>评标基准价=所有有效投标人的最低报价；其得分为</w:t>
            </w:r>
            <w:r>
              <w:rPr>
                <w:rFonts w:hint="eastAsia" w:cs="Times New Roman"/>
                <w:color w:val="auto"/>
                <w:highlight w:val="none"/>
                <w:lang w:val="en-US" w:eastAsia="zh-CN"/>
              </w:rPr>
              <w:t>15</w:t>
            </w:r>
            <w:r>
              <w:rPr>
                <w:rFonts w:hint="eastAsia" w:ascii="Times New Roman" w:hAnsi="Times New Roman" w:eastAsia="宋体" w:cs="Times New Roman"/>
                <w:color w:val="auto"/>
                <w:highlight w:val="none"/>
              </w:rPr>
              <w:t>分；</w:t>
            </w:r>
          </w:p>
          <w:p w14:paraId="1E9873AC">
            <w:pPr>
              <w:keepNext w:val="0"/>
              <w:keepLines w:val="0"/>
              <w:pageBreakBefore w:val="0"/>
              <w:widowControl w:val="0"/>
              <w:kinsoku/>
              <w:wordWrap w:val="0"/>
              <w:overflowPunct/>
              <w:topLinePunct w:val="0"/>
              <w:autoSpaceDE/>
              <w:autoSpaceDN/>
              <w:bidi w:val="0"/>
              <w:spacing w:line="44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其他</w:t>
            </w:r>
            <w:r>
              <w:rPr>
                <w:rFonts w:hint="eastAsia" w:ascii="Times New Roman" w:hAnsi="Times New Roman" w:eastAsia="宋体" w:cs="Times New Roman"/>
                <w:color w:val="auto"/>
                <w:highlight w:val="none"/>
              </w:rPr>
              <w:t>报价得分=评标基准价/投标报价×</w:t>
            </w:r>
            <w:r>
              <w:rPr>
                <w:rFonts w:hint="eastAsia" w:cs="Times New Roman"/>
                <w:color w:val="auto"/>
                <w:highlight w:val="none"/>
                <w:lang w:val="en-US" w:eastAsia="zh-CN"/>
              </w:rPr>
              <w:t>15</w:t>
            </w:r>
            <w:r>
              <w:rPr>
                <w:rFonts w:hint="eastAsia" w:ascii="Times New Roman" w:hAnsi="Times New Roman" w:eastAsia="宋体" w:cs="Times New Roman"/>
                <w:color w:val="auto"/>
                <w:highlight w:val="none"/>
              </w:rPr>
              <w:t>分，小数点后保留两位小数，第三位四舍五入</w:t>
            </w:r>
            <w:r>
              <w:rPr>
                <w:rFonts w:hint="eastAsia" w:ascii="Times New Roman" w:hAnsi="Times New Roman" w:eastAsia="宋体" w:cs="Times New Roman"/>
                <w:color w:val="auto"/>
                <w:highlight w:val="none"/>
                <w:lang w:val="en-US" w:eastAsia="zh-CN"/>
              </w:rPr>
              <w:t>；</w:t>
            </w:r>
          </w:p>
          <w:p w14:paraId="7C270361">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Cs w:val="21"/>
                <w:highlight w:val="none"/>
              </w:rPr>
            </w:pPr>
            <w:r>
              <w:rPr>
                <w:rFonts w:hint="eastAsia" w:ascii="Times New Roman" w:hAnsi="Times New Roman" w:eastAsia="宋体" w:cs="Times New Roman"/>
                <w:color w:val="auto"/>
                <w:highlight w:val="none"/>
                <w:lang w:val="en-US" w:eastAsia="zh-CN"/>
              </w:rPr>
              <w:t>3.本项分值由评标委员会负责组织计算。</w:t>
            </w:r>
          </w:p>
        </w:tc>
      </w:tr>
    </w:tbl>
    <w:p w14:paraId="618B850F">
      <w:pPr>
        <w:pStyle w:val="12"/>
        <w:keepNext w:val="0"/>
        <w:keepLines w:val="0"/>
        <w:pageBreakBefore w:val="0"/>
        <w:widowControl w:val="0"/>
        <w:kinsoku/>
        <w:wordWrap w:val="0"/>
        <w:overflowPunct/>
        <w:topLinePunct w:val="0"/>
        <w:autoSpaceDE/>
        <w:autoSpaceDN/>
        <w:bidi w:val="0"/>
        <w:adjustRightInd w:val="0"/>
        <w:snapToGrid w:val="0"/>
        <w:spacing w:after="0" w:afterLines="0"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特别说明：</w:t>
      </w:r>
    </w:p>
    <w:p w14:paraId="01E22094">
      <w:pPr>
        <w:pStyle w:val="12"/>
        <w:keepNext w:val="0"/>
        <w:keepLines w:val="0"/>
        <w:pageBreakBefore w:val="0"/>
        <w:widowControl w:val="0"/>
        <w:kinsoku/>
        <w:wordWrap w:val="0"/>
        <w:overflowPunct/>
        <w:topLinePunct w:val="0"/>
        <w:autoSpaceDE/>
        <w:autoSpaceDN/>
        <w:bidi w:val="0"/>
        <w:adjustRightInd w:val="0"/>
        <w:snapToGrid w:val="0"/>
        <w:spacing w:after="0" w:afterLines="0"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评标专家检验电子投标文件的上述材料，如果由于投标人自身原因导致评标专家无法查看并检验电子投标文件中以上相关资料的，后果由投标人自行承担。</w:t>
      </w:r>
    </w:p>
    <w:p w14:paraId="41C64985">
      <w:pPr>
        <w:pStyle w:val="12"/>
        <w:keepNext w:val="0"/>
        <w:keepLines w:val="0"/>
        <w:pageBreakBefore w:val="0"/>
        <w:widowControl w:val="0"/>
        <w:kinsoku/>
        <w:wordWrap w:val="0"/>
        <w:overflowPunct/>
        <w:topLinePunct w:val="0"/>
        <w:autoSpaceDE/>
        <w:autoSpaceDN/>
        <w:bidi w:val="0"/>
        <w:adjustRightInd w:val="0"/>
        <w:snapToGrid w:val="0"/>
        <w:spacing w:after="0" w:afterLines="0" w:line="440" w:lineRule="exact"/>
        <w:ind w:left="0" w:leftChars="0" w:firstLine="420" w:firstLineChars="200"/>
        <w:jc w:val="left"/>
        <w:textAlignment w:val="auto"/>
        <w:outlineLvl w:val="2"/>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以上分值均保留二位小数，小数点后第三位四舍五入。</w:t>
      </w:r>
    </w:p>
    <w:p w14:paraId="17C27EA3">
      <w:pPr>
        <w:keepNext w:val="0"/>
        <w:keepLines w:val="0"/>
        <w:pageBreakBefore w:val="0"/>
        <w:widowControl w:val="0"/>
        <w:kinsoku/>
        <w:wordWrap w:val="0"/>
        <w:overflowPunct/>
        <w:topLinePunct w:val="0"/>
        <w:autoSpaceDE/>
        <w:autoSpaceDN/>
        <w:bidi w:val="0"/>
        <w:spacing w:line="440" w:lineRule="exact"/>
        <w:ind w:firstLine="422" w:firstLineChars="20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bidi="ar-SA"/>
        </w:rPr>
        <w:t>（3）</w:t>
      </w:r>
      <w:r>
        <w:rPr>
          <w:rFonts w:hint="eastAsia" w:ascii="宋体" w:hAnsi="宋体" w:eastAsia="宋体" w:cs="宋体"/>
          <w:b/>
          <w:bCs/>
          <w:color w:val="auto"/>
          <w:kern w:val="0"/>
          <w:sz w:val="21"/>
          <w:szCs w:val="21"/>
          <w:highlight w:val="none"/>
          <w:lang w:val="zh-CN" w:eastAsia="zh-CN" w:bidi="ar-SA"/>
        </w:rPr>
        <w:t>投标人必须和拟派的所有岗位人员按照相关规定签订劳动合同并为其缴纳社保，否则产生的相关纠纷由投标人自行承担。投标人投标时充分考虑企业利润，如因企业漏报或主动让利，产生的相关纠纷由投标人自行承担。滁州市人社局对滁州市人员最低工资及五险进行调整时，中标人适当作相应调整</w:t>
      </w:r>
      <w:r>
        <w:rPr>
          <w:rFonts w:hint="eastAsia" w:ascii="宋体" w:hAnsi="宋体" w:cs="宋体"/>
          <w:b/>
          <w:bCs/>
          <w:color w:val="auto"/>
          <w:kern w:val="0"/>
          <w:sz w:val="21"/>
          <w:szCs w:val="21"/>
          <w:highlight w:val="none"/>
          <w:lang w:val="zh-CN" w:eastAsia="zh-CN" w:bidi="ar-SA"/>
        </w:rPr>
        <w:t>，</w:t>
      </w:r>
      <w:r>
        <w:rPr>
          <w:rFonts w:hint="eastAsia" w:ascii="宋体" w:hAnsi="宋体" w:cs="宋体"/>
          <w:b/>
          <w:bCs/>
          <w:color w:val="auto"/>
          <w:kern w:val="0"/>
          <w:sz w:val="21"/>
          <w:szCs w:val="21"/>
          <w:highlight w:val="none"/>
          <w:lang w:val="en-US" w:eastAsia="zh-CN" w:bidi="ar-SA"/>
        </w:rPr>
        <w:t>招标人不予调整服务费用</w:t>
      </w:r>
      <w:r>
        <w:rPr>
          <w:rFonts w:hint="eastAsia" w:ascii="宋体" w:hAnsi="宋体" w:eastAsia="宋体" w:cs="宋体"/>
          <w:b/>
          <w:bCs/>
          <w:color w:val="auto"/>
          <w:kern w:val="0"/>
          <w:sz w:val="21"/>
          <w:szCs w:val="21"/>
          <w:highlight w:val="none"/>
          <w:lang w:val="zh-CN" w:eastAsia="zh-CN" w:bidi="ar-SA"/>
        </w:rPr>
        <w:t>。</w:t>
      </w:r>
    </w:p>
    <w:bookmarkEnd w:id="93"/>
    <w:bookmarkEnd w:id="94"/>
    <w:bookmarkEnd w:id="95"/>
    <w:bookmarkEnd w:id="96"/>
    <w:bookmarkEnd w:id="97"/>
    <w:p w14:paraId="747F3BA0">
      <w:pPr>
        <w:keepNext w:val="0"/>
        <w:keepLines w:val="0"/>
        <w:pageBreakBefore w:val="0"/>
        <w:widowControl w:val="0"/>
        <w:kinsoku/>
        <w:wordWrap w:val="0"/>
        <w:overflowPunct/>
        <w:topLinePunct w:val="0"/>
        <w:autoSpaceDE/>
        <w:autoSpaceDN/>
        <w:bidi w:val="0"/>
        <w:spacing w:line="440" w:lineRule="exact"/>
        <w:textAlignment w:val="auto"/>
        <w:outlineLvl w:val="3"/>
        <w:rPr>
          <w:rFonts w:hint="eastAsia" w:ascii="宋体" w:hAnsi="宋体" w:cs="宋体"/>
          <w:b/>
          <w:bCs/>
          <w:color w:val="auto"/>
          <w:szCs w:val="21"/>
          <w:highlight w:val="none"/>
        </w:rPr>
      </w:pPr>
      <w:bookmarkStart w:id="98" w:name="_Toc30417"/>
      <w:bookmarkStart w:id="99" w:name="_Toc449028945"/>
      <w:bookmarkStart w:id="100" w:name="_Toc22340"/>
      <w:r>
        <w:rPr>
          <w:rFonts w:hint="eastAsia" w:ascii="宋体" w:hAnsi="宋体" w:cs="宋体"/>
          <w:b/>
          <w:bCs/>
          <w:color w:val="auto"/>
          <w:szCs w:val="21"/>
          <w:highlight w:val="none"/>
          <w:lang w:val="en-US" w:eastAsia="zh-CN"/>
        </w:rPr>
        <w:t>　　1</w:t>
      </w:r>
      <w:r>
        <w:rPr>
          <w:rFonts w:hint="eastAsia" w:ascii="宋体" w:hAnsi="宋体" w:cs="宋体"/>
          <w:b/>
          <w:bCs/>
          <w:color w:val="auto"/>
          <w:szCs w:val="21"/>
          <w:highlight w:val="none"/>
        </w:rPr>
        <w:t>．评标方法</w:t>
      </w:r>
    </w:p>
    <w:p w14:paraId="308C838F">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1</w:t>
      </w:r>
      <w:r>
        <w:rPr>
          <w:rFonts w:hint="eastAsia" w:ascii="宋体" w:hAnsi="宋体" w:cs="宋体"/>
          <w:color w:val="auto"/>
          <w:szCs w:val="21"/>
          <w:highlight w:val="none"/>
        </w:rPr>
        <w:t>.1本次评标采用</w:t>
      </w:r>
      <w:r>
        <w:rPr>
          <w:rFonts w:hint="eastAsia" w:ascii="宋体" w:hAnsi="宋体" w:cs="宋体"/>
          <w:b/>
          <w:bCs/>
          <w:color w:val="auto"/>
          <w:szCs w:val="21"/>
          <w:highlight w:val="none"/>
        </w:rPr>
        <w:t>综合评</w:t>
      </w:r>
      <w:r>
        <w:rPr>
          <w:rFonts w:hint="eastAsia" w:ascii="宋体" w:hAnsi="宋体" w:cs="宋体"/>
          <w:b/>
          <w:bCs/>
          <w:color w:val="auto"/>
          <w:szCs w:val="21"/>
          <w:highlight w:val="none"/>
          <w:lang w:val="en-US" w:eastAsia="zh-CN"/>
        </w:rPr>
        <w:t>分</w:t>
      </w:r>
      <w:r>
        <w:rPr>
          <w:rFonts w:hint="eastAsia" w:ascii="宋体" w:hAnsi="宋体" w:cs="宋体"/>
          <w:b/>
          <w:bCs/>
          <w:color w:val="auto"/>
          <w:szCs w:val="21"/>
          <w:highlight w:val="none"/>
        </w:rPr>
        <w:t>法</w:t>
      </w:r>
      <w:r>
        <w:rPr>
          <w:rFonts w:hint="eastAsia" w:ascii="宋体" w:hAnsi="宋体" w:cs="宋体"/>
          <w:color w:val="auto"/>
          <w:szCs w:val="21"/>
          <w:highlight w:val="none"/>
        </w:rPr>
        <w:t>。评标委员会对满足招标文件实质性要求的投标文件，按照本章规定的评分标准进行打分，并按</w:t>
      </w:r>
      <w:r>
        <w:rPr>
          <w:rFonts w:hint="eastAsia" w:ascii="宋体" w:hAnsi="宋体" w:cs="宋体"/>
          <w:b/>
          <w:bCs/>
          <w:color w:val="auto"/>
          <w:szCs w:val="21"/>
          <w:highlight w:val="none"/>
        </w:rPr>
        <w:t>总得分由高到低顺序推荐中标候选人应当不超过3名</w:t>
      </w:r>
      <w:r>
        <w:rPr>
          <w:rFonts w:hint="eastAsia" w:ascii="宋体" w:hAnsi="宋体" w:cs="宋体"/>
          <w:color w:val="auto"/>
          <w:szCs w:val="21"/>
          <w:highlight w:val="none"/>
        </w:rPr>
        <w:t>，并标明排序，但投标报价低于其成本的除外。如总得分相等，以投标报价低的优先，投标报价仍相等，由评标委员会主任委员或招标人随机抽取确定排名。</w:t>
      </w:r>
    </w:p>
    <w:p w14:paraId="340F2E5A">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w:t>
      </w:r>
      <w:r>
        <w:rPr>
          <w:rFonts w:hint="eastAsia" w:ascii="宋体" w:hAnsi="宋体" w:eastAsia="宋体" w:cs="宋体"/>
          <w:color w:val="auto"/>
          <w:szCs w:val="21"/>
          <w:highlight w:val="none"/>
          <w:lang w:val="en-US" w:eastAsia="zh-CN"/>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4E3321CD">
      <w:pPr>
        <w:keepNext w:val="0"/>
        <w:keepLines w:val="0"/>
        <w:pageBreakBefore w:val="0"/>
        <w:widowControl w:val="0"/>
        <w:kinsoku/>
        <w:wordWrap w:val="0"/>
        <w:overflowPunct/>
        <w:topLinePunct w:val="0"/>
        <w:autoSpaceDE/>
        <w:autoSpaceDN/>
        <w:bidi w:val="0"/>
        <w:spacing w:line="440" w:lineRule="exact"/>
        <w:textAlignment w:val="auto"/>
        <w:outlineLvl w:val="3"/>
        <w:rPr>
          <w:rFonts w:hint="eastAsia" w:ascii="宋体" w:hAnsi="宋体" w:eastAsia="宋体" w:cs="宋体"/>
          <w:b/>
          <w:bCs/>
          <w:color w:val="auto"/>
          <w:szCs w:val="21"/>
          <w:highlight w:val="none"/>
          <w:lang w:val="en-US" w:eastAsia="zh-CN"/>
        </w:rPr>
      </w:pPr>
      <w:bookmarkStart w:id="101" w:name="_Toc95223405"/>
      <w:r>
        <w:rPr>
          <w:rFonts w:hint="eastAsia" w:ascii="宋体" w:hAnsi="宋体" w:cs="宋体"/>
          <w:b/>
          <w:bCs/>
          <w:color w:val="auto"/>
          <w:szCs w:val="21"/>
          <w:highlight w:val="none"/>
          <w:lang w:val="en-US" w:eastAsia="zh-CN"/>
        </w:rPr>
        <w:t>　　</w:t>
      </w:r>
      <w:r>
        <w:rPr>
          <w:rFonts w:hint="eastAsia" w:ascii="宋体" w:hAnsi="宋体" w:eastAsia="宋体" w:cs="宋体"/>
          <w:b/>
          <w:bCs/>
          <w:color w:val="auto"/>
          <w:szCs w:val="21"/>
          <w:highlight w:val="none"/>
          <w:lang w:val="en-US" w:eastAsia="zh-CN"/>
        </w:rPr>
        <w:t>2.评标委员会的职责</w:t>
      </w:r>
    </w:p>
    <w:p w14:paraId="741B169F">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04242D8">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b/>
          <w:bCs/>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2170FBF">
      <w:pPr>
        <w:keepNext w:val="0"/>
        <w:keepLines w:val="0"/>
        <w:pageBreakBefore w:val="0"/>
        <w:widowControl w:val="0"/>
        <w:kinsoku/>
        <w:wordWrap w:val="0"/>
        <w:overflowPunct/>
        <w:topLinePunct w:val="0"/>
        <w:autoSpaceDE/>
        <w:autoSpaceDN/>
        <w:bidi w:val="0"/>
        <w:spacing w:line="440" w:lineRule="exact"/>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　3</w:t>
      </w:r>
      <w:r>
        <w:rPr>
          <w:rFonts w:hint="eastAsia" w:ascii="宋体"/>
          <w:b/>
          <w:color w:val="auto"/>
          <w:szCs w:val="21"/>
          <w:highlight w:val="none"/>
        </w:rPr>
        <w:t>.评标程序</w:t>
      </w:r>
    </w:p>
    <w:p w14:paraId="3638290E">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olor w:val="auto"/>
          <w:szCs w:val="21"/>
          <w:highlight w:val="none"/>
        </w:rPr>
      </w:pPr>
      <w:bookmarkStart w:id="102" w:name="_Toc95223402"/>
      <w:r>
        <w:rPr>
          <w:rFonts w:hint="eastAsia" w:ascii="宋体" w:hAnsi="宋体"/>
          <w:color w:val="auto"/>
          <w:szCs w:val="21"/>
          <w:highlight w:val="none"/>
        </w:rPr>
        <w:t>评标先做准备工作，再进行资格、技术标评审，然后进行商务标评审。</w:t>
      </w:r>
    </w:p>
    <w:p w14:paraId="1EBF9E9C">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4"/>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.1评标准备工作</w:t>
      </w:r>
      <w:bookmarkEnd w:id="102"/>
    </w:p>
    <w:p w14:paraId="2A695CB7">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评标委员会熟悉评标工作情况：</w:t>
      </w:r>
    </w:p>
    <w:p w14:paraId="08DC096A">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（1）阅读由招标人或者其委</w:t>
      </w:r>
      <w:bookmarkStart w:id="103" w:name="_Toc15058916"/>
      <w:bookmarkStart w:id="104" w:name="_Toc60061499"/>
      <w:r>
        <w:rPr>
          <w:rFonts w:hint="eastAsia" w:ascii="宋体" w:hAnsi="宋体" w:cs="宋体"/>
          <w:color w:val="auto"/>
          <w:highlight w:val="none"/>
        </w:rPr>
        <w:t>托的代理机构编</w:t>
      </w:r>
      <w:bookmarkEnd w:id="103"/>
      <w:bookmarkEnd w:id="104"/>
      <w:r>
        <w:rPr>
          <w:rFonts w:hint="eastAsia" w:ascii="宋体" w:hAnsi="宋体" w:cs="宋体"/>
          <w:color w:val="auto"/>
          <w:highlight w:val="none"/>
        </w:rPr>
        <w:t>制的招标项目情况材料。</w:t>
      </w:r>
    </w:p>
    <w:p w14:paraId="7EB1681A">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14:paraId="3BCD4DD5">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（3）熟悉招标文件规定的评标标准和评标方法及在评标过程中需要考虑的相关因素。</w:t>
      </w:r>
    </w:p>
    <w:p w14:paraId="7AA9FA4C">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2"/>
        <w:rPr>
          <w:rFonts w:hint="eastAsia" w:ascii="宋体" w:hAnsi="宋体" w:cs="宋体"/>
          <w:color w:val="auto"/>
          <w:highlight w:val="none"/>
        </w:rPr>
      </w:pPr>
      <w:r>
        <w:rPr>
          <w:rFonts w:hint="eastAsia" w:ascii="宋体" w:hAnsi="宋体" w:cs="宋体"/>
          <w:color w:val="auto"/>
          <w:highlight w:val="none"/>
        </w:rPr>
        <w:t>（4）核对评标工作用表。</w:t>
      </w:r>
    </w:p>
    <w:p w14:paraId="416694F8">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3"/>
        <w:rPr>
          <w:rFonts w:hint="eastAsia" w:ascii="宋体" w:hAnsi="宋体" w:cs="宋体"/>
          <w:color w:val="auto"/>
          <w:highlight w:val="none"/>
        </w:rPr>
      </w:pPr>
      <w:bookmarkStart w:id="105" w:name="_Toc60061500"/>
      <w:bookmarkStart w:id="106" w:name="_Toc15058917"/>
      <w:r>
        <w:rPr>
          <w:rFonts w:hint="eastAsia" w:ascii="宋体" w:hAnsi="宋体" w:cs="宋体"/>
          <w:color w:val="auto"/>
          <w:highlight w:val="none"/>
          <w:lang w:val="en-US" w:eastAsia="zh-CN"/>
        </w:rPr>
        <w:t>3</w:t>
      </w:r>
      <w:r>
        <w:rPr>
          <w:rFonts w:hint="eastAsia" w:ascii="宋体" w:hAnsi="宋体" w:cs="宋体"/>
          <w:color w:val="auto"/>
          <w:highlight w:val="none"/>
        </w:rPr>
        <w:t>.2推荐中标候</w:t>
      </w:r>
      <w:bookmarkEnd w:id="105"/>
      <w:bookmarkEnd w:id="106"/>
      <w:r>
        <w:rPr>
          <w:rFonts w:hint="eastAsia" w:ascii="宋体" w:hAnsi="宋体" w:cs="宋体"/>
          <w:color w:val="auto"/>
          <w:highlight w:val="none"/>
        </w:rPr>
        <w:t>选人</w:t>
      </w:r>
    </w:p>
    <w:p w14:paraId="401999B8">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资信评审、技术标评审、商务标评审后，推荐中标候选人，并标明排序。</w:t>
      </w:r>
    </w:p>
    <w:bookmarkEnd w:id="101"/>
    <w:p w14:paraId="4A7EA969">
      <w:pPr>
        <w:keepNext w:val="0"/>
        <w:keepLines w:val="0"/>
        <w:pageBreakBefore w:val="0"/>
        <w:widowControl w:val="0"/>
        <w:kinsoku/>
        <w:wordWrap w:val="0"/>
        <w:overflowPunct/>
        <w:topLinePunct w:val="0"/>
        <w:autoSpaceDE/>
        <w:autoSpaceDN/>
        <w:bidi w:val="0"/>
        <w:spacing w:line="440" w:lineRule="exact"/>
        <w:ind w:firstLine="316" w:firstLineChars="150"/>
        <w:jc w:val="left"/>
        <w:textAlignment w:val="auto"/>
        <w:outlineLvl w:val="4"/>
        <w:rPr>
          <w:rFonts w:hint="eastAsia" w:ascii="宋体"/>
          <w:b/>
          <w:color w:val="auto"/>
          <w:szCs w:val="21"/>
          <w:highlight w:val="none"/>
        </w:rPr>
      </w:pPr>
      <w:bookmarkStart w:id="107" w:name="_Hlk61815781"/>
      <w:r>
        <w:rPr>
          <w:rFonts w:hint="eastAsia" w:ascii="宋体"/>
          <w:b/>
          <w:color w:val="auto"/>
          <w:szCs w:val="21"/>
          <w:highlight w:val="none"/>
          <w:lang w:val="en-US" w:eastAsia="zh-CN"/>
        </w:rPr>
        <w:t>4</w:t>
      </w:r>
      <w:r>
        <w:rPr>
          <w:rFonts w:hint="eastAsia" w:ascii="宋体"/>
          <w:b/>
          <w:color w:val="auto"/>
          <w:szCs w:val="21"/>
          <w:highlight w:val="none"/>
        </w:rPr>
        <w:t>.评审内容</w:t>
      </w:r>
    </w:p>
    <w:bookmarkEnd w:id="107"/>
    <w:p w14:paraId="1FA0BAC4">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3"/>
        <w:rPr>
          <w:rFonts w:hint="eastAsia" w:ascii="宋体" w:hAnsi="宋体" w:eastAsia="宋体" w:cs="宋体"/>
          <w:color w:val="auto"/>
          <w:highlight w:val="none"/>
        </w:rPr>
      </w:pPr>
      <w:bookmarkStart w:id="108" w:name="_Toc95223437"/>
      <w:bookmarkStart w:id="109" w:name="_Toc95223439"/>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商务标评审</w:t>
      </w:r>
      <w:bookmarkEnd w:id="108"/>
    </w:p>
    <w:p w14:paraId="172606DF">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只有通过技术标评</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rPr>
        <w:t>的投标才能够进入本阶段评审。</w:t>
      </w:r>
    </w:p>
    <w:p w14:paraId="4671A8A5">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.1形式性评审标准：见商务标评审表。</w:t>
      </w:r>
    </w:p>
    <w:p w14:paraId="303A6848">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.2响应性评审标准：见商务标评审表。</w:t>
      </w:r>
    </w:p>
    <w:p w14:paraId="37DF9C9D">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0EC11591">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4"/>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.3详细评审标准：见商务标评审表。</w:t>
      </w:r>
    </w:p>
    <w:p w14:paraId="03E6484B">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评标委员会审查投标文件，看其是否有计算或表达上的错误，投标报价有错误的，评标委员会按以下原则对投标报价进行修正。</w:t>
      </w:r>
    </w:p>
    <w:p w14:paraId="7EA4137F">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796CA238">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6E232136">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5991B3B6">
      <w:pPr>
        <w:keepNext w:val="0"/>
        <w:keepLines w:val="0"/>
        <w:pageBreakBefore w:val="0"/>
        <w:widowControl w:val="0"/>
        <w:kinsoku/>
        <w:wordWrap w:val="0"/>
        <w:overflowPunct/>
        <w:topLinePunct w:val="0"/>
        <w:autoSpaceDE/>
        <w:autoSpaceDN/>
        <w:bidi w:val="0"/>
        <w:spacing w:line="440" w:lineRule="exact"/>
        <w:jc w:val="left"/>
        <w:textAlignment w:val="auto"/>
        <w:rPr>
          <w:rFonts w:hint="eastAsia" w:ascii="宋体"/>
          <w:b/>
          <w:color w:val="auto"/>
          <w:szCs w:val="21"/>
          <w:highlight w:val="none"/>
        </w:rPr>
      </w:pPr>
      <w:r>
        <w:rPr>
          <w:rFonts w:hint="eastAsia" w:ascii="宋体"/>
          <w:b/>
          <w:color w:val="auto"/>
          <w:szCs w:val="21"/>
          <w:highlight w:val="none"/>
          <w:lang w:val="en-US" w:eastAsia="zh-CN"/>
        </w:rPr>
        <w:t>　　5</w:t>
      </w:r>
      <w:r>
        <w:rPr>
          <w:rFonts w:hint="eastAsia" w:ascii="宋体"/>
          <w:b/>
          <w:color w:val="auto"/>
          <w:szCs w:val="21"/>
          <w:highlight w:val="none"/>
        </w:rPr>
        <w:t>.无效投标条款</w:t>
      </w:r>
    </w:p>
    <w:p w14:paraId="0995BB6B">
      <w:pPr>
        <w:keepNext w:val="0"/>
        <w:keepLines w:val="0"/>
        <w:pageBreakBefore w:val="0"/>
        <w:widowControl w:val="0"/>
        <w:kinsoku/>
        <w:wordWrap w:val="0"/>
        <w:overflowPunct/>
        <w:topLinePunct w:val="0"/>
        <w:autoSpaceDE/>
        <w:autoSpaceDN/>
        <w:bidi w:val="0"/>
        <w:spacing w:line="440" w:lineRule="exact"/>
        <w:jc w:val="left"/>
        <w:textAlignment w:val="auto"/>
        <w:outlineLvl w:val="3"/>
        <w:rPr>
          <w:rFonts w:hint="eastAsia" w:ascii="宋体" w:hAnsi="宋体" w:eastAsia="宋体" w:cs="宋体"/>
          <w:color w:val="auto"/>
          <w:highlight w:val="none"/>
        </w:rPr>
      </w:pPr>
      <w:r>
        <w:rPr>
          <w:rFonts w:hint="eastAsia" w:ascii="宋体" w:hAnsi="宋体" w:cs="宋体"/>
          <w:color w:val="auto"/>
          <w:highlight w:val="none"/>
          <w:lang w:val="en-US" w:eastAsia="zh-CN"/>
        </w:rPr>
        <w:t>　　</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.1投标人存在下列情形的招标人将拒收投标文件:</w:t>
      </w:r>
    </w:p>
    <w:p w14:paraId="0E4E1353">
      <w:pPr>
        <w:keepNext w:val="0"/>
        <w:keepLines w:val="0"/>
        <w:pageBreakBefore w:val="0"/>
        <w:widowControl w:val="0"/>
        <w:kinsoku/>
        <w:wordWrap w:val="0"/>
        <w:overflowPunct/>
        <w:topLinePunct w:val="0"/>
        <w:autoSpaceDE/>
        <w:autoSpaceDN/>
        <w:bidi w:val="0"/>
        <w:spacing w:line="440" w:lineRule="exact"/>
        <w:jc w:val="left"/>
        <w:textAlignment w:val="auto"/>
        <w:rPr>
          <w:rFonts w:hint="eastAsia" w:ascii="宋体" w:hAnsi="宋体" w:cs="宋体"/>
          <w:color w:val="auto"/>
          <w:highlight w:val="none"/>
        </w:rPr>
      </w:pPr>
      <w:r>
        <w:rPr>
          <w:rFonts w:hint="eastAsia" w:ascii="宋体" w:hAnsi="宋体" w:cs="宋体"/>
          <w:color w:val="auto"/>
          <w:highlight w:val="none"/>
          <w:lang w:eastAsia="zh-CN"/>
        </w:rPr>
        <w:t>　　</w:t>
      </w:r>
      <w:r>
        <w:rPr>
          <w:rFonts w:hint="eastAsia" w:ascii="宋体" w:hAnsi="宋体" w:eastAsia="宋体" w:cs="宋体"/>
          <w:color w:val="auto"/>
          <w:highlight w:val="none"/>
        </w:rPr>
        <w:t>（1）</w:t>
      </w:r>
      <w:r>
        <w:rPr>
          <w:rFonts w:hint="eastAsia" w:ascii="宋体" w:hAnsi="宋体" w:cs="宋体"/>
          <w:color w:val="auto"/>
          <w:highlight w:val="none"/>
        </w:rPr>
        <w:t>未在开标截止时间前通过网上招标投标系统递交有效电子投标文件的，开标系统不予接收，投标将被拒绝。</w:t>
      </w:r>
    </w:p>
    <w:p w14:paraId="434FC0A7">
      <w:pPr>
        <w:keepNext w:val="0"/>
        <w:keepLines w:val="0"/>
        <w:pageBreakBefore w:val="0"/>
        <w:widowControl w:val="0"/>
        <w:kinsoku/>
        <w:wordWrap w:val="0"/>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DA522F8">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3"/>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.2投标人有下列情形的，经评审后其投标作无效投标处理：</w:t>
      </w:r>
    </w:p>
    <w:p w14:paraId="2DD99C67">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4"/>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.2.1商务标评审</w:t>
      </w:r>
    </w:p>
    <w:p w14:paraId="6D2AF520">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rPr>
        <w:t>评标委员会依据《商务标评审表》进行形式性评审和响应性评审。有一项不符合评审标准的，做无效投标处理；</w:t>
      </w:r>
    </w:p>
    <w:p w14:paraId="4098A452">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cs="宋体"/>
          <w:color w:val="auto"/>
          <w:highlight w:val="none"/>
        </w:rPr>
        <w:t>商务标详细评审标准中有任何一项不能通过评审的，作无效投标处理。</w:t>
      </w:r>
    </w:p>
    <w:p w14:paraId="28CF8BEA">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3"/>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.3其他无效投标情况：</w:t>
      </w:r>
    </w:p>
    <w:p w14:paraId="3CDA317B">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BD6B030">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（2）调整或修正投标文件的投标报价，调整或修正的价格经投标人书面确认后具有约束力。投标人不接受修正价格的，其投标将被拒绝。</w:t>
      </w:r>
    </w:p>
    <w:p w14:paraId="5526B1A9">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2"/>
        <w:rPr>
          <w:rFonts w:hint="eastAsia" w:ascii="宋体" w:hAnsi="宋体" w:eastAsia="宋体" w:cs="宋体"/>
          <w:color w:val="auto"/>
          <w:highlight w:val="none"/>
        </w:rPr>
      </w:pPr>
      <w:r>
        <w:rPr>
          <w:rFonts w:hint="eastAsia" w:ascii="宋体" w:hAnsi="宋体" w:eastAsia="宋体" w:cs="宋体"/>
          <w:color w:val="auto"/>
          <w:highlight w:val="none"/>
        </w:rPr>
        <w:t>（3）第二章“投标人须知”第</w:t>
      </w:r>
      <w:r>
        <w:rPr>
          <w:rFonts w:hint="eastAsia" w:ascii="宋体" w:hAnsi="宋体" w:eastAsia="宋体" w:cs="宋体"/>
          <w:color w:val="auto"/>
          <w:highlight w:val="none"/>
          <w:lang w:val="en-US" w:eastAsia="zh-CN"/>
        </w:rPr>
        <w:t>13.4</w:t>
      </w:r>
      <w:r>
        <w:rPr>
          <w:rFonts w:hint="eastAsia" w:ascii="宋体" w:hAnsi="宋体" w:eastAsia="宋体" w:cs="宋体"/>
          <w:color w:val="auto"/>
          <w:highlight w:val="none"/>
        </w:rPr>
        <w:t>项规定</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情形。</w:t>
      </w:r>
    </w:p>
    <w:p w14:paraId="69F6B466">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）投标人有串通投标、视为串通投标、弄虚作假、行贿等违法行为。</w:t>
      </w:r>
    </w:p>
    <w:p w14:paraId="0DF9216B">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2"/>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）投标文件没有对招标文件的实质性要求和条件作出响应。</w:t>
      </w:r>
    </w:p>
    <w:p w14:paraId="139F1BB4">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）未按规定的格式填写导致实质性内容不全以及实质上不响应，或者关键字迹模糊、无法辨认；经公共资源交易监督部门核准的。</w:t>
      </w:r>
    </w:p>
    <w:p w14:paraId="5F3A04A2">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）同一投标人提交两个以上不同的投标文件或者投标报价，但招标文件规定提交备选投标的除外。</w:t>
      </w:r>
    </w:p>
    <w:p w14:paraId="733F277D">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outlineLvl w:val="2"/>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）投标文件中存在招标人不能接受的其他实质性条件。</w:t>
      </w:r>
    </w:p>
    <w:p w14:paraId="310C7305">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）投标文件中填报的拟任项目经理与资格审查通过的项目经理前后不一致的。</w:t>
      </w:r>
    </w:p>
    <w:p w14:paraId="77B3E5BA">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）投标人拒不按照要求对投标文件进行澄清、说明、补正的，或评标委员会根据招标文件的规定对招标文件的计算错误进行修正后，投标人不接受修正的投标报价的。</w:t>
      </w:r>
    </w:p>
    <w:p w14:paraId="206A4B95">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）投标人投标MAC地址一致。</w:t>
      </w:r>
    </w:p>
    <w:p w14:paraId="79FBC153">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）投标人单方面出现其他投标人材料。</w:t>
      </w:r>
    </w:p>
    <w:p w14:paraId="6B2FB6BB">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3</w:t>
      </w:r>
      <w:r>
        <w:rPr>
          <w:rFonts w:hint="eastAsia" w:ascii="宋体" w:hAnsi="宋体" w:cs="宋体"/>
          <w:color w:val="auto"/>
          <w:highlight w:val="none"/>
        </w:rPr>
        <w:t>）评标时查询投标文件制作机器码、文件创建标识码及造价软件加密锁号。若存在投标文件制作机器码或创建标识码或造价软件加密锁号信息与其他投标人雷同的，投标无效。</w:t>
      </w:r>
    </w:p>
    <w:p w14:paraId="414385EB">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4</w:t>
      </w:r>
      <w:r>
        <w:rPr>
          <w:rFonts w:hint="eastAsia" w:ascii="宋体" w:hAnsi="宋体" w:cs="宋体"/>
          <w:color w:val="auto"/>
          <w:highlight w:val="none"/>
        </w:rPr>
        <w:t>）投标人申请开具电子保函MAC地址一致。</w:t>
      </w:r>
    </w:p>
    <w:p w14:paraId="27DC1FA3">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szCs w:val="21"/>
          <w:highlight w:val="none"/>
        </w:rPr>
        <w:t>投标人联系人或联系电话相同的。</w:t>
      </w:r>
    </w:p>
    <w:p w14:paraId="348E32F9">
      <w:pPr>
        <w:keepNext w:val="0"/>
        <w:keepLines w:val="0"/>
        <w:pageBreakBefore w:val="0"/>
        <w:widowControl w:val="0"/>
        <w:kinsoku/>
        <w:wordWrap w:val="0"/>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）法律、法规规定的其他情形。</w:t>
      </w:r>
    </w:p>
    <w:p w14:paraId="5AC9ACCB">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.投标文件的澄清和补正</w:t>
      </w:r>
      <w:bookmarkEnd w:id="109"/>
    </w:p>
    <w:p w14:paraId="6E397F71">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bookmarkStart w:id="110" w:name="_Toc95223410"/>
      <w:bookmarkStart w:id="111" w:name="_Toc95223441"/>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3383C5AA">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1C7117C1">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F2F99F6">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0B2A6C69">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7.</w:t>
      </w:r>
      <w:r>
        <w:rPr>
          <w:rFonts w:hint="eastAsia" w:ascii="宋体" w:hAnsi="Times New Roman" w:eastAsia="宋体" w:cs="Times New Roman"/>
          <w:b/>
          <w:color w:val="auto"/>
          <w:szCs w:val="21"/>
          <w:highlight w:val="none"/>
        </w:rPr>
        <w:t>评委会修正错误的原则：</w:t>
      </w:r>
    </w:p>
    <w:p w14:paraId="09BADD58">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0864B506">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.2如果单价与数量的乘积和总价不一致，以单价为准，修正总价及开标一览表；当单价小数点有明显的错位时，评委会将以总价为准，并修正其单价。</w:t>
      </w:r>
    </w:p>
    <w:p w14:paraId="534770D4">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委会将按上述修正错误的方法调整投标文件中的投标报价，调整后的价格应对投标人具有约束力。无论投标人是接受或是拒绝调整后的价格，都应当由投标人在系统中确认。投标人拒绝对投标文件出现的错漏按上述原则进行修正、澄清、说明，评标委员会应当否决其投标。</w:t>
      </w:r>
    </w:p>
    <w:p w14:paraId="1845AA23">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8</w:t>
      </w:r>
      <w:r>
        <w:rPr>
          <w:rFonts w:hint="eastAsia" w:ascii="宋体"/>
          <w:b/>
          <w:color w:val="auto"/>
          <w:szCs w:val="21"/>
          <w:highlight w:val="none"/>
        </w:rPr>
        <w:t>.评分标准</w:t>
      </w:r>
      <w:bookmarkEnd w:id="110"/>
    </w:p>
    <w:p w14:paraId="7F262628">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.1资信标评分标准：见资信标评审表。</w:t>
      </w:r>
    </w:p>
    <w:p w14:paraId="232D7E9E">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.2技术标评分标准：见技术标评审表。</w:t>
      </w:r>
    </w:p>
    <w:p w14:paraId="6DE16EBE">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.3商务标评分标准：见商务标评审表。</w:t>
      </w:r>
    </w:p>
    <w:p w14:paraId="5C2BF8F1">
      <w:pPr>
        <w:keepNext w:val="0"/>
        <w:keepLines w:val="0"/>
        <w:pageBreakBefore w:val="0"/>
        <w:widowControl w:val="0"/>
        <w:kinsoku/>
        <w:wordWrap w:val="0"/>
        <w:overflowPunct/>
        <w:topLinePunct w:val="0"/>
        <w:autoSpaceDE/>
        <w:autoSpaceDN/>
        <w:bidi w:val="0"/>
        <w:snapToGrid w:val="0"/>
        <w:spacing w:line="440" w:lineRule="exact"/>
        <w:ind w:firstLine="420"/>
        <w:textAlignment w:val="auto"/>
        <w:outlineLvl w:val="3"/>
        <w:rPr>
          <w:rFonts w:hint="eastAsia" w:ascii="宋体" w:hAnsi="宋体" w:cs="宋体"/>
          <w:color w:val="auto"/>
          <w:szCs w:val="21"/>
          <w:highlight w:val="none"/>
        </w:rPr>
      </w:pPr>
      <w:r>
        <w:rPr>
          <w:rFonts w:hint="eastAsia" w:ascii="宋体"/>
          <w:b/>
          <w:color w:val="auto"/>
          <w:szCs w:val="21"/>
          <w:highlight w:val="none"/>
          <w:lang w:val="en-US" w:eastAsia="zh-CN"/>
        </w:rPr>
        <w:t>9</w:t>
      </w:r>
      <w:r>
        <w:rPr>
          <w:rFonts w:hint="eastAsia" w:ascii="宋体"/>
          <w:b/>
          <w:color w:val="auto"/>
          <w:szCs w:val="21"/>
          <w:highlight w:val="none"/>
        </w:rPr>
        <w:t>.评审结果</w:t>
      </w:r>
      <w:bookmarkEnd w:id="111"/>
    </w:p>
    <w:p w14:paraId="32203140">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.1除第二章“投标人须知”及其前附表授权直接确定中标人外，评标委员会按照总得分由高到低顺序推荐中标候选人。</w:t>
      </w:r>
    </w:p>
    <w:p w14:paraId="39825D56">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.2评标委员会完成评标后，应当向招标人提交书面评标报告。评标报告应当如实记载以下内容：</w:t>
      </w:r>
    </w:p>
    <w:p w14:paraId="21376524">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14:paraId="28D43898">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4D9502B7">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（3）开标记录。</w:t>
      </w:r>
    </w:p>
    <w:p w14:paraId="4BC16DE5">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5E8135AB">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05569525">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31B9AC73">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50C497C6">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6C6548E0">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2C55B775">
      <w:pPr>
        <w:keepNext w:val="0"/>
        <w:keepLines w:val="0"/>
        <w:pageBreakBefore w:val="0"/>
        <w:widowControl w:val="0"/>
        <w:kinsoku/>
        <w:wordWrap w:val="0"/>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61ED2D3F">
      <w:pPr>
        <w:keepNext w:val="0"/>
        <w:keepLines w:val="0"/>
        <w:pageBreakBefore w:val="0"/>
        <w:widowControl w:val="0"/>
        <w:kinsoku/>
        <w:wordWrap w:val="0"/>
        <w:overflowPunct/>
        <w:topLinePunct w:val="0"/>
        <w:autoSpaceDE/>
        <w:autoSpaceDN/>
        <w:bidi w:val="0"/>
        <w:spacing w:line="440" w:lineRule="exact"/>
        <w:ind w:firstLine="422" w:firstLineChars="200"/>
        <w:jc w:val="left"/>
        <w:textAlignment w:val="auto"/>
        <w:outlineLvl w:val="3"/>
        <w:rPr>
          <w:rFonts w:hint="eastAsia" w:ascii="宋体"/>
          <w:b/>
          <w:color w:val="auto"/>
          <w:szCs w:val="21"/>
          <w:highlight w:val="none"/>
        </w:rPr>
      </w:pPr>
      <w:bookmarkStart w:id="112" w:name="_Toc95223442"/>
      <w:r>
        <w:rPr>
          <w:rFonts w:hint="eastAsia" w:ascii="宋体"/>
          <w:b/>
          <w:color w:val="auto"/>
          <w:szCs w:val="21"/>
          <w:highlight w:val="none"/>
          <w:lang w:val="en-US" w:eastAsia="zh-CN"/>
        </w:rPr>
        <w:t>10</w:t>
      </w:r>
      <w:r>
        <w:rPr>
          <w:rFonts w:hint="eastAsia" w:ascii="宋体"/>
          <w:b/>
          <w:color w:val="auto"/>
          <w:szCs w:val="21"/>
          <w:highlight w:val="none"/>
        </w:rPr>
        <w:t>.其他</w:t>
      </w:r>
      <w:bookmarkEnd w:id="112"/>
    </w:p>
    <w:p w14:paraId="65C9092D">
      <w:pPr>
        <w:keepNext w:val="0"/>
        <w:keepLines w:val="0"/>
        <w:pageBreakBefore w:val="0"/>
        <w:widowControl w:val="0"/>
        <w:kinsoku/>
        <w:wordWrap w:val="0"/>
        <w:overflowPunct/>
        <w:topLinePunct w:val="0"/>
        <w:autoSpaceDE/>
        <w:autoSpaceDN/>
        <w:bidi w:val="0"/>
        <w:adjustRightInd/>
        <w:snapToGrid w:val="0"/>
        <w:spacing w:line="440" w:lineRule="exact"/>
        <w:ind w:firstLine="420" w:firstLineChars="200"/>
        <w:jc w:val="both"/>
        <w:textAlignment w:val="auto"/>
        <w:rPr>
          <w:rFonts w:hint="eastAsia" w:ascii="宋体"/>
          <w:b/>
          <w:color w:val="auto"/>
          <w:sz w:val="32"/>
          <w:szCs w:val="32"/>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.1投标人提供的与投标文件有关的各类证书、证明、文件、资料等的真实性、合法性由投标人负全责。</w:t>
      </w:r>
      <w:r>
        <w:rPr>
          <w:rFonts w:hint="eastAsia" w:ascii="宋体"/>
          <w:b/>
          <w:color w:val="auto"/>
          <w:sz w:val="32"/>
          <w:szCs w:val="32"/>
          <w:highlight w:val="none"/>
        </w:rPr>
        <w:t xml:space="preserve"> </w:t>
      </w:r>
    </w:p>
    <w:p w14:paraId="26F34019">
      <w:pPr>
        <w:keepNext w:val="0"/>
        <w:keepLines w:val="0"/>
        <w:pageBreakBefore w:val="0"/>
        <w:widowControl w:val="0"/>
        <w:kinsoku/>
        <w:wordWrap w:val="0"/>
        <w:overflowPunct/>
        <w:topLinePunct w:val="0"/>
        <w:autoSpaceDE/>
        <w:autoSpaceDN/>
        <w:bidi w:val="0"/>
        <w:spacing w:line="440" w:lineRule="exact"/>
        <w:textAlignment w:val="auto"/>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br w:type="page"/>
      </w:r>
    </w:p>
    <w:bookmarkEnd w:id="98"/>
    <w:p w14:paraId="45431646">
      <w:pPr>
        <w:keepNext w:val="0"/>
        <w:keepLines w:val="0"/>
        <w:pageBreakBefore w:val="0"/>
        <w:widowControl w:val="0"/>
        <w:numPr>
          <w:ilvl w:val="0"/>
          <w:numId w:val="0"/>
        </w:numPr>
        <w:kinsoku/>
        <w:wordWrap w:val="0"/>
        <w:overflowPunct/>
        <w:topLinePunct w:val="0"/>
        <w:autoSpaceDE/>
        <w:autoSpaceDN/>
        <w:bidi w:val="0"/>
        <w:adjustRightInd/>
        <w:snapToGrid/>
        <w:spacing w:before="95" w:beforeLines="30" w:after="95" w:afterLines="30" w:line="360" w:lineRule="exact"/>
        <w:ind w:right="0" w:rightChars="0"/>
        <w:jc w:val="center"/>
        <w:textAlignment w:val="auto"/>
        <w:outlineLvl w:val="0"/>
        <w:rPr>
          <w:rFonts w:hint="eastAsia" w:ascii="宋体" w:hAnsi="宋体" w:eastAsia="宋体" w:cs="宋体"/>
          <w:b/>
          <w:bCs/>
          <w:color w:val="auto"/>
          <w:kern w:val="0"/>
          <w:sz w:val="24"/>
          <w:szCs w:val="24"/>
          <w:highlight w:val="none"/>
          <w:lang w:val="en-US" w:eastAsia="zh-CN" w:bidi="ar-SA"/>
        </w:rPr>
      </w:pPr>
      <w:r>
        <w:rPr>
          <w:rFonts w:hint="eastAsia" w:ascii="宋体" w:hAnsi="Times New Roman" w:eastAsia="宋体" w:cs="Times New Roman"/>
          <w:b/>
          <w:color w:val="auto"/>
          <w:kern w:val="2"/>
          <w:sz w:val="32"/>
          <w:szCs w:val="32"/>
          <w:highlight w:val="none"/>
          <w:lang w:val="en-US" w:eastAsia="zh-CN" w:bidi="ar-SA"/>
        </w:rPr>
        <w:t>第五章</w:t>
      </w:r>
      <w:r>
        <w:rPr>
          <w:rFonts w:hint="eastAsia" w:ascii="宋体" w:cs="Times New Roman"/>
          <w:b/>
          <w:color w:val="auto"/>
          <w:kern w:val="2"/>
          <w:sz w:val="32"/>
          <w:szCs w:val="32"/>
          <w:highlight w:val="none"/>
          <w:lang w:val="en-US" w:eastAsia="zh-CN" w:bidi="ar-SA"/>
        </w:rPr>
        <w:t xml:space="preserve">   </w:t>
      </w:r>
      <w:r>
        <w:rPr>
          <w:rFonts w:hint="eastAsia" w:ascii="宋体"/>
          <w:b/>
          <w:color w:val="auto"/>
          <w:sz w:val="32"/>
          <w:szCs w:val="32"/>
          <w:highlight w:val="none"/>
          <w:lang w:eastAsia="zh-CN"/>
        </w:rPr>
        <w:t>采购需求</w:t>
      </w:r>
    </w:p>
    <w:bookmarkEnd w:id="99"/>
    <w:bookmarkEnd w:id="100"/>
    <w:p w14:paraId="0B3661C6">
      <w:pPr>
        <w:keepNext w:val="0"/>
        <w:keepLines w:val="0"/>
        <w:pageBreakBefore w:val="0"/>
        <w:kinsoku/>
        <w:overflowPunct/>
        <w:topLinePunct w:val="0"/>
        <w:autoSpaceDE/>
        <w:autoSpaceDN/>
        <w:bidi w:val="0"/>
        <w:adjustRightInd/>
        <w:spacing w:line="480" w:lineRule="exact"/>
        <w:ind w:firstLine="236" w:firstLineChars="98"/>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一、</w:t>
      </w:r>
      <w:r>
        <w:rPr>
          <w:rFonts w:hint="eastAsia" w:ascii="宋体" w:hAnsi="宋体"/>
          <w:b/>
          <w:bCs/>
          <w:color w:val="auto"/>
          <w:sz w:val="24"/>
          <w:szCs w:val="24"/>
          <w:highlight w:val="none"/>
        </w:rPr>
        <w:t>采购项目概况</w:t>
      </w:r>
    </w:p>
    <w:p w14:paraId="20B7A52E">
      <w:pPr>
        <w:keepNext w:val="0"/>
        <w:keepLines w:val="0"/>
        <w:pageBreakBefore w:val="0"/>
        <w:widowControl w:val="0"/>
        <w:kinsoku/>
        <w:wordWrap/>
        <w:overflowPunct/>
        <w:topLinePunct w:val="0"/>
        <w:autoSpaceDE/>
        <w:autoSpaceDN/>
        <w:bidi w:val="0"/>
        <w:adjustRightInd/>
        <w:snapToGrid/>
        <w:spacing w:line="480" w:lineRule="exact"/>
        <w:ind w:left="482" w:hanging="482" w:hanging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一</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垃圾中转站</w:t>
      </w:r>
      <w:r>
        <w:rPr>
          <w:rFonts w:hint="eastAsia" w:ascii="宋体" w:hAnsi="宋体"/>
          <w:b/>
          <w:bCs/>
          <w:color w:val="auto"/>
          <w:sz w:val="24"/>
          <w:szCs w:val="24"/>
          <w:highlight w:val="none"/>
          <w:lang w:val="en-US" w:eastAsia="zh-CN"/>
        </w:rPr>
        <w:t>已有</w:t>
      </w:r>
      <w:r>
        <w:rPr>
          <w:rFonts w:hint="eastAsia" w:ascii="宋体" w:hAnsi="宋体"/>
          <w:b/>
          <w:bCs/>
          <w:color w:val="auto"/>
          <w:sz w:val="24"/>
          <w:szCs w:val="24"/>
          <w:highlight w:val="none"/>
        </w:rPr>
        <w:t>设备清单如下：</w:t>
      </w:r>
    </w:p>
    <w:tbl>
      <w:tblPr>
        <w:tblStyle w:val="35"/>
        <w:tblW w:w="0" w:type="auto"/>
        <w:jc w:val="center"/>
        <w:tblLayout w:type="fixed"/>
        <w:tblCellMar>
          <w:top w:w="0" w:type="dxa"/>
          <w:left w:w="108" w:type="dxa"/>
          <w:bottom w:w="0" w:type="dxa"/>
          <w:right w:w="108" w:type="dxa"/>
        </w:tblCellMar>
      </w:tblPr>
      <w:tblGrid>
        <w:gridCol w:w="873"/>
        <w:gridCol w:w="2732"/>
        <w:gridCol w:w="1193"/>
        <w:gridCol w:w="1947"/>
        <w:gridCol w:w="860"/>
        <w:gridCol w:w="1205"/>
      </w:tblGrid>
      <w:tr w14:paraId="573DB6BD">
        <w:tblPrEx>
          <w:tblCellMar>
            <w:top w:w="0" w:type="dxa"/>
            <w:left w:w="108" w:type="dxa"/>
            <w:bottom w:w="0" w:type="dxa"/>
            <w:right w:w="108" w:type="dxa"/>
          </w:tblCellMar>
        </w:tblPrEx>
        <w:trPr>
          <w:trHeight w:val="567" w:hRule="exact"/>
          <w:jc w:val="center"/>
        </w:trPr>
        <w:tc>
          <w:tcPr>
            <w:tcW w:w="873" w:type="dxa"/>
            <w:tcBorders>
              <w:top w:val="single" w:color="auto" w:sz="4" w:space="0"/>
              <w:left w:val="single" w:color="auto" w:sz="4" w:space="0"/>
              <w:bottom w:val="single" w:color="auto" w:sz="4" w:space="0"/>
              <w:right w:val="single" w:color="auto" w:sz="4" w:space="0"/>
            </w:tcBorders>
            <w:noWrap w:val="0"/>
            <w:vAlign w:val="bottom"/>
          </w:tcPr>
          <w:p w14:paraId="129A097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732" w:type="dxa"/>
            <w:tcBorders>
              <w:top w:val="single" w:color="auto" w:sz="4" w:space="0"/>
              <w:left w:val="single" w:color="auto" w:sz="4" w:space="0"/>
              <w:bottom w:val="single" w:color="auto" w:sz="4" w:space="0"/>
              <w:right w:val="single" w:color="auto" w:sz="4" w:space="0"/>
            </w:tcBorders>
            <w:noWrap w:val="0"/>
            <w:vAlign w:val="bottom"/>
          </w:tcPr>
          <w:p w14:paraId="61B099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设备名称</w:t>
            </w:r>
          </w:p>
        </w:tc>
        <w:tc>
          <w:tcPr>
            <w:tcW w:w="1193" w:type="dxa"/>
            <w:tcBorders>
              <w:top w:val="single" w:color="auto" w:sz="4" w:space="0"/>
              <w:left w:val="nil"/>
              <w:bottom w:val="single" w:color="auto" w:sz="4" w:space="0"/>
              <w:right w:val="single" w:color="auto" w:sz="4" w:space="0"/>
            </w:tcBorders>
            <w:noWrap w:val="0"/>
            <w:vAlign w:val="bottom"/>
          </w:tcPr>
          <w:p w14:paraId="38E1809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品牌</w:t>
            </w:r>
          </w:p>
        </w:tc>
        <w:tc>
          <w:tcPr>
            <w:tcW w:w="1947" w:type="dxa"/>
            <w:tcBorders>
              <w:top w:val="single" w:color="auto" w:sz="4" w:space="0"/>
              <w:left w:val="nil"/>
              <w:bottom w:val="single" w:color="auto" w:sz="4" w:space="0"/>
              <w:right w:val="single" w:color="auto" w:sz="4" w:space="0"/>
            </w:tcBorders>
            <w:noWrap w:val="0"/>
            <w:vAlign w:val="bottom"/>
          </w:tcPr>
          <w:p w14:paraId="656360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规格型号</w:t>
            </w:r>
          </w:p>
        </w:tc>
        <w:tc>
          <w:tcPr>
            <w:tcW w:w="860" w:type="dxa"/>
            <w:tcBorders>
              <w:top w:val="single" w:color="auto" w:sz="4" w:space="0"/>
              <w:left w:val="nil"/>
              <w:bottom w:val="single" w:color="auto" w:sz="4" w:space="0"/>
              <w:right w:val="single" w:color="auto" w:sz="4" w:space="0"/>
            </w:tcBorders>
            <w:noWrap w:val="0"/>
            <w:vAlign w:val="bottom"/>
          </w:tcPr>
          <w:p w14:paraId="281F839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1205" w:type="dxa"/>
            <w:tcBorders>
              <w:top w:val="single" w:color="auto" w:sz="4" w:space="0"/>
              <w:left w:val="nil"/>
              <w:bottom w:val="single" w:color="auto" w:sz="4" w:space="0"/>
              <w:right w:val="single" w:color="auto" w:sz="4" w:space="0"/>
            </w:tcBorders>
            <w:noWrap w:val="0"/>
            <w:vAlign w:val="bottom"/>
          </w:tcPr>
          <w:p w14:paraId="6429F7E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23284199">
        <w:tblPrEx>
          <w:tblCellMar>
            <w:top w:w="0" w:type="dxa"/>
            <w:left w:w="108" w:type="dxa"/>
            <w:bottom w:w="0" w:type="dxa"/>
            <w:right w:w="108" w:type="dxa"/>
          </w:tblCellMar>
        </w:tblPrEx>
        <w:trPr>
          <w:trHeight w:val="567" w:hRule="exact"/>
          <w:jc w:val="center"/>
        </w:trPr>
        <w:tc>
          <w:tcPr>
            <w:tcW w:w="873" w:type="dxa"/>
            <w:tcBorders>
              <w:top w:val="nil"/>
              <w:left w:val="single" w:color="auto" w:sz="4" w:space="0"/>
              <w:bottom w:val="single" w:color="auto" w:sz="4" w:space="0"/>
              <w:right w:val="single" w:color="auto" w:sz="4" w:space="0"/>
            </w:tcBorders>
            <w:noWrap w:val="0"/>
            <w:vAlign w:val="center"/>
          </w:tcPr>
          <w:p w14:paraId="06C05144">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32" w:type="dxa"/>
            <w:tcBorders>
              <w:top w:val="nil"/>
              <w:left w:val="single" w:color="auto" w:sz="4" w:space="0"/>
              <w:bottom w:val="single" w:color="auto" w:sz="4" w:space="0"/>
              <w:right w:val="single" w:color="auto" w:sz="4" w:space="0"/>
            </w:tcBorders>
            <w:noWrap w:val="0"/>
            <w:vAlign w:val="center"/>
          </w:tcPr>
          <w:p w14:paraId="0E23504E">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高位水平直压式压缩机</w:t>
            </w:r>
          </w:p>
        </w:tc>
        <w:tc>
          <w:tcPr>
            <w:tcW w:w="1193" w:type="dxa"/>
            <w:tcBorders>
              <w:top w:val="nil"/>
              <w:left w:val="nil"/>
              <w:bottom w:val="single" w:color="auto" w:sz="4" w:space="0"/>
              <w:right w:val="single" w:color="auto" w:sz="4" w:space="0"/>
            </w:tcBorders>
            <w:noWrap w:val="0"/>
            <w:vAlign w:val="center"/>
          </w:tcPr>
          <w:p w14:paraId="1817C8D5">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中联</w:t>
            </w:r>
          </w:p>
        </w:tc>
        <w:tc>
          <w:tcPr>
            <w:tcW w:w="1947" w:type="dxa"/>
            <w:tcBorders>
              <w:top w:val="nil"/>
              <w:left w:val="nil"/>
              <w:bottom w:val="single" w:color="auto" w:sz="4" w:space="0"/>
              <w:right w:val="single" w:color="auto" w:sz="4" w:space="0"/>
            </w:tcBorders>
            <w:noWrap w:val="0"/>
            <w:vAlign w:val="center"/>
          </w:tcPr>
          <w:p w14:paraId="65A5A6C2">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kern w:val="0"/>
                <w:szCs w:val="21"/>
                <w:highlight w:val="none"/>
              </w:rPr>
            </w:pPr>
            <w:r>
              <w:rPr>
                <w:rFonts w:hint="default" w:ascii="宋体" w:hAnsi="宋体" w:cs="宋体"/>
                <w:color w:val="auto"/>
                <w:kern w:val="0"/>
                <w:szCs w:val="21"/>
                <w:highlight w:val="none"/>
                <w:lang w:val="en-US" w:eastAsia="zh-CN"/>
              </w:rPr>
              <w:t>LYG10B3</w:t>
            </w:r>
          </w:p>
        </w:tc>
        <w:tc>
          <w:tcPr>
            <w:tcW w:w="860" w:type="dxa"/>
            <w:tcBorders>
              <w:top w:val="nil"/>
              <w:left w:val="nil"/>
              <w:bottom w:val="single" w:color="auto" w:sz="4" w:space="0"/>
              <w:right w:val="single" w:color="auto" w:sz="4" w:space="0"/>
            </w:tcBorders>
            <w:noWrap w:val="0"/>
            <w:vAlign w:val="center"/>
          </w:tcPr>
          <w:p w14:paraId="4749DFB3">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1205" w:type="dxa"/>
            <w:tcBorders>
              <w:top w:val="nil"/>
              <w:left w:val="nil"/>
              <w:bottom w:val="single" w:color="auto" w:sz="4" w:space="0"/>
              <w:right w:val="single" w:color="auto" w:sz="4" w:space="0"/>
            </w:tcBorders>
            <w:noWrap w:val="0"/>
            <w:vAlign w:val="bottom"/>
          </w:tcPr>
          <w:p w14:paraId="27DE470B">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kern w:val="0"/>
                <w:szCs w:val="21"/>
                <w:highlight w:val="none"/>
              </w:rPr>
            </w:pPr>
          </w:p>
        </w:tc>
      </w:tr>
      <w:tr w14:paraId="1FC895F5">
        <w:tblPrEx>
          <w:tblCellMar>
            <w:top w:w="0" w:type="dxa"/>
            <w:left w:w="108" w:type="dxa"/>
            <w:bottom w:w="0" w:type="dxa"/>
            <w:right w:w="108" w:type="dxa"/>
          </w:tblCellMar>
        </w:tblPrEx>
        <w:trPr>
          <w:trHeight w:val="567" w:hRule="exact"/>
          <w:jc w:val="center"/>
        </w:trPr>
        <w:tc>
          <w:tcPr>
            <w:tcW w:w="873" w:type="dxa"/>
            <w:tcBorders>
              <w:top w:val="nil"/>
              <w:left w:val="single" w:color="auto" w:sz="4" w:space="0"/>
              <w:bottom w:val="single" w:color="auto" w:sz="4" w:space="0"/>
              <w:right w:val="single" w:color="auto" w:sz="4" w:space="0"/>
            </w:tcBorders>
            <w:noWrap w:val="0"/>
            <w:vAlign w:val="center"/>
          </w:tcPr>
          <w:p w14:paraId="22CD47DD">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32" w:type="dxa"/>
            <w:tcBorders>
              <w:top w:val="single" w:color="auto" w:sz="4" w:space="0"/>
              <w:left w:val="single" w:color="auto" w:sz="4" w:space="0"/>
              <w:bottom w:val="single" w:color="auto" w:sz="4" w:space="0"/>
              <w:right w:val="single" w:color="auto" w:sz="4" w:space="0"/>
            </w:tcBorders>
            <w:noWrap w:val="0"/>
            <w:vAlign w:val="center"/>
          </w:tcPr>
          <w:p w14:paraId="32237011">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高压</w:t>
            </w:r>
            <w:r>
              <w:rPr>
                <w:rFonts w:hint="eastAsia" w:ascii="宋体" w:hAnsi="宋体" w:cs="宋体"/>
                <w:color w:val="auto"/>
                <w:szCs w:val="21"/>
                <w:highlight w:val="none"/>
                <w:lang w:eastAsia="zh-CN"/>
              </w:rPr>
              <w:t>清</w:t>
            </w:r>
            <w:r>
              <w:rPr>
                <w:rFonts w:hint="eastAsia" w:ascii="宋体" w:hAnsi="宋体" w:cs="宋体"/>
                <w:color w:val="auto"/>
                <w:szCs w:val="21"/>
                <w:highlight w:val="none"/>
              </w:rPr>
              <w:t>洗机</w:t>
            </w:r>
          </w:p>
        </w:tc>
        <w:tc>
          <w:tcPr>
            <w:tcW w:w="1193" w:type="dxa"/>
            <w:tcBorders>
              <w:top w:val="nil"/>
              <w:left w:val="nil"/>
              <w:bottom w:val="single" w:color="auto" w:sz="4" w:space="0"/>
              <w:right w:val="single" w:color="auto" w:sz="4" w:space="0"/>
            </w:tcBorders>
            <w:noWrap w:val="0"/>
            <w:vAlign w:val="center"/>
          </w:tcPr>
          <w:p w14:paraId="0D57828F">
            <w:pPr>
              <w:keepNext w:val="0"/>
              <w:keepLines w:val="0"/>
              <w:pageBreakBefore w:val="0"/>
              <w:widowControl/>
              <w:kinsoku/>
              <w:overflowPunct/>
              <w:topLinePunct w:val="0"/>
              <w:autoSpaceDE/>
              <w:autoSpaceDN/>
              <w:bidi w:val="0"/>
              <w:adjustRightInd/>
              <w:spacing w:line="480" w:lineRule="exact"/>
              <w:jc w:val="center"/>
              <w:textAlignment w:val="auto"/>
              <w:rPr>
                <w:rFonts w:ascii="宋体" w:hAnsi="宋体" w:cs="宋体"/>
                <w:color w:val="auto"/>
                <w:kern w:val="0"/>
                <w:szCs w:val="21"/>
                <w:highlight w:val="none"/>
              </w:rPr>
            </w:pPr>
          </w:p>
        </w:tc>
        <w:tc>
          <w:tcPr>
            <w:tcW w:w="1947" w:type="dxa"/>
            <w:tcBorders>
              <w:top w:val="nil"/>
              <w:left w:val="nil"/>
              <w:bottom w:val="single" w:color="auto" w:sz="4" w:space="0"/>
              <w:right w:val="single" w:color="auto" w:sz="4" w:space="0"/>
            </w:tcBorders>
            <w:noWrap w:val="0"/>
            <w:vAlign w:val="center"/>
          </w:tcPr>
          <w:p w14:paraId="14D3D15B">
            <w:pPr>
              <w:keepNext w:val="0"/>
              <w:keepLines w:val="0"/>
              <w:pageBreakBefore w:val="0"/>
              <w:widowControl/>
              <w:kinsoku/>
              <w:overflowPunct/>
              <w:topLinePunct w:val="0"/>
              <w:autoSpaceDE/>
              <w:autoSpaceDN/>
              <w:bidi w:val="0"/>
              <w:adjustRightInd/>
              <w:spacing w:line="480" w:lineRule="exact"/>
              <w:jc w:val="center"/>
              <w:textAlignment w:val="auto"/>
              <w:rPr>
                <w:rFonts w:hint="default" w:ascii="宋体" w:hAnsi="宋体" w:cs="宋体"/>
                <w:color w:val="auto"/>
                <w:kern w:val="0"/>
                <w:szCs w:val="21"/>
                <w:highlight w:val="none"/>
                <w:lang w:val="en-US"/>
              </w:rPr>
            </w:pPr>
          </w:p>
        </w:tc>
        <w:tc>
          <w:tcPr>
            <w:tcW w:w="860" w:type="dxa"/>
            <w:tcBorders>
              <w:top w:val="nil"/>
              <w:left w:val="nil"/>
              <w:bottom w:val="single" w:color="auto" w:sz="4" w:space="0"/>
              <w:right w:val="single" w:color="auto" w:sz="4" w:space="0"/>
            </w:tcBorders>
            <w:noWrap w:val="0"/>
            <w:vAlign w:val="center"/>
          </w:tcPr>
          <w:p w14:paraId="027C9B9D">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kern w:val="0"/>
                <w:szCs w:val="21"/>
                <w:highlight w:val="none"/>
              </w:rPr>
            </w:pPr>
            <w:r>
              <w:rPr>
                <w:rFonts w:hint="default" w:ascii="宋体" w:hAnsi="宋体" w:cs="宋体"/>
                <w:color w:val="auto"/>
                <w:szCs w:val="21"/>
                <w:highlight w:val="none"/>
                <w:lang w:val="en-US"/>
              </w:rPr>
              <w:t>2</w:t>
            </w:r>
          </w:p>
        </w:tc>
        <w:tc>
          <w:tcPr>
            <w:tcW w:w="1205" w:type="dxa"/>
            <w:tcBorders>
              <w:top w:val="nil"/>
              <w:left w:val="nil"/>
              <w:bottom w:val="single" w:color="auto" w:sz="4" w:space="0"/>
              <w:right w:val="single" w:color="auto" w:sz="4" w:space="0"/>
            </w:tcBorders>
            <w:noWrap w:val="0"/>
            <w:vAlign w:val="bottom"/>
          </w:tcPr>
          <w:p w14:paraId="32E7CC1A">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kern w:val="0"/>
                <w:szCs w:val="21"/>
                <w:highlight w:val="none"/>
              </w:rPr>
            </w:pPr>
          </w:p>
        </w:tc>
      </w:tr>
      <w:tr w14:paraId="68ABCC4B">
        <w:tblPrEx>
          <w:tblCellMar>
            <w:top w:w="0" w:type="dxa"/>
            <w:left w:w="108" w:type="dxa"/>
            <w:bottom w:w="0" w:type="dxa"/>
            <w:right w:w="108" w:type="dxa"/>
          </w:tblCellMar>
        </w:tblPrEx>
        <w:trPr>
          <w:trHeight w:val="567" w:hRule="exact"/>
          <w:jc w:val="center"/>
        </w:trPr>
        <w:tc>
          <w:tcPr>
            <w:tcW w:w="873" w:type="dxa"/>
            <w:tcBorders>
              <w:top w:val="single" w:color="auto" w:sz="4" w:space="0"/>
              <w:left w:val="single" w:color="auto" w:sz="4" w:space="0"/>
              <w:bottom w:val="single" w:color="auto" w:sz="4" w:space="0"/>
              <w:right w:val="single" w:color="auto" w:sz="4" w:space="0"/>
            </w:tcBorders>
            <w:noWrap w:val="0"/>
            <w:vAlign w:val="center"/>
          </w:tcPr>
          <w:p w14:paraId="0E2CE1B2">
            <w:pPr>
              <w:keepNext w:val="0"/>
              <w:keepLines w:val="0"/>
              <w:pageBreakBefore w:val="0"/>
              <w:widowControl/>
              <w:kinsoku/>
              <w:overflowPunct/>
              <w:topLinePunct w:val="0"/>
              <w:autoSpaceDE/>
              <w:autoSpaceDN/>
              <w:bidi w:val="0"/>
              <w:adjustRightInd/>
              <w:spacing w:line="480" w:lineRule="exact"/>
              <w:jc w:val="center"/>
              <w:textAlignment w:val="auto"/>
              <w:rPr>
                <w:rFonts w:hint="default" w:ascii="宋体" w:hAnsi="宋体" w:cs="宋体"/>
                <w:color w:val="auto"/>
                <w:kern w:val="0"/>
                <w:szCs w:val="21"/>
                <w:highlight w:val="none"/>
                <w:lang w:val="en-US"/>
              </w:rPr>
            </w:pPr>
            <w:r>
              <w:rPr>
                <w:rFonts w:hint="default" w:ascii="宋体" w:hAnsi="宋体" w:cs="宋体"/>
                <w:color w:val="auto"/>
                <w:kern w:val="0"/>
                <w:szCs w:val="21"/>
                <w:highlight w:val="none"/>
                <w:lang w:val="en-US"/>
              </w:rPr>
              <w:t>3</w:t>
            </w:r>
          </w:p>
        </w:tc>
        <w:tc>
          <w:tcPr>
            <w:tcW w:w="2732" w:type="dxa"/>
            <w:tcBorders>
              <w:top w:val="single" w:color="auto" w:sz="4" w:space="0"/>
              <w:left w:val="single" w:color="auto" w:sz="4" w:space="0"/>
              <w:bottom w:val="single" w:color="auto" w:sz="4" w:space="0"/>
              <w:right w:val="single" w:color="auto" w:sz="4" w:space="0"/>
            </w:tcBorders>
            <w:noWrap w:val="0"/>
            <w:vAlign w:val="center"/>
          </w:tcPr>
          <w:p w14:paraId="5E2F869E">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转运容器</w:t>
            </w:r>
          </w:p>
        </w:tc>
        <w:tc>
          <w:tcPr>
            <w:tcW w:w="1193" w:type="dxa"/>
            <w:tcBorders>
              <w:top w:val="single" w:color="auto" w:sz="4" w:space="0"/>
              <w:left w:val="nil"/>
              <w:bottom w:val="single" w:color="auto" w:sz="4" w:space="0"/>
              <w:right w:val="single" w:color="auto" w:sz="4" w:space="0"/>
            </w:tcBorders>
            <w:noWrap w:val="0"/>
            <w:vAlign w:val="center"/>
          </w:tcPr>
          <w:p w14:paraId="0CE526DB">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中联</w:t>
            </w:r>
          </w:p>
        </w:tc>
        <w:tc>
          <w:tcPr>
            <w:tcW w:w="1947" w:type="dxa"/>
            <w:tcBorders>
              <w:top w:val="single" w:color="auto" w:sz="4" w:space="0"/>
              <w:left w:val="nil"/>
              <w:bottom w:val="single" w:color="auto" w:sz="4" w:space="0"/>
              <w:right w:val="single" w:color="auto" w:sz="4" w:space="0"/>
            </w:tcBorders>
            <w:noWrap w:val="0"/>
            <w:vAlign w:val="center"/>
          </w:tcPr>
          <w:p w14:paraId="28C01A8D">
            <w:pPr>
              <w:keepNext w:val="0"/>
              <w:keepLines w:val="0"/>
              <w:pageBreakBefore w:val="0"/>
              <w:widowControl/>
              <w:kinsoku/>
              <w:overflowPunct/>
              <w:topLinePunct w:val="0"/>
              <w:autoSpaceDE/>
              <w:autoSpaceDN/>
              <w:bidi w:val="0"/>
              <w:adjustRightInd/>
              <w:spacing w:line="480" w:lineRule="exact"/>
              <w:jc w:val="center"/>
              <w:textAlignment w:val="auto"/>
              <w:rPr>
                <w:rFonts w:hint="default" w:ascii="宋体" w:hAnsi="宋体" w:cs="宋体"/>
                <w:color w:val="auto"/>
                <w:kern w:val="0"/>
                <w:szCs w:val="21"/>
                <w:highlight w:val="none"/>
                <w:lang w:val="en-US"/>
              </w:rPr>
            </w:pPr>
            <w:r>
              <w:rPr>
                <w:rFonts w:hint="default" w:ascii="宋体" w:hAnsi="宋体" w:cs="宋体"/>
                <w:color w:val="auto"/>
                <w:kern w:val="0"/>
                <w:szCs w:val="21"/>
                <w:highlight w:val="none"/>
                <w:lang w:val="en-US"/>
              </w:rPr>
              <w:t>XYG22</w:t>
            </w:r>
          </w:p>
        </w:tc>
        <w:tc>
          <w:tcPr>
            <w:tcW w:w="860" w:type="dxa"/>
            <w:tcBorders>
              <w:top w:val="single" w:color="auto" w:sz="4" w:space="0"/>
              <w:left w:val="nil"/>
              <w:bottom w:val="single" w:color="auto" w:sz="4" w:space="0"/>
              <w:right w:val="single" w:color="auto" w:sz="4" w:space="0"/>
            </w:tcBorders>
            <w:noWrap w:val="0"/>
            <w:vAlign w:val="center"/>
          </w:tcPr>
          <w:p w14:paraId="031DCB4D">
            <w:pPr>
              <w:keepNext w:val="0"/>
              <w:keepLines w:val="0"/>
              <w:pageBreakBefore w:val="0"/>
              <w:widowControl/>
              <w:kinsoku/>
              <w:overflowPunct/>
              <w:topLinePunct w:val="0"/>
              <w:autoSpaceDE/>
              <w:autoSpaceDN/>
              <w:bidi w:val="0"/>
              <w:adjustRightInd/>
              <w:spacing w:line="480" w:lineRule="exact"/>
              <w:jc w:val="center"/>
              <w:textAlignment w:val="auto"/>
              <w:rPr>
                <w:rFonts w:hint="default" w:ascii="宋体" w:hAnsi="宋体" w:cs="宋体"/>
                <w:color w:val="auto"/>
                <w:szCs w:val="21"/>
                <w:highlight w:val="none"/>
                <w:lang w:val="en-US"/>
              </w:rPr>
            </w:pPr>
            <w:r>
              <w:rPr>
                <w:rFonts w:hint="default" w:ascii="宋体" w:hAnsi="宋体" w:cs="宋体"/>
                <w:color w:val="auto"/>
                <w:szCs w:val="21"/>
                <w:highlight w:val="none"/>
                <w:lang w:val="en-US"/>
              </w:rPr>
              <w:t>2</w:t>
            </w:r>
          </w:p>
        </w:tc>
        <w:tc>
          <w:tcPr>
            <w:tcW w:w="1205" w:type="dxa"/>
            <w:tcBorders>
              <w:top w:val="single" w:color="auto" w:sz="4" w:space="0"/>
              <w:left w:val="nil"/>
              <w:bottom w:val="single" w:color="auto" w:sz="4" w:space="0"/>
              <w:right w:val="single" w:color="auto" w:sz="4" w:space="0"/>
            </w:tcBorders>
            <w:noWrap w:val="0"/>
            <w:vAlign w:val="bottom"/>
          </w:tcPr>
          <w:p w14:paraId="69E43637">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kern w:val="0"/>
                <w:szCs w:val="21"/>
                <w:highlight w:val="none"/>
              </w:rPr>
            </w:pPr>
          </w:p>
        </w:tc>
      </w:tr>
      <w:tr w14:paraId="07E91A38">
        <w:tblPrEx>
          <w:tblCellMar>
            <w:top w:w="0" w:type="dxa"/>
            <w:left w:w="108" w:type="dxa"/>
            <w:bottom w:w="0" w:type="dxa"/>
            <w:right w:w="108" w:type="dxa"/>
          </w:tblCellMar>
        </w:tblPrEx>
        <w:trPr>
          <w:trHeight w:val="567" w:hRule="exact"/>
          <w:jc w:val="center"/>
        </w:trPr>
        <w:tc>
          <w:tcPr>
            <w:tcW w:w="873" w:type="dxa"/>
            <w:tcBorders>
              <w:top w:val="single" w:color="auto" w:sz="4" w:space="0"/>
              <w:left w:val="single" w:color="auto" w:sz="4" w:space="0"/>
              <w:bottom w:val="single" w:color="auto" w:sz="4" w:space="0"/>
              <w:right w:val="single" w:color="auto" w:sz="4" w:space="0"/>
            </w:tcBorders>
            <w:noWrap w:val="0"/>
            <w:vAlign w:val="center"/>
          </w:tcPr>
          <w:p w14:paraId="74BDBB15">
            <w:pPr>
              <w:keepNext w:val="0"/>
              <w:keepLines w:val="0"/>
              <w:pageBreakBefore w:val="0"/>
              <w:widowControl/>
              <w:kinsoku/>
              <w:overflowPunct/>
              <w:topLinePunct w:val="0"/>
              <w:autoSpaceDE/>
              <w:autoSpaceDN/>
              <w:bidi w:val="0"/>
              <w:adjustRightInd/>
              <w:spacing w:line="480" w:lineRule="exact"/>
              <w:jc w:val="center"/>
              <w:textAlignment w:val="auto"/>
              <w:rPr>
                <w:rFonts w:hint="default" w:ascii="宋体" w:hAnsi="宋体" w:cs="宋体"/>
                <w:color w:val="auto"/>
                <w:kern w:val="0"/>
                <w:szCs w:val="21"/>
                <w:highlight w:val="none"/>
                <w:lang w:val="en-US"/>
              </w:rPr>
            </w:pPr>
            <w:r>
              <w:rPr>
                <w:rFonts w:hint="default" w:ascii="宋体" w:hAnsi="宋体" w:cs="宋体"/>
                <w:color w:val="auto"/>
                <w:kern w:val="0"/>
                <w:szCs w:val="21"/>
                <w:highlight w:val="none"/>
                <w:lang w:val="en-US"/>
              </w:rPr>
              <w:t>4</w:t>
            </w:r>
          </w:p>
        </w:tc>
        <w:tc>
          <w:tcPr>
            <w:tcW w:w="2732" w:type="dxa"/>
            <w:tcBorders>
              <w:top w:val="single" w:color="auto" w:sz="4" w:space="0"/>
              <w:left w:val="single" w:color="auto" w:sz="4" w:space="0"/>
              <w:bottom w:val="single" w:color="auto" w:sz="4" w:space="0"/>
              <w:right w:val="single" w:color="auto" w:sz="4" w:space="0"/>
            </w:tcBorders>
            <w:noWrap w:val="0"/>
            <w:vAlign w:val="center"/>
          </w:tcPr>
          <w:p w14:paraId="57AF8A8F">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车厢可卸式垃圾转运车</w:t>
            </w:r>
          </w:p>
        </w:tc>
        <w:tc>
          <w:tcPr>
            <w:tcW w:w="1193" w:type="dxa"/>
            <w:tcBorders>
              <w:top w:val="single" w:color="auto" w:sz="4" w:space="0"/>
              <w:left w:val="nil"/>
              <w:bottom w:val="single" w:color="auto" w:sz="4" w:space="0"/>
              <w:right w:val="single" w:color="auto" w:sz="4" w:space="0"/>
            </w:tcBorders>
            <w:noWrap w:val="0"/>
            <w:vAlign w:val="center"/>
          </w:tcPr>
          <w:p w14:paraId="185435E3">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中联</w:t>
            </w:r>
          </w:p>
        </w:tc>
        <w:tc>
          <w:tcPr>
            <w:tcW w:w="1947" w:type="dxa"/>
            <w:tcBorders>
              <w:top w:val="single" w:color="auto" w:sz="4" w:space="0"/>
              <w:left w:val="nil"/>
              <w:bottom w:val="single" w:color="auto" w:sz="4" w:space="0"/>
              <w:right w:val="single" w:color="auto" w:sz="4" w:space="0"/>
            </w:tcBorders>
            <w:noWrap w:val="0"/>
            <w:vAlign w:val="center"/>
          </w:tcPr>
          <w:p w14:paraId="022D6D35">
            <w:pPr>
              <w:keepNext w:val="0"/>
              <w:keepLines w:val="0"/>
              <w:pageBreakBefore w:val="0"/>
              <w:widowControl/>
              <w:kinsoku/>
              <w:overflowPunct/>
              <w:topLinePunct w:val="0"/>
              <w:autoSpaceDE/>
              <w:autoSpaceDN/>
              <w:bidi w:val="0"/>
              <w:adjustRightInd/>
              <w:spacing w:line="480" w:lineRule="exact"/>
              <w:jc w:val="center"/>
              <w:textAlignment w:val="auto"/>
              <w:rPr>
                <w:rFonts w:hint="default" w:ascii="宋体" w:hAnsi="宋体" w:cs="宋体"/>
                <w:color w:val="auto"/>
                <w:kern w:val="0"/>
                <w:szCs w:val="21"/>
                <w:highlight w:val="none"/>
                <w:lang w:val="en-US"/>
              </w:rPr>
            </w:pPr>
            <w:r>
              <w:rPr>
                <w:rFonts w:hint="default" w:ascii="宋体" w:hAnsi="宋体" w:cs="宋体"/>
                <w:color w:val="auto"/>
                <w:kern w:val="0"/>
                <w:szCs w:val="21"/>
                <w:highlight w:val="none"/>
                <w:lang w:val="en-US"/>
              </w:rPr>
              <w:t>ZBH5251ZXXDFE6</w:t>
            </w:r>
          </w:p>
        </w:tc>
        <w:tc>
          <w:tcPr>
            <w:tcW w:w="860" w:type="dxa"/>
            <w:tcBorders>
              <w:top w:val="single" w:color="auto" w:sz="4" w:space="0"/>
              <w:left w:val="nil"/>
              <w:bottom w:val="single" w:color="auto" w:sz="4" w:space="0"/>
              <w:right w:val="single" w:color="auto" w:sz="4" w:space="0"/>
            </w:tcBorders>
            <w:noWrap w:val="0"/>
            <w:vAlign w:val="center"/>
          </w:tcPr>
          <w:p w14:paraId="385E651F">
            <w:pPr>
              <w:keepNext w:val="0"/>
              <w:keepLines w:val="0"/>
              <w:pageBreakBefore w:val="0"/>
              <w:widowControl/>
              <w:kinsoku/>
              <w:overflowPunct/>
              <w:topLinePunct w:val="0"/>
              <w:autoSpaceDE/>
              <w:autoSpaceDN/>
              <w:bidi w:val="0"/>
              <w:adjustRightInd/>
              <w:spacing w:line="480" w:lineRule="exact"/>
              <w:jc w:val="center"/>
              <w:textAlignment w:val="auto"/>
              <w:rPr>
                <w:rFonts w:hint="default" w:ascii="宋体" w:hAnsi="宋体" w:cs="宋体"/>
                <w:color w:val="auto"/>
                <w:szCs w:val="21"/>
                <w:highlight w:val="none"/>
                <w:lang w:val="en-US"/>
              </w:rPr>
            </w:pPr>
            <w:r>
              <w:rPr>
                <w:rFonts w:hint="default" w:ascii="宋体" w:hAnsi="宋体" w:cs="宋体"/>
                <w:color w:val="auto"/>
                <w:szCs w:val="21"/>
                <w:highlight w:val="none"/>
                <w:lang w:val="en-US"/>
              </w:rPr>
              <w:t>1</w:t>
            </w:r>
          </w:p>
        </w:tc>
        <w:tc>
          <w:tcPr>
            <w:tcW w:w="1205" w:type="dxa"/>
            <w:tcBorders>
              <w:top w:val="single" w:color="auto" w:sz="4" w:space="0"/>
              <w:left w:val="nil"/>
              <w:bottom w:val="single" w:color="auto" w:sz="4" w:space="0"/>
              <w:right w:val="single" w:color="auto" w:sz="4" w:space="0"/>
            </w:tcBorders>
            <w:noWrap w:val="0"/>
            <w:vAlign w:val="bottom"/>
          </w:tcPr>
          <w:p w14:paraId="1B76F59B">
            <w:pPr>
              <w:keepNext w:val="0"/>
              <w:keepLines w:val="0"/>
              <w:pageBreakBefore w:val="0"/>
              <w:widowControl/>
              <w:kinsoku/>
              <w:overflowPunct/>
              <w:topLinePunct w:val="0"/>
              <w:autoSpaceDE/>
              <w:autoSpaceDN/>
              <w:bidi w:val="0"/>
              <w:adjustRightInd/>
              <w:spacing w:line="480" w:lineRule="exact"/>
              <w:jc w:val="center"/>
              <w:textAlignment w:val="auto"/>
              <w:rPr>
                <w:rFonts w:hint="eastAsia" w:ascii="宋体" w:hAnsi="宋体" w:cs="宋体"/>
                <w:color w:val="auto"/>
                <w:kern w:val="0"/>
                <w:szCs w:val="21"/>
                <w:highlight w:val="none"/>
              </w:rPr>
            </w:pPr>
          </w:p>
        </w:tc>
      </w:tr>
    </w:tbl>
    <w:p w14:paraId="378AAF1B">
      <w:pPr>
        <w:keepNext w:val="0"/>
        <w:keepLines w:val="0"/>
        <w:pageBreakBefore w:val="0"/>
        <w:kinsoku/>
        <w:overflowPunct/>
        <w:topLinePunct w:val="0"/>
        <w:autoSpaceDE/>
        <w:autoSpaceDN/>
        <w:bidi w:val="0"/>
        <w:adjustRightInd/>
        <w:spacing w:line="480" w:lineRule="exact"/>
        <w:ind w:firstLine="525" w:firstLineChars="250"/>
        <w:textAlignment w:val="auto"/>
        <w:rPr>
          <w:rFonts w:hint="eastAsia" w:ascii="宋体" w:hAnsi="宋体"/>
          <w:color w:val="auto"/>
          <w:szCs w:val="21"/>
          <w:highlight w:val="none"/>
        </w:rPr>
      </w:pPr>
      <w:r>
        <w:rPr>
          <w:rFonts w:hint="eastAsia" w:ascii="宋体" w:hAnsi="宋体"/>
          <w:color w:val="auto"/>
          <w:szCs w:val="21"/>
          <w:highlight w:val="none"/>
        </w:rPr>
        <w:t>（详细情况请现场</w:t>
      </w:r>
      <w:r>
        <w:rPr>
          <w:rFonts w:hint="eastAsia" w:ascii="宋体" w:hAnsi="宋体"/>
          <w:color w:val="auto"/>
          <w:szCs w:val="21"/>
          <w:highlight w:val="none"/>
          <w:lang w:val="en-US" w:eastAsia="zh-CN"/>
        </w:rPr>
        <w:t>自行</w:t>
      </w:r>
      <w:r>
        <w:rPr>
          <w:rFonts w:hint="eastAsia" w:ascii="宋体" w:hAnsi="宋体"/>
          <w:color w:val="auto"/>
          <w:szCs w:val="21"/>
          <w:highlight w:val="none"/>
        </w:rPr>
        <w:t>勘</w:t>
      </w:r>
      <w:r>
        <w:rPr>
          <w:rFonts w:hint="eastAsia" w:ascii="宋体" w:hAnsi="宋体"/>
          <w:color w:val="auto"/>
          <w:szCs w:val="21"/>
          <w:highlight w:val="none"/>
          <w:lang w:val="en-US" w:eastAsia="zh-CN"/>
        </w:rPr>
        <w:t>查</w:t>
      </w:r>
      <w:r>
        <w:rPr>
          <w:rFonts w:hint="eastAsia" w:ascii="宋体" w:hAnsi="宋体"/>
          <w:color w:val="auto"/>
          <w:szCs w:val="21"/>
          <w:highlight w:val="none"/>
        </w:rPr>
        <w:t>）</w:t>
      </w:r>
    </w:p>
    <w:p w14:paraId="6D642D1E">
      <w:pPr>
        <w:keepNext w:val="0"/>
        <w:keepLines w:val="0"/>
        <w:pageBreakBefore w:val="0"/>
        <w:kinsoku/>
        <w:overflowPunct/>
        <w:topLinePunct w:val="0"/>
        <w:autoSpaceDE/>
        <w:autoSpaceDN/>
        <w:bidi w:val="0"/>
        <w:adjustRightInd/>
        <w:spacing w:line="480" w:lineRule="exact"/>
        <w:ind w:firstLine="236" w:firstLineChars="98"/>
        <w:textAlignment w:val="auto"/>
        <w:rPr>
          <w:rFonts w:hint="eastAsia" w:ascii="宋体" w:hAnsi="宋体" w:eastAsia="宋体" w:cs="Times New Roman"/>
          <w:b/>
          <w:bCs/>
          <w:color w:val="auto"/>
          <w:sz w:val="24"/>
          <w:szCs w:val="24"/>
          <w:highlight w:val="none"/>
          <w:lang w:val="en-US" w:eastAsia="zh-CN"/>
        </w:rPr>
      </w:pPr>
      <w:bookmarkStart w:id="113" w:name="_Toc24898"/>
      <w:bookmarkStart w:id="114" w:name="_Toc277946375"/>
      <w:bookmarkStart w:id="115" w:name="_Toc277058730"/>
      <w:r>
        <w:rPr>
          <w:rFonts w:hint="eastAsia" w:ascii="宋体" w:hAnsi="宋体" w:eastAsia="宋体" w:cs="Times New Roman"/>
          <w:b/>
          <w:bCs/>
          <w:color w:val="auto"/>
          <w:sz w:val="24"/>
          <w:szCs w:val="24"/>
          <w:highlight w:val="none"/>
          <w:lang w:val="en-US" w:eastAsia="zh-CN"/>
        </w:rPr>
        <w:t>二、招标管理要求说明</w:t>
      </w:r>
      <w:bookmarkEnd w:id="113"/>
      <w:bookmarkEnd w:id="114"/>
      <w:bookmarkEnd w:id="115"/>
    </w:p>
    <w:p w14:paraId="16A4039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eastAsia="zh-CN"/>
        </w:rPr>
        <w:t>（一）服务项目具体内容</w:t>
      </w:r>
    </w:p>
    <w:p w14:paraId="14440E6B">
      <w:pPr>
        <w:keepNext w:val="0"/>
        <w:keepLines w:val="0"/>
        <w:pageBreakBefore w:val="0"/>
        <w:widowControl w:val="0"/>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s="Arial"/>
          <w:color w:val="auto"/>
          <w:szCs w:val="21"/>
          <w:highlight w:val="none"/>
        </w:rPr>
      </w:pPr>
      <w:r>
        <w:rPr>
          <w:rFonts w:hint="eastAsia" w:ascii="宋体" w:hAnsi="宋体"/>
          <w:color w:val="auto"/>
          <w:szCs w:val="21"/>
          <w:highlight w:val="none"/>
        </w:rPr>
        <w:t>1</w:t>
      </w:r>
      <w:r>
        <w:rPr>
          <w:rFonts w:hint="eastAsia" w:ascii="宋体" w:hAnsi="宋体" w:cs="Arial"/>
          <w:color w:val="auto"/>
          <w:szCs w:val="21"/>
          <w:highlight w:val="none"/>
        </w:rPr>
        <w:t>、负责垃圾中转站垃圾压缩，将压缩垃圾从转运站运送至滁州市生活垃圾卫生</w:t>
      </w:r>
      <w:r>
        <w:rPr>
          <w:rFonts w:hint="eastAsia" w:ascii="宋体" w:hAnsi="宋体" w:cs="Arial"/>
          <w:color w:val="auto"/>
          <w:szCs w:val="21"/>
          <w:highlight w:val="none"/>
          <w:lang w:val="en-US" w:eastAsia="zh-CN"/>
        </w:rPr>
        <w:t>焚烧</w:t>
      </w:r>
      <w:r>
        <w:rPr>
          <w:rFonts w:hint="eastAsia" w:ascii="宋体" w:hAnsi="宋体" w:cs="Arial"/>
          <w:color w:val="auto"/>
          <w:szCs w:val="21"/>
          <w:highlight w:val="none"/>
        </w:rPr>
        <w:t>场。</w:t>
      </w:r>
    </w:p>
    <w:p w14:paraId="33F11F08">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s="Arial"/>
          <w:color w:val="auto"/>
          <w:szCs w:val="21"/>
          <w:highlight w:val="none"/>
        </w:rPr>
      </w:pPr>
      <w:r>
        <w:rPr>
          <w:rFonts w:hint="eastAsia" w:ascii="宋体" w:hAnsi="宋体" w:cs="Arial"/>
          <w:color w:val="auto"/>
          <w:szCs w:val="21"/>
          <w:highlight w:val="none"/>
        </w:rPr>
        <w:t>2、负责垃圾中转站保洁、消杀工作。</w:t>
      </w:r>
    </w:p>
    <w:p w14:paraId="1142DDB8">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s="Arial"/>
          <w:color w:val="auto"/>
          <w:szCs w:val="21"/>
          <w:highlight w:val="none"/>
        </w:rPr>
      </w:pPr>
      <w:r>
        <w:rPr>
          <w:rFonts w:hint="eastAsia" w:ascii="宋体" w:hAnsi="宋体" w:cs="Arial"/>
          <w:color w:val="auto"/>
          <w:szCs w:val="21"/>
          <w:highlight w:val="none"/>
        </w:rPr>
        <w:t>3、负责垃圾中转站24小时安全管理与值守，负责消防设施设备的管理与维护。</w:t>
      </w:r>
    </w:p>
    <w:p w14:paraId="15305B41">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s="Arial"/>
          <w:color w:val="auto"/>
          <w:szCs w:val="21"/>
          <w:highlight w:val="none"/>
        </w:rPr>
      </w:pPr>
      <w:r>
        <w:rPr>
          <w:rFonts w:hint="eastAsia" w:ascii="宋体" w:hAnsi="宋体" w:cs="Arial"/>
          <w:color w:val="auto"/>
          <w:szCs w:val="21"/>
          <w:highlight w:val="none"/>
        </w:rPr>
        <w:t>4、完成临时性、阶段性、重大时机等突击性工作任务；遇重大活动或节假日，须按</w:t>
      </w:r>
      <w:r>
        <w:rPr>
          <w:rFonts w:hint="eastAsia" w:ascii="宋体" w:hAnsi="宋体" w:cs="Arial"/>
          <w:color w:val="auto"/>
          <w:szCs w:val="21"/>
          <w:highlight w:val="none"/>
          <w:lang w:val="en-US" w:eastAsia="zh-CN"/>
        </w:rPr>
        <w:t>招标人</w:t>
      </w:r>
      <w:r>
        <w:rPr>
          <w:rFonts w:hint="eastAsia" w:ascii="宋体" w:hAnsi="宋体" w:cs="Arial"/>
          <w:color w:val="auto"/>
          <w:szCs w:val="21"/>
          <w:highlight w:val="none"/>
        </w:rPr>
        <w:t>要求做好相应工作。</w:t>
      </w:r>
    </w:p>
    <w:p w14:paraId="49408348">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s="Arial"/>
          <w:color w:val="auto"/>
          <w:szCs w:val="21"/>
          <w:highlight w:val="none"/>
        </w:rPr>
      </w:pPr>
      <w:r>
        <w:rPr>
          <w:rFonts w:hint="eastAsia" w:ascii="宋体" w:hAnsi="宋体" w:cs="Arial"/>
          <w:color w:val="auto"/>
          <w:szCs w:val="21"/>
          <w:highlight w:val="none"/>
        </w:rPr>
        <w:t>5、对突发性事件的应急预案做到定期和不定期演练，以便应对突发性事件。</w:t>
      </w:r>
    </w:p>
    <w:p w14:paraId="5955F586">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s="Arial"/>
          <w:color w:val="auto"/>
          <w:szCs w:val="21"/>
          <w:highlight w:val="none"/>
        </w:rPr>
      </w:pPr>
      <w:r>
        <w:rPr>
          <w:rFonts w:hint="eastAsia" w:ascii="宋体" w:hAnsi="宋体" w:cs="Arial"/>
          <w:color w:val="auto"/>
          <w:szCs w:val="21"/>
          <w:highlight w:val="none"/>
        </w:rPr>
        <w:t>6、负责垃圾中转站上墙文件、安全警示等标识标牌制作、更新与日常管理。</w:t>
      </w:r>
    </w:p>
    <w:p w14:paraId="7E4B72EA">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s="Arial"/>
          <w:color w:val="auto"/>
          <w:szCs w:val="21"/>
          <w:highlight w:val="none"/>
        </w:rPr>
      </w:pPr>
      <w:r>
        <w:rPr>
          <w:rFonts w:hint="eastAsia" w:ascii="宋体" w:hAnsi="宋体" w:cs="Arial"/>
          <w:color w:val="auto"/>
          <w:szCs w:val="21"/>
          <w:highlight w:val="none"/>
        </w:rPr>
        <w:t>7、负责餐厨垃圾收集清运。</w:t>
      </w:r>
    </w:p>
    <w:p w14:paraId="761251E8">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rPr>
      </w:pPr>
      <w:r>
        <w:rPr>
          <w:rFonts w:hint="eastAsia" w:ascii="宋体" w:hAnsi="宋体" w:eastAsia="宋体" w:cs="Arial"/>
          <w:color w:val="auto"/>
          <w:szCs w:val="21"/>
          <w:highlight w:val="none"/>
        </w:rPr>
        <w:t>8、负责垃圾中转站内车辆</w:t>
      </w:r>
      <w:r>
        <w:rPr>
          <w:rFonts w:hint="eastAsia" w:ascii="宋体" w:hAnsi="宋体" w:eastAsia="宋体" w:cs="Arial"/>
          <w:color w:val="auto"/>
          <w:szCs w:val="21"/>
          <w:highlight w:val="none"/>
          <w:lang w:eastAsia="zh-CN"/>
        </w:rPr>
        <w:t>卫生</w:t>
      </w:r>
      <w:r>
        <w:rPr>
          <w:rFonts w:hint="eastAsia" w:ascii="宋体" w:hAnsi="宋体" w:eastAsia="宋体" w:cs="Arial"/>
          <w:color w:val="auto"/>
          <w:szCs w:val="21"/>
          <w:highlight w:val="none"/>
        </w:rPr>
        <w:t>管理。</w:t>
      </w:r>
    </w:p>
    <w:p w14:paraId="35DAD9D3">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9、垃圾压缩设备和冲洗设备维护与管理。</w:t>
      </w:r>
    </w:p>
    <w:p w14:paraId="47E61D1E">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10、无条件配合招标人做好垃圾中转站改造工作。</w:t>
      </w:r>
    </w:p>
    <w:p w14:paraId="41C1148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eastAsia="zh-CN"/>
        </w:rPr>
        <w:t>（二）服务时间要求</w:t>
      </w:r>
    </w:p>
    <w:p w14:paraId="5C1CAE61">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rPr>
      </w:pPr>
      <w:r>
        <w:rPr>
          <w:rFonts w:hint="eastAsia" w:ascii="宋体" w:hAnsi="宋体" w:eastAsia="宋体" w:cs="Arial"/>
          <w:color w:val="auto"/>
          <w:szCs w:val="21"/>
          <w:highlight w:val="none"/>
        </w:rPr>
        <w:t>夏季作息时间（4月1日至10月</w:t>
      </w:r>
      <w:r>
        <w:rPr>
          <w:rFonts w:hint="eastAsia" w:ascii="宋体" w:hAnsi="宋体" w:eastAsia="宋体" w:cs="Arial"/>
          <w:color w:val="auto"/>
          <w:szCs w:val="21"/>
          <w:highlight w:val="none"/>
          <w:lang w:val="en-US" w:eastAsia="zh-CN"/>
        </w:rPr>
        <w:t>31</w:t>
      </w:r>
      <w:r>
        <w:rPr>
          <w:rFonts w:hint="eastAsia" w:ascii="宋体" w:hAnsi="宋体" w:eastAsia="宋体" w:cs="Arial"/>
          <w:color w:val="auto"/>
          <w:szCs w:val="21"/>
          <w:highlight w:val="none"/>
        </w:rPr>
        <w:t>日）：5：30-10：30；14：30-17：30。</w:t>
      </w:r>
    </w:p>
    <w:p w14:paraId="74F69939">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rPr>
      </w:pPr>
      <w:r>
        <w:rPr>
          <w:rFonts w:hint="eastAsia" w:ascii="宋体" w:hAnsi="宋体" w:eastAsia="宋体" w:cs="Arial"/>
          <w:color w:val="auto"/>
          <w:szCs w:val="21"/>
          <w:highlight w:val="none"/>
        </w:rPr>
        <w:t>冬季作息时间（11月1日至3月31日）：6：00-11：00；14：00-17：00。</w:t>
      </w:r>
    </w:p>
    <w:p w14:paraId="691C882D">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具体服务时间根据垃圾转运情况及</w:t>
      </w:r>
      <w:r>
        <w:rPr>
          <w:rFonts w:hint="eastAsia" w:ascii="宋体" w:hAnsi="宋体" w:cs="Arial"/>
          <w:color w:val="auto"/>
          <w:szCs w:val="21"/>
          <w:highlight w:val="none"/>
          <w:lang w:val="en-US" w:eastAsia="zh-CN"/>
        </w:rPr>
        <w:t>招标人</w:t>
      </w:r>
      <w:r>
        <w:rPr>
          <w:rFonts w:hint="eastAsia" w:ascii="宋体" w:hAnsi="宋体" w:eastAsia="宋体" w:cs="Arial"/>
          <w:color w:val="auto"/>
          <w:szCs w:val="21"/>
          <w:highlight w:val="none"/>
          <w:lang w:val="en-US" w:eastAsia="zh-CN"/>
        </w:rPr>
        <w:t>要求进行调整；保安要求24小时在岗，其他岗位人员根据工作要求酌情调整（确保调整后不影响服务质量）。</w:t>
      </w:r>
    </w:p>
    <w:p w14:paraId="676AF0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eastAsia="zh-CN"/>
        </w:rPr>
        <w:t>（三）服务人员</w:t>
      </w:r>
      <w:r>
        <w:rPr>
          <w:rFonts w:hint="eastAsia" w:ascii="宋体" w:hAnsi="宋体" w:cs="Times New Roman"/>
          <w:b/>
          <w:bCs/>
          <w:color w:val="auto"/>
          <w:sz w:val="24"/>
          <w:szCs w:val="24"/>
          <w:highlight w:val="none"/>
          <w:lang w:val="en-US" w:eastAsia="zh-CN"/>
        </w:rPr>
        <w:t>最低</w:t>
      </w:r>
      <w:r>
        <w:rPr>
          <w:rFonts w:hint="eastAsia" w:ascii="宋体" w:hAnsi="宋体" w:eastAsia="宋体" w:cs="Times New Roman"/>
          <w:b/>
          <w:bCs/>
          <w:color w:val="auto"/>
          <w:sz w:val="24"/>
          <w:szCs w:val="24"/>
          <w:highlight w:val="none"/>
          <w:lang w:eastAsia="zh-CN"/>
        </w:rPr>
        <w:t>配置</w:t>
      </w:r>
      <w:r>
        <w:rPr>
          <w:rFonts w:hint="eastAsia" w:ascii="宋体" w:hAnsi="宋体" w:cs="Times New Roman"/>
          <w:b/>
          <w:bCs/>
          <w:color w:val="auto"/>
          <w:sz w:val="24"/>
          <w:szCs w:val="24"/>
          <w:highlight w:val="none"/>
          <w:lang w:val="en-US" w:eastAsia="zh-CN"/>
        </w:rPr>
        <w:t>标准及</w:t>
      </w:r>
      <w:r>
        <w:rPr>
          <w:rFonts w:hint="eastAsia" w:ascii="宋体" w:hAnsi="宋体" w:eastAsia="宋体" w:cs="Times New Roman"/>
          <w:b/>
          <w:bCs/>
          <w:color w:val="auto"/>
          <w:sz w:val="24"/>
          <w:szCs w:val="24"/>
          <w:highlight w:val="none"/>
          <w:lang w:eastAsia="zh-CN"/>
        </w:rPr>
        <w:t>要求</w:t>
      </w:r>
    </w:p>
    <w:p w14:paraId="0F594674">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rPr>
      </w:pPr>
      <w:r>
        <w:rPr>
          <w:rFonts w:hint="eastAsia" w:ascii="宋体" w:hAnsi="宋体" w:eastAsia="宋体" w:cs="Arial"/>
          <w:color w:val="auto"/>
          <w:szCs w:val="21"/>
          <w:highlight w:val="none"/>
        </w:rPr>
        <w:t>服务人员最低配置标准：</w:t>
      </w:r>
    </w:p>
    <w:p w14:paraId="7FEB107A">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rPr>
      </w:pPr>
      <w:r>
        <w:rPr>
          <w:rFonts w:hint="eastAsia" w:ascii="宋体" w:hAnsi="宋体" w:eastAsia="宋体" w:cs="Arial"/>
          <w:color w:val="auto"/>
          <w:szCs w:val="21"/>
          <w:highlight w:val="none"/>
        </w:rPr>
        <w:t>垃圾中转站主管人员1名，负责垃圾收运整体管理；</w:t>
      </w:r>
    </w:p>
    <w:p w14:paraId="455A3938">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垃圾收储经营业务员</w:t>
      </w:r>
      <w:r>
        <w:rPr>
          <w:rFonts w:hint="default" w:ascii="宋体" w:hAnsi="宋体" w:eastAsia="宋体" w:cs="Arial"/>
          <w:color w:val="auto"/>
          <w:szCs w:val="21"/>
          <w:highlight w:val="none"/>
          <w:lang w:val="en-US" w:eastAsia="zh-CN"/>
        </w:rPr>
        <w:t>2</w:t>
      </w:r>
      <w:r>
        <w:rPr>
          <w:rFonts w:hint="eastAsia" w:ascii="宋体" w:hAnsi="宋体" w:eastAsia="宋体" w:cs="Arial"/>
          <w:color w:val="auto"/>
          <w:szCs w:val="21"/>
          <w:highlight w:val="none"/>
          <w:lang w:val="en-US" w:eastAsia="zh-CN"/>
        </w:rPr>
        <w:t>名，负责前段业务的洽谈等日常工作；</w:t>
      </w:r>
    </w:p>
    <w:p w14:paraId="5E68943C">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安全负责人1名，</w:t>
      </w:r>
      <w:r>
        <w:rPr>
          <w:rFonts w:hint="eastAsia" w:ascii="宋体" w:hAnsi="宋体" w:eastAsia="宋体" w:cs="宋体"/>
          <w:color w:val="auto"/>
          <w:sz w:val="21"/>
          <w:szCs w:val="21"/>
          <w:highlight w:val="none"/>
          <w:lang w:val="en-US" w:eastAsia="zh-CN"/>
        </w:rPr>
        <w:t>负责本项目服务期间安全生产、安全培训等工作；</w:t>
      </w:r>
    </w:p>
    <w:p w14:paraId="0DA46E88">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rPr>
      </w:pPr>
      <w:r>
        <w:rPr>
          <w:rFonts w:hint="eastAsia" w:ascii="宋体" w:hAnsi="宋体" w:eastAsia="宋体" w:cs="Arial"/>
          <w:color w:val="auto"/>
          <w:szCs w:val="21"/>
          <w:highlight w:val="none"/>
          <w:lang w:eastAsia="zh-CN"/>
        </w:rPr>
        <w:t>水电工</w:t>
      </w:r>
      <w:r>
        <w:rPr>
          <w:rFonts w:hint="eastAsia" w:ascii="宋体" w:hAnsi="宋体" w:eastAsia="宋体" w:cs="Arial"/>
          <w:color w:val="auto"/>
          <w:szCs w:val="21"/>
          <w:highlight w:val="none"/>
        </w:rPr>
        <w:t>1名，负责中转站水电管理与维修、垃圾压缩设备日常维护等；</w:t>
      </w:r>
    </w:p>
    <w:p w14:paraId="0E286598">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rPr>
      </w:pPr>
      <w:r>
        <w:rPr>
          <w:rFonts w:hint="eastAsia" w:ascii="宋体" w:hAnsi="宋体" w:eastAsia="宋体" w:cs="Arial"/>
          <w:color w:val="auto"/>
          <w:szCs w:val="21"/>
          <w:highlight w:val="none"/>
        </w:rPr>
        <w:t>保洁员2名，负责站内日常保洁及</w:t>
      </w:r>
      <w:r>
        <w:rPr>
          <w:rFonts w:hint="eastAsia" w:ascii="宋体" w:hAnsi="宋体" w:eastAsia="宋体" w:cs="Arial"/>
          <w:color w:val="auto"/>
          <w:szCs w:val="21"/>
          <w:highlight w:val="none"/>
          <w:lang w:val="en-US" w:eastAsia="zh-CN"/>
        </w:rPr>
        <w:t>突击</w:t>
      </w:r>
      <w:r>
        <w:rPr>
          <w:rFonts w:hint="eastAsia" w:ascii="宋体" w:hAnsi="宋体" w:eastAsia="宋体" w:cs="Arial"/>
          <w:color w:val="auto"/>
          <w:szCs w:val="21"/>
          <w:highlight w:val="none"/>
        </w:rPr>
        <w:t>保洁；</w:t>
      </w:r>
    </w:p>
    <w:p w14:paraId="65045C2D">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rPr>
      </w:pPr>
      <w:r>
        <w:rPr>
          <w:rFonts w:hint="eastAsia" w:ascii="宋体" w:hAnsi="宋体" w:eastAsia="宋体" w:cs="Arial"/>
          <w:color w:val="auto"/>
          <w:szCs w:val="21"/>
          <w:highlight w:val="none"/>
        </w:rPr>
        <w:t>中转站保安</w:t>
      </w:r>
      <w:r>
        <w:rPr>
          <w:rFonts w:hint="default" w:ascii="宋体" w:hAnsi="宋体" w:eastAsia="宋体" w:cs="Arial"/>
          <w:color w:val="auto"/>
          <w:szCs w:val="21"/>
          <w:highlight w:val="none"/>
          <w:lang w:val="en-US"/>
        </w:rPr>
        <w:t>4</w:t>
      </w:r>
      <w:r>
        <w:rPr>
          <w:rFonts w:hint="eastAsia" w:ascii="宋体" w:hAnsi="宋体" w:eastAsia="宋体" w:cs="Arial"/>
          <w:color w:val="auto"/>
          <w:szCs w:val="21"/>
          <w:highlight w:val="none"/>
        </w:rPr>
        <w:t>名</w:t>
      </w:r>
      <w:r>
        <w:rPr>
          <w:rFonts w:hint="eastAsia" w:ascii="宋体" w:hAnsi="宋体" w:eastAsia="宋体" w:cs="Arial"/>
          <w:color w:val="auto"/>
          <w:szCs w:val="21"/>
          <w:highlight w:val="none"/>
          <w:lang w:eastAsia="zh-CN"/>
        </w:rPr>
        <w:t>（每个站</w:t>
      </w:r>
      <w:r>
        <w:rPr>
          <w:rFonts w:hint="default" w:ascii="宋体" w:hAnsi="宋体" w:eastAsia="宋体" w:cs="Arial"/>
          <w:color w:val="auto"/>
          <w:szCs w:val="21"/>
          <w:highlight w:val="none"/>
          <w:lang w:val="en-US" w:eastAsia="zh-CN"/>
        </w:rPr>
        <w:t>2</w:t>
      </w:r>
      <w:r>
        <w:rPr>
          <w:rFonts w:hint="eastAsia" w:ascii="宋体" w:hAnsi="宋体" w:eastAsia="宋体" w:cs="Arial"/>
          <w:color w:val="auto"/>
          <w:szCs w:val="21"/>
          <w:highlight w:val="none"/>
          <w:lang w:eastAsia="zh-CN"/>
        </w:rPr>
        <w:t>人）</w:t>
      </w:r>
      <w:r>
        <w:rPr>
          <w:rFonts w:hint="eastAsia" w:ascii="宋体" w:hAnsi="宋体" w:eastAsia="宋体" w:cs="Arial"/>
          <w:color w:val="auto"/>
          <w:szCs w:val="21"/>
          <w:highlight w:val="none"/>
        </w:rPr>
        <w:t>，负责24小时值守与消防设施设备管理；（保安人员须持有保安证）</w:t>
      </w:r>
    </w:p>
    <w:p w14:paraId="163DBC81">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rPr>
      </w:pPr>
      <w:r>
        <w:rPr>
          <w:rFonts w:hint="eastAsia" w:ascii="宋体" w:hAnsi="宋体" w:eastAsia="宋体" w:cs="Arial"/>
          <w:color w:val="auto"/>
          <w:szCs w:val="21"/>
          <w:highlight w:val="none"/>
        </w:rPr>
        <w:t>压缩设备操作及辅助人员</w:t>
      </w:r>
      <w:r>
        <w:rPr>
          <w:rFonts w:hint="eastAsia" w:ascii="宋体" w:hAnsi="宋体" w:cs="Arial"/>
          <w:color w:val="auto"/>
          <w:szCs w:val="21"/>
          <w:highlight w:val="none"/>
          <w:lang w:val="en-US" w:eastAsia="zh-CN"/>
        </w:rPr>
        <w:t>2</w:t>
      </w:r>
      <w:r>
        <w:rPr>
          <w:rFonts w:hint="eastAsia" w:ascii="宋体" w:hAnsi="宋体" w:eastAsia="宋体" w:cs="Arial"/>
          <w:color w:val="auto"/>
          <w:szCs w:val="21"/>
          <w:highlight w:val="none"/>
        </w:rPr>
        <w:t>名，负责压缩设备操作及上下装车协助</w:t>
      </w:r>
      <w:r>
        <w:rPr>
          <w:rFonts w:hint="eastAsia" w:ascii="宋体" w:hAnsi="宋体" w:eastAsia="宋体" w:cs="Arial"/>
          <w:color w:val="auto"/>
          <w:szCs w:val="21"/>
          <w:highlight w:val="none"/>
          <w:lang w:eastAsia="zh-CN"/>
        </w:rPr>
        <w:t>，每个站</w:t>
      </w:r>
      <w:r>
        <w:rPr>
          <w:rFonts w:hint="eastAsia" w:ascii="宋体" w:hAnsi="宋体" w:cs="Arial"/>
          <w:color w:val="auto"/>
          <w:szCs w:val="21"/>
          <w:highlight w:val="none"/>
          <w:lang w:val="en-US" w:eastAsia="zh-CN"/>
        </w:rPr>
        <w:t>1</w:t>
      </w:r>
      <w:r>
        <w:rPr>
          <w:rFonts w:hint="eastAsia" w:ascii="宋体" w:hAnsi="宋体" w:eastAsia="宋体" w:cs="Arial"/>
          <w:color w:val="auto"/>
          <w:szCs w:val="21"/>
          <w:highlight w:val="none"/>
          <w:lang w:eastAsia="zh-CN"/>
        </w:rPr>
        <w:t>名</w:t>
      </w:r>
      <w:r>
        <w:rPr>
          <w:rFonts w:hint="eastAsia" w:ascii="宋体" w:hAnsi="宋体" w:eastAsia="宋体" w:cs="Arial"/>
          <w:color w:val="auto"/>
          <w:szCs w:val="21"/>
          <w:highlight w:val="none"/>
        </w:rPr>
        <w:t>；</w:t>
      </w:r>
    </w:p>
    <w:p w14:paraId="1988B022">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rPr>
      </w:pPr>
      <w:r>
        <w:rPr>
          <w:rFonts w:hint="eastAsia" w:ascii="宋体" w:hAnsi="宋体" w:eastAsia="宋体" w:cs="Arial"/>
          <w:color w:val="auto"/>
          <w:szCs w:val="21"/>
          <w:highlight w:val="none"/>
        </w:rPr>
        <w:t>清运车辆驾驶员</w:t>
      </w:r>
      <w:r>
        <w:rPr>
          <w:rFonts w:hint="eastAsia" w:ascii="宋体" w:hAnsi="宋体" w:eastAsia="宋体" w:cs="Arial"/>
          <w:color w:val="auto"/>
          <w:szCs w:val="21"/>
          <w:highlight w:val="none"/>
          <w:lang w:val="en-US" w:eastAsia="zh-CN"/>
        </w:rPr>
        <w:t>3</w:t>
      </w:r>
      <w:r>
        <w:rPr>
          <w:rFonts w:hint="eastAsia" w:ascii="宋体" w:hAnsi="宋体" w:eastAsia="宋体" w:cs="Arial"/>
          <w:color w:val="auto"/>
          <w:szCs w:val="21"/>
          <w:highlight w:val="none"/>
        </w:rPr>
        <w:t>名，运输车司机，主要负责将压缩好的垃圾块运输至垃圾处理厂</w:t>
      </w:r>
      <w:r>
        <w:rPr>
          <w:rFonts w:hint="eastAsia" w:ascii="宋体" w:hAnsi="宋体" w:eastAsia="宋体" w:cs="Arial"/>
          <w:color w:val="auto"/>
          <w:szCs w:val="21"/>
          <w:highlight w:val="none"/>
          <w:lang w:val="en-US" w:eastAsia="zh-CN"/>
        </w:rPr>
        <w:t>及</w:t>
      </w:r>
      <w:r>
        <w:rPr>
          <w:rFonts w:hint="eastAsia" w:ascii="宋体" w:hAnsi="宋体" w:eastAsia="宋体" w:cs="Arial"/>
          <w:color w:val="auto"/>
          <w:szCs w:val="21"/>
          <w:highlight w:val="none"/>
        </w:rPr>
        <w:t>餐厨垃圾收集清运。</w:t>
      </w:r>
    </w:p>
    <w:p w14:paraId="7D3B0468">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Arial"/>
          <w:color w:val="auto"/>
          <w:szCs w:val="21"/>
          <w:highlight w:val="none"/>
        </w:rPr>
      </w:pPr>
      <w:r>
        <w:rPr>
          <w:rFonts w:hint="eastAsia" w:ascii="宋体" w:hAnsi="宋体" w:eastAsia="宋体" w:cs="Arial"/>
          <w:b/>
          <w:bCs/>
          <w:color w:val="auto"/>
          <w:sz w:val="28"/>
          <w:szCs w:val="28"/>
          <w:highlight w:val="none"/>
        </w:rPr>
        <w:t>上述人员配备投标时提供承诺函（加盖投标人公章）即可，格式见附件。</w:t>
      </w:r>
    </w:p>
    <w:p w14:paraId="3493B1C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eastAsia="zh-CN"/>
        </w:rPr>
        <w:t>（四）车辆</w:t>
      </w:r>
      <w:r>
        <w:rPr>
          <w:rFonts w:hint="eastAsia" w:ascii="宋体" w:hAnsi="宋体" w:cs="Times New Roman"/>
          <w:b/>
          <w:bCs/>
          <w:color w:val="auto"/>
          <w:sz w:val="24"/>
          <w:szCs w:val="24"/>
          <w:highlight w:val="none"/>
          <w:lang w:val="en-US" w:eastAsia="zh-CN"/>
        </w:rPr>
        <w:t>最低配备标准及</w:t>
      </w:r>
      <w:r>
        <w:rPr>
          <w:rFonts w:hint="eastAsia" w:ascii="宋体" w:hAnsi="宋体" w:eastAsia="宋体" w:cs="Times New Roman"/>
          <w:b/>
          <w:bCs/>
          <w:color w:val="auto"/>
          <w:sz w:val="24"/>
          <w:szCs w:val="24"/>
          <w:highlight w:val="none"/>
          <w:lang w:eastAsia="zh-CN"/>
        </w:rPr>
        <w:t>要求</w:t>
      </w:r>
    </w:p>
    <w:p w14:paraId="729E22AC">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1、车辆最低配置要求：5m³及以上餐厨垃圾收集车辆1辆。</w:t>
      </w:r>
    </w:p>
    <w:p w14:paraId="1E98567C">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2、车辆管理要求</w:t>
      </w:r>
    </w:p>
    <w:p w14:paraId="43CA45D7">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1）所有用于垃圾收运车辆必须按照</w:t>
      </w:r>
      <w:r>
        <w:rPr>
          <w:rFonts w:hint="eastAsia" w:ascii="宋体" w:hAnsi="宋体" w:cs="Arial"/>
          <w:color w:val="auto"/>
          <w:szCs w:val="21"/>
          <w:highlight w:val="none"/>
          <w:lang w:val="en-US" w:eastAsia="zh-CN"/>
        </w:rPr>
        <w:t>招标人</w:t>
      </w:r>
      <w:r>
        <w:rPr>
          <w:rFonts w:hint="eastAsia" w:ascii="宋体" w:hAnsi="宋体" w:eastAsia="宋体" w:cs="Arial"/>
          <w:color w:val="auto"/>
          <w:szCs w:val="21"/>
          <w:highlight w:val="none"/>
          <w:lang w:val="en-US" w:eastAsia="zh-CN"/>
        </w:rPr>
        <w:t>的安排统一安装GPS系统，GPS系统安装及运行费用由中标人承担。</w:t>
      </w:r>
    </w:p>
    <w:p w14:paraId="7EA3CD03">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2）所有车辆必须按甲方指定线路、指定时间进行收运工作，并做好行车路线、行驶里程、收集点的相关记录。</w:t>
      </w:r>
    </w:p>
    <w:p w14:paraId="7DAB1E3A">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3）每个垃圾点必须在规定时间内一天一清理（如遇特殊情况必须服从甲方调度）；运输过程中，车辆必须做到密闭化，不得有遗漏、抛撒和清运不彻底的现象发生。</w:t>
      </w:r>
    </w:p>
    <w:p w14:paraId="6139C3CA">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4）每天作业完成后，必须按规定清洗车辆，确保垃圾运输车内外整洁、无残留垃圾、无异味。</w:t>
      </w:r>
    </w:p>
    <w:p w14:paraId="4EE83545">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5）作业完成后，所有运输车辆必须按秩序整齐停放在垃圾中转站内。</w:t>
      </w:r>
    </w:p>
    <w:p w14:paraId="468F16FE">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6）车辆管理要建立完善的车辆台帐；每日对进出垃圾量做好台帐登记工作，台帐要详细完善。</w:t>
      </w:r>
    </w:p>
    <w:p w14:paraId="31076903">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7）车辆外观要求标识统一，主色调以白色为主，中标后，必须按</w:t>
      </w:r>
      <w:r>
        <w:rPr>
          <w:rFonts w:hint="eastAsia" w:ascii="宋体" w:hAnsi="宋体" w:cs="Arial"/>
          <w:color w:val="auto"/>
          <w:szCs w:val="21"/>
          <w:highlight w:val="none"/>
          <w:lang w:val="en-US" w:eastAsia="zh-CN"/>
        </w:rPr>
        <w:t>招标人</w:t>
      </w:r>
      <w:r>
        <w:rPr>
          <w:rFonts w:hint="eastAsia" w:ascii="宋体" w:hAnsi="宋体" w:eastAsia="宋体" w:cs="Arial"/>
          <w:color w:val="auto"/>
          <w:szCs w:val="21"/>
          <w:highlight w:val="none"/>
          <w:lang w:val="en-US" w:eastAsia="zh-CN"/>
        </w:rPr>
        <w:t>要求进行车辆涂装，相关费用包含于投标报价内。</w:t>
      </w:r>
    </w:p>
    <w:p w14:paraId="435CE315">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8）车辆及驾驶员由中标单位提供，负责车辆的日常运行费用（主要是油耗）、车辆的日常维修、保养、事故损失等费用。</w:t>
      </w:r>
    </w:p>
    <w:p w14:paraId="33F70376">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9）车辆驾驶人员必须遵守交通规则，严禁酒后驾车、闯红灯、超速、乱停乱放等违规行为。</w:t>
      </w:r>
    </w:p>
    <w:p w14:paraId="0A64EB54">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10）用于作业的车辆证、牌齐全，必须购买各种车辆保险。</w:t>
      </w:r>
    </w:p>
    <w:p w14:paraId="64D08BE8">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b/>
          <w:bCs/>
          <w:color w:val="auto"/>
          <w:sz w:val="28"/>
          <w:szCs w:val="28"/>
          <w:highlight w:val="none"/>
        </w:rPr>
        <w:t>上述</w:t>
      </w:r>
      <w:r>
        <w:rPr>
          <w:rFonts w:hint="eastAsia" w:ascii="宋体" w:hAnsi="宋体" w:eastAsia="宋体" w:cs="Arial"/>
          <w:b/>
          <w:bCs/>
          <w:color w:val="auto"/>
          <w:sz w:val="28"/>
          <w:szCs w:val="28"/>
          <w:highlight w:val="none"/>
          <w:lang w:eastAsia="zh-CN"/>
        </w:rPr>
        <w:t>车辆</w:t>
      </w:r>
      <w:r>
        <w:rPr>
          <w:rFonts w:hint="eastAsia" w:ascii="宋体" w:hAnsi="宋体" w:eastAsia="宋体" w:cs="Arial"/>
          <w:b/>
          <w:bCs/>
          <w:color w:val="auto"/>
          <w:sz w:val="28"/>
          <w:szCs w:val="28"/>
          <w:highlight w:val="none"/>
          <w:lang w:val="en-US" w:eastAsia="zh-CN"/>
        </w:rPr>
        <w:t>最低配备标准及</w:t>
      </w:r>
      <w:r>
        <w:rPr>
          <w:rFonts w:hint="eastAsia" w:ascii="宋体" w:hAnsi="宋体" w:eastAsia="宋体" w:cs="Arial"/>
          <w:b/>
          <w:bCs/>
          <w:color w:val="auto"/>
          <w:sz w:val="28"/>
          <w:szCs w:val="28"/>
          <w:highlight w:val="none"/>
          <w:lang w:eastAsia="zh-CN"/>
        </w:rPr>
        <w:t>要求</w:t>
      </w:r>
      <w:r>
        <w:rPr>
          <w:rFonts w:hint="eastAsia" w:ascii="宋体" w:hAnsi="宋体" w:eastAsia="宋体" w:cs="Arial"/>
          <w:b/>
          <w:bCs/>
          <w:color w:val="auto"/>
          <w:sz w:val="28"/>
          <w:szCs w:val="28"/>
          <w:highlight w:val="none"/>
        </w:rPr>
        <w:t>投标时提供承诺函（加盖投标人公章）即可，格式见附件。</w:t>
      </w:r>
    </w:p>
    <w:p w14:paraId="5891F49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eastAsia="zh-CN"/>
        </w:rPr>
        <w:t>（五）劳动组织管理要求</w:t>
      </w:r>
    </w:p>
    <w:p w14:paraId="02EC8A7C">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所有垃圾收运系统的工作人员（主管、维修工、驾驶员、看护人员、保洁员）每天实行签到打卡制度，严格遵守上下班时间，不迟到、不早退、不缺席，确保垃圾收运系统的正常运转，严禁无故迟到、早退、旷工、脱岗，如有特殊情况需提前履行请假手续，并经领导同意后方可离开工作岗位。</w:t>
      </w:r>
    </w:p>
    <w:p w14:paraId="22C39951">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2）垃圾中转的工作人员工作时间内必须统一</w:t>
      </w:r>
      <w:r>
        <w:rPr>
          <w:rFonts w:hint="eastAsia" w:ascii="宋体" w:hAnsi="宋体" w:cs="Arial"/>
          <w:color w:val="auto"/>
          <w:szCs w:val="21"/>
          <w:highlight w:val="none"/>
          <w:lang w:val="en-US" w:eastAsia="zh-CN"/>
        </w:rPr>
        <w:t>招标人</w:t>
      </w:r>
      <w:r>
        <w:rPr>
          <w:rFonts w:hint="eastAsia" w:ascii="宋体" w:hAnsi="宋体" w:eastAsia="宋体" w:cs="Arial"/>
          <w:color w:val="auto"/>
          <w:szCs w:val="21"/>
          <w:highlight w:val="none"/>
          <w:lang w:val="en-US" w:eastAsia="zh-CN"/>
        </w:rPr>
        <w:t>指定样式工作服、佩戴胸牌。</w:t>
      </w:r>
    </w:p>
    <w:p w14:paraId="2AD35A9A">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3）垃圾中转站的工作人员年龄要求： 55周岁以下，驾驶人员持证上岗。</w:t>
      </w:r>
    </w:p>
    <w:p w14:paraId="5D856B75">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4）垃圾中转站的工作人员不徇私情，严格监督站内的垃圾来源，建筑装修垃圾、工业垃圾不得进站。</w:t>
      </w:r>
    </w:p>
    <w:p w14:paraId="4EFCDDC7">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5）垃圾中转站内，严禁停放外来单位车辆。</w:t>
      </w:r>
    </w:p>
    <w:p w14:paraId="6584820D">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6）有关垃圾站岗位职责、操作规章、服务承诺、开放时间等都要制作成标牌并且悬挂在醒目位置。</w:t>
      </w:r>
    </w:p>
    <w:p w14:paraId="7B2F664E">
      <w:pPr>
        <w:keepNext w:val="0"/>
        <w:keepLines w:val="0"/>
        <w:pageBreakBefore w:val="0"/>
        <w:widowControl w:val="0"/>
        <w:tabs>
          <w:tab w:val="center" w:pos="4153"/>
        </w:tabs>
        <w:kinsoku/>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7）车辆驾驶员，任何时间不准出私车，有事必须提前请示领导，如发现未经领导同意私自出车的驾驶员，每次</w:t>
      </w:r>
      <w:r>
        <w:rPr>
          <w:rFonts w:hint="eastAsia" w:ascii="宋体" w:hAnsi="宋体" w:cs="Arial"/>
          <w:color w:val="auto"/>
          <w:szCs w:val="21"/>
          <w:highlight w:val="none"/>
          <w:lang w:val="en-US" w:eastAsia="zh-CN"/>
        </w:rPr>
        <w:t>扣除</w:t>
      </w:r>
      <w:r>
        <w:rPr>
          <w:rFonts w:hint="eastAsia" w:ascii="宋体" w:hAnsi="宋体" w:eastAsia="宋体" w:cs="Arial"/>
          <w:color w:val="auto"/>
          <w:szCs w:val="21"/>
          <w:highlight w:val="none"/>
          <w:lang w:val="en-US" w:eastAsia="zh-CN"/>
        </w:rPr>
        <w:t>500元</w:t>
      </w:r>
      <w:r>
        <w:rPr>
          <w:rFonts w:hint="eastAsia" w:ascii="宋体" w:hAnsi="宋体" w:cs="Arial"/>
          <w:color w:val="auto"/>
          <w:szCs w:val="21"/>
          <w:highlight w:val="none"/>
          <w:lang w:val="en-US" w:eastAsia="zh-CN"/>
        </w:rPr>
        <w:t>违约金</w:t>
      </w:r>
      <w:r>
        <w:rPr>
          <w:rFonts w:hint="eastAsia" w:ascii="宋体" w:hAnsi="宋体" w:eastAsia="宋体" w:cs="Arial"/>
          <w:color w:val="auto"/>
          <w:szCs w:val="21"/>
          <w:highlight w:val="none"/>
          <w:lang w:val="en-US" w:eastAsia="zh-CN"/>
        </w:rPr>
        <w:t>。</w:t>
      </w:r>
    </w:p>
    <w:p w14:paraId="2C936D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eastAsia="zh-CN"/>
        </w:rPr>
        <w:t>（六）管理要求</w:t>
      </w:r>
    </w:p>
    <w:p w14:paraId="1E887D7E">
      <w:pPr>
        <w:keepNext w:val="0"/>
        <w:keepLines w:val="0"/>
        <w:pageBreakBefore w:val="0"/>
        <w:widowControl w:val="0"/>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1）中标人必须服从招标人具体的检查验收方法、内容、程序等各项要求。</w:t>
      </w:r>
    </w:p>
    <w:p w14:paraId="5EBA1A67">
      <w:pPr>
        <w:keepNext w:val="0"/>
        <w:keepLines w:val="0"/>
        <w:pageBreakBefore w:val="0"/>
        <w:widowControl w:val="0"/>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2）管理人员要做到24小时手机开机，工作时间内中标人要安排管理人员值班、巡视，并定期不定期对服务人员进行检查考核。</w:t>
      </w:r>
    </w:p>
    <w:p w14:paraId="6D3BE048">
      <w:pPr>
        <w:keepNext w:val="0"/>
        <w:keepLines w:val="0"/>
        <w:pageBreakBefore w:val="0"/>
        <w:widowControl w:val="0"/>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olor w:val="auto"/>
          <w:szCs w:val="21"/>
          <w:highlight w:val="none"/>
        </w:rPr>
      </w:pPr>
      <w:r>
        <w:rPr>
          <w:rFonts w:hint="eastAsia" w:ascii="宋体" w:hAnsi="宋体" w:cs="宋体"/>
          <w:color w:val="auto"/>
          <w:szCs w:val="21"/>
          <w:highlight w:val="none"/>
        </w:rPr>
        <w:t>3）中标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工作必需的劳动工具及劳动用品（如保洁车、扫帚、手套等）须自行负责，工作服、设备、车辆须有</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指定标志。</w:t>
      </w:r>
    </w:p>
    <w:p w14:paraId="236BF870">
      <w:pPr>
        <w:keepNext w:val="0"/>
        <w:keepLines w:val="0"/>
        <w:pageBreakBefore w:val="0"/>
        <w:widowControl w:val="0"/>
        <w:kinsoku/>
        <w:overflowPunct/>
        <w:topLinePunct w:val="0"/>
        <w:autoSpaceDE/>
        <w:autoSpaceDN/>
        <w:bidi w:val="0"/>
        <w:adjustRightInd/>
        <w:snapToGrid/>
        <w:spacing w:line="480" w:lineRule="exact"/>
        <w:ind w:left="0" w:leftChars="0"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4）投标人必须对报价构成进行说明，即必须详细列出员工基本工资、社保医保、人身意外伤害险、台风或临时任务等加班费、过节费、防暑降温费、标制、服装费用，车辆设备的折旧费、维修费、低值易耗品（扫帚、铁铲、畚斗、清洁用品、清洁药剂、消杀药剂等）费用，</w:t>
      </w:r>
      <w:r>
        <w:rPr>
          <w:rFonts w:hint="eastAsia" w:ascii="宋体" w:hAnsi="宋体"/>
          <w:b/>
          <w:bCs/>
          <w:color w:val="auto"/>
          <w:szCs w:val="21"/>
          <w:highlight w:val="none"/>
        </w:rPr>
        <w:t>垃圾运输车辆的燃油费、年度保险费、检测费、审验费、车船使用税、各类维修费以及</w:t>
      </w:r>
      <w:r>
        <w:rPr>
          <w:rFonts w:hint="eastAsia" w:ascii="宋体" w:hAnsi="宋体" w:cs="Arial"/>
          <w:b/>
          <w:bCs/>
          <w:color w:val="auto"/>
          <w:szCs w:val="21"/>
          <w:highlight w:val="none"/>
        </w:rPr>
        <w:t>垃圾转运站点</w:t>
      </w:r>
      <w:r>
        <w:rPr>
          <w:rFonts w:hint="eastAsia" w:ascii="宋体" w:hAnsi="宋体"/>
          <w:b/>
          <w:bCs/>
          <w:color w:val="auto"/>
          <w:szCs w:val="21"/>
          <w:highlight w:val="none"/>
        </w:rPr>
        <w:t>内机械设备、其他油费、大中小维修及日常保养费、水电费、车辆的污水接漏</w:t>
      </w:r>
      <w:r>
        <w:rPr>
          <w:rFonts w:hint="eastAsia" w:ascii="宋体" w:hAnsi="宋体" w:cs="宋体"/>
          <w:b/>
          <w:bCs/>
          <w:color w:val="auto"/>
          <w:szCs w:val="21"/>
          <w:highlight w:val="none"/>
        </w:rPr>
        <w:t>、合理利润</w:t>
      </w:r>
      <w:r>
        <w:rPr>
          <w:rFonts w:hint="eastAsia" w:ascii="宋体" w:hAnsi="宋体"/>
          <w:b/>
          <w:bCs/>
          <w:color w:val="auto"/>
          <w:szCs w:val="21"/>
          <w:highlight w:val="none"/>
        </w:rPr>
        <w:t>等一切费用均由</w:t>
      </w:r>
      <w:r>
        <w:rPr>
          <w:rFonts w:hint="eastAsia" w:ascii="宋体" w:hAnsi="宋体"/>
          <w:b/>
          <w:bCs/>
          <w:color w:val="auto"/>
          <w:szCs w:val="21"/>
          <w:highlight w:val="none"/>
          <w:lang w:val="en-US" w:eastAsia="zh-CN"/>
        </w:rPr>
        <w:t>中标人</w:t>
      </w:r>
      <w:r>
        <w:rPr>
          <w:rFonts w:hint="eastAsia" w:ascii="宋体" w:hAnsi="宋体"/>
          <w:b/>
          <w:bCs/>
          <w:color w:val="auto"/>
          <w:szCs w:val="21"/>
          <w:highlight w:val="none"/>
        </w:rPr>
        <w:t>承担。</w:t>
      </w:r>
    </w:p>
    <w:p w14:paraId="02E8D980">
      <w:pPr>
        <w:keepNext w:val="0"/>
        <w:keepLines w:val="0"/>
        <w:pageBreakBefore w:val="0"/>
        <w:widowControl w:val="0"/>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olor w:val="auto"/>
          <w:szCs w:val="21"/>
          <w:highlight w:val="none"/>
        </w:rPr>
      </w:pPr>
      <w:r>
        <w:rPr>
          <w:rFonts w:hint="eastAsia" w:ascii="宋体" w:hAnsi="宋体" w:cs="宋体"/>
          <w:color w:val="auto"/>
          <w:szCs w:val="21"/>
          <w:highlight w:val="none"/>
        </w:rPr>
        <w:t>5）中标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应按时参加</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组织的工作例会或其它活动。</w:t>
      </w:r>
    </w:p>
    <w:p w14:paraId="2848AB8B">
      <w:pPr>
        <w:keepNext w:val="0"/>
        <w:keepLines w:val="0"/>
        <w:pageBreakBefore w:val="0"/>
        <w:widowControl w:val="0"/>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员工必需按规定上岗培训。</w:t>
      </w:r>
    </w:p>
    <w:p w14:paraId="35ED5B0F">
      <w:pPr>
        <w:keepNext w:val="0"/>
        <w:keepLines w:val="0"/>
        <w:pageBreakBefore w:val="0"/>
        <w:widowControl w:val="0"/>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s="Arial"/>
          <w:color w:val="auto"/>
          <w:szCs w:val="21"/>
          <w:highlight w:val="none"/>
        </w:rPr>
      </w:pPr>
      <w:r>
        <w:rPr>
          <w:rFonts w:hint="eastAsia" w:ascii="宋体" w:hAnsi="宋体"/>
          <w:color w:val="auto"/>
          <w:szCs w:val="21"/>
          <w:highlight w:val="none"/>
        </w:rPr>
        <w:t>7）</w:t>
      </w:r>
      <w:r>
        <w:rPr>
          <w:rFonts w:hint="eastAsia" w:ascii="宋体" w:hAnsi="宋体" w:cs="Arial"/>
          <w:color w:val="auto"/>
          <w:szCs w:val="21"/>
          <w:highlight w:val="none"/>
        </w:rPr>
        <w:t>负责承包范围内的安全管理责任，严格按照有关部门的要求，制定相应的规章制度；加强对作业人员的思想教育，专业培训，做到遵纪守法。</w:t>
      </w:r>
    </w:p>
    <w:p w14:paraId="55928F07">
      <w:pPr>
        <w:keepNext w:val="0"/>
        <w:keepLines w:val="0"/>
        <w:pageBreakBefore w:val="0"/>
        <w:widowControl w:val="0"/>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s="Arial"/>
          <w:color w:val="auto"/>
          <w:szCs w:val="21"/>
          <w:highlight w:val="none"/>
        </w:rPr>
      </w:pPr>
      <w:r>
        <w:rPr>
          <w:rFonts w:hint="eastAsia" w:ascii="宋体" w:hAnsi="宋体" w:cs="Arial"/>
          <w:color w:val="auto"/>
          <w:szCs w:val="21"/>
          <w:highlight w:val="none"/>
        </w:rPr>
        <w:t>8）</w:t>
      </w:r>
      <w:r>
        <w:rPr>
          <w:rFonts w:hint="eastAsia" w:ascii="宋体" w:hAnsi="宋体" w:cs="Arial"/>
          <w:color w:val="auto"/>
          <w:szCs w:val="21"/>
          <w:highlight w:val="none"/>
          <w:lang w:val="en-US" w:eastAsia="zh-CN"/>
        </w:rPr>
        <w:t>中标人</w:t>
      </w:r>
      <w:r>
        <w:rPr>
          <w:rFonts w:hint="eastAsia" w:ascii="宋体" w:hAnsi="宋体" w:cs="Arial"/>
          <w:color w:val="auto"/>
          <w:szCs w:val="21"/>
          <w:highlight w:val="none"/>
        </w:rPr>
        <w:t>必须承担交通事故和安全生产事故等所产生的责任及一切费用、经济损失；（含安全事故中的伤、残、亡所产生的费用）。</w:t>
      </w:r>
    </w:p>
    <w:p w14:paraId="30C60C3F">
      <w:pPr>
        <w:keepNext w:val="0"/>
        <w:keepLines w:val="0"/>
        <w:pageBreakBefore w:val="0"/>
        <w:widowControl w:val="0"/>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中标人</w:t>
      </w:r>
      <w:r>
        <w:rPr>
          <w:rFonts w:hint="eastAsia" w:ascii="宋体" w:hAnsi="宋体"/>
          <w:color w:val="auto"/>
          <w:szCs w:val="21"/>
          <w:highlight w:val="none"/>
        </w:rPr>
        <w:t>必须按照《劳动法》规定，规范用工，及时支付人员发工资、劳保福利、奖金、社会保险及其他商业保险费用。</w:t>
      </w:r>
    </w:p>
    <w:p w14:paraId="32F98750">
      <w:pPr>
        <w:keepNext w:val="0"/>
        <w:keepLines w:val="0"/>
        <w:pageBreakBefore w:val="0"/>
        <w:widowControl w:val="0"/>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lang w:val="en-US" w:eastAsia="zh-CN"/>
        </w:rPr>
        <w:t>中标人</w:t>
      </w:r>
      <w:r>
        <w:rPr>
          <w:rFonts w:hint="eastAsia" w:ascii="宋体" w:hAnsi="宋体"/>
          <w:color w:val="auto"/>
          <w:szCs w:val="21"/>
          <w:highlight w:val="none"/>
        </w:rPr>
        <w:t>须承担在承包期间所发生的行政、民事、刑事等责任及各种纠纷产生的费用。</w:t>
      </w:r>
    </w:p>
    <w:p w14:paraId="0B42ECD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eastAsia="zh-CN"/>
        </w:rPr>
        <w:t>（七）进场时间要求</w:t>
      </w:r>
    </w:p>
    <w:p w14:paraId="458357A9">
      <w:pPr>
        <w:keepNext w:val="0"/>
        <w:keepLines w:val="0"/>
        <w:pageBreakBefore w:val="0"/>
        <w:widowControl w:val="0"/>
        <w:kinsoku/>
        <w:wordWrap w:val="0"/>
        <w:overflowPunct/>
        <w:topLinePunct w:val="0"/>
        <w:autoSpaceDE/>
        <w:autoSpaceDN/>
        <w:bidi w:val="0"/>
        <w:adjustRightInd/>
        <w:snapToGrid/>
        <w:spacing w:line="480" w:lineRule="exact"/>
        <w:ind w:left="0" w:leftChars="0" w:firstLine="420" w:firstLineChars="200"/>
        <w:textAlignment w:val="auto"/>
        <w:outlineLvl w:val="1"/>
        <w:rPr>
          <w:rFonts w:hint="eastAsia" w:ascii="宋体" w:hAnsi="宋体" w:eastAsia="宋体" w:cs="宋体"/>
          <w:b/>
          <w:bCs/>
          <w:color w:val="auto"/>
          <w:kern w:val="0"/>
          <w:sz w:val="24"/>
          <w:szCs w:val="24"/>
          <w:highlight w:val="none"/>
          <w:lang w:val="en-US" w:eastAsia="zh-CN" w:bidi="ar-SA"/>
        </w:rPr>
      </w:pPr>
      <w:bookmarkStart w:id="116" w:name="_Toc29217"/>
      <w:r>
        <w:rPr>
          <w:rFonts w:hint="eastAsia" w:ascii="宋体" w:hAnsi="宋体"/>
          <w:color w:val="auto"/>
          <w:szCs w:val="21"/>
          <w:highlight w:val="none"/>
        </w:rPr>
        <w:t>接招标人进场通知后15日内人员及设备必须进场，否则没收其履约保证金</w:t>
      </w:r>
      <w:bookmarkEnd w:id="116"/>
      <w:r>
        <w:rPr>
          <w:rFonts w:hint="eastAsia" w:ascii="宋体" w:hAnsi="宋体"/>
          <w:color w:val="auto"/>
          <w:szCs w:val="21"/>
          <w:highlight w:val="none"/>
          <w:lang w:val="en-US" w:eastAsia="zh-CN"/>
        </w:rPr>
        <w:t>并终止合同</w:t>
      </w:r>
      <w:r>
        <w:rPr>
          <w:rFonts w:hint="eastAsia" w:ascii="宋体" w:hAnsi="宋体" w:eastAsia="宋体" w:cs="宋体"/>
          <w:b/>
          <w:bCs/>
          <w:color w:val="auto"/>
          <w:kern w:val="0"/>
          <w:sz w:val="24"/>
          <w:szCs w:val="24"/>
          <w:highlight w:val="none"/>
          <w:lang w:val="en-US" w:eastAsia="zh-CN" w:bidi="ar-SA"/>
        </w:rPr>
        <w:t>。</w:t>
      </w:r>
    </w:p>
    <w:p w14:paraId="5D0A29E0">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八</w:t>
      </w:r>
      <w:r>
        <w:rPr>
          <w:rFonts w:hint="eastAsia" w:ascii="宋体" w:hAnsi="宋体" w:eastAsia="宋体" w:cs="Times New Roman"/>
          <w:b/>
          <w:bCs/>
          <w:color w:val="auto"/>
          <w:sz w:val="24"/>
          <w:szCs w:val="24"/>
          <w:highlight w:val="none"/>
          <w:lang w:eastAsia="zh-CN"/>
        </w:rPr>
        <w:t>）本项目服务包含前段垃圾收集，收集采取双方共同经营分成的方式</w:t>
      </w:r>
    </w:p>
    <w:p w14:paraId="7F6DBDBE">
      <w:pPr>
        <w:pStyle w:val="12"/>
        <w:keepNext w:val="0"/>
        <w:keepLines w:val="0"/>
        <w:pageBreakBefore w:val="0"/>
        <w:widowControl w:val="0"/>
        <w:kinsoku/>
        <w:wordWrap/>
        <w:overflowPunct/>
        <w:topLinePunct w:val="0"/>
        <w:autoSpaceDE/>
        <w:autoSpaceDN/>
        <w:bidi w:val="0"/>
        <w:adjustRightInd/>
        <w:snapToGrid/>
        <w:spacing w:after="0" w:afterLines="0"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）前端收集经营方式：前端收集所需的人员车辆由中标人根据收集需要自行配置，费用由中标人承担。</w:t>
      </w:r>
    </w:p>
    <w:p w14:paraId="329B77FD">
      <w:pPr>
        <w:pStyle w:val="12"/>
        <w:keepNext w:val="0"/>
        <w:keepLines w:val="0"/>
        <w:pageBreakBefore w:val="0"/>
        <w:widowControl w:val="0"/>
        <w:kinsoku/>
        <w:wordWrap/>
        <w:overflowPunct/>
        <w:topLinePunct w:val="0"/>
        <w:autoSpaceDE/>
        <w:autoSpaceDN/>
        <w:bidi w:val="0"/>
        <w:adjustRightInd/>
        <w:snapToGrid/>
        <w:spacing w:after="0" w:afterLines="0"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2、前端收集合同由招标人牵头，中标人配合。最终前端收集经营合同与招标人签订。</w:t>
      </w:r>
    </w:p>
    <w:p w14:paraId="7AC5CF8C">
      <w:pPr>
        <w:pStyle w:val="12"/>
        <w:keepNext w:val="0"/>
        <w:keepLines w:val="0"/>
        <w:pageBreakBefore w:val="0"/>
        <w:widowControl w:val="0"/>
        <w:kinsoku/>
        <w:wordWrap/>
        <w:overflowPunct/>
        <w:topLinePunct w:val="0"/>
        <w:autoSpaceDE/>
        <w:autoSpaceDN/>
        <w:bidi w:val="0"/>
        <w:adjustRightInd/>
        <w:snapToGrid/>
        <w:spacing w:after="0" w:afterLines="0"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3、前端收集经营</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经营指标为</w:t>
      </w:r>
      <w:r>
        <w:rPr>
          <w:rFonts w:hint="eastAsia" w:ascii="宋体" w:hAnsi="宋体" w:cs="宋体"/>
          <w:color w:val="auto"/>
          <w:kern w:val="2"/>
          <w:sz w:val="21"/>
          <w:szCs w:val="21"/>
          <w:highlight w:val="none"/>
          <w:lang w:val="en-US" w:eastAsia="zh-CN" w:bidi="ar-SA"/>
        </w:rPr>
        <w:t>每年100</w:t>
      </w:r>
      <w:r>
        <w:rPr>
          <w:rFonts w:hint="eastAsia" w:ascii="宋体" w:hAnsi="宋体" w:eastAsia="宋体" w:cs="宋体"/>
          <w:color w:val="auto"/>
          <w:kern w:val="2"/>
          <w:sz w:val="21"/>
          <w:szCs w:val="21"/>
          <w:highlight w:val="none"/>
          <w:lang w:val="en-US" w:eastAsia="zh-CN" w:bidi="ar-SA"/>
        </w:rPr>
        <w:t>万元</w:t>
      </w:r>
      <w:r>
        <w:rPr>
          <w:rFonts w:hint="eastAsia" w:ascii="宋体" w:hAnsi="宋体" w:cs="宋体"/>
          <w:color w:val="auto"/>
          <w:kern w:val="2"/>
          <w:sz w:val="21"/>
          <w:szCs w:val="21"/>
          <w:highlight w:val="none"/>
          <w:lang w:val="en-US" w:eastAsia="zh-CN" w:bidi="ar-SA"/>
        </w:rPr>
        <w:t>（按招标人年度实际到账金额计算）</w:t>
      </w:r>
      <w:r>
        <w:rPr>
          <w:rFonts w:hint="eastAsia" w:ascii="宋体" w:hAnsi="宋体" w:eastAsia="宋体" w:cs="宋体"/>
          <w:color w:val="auto"/>
          <w:kern w:val="2"/>
          <w:sz w:val="21"/>
          <w:szCs w:val="21"/>
          <w:highlight w:val="none"/>
          <w:lang w:val="en-US" w:eastAsia="zh-CN" w:bidi="ar-SA"/>
        </w:rPr>
        <w:t>。经营费用分成（具体分配比例见下表）。年度经营指标</w:t>
      </w:r>
      <w:r>
        <w:rPr>
          <w:rFonts w:hint="eastAsia" w:ascii="宋体" w:hAnsi="宋体" w:cs="宋体"/>
          <w:color w:val="auto"/>
          <w:kern w:val="2"/>
          <w:sz w:val="21"/>
          <w:szCs w:val="21"/>
          <w:highlight w:val="none"/>
          <w:lang w:val="en-US" w:eastAsia="zh-CN" w:bidi="ar-SA"/>
        </w:rPr>
        <w:t>未达标</w:t>
      </w:r>
      <w:r>
        <w:rPr>
          <w:rFonts w:hint="eastAsia" w:ascii="宋体" w:hAnsi="宋体" w:eastAsia="宋体" w:cs="宋体"/>
          <w:color w:val="auto"/>
          <w:kern w:val="2"/>
          <w:sz w:val="21"/>
          <w:szCs w:val="21"/>
          <w:highlight w:val="none"/>
          <w:lang w:val="en-US" w:eastAsia="zh-CN" w:bidi="ar-SA"/>
        </w:rPr>
        <w:t>的</w:t>
      </w:r>
      <w:r>
        <w:rPr>
          <w:rFonts w:hint="eastAsia" w:ascii="宋体" w:hAnsi="宋体" w:cs="宋体"/>
          <w:color w:val="auto"/>
          <w:kern w:val="2"/>
          <w:sz w:val="21"/>
          <w:szCs w:val="21"/>
          <w:highlight w:val="none"/>
          <w:lang w:val="en-US" w:eastAsia="zh-CN" w:bidi="ar-SA"/>
        </w:rPr>
        <w:t>按</w:t>
      </w:r>
      <w:r>
        <w:rPr>
          <w:rFonts w:hint="default" w:ascii="宋体" w:hAnsi="宋体" w:eastAsia="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万元</w:t>
      </w:r>
      <w:r>
        <w:rPr>
          <w:rFonts w:hint="eastAsia" w:ascii="宋体" w:hAnsi="宋体" w:cs="宋体"/>
          <w:color w:val="auto"/>
          <w:kern w:val="2"/>
          <w:sz w:val="21"/>
          <w:szCs w:val="21"/>
          <w:highlight w:val="none"/>
          <w:lang w:val="en-US" w:eastAsia="zh-CN" w:bidi="ar-SA"/>
        </w:rPr>
        <w:t>扣除违约金</w:t>
      </w:r>
      <w:r>
        <w:rPr>
          <w:rFonts w:hint="eastAsia" w:ascii="宋体" w:hAnsi="宋体" w:eastAsia="宋体" w:cs="宋体"/>
          <w:color w:val="auto"/>
          <w:kern w:val="2"/>
          <w:sz w:val="21"/>
          <w:szCs w:val="21"/>
          <w:highlight w:val="none"/>
          <w:lang w:val="en-US" w:eastAsia="zh-CN" w:bidi="ar-SA"/>
        </w:rPr>
        <w:t>。</w:t>
      </w:r>
    </w:p>
    <w:p w14:paraId="1E81B77E">
      <w:pPr>
        <w:pStyle w:val="12"/>
        <w:keepNext w:val="0"/>
        <w:keepLines w:val="0"/>
        <w:pageBreakBefore w:val="0"/>
        <w:widowControl w:val="0"/>
        <w:kinsoku/>
        <w:wordWrap/>
        <w:overflowPunct/>
        <w:topLinePunct w:val="0"/>
        <w:autoSpaceDE/>
        <w:autoSpaceDN/>
        <w:bidi w:val="0"/>
        <w:adjustRightInd/>
        <w:snapToGrid/>
        <w:spacing w:after="0" w:afterLines="0"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4、中标人前端收集的费用</w:t>
      </w:r>
      <w:r>
        <w:rPr>
          <w:rFonts w:hint="eastAsia" w:ascii="宋体" w:hAnsi="宋体" w:cs="宋体"/>
          <w:color w:val="auto"/>
          <w:kern w:val="2"/>
          <w:sz w:val="21"/>
          <w:szCs w:val="21"/>
          <w:highlight w:val="none"/>
          <w:lang w:val="en-US" w:eastAsia="zh-CN" w:bidi="ar-SA"/>
        </w:rPr>
        <w:t>由招标人</w:t>
      </w:r>
      <w:r>
        <w:rPr>
          <w:rFonts w:hint="eastAsia" w:ascii="宋体" w:hAnsi="宋体" w:eastAsia="宋体" w:cs="宋体"/>
          <w:color w:val="auto"/>
          <w:kern w:val="2"/>
          <w:sz w:val="21"/>
          <w:szCs w:val="21"/>
          <w:highlight w:val="none"/>
          <w:lang w:val="en-US" w:eastAsia="zh-CN" w:bidi="ar-SA"/>
        </w:rPr>
        <w:t>按月度支付人员基本工资1.5万元/月，最终费根据年经营合同总额，结算</w:t>
      </w:r>
      <w:r>
        <w:rPr>
          <w:rFonts w:hint="eastAsia" w:ascii="宋体" w:hAnsi="宋体" w:cs="宋体"/>
          <w:color w:val="auto"/>
          <w:kern w:val="2"/>
          <w:sz w:val="21"/>
          <w:szCs w:val="21"/>
          <w:highlight w:val="none"/>
          <w:lang w:val="en-US" w:eastAsia="zh-CN" w:bidi="ar-SA"/>
        </w:rPr>
        <w:t>时扣回</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lang w:val="en-US" w:eastAsia="zh-CN" w:bidi="ar-SA"/>
        </w:rPr>
        <w:t>需提供符合招标人要求的发票</w:t>
      </w:r>
      <w:r>
        <w:rPr>
          <w:rFonts w:hint="eastAsia" w:ascii="宋体" w:hAnsi="宋体" w:cs="宋体"/>
          <w:color w:val="auto"/>
          <w:kern w:val="2"/>
          <w:sz w:val="21"/>
          <w:szCs w:val="21"/>
          <w:highlight w:val="none"/>
          <w:lang w:val="en-US" w:eastAsia="zh-CN" w:bidi="ar-SA"/>
        </w:rPr>
        <w:t>。</w:t>
      </w:r>
    </w:p>
    <w:p w14:paraId="5758B1CC">
      <w:pPr>
        <w:pStyle w:val="12"/>
        <w:keepNext w:val="0"/>
        <w:keepLines w:val="0"/>
        <w:pageBreakBefore w:val="0"/>
        <w:widowControl w:val="0"/>
        <w:kinsoku/>
        <w:wordWrap/>
        <w:overflowPunct/>
        <w:topLinePunct w:val="0"/>
        <w:autoSpaceDE/>
        <w:autoSpaceDN/>
        <w:bidi w:val="0"/>
        <w:adjustRightInd/>
        <w:snapToGrid/>
        <w:spacing w:after="0" w:afterLines="0"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、安全责任：垃圾前端收集过程中自身人员、车辆因安全问题造成的损失和伤害以及对第三方造成的损失和伤害由中标人自行承担</w:t>
      </w:r>
      <w:r>
        <w:rPr>
          <w:rFonts w:hint="eastAsia" w:ascii="宋体" w:hAnsi="宋体" w:cs="宋体"/>
          <w:color w:val="auto"/>
          <w:kern w:val="2"/>
          <w:sz w:val="21"/>
          <w:szCs w:val="21"/>
          <w:highlight w:val="none"/>
          <w:lang w:val="en-US" w:eastAsia="zh-CN" w:bidi="ar-SA"/>
        </w:rPr>
        <w:t>。</w:t>
      </w:r>
    </w:p>
    <w:p w14:paraId="52F941C7">
      <w:pPr>
        <w:pStyle w:val="12"/>
        <w:keepNext w:val="0"/>
        <w:keepLines w:val="0"/>
        <w:pageBreakBefore w:val="0"/>
        <w:widowControl w:val="0"/>
        <w:kinsoku/>
        <w:wordWrap/>
        <w:overflowPunct/>
        <w:topLinePunct w:val="0"/>
        <w:autoSpaceDE/>
        <w:autoSpaceDN/>
        <w:bidi w:val="0"/>
        <w:adjustRightInd/>
        <w:snapToGrid/>
        <w:spacing w:after="0" w:afterLines="0" w:line="440" w:lineRule="exact"/>
        <w:ind w:left="0" w:leftChars="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、垃圾收集转运按照国家以及地方标准执行，因中标人违规收集、转运造成的一切损失由中标人自行承担，招标人可视情况单方解除合同。</w:t>
      </w:r>
    </w:p>
    <w:p w14:paraId="6BCD8964">
      <w:pP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t>前端收集经营以及各方分成比例</w:t>
      </w: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49"/>
        <w:gridCol w:w="1694"/>
        <w:gridCol w:w="1694"/>
        <w:gridCol w:w="1694"/>
        <w:gridCol w:w="1951"/>
      </w:tblGrid>
      <w:tr w14:paraId="7220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5000" w:type="pct"/>
            <w:gridSpan w:val="5"/>
            <w:tcBorders>
              <w:top w:val="nil"/>
              <w:left w:val="single" w:color="000000" w:sz="8" w:space="0"/>
              <w:bottom w:val="nil"/>
              <w:right w:val="single" w:color="000000" w:sz="4" w:space="0"/>
            </w:tcBorders>
            <w:shd w:val="clear" w:color="auto" w:fill="B5C6EA"/>
            <w:noWrap/>
            <w:vAlign w:val="center"/>
          </w:tcPr>
          <w:p w14:paraId="28E3A853">
            <w:pPr>
              <w:keepNext w:val="0"/>
              <w:keepLines w:val="0"/>
              <w:widowControl/>
              <w:suppressLineNumbers w:val="0"/>
              <w:jc w:val="center"/>
              <w:textAlignment w:val="center"/>
              <w:rPr>
                <w:rFonts w:ascii="仿宋" w:hAnsi="仿宋" w:eastAsia="仿宋" w:cs="仿宋"/>
                <w:b/>
                <w:bCs/>
                <w:i w:val="0"/>
                <w:iCs w:val="0"/>
                <w:color w:val="auto"/>
                <w:sz w:val="32"/>
                <w:szCs w:val="32"/>
                <w:highlight w:val="none"/>
                <w:u w:val="none"/>
              </w:rPr>
            </w:pPr>
            <w:r>
              <w:rPr>
                <w:rFonts w:hint="eastAsia" w:ascii="仿宋" w:hAnsi="仿宋" w:eastAsia="仿宋" w:cs="仿宋"/>
                <w:b/>
                <w:bCs/>
                <w:i w:val="0"/>
                <w:iCs w:val="0"/>
                <w:color w:val="auto"/>
                <w:kern w:val="0"/>
                <w:sz w:val="32"/>
                <w:szCs w:val="32"/>
                <w:highlight w:val="none"/>
                <w:u w:val="none"/>
                <w:lang w:val="en-US" w:eastAsia="zh-CN" w:bidi="ar"/>
              </w:rPr>
              <w:t>分成方案</w:t>
            </w:r>
          </w:p>
        </w:tc>
      </w:tr>
      <w:tr w14:paraId="52D6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70BF">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每年超额完成分成（万元）</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9BAD">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中标人分成比例</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0831">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招标人分成金额</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0384">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中标人分成金额</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7AEF">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备注</w:t>
            </w:r>
          </w:p>
        </w:tc>
      </w:tr>
      <w:tr w14:paraId="2C3E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642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0＜P≤5</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590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70.00%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96E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1.50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49D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3.50 </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B57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P值按5万元计算</w:t>
            </w:r>
          </w:p>
        </w:tc>
      </w:tr>
      <w:tr w14:paraId="0216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387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5＜P≤10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883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75.00%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78E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2.50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533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7.50 </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4CB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P值按10万元计算</w:t>
            </w:r>
          </w:p>
        </w:tc>
      </w:tr>
      <w:tr w14:paraId="4831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1A9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10＜P≤15</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391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80.00%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CE1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3.00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D33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12.00 </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4E3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P值按15万元计算</w:t>
            </w:r>
          </w:p>
        </w:tc>
      </w:tr>
      <w:tr w14:paraId="7573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A20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15＜P≤20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42C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85.00%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BC1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3.00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4A9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17.00 </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17F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P值按20万元计算</w:t>
            </w:r>
          </w:p>
        </w:tc>
      </w:tr>
      <w:tr w14:paraId="17AC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D13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20＜P≤25</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999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A0A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2.50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6C1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22.50 </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653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P值按25万元计算</w:t>
            </w:r>
          </w:p>
        </w:tc>
      </w:tr>
      <w:tr w14:paraId="60D7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4A6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P＞25</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3FE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100.00%</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2C1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0.00 </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496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30.00 </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610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P值按30万元计算</w:t>
            </w:r>
          </w:p>
        </w:tc>
      </w:tr>
      <w:tr w14:paraId="163D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3A64D">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注：1、年度经营考核指标为100万元；未完成时按年度营业额招标人40%、中标人60% 的比例进行收益分成，后按12万元扣除违约金；完成时，100万元部分按招标人40%、中标人60% 的比例进行收益分成；</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2、实际年营业额超出100万元考核指标的部分，按上表约定比例分配。</w:t>
            </w:r>
          </w:p>
          <w:p w14:paraId="2A4ED59F">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举例：实际年营业额为115万元时，收益分成计算方式如下：</w:t>
            </w:r>
          </w:p>
          <w:p w14:paraId="205C012C">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招标人应得分成金额：100万元×40% + 15万元×20% = 43 万元；</w:t>
            </w:r>
          </w:p>
          <w:p w14:paraId="13F03B64">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中标人应得分成金额：100万元×60% + 15万元×80% = 72 万元。</w:t>
            </w:r>
          </w:p>
        </w:tc>
      </w:tr>
    </w:tbl>
    <w:p w14:paraId="630DE699">
      <w:pPr>
        <w:kinsoku/>
        <w:wordWrap w:val="0"/>
        <w:overflowPunct/>
        <w:topLinePunct w:val="0"/>
        <w:bidi w:val="0"/>
        <w:rPr>
          <w:rFonts w:hint="eastAsia" w:ascii="宋体" w:hAnsi="宋体" w:eastAsia="宋体" w:cs="宋体"/>
          <w:b/>
          <w:color w:val="auto"/>
          <w:sz w:val="21"/>
          <w:szCs w:val="21"/>
          <w:highlight w:val="none"/>
        </w:rPr>
      </w:pPr>
    </w:p>
    <w:p w14:paraId="7E7174C7">
      <w:pPr>
        <w:pStyle w:val="12"/>
        <w:rPr>
          <w:rFonts w:hint="eastAsia" w:ascii="宋体" w:hAnsi="宋体" w:eastAsia="宋体" w:cs="宋体"/>
          <w:b/>
          <w:color w:val="auto"/>
          <w:sz w:val="21"/>
          <w:szCs w:val="21"/>
          <w:highlight w:val="none"/>
        </w:rPr>
      </w:pPr>
    </w:p>
    <w:p w14:paraId="58D521C3">
      <w:pPr>
        <w:keepNext w:val="0"/>
        <w:keepLines w:val="0"/>
        <w:pageBreakBefore w:val="0"/>
        <w:widowControl w:val="0"/>
        <w:numPr>
          <w:ilvl w:val="0"/>
          <w:numId w:val="0"/>
        </w:numPr>
        <w:kinsoku/>
        <w:wordWrap w:val="0"/>
        <w:overflowPunct/>
        <w:topLinePunct w:val="0"/>
        <w:autoSpaceDE/>
        <w:autoSpaceDN/>
        <w:bidi w:val="0"/>
        <w:adjustRightInd/>
        <w:snapToGrid/>
        <w:spacing w:before="95" w:beforeLines="30" w:after="95" w:afterLines="30" w:line="360" w:lineRule="exact"/>
        <w:ind w:right="0" w:rightChars="0"/>
        <w:jc w:val="center"/>
        <w:textAlignment w:val="auto"/>
        <w:outlineLvl w:val="0"/>
        <w:rPr>
          <w:rFonts w:hint="eastAsia" w:ascii="宋体" w:hAnsi="Times New Roman" w:eastAsia="宋体" w:cs="Times New Roman"/>
          <w:b/>
          <w:color w:val="auto"/>
          <w:sz w:val="32"/>
          <w:szCs w:val="32"/>
          <w:highlight w:val="none"/>
          <w:lang w:eastAsia="zh-CN"/>
        </w:rPr>
      </w:pPr>
      <w:bookmarkStart w:id="140" w:name="_GoBack"/>
      <w:bookmarkEnd w:id="140"/>
      <w:r>
        <w:rPr>
          <w:rFonts w:hint="eastAsia" w:ascii="宋体" w:hAnsi="Times New Roman" w:eastAsia="宋体" w:cs="Times New Roman"/>
          <w:b/>
          <w:color w:val="auto"/>
          <w:sz w:val="32"/>
          <w:szCs w:val="32"/>
          <w:highlight w:val="none"/>
          <w:lang w:eastAsia="zh-CN"/>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lang w:eastAsia="zh-CN"/>
        </w:rPr>
        <w:t>章</w:t>
      </w:r>
      <w:r>
        <w:rPr>
          <w:rFonts w:hint="eastAsia" w:ascii="宋体" w:hAnsi="Times New Roman" w:eastAsia="宋体" w:cs="Times New Roman"/>
          <w:b/>
          <w:color w:val="auto"/>
          <w:sz w:val="32"/>
          <w:szCs w:val="32"/>
          <w:highlight w:val="none"/>
          <w:lang w:val="en-US" w:eastAsia="zh-CN"/>
        </w:rPr>
        <w:t xml:space="preserve">  </w:t>
      </w:r>
      <w:r>
        <w:rPr>
          <w:rFonts w:hint="eastAsia" w:ascii="宋体" w:hAnsi="Times New Roman" w:eastAsia="宋体" w:cs="Times New Roman"/>
          <w:b/>
          <w:color w:val="auto"/>
          <w:sz w:val="32"/>
          <w:szCs w:val="32"/>
          <w:highlight w:val="none"/>
          <w:lang w:eastAsia="zh-CN"/>
        </w:rPr>
        <w:t>合同条款及格式</w:t>
      </w:r>
    </w:p>
    <w:p w14:paraId="44CB3AEF">
      <w:pPr>
        <w:kinsoku/>
        <w:wordWrap w:val="0"/>
        <w:overflowPunct/>
        <w:topLinePunct w:val="0"/>
        <w:bidi w:val="0"/>
        <w:spacing w:line="228" w:lineRule="auto"/>
        <w:rPr>
          <w:color w:val="auto"/>
          <w:sz w:val="20"/>
          <w:szCs w:val="20"/>
          <w:highlight w:val="none"/>
        </w:rPr>
      </w:pPr>
    </w:p>
    <w:p w14:paraId="39910C91">
      <w:pPr>
        <w:widowControl/>
        <w:kinsoku/>
        <w:wordWrap w:val="0"/>
        <w:overflowPunct/>
        <w:topLinePunct w:val="0"/>
        <w:bidi w:val="0"/>
        <w:spacing w:line="400" w:lineRule="exact"/>
        <w:ind w:left="360"/>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一</w:t>
      </w:r>
      <w:bookmarkStart w:id="117" w:name="_Toc449028946"/>
      <w:r>
        <w:rPr>
          <w:rFonts w:hint="eastAsia" w:ascii="宋体"/>
          <w:b/>
          <w:color w:val="auto"/>
          <w:sz w:val="30"/>
          <w:szCs w:val="30"/>
          <w:highlight w:val="none"/>
        </w:rPr>
        <w:t>、合同协议书（格式）</w:t>
      </w:r>
      <w:bookmarkEnd w:id="117"/>
    </w:p>
    <w:p w14:paraId="6A2DA82B">
      <w:pPr>
        <w:keepNext w:val="0"/>
        <w:keepLines w:val="0"/>
        <w:pageBreakBefore w:val="0"/>
        <w:widowControl w:val="0"/>
        <w:kinsoku/>
        <w:wordWrap/>
        <w:topLinePunct w:val="0"/>
        <w:autoSpaceDE/>
        <w:autoSpaceDN/>
        <w:bidi w:val="0"/>
        <w:spacing w:line="480" w:lineRule="auto"/>
        <w:ind w:left="0" w:leftChars="0" w:firstLine="602" w:firstLineChars="200"/>
        <w:jc w:val="center"/>
        <w:rPr>
          <w:rFonts w:hint="eastAsia" w:ascii="宋体" w:hAnsi="宋体" w:cs="黑体"/>
          <w:b/>
          <w:bCs/>
          <w:color w:val="auto"/>
          <w:sz w:val="30"/>
          <w:szCs w:val="30"/>
          <w:highlight w:val="none"/>
        </w:rPr>
      </w:pPr>
      <w:r>
        <w:rPr>
          <w:rFonts w:hint="eastAsia" w:ascii="宋体" w:hAnsi="宋体" w:eastAsia="宋体" w:cs="黑体"/>
          <w:b/>
          <w:bCs/>
          <w:color w:val="auto"/>
          <w:sz w:val="30"/>
          <w:szCs w:val="30"/>
          <w:highlight w:val="none"/>
          <w:lang w:eastAsia="zh-CN"/>
        </w:rPr>
        <w:t>中新苏滁高新区兰州路</w:t>
      </w:r>
      <w:r>
        <w:rPr>
          <w:rFonts w:hint="eastAsia" w:ascii="宋体" w:hAnsi="宋体" w:eastAsia="宋体" w:cs="黑体"/>
          <w:b/>
          <w:bCs/>
          <w:color w:val="auto"/>
          <w:sz w:val="30"/>
          <w:szCs w:val="30"/>
          <w:highlight w:val="none"/>
          <w:lang w:val="en-US" w:eastAsia="zh-CN"/>
        </w:rPr>
        <w:t>及杭州路</w:t>
      </w:r>
      <w:r>
        <w:rPr>
          <w:rFonts w:hint="eastAsia" w:ascii="宋体" w:hAnsi="宋体" w:eastAsia="宋体" w:cs="黑体"/>
          <w:b/>
          <w:bCs/>
          <w:color w:val="auto"/>
          <w:sz w:val="30"/>
          <w:szCs w:val="30"/>
          <w:highlight w:val="none"/>
          <w:lang w:eastAsia="zh-CN"/>
        </w:rPr>
        <w:t>垃圾中转站202</w:t>
      </w:r>
      <w:r>
        <w:rPr>
          <w:rFonts w:hint="eastAsia" w:ascii="宋体" w:hAnsi="宋体" w:eastAsia="宋体" w:cs="黑体"/>
          <w:b/>
          <w:bCs/>
          <w:color w:val="auto"/>
          <w:sz w:val="30"/>
          <w:szCs w:val="30"/>
          <w:highlight w:val="none"/>
          <w:lang w:val="en-US" w:eastAsia="zh-CN"/>
        </w:rPr>
        <w:t>6-2029</w:t>
      </w:r>
      <w:r>
        <w:rPr>
          <w:rFonts w:hint="eastAsia" w:ascii="宋体" w:hAnsi="宋体" w:eastAsia="宋体" w:cs="黑体"/>
          <w:b/>
          <w:bCs/>
          <w:color w:val="auto"/>
          <w:sz w:val="30"/>
          <w:szCs w:val="30"/>
          <w:highlight w:val="none"/>
          <w:lang w:eastAsia="zh-CN"/>
        </w:rPr>
        <w:t>年度服务</w:t>
      </w:r>
      <w:r>
        <w:rPr>
          <w:rFonts w:hint="eastAsia" w:ascii="宋体" w:hAnsi="宋体" w:eastAsia="宋体" w:cs="黑体"/>
          <w:b/>
          <w:bCs/>
          <w:color w:val="auto"/>
          <w:sz w:val="30"/>
          <w:szCs w:val="30"/>
          <w:highlight w:val="none"/>
          <w:lang w:val="en-US" w:eastAsia="zh-CN"/>
        </w:rPr>
        <w:t>项目</w:t>
      </w:r>
      <w:r>
        <w:rPr>
          <w:rFonts w:hint="eastAsia" w:ascii="宋体" w:hAnsi="宋体" w:cs="黑体"/>
          <w:b/>
          <w:bCs/>
          <w:color w:val="auto"/>
          <w:sz w:val="30"/>
          <w:szCs w:val="30"/>
          <w:highlight w:val="none"/>
        </w:rPr>
        <w:t>承包合同</w:t>
      </w:r>
    </w:p>
    <w:p w14:paraId="0BDA6574">
      <w:pPr>
        <w:keepNext w:val="0"/>
        <w:keepLines w:val="0"/>
        <w:pageBreakBefore w:val="0"/>
        <w:widowControl w:val="0"/>
        <w:kinsoku/>
        <w:wordWrap/>
        <w:topLinePunct w:val="0"/>
        <w:autoSpaceDE/>
        <w:autoSpaceDN/>
        <w:bidi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为实现市场化运作，进一步提高垃圾收运管理服务水平，招标人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（以下简称</w:t>
      </w:r>
      <w:r>
        <w:rPr>
          <w:rFonts w:hint="eastAsia" w:ascii="宋体" w:hAnsi="宋体"/>
          <w:color w:val="auto"/>
          <w:szCs w:val="21"/>
          <w:highlight w:val="none"/>
          <w:lang w:val="en-US" w:eastAsia="zh-CN"/>
        </w:rPr>
        <w:t>甲方</w:t>
      </w:r>
      <w:r>
        <w:rPr>
          <w:rFonts w:hint="eastAsia" w:ascii="宋体" w:hAnsi="宋体"/>
          <w:color w:val="auto"/>
          <w:szCs w:val="21"/>
          <w:highlight w:val="none"/>
        </w:rPr>
        <w:t>）于</w:t>
      </w:r>
      <w:r>
        <w:rPr>
          <w:rFonts w:hint="eastAsia" w:ascii="宋体" w:hAnsi="宋体"/>
          <w:color w:val="auto"/>
          <w:szCs w:val="21"/>
          <w:highlight w:val="none"/>
          <w:u w:val="single"/>
          <w:lang w:val="en-US" w:eastAsia="zh-CN"/>
        </w:rPr>
        <w:t>2026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日进行公开招投标，</w:t>
      </w:r>
      <w:r>
        <w:rPr>
          <w:rFonts w:hint="eastAsia" w:ascii="宋体" w:hAnsi="宋体"/>
          <w:color w:val="auto"/>
          <w:szCs w:val="21"/>
          <w:highlight w:val="none"/>
          <w:u w:val="single"/>
        </w:rPr>
        <w:t xml:space="preserve">              </w:t>
      </w:r>
      <w:r>
        <w:rPr>
          <w:rFonts w:hint="eastAsia" w:ascii="宋体" w:hAnsi="宋体"/>
          <w:color w:val="auto"/>
          <w:szCs w:val="21"/>
          <w:highlight w:val="none"/>
        </w:rPr>
        <w:t>公司（以下简称</w:t>
      </w:r>
      <w:r>
        <w:rPr>
          <w:rFonts w:hint="eastAsia" w:ascii="宋体" w:hAnsi="宋体"/>
          <w:color w:val="auto"/>
          <w:szCs w:val="21"/>
          <w:highlight w:val="none"/>
          <w:lang w:val="en-US" w:eastAsia="zh-CN"/>
        </w:rPr>
        <w:t>乙方</w:t>
      </w:r>
      <w:r>
        <w:rPr>
          <w:rFonts w:hint="eastAsia" w:ascii="宋体" w:hAnsi="宋体"/>
          <w:color w:val="auto"/>
          <w:szCs w:val="21"/>
          <w:highlight w:val="none"/>
        </w:rPr>
        <w:t>）中标，获得</w:t>
      </w:r>
      <w:r>
        <w:rPr>
          <w:rFonts w:hint="eastAsia" w:ascii="宋体" w:hAnsi="宋体"/>
          <w:color w:val="auto"/>
          <w:szCs w:val="21"/>
          <w:highlight w:val="none"/>
          <w:u w:val="single"/>
          <w:lang w:eastAsia="zh-CN"/>
        </w:rPr>
        <w:t>中新苏滁高新区兰州路</w:t>
      </w:r>
      <w:r>
        <w:rPr>
          <w:rFonts w:hint="eastAsia" w:ascii="宋体" w:hAnsi="宋体"/>
          <w:color w:val="auto"/>
          <w:szCs w:val="21"/>
          <w:highlight w:val="none"/>
          <w:u w:val="single"/>
          <w:lang w:val="en-US" w:eastAsia="zh-CN"/>
        </w:rPr>
        <w:t>及杭州路</w:t>
      </w:r>
      <w:r>
        <w:rPr>
          <w:rFonts w:hint="eastAsia" w:ascii="宋体" w:hAnsi="宋体"/>
          <w:color w:val="auto"/>
          <w:szCs w:val="21"/>
          <w:highlight w:val="none"/>
          <w:u w:val="single"/>
          <w:lang w:eastAsia="zh-CN"/>
        </w:rPr>
        <w:t>垃圾中转站202</w:t>
      </w:r>
      <w:r>
        <w:rPr>
          <w:rFonts w:hint="eastAsia" w:ascii="宋体" w:hAnsi="宋体"/>
          <w:color w:val="auto"/>
          <w:szCs w:val="21"/>
          <w:highlight w:val="none"/>
          <w:u w:val="single"/>
          <w:lang w:val="en-US" w:eastAsia="zh-CN"/>
        </w:rPr>
        <w:t>6-2029</w:t>
      </w:r>
      <w:r>
        <w:rPr>
          <w:rFonts w:hint="eastAsia" w:ascii="宋体" w:hAnsi="宋体"/>
          <w:color w:val="auto"/>
          <w:szCs w:val="21"/>
          <w:highlight w:val="none"/>
          <w:u w:val="single"/>
          <w:lang w:eastAsia="zh-CN"/>
        </w:rPr>
        <w:t>年度服务</w:t>
      </w:r>
      <w:r>
        <w:rPr>
          <w:rFonts w:hint="eastAsia" w:ascii="宋体" w:hAnsi="宋体"/>
          <w:color w:val="auto"/>
          <w:szCs w:val="21"/>
          <w:highlight w:val="none"/>
          <w:u w:val="single"/>
          <w:lang w:val="en-US" w:eastAsia="zh-CN"/>
        </w:rPr>
        <w:t>项目</w:t>
      </w:r>
      <w:r>
        <w:rPr>
          <w:rFonts w:hint="eastAsia" w:ascii="宋体" w:hAnsi="宋体" w:cs="黑体"/>
          <w:bCs/>
          <w:color w:val="auto"/>
          <w:szCs w:val="21"/>
          <w:highlight w:val="none"/>
          <w:u w:val="single"/>
          <w:lang w:val="en-US" w:eastAsia="zh-CN"/>
        </w:rPr>
        <w:t>服务</w:t>
      </w:r>
      <w:r>
        <w:rPr>
          <w:rFonts w:hint="eastAsia" w:ascii="宋体" w:hAnsi="宋体" w:cs="黑体"/>
          <w:bCs/>
          <w:color w:val="auto"/>
          <w:szCs w:val="21"/>
          <w:highlight w:val="none"/>
          <w:u w:val="single"/>
        </w:rPr>
        <w:t>权</w:t>
      </w:r>
      <w:r>
        <w:rPr>
          <w:rFonts w:hint="eastAsia" w:ascii="宋体" w:hAnsi="宋体"/>
          <w:color w:val="auto"/>
          <w:szCs w:val="21"/>
          <w:highlight w:val="none"/>
        </w:rPr>
        <w:t>，经甲、乙双方协议如下：</w:t>
      </w:r>
    </w:p>
    <w:p w14:paraId="73A22A4D">
      <w:pPr>
        <w:keepNext w:val="0"/>
        <w:keepLines w:val="0"/>
        <w:pageBreakBefore w:val="0"/>
        <w:widowControl w:val="0"/>
        <w:kinsoku/>
        <w:wordWrap/>
        <w:topLinePunct w:val="0"/>
        <w:autoSpaceDE/>
        <w:autoSpaceDN/>
        <w:bidi w:val="0"/>
        <w:snapToGrid w:val="0"/>
        <w:spacing w:line="440" w:lineRule="exact"/>
        <w:ind w:left="0" w:leftChars="0"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一、合同内容</w:t>
      </w:r>
    </w:p>
    <w:p w14:paraId="5749BD08">
      <w:pPr>
        <w:pStyle w:val="19"/>
        <w:keepNext w:val="0"/>
        <w:keepLines w:val="0"/>
        <w:pageBreakBefore w:val="0"/>
        <w:widowControl w:val="0"/>
        <w:kinsoku/>
        <w:wordWrap/>
        <w:topLinePunct w:val="0"/>
        <w:autoSpaceDE/>
        <w:autoSpaceDN/>
        <w:bidi w:val="0"/>
        <w:spacing w:line="440" w:lineRule="exact"/>
        <w:ind w:left="0" w:leftChars="0" w:firstLine="380" w:firstLineChars="200"/>
        <w:rPr>
          <w:rFonts w:hint="eastAsia" w:hAnsi="宋体"/>
          <w:color w:val="auto"/>
          <w:spacing w:val="-10"/>
          <w:szCs w:val="21"/>
          <w:highlight w:val="none"/>
        </w:rPr>
      </w:pPr>
      <w:r>
        <w:rPr>
          <w:rFonts w:hint="eastAsia" w:hAnsi="宋体"/>
          <w:color w:val="auto"/>
          <w:spacing w:val="-10"/>
          <w:szCs w:val="21"/>
          <w:highlight w:val="none"/>
        </w:rPr>
        <w:t>1、</w:t>
      </w:r>
      <w:r>
        <w:rPr>
          <w:rFonts w:hint="eastAsia" w:hAnsi="宋体"/>
          <w:color w:val="auto"/>
          <w:spacing w:val="-10"/>
          <w:szCs w:val="21"/>
          <w:highlight w:val="none"/>
          <w:lang w:eastAsia="zh-CN"/>
        </w:rPr>
        <w:t>乙方</w:t>
      </w:r>
      <w:r>
        <w:rPr>
          <w:rFonts w:hint="eastAsia" w:hAnsi="宋体"/>
          <w:color w:val="auto"/>
          <w:spacing w:val="-10"/>
          <w:szCs w:val="21"/>
          <w:highlight w:val="none"/>
        </w:rPr>
        <w:t>负责垃圾中转站</w:t>
      </w:r>
      <w:r>
        <w:rPr>
          <w:rFonts w:hint="eastAsia" w:hAnsi="宋体"/>
          <w:color w:val="auto"/>
          <w:spacing w:val="-10"/>
          <w:szCs w:val="21"/>
          <w:highlight w:val="none"/>
          <w:lang w:eastAsia="zh-CN"/>
        </w:rPr>
        <w:t>运营</w:t>
      </w:r>
      <w:r>
        <w:rPr>
          <w:rFonts w:hint="eastAsia" w:hAnsi="宋体"/>
          <w:color w:val="auto"/>
          <w:spacing w:val="-10"/>
          <w:szCs w:val="21"/>
          <w:highlight w:val="none"/>
        </w:rPr>
        <w:t>管理服务。</w:t>
      </w:r>
    </w:p>
    <w:p w14:paraId="7C845E3B">
      <w:pPr>
        <w:pStyle w:val="19"/>
        <w:keepNext w:val="0"/>
        <w:keepLines w:val="0"/>
        <w:pageBreakBefore w:val="0"/>
        <w:widowControl w:val="0"/>
        <w:kinsoku/>
        <w:wordWrap/>
        <w:topLinePunct w:val="0"/>
        <w:autoSpaceDE/>
        <w:autoSpaceDN/>
        <w:bidi w:val="0"/>
        <w:spacing w:line="440" w:lineRule="exact"/>
        <w:ind w:left="0" w:leftChars="0" w:firstLine="380" w:firstLineChars="200"/>
        <w:rPr>
          <w:rFonts w:hint="eastAsia" w:hAnsi="宋体"/>
          <w:color w:val="auto"/>
          <w:spacing w:val="-10"/>
          <w:szCs w:val="21"/>
          <w:highlight w:val="none"/>
        </w:rPr>
      </w:pPr>
      <w:r>
        <w:rPr>
          <w:rFonts w:hint="eastAsia" w:hAnsi="宋体"/>
          <w:color w:val="auto"/>
          <w:spacing w:val="-10"/>
          <w:szCs w:val="21"/>
          <w:highlight w:val="none"/>
        </w:rPr>
        <w:t>合同时间自</w:t>
      </w:r>
      <w:r>
        <w:rPr>
          <w:rFonts w:hint="eastAsia" w:hAnsi="宋体"/>
          <w:color w:val="auto"/>
          <w:spacing w:val="-10"/>
          <w:szCs w:val="21"/>
          <w:highlight w:val="none"/>
          <w:u w:val="single"/>
        </w:rPr>
        <w:t xml:space="preserve">  </w:t>
      </w:r>
      <w:r>
        <w:rPr>
          <w:rFonts w:hint="eastAsia" w:hAnsi="宋体"/>
          <w:color w:val="auto"/>
          <w:spacing w:val="-10"/>
          <w:szCs w:val="21"/>
          <w:highlight w:val="none"/>
          <w:u w:val="single"/>
          <w:lang w:val="en-US" w:eastAsia="zh-CN"/>
        </w:rPr>
        <w:t xml:space="preserve">  </w:t>
      </w:r>
      <w:r>
        <w:rPr>
          <w:rFonts w:hint="eastAsia" w:hAnsi="宋体"/>
          <w:color w:val="auto"/>
          <w:spacing w:val="-10"/>
          <w:szCs w:val="21"/>
          <w:highlight w:val="none"/>
          <w:u w:val="single"/>
        </w:rPr>
        <w:t xml:space="preserve">    </w:t>
      </w:r>
      <w:r>
        <w:rPr>
          <w:rFonts w:hint="eastAsia" w:hAnsi="宋体"/>
          <w:color w:val="auto"/>
          <w:spacing w:val="-10"/>
          <w:szCs w:val="21"/>
          <w:highlight w:val="none"/>
        </w:rPr>
        <w:t>年</w:t>
      </w:r>
      <w:r>
        <w:rPr>
          <w:rFonts w:hint="eastAsia" w:hAnsi="宋体"/>
          <w:color w:val="auto"/>
          <w:spacing w:val="-10"/>
          <w:szCs w:val="21"/>
          <w:highlight w:val="none"/>
          <w:u w:val="single"/>
        </w:rPr>
        <w:t xml:space="preserve">  </w:t>
      </w:r>
      <w:r>
        <w:rPr>
          <w:rFonts w:hint="eastAsia" w:hAnsi="宋体"/>
          <w:color w:val="auto"/>
          <w:spacing w:val="-10"/>
          <w:szCs w:val="21"/>
          <w:highlight w:val="none"/>
          <w:u w:val="single"/>
          <w:lang w:val="en-US" w:eastAsia="zh-CN"/>
        </w:rPr>
        <w:t xml:space="preserve">    </w:t>
      </w:r>
      <w:r>
        <w:rPr>
          <w:rFonts w:hint="eastAsia" w:hAnsi="宋体"/>
          <w:color w:val="auto"/>
          <w:spacing w:val="-10"/>
          <w:szCs w:val="21"/>
          <w:highlight w:val="none"/>
          <w:u w:val="single"/>
        </w:rPr>
        <w:t xml:space="preserve"> </w:t>
      </w:r>
      <w:r>
        <w:rPr>
          <w:rFonts w:hint="eastAsia" w:hAnsi="宋体"/>
          <w:color w:val="auto"/>
          <w:spacing w:val="-10"/>
          <w:szCs w:val="21"/>
          <w:highlight w:val="none"/>
        </w:rPr>
        <w:t>月</w:t>
      </w:r>
      <w:r>
        <w:rPr>
          <w:rFonts w:hint="eastAsia" w:hAnsi="宋体"/>
          <w:color w:val="auto"/>
          <w:spacing w:val="-10"/>
          <w:szCs w:val="21"/>
          <w:highlight w:val="none"/>
          <w:u w:val="single"/>
        </w:rPr>
        <w:t xml:space="preserve">   </w:t>
      </w:r>
      <w:r>
        <w:rPr>
          <w:rFonts w:hint="eastAsia" w:hAnsi="宋体"/>
          <w:color w:val="auto"/>
          <w:spacing w:val="-10"/>
          <w:szCs w:val="21"/>
          <w:highlight w:val="none"/>
          <w:u w:val="single"/>
          <w:lang w:val="en-US" w:eastAsia="zh-CN"/>
        </w:rPr>
        <w:t xml:space="preserve">  </w:t>
      </w:r>
      <w:r>
        <w:rPr>
          <w:rFonts w:hint="eastAsia" w:hAnsi="宋体"/>
          <w:color w:val="auto"/>
          <w:spacing w:val="-10"/>
          <w:szCs w:val="21"/>
          <w:highlight w:val="none"/>
          <w:u w:val="single"/>
        </w:rPr>
        <w:t xml:space="preserve">  </w:t>
      </w:r>
      <w:r>
        <w:rPr>
          <w:rFonts w:hint="eastAsia" w:hAnsi="宋体"/>
          <w:color w:val="auto"/>
          <w:spacing w:val="-10"/>
          <w:szCs w:val="21"/>
          <w:highlight w:val="none"/>
        </w:rPr>
        <w:t>日起至</w:t>
      </w:r>
      <w:r>
        <w:rPr>
          <w:rFonts w:hint="eastAsia" w:hAnsi="宋体"/>
          <w:color w:val="auto"/>
          <w:spacing w:val="-10"/>
          <w:szCs w:val="21"/>
          <w:highlight w:val="none"/>
          <w:u w:val="single"/>
        </w:rPr>
        <w:t xml:space="preserve">       </w:t>
      </w:r>
      <w:r>
        <w:rPr>
          <w:rFonts w:hint="eastAsia" w:hAnsi="宋体"/>
          <w:color w:val="auto"/>
          <w:spacing w:val="-10"/>
          <w:szCs w:val="21"/>
          <w:highlight w:val="none"/>
        </w:rPr>
        <w:t>年</w:t>
      </w:r>
      <w:r>
        <w:rPr>
          <w:rFonts w:hint="eastAsia" w:hAnsi="宋体"/>
          <w:color w:val="auto"/>
          <w:spacing w:val="-10"/>
          <w:szCs w:val="21"/>
          <w:highlight w:val="none"/>
          <w:u w:val="single"/>
        </w:rPr>
        <w:t xml:space="preserve">   </w:t>
      </w:r>
      <w:r>
        <w:rPr>
          <w:rFonts w:hint="eastAsia" w:hAnsi="宋体"/>
          <w:color w:val="auto"/>
          <w:spacing w:val="-10"/>
          <w:szCs w:val="21"/>
          <w:highlight w:val="none"/>
          <w:u w:val="single"/>
          <w:lang w:val="en-US" w:eastAsia="zh-CN"/>
        </w:rPr>
        <w:t xml:space="preserve">   </w:t>
      </w:r>
      <w:r>
        <w:rPr>
          <w:rFonts w:hint="eastAsia" w:hAnsi="宋体"/>
          <w:color w:val="auto"/>
          <w:spacing w:val="-10"/>
          <w:szCs w:val="21"/>
          <w:highlight w:val="none"/>
          <w:u w:val="single"/>
        </w:rPr>
        <w:t xml:space="preserve"> </w:t>
      </w:r>
      <w:r>
        <w:rPr>
          <w:rFonts w:hint="eastAsia" w:hAnsi="宋体"/>
          <w:color w:val="auto"/>
          <w:spacing w:val="-10"/>
          <w:szCs w:val="21"/>
          <w:highlight w:val="none"/>
        </w:rPr>
        <w:t>月</w:t>
      </w:r>
      <w:r>
        <w:rPr>
          <w:rFonts w:hint="eastAsia" w:hAnsi="宋体"/>
          <w:color w:val="auto"/>
          <w:spacing w:val="-10"/>
          <w:szCs w:val="21"/>
          <w:highlight w:val="none"/>
          <w:u w:val="single"/>
        </w:rPr>
        <w:t xml:space="preserve">   </w:t>
      </w:r>
      <w:r>
        <w:rPr>
          <w:rFonts w:hint="eastAsia" w:hAnsi="宋体"/>
          <w:color w:val="auto"/>
          <w:spacing w:val="-10"/>
          <w:szCs w:val="21"/>
          <w:highlight w:val="none"/>
          <w:u w:val="single"/>
          <w:lang w:val="en-US" w:eastAsia="zh-CN"/>
        </w:rPr>
        <w:t xml:space="preserve">   </w:t>
      </w:r>
      <w:r>
        <w:rPr>
          <w:rFonts w:hint="eastAsia" w:hAnsi="宋体"/>
          <w:color w:val="auto"/>
          <w:spacing w:val="-10"/>
          <w:szCs w:val="21"/>
          <w:highlight w:val="none"/>
          <w:u w:val="single"/>
        </w:rPr>
        <w:t xml:space="preserve"> </w:t>
      </w:r>
      <w:r>
        <w:rPr>
          <w:rFonts w:hint="eastAsia" w:hAnsi="宋体"/>
          <w:color w:val="auto"/>
          <w:spacing w:val="-10"/>
          <w:szCs w:val="21"/>
          <w:highlight w:val="none"/>
        </w:rPr>
        <w:t>日止。</w:t>
      </w:r>
    </w:p>
    <w:p w14:paraId="0E70E099">
      <w:pPr>
        <w:pStyle w:val="19"/>
        <w:keepNext w:val="0"/>
        <w:keepLines w:val="0"/>
        <w:pageBreakBefore w:val="0"/>
        <w:widowControl w:val="0"/>
        <w:kinsoku/>
        <w:wordWrap/>
        <w:topLinePunct w:val="0"/>
        <w:autoSpaceDE/>
        <w:autoSpaceDN/>
        <w:bidi w:val="0"/>
        <w:spacing w:line="440" w:lineRule="exact"/>
        <w:ind w:left="0" w:leftChars="0" w:firstLine="380" w:firstLineChars="200"/>
        <w:rPr>
          <w:rFonts w:hint="eastAsia" w:hAnsi="宋体"/>
          <w:color w:val="auto"/>
          <w:spacing w:val="-10"/>
          <w:szCs w:val="21"/>
          <w:highlight w:val="none"/>
        </w:rPr>
      </w:pPr>
      <w:r>
        <w:rPr>
          <w:rFonts w:hint="eastAsia" w:hAnsi="宋体"/>
          <w:color w:val="auto"/>
          <w:spacing w:val="-10"/>
          <w:szCs w:val="21"/>
          <w:highlight w:val="none"/>
        </w:rPr>
        <w:t>项目负责人姓名</w:t>
      </w:r>
      <w:r>
        <w:rPr>
          <w:rFonts w:hint="eastAsia" w:hAnsi="宋体"/>
          <w:color w:val="auto"/>
          <w:spacing w:val="-10"/>
          <w:szCs w:val="21"/>
          <w:highlight w:val="none"/>
          <w:u w:val="none" w:color="auto"/>
        </w:rPr>
        <w:t>：</w:t>
      </w:r>
      <w:r>
        <w:rPr>
          <w:rFonts w:hint="eastAsia" w:hAnsi="宋体"/>
          <w:color w:val="auto"/>
          <w:spacing w:val="-10"/>
          <w:szCs w:val="21"/>
          <w:highlight w:val="none"/>
          <w:u w:val="single"/>
        </w:rPr>
        <w:t xml:space="preserve">        </w:t>
      </w:r>
      <w:r>
        <w:rPr>
          <w:rFonts w:hint="eastAsia" w:hAnsi="宋体"/>
          <w:color w:val="auto"/>
          <w:spacing w:val="-10"/>
          <w:szCs w:val="21"/>
          <w:highlight w:val="none"/>
          <w:u w:val="single"/>
          <w:lang w:val="en-US" w:eastAsia="zh-CN"/>
        </w:rPr>
        <w:t xml:space="preserve"> </w:t>
      </w:r>
      <w:r>
        <w:rPr>
          <w:rFonts w:hint="eastAsia" w:hAnsi="宋体"/>
          <w:color w:val="auto"/>
          <w:spacing w:val="-10"/>
          <w:szCs w:val="21"/>
          <w:highlight w:val="none"/>
          <w:u w:val="single"/>
        </w:rPr>
        <w:t xml:space="preserve">         </w:t>
      </w:r>
      <w:r>
        <w:rPr>
          <w:rFonts w:hint="eastAsia" w:hAnsi="宋体"/>
          <w:color w:val="auto"/>
          <w:spacing w:val="-10"/>
          <w:szCs w:val="21"/>
          <w:highlight w:val="none"/>
        </w:rPr>
        <w:t>，身份证号码</w:t>
      </w:r>
      <w:r>
        <w:rPr>
          <w:rFonts w:hint="eastAsia" w:hAnsi="宋体"/>
          <w:color w:val="auto"/>
          <w:spacing w:val="-10"/>
          <w:szCs w:val="21"/>
          <w:highlight w:val="none"/>
          <w:u w:val="none" w:color="auto"/>
        </w:rPr>
        <w:t>：</w:t>
      </w:r>
      <w:r>
        <w:rPr>
          <w:rFonts w:hint="eastAsia" w:hAnsi="宋体"/>
          <w:color w:val="auto"/>
          <w:spacing w:val="-10"/>
          <w:szCs w:val="21"/>
          <w:highlight w:val="none"/>
          <w:u w:val="single"/>
        </w:rPr>
        <w:t xml:space="preserve">                           </w:t>
      </w:r>
      <w:r>
        <w:rPr>
          <w:rFonts w:hint="eastAsia" w:hAnsi="宋体"/>
          <w:color w:val="auto"/>
          <w:spacing w:val="-10"/>
          <w:szCs w:val="21"/>
          <w:highlight w:val="none"/>
          <w:u w:val="none" w:color="auto"/>
        </w:rPr>
        <w:t>。</w:t>
      </w:r>
    </w:p>
    <w:p w14:paraId="09E0C256">
      <w:pPr>
        <w:pStyle w:val="19"/>
        <w:keepNext w:val="0"/>
        <w:keepLines w:val="0"/>
        <w:pageBreakBefore w:val="0"/>
        <w:widowControl w:val="0"/>
        <w:kinsoku/>
        <w:wordWrap/>
        <w:topLinePunct w:val="0"/>
        <w:autoSpaceDE/>
        <w:autoSpaceDN/>
        <w:bidi w:val="0"/>
        <w:spacing w:line="440" w:lineRule="exact"/>
        <w:ind w:left="0" w:leftChars="0" w:firstLine="420" w:firstLineChars="200"/>
        <w:rPr>
          <w:rFonts w:hint="eastAsia" w:hAnsi="宋体"/>
          <w:color w:val="auto"/>
          <w:szCs w:val="21"/>
          <w:highlight w:val="none"/>
        </w:rPr>
      </w:pPr>
      <w:r>
        <w:rPr>
          <w:rFonts w:hint="eastAsia" w:hAnsi="宋体"/>
          <w:color w:val="auto"/>
          <w:szCs w:val="21"/>
          <w:highlight w:val="none"/>
        </w:rPr>
        <w:t>2、下列文件为本合同不可分割部分：</w:t>
      </w:r>
    </w:p>
    <w:p w14:paraId="3F720415">
      <w:pPr>
        <w:pStyle w:val="19"/>
        <w:keepNext w:val="0"/>
        <w:keepLines w:val="0"/>
        <w:pageBreakBefore w:val="0"/>
        <w:widowControl w:val="0"/>
        <w:numPr>
          <w:ilvl w:val="0"/>
          <w:numId w:val="0"/>
        </w:numPr>
        <w:kinsoku/>
        <w:wordWrap/>
        <w:topLinePunct w:val="0"/>
        <w:autoSpaceDE/>
        <w:autoSpaceDN/>
        <w:bidi w:val="0"/>
        <w:spacing w:line="440" w:lineRule="exact"/>
        <w:ind w:leftChars="200"/>
        <w:rPr>
          <w:rFonts w:hint="eastAsia" w:hAnsi="宋体"/>
          <w:color w:val="auto"/>
          <w:szCs w:val="21"/>
          <w:highlight w:val="none"/>
        </w:rPr>
      </w:pPr>
      <w:r>
        <w:rPr>
          <w:rFonts w:hint="eastAsia" w:ascii="宋体" w:hAnsi="宋体" w:eastAsia="宋体" w:cs="宋体"/>
          <w:color w:val="auto"/>
          <w:szCs w:val="21"/>
          <w:highlight w:val="none"/>
        </w:rPr>
        <w:t>①</w:t>
      </w:r>
      <w:r>
        <w:rPr>
          <w:rFonts w:hint="eastAsia" w:hAnsi="宋体"/>
          <w:color w:val="auto"/>
          <w:szCs w:val="21"/>
          <w:highlight w:val="none"/>
        </w:rPr>
        <w:t>中标通知书；</w:t>
      </w:r>
    </w:p>
    <w:p w14:paraId="7107E24C">
      <w:pPr>
        <w:pStyle w:val="19"/>
        <w:keepNext w:val="0"/>
        <w:keepLines w:val="0"/>
        <w:pageBreakBefore w:val="0"/>
        <w:widowControl w:val="0"/>
        <w:numPr>
          <w:ilvl w:val="0"/>
          <w:numId w:val="0"/>
        </w:numPr>
        <w:kinsoku/>
        <w:wordWrap/>
        <w:topLinePunct w:val="0"/>
        <w:autoSpaceDE/>
        <w:autoSpaceDN/>
        <w:bidi w:val="0"/>
        <w:spacing w:line="440" w:lineRule="exact"/>
        <w:ind w:leftChars="200"/>
        <w:rPr>
          <w:rFonts w:hint="eastAsia" w:hAnsi="宋体"/>
          <w:color w:val="auto"/>
          <w:szCs w:val="21"/>
          <w:highlight w:val="none"/>
        </w:rPr>
      </w:pPr>
      <w:r>
        <w:rPr>
          <w:rFonts w:hint="eastAsia" w:ascii="宋体" w:hAnsi="宋体" w:eastAsia="宋体" w:cs="宋体"/>
          <w:color w:val="auto"/>
          <w:szCs w:val="21"/>
          <w:highlight w:val="none"/>
        </w:rPr>
        <w:t>②</w:t>
      </w:r>
      <w:r>
        <w:rPr>
          <w:rFonts w:hint="eastAsia" w:hAnsi="宋体"/>
          <w:color w:val="auto"/>
          <w:szCs w:val="21"/>
          <w:highlight w:val="none"/>
        </w:rPr>
        <w:t>投标</w:t>
      </w:r>
      <w:r>
        <w:rPr>
          <w:rFonts w:hint="eastAsia" w:hAnsi="宋体"/>
          <w:color w:val="auto"/>
          <w:szCs w:val="21"/>
          <w:highlight w:val="none"/>
          <w:lang w:val="en-US" w:eastAsia="zh-CN"/>
        </w:rPr>
        <w:t>文件</w:t>
      </w:r>
      <w:r>
        <w:rPr>
          <w:rFonts w:hint="eastAsia" w:hAnsi="宋体"/>
          <w:color w:val="auto"/>
          <w:szCs w:val="21"/>
          <w:highlight w:val="none"/>
        </w:rPr>
        <w:t>；</w:t>
      </w:r>
    </w:p>
    <w:p w14:paraId="3202BD61">
      <w:pPr>
        <w:pStyle w:val="19"/>
        <w:keepNext w:val="0"/>
        <w:keepLines w:val="0"/>
        <w:pageBreakBefore w:val="0"/>
        <w:widowControl w:val="0"/>
        <w:numPr>
          <w:ilvl w:val="0"/>
          <w:numId w:val="0"/>
        </w:numPr>
        <w:kinsoku/>
        <w:wordWrap/>
        <w:topLinePunct w:val="0"/>
        <w:autoSpaceDE/>
        <w:autoSpaceDN/>
        <w:bidi w:val="0"/>
        <w:spacing w:line="440" w:lineRule="exact"/>
        <w:ind w:leftChars="200"/>
        <w:rPr>
          <w:rFonts w:hint="eastAsia" w:hAnsi="宋体"/>
          <w:color w:val="auto"/>
          <w:szCs w:val="21"/>
          <w:highlight w:val="none"/>
        </w:rPr>
      </w:pPr>
      <w:r>
        <w:rPr>
          <w:rFonts w:hint="eastAsia" w:ascii="宋体" w:hAnsi="宋体" w:eastAsia="宋体" w:cs="宋体"/>
          <w:color w:val="auto"/>
          <w:szCs w:val="21"/>
          <w:highlight w:val="none"/>
          <w:lang w:eastAsia="zh-CN"/>
        </w:rPr>
        <w:t>③</w:t>
      </w:r>
      <w:r>
        <w:rPr>
          <w:rFonts w:hint="eastAsia" w:hAnsi="宋体" w:cs="宋体"/>
          <w:color w:val="auto"/>
          <w:szCs w:val="21"/>
          <w:highlight w:val="none"/>
          <w:lang w:val="en-US" w:eastAsia="zh-CN"/>
        </w:rPr>
        <w:t>乙方</w:t>
      </w:r>
      <w:r>
        <w:rPr>
          <w:rFonts w:hint="eastAsia" w:hAnsi="宋体"/>
          <w:color w:val="auto"/>
          <w:szCs w:val="21"/>
          <w:highlight w:val="none"/>
        </w:rPr>
        <w:t>在招投标过程中所作的其它承诺、声明、书面澄清等；</w:t>
      </w:r>
    </w:p>
    <w:p w14:paraId="65E17FAB">
      <w:pPr>
        <w:pStyle w:val="19"/>
        <w:keepNext w:val="0"/>
        <w:keepLines w:val="0"/>
        <w:pageBreakBefore w:val="0"/>
        <w:widowControl w:val="0"/>
        <w:numPr>
          <w:ilvl w:val="0"/>
          <w:numId w:val="0"/>
        </w:numPr>
        <w:kinsoku/>
        <w:wordWrap/>
        <w:topLinePunct w:val="0"/>
        <w:autoSpaceDE/>
        <w:autoSpaceDN/>
        <w:bidi w:val="0"/>
        <w:spacing w:line="440" w:lineRule="exact"/>
        <w:ind w:leftChars="200"/>
        <w:rPr>
          <w:rFonts w:hint="eastAsia" w:hAnsi="宋体"/>
          <w:color w:val="auto"/>
          <w:szCs w:val="21"/>
          <w:highlight w:val="none"/>
        </w:rPr>
      </w:pPr>
      <w:r>
        <w:rPr>
          <w:rFonts w:hint="eastAsia" w:ascii="宋体" w:hAnsi="宋体" w:eastAsia="宋体" w:cs="宋体"/>
          <w:color w:val="auto"/>
          <w:szCs w:val="21"/>
          <w:highlight w:val="none"/>
          <w:lang w:eastAsia="zh-CN"/>
        </w:rPr>
        <w:t>④</w:t>
      </w:r>
      <w:r>
        <w:rPr>
          <w:rFonts w:hint="eastAsia" w:hAnsi="宋体"/>
          <w:color w:val="auto"/>
          <w:szCs w:val="21"/>
          <w:highlight w:val="none"/>
          <w:lang w:eastAsia="zh-CN"/>
        </w:rPr>
        <w:t>招标文件</w:t>
      </w:r>
      <w:r>
        <w:rPr>
          <w:rFonts w:hint="eastAsia" w:hAnsi="宋体"/>
          <w:color w:val="auto"/>
          <w:szCs w:val="21"/>
          <w:highlight w:val="none"/>
        </w:rPr>
        <w:t>及其附件。</w:t>
      </w:r>
    </w:p>
    <w:p w14:paraId="053271AD">
      <w:pPr>
        <w:keepNext w:val="0"/>
        <w:keepLines w:val="0"/>
        <w:pageBreakBefore w:val="0"/>
        <w:widowControl w:val="0"/>
        <w:kinsoku/>
        <w:wordWrap/>
        <w:topLinePunct w:val="0"/>
        <w:autoSpaceDE/>
        <w:autoSpaceDN/>
        <w:bidi w:val="0"/>
        <w:spacing w:line="440" w:lineRule="exact"/>
        <w:ind w:left="0" w:leftChars="0" w:firstLine="420" w:firstLineChars="200"/>
        <w:rPr>
          <w:rFonts w:hint="eastAsia" w:ascii="宋体" w:hAnsi="宋体"/>
          <w:b/>
          <w:bCs/>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服务范围及要求：</w:t>
      </w:r>
      <w:r>
        <w:rPr>
          <w:rFonts w:hint="eastAsia" w:ascii="宋体" w:hAnsi="宋体"/>
          <w:color w:val="auto"/>
          <w:szCs w:val="21"/>
          <w:highlight w:val="none"/>
          <w:u w:val="single"/>
        </w:rPr>
        <w:t xml:space="preserve">   见</w:t>
      </w:r>
      <w:r>
        <w:rPr>
          <w:rFonts w:hint="eastAsia" w:ascii="宋体" w:hAnsi="宋体"/>
          <w:color w:val="auto"/>
          <w:szCs w:val="21"/>
          <w:highlight w:val="none"/>
          <w:u w:val="single"/>
          <w:lang w:eastAsia="zh-CN"/>
        </w:rPr>
        <w:t>招标文件</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F563E32">
      <w:pPr>
        <w:keepNext w:val="0"/>
        <w:keepLines w:val="0"/>
        <w:pageBreakBefore w:val="0"/>
        <w:widowControl w:val="0"/>
        <w:kinsoku/>
        <w:wordWrap/>
        <w:topLinePunct w:val="0"/>
        <w:autoSpaceDE/>
        <w:autoSpaceDN/>
        <w:bidi w:val="0"/>
        <w:snapToGrid w:val="0"/>
        <w:spacing w:line="440" w:lineRule="exact"/>
        <w:ind w:left="0" w:leftChars="0" w:firstLine="422" w:firstLineChars="200"/>
        <w:rPr>
          <w:rFonts w:hint="default" w:ascii="宋体" w:hAnsi="宋体" w:eastAsia="宋体"/>
          <w:b/>
          <w:color w:val="auto"/>
          <w:szCs w:val="21"/>
          <w:highlight w:val="none"/>
          <w:lang w:val="en-US" w:eastAsia="zh-CN"/>
        </w:rPr>
      </w:pPr>
      <w:r>
        <w:rPr>
          <w:rFonts w:hint="eastAsia" w:ascii="宋体" w:hAnsi="宋体"/>
          <w:b/>
          <w:color w:val="auto"/>
          <w:szCs w:val="21"/>
          <w:highlight w:val="none"/>
        </w:rPr>
        <w:t>二、履约保证金</w:t>
      </w:r>
      <w:r>
        <w:rPr>
          <w:rFonts w:hint="eastAsia" w:ascii="宋体" w:hAnsi="宋体"/>
          <w:b/>
          <w:color w:val="auto"/>
          <w:szCs w:val="21"/>
          <w:highlight w:val="none"/>
          <w:lang w:val="en-US" w:eastAsia="zh-CN"/>
        </w:rPr>
        <w:t>和服务费</w:t>
      </w:r>
    </w:p>
    <w:p w14:paraId="3CCB1C5C">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1、本次招标项目的履约保证金为人民币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0E66B496">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（1）履约保证金在签订本合同前支付，履约保证金</w:t>
      </w:r>
      <w:r>
        <w:rPr>
          <w:rFonts w:hint="eastAsia" w:ascii="宋体" w:hAnsi="宋体" w:eastAsia="宋体" w:cs="宋体"/>
          <w:b/>
          <w:bCs/>
          <w:color w:val="auto"/>
          <w:szCs w:val="21"/>
          <w:highlight w:val="none"/>
        </w:rPr>
        <w:t>支持银行转账、银行电汇、银行保函、担保机构担保、保证保险使用</w:t>
      </w:r>
      <w:r>
        <w:rPr>
          <w:rFonts w:hint="eastAsia" w:ascii="宋体" w:hAnsi="宋体"/>
          <w:color w:val="auto"/>
          <w:szCs w:val="21"/>
          <w:highlight w:val="none"/>
          <w:lang w:val="en-US" w:eastAsia="zh-CN"/>
        </w:rPr>
        <w:t>。</w:t>
      </w:r>
    </w:p>
    <w:p w14:paraId="1DF2BF1B">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（2）如果</w:t>
      </w:r>
      <w:r>
        <w:rPr>
          <w:rFonts w:hint="eastAsia" w:ascii="宋体" w:hAnsi="宋体"/>
          <w:color w:val="auto"/>
          <w:szCs w:val="21"/>
          <w:highlight w:val="none"/>
          <w:lang w:val="en-US" w:eastAsia="zh-CN"/>
        </w:rPr>
        <w:t>乙方</w:t>
      </w:r>
      <w:r>
        <w:rPr>
          <w:rFonts w:hint="eastAsia" w:ascii="宋体" w:hAnsi="宋体"/>
          <w:color w:val="auto"/>
          <w:szCs w:val="21"/>
          <w:highlight w:val="none"/>
        </w:rPr>
        <w:t>未能履行合同规定的任何义务，或因</w:t>
      </w:r>
      <w:r>
        <w:rPr>
          <w:rFonts w:hint="eastAsia" w:ascii="宋体" w:hAnsi="宋体"/>
          <w:color w:val="auto"/>
          <w:szCs w:val="21"/>
          <w:highlight w:val="none"/>
          <w:lang w:val="en-US" w:eastAsia="zh-CN"/>
        </w:rPr>
        <w:t>乙方</w:t>
      </w:r>
      <w:r>
        <w:rPr>
          <w:rFonts w:hint="eastAsia" w:ascii="宋体" w:hAnsi="宋体"/>
          <w:color w:val="auto"/>
          <w:szCs w:val="21"/>
          <w:highlight w:val="none"/>
        </w:rPr>
        <w:t>责任应由</w:t>
      </w:r>
      <w:r>
        <w:rPr>
          <w:rFonts w:hint="eastAsia" w:ascii="宋体" w:hAnsi="宋体"/>
          <w:color w:val="auto"/>
          <w:szCs w:val="21"/>
          <w:highlight w:val="none"/>
          <w:lang w:val="en-US" w:eastAsia="zh-CN"/>
        </w:rPr>
        <w:t>乙方</w:t>
      </w:r>
      <w:r>
        <w:rPr>
          <w:rFonts w:hint="eastAsia" w:ascii="宋体" w:hAnsi="宋体"/>
          <w:color w:val="auto"/>
          <w:szCs w:val="21"/>
          <w:highlight w:val="none"/>
        </w:rPr>
        <w:t>承担的赔偿未完成，</w:t>
      </w:r>
      <w:r>
        <w:rPr>
          <w:rFonts w:hint="eastAsia" w:ascii="宋体" w:hAnsi="宋体"/>
          <w:color w:val="auto"/>
          <w:szCs w:val="21"/>
          <w:highlight w:val="none"/>
          <w:lang w:val="en-US" w:eastAsia="zh-CN"/>
        </w:rPr>
        <w:t>甲方</w:t>
      </w:r>
      <w:r>
        <w:rPr>
          <w:rFonts w:hint="eastAsia" w:ascii="宋体" w:hAnsi="宋体"/>
          <w:color w:val="auto"/>
          <w:szCs w:val="21"/>
          <w:highlight w:val="none"/>
        </w:rPr>
        <w:t>有权从履约保证金中取得补偿。</w:t>
      </w:r>
    </w:p>
    <w:p w14:paraId="1FC167AD">
      <w:pPr>
        <w:keepNext w:val="0"/>
        <w:keepLines w:val="0"/>
        <w:pageBreakBefore w:val="0"/>
        <w:widowControl w:val="0"/>
        <w:kinsoku/>
        <w:wordWrap/>
        <w:topLinePunct w:val="0"/>
        <w:autoSpaceDE/>
        <w:autoSpaceDN/>
        <w:bidi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eastAsia="宋体" w:cs="宋体"/>
          <w:color w:val="auto"/>
          <w:szCs w:val="21"/>
          <w:highlight w:val="none"/>
          <w:lang w:val="en-US" w:eastAsia="zh-CN"/>
        </w:rPr>
        <w:t>履约保证金有效期满</w:t>
      </w:r>
      <w:r>
        <w:rPr>
          <w:rFonts w:hint="eastAsia" w:ascii="宋体" w:hAnsi="宋体" w:cs="宋体"/>
          <w:color w:val="auto"/>
          <w:szCs w:val="21"/>
          <w:highlight w:val="none"/>
          <w:lang w:val="en-US" w:eastAsia="zh-CN"/>
        </w:rPr>
        <w:t>一个月</w:t>
      </w:r>
      <w:r>
        <w:rPr>
          <w:rFonts w:hint="eastAsia" w:ascii="宋体" w:hAnsi="宋体" w:eastAsia="宋体" w:cs="宋体"/>
          <w:color w:val="auto"/>
          <w:szCs w:val="21"/>
          <w:highlight w:val="none"/>
          <w:lang w:val="en-US" w:eastAsia="zh-CN"/>
        </w:rPr>
        <w:t>内。采用银行转</w:t>
      </w:r>
      <w:r>
        <w:rPr>
          <w:rFonts w:hint="eastAsia" w:ascii="宋体" w:hAnsi="宋体" w:cs="宋体"/>
          <w:color w:val="auto"/>
          <w:szCs w:val="21"/>
          <w:highlight w:val="none"/>
          <w:lang w:val="en-US" w:eastAsia="zh-CN"/>
        </w:rPr>
        <w:t>账</w:t>
      </w:r>
      <w:r>
        <w:rPr>
          <w:rFonts w:hint="eastAsia" w:ascii="宋体" w:hAnsi="宋体" w:eastAsia="宋体" w:cs="宋体"/>
          <w:color w:val="auto"/>
          <w:szCs w:val="21"/>
          <w:highlight w:val="none"/>
          <w:lang w:val="en-US" w:eastAsia="zh-CN"/>
        </w:rPr>
        <w:t>方式的，待项目完成后双方无异议办理书面正式移交手续后按</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相关制度退还；采用银行或保险公司保函或</w:t>
      </w:r>
      <w:r>
        <w:rPr>
          <w:rFonts w:hint="eastAsia" w:ascii="宋体" w:hAnsi="宋体" w:eastAsia="宋体" w:cs="宋体"/>
          <w:color w:val="auto"/>
          <w:szCs w:val="21"/>
          <w:highlight w:val="none"/>
        </w:rPr>
        <w:t>担保机构担保</w:t>
      </w:r>
      <w:r>
        <w:rPr>
          <w:rFonts w:hint="eastAsia" w:ascii="宋体" w:hAnsi="宋体" w:eastAsia="宋体" w:cs="宋体"/>
          <w:color w:val="auto"/>
          <w:szCs w:val="21"/>
          <w:highlight w:val="none"/>
          <w:lang w:val="en-US" w:eastAsia="zh-CN"/>
        </w:rPr>
        <w:t>或保证保险方式的，有效期为自合同签订之日起至项目完成后</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个月内，如果项目合同提前终止，应在终止日后满3个月后由采购人准许后撤销</w:t>
      </w:r>
      <w:r>
        <w:rPr>
          <w:rFonts w:hint="eastAsia" w:ascii="宋体" w:hAnsi="宋体" w:cs="宋体"/>
          <w:color w:val="auto"/>
          <w:szCs w:val="21"/>
          <w:highlight w:val="none"/>
          <w:lang w:val="en-US" w:eastAsia="zh-CN"/>
        </w:rPr>
        <w:t>。</w:t>
      </w:r>
    </w:p>
    <w:p w14:paraId="02FDF428">
      <w:pPr>
        <w:keepNext w:val="0"/>
        <w:keepLines w:val="0"/>
        <w:pageBreakBefore w:val="0"/>
        <w:widowControl w:val="0"/>
        <w:tabs>
          <w:tab w:val="left" w:pos="3953"/>
        </w:tabs>
        <w:kinsoku/>
        <w:wordWrap/>
        <w:topLinePunct w:val="0"/>
        <w:autoSpaceDE/>
        <w:autoSpaceDN/>
        <w:bidi w:val="0"/>
        <w:snapToGrid w:val="0"/>
        <w:spacing w:line="440" w:lineRule="exact"/>
        <w:ind w:left="0" w:leftChars="0" w:firstLine="420" w:firstLineChars="200"/>
        <w:rPr>
          <w:rFonts w:hint="eastAsia" w:ascii="宋体" w:hAnsi="宋体"/>
          <w:b/>
          <w:color w:val="auto"/>
          <w:szCs w:val="21"/>
          <w:highlight w:val="none"/>
        </w:rPr>
      </w:pPr>
      <w:r>
        <w:rPr>
          <w:rFonts w:hint="eastAsia" w:ascii="宋体" w:hAnsi="宋体"/>
          <w:b w:val="0"/>
          <w:bCs/>
          <w:color w:val="auto"/>
          <w:szCs w:val="21"/>
          <w:highlight w:val="none"/>
        </w:rPr>
        <w:t>2、服务费用</w:t>
      </w:r>
      <w:r>
        <w:rPr>
          <w:rFonts w:hint="eastAsia" w:ascii="宋体" w:hAnsi="宋体"/>
          <w:b/>
          <w:color w:val="auto"/>
          <w:szCs w:val="21"/>
          <w:highlight w:val="none"/>
        </w:rPr>
        <w:tab/>
      </w:r>
    </w:p>
    <w:p w14:paraId="35CB7CE2">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u w:val="single"/>
          <w:lang w:eastAsia="zh-CN"/>
        </w:rPr>
      </w:pPr>
      <w:r>
        <w:rPr>
          <w:rFonts w:hint="eastAsia" w:ascii="宋体" w:hAnsi="宋体"/>
          <w:color w:val="auto"/>
          <w:szCs w:val="21"/>
          <w:highlight w:val="none"/>
        </w:rPr>
        <w:t>（1）中标合同价（暂定）：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p>
    <w:p w14:paraId="08D496B4">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u w:val="none"/>
          <w:lang w:eastAsia="zh-CN"/>
        </w:rPr>
      </w:pPr>
      <w:r>
        <w:rPr>
          <w:rFonts w:hint="eastAsia" w:ascii="宋体" w:hAnsi="宋体"/>
          <w:color w:val="auto"/>
          <w:szCs w:val="21"/>
          <w:highlight w:val="none"/>
          <w:u w:val="none"/>
        </w:rPr>
        <w:t>如</w:t>
      </w:r>
      <w:r>
        <w:rPr>
          <w:rFonts w:hint="eastAsia" w:ascii="宋体" w:hAnsi="宋体"/>
          <w:color w:val="auto"/>
          <w:szCs w:val="21"/>
          <w:highlight w:val="none"/>
          <w:u w:val="none"/>
          <w:lang w:eastAsia="zh-CN"/>
        </w:rPr>
        <w:t>乙方</w:t>
      </w:r>
      <w:r>
        <w:rPr>
          <w:rFonts w:hint="eastAsia" w:ascii="宋体" w:hAnsi="宋体"/>
          <w:color w:val="auto"/>
          <w:szCs w:val="21"/>
          <w:highlight w:val="none"/>
          <w:u w:val="none"/>
        </w:rPr>
        <w:t>缺勤、缺岗、被处罚金或扣款，则</w:t>
      </w:r>
      <w:r>
        <w:rPr>
          <w:rFonts w:hint="eastAsia" w:ascii="宋体" w:hAnsi="宋体"/>
          <w:color w:val="auto"/>
          <w:szCs w:val="21"/>
          <w:highlight w:val="none"/>
          <w:u w:val="none"/>
          <w:lang w:eastAsia="zh-CN"/>
        </w:rPr>
        <w:t>甲方</w:t>
      </w:r>
      <w:r>
        <w:rPr>
          <w:rFonts w:hint="eastAsia" w:ascii="宋体" w:hAnsi="宋体"/>
          <w:color w:val="auto"/>
          <w:szCs w:val="21"/>
          <w:highlight w:val="none"/>
          <w:u w:val="none"/>
        </w:rPr>
        <w:t>将在以上服务费用中做相应减扣</w:t>
      </w:r>
      <w:r>
        <w:rPr>
          <w:rFonts w:hint="eastAsia" w:ascii="宋体" w:hAnsi="宋体"/>
          <w:color w:val="auto"/>
          <w:szCs w:val="21"/>
          <w:highlight w:val="none"/>
          <w:u w:val="none"/>
          <w:lang w:eastAsia="zh-CN"/>
        </w:rPr>
        <w:t>；</w:t>
      </w:r>
    </w:p>
    <w:p w14:paraId="3A8B99B4">
      <w:pPr>
        <w:keepNext w:val="0"/>
        <w:keepLines w:val="0"/>
        <w:pageBreakBefore w:val="0"/>
        <w:widowControl w:val="0"/>
        <w:numPr>
          <w:ilvl w:val="0"/>
          <w:numId w:val="9"/>
        </w:numPr>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以上费用包括垃圾中转站</w:t>
      </w:r>
      <w:r>
        <w:rPr>
          <w:rFonts w:hint="eastAsia" w:ascii="宋体" w:hAnsi="宋体"/>
          <w:color w:val="auto"/>
          <w:szCs w:val="21"/>
          <w:highlight w:val="none"/>
          <w:lang w:eastAsia="zh-CN"/>
        </w:rPr>
        <w:t>运营</w:t>
      </w:r>
      <w:r>
        <w:rPr>
          <w:rFonts w:hint="eastAsia" w:ascii="宋体" w:hAnsi="宋体"/>
          <w:color w:val="auto"/>
          <w:szCs w:val="21"/>
          <w:highlight w:val="none"/>
        </w:rPr>
        <w:t>管理中所有工作内容。</w:t>
      </w:r>
    </w:p>
    <w:p w14:paraId="5E8C7018">
      <w:pPr>
        <w:keepNext w:val="0"/>
        <w:keepLines w:val="0"/>
        <w:pageBreakBefore w:val="0"/>
        <w:widowControl w:val="0"/>
        <w:numPr>
          <w:ilvl w:val="0"/>
          <w:numId w:val="10"/>
        </w:numPr>
        <w:kinsoku/>
        <w:wordWrap/>
        <w:topLinePunct w:val="0"/>
        <w:autoSpaceDE/>
        <w:autoSpaceDN/>
        <w:bidi w:val="0"/>
        <w:snapToGrid w:val="0"/>
        <w:spacing w:line="440" w:lineRule="exact"/>
        <w:ind w:left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经营分成</w:t>
      </w:r>
    </w:p>
    <w:p w14:paraId="59DC1AE2">
      <w:pPr>
        <w:keepNext w:val="0"/>
        <w:keepLines w:val="0"/>
        <w:pageBreakBefore w:val="0"/>
        <w:widowControl w:val="0"/>
        <w:numPr>
          <w:ilvl w:val="0"/>
          <w:numId w:val="0"/>
        </w:numPr>
        <w:kinsoku/>
        <w:wordWrap/>
        <w:topLinePunct w:val="0"/>
        <w:autoSpaceDE/>
        <w:autoSpaceDN/>
        <w:bidi w:val="0"/>
        <w:snapToGrid w:val="0"/>
        <w:spacing w:line="440" w:lineRule="exac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按招标文件第五章《采购需求》中的规定执行。</w:t>
      </w:r>
    </w:p>
    <w:p w14:paraId="49BD893F">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4</w:t>
      </w:r>
      <w:r>
        <w:rPr>
          <w:rFonts w:hint="eastAsia" w:ascii="宋体" w:hAnsi="宋体"/>
          <w:b w:val="0"/>
          <w:bCs/>
          <w:color w:val="auto"/>
          <w:szCs w:val="21"/>
          <w:highlight w:val="none"/>
        </w:rPr>
        <w:t>、付款办法</w:t>
      </w:r>
    </w:p>
    <w:p w14:paraId="0667E518">
      <w:pPr>
        <w:keepNext w:val="0"/>
        <w:keepLines w:val="0"/>
        <w:pageBreakBefore w:val="0"/>
        <w:widowControl w:val="0"/>
        <w:kinsoku/>
        <w:wordWrap/>
        <w:topLinePunct w:val="0"/>
        <w:autoSpaceDE/>
        <w:autoSpaceDN/>
        <w:bidi w:val="0"/>
        <w:snapToGrid w:val="0"/>
        <w:spacing w:line="440" w:lineRule="exact"/>
        <w:ind w:left="0" w:leftChars="0"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eastAsia="zh-CN"/>
        </w:rPr>
        <w:t>乙方</w:t>
      </w:r>
      <w:r>
        <w:rPr>
          <w:rFonts w:hint="eastAsia" w:ascii="宋体" w:hAnsi="宋体" w:eastAsia="宋体" w:cs="Times New Roman"/>
          <w:b/>
          <w:bCs/>
          <w:color w:val="auto"/>
          <w:szCs w:val="21"/>
          <w:highlight w:val="none"/>
        </w:rPr>
        <w:t>应在月服务结束后的10个工作日内向</w:t>
      </w:r>
      <w:r>
        <w:rPr>
          <w:rFonts w:hint="eastAsia" w:ascii="宋体" w:hAnsi="宋体" w:eastAsia="宋体" w:cs="Times New Roman"/>
          <w:b/>
          <w:bCs/>
          <w:color w:val="auto"/>
          <w:szCs w:val="21"/>
          <w:highlight w:val="none"/>
          <w:lang w:eastAsia="zh-CN"/>
        </w:rPr>
        <w:t>甲方</w:t>
      </w:r>
      <w:r>
        <w:rPr>
          <w:rFonts w:hint="eastAsia" w:ascii="宋体" w:hAnsi="宋体" w:eastAsia="宋体" w:cs="Times New Roman"/>
          <w:b/>
          <w:bCs/>
          <w:color w:val="auto"/>
          <w:szCs w:val="21"/>
          <w:highlight w:val="none"/>
        </w:rPr>
        <w:t>提交该周期服务进度付款申请</w:t>
      </w:r>
      <w:r>
        <w:rPr>
          <w:rFonts w:hint="default" w:ascii="宋体" w:hAnsi="宋体" w:eastAsia="宋体" w:cs="Times New Roman"/>
          <w:b/>
          <w:bCs/>
          <w:color w:val="auto"/>
          <w:szCs w:val="21"/>
          <w:highlight w:val="none"/>
          <w:lang w:val="en-US"/>
        </w:rPr>
        <w:t>(</w:t>
      </w:r>
      <w:r>
        <w:rPr>
          <w:rFonts w:hint="eastAsia" w:ascii="宋体" w:hAnsi="宋体" w:eastAsia="宋体" w:cs="Times New Roman"/>
          <w:b/>
          <w:bCs/>
          <w:color w:val="auto"/>
          <w:szCs w:val="21"/>
          <w:highlight w:val="none"/>
          <w:lang w:val="en-US" w:eastAsia="zh-CN"/>
        </w:rPr>
        <w:t>按照中标综合单价进行结算</w:t>
      </w:r>
      <w:r>
        <w:rPr>
          <w:rFonts w:hint="default" w:ascii="宋体" w:hAnsi="宋体" w:eastAsia="宋体" w:cs="Times New Roman"/>
          <w:b/>
          <w:bCs/>
          <w:color w:val="auto"/>
          <w:szCs w:val="21"/>
          <w:highlight w:val="none"/>
          <w:lang w:val="en-US"/>
        </w:rPr>
        <w:t>)</w:t>
      </w:r>
      <w:r>
        <w:rPr>
          <w:rFonts w:hint="eastAsia" w:ascii="宋体" w:hAnsi="宋体" w:eastAsia="宋体" w:cs="Times New Roman"/>
          <w:b/>
          <w:bCs/>
          <w:color w:val="auto"/>
          <w:szCs w:val="21"/>
          <w:highlight w:val="none"/>
        </w:rPr>
        <w:t>，月度服务报告（复印件）及由</w:t>
      </w:r>
      <w:r>
        <w:rPr>
          <w:rFonts w:hint="eastAsia" w:ascii="宋体" w:hAnsi="宋体" w:eastAsia="宋体" w:cs="Times New Roman"/>
          <w:b/>
          <w:bCs/>
          <w:color w:val="auto"/>
          <w:szCs w:val="21"/>
          <w:highlight w:val="none"/>
          <w:lang w:eastAsia="zh-CN"/>
        </w:rPr>
        <w:t>甲方</w:t>
      </w:r>
      <w:r>
        <w:rPr>
          <w:rFonts w:hint="eastAsia" w:ascii="宋体" w:hAnsi="宋体" w:eastAsia="宋体" w:cs="Times New Roman"/>
          <w:b/>
          <w:bCs/>
          <w:color w:val="auto"/>
          <w:szCs w:val="21"/>
          <w:highlight w:val="none"/>
        </w:rPr>
        <w:t>签发的月度现场考核表单、考勤记录（复印件）应作为附件。</w:t>
      </w:r>
      <w:r>
        <w:rPr>
          <w:rFonts w:hint="eastAsia" w:ascii="宋体" w:hAnsi="宋体" w:eastAsia="宋体" w:cs="Times New Roman"/>
          <w:b/>
          <w:bCs/>
          <w:color w:val="auto"/>
          <w:szCs w:val="21"/>
          <w:highlight w:val="none"/>
          <w:lang w:val="en-US" w:eastAsia="zh-CN"/>
        </w:rPr>
        <w:t>乙方提交</w:t>
      </w:r>
      <w:r>
        <w:rPr>
          <w:rFonts w:hint="eastAsia" w:ascii="宋体" w:hAnsi="宋体" w:eastAsia="宋体" w:cs="Times New Roman"/>
          <w:b/>
          <w:bCs/>
          <w:color w:val="auto"/>
          <w:szCs w:val="21"/>
          <w:highlight w:val="none"/>
        </w:rPr>
        <w:t>付款申请后，如</w:t>
      </w:r>
      <w:r>
        <w:rPr>
          <w:rFonts w:hint="eastAsia" w:ascii="宋体" w:hAnsi="宋体" w:eastAsia="宋体" w:cs="Times New Roman"/>
          <w:b/>
          <w:bCs/>
          <w:color w:val="auto"/>
          <w:szCs w:val="21"/>
          <w:highlight w:val="none"/>
          <w:lang w:val="en-US" w:eastAsia="zh-CN"/>
        </w:rPr>
        <w:t>甲方</w:t>
      </w:r>
      <w:r>
        <w:rPr>
          <w:rFonts w:hint="eastAsia" w:ascii="宋体" w:hAnsi="宋体" w:eastAsia="宋体" w:cs="Times New Roman"/>
          <w:b/>
          <w:bCs/>
          <w:color w:val="auto"/>
          <w:szCs w:val="21"/>
          <w:highlight w:val="none"/>
        </w:rPr>
        <w:t>审核无误，则在其后的30个工作日内</w:t>
      </w:r>
      <w:r>
        <w:rPr>
          <w:rFonts w:hint="eastAsia" w:ascii="宋体" w:hAnsi="宋体" w:eastAsia="宋体" w:cs="Times New Roman"/>
          <w:b/>
          <w:bCs/>
          <w:color w:val="auto"/>
          <w:szCs w:val="21"/>
          <w:highlight w:val="none"/>
          <w:lang w:val="en-US" w:eastAsia="zh-CN"/>
        </w:rPr>
        <w:t>根据考核标准</w:t>
      </w:r>
      <w:r>
        <w:rPr>
          <w:rFonts w:hint="eastAsia" w:ascii="宋体" w:hAnsi="宋体" w:eastAsia="宋体" w:cs="Times New Roman"/>
          <w:b/>
          <w:bCs/>
          <w:color w:val="auto"/>
          <w:szCs w:val="21"/>
          <w:highlight w:val="none"/>
        </w:rPr>
        <w:t>支付进度款给</w:t>
      </w:r>
      <w:r>
        <w:rPr>
          <w:rFonts w:hint="eastAsia" w:ascii="宋体" w:hAnsi="宋体" w:eastAsia="宋体" w:cs="Times New Roman"/>
          <w:b/>
          <w:bCs/>
          <w:color w:val="auto"/>
          <w:szCs w:val="21"/>
          <w:highlight w:val="none"/>
          <w:lang w:eastAsia="zh-CN"/>
        </w:rPr>
        <w:t>乙方</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eastAsia="zh-CN"/>
        </w:rPr>
        <w:t>甲方</w:t>
      </w:r>
      <w:r>
        <w:rPr>
          <w:rFonts w:hint="eastAsia" w:ascii="宋体" w:hAnsi="宋体" w:eastAsia="宋体" w:cs="Times New Roman"/>
          <w:b/>
          <w:bCs/>
          <w:color w:val="auto"/>
          <w:szCs w:val="21"/>
          <w:highlight w:val="none"/>
        </w:rPr>
        <w:t>付款时，</w:t>
      </w:r>
      <w:r>
        <w:rPr>
          <w:rFonts w:hint="eastAsia" w:ascii="宋体" w:hAnsi="宋体" w:eastAsia="宋体" w:cs="Times New Roman"/>
          <w:b/>
          <w:bCs/>
          <w:color w:val="auto"/>
          <w:szCs w:val="21"/>
          <w:highlight w:val="none"/>
          <w:lang w:val="en-US" w:eastAsia="zh-CN"/>
        </w:rPr>
        <w:t>考核扣除</w:t>
      </w:r>
      <w:r>
        <w:rPr>
          <w:rFonts w:hint="eastAsia" w:ascii="宋体" w:hAnsi="宋体" w:eastAsia="宋体" w:cs="Times New Roman"/>
          <w:b/>
          <w:bCs/>
          <w:color w:val="auto"/>
          <w:szCs w:val="21"/>
          <w:highlight w:val="none"/>
        </w:rPr>
        <w:t>金额将从该周期应给付的服务费用中予以扣除。</w:t>
      </w:r>
      <w:r>
        <w:rPr>
          <w:rFonts w:hint="eastAsia" w:ascii="宋体" w:hAnsi="宋体" w:eastAsia="宋体" w:cs="Times New Roman"/>
          <w:b/>
          <w:bCs/>
          <w:color w:val="auto"/>
          <w:szCs w:val="21"/>
          <w:highlight w:val="none"/>
          <w:lang w:val="en-US" w:eastAsia="zh-CN"/>
        </w:rPr>
        <w:t>乙方必须开具符合甲方要求的发票。</w:t>
      </w:r>
    </w:p>
    <w:p w14:paraId="4E597BF9">
      <w:pPr>
        <w:keepNext w:val="0"/>
        <w:keepLines w:val="0"/>
        <w:pageBreakBefore w:val="0"/>
        <w:widowControl w:val="0"/>
        <w:kinsoku/>
        <w:wordWrap/>
        <w:topLinePunct w:val="0"/>
        <w:autoSpaceDE/>
        <w:autoSpaceDN/>
        <w:bidi w:val="0"/>
        <w:snapToGrid w:val="0"/>
        <w:spacing w:line="440" w:lineRule="exact"/>
        <w:ind w:left="0" w:leftChars="0"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考评分在95分（含95分）以上的，月服务费用全额支付；月考评分在80分</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含</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以上95分</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不含</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以下按每分</w:t>
      </w:r>
      <w:r>
        <w:rPr>
          <w:rFonts w:hint="eastAsia" w:ascii="宋体" w:hAnsi="宋体" w:eastAsia="宋体" w:cs="Times New Roman"/>
          <w:b/>
          <w:bCs/>
          <w:color w:val="auto"/>
          <w:szCs w:val="21"/>
          <w:highlight w:val="none"/>
          <w:lang w:val="en-US" w:eastAsia="zh-CN"/>
        </w:rPr>
        <w:t>200</w:t>
      </w:r>
      <w:r>
        <w:rPr>
          <w:rFonts w:hint="eastAsia" w:ascii="宋体" w:hAnsi="宋体" w:eastAsia="宋体" w:cs="Times New Roman"/>
          <w:b/>
          <w:bCs/>
          <w:color w:val="auto"/>
          <w:szCs w:val="21"/>
          <w:highlight w:val="none"/>
        </w:rPr>
        <w:t>元扣除月度服务费款；月考评分在80分</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不含</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以下则按每分50</w:t>
      </w:r>
      <w:r>
        <w:rPr>
          <w:rFonts w:hint="eastAsia" w:ascii="宋体" w:hAnsi="宋体" w:eastAsia="宋体" w:cs="Times New Roman"/>
          <w:b/>
          <w:bCs/>
          <w:color w:val="auto"/>
          <w:szCs w:val="21"/>
          <w:highlight w:val="none"/>
          <w:lang w:val="en-US" w:eastAsia="zh-CN"/>
        </w:rPr>
        <w:t>0</w:t>
      </w:r>
      <w:r>
        <w:rPr>
          <w:rFonts w:hint="eastAsia" w:ascii="宋体" w:hAnsi="宋体" w:eastAsia="宋体" w:cs="Times New Roman"/>
          <w:b/>
          <w:bCs/>
          <w:color w:val="auto"/>
          <w:szCs w:val="21"/>
          <w:highlight w:val="none"/>
        </w:rPr>
        <w:t>元扣款并加扣该周期服务费用5%；连续</w:t>
      </w:r>
      <w:r>
        <w:rPr>
          <w:rFonts w:hint="eastAsia" w:ascii="宋体" w:hAnsi="宋体" w:eastAsia="宋体" w:cs="Times New Roman"/>
          <w:b/>
          <w:bCs/>
          <w:color w:val="auto"/>
          <w:szCs w:val="21"/>
          <w:highlight w:val="none"/>
          <w:lang w:val="en-US" w:eastAsia="zh-CN"/>
        </w:rPr>
        <w:t>两</w:t>
      </w:r>
      <w:r>
        <w:rPr>
          <w:rFonts w:hint="eastAsia" w:ascii="宋体" w:hAnsi="宋体" w:eastAsia="宋体" w:cs="Times New Roman"/>
          <w:b/>
          <w:bCs/>
          <w:color w:val="auto"/>
          <w:szCs w:val="21"/>
          <w:highlight w:val="none"/>
        </w:rPr>
        <w:t>月未满80分则扣30%并限期整改，如第三月月考评分仍在80分</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不含</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以下则终止合同</w:t>
      </w:r>
      <w:r>
        <w:rPr>
          <w:rFonts w:hint="eastAsia" w:ascii="宋体" w:hAnsi="宋体" w:eastAsia="宋体" w:cs="Times New Roman"/>
          <w:b/>
          <w:bCs/>
          <w:color w:val="auto"/>
          <w:szCs w:val="21"/>
          <w:highlight w:val="none"/>
          <w:lang w:val="en-US" w:eastAsia="zh-CN"/>
        </w:rPr>
        <w:t>并扣除履约保证金</w:t>
      </w:r>
      <w:r>
        <w:rPr>
          <w:rFonts w:hint="eastAsia" w:ascii="宋体" w:hAnsi="宋体" w:eastAsia="宋体" w:cs="Times New Roman"/>
          <w:b/>
          <w:bCs/>
          <w:color w:val="auto"/>
          <w:szCs w:val="21"/>
          <w:highlight w:val="none"/>
        </w:rPr>
        <w:t>。</w:t>
      </w:r>
    </w:p>
    <w:p w14:paraId="4B82AD13">
      <w:pPr>
        <w:keepNext w:val="0"/>
        <w:keepLines w:val="0"/>
        <w:pageBreakBefore w:val="0"/>
        <w:widowControl w:val="0"/>
        <w:kinsoku/>
        <w:wordWrap/>
        <w:topLinePunct w:val="0"/>
        <w:autoSpaceDE/>
        <w:autoSpaceDN/>
        <w:bidi w:val="0"/>
        <w:snapToGrid w:val="0"/>
        <w:spacing w:line="440" w:lineRule="exact"/>
        <w:ind w:left="0" w:leftChars="0"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三、工作管理、检查考核</w:t>
      </w:r>
    </w:p>
    <w:p w14:paraId="1A1233DB">
      <w:pPr>
        <w:keepNext w:val="0"/>
        <w:keepLines w:val="0"/>
        <w:pageBreakBefore w:val="0"/>
        <w:widowControl w:val="0"/>
        <w:kinsoku/>
        <w:wordWrap/>
        <w:topLinePunct w:val="0"/>
        <w:autoSpaceDE/>
        <w:autoSpaceDN/>
        <w:bidi w:val="0"/>
        <w:spacing w:line="440" w:lineRule="exact"/>
        <w:ind w:left="0" w:leftChars="0"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lang w:eastAsia="zh-CN"/>
        </w:rPr>
        <w:t>甲方</w:t>
      </w:r>
      <w:r>
        <w:rPr>
          <w:rFonts w:hint="eastAsia" w:ascii="宋体" w:hAnsi="宋体"/>
          <w:b/>
          <w:bCs/>
          <w:color w:val="auto"/>
          <w:szCs w:val="21"/>
          <w:highlight w:val="none"/>
        </w:rPr>
        <w:t>根据《</w:t>
      </w:r>
      <w:r>
        <w:rPr>
          <w:rFonts w:hint="eastAsia" w:ascii="宋体" w:hAnsi="宋体"/>
          <w:b/>
          <w:bCs/>
          <w:color w:val="auto"/>
          <w:szCs w:val="21"/>
          <w:highlight w:val="none"/>
          <w:lang w:eastAsia="zh-CN"/>
        </w:rPr>
        <w:t>中新苏滁高新区兰州路</w:t>
      </w:r>
      <w:r>
        <w:rPr>
          <w:rFonts w:hint="eastAsia" w:ascii="宋体" w:hAnsi="宋体"/>
          <w:b/>
          <w:bCs/>
          <w:color w:val="auto"/>
          <w:szCs w:val="21"/>
          <w:highlight w:val="none"/>
          <w:lang w:val="en-US" w:eastAsia="zh-CN"/>
        </w:rPr>
        <w:t>及杭州路</w:t>
      </w:r>
      <w:r>
        <w:rPr>
          <w:rFonts w:hint="eastAsia" w:ascii="宋体" w:hAnsi="宋体"/>
          <w:b/>
          <w:bCs/>
          <w:color w:val="auto"/>
          <w:szCs w:val="21"/>
          <w:highlight w:val="none"/>
          <w:lang w:eastAsia="zh-CN"/>
        </w:rPr>
        <w:t>垃圾中转站202</w:t>
      </w:r>
      <w:r>
        <w:rPr>
          <w:rFonts w:hint="eastAsia" w:ascii="宋体" w:hAnsi="宋体"/>
          <w:b/>
          <w:bCs/>
          <w:color w:val="auto"/>
          <w:szCs w:val="21"/>
          <w:highlight w:val="none"/>
          <w:lang w:val="en-US" w:eastAsia="zh-CN"/>
        </w:rPr>
        <w:t>6-2029</w:t>
      </w:r>
      <w:r>
        <w:rPr>
          <w:rFonts w:hint="eastAsia" w:ascii="宋体" w:hAnsi="宋体"/>
          <w:b/>
          <w:bCs/>
          <w:color w:val="auto"/>
          <w:szCs w:val="21"/>
          <w:highlight w:val="none"/>
          <w:lang w:eastAsia="zh-CN"/>
        </w:rPr>
        <w:t>年度服务</w:t>
      </w:r>
      <w:r>
        <w:rPr>
          <w:rFonts w:hint="eastAsia" w:ascii="宋体" w:hAnsi="宋体"/>
          <w:b/>
          <w:bCs/>
          <w:color w:val="auto"/>
          <w:szCs w:val="21"/>
          <w:highlight w:val="none"/>
          <w:lang w:val="en-US" w:eastAsia="zh-CN"/>
        </w:rPr>
        <w:t>项目</w:t>
      </w:r>
      <w:r>
        <w:rPr>
          <w:rFonts w:hint="eastAsia" w:ascii="宋体" w:hAnsi="宋体"/>
          <w:b/>
          <w:bCs/>
          <w:color w:val="auto"/>
          <w:szCs w:val="21"/>
          <w:highlight w:val="none"/>
        </w:rPr>
        <w:t>》对</w:t>
      </w:r>
      <w:r>
        <w:rPr>
          <w:rFonts w:hint="eastAsia" w:ascii="宋体" w:hAnsi="宋体"/>
          <w:b/>
          <w:bCs/>
          <w:color w:val="auto"/>
          <w:szCs w:val="21"/>
          <w:highlight w:val="none"/>
          <w:lang w:eastAsia="zh-CN"/>
        </w:rPr>
        <w:t>乙方</w:t>
      </w:r>
      <w:r>
        <w:rPr>
          <w:rFonts w:hint="eastAsia" w:ascii="宋体" w:hAnsi="宋体"/>
          <w:b/>
          <w:bCs/>
          <w:color w:val="auto"/>
          <w:szCs w:val="21"/>
          <w:highlight w:val="none"/>
        </w:rPr>
        <w:t>服务工作进行考核。</w:t>
      </w:r>
    </w:p>
    <w:p w14:paraId="080A93DA">
      <w:pPr>
        <w:pStyle w:val="11"/>
        <w:keepNext w:val="0"/>
        <w:keepLines w:val="0"/>
        <w:pageBreakBefore w:val="0"/>
        <w:widowControl w:val="0"/>
        <w:kinsoku/>
        <w:wordWrap/>
        <w:overflowPunct w:val="0"/>
        <w:topLinePunct w:val="0"/>
        <w:autoSpaceDE/>
        <w:autoSpaceDN/>
        <w:bidi w:val="0"/>
        <w:spacing w:line="440" w:lineRule="exact"/>
        <w:ind w:left="0" w:leftChars="0" w:firstLine="382" w:firstLineChars="200"/>
        <w:rPr>
          <w:rFonts w:hint="eastAsia" w:ascii="宋体" w:hAnsi="宋体" w:eastAsia="宋体"/>
          <w:b/>
          <w:color w:val="auto"/>
          <w:spacing w:val="-10"/>
          <w:sz w:val="21"/>
          <w:szCs w:val="21"/>
          <w:highlight w:val="none"/>
        </w:rPr>
      </w:pPr>
      <w:r>
        <w:rPr>
          <w:rFonts w:hint="eastAsia" w:ascii="宋体" w:hAnsi="宋体" w:eastAsia="宋体"/>
          <w:b/>
          <w:color w:val="auto"/>
          <w:spacing w:val="-10"/>
          <w:sz w:val="21"/>
          <w:szCs w:val="21"/>
          <w:highlight w:val="none"/>
        </w:rPr>
        <w:t>四、不可抗力</w:t>
      </w:r>
    </w:p>
    <w:p w14:paraId="3E2D4A1A">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1、因不可抗力（或甲、乙双方不能控制的原因）不能履行合同的，根据不可抗力的影响，部分或者全部免除责任。但合同一方迟延履行后发生不可抗力的，不能免除责任。</w:t>
      </w:r>
    </w:p>
    <w:p w14:paraId="7D34D9F3">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2、合同一方因不可抗力不能履行合同的，应当及时通知对方，以减轻可能给对方造成的损失，并应当在合理期限内提供证明。</w:t>
      </w:r>
    </w:p>
    <w:p w14:paraId="19C8C35E">
      <w:pPr>
        <w:pStyle w:val="11"/>
        <w:keepNext w:val="0"/>
        <w:keepLines w:val="0"/>
        <w:pageBreakBefore w:val="0"/>
        <w:widowControl w:val="0"/>
        <w:kinsoku/>
        <w:wordWrap/>
        <w:overflowPunct w:val="0"/>
        <w:topLinePunct w:val="0"/>
        <w:autoSpaceDE/>
        <w:autoSpaceDN/>
        <w:bidi w:val="0"/>
        <w:spacing w:line="440" w:lineRule="exact"/>
        <w:ind w:left="0" w:leftChars="0" w:firstLine="382" w:firstLineChars="200"/>
        <w:rPr>
          <w:rFonts w:hint="eastAsia" w:ascii="宋体" w:hAnsi="宋体" w:eastAsia="宋体"/>
          <w:b/>
          <w:color w:val="auto"/>
          <w:spacing w:val="-10"/>
          <w:sz w:val="21"/>
          <w:szCs w:val="21"/>
          <w:highlight w:val="none"/>
        </w:rPr>
      </w:pPr>
      <w:r>
        <w:rPr>
          <w:rFonts w:hint="eastAsia" w:ascii="宋体" w:hAnsi="宋体" w:eastAsia="宋体"/>
          <w:b/>
          <w:color w:val="auto"/>
          <w:spacing w:val="-10"/>
          <w:sz w:val="21"/>
          <w:szCs w:val="21"/>
          <w:highlight w:val="none"/>
        </w:rPr>
        <w:t>五、合同生效及其它</w:t>
      </w:r>
    </w:p>
    <w:p w14:paraId="02D91143">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本合同在双方签字盖章，</w:t>
      </w:r>
      <w:r>
        <w:rPr>
          <w:rFonts w:hint="eastAsia" w:ascii="宋体" w:hAnsi="宋体"/>
          <w:color w:val="auto"/>
          <w:szCs w:val="21"/>
          <w:highlight w:val="none"/>
          <w:lang w:eastAsia="zh-CN"/>
        </w:rPr>
        <w:t>乙方</w:t>
      </w:r>
      <w:r>
        <w:rPr>
          <w:rFonts w:hint="eastAsia" w:ascii="宋体" w:hAnsi="宋体"/>
          <w:color w:val="auto"/>
          <w:szCs w:val="21"/>
          <w:highlight w:val="none"/>
        </w:rPr>
        <w:t>向</w:t>
      </w:r>
      <w:r>
        <w:rPr>
          <w:rFonts w:hint="eastAsia" w:ascii="宋体" w:hAnsi="宋体"/>
          <w:color w:val="auto"/>
          <w:szCs w:val="21"/>
          <w:highlight w:val="none"/>
          <w:lang w:eastAsia="zh-CN"/>
        </w:rPr>
        <w:t>甲方</w:t>
      </w:r>
      <w:r>
        <w:rPr>
          <w:rFonts w:hint="eastAsia" w:ascii="宋体" w:hAnsi="宋体"/>
          <w:color w:val="auto"/>
          <w:szCs w:val="21"/>
          <w:highlight w:val="none"/>
        </w:rPr>
        <w:t>缴纳履约保证金后生效。</w:t>
      </w:r>
    </w:p>
    <w:p w14:paraId="438869F6">
      <w:pPr>
        <w:pStyle w:val="11"/>
        <w:keepNext w:val="0"/>
        <w:keepLines w:val="0"/>
        <w:pageBreakBefore w:val="0"/>
        <w:widowControl w:val="0"/>
        <w:kinsoku/>
        <w:wordWrap/>
        <w:overflowPunct w:val="0"/>
        <w:topLinePunct w:val="0"/>
        <w:autoSpaceDE/>
        <w:autoSpaceDN/>
        <w:bidi w:val="0"/>
        <w:spacing w:line="440" w:lineRule="exact"/>
        <w:ind w:left="0" w:leftChars="0" w:firstLine="382" w:firstLineChars="200"/>
        <w:rPr>
          <w:rFonts w:hint="eastAsia" w:ascii="宋体" w:hAnsi="宋体" w:eastAsia="宋体"/>
          <w:b/>
          <w:color w:val="auto"/>
          <w:spacing w:val="-10"/>
          <w:sz w:val="21"/>
          <w:szCs w:val="21"/>
          <w:highlight w:val="none"/>
        </w:rPr>
      </w:pPr>
      <w:r>
        <w:rPr>
          <w:rFonts w:hint="eastAsia" w:ascii="宋体" w:hAnsi="宋体" w:eastAsia="宋体"/>
          <w:b/>
          <w:color w:val="auto"/>
          <w:spacing w:val="-10"/>
          <w:sz w:val="21"/>
          <w:szCs w:val="21"/>
          <w:highlight w:val="none"/>
        </w:rPr>
        <w:t>六、</w:t>
      </w:r>
      <w:r>
        <w:rPr>
          <w:rFonts w:hint="eastAsia" w:ascii="宋体" w:hAnsi="宋体" w:eastAsia="宋体"/>
          <w:b/>
          <w:color w:val="auto"/>
          <w:sz w:val="21"/>
          <w:szCs w:val="21"/>
          <w:highlight w:val="none"/>
        </w:rPr>
        <w:t>合同的解除和转让</w:t>
      </w:r>
    </w:p>
    <w:p w14:paraId="3108F5D7">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甲方</w:t>
      </w:r>
      <w:r>
        <w:rPr>
          <w:rFonts w:hint="eastAsia" w:ascii="宋体" w:hAnsi="宋体"/>
          <w:color w:val="auto"/>
          <w:szCs w:val="21"/>
          <w:highlight w:val="none"/>
        </w:rPr>
        <w:t>和</w:t>
      </w:r>
      <w:r>
        <w:rPr>
          <w:rFonts w:hint="eastAsia" w:ascii="宋体" w:hAnsi="宋体"/>
          <w:color w:val="auto"/>
          <w:szCs w:val="21"/>
          <w:highlight w:val="none"/>
          <w:lang w:eastAsia="zh-CN"/>
        </w:rPr>
        <w:t>乙方</w:t>
      </w:r>
      <w:r>
        <w:rPr>
          <w:rFonts w:hint="eastAsia" w:ascii="宋体" w:hAnsi="宋体"/>
          <w:color w:val="auto"/>
          <w:szCs w:val="21"/>
          <w:highlight w:val="none"/>
        </w:rPr>
        <w:t>协商一致，可以解除合同。</w:t>
      </w:r>
    </w:p>
    <w:p w14:paraId="6CFE6B6A">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2、有下列情形之一，合同一方可以解除合同：</w:t>
      </w:r>
    </w:p>
    <w:p w14:paraId="44AFFB5F">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（1）因不可抗力致使不能实现合同目的，未受不可抗力影响的一方有权解除合同；</w:t>
      </w:r>
    </w:p>
    <w:p w14:paraId="2ED43DB7">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（2）因合同一方违约导致合同不能履行，另一方有权解除合同。</w:t>
      </w:r>
    </w:p>
    <w:p w14:paraId="04B87E6D">
      <w:pPr>
        <w:keepNext w:val="0"/>
        <w:keepLines w:val="0"/>
        <w:pageBreakBefore w:val="0"/>
        <w:widowControl w:val="0"/>
        <w:kinsoku/>
        <w:wordWrap/>
        <w:topLinePunct w:val="0"/>
        <w:autoSpaceDE/>
        <w:autoSpaceDN/>
        <w:bidi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因下列情形之一发生的，</w:t>
      </w:r>
      <w:r>
        <w:rPr>
          <w:rFonts w:hint="eastAsia" w:ascii="宋体" w:hAnsi="宋体"/>
          <w:color w:val="auto"/>
          <w:szCs w:val="21"/>
          <w:highlight w:val="none"/>
          <w:lang w:eastAsia="zh-CN"/>
        </w:rPr>
        <w:t>甲方</w:t>
      </w:r>
      <w:r>
        <w:rPr>
          <w:rFonts w:ascii="宋体" w:hAnsi="宋体"/>
          <w:color w:val="auto"/>
          <w:szCs w:val="21"/>
          <w:highlight w:val="none"/>
        </w:rPr>
        <w:t>有权单方解除合同</w:t>
      </w:r>
      <w:r>
        <w:rPr>
          <w:rFonts w:hint="eastAsia" w:ascii="宋体" w:hAnsi="宋体"/>
          <w:color w:val="auto"/>
          <w:szCs w:val="21"/>
          <w:highlight w:val="none"/>
        </w:rPr>
        <w:t>并提前一个月书面知会</w:t>
      </w:r>
      <w:r>
        <w:rPr>
          <w:rFonts w:hint="eastAsia" w:ascii="宋体" w:hAnsi="宋体"/>
          <w:color w:val="auto"/>
          <w:szCs w:val="21"/>
          <w:highlight w:val="none"/>
          <w:lang w:eastAsia="zh-CN"/>
        </w:rPr>
        <w:t>乙方</w:t>
      </w:r>
      <w:r>
        <w:rPr>
          <w:rFonts w:hint="eastAsia" w:ascii="宋体" w:hAnsi="宋体"/>
          <w:color w:val="auto"/>
          <w:szCs w:val="21"/>
          <w:highlight w:val="none"/>
        </w:rPr>
        <w:t>，同时</w:t>
      </w:r>
      <w:r>
        <w:rPr>
          <w:rFonts w:ascii="宋体" w:hAnsi="宋体"/>
          <w:color w:val="auto"/>
          <w:szCs w:val="21"/>
          <w:highlight w:val="none"/>
        </w:rPr>
        <w:t>可扣留</w:t>
      </w:r>
      <w:r>
        <w:rPr>
          <w:rFonts w:hint="eastAsia" w:ascii="宋体" w:hAnsi="宋体"/>
          <w:color w:val="auto"/>
          <w:szCs w:val="21"/>
          <w:highlight w:val="none"/>
        </w:rPr>
        <w:t>尚未支付</w:t>
      </w:r>
      <w:r>
        <w:rPr>
          <w:rFonts w:hint="eastAsia" w:ascii="宋体" w:hAnsi="宋体"/>
          <w:color w:val="auto"/>
          <w:szCs w:val="21"/>
          <w:highlight w:val="none"/>
          <w:lang w:eastAsia="zh-CN"/>
        </w:rPr>
        <w:t>乙方</w:t>
      </w:r>
      <w:r>
        <w:rPr>
          <w:rFonts w:hint="eastAsia" w:ascii="宋体" w:hAnsi="宋体"/>
          <w:color w:val="auto"/>
          <w:szCs w:val="21"/>
          <w:highlight w:val="none"/>
        </w:rPr>
        <w:t>的服务进度款。</w:t>
      </w:r>
      <w:r>
        <w:rPr>
          <w:rFonts w:ascii="宋体" w:hAnsi="宋体"/>
          <w:color w:val="auto"/>
          <w:szCs w:val="21"/>
          <w:highlight w:val="none"/>
        </w:rPr>
        <w:t>由此给</w:t>
      </w:r>
      <w:r>
        <w:rPr>
          <w:rFonts w:hint="eastAsia" w:ascii="宋体" w:hAnsi="宋体"/>
          <w:color w:val="auto"/>
          <w:szCs w:val="21"/>
          <w:highlight w:val="none"/>
          <w:lang w:val="en-US" w:eastAsia="zh-CN"/>
        </w:rPr>
        <w:t>甲方</w:t>
      </w:r>
      <w:r>
        <w:rPr>
          <w:rFonts w:ascii="宋体" w:hAnsi="宋体"/>
          <w:color w:val="auto"/>
          <w:szCs w:val="21"/>
          <w:highlight w:val="none"/>
        </w:rPr>
        <w:t>造成的经济损失超过</w:t>
      </w:r>
      <w:r>
        <w:rPr>
          <w:rFonts w:hint="eastAsia" w:ascii="宋体" w:hAnsi="宋体"/>
          <w:color w:val="auto"/>
          <w:szCs w:val="21"/>
          <w:highlight w:val="none"/>
        </w:rPr>
        <w:t>扣留款项</w:t>
      </w:r>
      <w:r>
        <w:rPr>
          <w:rFonts w:ascii="宋体" w:hAnsi="宋体"/>
          <w:color w:val="auto"/>
          <w:szCs w:val="21"/>
          <w:highlight w:val="none"/>
        </w:rPr>
        <w:t>的，</w:t>
      </w:r>
      <w:r>
        <w:rPr>
          <w:rFonts w:hint="eastAsia" w:ascii="宋体" w:hAnsi="宋体"/>
          <w:color w:val="auto"/>
          <w:szCs w:val="21"/>
          <w:highlight w:val="none"/>
          <w:lang w:val="en-US" w:eastAsia="zh-CN"/>
        </w:rPr>
        <w:t>乙方</w:t>
      </w:r>
      <w:r>
        <w:rPr>
          <w:rFonts w:ascii="宋体" w:hAnsi="宋体"/>
          <w:color w:val="auto"/>
          <w:szCs w:val="21"/>
          <w:highlight w:val="none"/>
        </w:rPr>
        <w:t>仍应赔偿</w:t>
      </w:r>
      <w:r>
        <w:rPr>
          <w:rFonts w:hint="eastAsia" w:ascii="宋体" w:hAnsi="宋体"/>
          <w:color w:val="auto"/>
          <w:szCs w:val="21"/>
          <w:highlight w:val="none"/>
        </w:rPr>
        <w:t>。</w:t>
      </w:r>
      <w:r>
        <w:rPr>
          <w:rFonts w:ascii="宋体" w:hAnsi="宋体"/>
          <w:color w:val="auto"/>
          <w:szCs w:val="21"/>
          <w:highlight w:val="none"/>
        </w:rPr>
        <w:t xml:space="preserve"> </w:t>
      </w:r>
    </w:p>
    <w:p w14:paraId="273B615B">
      <w:pPr>
        <w:keepNext w:val="0"/>
        <w:keepLines w:val="0"/>
        <w:pageBreakBefore w:val="0"/>
        <w:widowControl w:val="0"/>
        <w:kinsoku/>
        <w:wordWrap/>
        <w:topLinePunct w:val="0"/>
        <w:autoSpaceDE/>
        <w:autoSpaceDN/>
        <w:bidi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乙方</w:t>
      </w:r>
      <w:r>
        <w:rPr>
          <w:rFonts w:ascii="宋体" w:hAnsi="宋体"/>
          <w:color w:val="auto"/>
          <w:szCs w:val="21"/>
          <w:highlight w:val="none"/>
        </w:rPr>
        <w:t>违反合同约定，影响</w:t>
      </w:r>
      <w:r>
        <w:rPr>
          <w:rFonts w:hint="eastAsia" w:ascii="宋体" w:hAnsi="宋体"/>
          <w:color w:val="auto"/>
          <w:szCs w:val="21"/>
          <w:highlight w:val="none"/>
        </w:rPr>
        <w:t>市政整体</w:t>
      </w:r>
      <w:r>
        <w:rPr>
          <w:rFonts w:ascii="宋体" w:hAnsi="宋体"/>
          <w:color w:val="auto"/>
          <w:szCs w:val="21"/>
          <w:highlight w:val="none"/>
        </w:rPr>
        <w:t>环境、降低服务质量或导致</w:t>
      </w:r>
      <w:r>
        <w:rPr>
          <w:rFonts w:hint="eastAsia" w:ascii="宋体" w:hAnsi="宋体"/>
          <w:color w:val="auto"/>
          <w:szCs w:val="21"/>
          <w:highlight w:val="none"/>
          <w:lang w:val="en-US" w:eastAsia="zh-CN"/>
        </w:rPr>
        <w:t>甲方</w:t>
      </w:r>
      <w:r>
        <w:rPr>
          <w:rFonts w:ascii="宋体" w:hAnsi="宋体"/>
          <w:color w:val="auto"/>
          <w:szCs w:val="21"/>
          <w:highlight w:val="none"/>
        </w:rPr>
        <w:t>其他方面的严重损害的</w:t>
      </w:r>
      <w:r>
        <w:rPr>
          <w:rFonts w:hint="eastAsia" w:ascii="宋体" w:hAnsi="宋体"/>
          <w:color w:val="auto"/>
          <w:szCs w:val="21"/>
          <w:highlight w:val="none"/>
        </w:rPr>
        <w:t>。</w:t>
      </w:r>
    </w:p>
    <w:p w14:paraId="16676991">
      <w:pPr>
        <w:keepNext w:val="0"/>
        <w:keepLines w:val="0"/>
        <w:pageBreakBefore w:val="0"/>
        <w:widowControl w:val="0"/>
        <w:kinsoku/>
        <w:wordWrap/>
        <w:topLinePunct w:val="0"/>
        <w:autoSpaceDE/>
        <w:autoSpaceDN/>
        <w:bidi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甲方</w:t>
      </w:r>
      <w:r>
        <w:rPr>
          <w:rFonts w:hint="eastAsia" w:ascii="宋体" w:hAnsi="宋体"/>
          <w:color w:val="auto"/>
          <w:szCs w:val="21"/>
          <w:highlight w:val="none"/>
        </w:rPr>
        <w:t>月</w:t>
      </w:r>
      <w:r>
        <w:rPr>
          <w:rFonts w:ascii="宋体" w:hAnsi="宋体"/>
          <w:color w:val="auto"/>
          <w:szCs w:val="21"/>
          <w:highlight w:val="none"/>
        </w:rPr>
        <w:t>考核分低于</w:t>
      </w:r>
      <w:r>
        <w:rPr>
          <w:rFonts w:hint="eastAsia" w:ascii="宋体" w:hAnsi="宋体"/>
          <w:color w:val="auto"/>
          <w:szCs w:val="21"/>
          <w:highlight w:val="none"/>
        </w:rPr>
        <w:t>80</w:t>
      </w:r>
      <w:r>
        <w:rPr>
          <w:rFonts w:ascii="宋体" w:hAnsi="宋体"/>
          <w:color w:val="auto"/>
          <w:szCs w:val="21"/>
          <w:highlight w:val="none"/>
        </w:rPr>
        <w:t>分的，经</w:t>
      </w:r>
      <w:r>
        <w:rPr>
          <w:rFonts w:hint="eastAsia" w:ascii="宋体" w:hAnsi="宋体"/>
          <w:color w:val="auto"/>
          <w:szCs w:val="21"/>
          <w:highlight w:val="none"/>
          <w:lang w:val="en-US" w:eastAsia="zh-CN"/>
        </w:rPr>
        <w:t>甲方</w:t>
      </w:r>
      <w:r>
        <w:rPr>
          <w:rFonts w:ascii="宋体" w:hAnsi="宋体"/>
          <w:color w:val="auto"/>
          <w:szCs w:val="21"/>
          <w:highlight w:val="none"/>
        </w:rPr>
        <w:t>书面警告</w:t>
      </w:r>
      <w:r>
        <w:rPr>
          <w:rFonts w:hint="eastAsia" w:ascii="宋体" w:hAnsi="宋体"/>
          <w:color w:val="auto"/>
          <w:szCs w:val="21"/>
          <w:highlight w:val="none"/>
        </w:rPr>
        <w:t>后</w:t>
      </w:r>
      <w:r>
        <w:rPr>
          <w:rFonts w:hint="eastAsia" w:ascii="宋体" w:hAnsi="宋体"/>
          <w:color w:val="auto"/>
          <w:szCs w:val="21"/>
          <w:highlight w:val="none"/>
          <w:lang w:val="en-US" w:eastAsia="zh-CN"/>
        </w:rPr>
        <w:t>乙方</w:t>
      </w:r>
      <w:r>
        <w:rPr>
          <w:rFonts w:hint="eastAsia" w:ascii="宋体" w:hAnsi="宋体"/>
          <w:color w:val="auto"/>
          <w:szCs w:val="21"/>
          <w:highlight w:val="none"/>
        </w:rPr>
        <w:t>整改</w:t>
      </w:r>
      <w:r>
        <w:rPr>
          <w:rFonts w:ascii="宋体" w:hAnsi="宋体"/>
          <w:color w:val="auto"/>
          <w:szCs w:val="21"/>
          <w:highlight w:val="none"/>
        </w:rPr>
        <w:t>仍无</w:t>
      </w:r>
      <w:r>
        <w:rPr>
          <w:rFonts w:hint="eastAsia" w:ascii="宋体" w:hAnsi="宋体"/>
          <w:color w:val="auto"/>
          <w:szCs w:val="21"/>
          <w:highlight w:val="none"/>
        </w:rPr>
        <w:t>法达标</w:t>
      </w:r>
      <w:r>
        <w:rPr>
          <w:rFonts w:ascii="宋体" w:hAnsi="宋体"/>
          <w:color w:val="auto"/>
          <w:szCs w:val="21"/>
          <w:highlight w:val="none"/>
        </w:rPr>
        <w:t>的</w:t>
      </w:r>
      <w:r>
        <w:rPr>
          <w:rFonts w:hint="eastAsia" w:ascii="宋体" w:hAnsi="宋体"/>
          <w:color w:val="auto"/>
          <w:szCs w:val="21"/>
          <w:highlight w:val="none"/>
        </w:rPr>
        <w:t>。</w:t>
      </w:r>
    </w:p>
    <w:p w14:paraId="50BBA3BB">
      <w:pPr>
        <w:keepNext w:val="0"/>
        <w:keepLines w:val="0"/>
        <w:pageBreakBefore w:val="0"/>
        <w:widowControl w:val="0"/>
        <w:kinsoku/>
        <w:wordWrap/>
        <w:topLinePunct w:val="0"/>
        <w:autoSpaceDE/>
        <w:autoSpaceDN/>
        <w:bidi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乙方</w:t>
      </w:r>
      <w:r>
        <w:rPr>
          <w:rFonts w:hint="eastAsia" w:ascii="宋体" w:hAnsi="宋体"/>
          <w:color w:val="auto"/>
          <w:szCs w:val="21"/>
          <w:highlight w:val="none"/>
        </w:rPr>
        <w:t>连续二月未满80分的，第三月考评仍在80分以下的。</w:t>
      </w:r>
    </w:p>
    <w:p w14:paraId="55F7616E">
      <w:pPr>
        <w:keepNext w:val="0"/>
        <w:keepLines w:val="0"/>
        <w:pageBreakBefore w:val="0"/>
        <w:widowControl w:val="0"/>
        <w:kinsoku/>
        <w:wordWrap/>
        <w:topLinePunct w:val="0"/>
        <w:autoSpaceDE/>
        <w:autoSpaceDN/>
        <w:bidi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在国家、省、市、区等各级检查和创优等评比过程中，</w:t>
      </w:r>
      <w:r>
        <w:rPr>
          <w:rFonts w:hint="eastAsia" w:ascii="宋体" w:hAnsi="宋体"/>
          <w:color w:val="auto"/>
          <w:szCs w:val="21"/>
          <w:highlight w:val="none"/>
        </w:rPr>
        <w:t>涉及本类别</w:t>
      </w:r>
      <w:r>
        <w:rPr>
          <w:rFonts w:ascii="宋体" w:hAnsi="宋体"/>
          <w:color w:val="auto"/>
          <w:szCs w:val="21"/>
          <w:highlight w:val="none"/>
        </w:rPr>
        <w:t>未能达标的</w:t>
      </w:r>
      <w:r>
        <w:rPr>
          <w:rFonts w:hint="eastAsia" w:ascii="宋体" w:hAnsi="宋体"/>
          <w:color w:val="auto"/>
          <w:szCs w:val="21"/>
          <w:highlight w:val="none"/>
        </w:rPr>
        <w:t>。</w:t>
      </w:r>
      <w:r>
        <w:rPr>
          <w:rFonts w:ascii="宋体" w:hAnsi="宋体"/>
          <w:color w:val="auto"/>
          <w:szCs w:val="21"/>
          <w:highlight w:val="none"/>
        </w:rPr>
        <w:t xml:space="preserve"> </w:t>
      </w:r>
    </w:p>
    <w:p w14:paraId="6B2E69EA">
      <w:pPr>
        <w:keepNext w:val="0"/>
        <w:keepLines w:val="0"/>
        <w:pageBreakBefore w:val="0"/>
        <w:widowControl w:val="0"/>
        <w:tabs>
          <w:tab w:val="left" w:pos="567"/>
        </w:tabs>
        <w:kinsoku/>
        <w:wordWrap/>
        <w:topLinePunct w:val="0"/>
        <w:autoSpaceDE/>
        <w:autoSpaceDN/>
        <w:bidi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乙方</w:t>
      </w:r>
      <w:r>
        <w:rPr>
          <w:rFonts w:ascii="宋体" w:hAnsi="宋体"/>
          <w:color w:val="auto"/>
          <w:szCs w:val="21"/>
          <w:highlight w:val="none"/>
        </w:rPr>
        <w:t>将本合同权利义务分包或变相转包的。</w:t>
      </w:r>
    </w:p>
    <w:p w14:paraId="25010C9E">
      <w:pPr>
        <w:keepNext w:val="0"/>
        <w:keepLines w:val="0"/>
        <w:pageBreakBefore w:val="0"/>
        <w:widowControl w:val="0"/>
        <w:tabs>
          <w:tab w:val="left" w:pos="567"/>
        </w:tabs>
        <w:kinsoku/>
        <w:wordWrap/>
        <w:topLinePunct w:val="0"/>
        <w:autoSpaceDE/>
        <w:autoSpaceDN/>
        <w:bidi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乙方</w:t>
      </w:r>
      <w:r>
        <w:rPr>
          <w:rFonts w:hint="eastAsia" w:ascii="宋体" w:hAnsi="宋体"/>
          <w:color w:val="auto"/>
          <w:szCs w:val="21"/>
          <w:highlight w:val="none"/>
        </w:rPr>
        <w:t>或其服务人员涉及违法或违规行为的。</w:t>
      </w:r>
    </w:p>
    <w:p w14:paraId="58370740">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4、有权解除合同的一方，应当在违约事实或不可抗力发生之后三十天内书面通知对方提出解除合同，合同在书面通知到达对方时解除。</w:t>
      </w:r>
    </w:p>
    <w:p w14:paraId="28B36042">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5、合同的部分和全部都不得转让。</w:t>
      </w:r>
    </w:p>
    <w:p w14:paraId="6FFD665B">
      <w:pPr>
        <w:keepNext w:val="0"/>
        <w:keepLines w:val="0"/>
        <w:pageBreakBefore w:val="0"/>
        <w:widowControl w:val="0"/>
        <w:kinsoku/>
        <w:wordWrap/>
        <w:topLinePunct w:val="0"/>
        <w:autoSpaceDE/>
        <w:autoSpaceDN/>
        <w:bidi w:val="0"/>
        <w:snapToGrid w:val="0"/>
        <w:spacing w:line="440" w:lineRule="exact"/>
        <w:ind w:left="0" w:leftChars="0" w:firstLine="422" w:firstLineChars="200"/>
        <w:rPr>
          <w:rFonts w:hint="eastAsia" w:ascii="宋体" w:hAnsi="宋体"/>
          <w:b/>
          <w:color w:val="auto"/>
          <w:szCs w:val="21"/>
          <w:highlight w:val="none"/>
        </w:rPr>
      </w:pPr>
      <w:r>
        <w:rPr>
          <w:rFonts w:hint="eastAsia" w:ascii="宋体" w:hAnsi="宋体"/>
          <w:b/>
          <w:color w:val="auto"/>
          <w:szCs w:val="21"/>
          <w:highlight w:val="none"/>
        </w:rPr>
        <w:t>七、其它</w:t>
      </w:r>
    </w:p>
    <w:p w14:paraId="37C06ED7">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乙方</w:t>
      </w:r>
      <w:r>
        <w:rPr>
          <w:rFonts w:hint="eastAsia" w:ascii="宋体" w:hAnsi="宋体"/>
          <w:color w:val="auto"/>
          <w:szCs w:val="21"/>
          <w:highlight w:val="none"/>
        </w:rPr>
        <w:t>除应做好职工的安全生产教育外，还应为保洁工人提供必要的劳动保护条件，还应为保洁工人办理作业时的人身安全保险和意外伤害险，一切安全责任事故均由</w:t>
      </w:r>
      <w:r>
        <w:rPr>
          <w:rFonts w:hint="eastAsia" w:ascii="宋体" w:hAnsi="宋体"/>
          <w:color w:val="auto"/>
          <w:szCs w:val="21"/>
          <w:highlight w:val="none"/>
          <w:lang w:val="en-US" w:eastAsia="zh-CN"/>
        </w:rPr>
        <w:t>乙方</w:t>
      </w:r>
      <w:r>
        <w:rPr>
          <w:rFonts w:hint="eastAsia" w:ascii="宋体" w:hAnsi="宋体"/>
          <w:color w:val="auto"/>
          <w:szCs w:val="21"/>
          <w:highlight w:val="none"/>
        </w:rPr>
        <w:t>负责（保险种类由</w:t>
      </w:r>
      <w:r>
        <w:rPr>
          <w:rFonts w:hint="eastAsia" w:ascii="宋体" w:hAnsi="宋体"/>
          <w:color w:val="auto"/>
          <w:szCs w:val="21"/>
          <w:highlight w:val="none"/>
          <w:lang w:val="en-US" w:eastAsia="zh-CN"/>
        </w:rPr>
        <w:t>乙方</w:t>
      </w:r>
      <w:r>
        <w:rPr>
          <w:rFonts w:hint="eastAsia" w:ascii="宋体" w:hAnsi="宋体"/>
          <w:color w:val="auto"/>
          <w:szCs w:val="21"/>
          <w:highlight w:val="none"/>
        </w:rPr>
        <w:t>自行选择）；</w:t>
      </w:r>
    </w:p>
    <w:p w14:paraId="36BC82F1">
      <w:pPr>
        <w:keepNext w:val="0"/>
        <w:keepLines w:val="0"/>
        <w:pageBreakBefore w:val="0"/>
        <w:widowControl w:val="0"/>
        <w:kinsoku/>
        <w:wordWrap/>
        <w:topLinePunct w:val="0"/>
        <w:autoSpaceDE/>
        <w:autoSpaceDN/>
        <w:bidi w:val="0"/>
        <w:snapToGrid w:val="0"/>
        <w:spacing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2.本合同未尽之处双方协商解决，解决不成，双方提请当地人民法院诉讼。</w:t>
      </w:r>
    </w:p>
    <w:p w14:paraId="75286210">
      <w:pPr>
        <w:keepNext w:val="0"/>
        <w:keepLines w:val="0"/>
        <w:pageBreakBefore w:val="0"/>
        <w:widowControl w:val="0"/>
        <w:kinsoku/>
        <w:wordWrap/>
        <w:topLinePunct w:val="0"/>
        <w:autoSpaceDE/>
        <w:autoSpaceDN/>
        <w:bidi w:val="0"/>
        <w:snapToGrid w:val="0"/>
        <w:spacing w:line="440" w:lineRule="exact"/>
        <w:ind w:left="0" w:leftChars="0" w:firstLine="422" w:firstLineChars="200"/>
        <w:rPr>
          <w:rFonts w:hint="eastAsia" w:ascii="宋体" w:hAnsi="宋体"/>
          <w:b/>
          <w:color w:val="auto"/>
          <w:szCs w:val="21"/>
          <w:highlight w:val="none"/>
        </w:rPr>
      </w:pPr>
      <w:r>
        <w:rPr>
          <w:rFonts w:hint="eastAsia" w:ascii="宋体" w:hAnsi="宋体"/>
          <w:b/>
          <w:color w:val="auto"/>
          <w:szCs w:val="21"/>
          <w:highlight w:val="none"/>
        </w:rPr>
        <w:t>八、有关附件</w:t>
      </w:r>
    </w:p>
    <w:p w14:paraId="1EC17AC7">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中新苏滁高新区兰州路</w:t>
      </w:r>
      <w:r>
        <w:rPr>
          <w:rFonts w:hint="eastAsia" w:ascii="宋体" w:hAnsi="宋体"/>
          <w:color w:val="auto"/>
          <w:szCs w:val="21"/>
          <w:highlight w:val="none"/>
          <w:lang w:val="en-US" w:eastAsia="zh-CN"/>
        </w:rPr>
        <w:t>及杭州路</w:t>
      </w:r>
      <w:r>
        <w:rPr>
          <w:rFonts w:hint="eastAsia" w:ascii="宋体" w:hAnsi="宋体"/>
          <w:color w:val="auto"/>
          <w:szCs w:val="21"/>
          <w:highlight w:val="none"/>
          <w:lang w:eastAsia="zh-CN"/>
        </w:rPr>
        <w:t>垃圾中转站202</w:t>
      </w:r>
      <w:r>
        <w:rPr>
          <w:rFonts w:hint="eastAsia" w:ascii="宋体" w:hAnsi="宋体"/>
          <w:color w:val="auto"/>
          <w:szCs w:val="21"/>
          <w:highlight w:val="none"/>
          <w:lang w:val="en-US" w:eastAsia="zh-CN"/>
        </w:rPr>
        <w:t>6-2029</w:t>
      </w:r>
      <w:r>
        <w:rPr>
          <w:rFonts w:hint="eastAsia" w:ascii="宋体" w:hAnsi="宋体"/>
          <w:color w:val="auto"/>
          <w:szCs w:val="21"/>
          <w:highlight w:val="none"/>
          <w:lang w:eastAsia="zh-CN"/>
        </w:rPr>
        <w:t>年度服务</w:t>
      </w:r>
      <w:r>
        <w:rPr>
          <w:rFonts w:hint="eastAsia" w:ascii="宋体" w:hAnsi="宋体"/>
          <w:color w:val="auto"/>
          <w:szCs w:val="21"/>
          <w:highlight w:val="none"/>
          <w:lang w:val="en-US" w:eastAsia="zh-CN"/>
        </w:rPr>
        <w:t>项目</w:t>
      </w:r>
      <w:r>
        <w:rPr>
          <w:rFonts w:hint="eastAsia" w:ascii="宋体" w:hAnsi="宋体"/>
          <w:color w:val="auto"/>
          <w:szCs w:val="21"/>
          <w:highlight w:val="none"/>
        </w:rPr>
        <w:t>考评标准》</w:t>
      </w:r>
    </w:p>
    <w:p w14:paraId="50C4DA15">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2、《机</w:t>
      </w:r>
      <w:r>
        <w:rPr>
          <w:rFonts w:ascii="宋体" w:hAnsi="宋体"/>
          <w:color w:val="auto"/>
          <w:szCs w:val="21"/>
          <w:highlight w:val="none"/>
        </w:rPr>
        <w:t xml:space="preserve"> </w:t>
      </w:r>
      <w:r>
        <w:rPr>
          <w:rFonts w:hint="eastAsia" w:ascii="宋体" w:hAnsi="宋体"/>
          <w:color w:val="auto"/>
          <w:szCs w:val="21"/>
          <w:highlight w:val="none"/>
        </w:rPr>
        <w:t>械</w:t>
      </w:r>
      <w:r>
        <w:rPr>
          <w:rFonts w:ascii="宋体" w:hAnsi="宋体"/>
          <w:color w:val="auto"/>
          <w:szCs w:val="21"/>
          <w:highlight w:val="none"/>
        </w:rPr>
        <w:t xml:space="preserve"> </w:t>
      </w:r>
      <w:r>
        <w:rPr>
          <w:rFonts w:hint="eastAsia" w:ascii="宋体" w:hAnsi="宋体"/>
          <w:color w:val="auto"/>
          <w:szCs w:val="21"/>
          <w:highlight w:val="none"/>
        </w:rPr>
        <w:t>设</w:t>
      </w:r>
      <w:r>
        <w:rPr>
          <w:rFonts w:ascii="宋体" w:hAnsi="宋体"/>
          <w:color w:val="auto"/>
          <w:szCs w:val="21"/>
          <w:highlight w:val="none"/>
        </w:rPr>
        <w:t xml:space="preserve"> </w:t>
      </w:r>
      <w:r>
        <w:rPr>
          <w:rFonts w:hint="eastAsia" w:ascii="宋体" w:hAnsi="宋体"/>
          <w:color w:val="auto"/>
          <w:szCs w:val="21"/>
          <w:highlight w:val="none"/>
        </w:rPr>
        <w:t>备</w:t>
      </w:r>
      <w:r>
        <w:rPr>
          <w:rFonts w:ascii="宋体" w:hAnsi="宋体"/>
          <w:color w:val="auto"/>
          <w:szCs w:val="21"/>
          <w:highlight w:val="none"/>
        </w:rPr>
        <w:t xml:space="preserve"> </w:t>
      </w:r>
      <w:r>
        <w:rPr>
          <w:rFonts w:hint="eastAsia" w:ascii="宋体" w:hAnsi="宋体"/>
          <w:color w:val="auto"/>
          <w:szCs w:val="21"/>
          <w:highlight w:val="none"/>
        </w:rPr>
        <w:t>管</w:t>
      </w:r>
      <w:r>
        <w:rPr>
          <w:rFonts w:ascii="宋体" w:hAnsi="宋体"/>
          <w:color w:val="auto"/>
          <w:szCs w:val="21"/>
          <w:highlight w:val="none"/>
        </w:rPr>
        <w:t xml:space="preserve"> </w:t>
      </w:r>
      <w:r>
        <w:rPr>
          <w:rFonts w:hint="eastAsia" w:ascii="宋体" w:hAnsi="宋体"/>
          <w:color w:val="auto"/>
          <w:szCs w:val="21"/>
          <w:highlight w:val="none"/>
        </w:rPr>
        <w:t>理</w:t>
      </w:r>
      <w:r>
        <w:rPr>
          <w:rFonts w:ascii="宋体" w:hAnsi="宋体"/>
          <w:color w:val="auto"/>
          <w:szCs w:val="21"/>
          <w:highlight w:val="none"/>
        </w:rPr>
        <w:t xml:space="preserve"> </w:t>
      </w:r>
      <w:r>
        <w:rPr>
          <w:rFonts w:hint="eastAsia" w:ascii="宋体" w:hAnsi="宋体"/>
          <w:color w:val="auto"/>
          <w:szCs w:val="21"/>
          <w:highlight w:val="none"/>
        </w:rPr>
        <w:t>要</w:t>
      </w:r>
      <w:r>
        <w:rPr>
          <w:rFonts w:ascii="宋体" w:hAnsi="宋体"/>
          <w:color w:val="auto"/>
          <w:szCs w:val="21"/>
          <w:highlight w:val="none"/>
        </w:rPr>
        <w:t xml:space="preserve"> </w:t>
      </w:r>
      <w:r>
        <w:rPr>
          <w:rFonts w:hint="eastAsia" w:ascii="宋体" w:hAnsi="宋体"/>
          <w:color w:val="auto"/>
          <w:szCs w:val="21"/>
          <w:highlight w:val="none"/>
        </w:rPr>
        <w:t>求》</w:t>
      </w:r>
    </w:p>
    <w:p w14:paraId="6A54F54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eastAsia="宋体" w:cs="Times New Roman"/>
          <w:color w:val="auto"/>
          <w:szCs w:val="21"/>
          <w:highlight w:val="none"/>
          <w:lang w:eastAsia="zh-CN"/>
        </w:rPr>
        <w:t>《服务人员工作服要求》</w:t>
      </w:r>
    </w:p>
    <w:p w14:paraId="5E16FF08">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4、《廉政合同》</w:t>
      </w:r>
    </w:p>
    <w:p w14:paraId="31FDFF44">
      <w:pPr>
        <w:keepNext w:val="0"/>
        <w:keepLines w:val="0"/>
        <w:pageBreakBefore w:val="0"/>
        <w:widowControl w:val="0"/>
        <w:kinsoku/>
        <w:wordWrap/>
        <w:topLinePunct w:val="0"/>
        <w:autoSpaceDE/>
        <w:autoSpaceDN/>
        <w:bidi w:val="0"/>
        <w:spacing w:line="440" w:lineRule="exact"/>
        <w:ind w:firstLine="2635" w:firstLineChars="1255"/>
        <w:rPr>
          <w:rFonts w:hint="eastAsia" w:ascii="宋体" w:hAnsi="宋体"/>
          <w:color w:val="auto"/>
          <w:szCs w:val="21"/>
          <w:highlight w:val="none"/>
        </w:rPr>
      </w:pPr>
    </w:p>
    <w:p w14:paraId="32925D36">
      <w:pPr>
        <w:keepNext w:val="0"/>
        <w:keepLines w:val="0"/>
        <w:pageBreakBefore w:val="0"/>
        <w:widowControl w:val="0"/>
        <w:kinsoku/>
        <w:wordWrap/>
        <w:topLinePunct w:val="0"/>
        <w:autoSpaceDE/>
        <w:autoSpaceDN/>
        <w:bidi w:val="0"/>
        <w:snapToGrid w:val="0"/>
        <w:spacing w:line="440" w:lineRule="exact"/>
        <w:ind w:firstLine="480"/>
        <w:rPr>
          <w:rFonts w:hint="eastAsia" w:ascii="宋体" w:hAnsi="宋体"/>
          <w:color w:val="auto"/>
          <w:szCs w:val="21"/>
          <w:highlight w:val="none"/>
        </w:rPr>
      </w:pPr>
      <w:r>
        <w:rPr>
          <w:rFonts w:hint="eastAsia" w:ascii="宋体" w:hAnsi="宋体"/>
          <w:color w:val="auto"/>
          <w:szCs w:val="21"/>
          <w:highlight w:val="none"/>
        </w:rPr>
        <w:t>本协议附件与本协议具有同等法律效力。合同一式</w:t>
      </w:r>
      <w:r>
        <w:rPr>
          <w:rFonts w:hint="eastAsia" w:ascii="宋体" w:hAnsi="宋体"/>
          <w:color w:val="auto"/>
          <w:szCs w:val="21"/>
          <w:highlight w:val="none"/>
          <w:lang w:val="en-US" w:eastAsia="zh-CN"/>
        </w:rPr>
        <w:t>肆</w:t>
      </w:r>
      <w:r>
        <w:rPr>
          <w:rFonts w:hint="eastAsia" w:ascii="宋体" w:hAnsi="宋体"/>
          <w:color w:val="auto"/>
          <w:szCs w:val="21"/>
          <w:highlight w:val="none"/>
        </w:rPr>
        <w:t>份，</w:t>
      </w:r>
      <w:r>
        <w:rPr>
          <w:rFonts w:hint="eastAsia" w:ascii="宋体" w:hAnsi="宋体"/>
          <w:color w:val="auto"/>
          <w:szCs w:val="21"/>
          <w:highlight w:val="none"/>
          <w:lang w:val="en-US" w:eastAsia="zh-CN"/>
        </w:rPr>
        <w:t>甲方</w:t>
      </w:r>
      <w:r>
        <w:rPr>
          <w:rFonts w:hint="eastAsia" w:ascii="宋体" w:hAnsi="宋体"/>
          <w:color w:val="auto"/>
          <w:szCs w:val="21"/>
          <w:highlight w:val="none"/>
        </w:rPr>
        <w:t>执</w:t>
      </w:r>
      <w:r>
        <w:rPr>
          <w:rFonts w:hint="eastAsia" w:ascii="宋体" w:hAnsi="宋体"/>
          <w:color w:val="auto"/>
          <w:szCs w:val="21"/>
          <w:highlight w:val="none"/>
          <w:lang w:val="en-US" w:eastAsia="zh-CN"/>
        </w:rPr>
        <w:t>两</w:t>
      </w:r>
      <w:r>
        <w:rPr>
          <w:rFonts w:hint="eastAsia" w:ascii="宋体" w:hAnsi="宋体"/>
          <w:color w:val="auto"/>
          <w:szCs w:val="21"/>
          <w:highlight w:val="none"/>
        </w:rPr>
        <w:t>份，</w:t>
      </w:r>
      <w:r>
        <w:rPr>
          <w:rFonts w:hint="eastAsia" w:ascii="宋体" w:hAnsi="宋体"/>
          <w:color w:val="auto"/>
          <w:szCs w:val="21"/>
          <w:highlight w:val="none"/>
          <w:lang w:val="en-US" w:eastAsia="zh-CN"/>
        </w:rPr>
        <w:t>乙方</w:t>
      </w:r>
      <w:r>
        <w:rPr>
          <w:rFonts w:hint="eastAsia" w:ascii="宋体" w:hAnsi="宋体"/>
          <w:color w:val="auto"/>
          <w:szCs w:val="21"/>
          <w:highlight w:val="none"/>
        </w:rPr>
        <w:t>执</w:t>
      </w:r>
      <w:r>
        <w:rPr>
          <w:rFonts w:hint="eastAsia" w:ascii="宋体" w:hAnsi="宋体"/>
          <w:color w:val="auto"/>
          <w:szCs w:val="21"/>
          <w:highlight w:val="none"/>
          <w:lang w:val="en-US" w:eastAsia="zh-CN"/>
        </w:rPr>
        <w:t>两</w:t>
      </w:r>
      <w:r>
        <w:rPr>
          <w:rFonts w:hint="eastAsia" w:ascii="宋体" w:hAnsi="宋体"/>
          <w:color w:val="auto"/>
          <w:szCs w:val="21"/>
          <w:highlight w:val="none"/>
        </w:rPr>
        <w:t>份。</w:t>
      </w:r>
    </w:p>
    <w:p w14:paraId="1985104A">
      <w:pPr>
        <w:spacing w:line="480" w:lineRule="auto"/>
        <w:rPr>
          <w:rFonts w:hint="eastAsia" w:ascii="宋体" w:hAnsi="宋体"/>
          <w:color w:val="auto"/>
          <w:kern w:val="0"/>
          <w:szCs w:val="21"/>
          <w:highlight w:val="none"/>
        </w:rPr>
      </w:pPr>
    </w:p>
    <w:p w14:paraId="6F8E845A">
      <w:pPr>
        <w:spacing w:line="480" w:lineRule="auto"/>
        <w:ind w:firstLine="645"/>
        <w:rPr>
          <w:rFonts w:hint="eastAsia" w:ascii="宋体" w:hAnsi="宋体"/>
          <w:color w:val="auto"/>
          <w:szCs w:val="21"/>
          <w:highlight w:val="none"/>
        </w:rPr>
      </w:pPr>
      <w:r>
        <w:rPr>
          <w:rFonts w:hint="eastAsia" w:ascii="宋体" w:hAnsi="宋体"/>
          <w:color w:val="auto"/>
          <w:szCs w:val="21"/>
          <w:highlight w:val="none"/>
          <w:lang w:val="en-US" w:eastAsia="zh-CN"/>
        </w:rPr>
        <w:t>甲方</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乙方</w:t>
      </w:r>
      <w:r>
        <w:rPr>
          <w:rFonts w:hint="eastAsia" w:ascii="宋体" w:hAnsi="宋体"/>
          <w:color w:val="auto"/>
          <w:szCs w:val="21"/>
          <w:highlight w:val="none"/>
        </w:rPr>
        <w:t>：</w:t>
      </w:r>
    </w:p>
    <w:p w14:paraId="27FDB83D">
      <w:pPr>
        <w:spacing w:line="480" w:lineRule="auto"/>
        <w:ind w:firstLine="645"/>
        <w:rPr>
          <w:rFonts w:hint="eastAsia" w:ascii="宋体" w:hAnsi="宋体"/>
          <w:color w:val="auto"/>
          <w:szCs w:val="21"/>
          <w:highlight w:val="none"/>
        </w:rPr>
      </w:pPr>
      <w:r>
        <w:rPr>
          <w:rFonts w:hint="eastAsia" w:ascii="宋体" w:hAnsi="宋体"/>
          <w:color w:val="auto"/>
          <w:szCs w:val="21"/>
          <w:highlight w:val="none"/>
        </w:rPr>
        <w:t>地址：                           地址：</w:t>
      </w:r>
    </w:p>
    <w:p w14:paraId="38B63938">
      <w:pPr>
        <w:spacing w:line="480" w:lineRule="auto"/>
        <w:ind w:firstLine="645"/>
        <w:rPr>
          <w:rFonts w:hint="eastAsia" w:ascii="宋体" w:hAnsi="宋体"/>
          <w:color w:val="auto"/>
          <w:szCs w:val="21"/>
          <w:highlight w:val="none"/>
        </w:rPr>
      </w:pPr>
      <w:r>
        <w:rPr>
          <w:rFonts w:hint="eastAsia" w:ascii="宋体" w:hAnsi="宋体"/>
          <w:color w:val="auto"/>
          <w:szCs w:val="21"/>
          <w:highlight w:val="none"/>
        </w:rPr>
        <w:t>法定代表人：                     法定代表人：</w:t>
      </w:r>
    </w:p>
    <w:p w14:paraId="77E143DB">
      <w:pPr>
        <w:spacing w:line="480" w:lineRule="auto"/>
        <w:ind w:firstLine="645"/>
        <w:rPr>
          <w:rFonts w:hint="eastAsia" w:ascii="宋体" w:hAnsi="宋体"/>
          <w:color w:val="auto"/>
          <w:szCs w:val="21"/>
          <w:highlight w:val="none"/>
        </w:rPr>
      </w:pPr>
      <w:r>
        <w:rPr>
          <w:rFonts w:hint="eastAsia" w:ascii="宋体" w:hAnsi="宋体"/>
          <w:color w:val="auto"/>
          <w:szCs w:val="21"/>
          <w:highlight w:val="none"/>
        </w:rPr>
        <w:t>电话：                           电话：</w:t>
      </w:r>
    </w:p>
    <w:p w14:paraId="1A28271E">
      <w:pPr>
        <w:spacing w:line="480" w:lineRule="auto"/>
        <w:rPr>
          <w:rFonts w:hint="eastAsia" w:ascii="宋体" w:hAnsi="宋体"/>
          <w:color w:val="auto"/>
          <w:szCs w:val="21"/>
          <w:highlight w:val="none"/>
        </w:rPr>
      </w:pPr>
    </w:p>
    <w:p w14:paraId="5E19CD85">
      <w:pPr>
        <w:spacing w:line="480" w:lineRule="auto"/>
        <w:rPr>
          <w:rFonts w:hint="eastAsia" w:ascii="宋体" w:hAnsi="宋体"/>
          <w:color w:val="auto"/>
          <w:szCs w:val="21"/>
          <w:highlight w:val="none"/>
        </w:rPr>
      </w:pPr>
    </w:p>
    <w:p w14:paraId="7EBD53AF">
      <w:pPr>
        <w:pStyle w:val="12"/>
        <w:rPr>
          <w:rFonts w:hint="eastAsia" w:ascii="宋体" w:hAnsi="宋体"/>
          <w:color w:val="auto"/>
          <w:szCs w:val="21"/>
          <w:highlight w:val="none"/>
        </w:rPr>
      </w:pPr>
    </w:p>
    <w:p w14:paraId="739C5FC3">
      <w:pPr>
        <w:rPr>
          <w:rFonts w:hint="eastAsia" w:ascii="宋体" w:hAnsi="宋体"/>
          <w:color w:val="auto"/>
          <w:szCs w:val="21"/>
          <w:highlight w:val="none"/>
        </w:rPr>
      </w:pPr>
    </w:p>
    <w:p w14:paraId="740F17FD">
      <w:pPr>
        <w:pStyle w:val="12"/>
        <w:rPr>
          <w:rFonts w:hint="eastAsia" w:ascii="宋体" w:hAnsi="宋体"/>
          <w:color w:val="auto"/>
          <w:szCs w:val="21"/>
          <w:highlight w:val="none"/>
        </w:rPr>
      </w:pPr>
    </w:p>
    <w:p w14:paraId="5F5F0CBD">
      <w:pPr>
        <w:rPr>
          <w:rFonts w:hint="eastAsia" w:ascii="宋体" w:hAnsi="宋体"/>
          <w:color w:val="auto"/>
          <w:szCs w:val="21"/>
          <w:highlight w:val="none"/>
        </w:rPr>
      </w:pPr>
    </w:p>
    <w:p w14:paraId="20AFE227">
      <w:pPr>
        <w:pStyle w:val="12"/>
        <w:rPr>
          <w:rFonts w:hint="eastAsia" w:ascii="宋体" w:hAnsi="宋体"/>
          <w:color w:val="auto"/>
          <w:szCs w:val="21"/>
          <w:highlight w:val="none"/>
        </w:rPr>
      </w:pPr>
    </w:p>
    <w:p w14:paraId="0F876BFB">
      <w:pPr>
        <w:rPr>
          <w:rFonts w:hint="eastAsia" w:ascii="宋体" w:hAnsi="宋体"/>
          <w:color w:val="auto"/>
          <w:szCs w:val="21"/>
          <w:highlight w:val="none"/>
        </w:rPr>
      </w:pPr>
    </w:p>
    <w:p w14:paraId="39948CFA">
      <w:pPr>
        <w:pStyle w:val="12"/>
        <w:rPr>
          <w:rFonts w:hint="eastAsia" w:ascii="宋体" w:hAnsi="宋体"/>
          <w:color w:val="auto"/>
          <w:szCs w:val="21"/>
          <w:highlight w:val="none"/>
        </w:rPr>
      </w:pPr>
    </w:p>
    <w:p w14:paraId="357B171C">
      <w:pPr>
        <w:rPr>
          <w:rFonts w:hint="eastAsia"/>
          <w:color w:val="auto"/>
          <w:highlight w:val="none"/>
        </w:rPr>
      </w:pPr>
    </w:p>
    <w:p w14:paraId="75D25E6B">
      <w:pPr>
        <w:rPr>
          <w:rFonts w:hint="eastAsia"/>
          <w:color w:val="auto"/>
          <w:highlight w:val="none"/>
        </w:rPr>
      </w:pPr>
    </w:p>
    <w:p w14:paraId="21A23D24">
      <w:pPr>
        <w:spacing w:line="480" w:lineRule="auto"/>
        <w:rPr>
          <w:rFonts w:hint="eastAsia" w:ascii="宋体" w:hAnsi="宋体"/>
          <w:color w:val="auto"/>
          <w:szCs w:val="21"/>
          <w:highlight w:val="none"/>
        </w:rPr>
      </w:pPr>
      <w:r>
        <w:rPr>
          <w:rFonts w:hint="eastAsia" w:ascii="宋体" w:hAnsi="宋体"/>
          <w:b/>
          <w:bCs/>
          <w:color w:val="auto"/>
          <w:szCs w:val="21"/>
          <w:highlight w:val="none"/>
        </w:rPr>
        <w:t xml:space="preserve">附件 </w:t>
      </w:r>
    </w:p>
    <w:p w14:paraId="1CFB90FD">
      <w:pPr>
        <w:spacing w:line="480" w:lineRule="auto"/>
        <w:ind w:firstLine="422" w:firstLineChars="200"/>
        <w:jc w:val="center"/>
        <w:rPr>
          <w:rFonts w:hint="eastAsia" w:ascii="宋体" w:hAnsi="宋体"/>
          <w:b/>
          <w:bCs/>
          <w:color w:val="auto"/>
          <w:szCs w:val="21"/>
          <w:highlight w:val="none"/>
        </w:rPr>
      </w:pPr>
      <w:r>
        <w:rPr>
          <w:rFonts w:hint="eastAsia" w:ascii="宋体" w:hAnsi="宋体"/>
          <w:b/>
          <w:bCs/>
          <w:color w:val="auto"/>
          <w:szCs w:val="21"/>
          <w:highlight w:val="none"/>
          <w:lang w:eastAsia="zh-CN"/>
        </w:rPr>
        <w:t>中新苏滁高新区兰州路</w:t>
      </w:r>
      <w:r>
        <w:rPr>
          <w:rFonts w:hint="eastAsia" w:ascii="宋体" w:hAnsi="宋体"/>
          <w:b/>
          <w:bCs/>
          <w:color w:val="auto"/>
          <w:szCs w:val="21"/>
          <w:highlight w:val="none"/>
          <w:lang w:val="en-US" w:eastAsia="zh-CN"/>
        </w:rPr>
        <w:t>及杭州路</w:t>
      </w:r>
      <w:r>
        <w:rPr>
          <w:rFonts w:hint="eastAsia" w:ascii="宋体" w:hAnsi="宋体"/>
          <w:b/>
          <w:bCs/>
          <w:color w:val="auto"/>
          <w:szCs w:val="21"/>
          <w:highlight w:val="none"/>
          <w:lang w:eastAsia="zh-CN"/>
        </w:rPr>
        <w:t>垃圾中转站202</w:t>
      </w:r>
      <w:r>
        <w:rPr>
          <w:rFonts w:hint="eastAsia" w:ascii="宋体" w:hAnsi="宋体"/>
          <w:b/>
          <w:bCs/>
          <w:color w:val="auto"/>
          <w:szCs w:val="21"/>
          <w:highlight w:val="none"/>
          <w:lang w:val="en-US" w:eastAsia="zh-CN"/>
        </w:rPr>
        <w:t>6-2029</w:t>
      </w:r>
      <w:r>
        <w:rPr>
          <w:rFonts w:hint="eastAsia" w:ascii="宋体" w:hAnsi="宋体"/>
          <w:b/>
          <w:bCs/>
          <w:color w:val="auto"/>
          <w:szCs w:val="21"/>
          <w:highlight w:val="none"/>
          <w:lang w:eastAsia="zh-CN"/>
        </w:rPr>
        <w:t>年度服务</w:t>
      </w:r>
      <w:r>
        <w:rPr>
          <w:rFonts w:hint="eastAsia" w:ascii="宋体" w:hAnsi="宋体"/>
          <w:b/>
          <w:bCs/>
          <w:color w:val="auto"/>
          <w:szCs w:val="21"/>
          <w:highlight w:val="none"/>
          <w:lang w:val="en-US" w:eastAsia="zh-CN"/>
        </w:rPr>
        <w:t>项目</w:t>
      </w:r>
      <w:r>
        <w:rPr>
          <w:rFonts w:hint="eastAsia" w:ascii="宋体" w:hAnsi="宋体"/>
          <w:b/>
          <w:bCs/>
          <w:color w:val="auto"/>
          <w:szCs w:val="21"/>
          <w:highlight w:val="none"/>
        </w:rPr>
        <w:t>考评标准</w:t>
      </w:r>
    </w:p>
    <w:tbl>
      <w:tblPr>
        <w:tblStyle w:val="35"/>
        <w:tblW w:w="9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4"/>
        <w:gridCol w:w="502"/>
        <w:gridCol w:w="6886"/>
        <w:gridCol w:w="1187"/>
      </w:tblGrid>
      <w:tr w14:paraId="0CDB0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8412" w:type="dxa"/>
            <w:gridSpan w:val="3"/>
            <w:noWrap w:val="0"/>
            <w:vAlign w:val="center"/>
          </w:tcPr>
          <w:p w14:paraId="77B15F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检 查 考 核 项 目</w:t>
            </w:r>
          </w:p>
        </w:tc>
        <w:tc>
          <w:tcPr>
            <w:tcW w:w="1187" w:type="dxa"/>
            <w:noWrap w:val="0"/>
            <w:vAlign w:val="center"/>
          </w:tcPr>
          <w:p w14:paraId="26C5A76B">
            <w:pPr>
              <w:keepNext w:val="0"/>
              <w:keepLines w:val="0"/>
              <w:pageBreakBefore w:val="0"/>
              <w:widowControl/>
              <w:kinsoku/>
              <w:wordWrap/>
              <w:overflowPunct/>
              <w:topLinePunct w:val="0"/>
              <w:autoSpaceDE/>
              <w:autoSpaceDN/>
              <w:bidi w:val="0"/>
              <w:adjustRightInd/>
              <w:snapToGrid/>
              <w:spacing w:line="400" w:lineRule="exact"/>
              <w:ind w:right="-107" w:rightChars="-51"/>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扣分标准</w:t>
            </w:r>
          </w:p>
        </w:tc>
      </w:tr>
      <w:tr w14:paraId="6E51F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1024" w:type="dxa"/>
            <w:vMerge w:val="restart"/>
            <w:noWrap w:val="0"/>
            <w:vAlign w:val="center"/>
          </w:tcPr>
          <w:p w14:paraId="6B0BDDF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保洁服务内容</w:t>
            </w:r>
          </w:p>
        </w:tc>
        <w:tc>
          <w:tcPr>
            <w:tcW w:w="502" w:type="dxa"/>
            <w:noWrap w:val="0"/>
            <w:vAlign w:val="center"/>
          </w:tcPr>
          <w:p w14:paraId="43EFA7D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6886" w:type="dxa"/>
            <w:noWrap w:val="0"/>
            <w:vAlign w:val="center"/>
          </w:tcPr>
          <w:p w14:paraId="7584712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垃圾中转站内有垃圾、杂物、碎石、积水、污染物、污水、杂草</w:t>
            </w:r>
          </w:p>
        </w:tc>
        <w:tc>
          <w:tcPr>
            <w:tcW w:w="1187" w:type="dxa"/>
            <w:noWrap w:val="0"/>
            <w:vAlign w:val="center"/>
          </w:tcPr>
          <w:p w14:paraId="6619F3A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1分/处</w:t>
            </w:r>
          </w:p>
        </w:tc>
      </w:tr>
      <w:tr w14:paraId="2482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024" w:type="dxa"/>
            <w:vMerge w:val="continue"/>
            <w:noWrap w:val="0"/>
            <w:vAlign w:val="center"/>
          </w:tcPr>
          <w:p w14:paraId="5426607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2C6E258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6886" w:type="dxa"/>
            <w:noWrap w:val="0"/>
            <w:vAlign w:val="center"/>
          </w:tcPr>
          <w:p w14:paraId="0D2C88D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垃圾中转站内部道路未按规定进行清扫、冲洗的</w:t>
            </w:r>
          </w:p>
        </w:tc>
        <w:tc>
          <w:tcPr>
            <w:tcW w:w="1187" w:type="dxa"/>
            <w:noWrap w:val="0"/>
            <w:vAlign w:val="center"/>
          </w:tcPr>
          <w:p w14:paraId="390E6DE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2分/次</w:t>
            </w:r>
          </w:p>
        </w:tc>
      </w:tr>
      <w:tr w14:paraId="437B1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024" w:type="dxa"/>
            <w:vMerge w:val="continue"/>
            <w:noWrap w:val="0"/>
            <w:vAlign w:val="center"/>
          </w:tcPr>
          <w:p w14:paraId="3F00FDA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05DE2D8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6886" w:type="dxa"/>
            <w:noWrap w:val="0"/>
            <w:vAlign w:val="center"/>
          </w:tcPr>
          <w:p w14:paraId="0A47C9C8">
            <w:pPr>
              <w:keepNext w:val="0"/>
              <w:keepLines w:val="0"/>
              <w:pageBreakBefore w:val="0"/>
              <w:kinsoku/>
              <w:wordWrap/>
              <w:overflowPunct/>
              <w:topLinePunct w:val="0"/>
              <w:autoSpaceDE/>
              <w:autoSpaceDN/>
              <w:bidi w:val="0"/>
              <w:adjustRightInd/>
              <w:snapToGrid/>
              <w:spacing w:line="400" w:lineRule="exact"/>
              <w:ind w:right="-391" w:rightChars="-18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垃圾房内未按规定进行四害消杀及除臭降尘工作的</w:t>
            </w:r>
          </w:p>
        </w:tc>
        <w:tc>
          <w:tcPr>
            <w:tcW w:w="1187" w:type="dxa"/>
            <w:noWrap w:val="0"/>
            <w:vAlign w:val="center"/>
          </w:tcPr>
          <w:p w14:paraId="676D76F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1分/次</w:t>
            </w:r>
          </w:p>
        </w:tc>
      </w:tr>
      <w:tr w14:paraId="7196F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1024" w:type="dxa"/>
            <w:vMerge w:val="continue"/>
            <w:noWrap w:val="0"/>
            <w:vAlign w:val="center"/>
          </w:tcPr>
          <w:p w14:paraId="64DEBB0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3AD1F11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6886" w:type="dxa"/>
            <w:noWrap w:val="0"/>
            <w:vAlign w:val="center"/>
          </w:tcPr>
          <w:p w14:paraId="540ADBB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办公用房的窗户玻璃上有浮灰、污渍、水渍、手印、蜘蛛网的</w:t>
            </w:r>
          </w:p>
        </w:tc>
        <w:tc>
          <w:tcPr>
            <w:tcW w:w="1187" w:type="dxa"/>
            <w:noWrap w:val="0"/>
            <w:vAlign w:val="center"/>
          </w:tcPr>
          <w:p w14:paraId="71B13C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1分/处</w:t>
            </w:r>
          </w:p>
        </w:tc>
      </w:tr>
      <w:tr w14:paraId="42E15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1024" w:type="dxa"/>
            <w:vMerge w:val="continue"/>
            <w:noWrap w:val="0"/>
            <w:vAlign w:val="center"/>
          </w:tcPr>
          <w:p w14:paraId="1ED842D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475C650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6886" w:type="dxa"/>
            <w:noWrap w:val="0"/>
            <w:vAlign w:val="center"/>
          </w:tcPr>
          <w:p w14:paraId="2C84EC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各垃圾收集点收集箱未按规定进行擦洗的，箱体表面有污渍的，收集点周边有残留垃圾、异味的</w:t>
            </w:r>
          </w:p>
        </w:tc>
        <w:tc>
          <w:tcPr>
            <w:tcW w:w="1187" w:type="dxa"/>
            <w:noWrap w:val="0"/>
            <w:vAlign w:val="center"/>
          </w:tcPr>
          <w:p w14:paraId="19AAFE9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1分/处</w:t>
            </w:r>
          </w:p>
        </w:tc>
      </w:tr>
      <w:tr w14:paraId="547C7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024" w:type="dxa"/>
            <w:vMerge w:val="continue"/>
            <w:noWrap w:val="0"/>
            <w:vAlign w:val="center"/>
          </w:tcPr>
          <w:p w14:paraId="76DA4E9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0732359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6886" w:type="dxa"/>
            <w:noWrap w:val="0"/>
            <w:vAlign w:val="center"/>
          </w:tcPr>
          <w:p w14:paraId="24D7CE7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各垃圾收集点未按规定进行四害消杀的</w:t>
            </w:r>
          </w:p>
        </w:tc>
        <w:tc>
          <w:tcPr>
            <w:tcW w:w="1187" w:type="dxa"/>
            <w:noWrap w:val="0"/>
            <w:vAlign w:val="center"/>
          </w:tcPr>
          <w:p w14:paraId="751F365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1分/处</w:t>
            </w:r>
          </w:p>
        </w:tc>
      </w:tr>
      <w:tr w14:paraId="7209D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024" w:type="dxa"/>
            <w:vMerge w:val="continue"/>
            <w:noWrap w:val="0"/>
            <w:vAlign w:val="center"/>
          </w:tcPr>
          <w:p w14:paraId="66EFD68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3A12265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6886" w:type="dxa"/>
            <w:noWrap w:val="0"/>
            <w:vAlign w:val="center"/>
          </w:tcPr>
          <w:p w14:paraId="4A46DDC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公厕里卫生不干净、地面有垃圾、积水、墙面有乱涂乱画、蜘蛛网、积尘、室内有异味，未按规定放置香精球的</w:t>
            </w:r>
          </w:p>
        </w:tc>
        <w:tc>
          <w:tcPr>
            <w:tcW w:w="1187" w:type="dxa"/>
            <w:noWrap w:val="0"/>
            <w:vAlign w:val="center"/>
          </w:tcPr>
          <w:p w14:paraId="5A24950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2分/处</w:t>
            </w:r>
          </w:p>
        </w:tc>
      </w:tr>
      <w:tr w14:paraId="193D5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1024" w:type="dxa"/>
            <w:vMerge w:val="restart"/>
            <w:noWrap w:val="0"/>
            <w:vAlign w:val="center"/>
          </w:tcPr>
          <w:p w14:paraId="6E93567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车辆管理要求</w:t>
            </w:r>
          </w:p>
        </w:tc>
        <w:tc>
          <w:tcPr>
            <w:tcW w:w="502" w:type="dxa"/>
            <w:noWrap w:val="0"/>
            <w:vAlign w:val="center"/>
          </w:tcPr>
          <w:p w14:paraId="7D0C40E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6886" w:type="dxa"/>
            <w:noWrap w:val="0"/>
            <w:vAlign w:val="center"/>
          </w:tcPr>
          <w:p w14:paraId="1D6DD02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垃圾清运不及时、不彻底或清运过程中车辆未密闭，有抛洒、滴漏现象的</w:t>
            </w:r>
          </w:p>
        </w:tc>
        <w:tc>
          <w:tcPr>
            <w:tcW w:w="1187" w:type="dxa"/>
            <w:noWrap w:val="0"/>
            <w:vAlign w:val="center"/>
          </w:tcPr>
          <w:p w14:paraId="5E4C1B6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1分/处</w:t>
            </w:r>
          </w:p>
        </w:tc>
      </w:tr>
      <w:tr w14:paraId="31B8E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1024" w:type="dxa"/>
            <w:vMerge w:val="continue"/>
            <w:noWrap w:val="0"/>
            <w:vAlign w:val="center"/>
          </w:tcPr>
          <w:p w14:paraId="3AF09FC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609754B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6886" w:type="dxa"/>
            <w:noWrap w:val="0"/>
            <w:vAlign w:val="center"/>
          </w:tcPr>
          <w:p w14:paraId="1534A47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垃圾清运过程中未按规定线路行驶，未做好相关记录的</w:t>
            </w:r>
          </w:p>
        </w:tc>
        <w:tc>
          <w:tcPr>
            <w:tcW w:w="1187" w:type="dxa"/>
            <w:noWrap w:val="0"/>
            <w:vAlign w:val="center"/>
          </w:tcPr>
          <w:p w14:paraId="17587C2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1分/处</w:t>
            </w:r>
          </w:p>
        </w:tc>
      </w:tr>
      <w:tr w14:paraId="0FA59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1024" w:type="dxa"/>
            <w:vMerge w:val="continue"/>
            <w:noWrap w:val="0"/>
            <w:vAlign w:val="center"/>
          </w:tcPr>
          <w:p w14:paraId="21D536D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0D8C90E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6886" w:type="dxa"/>
            <w:noWrap w:val="0"/>
            <w:vAlign w:val="center"/>
          </w:tcPr>
          <w:p w14:paraId="7E76D12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垃圾收运车辆未按规定进行冲洗，车辆外有垃圾粘附物、有异味的</w:t>
            </w:r>
          </w:p>
        </w:tc>
        <w:tc>
          <w:tcPr>
            <w:tcW w:w="1187" w:type="dxa"/>
            <w:noWrap w:val="0"/>
            <w:vAlign w:val="center"/>
          </w:tcPr>
          <w:p w14:paraId="0A3A30F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1分/处</w:t>
            </w:r>
          </w:p>
        </w:tc>
      </w:tr>
      <w:tr w14:paraId="161B8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024" w:type="dxa"/>
            <w:vMerge w:val="continue"/>
            <w:noWrap w:val="0"/>
            <w:vAlign w:val="center"/>
          </w:tcPr>
          <w:p w14:paraId="39F0309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2BA8EF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6886" w:type="dxa"/>
            <w:noWrap w:val="0"/>
            <w:vAlign w:val="center"/>
          </w:tcPr>
          <w:p w14:paraId="2B7E615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垃圾收运车辆未按规定进行有秩序停放的</w:t>
            </w:r>
          </w:p>
        </w:tc>
        <w:tc>
          <w:tcPr>
            <w:tcW w:w="1187" w:type="dxa"/>
            <w:noWrap w:val="0"/>
            <w:vAlign w:val="center"/>
          </w:tcPr>
          <w:p w14:paraId="701A4D6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2分/处</w:t>
            </w:r>
          </w:p>
        </w:tc>
      </w:tr>
      <w:tr w14:paraId="4EDE8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024" w:type="dxa"/>
            <w:vMerge w:val="continue"/>
            <w:noWrap w:val="0"/>
            <w:vAlign w:val="center"/>
          </w:tcPr>
          <w:p w14:paraId="1785366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241A5F5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6886" w:type="dxa"/>
            <w:noWrap w:val="0"/>
            <w:vAlign w:val="center"/>
          </w:tcPr>
          <w:p w14:paraId="7DDB36D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车辆管理未按规定建立运行台帐的，进出垃圾量未按规定建立台帐的</w:t>
            </w:r>
          </w:p>
        </w:tc>
        <w:tc>
          <w:tcPr>
            <w:tcW w:w="1187" w:type="dxa"/>
            <w:noWrap w:val="0"/>
            <w:vAlign w:val="center"/>
          </w:tcPr>
          <w:p w14:paraId="1B2F8E5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1分/次</w:t>
            </w:r>
          </w:p>
        </w:tc>
      </w:tr>
      <w:tr w14:paraId="2DAE5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024" w:type="dxa"/>
            <w:vMerge w:val="restart"/>
            <w:noWrap w:val="0"/>
            <w:vAlign w:val="center"/>
          </w:tcPr>
          <w:p w14:paraId="1164728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劳动组织管理</w:t>
            </w:r>
          </w:p>
        </w:tc>
        <w:tc>
          <w:tcPr>
            <w:tcW w:w="502" w:type="dxa"/>
            <w:noWrap w:val="0"/>
            <w:vAlign w:val="center"/>
          </w:tcPr>
          <w:p w14:paraId="06234E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6886" w:type="dxa"/>
            <w:noWrap w:val="0"/>
            <w:vAlign w:val="center"/>
          </w:tcPr>
          <w:p w14:paraId="3BAC4B1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垃圾收运系统工作人员未按规定进行签到打卡，无故迟到、早退、脱岗的</w:t>
            </w:r>
          </w:p>
        </w:tc>
        <w:tc>
          <w:tcPr>
            <w:tcW w:w="1187" w:type="dxa"/>
            <w:noWrap w:val="0"/>
            <w:vAlign w:val="center"/>
          </w:tcPr>
          <w:p w14:paraId="6715305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1分/人</w:t>
            </w:r>
          </w:p>
        </w:tc>
      </w:tr>
      <w:tr w14:paraId="18C7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024" w:type="dxa"/>
            <w:vMerge w:val="continue"/>
            <w:noWrap w:val="0"/>
            <w:vAlign w:val="center"/>
          </w:tcPr>
          <w:p w14:paraId="396E48D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42E384A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6886" w:type="dxa"/>
            <w:noWrap w:val="0"/>
            <w:vAlign w:val="center"/>
          </w:tcPr>
          <w:p w14:paraId="7B99B2B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垃圾收运系统工作人员未按规定穿戴工作服、胸牌的</w:t>
            </w:r>
          </w:p>
        </w:tc>
        <w:tc>
          <w:tcPr>
            <w:tcW w:w="1187" w:type="dxa"/>
            <w:noWrap w:val="0"/>
            <w:vAlign w:val="center"/>
          </w:tcPr>
          <w:p w14:paraId="21EC7E4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1分/人</w:t>
            </w:r>
          </w:p>
        </w:tc>
      </w:tr>
      <w:tr w14:paraId="51304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024" w:type="dxa"/>
            <w:vMerge w:val="continue"/>
            <w:noWrap w:val="0"/>
            <w:vAlign w:val="center"/>
          </w:tcPr>
          <w:p w14:paraId="189FE88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1DCDB2B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6886" w:type="dxa"/>
            <w:noWrap w:val="0"/>
            <w:vAlign w:val="center"/>
          </w:tcPr>
          <w:p w14:paraId="25C0817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垃圾收运系统工作人员年龄不符合要求的</w:t>
            </w:r>
          </w:p>
        </w:tc>
        <w:tc>
          <w:tcPr>
            <w:tcW w:w="1187" w:type="dxa"/>
            <w:noWrap w:val="0"/>
            <w:vAlign w:val="center"/>
          </w:tcPr>
          <w:p w14:paraId="51A8F46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1分/人</w:t>
            </w:r>
          </w:p>
        </w:tc>
      </w:tr>
      <w:tr w14:paraId="70F41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024" w:type="dxa"/>
            <w:vMerge w:val="continue"/>
            <w:noWrap w:val="0"/>
            <w:vAlign w:val="center"/>
          </w:tcPr>
          <w:p w14:paraId="6C25C5C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556775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6886" w:type="dxa"/>
            <w:noWrap w:val="0"/>
            <w:vAlign w:val="center"/>
          </w:tcPr>
          <w:p w14:paraId="1ADBF3A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垃圾中转站内严禁无关人员和外来车辆进出，站内严禁烟火，不得焚烧垃圾及明火作业</w:t>
            </w:r>
          </w:p>
        </w:tc>
        <w:tc>
          <w:tcPr>
            <w:tcW w:w="1187" w:type="dxa"/>
            <w:noWrap w:val="0"/>
            <w:vAlign w:val="center"/>
          </w:tcPr>
          <w:p w14:paraId="2DEE973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2分/次</w:t>
            </w:r>
          </w:p>
        </w:tc>
      </w:tr>
      <w:tr w14:paraId="266D7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024" w:type="dxa"/>
            <w:vMerge w:val="continue"/>
            <w:noWrap w:val="0"/>
            <w:vAlign w:val="center"/>
          </w:tcPr>
          <w:p w14:paraId="5A1977B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2CC58AF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6886" w:type="dxa"/>
            <w:noWrap w:val="0"/>
            <w:vAlign w:val="center"/>
          </w:tcPr>
          <w:p w14:paraId="1DCF11F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工作人员徇私情，私自处理外来垃圾，发现有工程建筑垃圾、工业垃圾进出垃圾中转站的</w:t>
            </w:r>
          </w:p>
        </w:tc>
        <w:tc>
          <w:tcPr>
            <w:tcW w:w="1187" w:type="dxa"/>
            <w:noWrap w:val="0"/>
            <w:vAlign w:val="center"/>
          </w:tcPr>
          <w:p w14:paraId="492119C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5分/次</w:t>
            </w:r>
          </w:p>
        </w:tc>
      </w:tr>
      <w:tr w14:paraId="4323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024" w:type="dxa"/>
            <w:vMerge w:val="continue"/>
            <w:noWrap w:val="0"/>
            <w:vAlign w:val="center"/>
          </w:tcPr>
          <w:p w14:paraId="09BC663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2FB73B6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6886" w:type="dxa"/>
            <w:noWrap w:val="0"/>
            <w:vAlign w:val="center"/>
          </w:tcPr>
          <w:p w14:paraId="1CCC9AF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管理层或者项目主管不按</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要求参加</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工作例会、不按规定时间提交保洁工作总结、计划的</w:t>
            </w:r>
          </w:p>
        </w:tc>
        <w:tc>
          <w:tcPr>
            <w:tcW w:w="1187" w:type="dxa"/>
            <w:noWrap w:val="0"/>
            <w:vAlign w:val="center"/>
          </w:tcPr>
          <w:p w14:paraId="4C8D474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5分/次</w:t>
            </w:r>
          </w:p>
        </w:tc>
      </w:tr>
      <w:tr w14:paraId="7E5C2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024" w:type="dxa"/>
            <w:vMerge w:val="continue"/>
            <w:noWrap w:val="0"/>
            <w:vAlign w:val="center"/>
          </w:tcPr>
          <w:p w14:paraId="2D29445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5897693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6886" w:type="dxa"/>
            <w:noWrap w:val="0"/>
            <w:vAlign w:val="center"/>
          </w:tcPr>
          <w:p w14:paraId="11E8CD1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因</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管理原因发生人员上访的或者因</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工作不到位造成投诉的</w:t>
            </w:r>
          </w:p>
        </w:tc>
        <w:tc>
          <w:tcPr>
            <w:tcW w:w="1187" w:type="dxa"/>
            <w:noWrap w:val="0"/>
            <w:vAlign w:val="center"/>
          </w:tcPr>
          <w:p w14:paraId="42870BF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5分/次</w:t>
            </w:r>
          </w:p>
        </w:tc>
      </w:tr>
      <w:tr w14:paraId="41E1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024" w:type="dxa"/>
            <w:vMerge w:val="continue"/>
            <w:noWrap w:val="0"/>
            <w:vAlign w:val="center"/>
          </w:tcPr>
          <w:p w14:paraId="4B0D3B8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658FA11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6886" w:type="dxa"/>
            <w:noWrap w:val="0"/>
            <w:vAlign w:val="center"/>
          </w:tcPr>
          <w:p w14:paraId="0618033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不服从</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正常管理的</w:t>
            </w:r>
          </w:p>
        </w:tc>
        <w:tc>
          <w:tcPr>
            <w:tcW w:w="1187" w:type="dxa"/>
            <w:noWrap w:val="0"/>
            <w:vAlign w:val="center"/>
          </w:tcPr>
          <w:p w14:paraId="5CC8D2A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5分/次</w:t>
            </w:r>
          </w:p>
        </w:tc>
      </w:tr>
      <w:tr w14:paraId="7A364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024" w:type="dxa"/>
            <w:vMerge w:val="continue"/>
            <w:noWrap w:val="0"/>
            <w:vAlign w:val="center"/>
          </w:tcPr>
          <w:p w14:paraId="4D4C47F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328C082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6886" w:type="dxa"/>
            <w:noWrap w:val="0"/>
            <w:vAlign w:val="center"/>
          </w:tcPr>
          <w:p w14:paraId="2D13436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对检查存在的问题，</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管理人员拒绝在考核记录本上签字确认的</w:t>
            </w:r>
          </w:p>
        </w:tc>
        <w:tc>
          <w:tcPr>
            <w:tcW w:w="1187" w:type="dxa"/>
            <w:noWrap w:val="0"/>
            <w:vAlign w:val="center"/>
          </w:tcPr>
          <w:p w14:paraId="59CE6A3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5分/次</w:t>
            </w:r>
          </w:p>
        </w:tc>
      </w:tr>
      <w:tr w14:paraId="77549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024" w:type="dxa"/>
            <w:vMerge w:val="continue"/>
            <w:noWrap w:val="0"/>
            <w:vAlign w:val="center"/>
          </w:tcPr>
          <w:p w14:paraId="69A55DC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c>
          <w:tcPr>
            <w:tcW w:w="502" w:type="dxa"/>
            <w:noWrap w:val="0"/>
            <w:vAlign w:val="center"/>
          </w:tcPr>
          <w:p w14:paraId="038AB62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6886" w:type="dxa"/>
            <w:noWrap w:val="0"/>
            <w:vAlign w:val="center"/>
          </w:tcPr>
          <w:p w14:paraId="7F5F06D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对</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或者园区领导检查存在的问题未按要求时间整改或者整改不到位的</w:t>
            </w:r>
          </w:p>
        </w:tc>
        <w:tc>
          <w:tcPr>
            <w:tcW w:w="1187" w:type="dxa"/>
            <w:noWrap w:val="0"/>
            <w:vAlign w:val="center"/>
          </w:tcPr>
          <w:p w14:paraId="2612D75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5分/处</w:t>
            </w:r>
          </w:p>
        </w:tc>
      </w:tr>
      <w:tr w14:paraId="213D4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1024" w:type="dxa"/>
            <w:noWrap w:val="0"/>
            <w:vAlign w:val="center"/>
          </w:tcPr>
          <w:p w14:paraId="23EC807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第三方</w:t>
            </w:r>
          </w:p>
          <w:p w14:paraId="2FF70AB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巡查</w:t>
            </w:r>
          </w:p>
        </w:tc>
        <w:tc>
          <w:tcPr>
            <w:tcW w:w="502" w:type="dxa"/>
            <w:noWrap w:val="0"/>
            <w:vAlign w:val="center"/>
          </w:tcPr>
          <w:p w14:paraId="02174E2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w:t>
            </w:r>
          </w:p>
        </w:tc>
        <w:tc>
          <w:tcPr>
            <w:tcW w:w="6886" w:type="dxa"/>
            <w:noWrap w:val="0"/>
            <w:vAlign w:val="center"/>
          </w:tcPr>
          <w:p w14:paraId="77A988A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根据上级部门对巡查整改率的要求酌情扣分</w:t>
            </w:r>
          </w:p>
        </w:tc>
        <w:tc>
          <w:tcPr>
            <w:tcW w:w="1187" w:type="dxa"/>
            <w:noWrap w:val="0"/>
            <w:vAlign w:val="center"/>
          </w:tcPr>
          <w:p w14:paraId="2ABD5F4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5-10分/次</w:t>
            </w:r>
          </w:p>
        </w:tc>
      </w:tr>
      <w:tr w14:paraId="3C0AE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024" w:type="dxa"/>
            <w:vMerge w:val="restart"/>
            <w:noWrap w:val="0"/>
            <w:vAlign w:val="center"/>
          </w:tcPr>
          <w:p w14:paraId="3DA3DB1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前端收储管理考核</w:t>
            </w:r>
          </w:p>
          <w:p w14:paraId="58B98B4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rPr>
            </w:pPr>
          </w:p>
        </w:tc>
        <w:tc>
          <w:tcPr>
            <w:tcW w:w="502" w:type="dxa"/>
            <w:noWrap w:val="0"/>
            <w:vAlign w:val="center"/>
          </w:tcPr>
          <w:p w14:paraId="08DB2B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p>
        </w:tc>
        <w:tc>
          <w:tcPr>
            <w:tcW w:w="6886" w:type="dxa"/>
            <w:noWrap w:val="0"/>
            <w:vAlign w:val="center"/>
          </w:tcPr>
          <w:p w14:paraId="45F5BB9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前端收储不及时，造成投诉或终止合同的</w:t>
            </w:r>
          </w:p>
        </w:tc>
        <w:tc>
          <w:tcPr>
            <w:tcW w:w="1187" w:type="dxa"/>
            <w:noWrap w:val="0"/>
            <w:vAlign w:val="center"/>
          </w:tcPr>
          <w:p w14:paraId="0BD208A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分/次</w:t>
            </w:r>
          </w:p>
        </w:tc>
      </w:tr>
      <w:tr w14:paraId="4CF8A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024" w:type="dxa"/>
            <w:vMerge w:val="continue"/>
            <w:noWrap w:val="0"/>
            <w:vAlign w:val="center"/>
          </w:tcPr>
          <w:p w14:paraId="42DD4D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rPr>
            </w:pPr>
          </w:p>
        </w:tc>
        <w:tc>
          <w:tcPr>
            <w:tcW w:w="502" w:type="dxa"/>
            <w:noWrap w:val="0"/>
            <w:vAlign w:val="center"/>
          </w:tcPr>
          <w:p w14:paraId="36C1A3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p>
        </w:tc>
        <w:tc>
          <w:tcPr>
            <w:tcW w:w="6886" w:type="dxa"/>
            <w:noWrap w:val="0"/>
            <w:vAlign w:val="center"/>
          </w:tcPr>
          <w:p w14:paraId="59BEB1F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因车辆密闭问题造成污染的</w:t>
            </w:r>
          </w:p>
        </w:tc>
        <w:tc>
          <w:tcPr>
            <w:tcW w:w="1187" w:type="dxa"/>
            <w:noWrap w:val="0"/>
            <w:vAlign w:val="center"/>
          </w:tcPr>
          <w:p w14:paraId="7201A42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分/次</w:t>
            </w:r>
          </w:p>
        </w:tc>
      </w:tr>
      <w:tr w14:paraId="6E6D2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024" w:type="dxa"/>
            <w:vMerge w:val="continue"/>
            <w:noWrap w:val="0"/>
            <w:vAlign w:val="center"/>
          </w:tcPr>
          <w:p w14:paraId="5A080F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rPr>
            </w:pPr>
          </w:p>
        </w:tc>
        <w:tc>
          <w:tcPr>
            <w:tcW w:w="502" w:type="dxa"/>
            <w:noWrap w:val="0"/>
            <w:vAlign w:val="center"/>
          </w:tcPr>
          <w:p w14:paraId="2749503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p>
        </w:tc>
        <w:tc>
          <w:tcPr>
            <w:tcW w:w="6886" w:type="dxa"/>
            <w:noWrap w:val="0"/>
            <w:vAlign w:val="center"/>
          </w:tcPr>
          <w:p w14:paraId="5AFE38F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未按规定登记相关记录的</w:t>
            </w:r>
          </w:p>
        </w:tc>
        <w:tc>
          <w:tcPr>
            <w:tcW w:w="1187" w:type="dxa"/>
            <w:noWrap w:val="0"/>
            <w:vAlign w:val="center"/>
          </w:tcPr>
          <w:p w14:paraId="7B2AD0C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分/次</w:t>
            </w:r>
          </w:p>
        </w:tc>
      </w:tr>
      <w:tr w14:paraId="6FEDC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1024" w:type="dxa"/>
            <w:vMerge w:val="continue"/>
            <w:noWrap w:val="0"/>
            <w:vAlign w:val="center"/>
          </w:tcPr>
          <w:p w14:paraId="7B5F88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rPr>
            </w:pPr>
          </w:p>
        </w:tc>
        <w:tc>
          <w:tcPr>
            <w:tcW w:w="502" w:type="dxa"/>
            <w:noWrap w:val="0"/>
            <w:vAlign w:val="center"/>
          </w:tcPr>
          <w:p w14:paraId="38E8AE2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p>
        </w:tc>
        <w:tc>
          <w:tcPr>
            <w:tcW w:w="6886" w:type="dxa"/>
            <w:noWrap w:val="0"/>
            <w:vAlign w:val="center"/>
          </w:tcPr>
          <w:p w14:paraId="65E08F3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私自收集非园区企业、单位垃圾的</w:t>
            </w:r>
          </w:p>
        </w:tc>
        <w:tc>
          <w:tcPr>
            <w:tcW w:w="1187" w:type="dxa"/>
            <w:noWrap w:val="0"/>
            <w:vAlign w:val="center"/>
          </w:tcPr>
          <w:p w14:paraId="77261A2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5分/次</w:t>
            </w:r>
          </w:p>
        </w:tc>
      </w:tr>
      <w:tr w14:paraId="3BC57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 w:hRule="atLeast"/>
        </w:trPr>
        <w:tc>
          <w:tcPr>
            <w:tcW w:w="1024" w:type="dxa"/>
            <w:vMerge w:val="continue"/>
            <w:noWrap w:val="0"/>
            <w:vAlign w:val="center"/>
          </w:tcPr>
          <w:p w14:paraId="730AF18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rPr>
            </w:pPr>
          </w:p>
        </w:tc>
        <w:tc>
          <w:tcPr>
            <w:tcW w:w="502" w:type="dxa"/>
            <w:noWrap w:val="0"/>
            <w:vAlign w:val="center"/>
          </w:tcPr>
          <w:p w14:paraId="730B44D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w:t>
            </w:r>
          </w:p>
        </w:tc>
        <w:tc>
          <w:tcPr>
            <w:tcW w:w="6886" w:type="dxa"/>
            <w:noWrap w:val="0"/>
            <w:vAlign w:val="center"/>
          </w:tcPr>
          <w:p w14:paraId="66F939A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垃圾收储未按规定建立台帐的</w:t>
            </w:r>
          </w:p>
        </w:tc>
        <w:tc>
          <w:tcPr>
            <w:tcW w:w="1187" w:type="dxa"/>
            <w:noWrap w:val="0"/>
            <w:vAlign w:val="center"/>
          </w:tcPr>
          <w:p w14:paraId="21463DE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分/次</w:t>
            </w:r>
          </w:p>
        </w:tc>
      </w:tr>
      <w:tr w14:paraId="0FC3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024" w:type="dxa"/>
            <w:vMerge w:val="continue"/>
            <w:noWrap w:val="0"/>
            <w:vAlign w:val="center"/>
          </w:tcPr>
          <w:p w14:paraId="4B960D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rPr>
            </w:pPr>
          </w:p>
        </w:tc>
        <w:tc>
          <w:tcPr>
            <w:tcW w:w="502" w:type="dxa"/>
            <w:noWrap w:val="0"/>
            <w:vAlign w:val="center"/>
          </w:tcPr>
          <w:p w14:paraId="54CD86A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w:t>
            </w:r>
          </w:p>
        </w:tc>
        <w:tc>
          <w:tcPr>
            <w:tcW w:w="6886" w:type="dxa"/>
            <w:noWrap w:val="0"/>
            <w:vAlign w:val="center"/>
          </w:tcPr>
          <w:p w14:paraId="57B7C5E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不坚守岗位、尽职尽责的</w:t>
            </w:r>
          </w:p>
        </w:tc>
        <w:tc>
          <w:tcPr>
            <w:tcW w:w="1187" w:type="dxa"/>
            <w:noWrap w:val="0"/>
            <w:vAlign w:val="center"/>
          </w:tcPr>
          <w:p w14:paraId="5518D9A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1分/次</w:t>
            </w:r>
          </w:p>
        </w:tc>
      </w:tr>
      <w:tr w14:paraId="6F498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024" w:type="dxa"/>
            <w:vMerge w:val="continue"/>
            <w:noWrap w:val="0"/>
            <w:vAlign w:val="center"/>
          </w:tcPr>
          <w:p w14:paraId="2DE1BBA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rPr>
            </w:pPr>
          </w:p>
        </w:tc>
        <w:tc>
          <w:tcPr>
            <w:tcW w:w="502" w:type="dxa"/>
            <w:noWrap w:val="0"/>
            <w:vAlign w:val="center"/>
          </w:tcPr>
          <w:p w14:paraId="11799F0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w:t>
            </w:r>
          </w:p>
        </w:tc>
        <w:tc>
          <w:tcPr>
            <w:tcW w:w="6886" w:type="dxa"/>
            <w:noWrap w:val="0"/>
            <w:vAlign w:val="center"/>
          </w:tcPr>
          <w:p w14:paraId="3430B19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不文明服务、礼貌用语引起争执和投诉的</w:t>
            </w:r>
          </w:p>
        </w:tc>
        <w:tc>
          <w:tcPr>
            <w:tcW w:w="1187" w:type="dxa"/>
            <w:noWrap w:val="0"/>
            <w:vAlign w:val="center"/>
          </w:tcPr>
          <w:p w14:paraId="36ED45A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1分/次</w:t>
            </w:r>
          </w:p>
        </w:tc>
      </w:tr>
      <w:tr w14:paraId="2061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024" w:type="dxa"/>
            <w:vMerge w:val="continue"/>
            <w:noWrap w:val="0"/>
            <w:vAlign w:val="center"/>
          </w:tcPr>
          <w:p w14:paraId="10BC35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rPr>
            </w:pPr>
          </w:p>
        </w:tc>
        <w:tc>
          <w:tcPr>
            <w:tcW w:w="502" w:type="dxa"/>
            <w:noWrap w:val="0"/>
            <w:vAlign w:val="center"/>
          </w:tcPr>
          <w:p w14:paraId="5DA6533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w:t>
            </w:r>
          </w:p>
        </w:tc>
        <w:tc>
          <w:tcPr>
            <w:tcW w:w="6886" w:type="dxa"/>
            <w:noWrap w:val="0"/>
            <w:vAlign w:val="center"/>
          </w:tcPr>
          <w:p w14:paraId="09EE389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不服从招标人管理的</w:t>
            </w:r>
          </w:p>
        </w:tc>
        <w:tc>
          <w:tcPr>
            <w:tcW w:w="1187" w:type="dxa"/>
            <w:noWrap w:val="0"/>
            <w:vAlign w:val="center"/>
          </w:tcPr>
          <w:p w14:paraId="77B70E3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2分/次</w:t>
            </w:r>
          </w:p>
        </w:tc>
      </w:tr>
      <w:tr w14:paraId="11DAD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1024" w:type="dxa"/>
            <w:vMerge w:val="continue"/>
            <w:noWrap w:val="0"/>
            <w:vAlign w:val="center"/>
          </w:tcPr>
          <w:p w14:paraId="0407B0A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rPr>
            </w:pPr>
          </w:p>
        </w:tc>
        <w:tc>
          <w:tcPr>
            <w:tcW w:w="502" w:type="dxa"/>
            <w:noWrap w:val="0"/>
            <w:vAlign w:val="center"/>
          </w:tcPr>
          <w:p w14:paraId="3E81867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w:t>
            </w:r>
          </w:p>
        </w:tc>
        <w:tc>
          <w:tcPr>
            <w:tcW w:w="6886" w:type="dxa"/>
            <w:noWrap w:val="0"/>
            <w:vAlign w:val="center"/>
          </w:tcPr>
          <w:p w14:paraId="38C513B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是否积极洽谈业务，业务对接不及时造成业务合作终止的</w:t>
            </w:r>
          </w:p>
        </w:tc>
        <w:tc>
          <w:tcPr>
            <w:tcW w:w="1187" w:type="dxa"/>
            <w:noWrap w:val="0"/>
            <w:vAlign w:val="center"/>
          </w:tcPr>
          <w:p w14:paraId="2347373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分/次</w:t>
            </w:r>
          </w:p>
        </w:tc>
      </w:tr>
      <w:tr w14:paraId="7047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1024" w:type="dxa"/>
            <w:vMerge w:val="restart"/>
            <w:noWrap w:val="0"/>
            <w:vAlign w:val="center"/>
          </w:tcPr>
          <w:p w14:paraId="7392C4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直接</w:t>
            </w:r>
          </w:p>
          <w:p w14:paraId="1D2C709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扣款项</w:t>
            </w:r>
          </w:p>
        </w:tc>
        <w:tc>
          <w:tcPr>
            <w:tcW w:w="502" w:type="dxa"/>
            <w:noWrap w:val="0"/>
            <w:vAlign w:val="center"/>
          </w:tcPr>
          <w:p w14:paraId="2A712E5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6886" w:type="dxa"/>
            <w:noWrap w:val="0"/>
            <w:vAlign w:val="center"/>
          </w:tcPr>
          <w:p w14:paraId="0CDC696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节假日、重大活动、突击任务、灾害性天气是否服从</w:t>
            </w:r>
            <w:r>
              <w:rPr>
                <w:rFonts w:hint="eastAsia" w:ascii="宋体" w:hAnsi="宋体" w:cs="宋体"/>
                <w:color w:val="auto"/>
                <w:kern w:val="0"/>
                <w:sz w:val="21"/>
                <w:szCs w:val="21"/>
                <w:highlight w:val="none"/>
                <w:lang w:eastAsia="zh-CN"/>
              </w:rPr>
              <w:t>甲方</w:t>
            </w:r>
            <w:r>
              <w:rPr>
                <w:rFonts w:hint="eastAsia" w:ascii="宋体" w:hAnsi="宋体" w:cs="宋体"/>
                <w:color w:val="auto"/>
                <w:kern w:val="0"/>
                <w:sz w:val="21"/>
                <w:szCs w:val="21"/>
                <w:highlight w:val="none"/>
              </w:rPr>
              <w:t>安排；重大活动保障，项目经理是否在现场；每发现一次，扣</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000元</w:t>
            </w:r>
          </w:p>
        </w:tc>
        <w:tc>
          <w:tcPr>
            <w:tcW w:w="1187" w:type="dxa"/>
            <w:noWrap w:val="0"/>
            <w:vAlign w:val="center"/>
          </w:tcPr>
          <w:p w14:paraId="230B173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2259F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024" w:type="dxa"/>
            <w:vMerge w:val="continue"/>
            <w:noWrap w:val="0"/>
            <w:vAlign w:val="center"/>
          </w:tcPr>
          <w:p w14:paraId="49D5C15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1056DDB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6886" w:type="dxa"/>
            <w:noWrap w:val="0"/>
            <w:vAlign w:val="center"/>
          </w:tcPr>
          <w:p w14:paraId="555600C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是否被有责投诉或媒体曝光，抠扣工人工资或非法用工，并造成恶劣的社会影响的；每发生一次，</w:t>
            </w:r>
            <w:r>
              <w:rPr>
                <w:rFonts w:hint="eastAsia" w:ascii="宋体" w:hAnsi="宋体" w:cs="宋体"/>
                <w:color w:val="auto"/>
                <w:kern w:val="0"/>
                <w:sz w:val="21"/>
                <w:szCs w:val="21"/>
                <w:highlight w:val="none"/>
                <w:lang w:val="en-US" w:eastAsia="zh-CN"/>
              </w:rPr>
              <w:t>视情节严重，</w:t>
            </w:r>
            <w:r>
              <w:rPr>
                <w:rFonts w:hint="eastAsia" w:ascii="宋体" w:hAnsi="宋体" w:cs="宋体"/>
                <w:color w:val="auto"/>
                <w:kern w:val="0"/>
                <w:sz w:val="21"/>
                <w:szCs w:val="21"/>
                <w:highlight w:val="none"/>
              </w:rPr>
              <w:t>扣</w:t>
            </w:r>
            <w:r>
              <w:rPr>
                <w:rFonts w:hint="eastAsia" w:ascii="宋体" w:hAnsi="宋体" w:cs="宋体"/>
                <w:color w:val="auto"/>
                <w:kern w:val="0"/>
                <w:sz w:val="21"/>
                <w:szCs w:val="21"/>
                <w:highlight w:val="none"/>
                <w:lang w:val="en-US" w:eastAsia="zh-CN"/>
              </w:rPr>
              <w:t>5000-</w:t>
            </w:r>
            <w:r>
              <w:rPr>
                <w:rFonts w:hint="eastAsia" w:ascii="宋体" w:hAnsi="宋体" w:cs="宋体"/>
                <w:color w:val="auto"/>
                <w:kern w:val="0"/>
                <w:sz w:val="21"/>
                <w:szCs w:val="21"/>
                <w:highlight w:val="none"/>
              </w:rPr>
              <w:t>20000元</w:t>
            </w:r>
          </w:p>
        </w:tc>
        <w:tc>
          <w:tcPr>
            <w:tcW w:w="1187" w:type="dxa"/>
            <w:noWrap w:val="0"/>
            <w:vAlign w:val="center"/>
          </w:tcPr>
          <w:p w14:paraId="7643BF1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40489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024" w:type="dxa"/>
            <w:vMerge w:val="restart"/>
            <w:noWrap w:val="0"/>
            <w:vAlign w:val="center"/>
          </w:tcPr>
          <w:p w14:paraId="5B10E81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p w14:paraId="3B8E60C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固定扣款项</w:t>
            </w:r>
          </w:p>
        </w:tc>
        <w:tc>
          <w:tcPr>
            <w:tcW w:w="502" w:type="dxa"/>
            <w:noWrap w:val="0"/>
            <w:vAlign w:val="center"/>
          </w:tcPr>
          <w:p w14:paraId="25A25DA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6886" w:type="dxa"/>
            <w:noWrap w:val="0"/>
            <w:vAlign w:val="center"/>
          </w:tcPr>
          <w:p w14:paraId="73098B36">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垃圾中转站内有垃圾、杂物、碎石、积水、污染物、污水、杂草的，每发现一次扣款500元。</w:t>
            </w:r>
          </w:p>
        </w:tc>
        <w:tc>
          <w:tcPr>
            <w:tcW w:w="1187" w:type="dxa"/>
            <w:noWrap w:val="0"/>
            <w:vAlign w:val="center"/>
          </w:tcPr>
          <w:p w14:paraId="2D36147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0EA2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024" w:type="dxa"/>
            <w:vMerge w:val="continue"/>
            <w:noWrap w:val="0"/>
            <w:vAlign w:val="center"/>
          </w:tcPr>
          <w:p w14:paraId="1700193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7370A86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6886" w:type="dxa"/>
            <w:noWrap w:val="0"/>
            <w:vAlign w:val="center"/>
          </w:tcPr>
          <w:p w14:paraId="22A5874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垃圾中转站内部道路未按规定进行清扫、冲洗的，每发现一次扣款300元。</w:t>
            </w:r>
          </w:p>
        </w:tc>
        <w:tc>
          <w:tcPr>
            <w:tcW w:w="1187" w:type="dxa"/>
            <w:noWrap w:val="0"/>
            <w:vAlign w:val="center"/>
          </w:tcPr>
          <w:p w14:paraId="74ACEA8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44267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024" w:type="dxa"/>
            <w:vMerge w:val="continue"/>
            <w:noWrap w:val="0"/>
            <w:vAlign w:val="top"/>
          </w:tcPr>
          <w:p w14:paraId="4C1979B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278F67C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6886" w:type="dxa"/>
            <w:noWrap w:val="0"/>
            <w:vAlign w:val="center"/>
          </w:tcPr>
          <w:p w14:paraId="4F38CEBB">
            <w:pPr>
              <w:keepNext w:val="0"/>
              <w:keepLines w:val="0"/>
              <w:pageBreakBefore w:val="0"/>
              <w:kinsoku/>
              <w:wordWrap/>
              <w:overflowPunct/>
              <w:topLinePunct w:val="0"/>
              <w:autoSpaceDE/>
              <w:autoSpaceDN/>
              <w:bidi w:val="0"/>
              <w:adjustRightInd/>
              <w:snapToGrid/>
              <w:spacing w:line="400" w:lineRule="exact"/>
              <w:ind w:right="-391" w:rightChars="-186"/>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垃圾房内未按规定进行四害消杀及除臭降尘工作的,每发现一次扣款500元。</w:t>
            </w:r>
          </w:p>
        </w:tc>
        <w:tc>
          <w:tcPr>
            <w:tcW w:w="1187" w:type="dxa"/>
            <w:noWrap w:val="0"/>
            <w:vAlign w:val="top"/>
          </w:tcPr>
          <w:p w14:paraId="75DCBCF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58B9B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1024" w:type="dxa"/>
            <w:vMerge w:val="continue"/>
            <w:noWrap w:val="0"/>
            <w:vAlign w:val="top"/>
          </w:tcPr>
          <w:p w14:paraId="6242B1C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4DACA5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6886" w:type="dxa"/>
            <w:noWrap w:val="0"/>
            <w:vAlign w:val="center"/>
          </w:tcPr>
          <w:p w14:paraId="7E6F9DB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办公用房的窗户玻璃上有浮灰、污渍、水渍、手印、蜘蛛网的,每发现一次扣款500元。</w:t>
            </w:r>
          </w:p>
        </w:tc>
        <w:tc>
          <w:tcPr>
            <w:tcW w:w="1187" w:type="dxa"/>
            <w:noWrap w:val="0"/>
            <w:vAlign w:val="top"/>
          </w:tcPr>
          <w:p w14:paraId="1DCB21D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4845C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024" w:type="dxa"/>
            <w:vMerge w:val="continue"/>
            <w:noWrap w:val="0"/>
            <w:vAlign w:val="top"/>
          </w:tcPr>
          <w:p w14:paraId="0C144D8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4313C45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6886" w:type="dxa"/>
            <w:noWrap w:val="0"/>
            <w:vAlign w:val="center"/>
          </w:tcPr>
          <w:p w14:paraId="05D1B20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各垃圾收集点收集箱未按规定进行擦洗的，箱体表面有污渍的，收集点周边有残留垃圾、异味的,每发现一次扣款800元。</w:t>
            </w:r>
          </w:p>
        </w:tc>
        <w:tc>
          <w:tcPr>
            <w:tcW w:w="1187" w:type="dxa"/>
            <w:noWrap w:val="0"/>
            <w:vAlign w:val="top"/>
          </w:tcPr>
          <w:p w14:paraId="7DAA4F1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73752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1024" w:type="dxa"/>
            <w:vMerge w:val="continue"/>
            <w:noWrap w:val="0"/>
            <w:vAlign w:val="top"/>
          </w:tcPr>
          <w:p w14:paraId="6C1672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3D82D5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6886" w:type="dxa"/>
            <w:noWrap w:val="0"/>
            <w:vAlign w:val="center"/>
          </w:tcPr>
          <w:p w14:paraId="38CD1DC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各垃圾收集点未按规定进行四害消杀的,每发现一次扣款500元。</w:t>
            </w:r>
          </w:p>
        </w:tc>
        <w:tc>
          <w:tcPr>
            <w:tcW w:w="1187" w:type="dxa"/>
            <w:noWrap w:val="0"/>
            <w:vAlign w:val="top"/>
          </w:tcPr>
          <w:p w14:paraId="0F443C8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3F751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024" w:type="dxa"/>
            <w:vMerge w:val="continue"/>
            <w:noWrap w:val="0"/>
            <w:vAlign w:val="top"/>
          </w:tcPr>
          <w:p w14:paraId="6EBDF35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1F51CA5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6886" w:type="dxa"/>
            <w:noWrap w:val="0"/>
            <w:vAlign w:val="center"/>
          </w:tcPr>
          <w:p w14:paraId="71DFD9A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公厕里卫生不干净、地面有垃圾、积水、墙面有乱涂乱画、蜘蛛网、积尘、室内有异味，未按规定放置香精球的,每发现一次扣款500元。</w:t>
            </w:r>
          </w:p>
        </w:tc>
        <w:tc>
          <w:tcPr>
            <w:tcW w:w="1187" w:type="dxa"/>
            <w:noWrap w:val="0"/>
            <w:vAlign w:val="top"/>
          </w:tcPr>
          <w:p w14:paraId="32E17BA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7A2D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024" w:type="dxa"/>
            <w:vMerge w:val="continue"/>
            <w:noWrap w:val="0"/>
            <w:vAlign w:val="top"/>
          </w:tcPr>
          <w:p w14:paraId="688753E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33A40A8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6886" w:type="dxa"/>
            <w:noWrap w:val="0"/>
            <w:vAlign w:val="center"/>
          </w:tcPr>
          <w:p w14:paraId="118572C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垃圾清运不及时、不彻底或清运过程中车辆未密闭，有抛洒、滴漏现象的,每发现一次扣款500元。</w:t>
            </w:r>
          </w:p>
        </w:tc>
        <w:tc>
          <w:tcPr>
            <w:tcW w:w="1187" w:type="dxa"/>
            <w:noWrap w:val="0"/>
            <w:vAlign w:val="top"/>
          </w:tcPr>
          <w:p w14:paraId="5E02349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11040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024" w:type="dxa"/>
            <w:vMerge w:val="continue"/>
            <w:noWrap w:val="0"/>
            <w:vAlign w:val="top"/>
          </w:tcPr>
          <w:p w14:paraId="004FAF9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5C7E3EB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6886" w:type="dxa"/>
            <w:noWrap w:val="0"/>
            <w:vAlign w:val="center"/>
          </w:tcPr>
          <w:p w14:paraId="09B528F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垃圾清运过程中未按规定线路行驶，未做好相关记录的,每发现一次扣款1000元。</w:t>
            </w:r>
          </w:p>
        </w:tc>
        <w:tc>
          <w:tcPr>
            <w:tcW w:w="1187" w:type="dxa"/>
            <w:noWrap w:val="0"/>
            <w:vAlign w:val="top"/>
          </w:tcPr>
          <w:p w14:paraId="31EBF4B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35B3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024" w:type="dxa"/>
            <w:vMerge w:val="continue"/>
            <w:noWrap w:val="0"/>
            <w:vAlign w:val="top"/>
          </w:tcPr>
          <w:p w14:paraId="42DFD64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39D04ED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6886" w:type="dxa"/>
            <w:noWrap w:val="0"/>
            <w:vAlign w:val="center"/>
          </w:tcPr>
          <w:p w14:paraId="3F65625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垃圾收运车辆未按规定进行冲洗，车辆外有垃圾粘附物、有异味的,每发现一次扣款500元。</w:t>
            </w:r>
          </w:p>
        </w:tc>
        <w:tc>
          <w:tcPr>
            <w:tcW w:w="1187" w:type="dxa"/>
            <w:noWrap w:val="0"/>
            <w:vAlign w:val="top"/>
          </w:tcPr>
          <w:p w14:paraId="0FE78C7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35858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024" w:type="dxa"/>
            <w:vMerge w:val="continue"/>
            <w:noWrap w:val="0"/>
            <w:vAlign w:val="top"/>
          </w:tcPr>
          <w:p w14:paraId="74A4C9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05C8B91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6886" w:type="dxa"/>
            <w:noWrap w:val="0"/>
            <w:vAlign w:val="center"/>
          </w:tcPr>
          <w:p w14:paraId="39A7C4A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垃圾收运车辆未按规定进行有秩序停放的,每发现一次扣款500元。</w:t>
            </w:r>
          </w:p>
        </w:tc>
        <w:tc>
          <w:tcPr>
            <w:tcW w:w="1187" w:type="dxa"/>
            <w:noWrap w:val="0"/>
            <w:vAlign w:val="top"/>
          </w:tcPr>
          <w:p w14:paraId="2E0DAA4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46AA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024" w:type="dxa"/>
            <w:vMerge w:val="continue"/>
            <w:noWrap w:val="0"/>
            <w:vAlign w:val="top"/>
          </w:tcPr>
          <w:p w14:paraId="27424DE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051CB15F">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6886" w:type="dxa"/>
            <w:noWrap w:val="0"/>
            <w:vAlign w:val="center"/>
          </w:tcPr>
          <w:p w14:paraId="396B170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车辆管理未按规定建立运行台帐的，进出垃圾量未按规定建立台帐的,每发现一次扣款500元。</w:t>
            </w:r>
          </w:p>
        </w:tc>
        <w:tc>
          <w:tcPr>
            <w:tcW w:w="1187" w:type="dxa"/>
            <w:noWrap w:val="0"/>
            <w:vAlign w:val="top"/>
          </w:tcPr>
          <w:p w14:paraId="138DF02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2976E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024" w:type="dxa"/>
            <w:vMerge w:val="continue"/>
            <w:noWrap w:val="0"/>
            <w:vAlign w:val="top"/>
          </w:tcPr>
          <w:p w14:paraId="1FA9193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5F8E62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13</w:t>
            </w:r>
          </w:p>
        </w:tc>
        <w:tc>
          <w:tcPr>
            <w:tcW w:w="6886" w:type="dxa"/>
            <w:noWrap w:val="0"/>
            <w:vAlign w:val="center"/>
          </w:tcPr>
          <w:p w14:paraId="718E62C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垃圾收运系统工作人员未按规定进行签到打卡，无故迟到、早退、脱岗的,每发现一次扣款500元。</w:t>
            </w:r>
          </w:p>
        </w:tc>
        <w:tc>
          <w:tcPr>
            <w:tcW w:w="1187" w:type="dxa"/>
            <w:noWrap w:val="0"/>
            <w:vAlign w:val="top"/>
          </w:tcPr>
          <w:p w14:paraId="086790E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10A54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024" w:type="dxa"/>
            <w:vMerge w:val="continue"/>
            <w:noWrap w:val="0"/>
            <w:vAlign w:val="top"/>
          </w:tcPr>
          <w:p w14:paraId="3FFAB39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564C49D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6886" w:type="dxa"/>
            <w:noWrap w:val="0"/>
            <w:vAlign w:val="center"/>
          </w:tcPr>
          <w:p w14:paraId="49AEAAB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垃圾收运系统工作人员未按规定穿戴工作服、胸牌的,每发现一次扣款500元。</w:t>
            </w:r>
          </w:p>
        </w:tc>
        <w:tc>
          <w:tcPr>
            <w:tcW w:w="1187" w:type="dxa"/>
            <w:noWrap w:val="0"/>
            <w:vAlign w:val="top"/>
          </w:tcPr>
          <w:p w14:paraId="0F4A57D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78096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4" w:type="dxa"/>
            <w:vMerge w:val="continue"/>
            <w:noWrap w:val="0"/>
            <w:vAlign w:val="top"/>
          </w:tcPr>
          <w:p w14:paraId="2F3ADDD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3E71712F">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6886" w:type="dxa"/>
            <w:noWrap w:val="0"/>
            <w:vAlign w:val="center"/>
          </w:tcPr>
          <w:p w14:paraId="70B3D00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垃圾收运系统工作人员年龄不符合要求的,每发现一次扣款1000元。</w:t>
            </w:r>
          </w:p>
        </w:tc>
        <w:tc>
          <w:tcPr>
            <w:tcW w:w="1187" w:type="dxa"/>
            <w:noWrap w:val="0"/>
            <w:vAlign w:val="top"/>
          </w:tcPr>
          <w:p w14:paraId="5C2F70B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19BB0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1024" w:type="dxa"/>
            <w:vMerge w:val="continue"/>
            <w:noWrap w:val="0"/>
            <w:vAlign w:val="top"/>
          </w:tcPr>
          <w:p w14:paraId="1AEB26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21637F1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16</w:t>
            </w:r>
          </w:p>
        </w:tc>
        <w:tc>
          <w:tcPr>
            <w:tcW w:w="6886" w:type="dxa"/>
            <w:noWrap w:val="0"/>
            <w:vAlign w:val="center"/>
          </w:tcPr>
          <w:p w14:paraId="3432498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垃圾中转站内严禁无关人员和外来车辆进出，站内严禁烟火，不得焚烧垃圾及明火作业,每发现一次扣款2000元。</w:t>
            </w:r>
          </w:p>
        </w:tc>
        <w:tc>
          <w:tcPr>
            <w:tcW w:w="1187" w:type="dxa"/>
            <w:noWrap w:val="0"/>
            <w:vAlign w:val="top"/>
          </w:tcPr>
          <w:p w14:paraId="0BA3039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14DC0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024" w:type="dxa"/>
            <w:vMerge w:val="continue"/>
            <w:noWrap w:val="0"/>
            <w:vAlign w:val="top"/>
          </w:tcPr>
          <w:p w14:paraId="2E1611F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63547A5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6886" w:type="dxa"/>
            <w:noWrap w:val="0"/>
            <w:vAlign w:val="center"/>
          </w:tcPr>
          <w:p w14:paraId="67F7275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工作人员徇私情，私自处理外来垃圾，发现有工程建筑垃圾、工业垃圾进出垃圾中转站的,每发现一次扣款2000元。</w:t>
            </w:r>
          </w:p>
        </w:tc>
        <w:tc>
          <w:tcPr>
            <w:tcW w:w="1187" w:type="dxa"/>
            <w:noWrap w:val="0"/>
            <w:vAlign w:val="top"/>
          </w:tcPr>
          <w:p w14:paraId="6A3A019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0DF5A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1024" w:type="dxa"/>
            <w:vMerge w:val="continue"/>
            <w:noWrap w:val="0"/>
            <w:vAlign w:val="top"/>
          </w:tcPr>
          <w:p w14:paraId="7F7CF34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49C5044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6886" w:type="dxa"/>
            <w:noWrap w:val="0"/>
            <w:vAlign w:val="center"/>
          </w:tcPr>
          <w:p w14:paraId="220A147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管理层或者项目主管不按</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要求参加</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工作例会、不按规定时间提交保洁工作总结、计划的,每一次扣款1000元。</w:t>
            </w:r>
          </w:p>
        </w:tc>
        <w:tc>
          <w:tcPr>
            <w:tcW w:w="1187" w:type="dxa"/>
            <w:noWrap w:val="0"/>
            <w:vAlign w:val="top"/>
          </w:tcPr>
          <w:p w14:paraId="7BF20DF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6269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1024" w:type="dxa"/>
            <w:vMerge w:val="continue"/>
            <w:noWrap w:val="0"/>
            <w:vAlign w:val="top"/>
          </w:tcPr>
          <w:p w14:paraId="1645A9E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0678B6B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6886" w:type="dxa"/>
            <w:noWrap w:val="0"/>
            <w:vAlign w:val="center"/>
          </w:tcPr>
          <w:p w14:paraId="4F2920A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因</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管理原因发生人员上访的或者因</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工作不到位造成投诉的,每一次扣款</w:t>
            </w:r>
            <w:r>
              <w:rPr>
                <w:rFonts w:hint="eastAsia" w:ascii="宋体" w:hAnsi="宋体" w:cs="宋体"/>
                <w:color w:val="auto"/>
                <w:sz w:val="21"/>
                <w:szCs w:val="21"/>
                <w:highlight w:val="none"/>
                <w:lang w:val="en-US" w:eastAsia="zh-CN"/>
              </w:rPr>
              <w:t>1000-5000</w:t>
            </w:r>
            <w:r>
              <w:rPr>
                <w:rFonts w:hint="eastAsia" w:ascii="宋体" w:hAnsi="宋体" w:cs="宋体"/>
                <w:color w:val="auto"/>
                <w:sz w:val="21"/>
                <w:szCs w:val="21"/>
                <w:highlight w:val="none"/>
              </w:rPr>
              <w:t>元。</w:t>
            </w:r>
          </w:p>
        </w:tc>
        <w:tc>
          <w:tcPr>
            <w:tcW w:w="1187" w:type="dxa"/>
            <w:noWrap w:val="0"/>
            <w:vAlign w:val="top"/>
          </w:tcPr>
          <w:p w14:paraId="32EB6AE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74DCE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trPr>
        <w:tc>
          <w:tcPr>
            <w:tcW w:w="1024" w:type="dxa"/>
            <w:vMerge w:val="continue"/>
            <w:noWrap w:val="0"/>
            <w:vAlign w:val="top"/>
          </w:tcPr>
          <w:p w14:paraId="0ED561B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25BF5C0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20</w:t>
            </w:r>
          </w:p>
        </w:tc>
        <w:tc>
          <w:tcPr>
            <w:tcW w:w="6886" w:type="dxa"/>
            <w:noWrap w:val="0"/>
            <w:vAlign w:val="center"/>
          </w:tcPr>
          <w:p w14:paraId="517710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不服从</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正常管理的,每发现一次扣款1000元。</w:t>
            </w:r>
          </w:p>
        </w:tc>
        <w:tc>
          <w:tcPr>
            <w:tcW w:w="1187" w:type="dxa"/>
            <w:noWrap w:val="0"/>
            <w:vAlign w:val="top"/>
          </w:tcPr>
          <w:p w14:paraId="6E94BA2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5B3C7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024" w:type="dxa"/>
            <w:vMerge w:val="continue"/>
            <w:noWrap w:val="0"/>
            <w:vAlign w:val="top"/>
          </w:tcPr>
          <w:p w14:paraId="16E7029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6D55C85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6886" w:type="dxa"/>
            <w:noWrap w:val="0"/>
            <w:vAlign w:val="center"/>
          </w:tcPr>
          <w:p w14:paraId="3E7A49D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对检查存在的问题，</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管理人员拒绝在考核记录本上签字确认的,每一次扣款2000元。</w:t>
            </w:r>
          </w:p>
        </w:tc>
        <w:tc>
          <w:tcPr>
            <w:tcW w:w="1187" w:type="dxa"/>
            <w:noWrap w:val="0"/>
            <w:vAlign w:val="top"/>
          </w:tcPr>
          <w:p w14:paraId="1EA0042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3F9D7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024" w:type="dxa"/>
            <w:vMerge w:val="continue"/>
            <w:noWrap w:val="0"/>
            <w:vAlign w:val="top"/>
          </w:tcPr>
          <w:p w14:paraId="1AB5620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04E7AC2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6886" w:type="dxa"/>
            <w:noWrap w:val="0"/>
            <w:vAlign w:val="center"/>
          </w:tcPr>
          <w:p w14:paraId="4D7811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对</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或者园区领导检查存在的问题未按要求时间整改或者整改不到位的,每一次扣款2000元。</w:t>
            </w:r>
          </w:p>
        </w:tc>
        <w:tc>
          <w:tcPr>
            <w:tcW w:w="1187" w:type="dxa"/>
            <w:noWrap w:val="0"/>
            <w:vAlign w:val="top"/>
          </w:tcPr>
          <w:p w14:paraId="333BA94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r w14:paraId="2F78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024" w:type="dxa"/>
            <w:noWrap w:val="0"/>
            <w:vAlign w:val="top"/>
          </w:tcPr>
          <w:p w14:paraId="675D651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1"/>
                <w:szCs w:val="21"/>
                <w:highlight w:val="none"/>
              </w:rPr>
            </w:pPr>
          </w:p>
        </w:tc>
        <w:tc>
          <w:tcPr>
            <w:tcW w:w="502" w:type="dxa"/>
            <w:noWrap w:val="0"/>
            <w:vAlign w:val="center"/>
          </w:tcPr>
          <w:p w14:paraId="1A929F4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3</w:t>
            </w:r>
          </w:p>
        </w:tc>
        <w:tc>
          <w:tcPr>
            <w:tcW w:w="6886" w:type="dxa"/>
            <w:noWrap w:val="0"/>
            <w:vAlign w:val="center"/>
          </w:tcPr>
          <w:p w14:paraId="6DA1F27F">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SA"/>
              </w:rPr>
              <w:t>私自收集非园区企业、单位垃圾的</w:t>
            </w:r>
            <w:r>
              <w:rPr>
                <w:rFonts w:hint="eastAsia" w:ascii="宋体" w:hAnsi="宋体" w:cs="宋体"/>
                <w:color w:val="auto"/>
                <w:kern w:val="2"/>
                <w:sz w:val="21"/>
                <w:szCs w:val="21"/>
                <w:highlight w:val="none"/>
                <w:lang w:val="en-US" w:eastAsia="zh-CN" w:bidi="ar-SA"/>
              </w:rPr>
              <w:t>每发现一次扣除10000元</w:t>
            </w:r>
          </w:p>
        </w:tc>
        <w:tc>
          <w:tcPr>
            <w:tcW w:w="1187" w:type="dxa"/>
            <w:noWrap w:val="0"/>
            <w:vAlign w:val="top"/>
          </w:tcPr>
          <w:p w14:paraId="46D6D88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tc>
      </w:tr>
    </w:tbl>
    <w:p w14:paraId="1DEC33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Cs w:val="21"/>
          <w:highlight w:val="none"/>
        </w:rPr>
      </w:pPr>
      <w:r>
        <w:rPr>
          <w:rFonts w:hint="eastAsia" w:ascii="宋体" w:hAnsi="宋体"/>
          <w:color w:val="auto"/>
          <w:szCs w:val="21"/>
          <w:highlight w:val="none"/>
        </w:rPr>
        <w:t>备注：</w:t>
      </w:r>
      <w:r>
        <w:rPr>
          <w:rFonts w:hint="eastAsia" w:ascii="宋体" w:hAnsi="宋体"/>
          <w:color w:val="auto"/>
          <w:szCs w:val="21"/>
          <w:highlight w:val="none"/>
          <w:lang w:val="en-US" w:eastAsia="zh-CN"/>
        </w:rPr>
        <w:t>1、</w:t>
      </w:r>
      <w:r>
        <w:rPr>
          <w:rFonts w:hint="eastAsia" w:ascii="宋体" w:hAnsi="宋体"/>
          <w:color w:val="auto"/>
          <w:szCs w:val="21"/>
          <w:highlight w:val="none"/>
        </w:rPr>
        <w:t>检查时发现上次考评所指出的问题未整改，确属责任单位职责范围内的失误，本次考评加倍扣分。考评过程中发现责任范围内存在严重影响市容整洁问题，视污染程度扣5-10分。</w:t>
      </w:r>
    </w:p>
    <w:p w14:paraId="4C73312E">
      <w:pPr>
        <w:keepNext w:val="0"/>
        <w:keepLines w:val="0"/>
        <w:pageBreakBefore w:val="0"/>
        <w:widowControl w:val="0"/>
        <w:kinsoku/>
        <w:wordWrap/>
        <w:overflowPunct/>
        <w:topLinePunct w:val="0"/>
        <w:autoSpaceDE/>
        <w:autoSpaceDN/>
        <w:bidi w:val="0"/>
        <w:adjustRightInd/>
        <w:snapToGrid/>
        <w:spacing w:line="400" w:lineRule="exact"/>
        <w:ind w:left="-2" w:leftChars="-1"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2、考评分在95分（含95分）以上的，月服务费用全额支付；月考评分在80分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w:t>
      </w:r>
      <w:r>
        <w:rPr>
          <w:rFonts w:hint="eastAsia" w:ascii="宋体" w:hAnsi="宋体"/>
          <w:color w:val="auto"/>
          <w:szCs w:val="21"/>
          <w:highlight w:val="none"/>
          <w:lang w:eastAsia="zh-CN"/>
        </w:rPr>
        <w:t>）</w:t>
      </w:r>
      <w:r>
        <w:rPr>
          <w:rFonts w:hint="eastAsia" w:ascii="宋体" w:hAnsi="宋体"/>
          <w:color w:val="auto"/>
          <w:szCs w:val="21"/>
          <w:highlight w:val="none"/>
        </w:rPr>
        <w:t>以上95分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不含</w:t>
      </w:r>
      <w:r>
        <w:rPr>
          <w:rFonts w:hint="eastAsia" w:ascii="宋体" w:hAnsi="宋体"/>
          <w:color w:val="auto"/>
          <w:szCs w:val="21"/>
          <w:highlight w:val="none"/>
          <w:lang w:eastAsia="zh-CN"/>
        </w:rPr>
        <w:t>）</w:t>
      </w:r>
      <w:r>
        <w:rPr>
          <w:rFonts w:hint="eastAsia" w:ascii="宋体" w:hAnsi="宋体"/>
          <w:color w:val="auto"/>
          <w:szCs w:val="21"/>
          <w:highlight w:val="none"/>
        </w:rPr>
        <w:t>以下按每分</w:t>
      </w:r>
      <w:r>
        <w:rPr>
          <w:rFonts w:hint="eastAsia" w:ascii="宋体" w:hAnsi="宋体"/>
          <w:color w:val="auto"/>
          <w:szCs w:val="21"/>
          <w:highlight w:val="none"/>
          <w:lang w:val="en-US" w:eastAsia="zh-CN"/>
        </w:rPr>
        <w:t>200</w:t>
      </w:r>
      <w:r>
        <w:rPr>
          <w:rFonts w:hint="eastAsia" w:ascii="宋体" w:hAnsi="宋体"/>
          <w:color w:val="auto"/>
          <w:szCs w:val="21"/>
          <w:highlight w:val="none"/>
        </w:rPr>
        <w:t>元扣除月度服务费款；月考评分在80分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不含</w:t>
      </w:r>
      <w:r>
        <w:rPr>
          <w:rFonts w:hint="eastAsia" w:ascii="宋体" w:hAnsi="宋体"/>
          <w:color w:val="auto"/>
          <w:szCs w:val="21"/>
          <w:highlight w:val="none"/>
          <w:lang w:eastAsia="zh-CN"/>
        </w:rPr>
        <w:t>）</w:t>
      </w:r>
      <w:r>
        <w:rPr>
          <w:rFonts w:hint="eastAsia" w:ascii="宋体" w:hAnsi="宋体"/>
          <w:color w:val="auto"/>
          <w:szCs w:val="21"/>
          <w:highlight w:val="none"/>
        </w:rPr>
        <w:t>以下则按每分50</w:t>
      </w:r>
      <w:r>
        <w:rPr>
          <w:rFonts w:hint="eastAsia" w:ascii="宋体" w:hAnsi="宋体"/>
          <w:color w:val="auto"/>
          <w:szCs w:val="21"/>
          <w:highlight w:val="none"/>
          <w:lang w:val="en-US" w:eastAsia="zh-CN"/>
        </w:rPr>
        <w:t>0</w:t>
      </w:r>
      <w:r>
        <w:rPr>
          <w:rFonts w:hint="eastAsia" w:ascii="宋体" w:hAnsi="宋体"/>
          <w:color w:val="auto"/>
          <w:szCs w:val="21"/>
          <w:highlight w:val="none"/>
        </w:rPr>
        <w:t>元扣款并加扣该周期服务费用5%；连续</w:t>
      </w:r>
      <w:r>
        <w:rPr>
          <w:rFonts w:hint="eastAsia" w:ascii="宋体" w:hAnsi="宋体"/>
          <w:color w:val="auto"/>
          <w:szCs w:val="21"/>
          <w:highlight w:val="none"/>
          <w:lang w:val="en-US" w:eastAsia="zh-CN"/>
        </w:rPr>
        <w:t>两</w:t>
      </w:r>
      <w:r>
        <w:rPr>
          <w:rFonts w:hint="eastAsia" w:ascii="宋体" w:hAnsi="宋体"/>
          <w:color w:val="auto"/>
          <w:szCs w:val="21"/>
          <w:highlight w:val="none"/>
        </w:rPr>
        <w:t>月未满80分则扣30%并限期整改，如第三月月考评分仍在80分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不含</w:t>
      </w:r>
      <w:r>
        <w:rPr>
          <w:rFonts w:hint="eastAsia" w:ascii="宋体" w:hAnsi="宋体"/>
          <w:color w:val="auto"/>
          <w:szCs w:val="21"/>
          <w:highlight w:val="none"/>
          <w:lang w:eastAsia="zh-CN"/>
        </w:rPr>
        <w:t>）</w:t>
      </w:r>
      <w:r>
        <w:rPr>
          <w:rFonts w:hint="eastAsia" w:ascii="宋体" w:hAnsi="宋体"/>
          <w:color w:val="auto"/>
          <w:szCs w:val="21"/>
          <w:highlight w:val="none"/>
        </w:rPr>
        <w:t>以下则终止合同</w:t>
      </w:r>
      <w:r>
        <w:rPr>
          <w:rFonts w:hint="eastAsia" w:ascii="宋体" w:hAnsi="宋体"/>
          <w:color w:val="auto"/>
          <w:szCs w:val="21"/>
          <w:highlight w:val="none"/>
          <w:lang w:val="en-US" w:eastAsia="zh-CN"/>
        </w:rPr>
        <w:t>并扣除履约保证金</w:t>
      </w:r>
      <w:r>
        <w:rPr>
          <w:rFonts w:hint="eastAsia" w:ascii="宋体" w:hAnsi="宋体"/>
          <w:color w:val="auto"/>
          <w:szCs w:val="21"/>
          <w:highlight w:val="none"/>
        </w:rPr>
        <w:t>。</w:t>
      </w:r>
    </w:p>
    <w:p w14:paraId="13C32B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1"/>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甲方</w:t>
      </w:r>
      <w:r>
        <w:rPr>
          <w:rFonts w:hint="eastAsia" w:ascii="宋体" w:hAnsi="宋体"/>
          <w:color w:val="auto"/>
          <w:szCs w:val="21"/>
          <w:highlight w:val="none"/>
        </w:rPr>
        <w:t>有权增加检查频次、调整检查方式；并对各类考核得分所占比例进行调整。</w:t>
      </w:r>
    </w:p>
    <w:p w14:paraId="6E7BABC8">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00" w:lineRule="exact"/>
        <w:ind w:leftChars="-1"/>
        <w:jc w:val="left"/>
        <w:textAlignment w:val="auto"/>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直接扣款项为当月考核支付金额基础上直接加扣费用，当月发生当月扣款。</w:t>
      </w:r>
    </w:p>
    <w:p w14:paraId="0AFAEE02">
      <w:pPr>
        <w:keepNext w:val="0"/>
        <w:keepLines w:val="0"/>
        <w:pageBreakBefore w:val="0"/>
        <w:kinsoku/>
        <w:wordWrap w:val="0"/>
        <w:overflowPunct/>
        <w:topLinePunct w:val="0"/>
        <w:autoSpaceDE/>
        <w:autoSpaceDN/>
        <w:bidi w:val="0"/>
        <w:adjustRightInd/>
        <w:snapToGrid/>
        <w:spacing w:line="400" w:lineRule="exact"/>
        <w:ind w:firstLine="422" w:firstLineChars="200"/>
        <w:textAlignment w:val="auto"/>
        <w:rPr>
          <w:rFonts w:hint="default"/>
          <w:b/>
          <w:bCs/>
          <w:color w:val="auto"/>
          <w:highlight w:val="none"/>
          <w:lang w:val="en-US" w:eastAsia="zh-CN"/>
        </w:rPr>
      </w:pPr>
      <w:r>
        <w:rPr>
          <w:rFonts w:hint="eastAsia"/>
          <w:b/>
          <w:bCs/>
          <w:color w:val="auto"/>
          <w:highlight w:val="none"/>
          <w:lang w:val="en-US" w:eastAsia="zh-CN"/>
        </w:rPr>
        <w:t>以上考核表供参考，具体以滁州市苏滁市政公用发展有限公司现行要求为准。</w:t>
      </w:r>
    </w:p>
    <w:p w14:paraId="24072E84">
      <w:pPr>
        <w:pStyle w:val="12"/>
        <w:kinsoku/>
        <w:wordWrap w:val="0"/>
        <w:overflowPunct/>
        <w:topLinePunct w:val="0"/>
        <w:bidi w:val="0"/>
        <w:rPr>
          <w:rFonts w:hint="eastAsia"/>
          <w:color w:val="auto"/>
          <w:highlight w:val="none"/>
          <w:lang w:val="en-US" w:eastAsia="zh-CN"/>
        </w:rPr>
      </w:pPr>
    </w:p>
    <w:p w14:paraId="0EE052F1">
      <w:pPr>
        <w:kinsoku/>
        <w:wordWrap w:val="0"/>
        <w:overflowPunct/>
        <w:topLinePunct w:val="0"/>
        <w:bidi w:val="0"/>
        <w:rPr>
          <w:rFonts w:hint="eastAsia"/>
          <w:color w:val="auto"/>
          <w:highlight w:val="none"/>
          <w:lang w:val="en-US" w:eastAsia="zh-CN"/>
        </w:rPr>
        <w:sectPr>
          <w:footerReference r:id="rId5" w:type="default"/>
          <w:pgSz w:w="11906" w:h="16839"/>
          <w:pgMar w:top="1416" w:right="1134" w:bottom="1170" w:left="1206" w:header="850" w:footer="956" w:gutter="0"/>
          <w:pgNumType w:fmt="decimal"/>
          <w:cols w:space="720" w:num="1"/>
        </w:sectPr>
      </w:pPr>
    </w:p>
    <w:p w14:paraId="10AA9D9E">
      <w:pPr>
        <w:kinsoku/>
        <w:wordWrap w:val="0"/>
        <w:overflowPunct/>
        <w:topLinePunct w:val="0"/>
        <w:bidi w:val="0"/>
        <w:spacing w:line="360" w:lineRule="auto"/>
        <w:ind w:firstLine="723" w:firstLineChars="200"/>
        <w:jc w:val="center"/>
        <w:rPr>
          <w:b/>
          <w:bCs/>
          <w:color w:val="auto"/>
          <w:sz w:val="36"/>
          <w:szCs w:val="36"/>
          <w:highlight w:val="none"/>
        </w:rPr>
      </w:pPr>
      <w:r>
        <w:rPr>
          <w:b/>
          <w:bCs/>
          <w:color w:val="auto"/>
          <w:sz w:val="36"/>
          <w:szCs w:val="36"/>
          <w:highlight w:val="none"/>
        </w:rPr>
        <w:t>廉政合同书</w:t>
      </w:r>
    </w:p>
    <w:p w14:paraId="32AA7B0C">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为了贯彻落实党中央、国务院《关于实行党风廉政建设责任制的规定》和国家及滁州市有关工程建设、廉政建设的法律法规，加强工程建设中的党风廉政建设，保持廉洁自律的工作作风，防止各种不正当行为的发生，保证工程建设优质高效、健康有序地进行，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（以下简称甲方），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（以下简称乙方），订立如下协议：</w:t>
      </w:r>
    </w:p>
    <w:p w14:paraId="3316635B">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一、甲乙双方约定 </w:t>
      </w:r>
    </w:p>
    <w:p w14:paraId="3883E9EA">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1、甲乙双方应共同遵守国家和省、市以及行发包人管部门关于加强基础设施建设管理以及党风廉政建设的各项规定。</w:t>
      </w:r>
    </w:p>
    <w:p w14:paraId="13739788">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2、甲乙双方应认真执行约定的合同文件，自觉按合同办事。</w:t>
      </w:r>
    </w:p>
    <w:p w14:paraId="737C055B">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3、除非法律认定的商业秘密和合同文件另有规定之外，甲乙双方的业务活动应坚持公开、公正、透明的原则，严禁搞损害国家和集体利益、违反工程建设管理规章制度的不正当交易。</w:t>
      </w:r>
    </w:p>
    <w:p w14:paraId="5587453C">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4、甲乙双方应加强对本方人员的廉政监督，建立和健全廉政制度，认真查处本方的违法违纪行为。 </w:t>
      </w:r>
    </w:p>
    <w:p w14:paraId="63590F22">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5、甲乙双方有对本方人员开展廉政告知、廉政教育和职业道德教育的义务。 </w:t>
      </w:r>
    </w:p>
    <w:p w14:paraId="65EA125C">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6、甲乙双方如发现对方在业务活动中有不廉洁行为，有及时提醒对方并督促其纠正的权利和义务。 </w:t>
      </w:r>
    </w:p>
    <w:p w14:paraId="7C3D7BD1">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二、甲方在廉政建设方面的责任 </w:t>
      </w:r>
    </w:p>
    <w:p w14:paraId="71325EF2">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1、甲方及其工作人员不得以任何形式向乙方索要和收受回扣。 </w:t>
      </w:r>
    </w:p>
    <w:p w14:paraId="4E659155">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2、甲方及其工作人员不得接受乙方的礼金、有价证券和贵重物品，不得在乙方报销任何应由个人支付的费用。</w:t>
      </w:r>
    </w:p>
    <w:p w14:paraId="0BEBFE04">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3、甲方工作人员不得参加可能对公正执行公务有影响的宴请和娱乐、旅游活动。 </w:t>
      </w:r>
    </w:p>
    <w:p w14:paraId="741B40B7">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4、甲方及其工作人员不得要求或者接受乙方为其住房装修、婚丧嫁娶、家属子女的工 作安排以及出国等提供方便。</w:t>
      </w:r>
    </w:p>
    <w:p w14:paraId="10CBC754">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5、甲方工作人员不得在家里或宿舍接待乙方有关工程事项的询访。</w:t>
      </w:r>
    </w:p>
    <w:p w14:paraId="2CD0A776">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三、乙方在廉政建设方面的责任 </w:t>
      </w:r>
    </w:p>
    <w:p w14:paraId="6CFDFF35">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1、乙方不得以任何理由向甲方工作人员行贿或馈赠礼品。</w:t>
      </w:r>
    </w:p>
    <w:p w14:paraId="68085377">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2、乙方不得以任何名义为甲方及其工作人员报支需由其个人支付的任何费用。 </w:t>
      </w:r>
    </w:p>
    <w:p w14:paraId="4EE00615">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3、乙方不得以任何理由邀请甲方工作人员参加由公款支付的娱乐性活动。</w:t>
      </w:r>
    </w:p>
    <w:p w14:paraId="5A717016">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4、乙方不得为甲方单位和个人购置或提供通讯工具、交通工具、家电和高档办公用品。 </w:t>
      </w:r>
    </w:p>
    <w:p w14:paraId="53F7EF3A">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5、乙方人员不得到甲方人员家里或宿舍里询访有关工程建设事项。</w:t>
      </w:r>
    </w:p>
    <w:p w14:paraId="342E65C4">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四、违约责任 </w:t>
      </w:r>
    </w:p>
    <w:p w14:paraId="74B45C44">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1、甲方有违反本合同第一条第1至5款和第二条的，除按甲方单位的廉政建设规定和有关行业规定处罚外，另外罚款1000元和5000元；给乙方单位造成损失的，应予以赔偿。 </w:t>
      </w:r>
    </w:p>
    <w:p w14:paraId="3EF32155">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2、乙方有违反合同第一条第1至5款和第三条的，除按乙方单位的廉政建设规定和有关行业规定处罚外，视情节轻重和造成损失大小分别给予合同价款1%至5%（最高不超过合同价款的 5%）的违约罚款或1-3年内不得进入中新苏滁高新技术产业开发区招标市场的处罚。 </w:t>
      </w:r>
    </w:p>
    <w:p w14:paraId="519AC294">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五、检查方式本协议的履约情况由见证单位主持检查，甲乙双方共同派人参加，检查方式为座谈、问卷调查、查看资料或由各方约定的其他方式等。检查时间、次数、检查结论和处罚意见等由各方协商确定，如无法达成一致的，由见证单位依据事实裁定。 </w:t>
      </w:r>
    </w:p>
    <w:p w14:paraId="6C4C6228">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六、本协议作为合同的附件，与合同具有同等的法律效力，经协议双方签署后立即生效。 </w:t>
      </w:r>
    </w:p>
    <w:p w14:paraId="78F16A4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p>
    <w:p w14:paraId="484DC54A">
      <w:pP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甲方单位：                        乙方单位：</w:t>
      </w:r>
    </w:p>
    <w:p w14:paraId="03EA1BC4">
      <w:pP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p>
    <w:p w14:paraId="006802A6">
      <w:pP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（授权人）：           法定代表人 （授权人）： </w:t>
      </w:r>
    </w:p>
    <w:p w14:paraId="1A994614">
      <w:pPr>
        <w:kinsoku/>
        <w:wordWrap w:val="0"/>
        <w:overflowPunct/>
        <w:topLinePunct w:val="0"/>
        <w:bidi w:val="0"/>
        <w:spacing w:line="360" w:lineRule="auto"/>
        <w:ind w:firstLine="883" w:firstLineChars="200"/>
        <w:jc w:val="center"/>
        <w:rPr>
          <w:rFonts w:ascii="仿宋" w:hAnsi="仿宋" w:eastAsia="仿宋"/>
          <w:b/>
          <w:bCs/>
          <w:color w:val="auto"/>
          <w:sz w:val="44"/>
          <w:szCs w:val="44"/>
          <w:highlight w:val="none"/>
        </w:rPr>
      </w:pPr>
    </w:p>
    <w:p w14:paraId="71DF3C77">
      <w:pPr>
        <w:kinsoku/>
        <w:wordWrap w:val="0"/>
        <w:overflowPunct/>
        <w:topLinePunct w:val="0"/>
        <w:bidi w:val="0"/>
        <w:spacing w:line="360" w:lineRule="auto"/>
        <w:ind w:firstLine="883" w:firstLineChars="200"/>
        <w:jc w:val="center"/>
        <w:rPr>
          <w:rFonts w:ascii="仿宋" w:hAnsi="仿宋" w:eastAsia="仿宋"/>
          <w:b/>
          <w:bCs/>
          <w:color w:val="auto"/>
          <w:sz w:val="44"/>
          <w:szCs w:val="44"/>
          <w:highlight w:val="none"/>
        </w:rPr>
      </w:pPr>
    </w:p>
    <w:p w14:paraId="69745283">
      <w:pPr>
        <w:kinsoku/>
        <w:wordWrap w:val="0"/>
        <w:overflowPunct/>
        <w:topLinePunct w:val="0"/>
        <w:bidi w:val="0"/>
        <w:spacing w:line="360" w:lineRule="auto"/>
        <w:ind w:firstLine="883" w:firstLineChars="200"/>
        <w:jc w:val="center"/>
        <w:rPr>
          <w:rFonts w:ascii="仿宋" w:hAnsi="仿宋" w:eastAsia="仿宋"/>
          <w:b/>
          <w:bCs/>
          <w:color w:val="auto"/>
          <w:sz w:val="44"/>
          <w:szCs w:val="44"/>
          <w:highlight w:val="none"/>
        </w:rPr>
      </w:pPr>
    </w:p>
    <w:p w14:paraId="0F05690F">
      <w:pPr>
        <w:kinsoku/>
        <w:wordWrap w:val="0"/>
        <w:overflowPunct/>
        <w:topLinePunct w:val="0"/>
        <w:bidi w:val="0"/>
        <w:spacing w:line="360" w:lineRule="auto"/>
        <w:ind w:firstLine="883" w:firstLineChars="200"/>
        <w:jc w:val="center"/>
        <w:rPr>
          <w:rFonts w:ascii="仿宋" w:hAnsi="仿宋" w:eastAsia="仿宋"/>
          <w:b/>
          <w:bCs/>
          <w:color w:val="auto"/>
          <w:sz w:val="44"/>
          <w:szCs w:val="44"/>
          <w:highlight w:val="none"/>
        </w:rPr>
      </w:pPr>
    </w:p>
    <w:p w14:paraId="63EDA606">
      <w:pPr>
        <w:kinsoku/>
        <w:wordWrap w:val="0"/>
        <w:overflowPunct/>
        <w:topLinePunct w:val="0"/>
        <w:bidi w:val="0"/>
        <w:spacing w:line="360" w:lineRule="auto"/>
        <w:ind w:firstLine="883" w:firstLineChars="200"/>
        <w:jc w:val="center"/>
        <w:rPr>
          <w:rFonts w:ascii="仿宋" w:hAnsi="仿宋" w:eastAsia="仿宋"/>
          <w:b/>
          <w:bCs/>
          <w:color w:val="auto"/>
          <w:sz w:val="44"/>
          <w:szCs w:val="44"/>
          <w:highlight w:val="none"/>
        </w:rPr>
      </w:pPr>
    </w:p>
    <w:p w14:paraId="13B4063C">
      <w:pPr>
        <w:kinsoku/>
        <w:wordWrap w:val="0"/>
        <w:overflowPunct/>
        <w:topLinePunct w:val="0"/>
        <w:bidi w:val="0"/>
        <w:spacing w:line="360" w:lineRule="auto"/>
        <w:ind w:firstLine="883" w:firstLineChars="200"/>
        <w:jc w:val="center"/>
        <w:rPr>
          <w:rFonts w:ascii="仿宋" w:hAnsi="仿宋" w:eastAsia="仿宋"/>
          <w:b/>
          <w:bCs/>
          <w:color w:val="auto"/>
          <w:sz w:val="44"/>
          <w:szCs w:val="44"/>
          <w:highlight w:val="none"/>
        </w:rPr>
      </w:pPr>
    </w:p>
    <w:p w14:paraId="33D104E9">
      <w:pPr>
        <w:kinsoku/>
        <w:wordWrap w:val="0"/>
        <w:overflowPunct/>
        <w:topLinePunct w:val="0"/>
        <w:bidi w:val="0"/>
        <w:spacing w:line="360" w:lineRule="auto"/>
        <w:ind w:firstLine="883" w:firstLineChars="200"/>
        <w:jc w:val="center"/>
        <w:rPr>
          <w:rFonts w:ascii="仿宋" w:hAnsi="仿宋" w:eastAsia="仿宋"/>
          <w:b/>
          <w:bCs/>
          <w:color w:val="auto"/>
          <w:sz w:val="44"/>
          <w:szCs w:val="44"/>
          <w:highlight w:val="none"/>
        </w:rPr>
      </w:pPr>
    </w:p>
    <w:p w14:paraId="3A40C359">
      <w:pPr>
        <w:kinsoku/>
        <w:wordWrap w:val="0"/>
        <w:overflowPunct/>
        <w:topLinePunct w:val="0"/>
        <w:bidi w:val="0"/>
        <w:spacing w:line="360" w:lineRule="auto"/>
        <w:ind w:firstLine="883" w:firstLineChars="200"/>
        <w:jc w:val="center"/>
        <w:rPr>
          <w:rFonts w:ascii="仿宋" w:hAnsi="仿宋" w:eastAsia="仿宋"/>
          <w:color w:val="auto"/>
          <w:sz w:val="28"/>
          <w:szCs w:val="28"/>
          <w:highlight w:val="none"/>
        </w:rPr>
      </w:pPr>
      <w:r>
        <w:rPr>
          <w:rFonts w:ascii="仿宋" w:hAnsi="仿宋" w:eastAsia="仿宋"/>
          <w:b/>
          <w:bCs/>
          <w:color w:val="auto"/>
          <w:sz w:val="44"/>
          <w:szCs w:val="44"/>
          <w:highlight w:val="none"/>
        </w:rPr>
        <w:t>安全目标责任书</w:t>
      </w:r>
    </w:p>
    <w:p w14:paraId="00DB753B">
      <w:pPr>
        <w:kinsoku/>
        <w:wordWrap w:val="0"/>
        <w:overflowPunct/>
        <w:topLinePunct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 xml:space="preserve"> </w:t>
      </w:r>
    </w:p>
    <w:p w14:paraId="40D3342F">
      <w:pPr>
        <w:kinsoku/>
        <w:wordWrap w:val="0"/>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p w14:paraId="789694CA">
      <w:pPr>
        <w:kinsoku/>
        <w:wordWrap w:val="0"/>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甲方：滁州市苏滁市政公用发展有限公司</w:t>
      </w:r>
    </w:p>
    <w:p w14:paraId="435E2099">
      <w:pPr>
        <w:kinsoku/>
        <w:wordWrap w:val="0"/>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 xml:space="preserve"> </w:t>
      </w:r>
    </w:p>
    <w:p w14:paraId="4A50684F">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为贯彻“安全第一、预防为主”的安全生产方针，坚持项目管理“以人为本”原则，确保项目无重大安全责任事故，保障现场作业人员、行人的人身安全及国家财产安全，根据《安全生产法》等相关法律法规，经甲乙双方协商，特制定本项目安全目标责任书。 </w:t>
      </w:r>
    </w:p>
    <w:p w14:paraId="1C383AF8">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一、本项目确定下列人员负责现场安全管理工作： </w:t>
      </w:r>
    </w:p>
    <w:p w14:paraId="75DB2649">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1、服务单位</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 xml:space="preserve">： </w:t>
      </w:r>
    </w:p>
    <w:p w14:paraId="06D41C54">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二、本项目服务单位安全目标责任如下：</w:t>
      </w:r>
    </w:p>
    <w:p w14:paraId="14F2CCC2">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1、服务单位</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 xml:space="preserve">是本项目安全生产及相关业务活动的第一责任人。服务期间未经甲方批准不得擅离职守。 </w:t>
      </w:r>
    </w:p>
    <w:p w14:paraId="7DCAB967">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单位应全面负责服务项目的安全管理工作，保持服务作业现场的基本安全条件和状况符合有关的安全技术标准。服务单位必须落实安全生产管理措施。建立健全安全生产、安全管理组织和安全管理网络，成立安全领导小组，由</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 xml:space="preserve">任组长。 </w:t>
      </w:r>
    </w:p>
    <w:p w14:paraId="616724FE">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和完善以岗位安全生产责任制为核心的安全生产制，明确安全生产目标，每个分解目标必须明确负责人和责任人，并制定具体的保证措施，确保目标实现。安全管理网络及安全工作的目标分解及保证措施必须报甲方审核确认后备案。</w:t>
      </w:r>
    </w:p>
    <w:p w14:paraId="59017955">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4、服务单位在进行进场准备的同时，必须具备全体服务管理人员、服务作业人员用工合同、社保证明、特种作业证书及以上人员意外伤害保险投保合同。 </w:t>
      </w:r>
    </w:p>
    <w:p w14:paraId="7D49C554">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服务单位应认真执行“安全生产技术交底制度”：服务作业前由项目现场负责人向服务作业人员进行安全技术交底，对服务作业中机械设备操作、用电等环节要重点交底，交底后由服务作业人员在交底表上签字确认。该交底表应与安全教育培训记录统一保存，备案待查。 </w:t>
      </w:r>
    </w:p>
    <w:p w14:paraId="4E23978A">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服务单位应当建立、健全对服务作业人员的日常安全教育、技术培训和考核制度，严格组织服务作业，不得安排未接受过安全教育和技术培训的服务作业人员上岗作业，尤其是危险性大的机械使用及高空作业。 </w:t>
      </w:r>
    </w:p>
    <w:p w14:paraId="3470F3B6">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切实做好“安全三上岗”制度，上岗前由项目现场负责人进行安全技术交底，上岗时班组安全员进行上岗巡回检查并做好上岗记录，每周进行一次总结讲评工作。培训记录必须有被培训对象签字，记录备案等查。 </w:t>
      </w:r>
    </w:p>
    <w:p w14:paraId="4A567740">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服务单位项目部每月应至少组织一次安全检查，同时根据季节环境和服务情况随时组织有针对性的检查，消除项目及服务中存在的安全隐患，所查问题必须明确整改措施、整改时间及负责人，并以书面的形式报甲方审查。 </w:t>
      </w:r>
    </w:p>
    <w:p w14:paraId="5BE85E9C">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9、坚持持证上岗制度，特殊工种作业人员必须提供国家、行业主管部门颁发的有效资格证明，具备上岗操作的技能和安全知识，方可上岗操作。对在施工中出现问题的操作人员应立即停止上岗操作。 </w:t>
      </w:r>
    </w:p>
    <w:p w14:paraId="1611A6D4">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10、进场机械设备的使用必须有符合要求的操作规程，操作人员应持证操作，禁止违规操作使用。发包单位应进行现场的检查监督，对屡教屡犯人员勒令撤离现场，对服务单位 告或处罚直至勒令停工、清场，严格保障服务作业安全。</w:t>
      </w:r>
    </w:p>
    <w:p w14:paraId="6BF14031">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临时设施（包括临时工棚、临时办公、食堂等设施）的搭建必须书面报告发包单位审批同意，按园区相关部门的规定办理有关用地手续，并符合中新苏滁高新区规划建设局文件规定要求建造，所用材料必须满足防火、防台风、防汛的相关要求。临时设施必须按规范配备消防器材，并保持完好。临时设施内用电、接线应规范整齐，工棚内严禁私接电水壶、 电饭锅、热得快等大功率电器设备，严禁私接乱拉电线，严禁存放汽油等易燃易爆用品，防止火灾发生。 </w:t>
      </w:r>
    </w:p>
    <w:p w14:paraId="3905D4B8">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12、服务作业区应设有安全防护措施，并要有围护或隔离措施及警示标志，夜间作业设有明显的安全标志牌和夜间红灯示警。夜间作业须按相关规定到环保部门申报备案，并按要求控制噪音等扰民因素。 </w:t>
      </w:r>
    </w:p>
    <w:p w14:paraId="125D831E">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服务单位应成立专业巡视队伍，配置相应的巡视车辆和巡视人员对设施状态及作业行为安全进行检查，主要检查要点有（但不仅限于下述内容）：作业行为安全检查要点：巡视、现场作业人员着装；交通分流、疏导标示标牌设置；现场作业指示、警示标志设置；现场作业范围围挡设置；夜间施工警示标志（警示灯）设置；防暑降温措施等其他检查要点。</w:t>
      </w:r>
    </w:p>
    <w:p w14:paraId="364ED89E">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14、服务单位对巡视发现的安全隐患应及时修复，如无法及时修复应采取围挡、封闭等安全措施并设置明显的警示、指示标志。任何因未及时发现或未及时围挡、修复而造成的任何损失由服务单位承担。</w:t>
      </w:r>
    </w:p>
    <w:p w14:paraId="2D0A02D9">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三、本项目发包单位安全目标责任如下： </w:t>
      </w:r>
    </w:p>
    <w:p w14:paraId="2D5C77FA">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1、建立、健全本单位安全生产责任制 </w:t>
      </w:r>
    </w:p>
    <w:p w14:paraId="436303C8">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2、组织制定本单位安全生产规章制度和操作规程</w:t>
      </w:r>
    </w:p>
    <w:p w14:paraId="2198E4CB">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3、保证本单位安全生产投入的有效实施</w:t>
      </w:r>
    </w:p>
    <w:p w14:paraId="11B053D7">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4、督促、检查本单位的安全生产工作，及时消除生产安全事故隐患</w:t>
      </w:r>
    </w:p>
    <w:p w14:paraId="584CE847">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5、组织制定并实施本单位的生产安全事故应急救援预案</w:t>
      </w:r>
    </w:p>
    <w:p w14:paraId="0082C9E5">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6、及时、如实报告生产安全事故 </w:t>
      </w:r>
    </w:p>
    <w:p w14:paraId="5C79821F">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7、组织制定并实施本单位安全生产教育和培训计划 </w:t>
      </w:r>
    </w:p>
    <w:p w14:paraId="75CDA580">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8、根据有关规定定期对项目进行抽查，并书面记录。</w:t>
      </w:r>
    </w:p>
    <w:p w14:paraId="36C00C90">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9、发包单位项目管理工程师是履行项目管理职能的现场代表，负责检查、督促作业单 位对本项目的安全管理活动。 </w:t>
      </w:r>
    </w:p>
    <w:p w14:paraId="5DE5DF5E">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10、项目进场前，发包单位项目工程师应检查项目服务单位安全教育记录，未经安全 教育的服务作业人员不得进驻服务范围现场。</w:t>
      </w:r>
    </w:p>
    <w:p w14:paraId="6C91445A">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11、项目进场前，发包单位项目工程师应组织相关专业部门对项目服务单位现场负责人、安全管理人员进行服务作业安全交底，内容包括：相关法律法规、服务作业安全注意事 项、环境注意事项、项目安全目标责任书相关条款。安全交底要有书面记录，各方保存备查。 </w:t>
      </w:r>
    </w:p>
    <w:p w14:paraId="408B7B84">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12、发包单位项目工程师应及时了解服务动态，如发现服务作业及项目现场中存在安全隐患应及时督促服务单位进行整改。 </w:t>
      </w:r>
    </w:p>
    <w:p w14:paraId="6D0C1F30">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13、发包单位管理工程师应按照公司《巡视管理工作制度》、《安全生产管理工作制度》等相关制度要求对辖区内绿地范围进行巡视检查，及时发现和督促服务单位整改。 </w:t>
      </w:r>
    </w:p>
    <w:p w14:paraId="619FC8EF">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四、本项目安全隐患的处罚办法： </w:t>
      </w:r>
    </w:p>
    <w:p w14:paraId="31533684">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1、服务单位擅自更换项目现场负责人属严重违规，按合同相应条款考核扣款，开具《整改单》并责令限期整改。 </w:t>
      </w:r>
    </w:p>
    <w:p w14:paraId="427138DA">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2、个人劳动防护用品佩戴不正确或未佩戴，属一般隐患，发现一次罚款100-200 元。 </w:t>
      </w:r>
    </w:p>
    <w:p w14:paraId="61131864">
      <w:pPr>
        <w:kinsoku/>
        <w:wordWrap w:val="0"/>
        <w:overflowPunct/>
        <w:topLinePunct w:val="0"/>
        <w:bidi w:val="0"/>
        <w:spacing w:line="360" w:lineRule="auto"/>
        <w:ind w:left="559" w:leftChars="26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3、服务作业人员酒后作业、上树抽烟闲聊，发现一次罚款500元。 </w:t>
      </w:r>
    </w:p>
    <w:p w14:paraId="5733B914">
      <w:pPr>
        <w:kinsoku/>
        <w:wordWrap w:val="0"/>
        <w:overflowPunct/>
        <w:topLinePunct w:val="0"/>
        <w:bidi w:val="0"/>
        <w:spacing w:line="360" w:lineRule="auto"/>
        <w:ind w:left="559" w:leftChars="26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4、使用不合格设备，设备使用影响交通存在较大隐患的，发现一次</w:t>
      </w:r>
    </w:p>
    <w:p w14:paraId="18DBFBC3">
      <w:pPr>
        <w:kinsoku/>
        <w:wordWrap w:val="0"/>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罚款1000元。 </w:t>
      </w:r>
    </w:p>
    <w:p w14:paraId="60A6E893">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5、道路作业未设警示标志、未设交通分流标志，发现一次罚款1000元。 </w:t>
      </w:r>
    </w:p>
    <w:p w14:paraId="5DF5E5A5">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6、违反文明作业要求，作业环境差，发现一次罚款200-500元</w:t>
      </w:r>
      <w:r>
        <w:rPr>
          <w:rFonts w:hint="eastAsia" w:ascii="宋体" w:hAnsi="宋体" w:eastAsia="宋体" w:cs="宋体"/>
          <w:color w:val="auto"/>
          <w:sz w:val="21"/>
          <w:szCs w:val="21"/>
          <w:highlight w:val="none"/>
          <w:lang w:eastAsia="zh-CN"/>
        </w:rPr>
        <w:t>。</w:t>
      </w:r>
    </w:p>
    <w:p w14:paraId="134BD1F0">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7、上述对服务单位的罚金于服务费用中扣除。 </w:t>
      </w:r>
    </w:p>
    <w:p w14:paraId="15EDB555">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五、本项目安全事故的处罚规定：</w:t>
      </w:r>
    </w:p>
    <w:p w14:paraId="05F30E75">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1、对发生安全事故的服务单位按照滁州市和中新苏滁高新区政府的管理办法进行处罚，并将其清退出场。</w:t>
      </w:r>
    </w:p>
    <w:p w14:paraId="09B51782">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2、如项目服务作业中出现人员伤亡，发包单位有权代服务单位处理事故，并动用适当比例（视事故大小）服务费用作为事故预处理费用，该费用由服务单位承担。</w:t>
      </w:r>
    </w:p>
    <w:p w14:paraId="00CB2AC4">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3、服务单位因安全事故造成人员死亡的，对项目现场负责人及相关人员立即更换，除按有关规定处理以外，同时取消该服务单位在发包单位自事故处理完结起两年内的投标资格。 </w:t>
      </w:r>
    </w:p>
    <w:p w14:paraId="569C8A84">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六、其他事项 </w:t>
      </w:r>
    </w:p>
    <w:p w14:paraId="6878B0C1">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1、本项目安全生产责任书为发包单位、服务单位的双方协议，由双方授权代表签字并加盖公章后生效； </w:t>
      </w:r>
    </w:p>
    <w:p w14:paraId="07C5153C">
      <w:pPr>
        <w:kinsoku/>
        <w:wordWrap w:val="0"/>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2、本项目安全生产责任书为发包单位与服务单位签订的服务合同的附件，与服务合同具有同等法律效力。 </w:t>
      </w:r>
    </w:p>
    <w:p w14:paraId="69531EE8">
      <w:pPr>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p>
    <w:p w14:paraId="5735B25D">
      <w:pPr>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p>
    <w:p w14:paraId="1B667CA7">
      <w:pPr>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服务单位（盖章）            发包单位（盖章）</w:t>
      </w:r>
    </w:p>
    <w:p w14:paraId="40DF8952">
      <w:pPr>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项目现场负责人签字：        项目现场负责人签字：</w:t>
      </w:r>
    </w:p>
    <w:p w14:paraId="5CAA15C6">
      <w:pPr>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年 月 日 </w:t>
      </w:r>
    </w:p>
    <w:p w14:paraId="279A4225">
      <w:pPr>
        <w:pStyle w:val="12"/>
        <w:kinsoku/>
        <w:wordWrap w:val="0"/>
        <w:overflowPunct/>
        <w:topLinePunct w:val="0"/>
        <w:bidi w:val="0"/>
        <w:rPr>
          <w:rFonts w:hint="eastAsia" w:ascii="宋体" w:hAnsi="宋体" w:eastAsia="宋体" w:cs="宋体"/>
          <w:color w:val="auto"/>
          <w:sz w:val="24"/>
          <w:szCs w:val="24"/>
          <w:highlight w:val="none"/>
        </w:rPr>
        <w:sectPr>
          <w:pgSz w:w="11906" w:h="16839"/>
          <w:pgMar w:top="1416" w:right="1752" w:bottom="1170" w:left="1206" w:header="850" w:footer="956" w:gutter="0"/>
          <w:pgNumType w:fmt="decimal"/>
          <w:cols w:space="720" w:num="1"/>
        </w:sectPr>
      </w:pPr>
    </w:p>
    <w:p w14:paraId="00BB8CFC">
      <w:pPr>
        <w:pStyle w:val="2"/>
        <w:tabs>
          <w:tab w:val="left" w:pos="0"/>
          <w:tab w:val="left" w:pos="3165"/>
          <w:tab w:val="center" w:pos="4153"/>
        </w:tabs>
        <w:kinsoku/>
        <w:wordWrap w:val="0"/>
        <w:overflowPunct/>
        <w:topLinePunct w:val="0"/>
        <w:autoSpaceDE w:val="0"/>
        <w:autoSpaceDN w:val="0"/>
        <w:bidi w:val="0"/>
        <w:adjustRightInd w:val="0"/>
        <w:spacing w:before="0" w:after="0" w:line="240" w:lineRule="auto"/>
        <w:rPr>
          <w:rFonts w:hint="eastAsia" w:ascii="华文中宋" w:hAnsi="华文中宋" w:eastAsia="华文中宋"/>
          <w:color w:val="auto"/>
          <w:highlight w:val="none"/>
        </w:rPr>
      </w:pPr>
      <w:bookmarkStart w:id="118" w:name="_Toc449028948"/>
      <w:bookmarkStart w:id="119" w:name="_Toc8628"/>
      <w:r>
        <w:rPr>
          <w:rFonts w:hint="eastAsia" w:ascii="华文中宋" w:hAnsi="华文中宋" w:eastAsia="华文中宋"/>
          <w:color w:val="auto"/>
          <w:highlight w:val="none"/>
        </w:rPr>
        <w:t>第</w:t>
      </w:r>
      <w:r>
        <w:rPr>
          <w:rFonts w:hint="eastAsia" w:ascii="华文中宋" w:hAnsi="华文中宋" w:eastAsia="华文中宋"/>
          <w:color w:val="auto"/>
          <w:highlight w:val="none"/>
          <w:lang w:val="en-US" w:eastAsia="zh-CN"/>
        </w:rPr>
        <w:t>七</w:t>
      </w:r>
      <w:r>
        <w:rPr>
          <w:rFonts w:hint="eastAsia" w:ascii="华文中宋" w:hAnsi="华文中宋" w:eastAsia="华文中宋"/>
          <w:color w:val="auto"/>
          <w:highlight w:val="none"/>
        </w:rPr>
        <w:t>章  投标文件格式</w:t>
      </w:r>
      <w:bookmarkEnd w:id="118"/>
      <w:bookmarkEnd w:id="119"/>
    </w:p>
    <w:p w14:paraId="134563AE">
      <w:pPr>
        <w:kinsoku/>
        <w:wordWrap w:val="0"/>
        <w:overflowPunct/>
        <w:topLinePunct w:val="0"/>
        <w:bidi w:val="0"/>
        <w:jc w:val="center"/>
        <w:outlineLvl w:val="1"/>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566ECF43">
      <w:pPr>
        <w:kinsoku/>
        <w:wordWrap w:val="0"/>
        <w:overflowPunct/>
        <w:topLinePunct w:val="0"/>
        <w:bidi w:val="0"/>
        <w:jc w:val="center"/>
        <w:rPr>
          <w:rFonts w:hint="eastAsia" w:eastAsia="黑体"/>
          <w:color w:val="auto"/>
          <w:sz w:val="20"/>
          <w:highlight w:val="none"/>
        </w:rPr>
      </w:pPr>
    </w:p>
    <w:p w14:paraId="01411376">
      <w:pPr>
        <w:kinsoku/>
        <w:wordWrap w:val="0"/>
        <w:overflowPunct/>
        <w:topLinePunct w:val="0"/>
        <w:bidi w:val="0"/>
        <w:rPr>
          <w:rFonts w:hint="eastAsia" w:eastAsia="黑体"/>
          <w:color w:val="auto"/>
          <w:sz w:val="20"/>
          <w:highlight w:val="none"/>
        </w:rPr>
      </w:pPr>
    </w:p>
    <w:p w14:paraId="718886C6">
      <w:pPr>
        <w:kinsoku/>
        <w:wordWrap w:val="0"/>
        <w:overflowPunct/>
        <w:topLinePunct w:val="0"/>
        <w:bidi w:val="0"/>
        <w:jc w:val="center"/>
        <w:outlineLvl w:val="2"/>
        <w:rPr>
          <w:rFonts w:hint="eastAsia" w:ascii="宋体"/>
          <w:b/>
          <w:color w:val="auto"/>
          <w:sz w:val="44"/>
          <w:szCs w:val="44"/>
          <w:highlight w:val="none"/>
        </w:rPr>
      </w:pPr>
      <w:bookmarkStart w:id="120" w:name="_Toc449028949"/>
      <w:bookmarkStart w:id="121" w:name="_Toc350698753"/>
      <w:r>
        <w:rPr>
          <w:rFonts w:hint="eastAsia" w:ascii="宋体"/>
          <w:b/>
          <w:color w:val="auto"/>
          <w:sz w:val="44"/>
          <w:szCs w:val="44"/>
          <w:highlight w:val="none"/>
        </w:rPr>
        <w:t>资信证明文件</w:t>
      </w:r>
      <w:bookmarkEnd w:id="120"/>
      <w:bookmarkEnd w:id="121"/>
    </w:p>
    <w:p w14:paraId="23FB7F32">
      <w:pPr>
        <w:kinsoku/>
        <w:wordWrap w:val="0"/>
        <w:overflowPunct/>
        <w:topLinePunct w:val="0"/>
        <w:bidi w:val="0"/>
        <w:jc w:val="center"/>
        <w:rPr>
          <w:rFonts w:hint="eastAsia" w:ascii="宋体"/>
          <w:color w:val="auto"/>
          <w:sz w:val="32"/>
          <w:szCs w:val="32"/>
          <w:highlight w:val="none"/>
        </w:rPr>
      </w:pPr>
      <w:r>
        <w:rPr>
          <w:rFonts w:hint="eastAsia" w:ascii="宋体"/>
          <w:color w:val="auto"/>
          <w:sz w:val="32"/>
          <w:szCs w:val="32"/>
          <w:highlight w:val="none"/>
        </w:rPr>
        <w:t>（投标文件一）</w:t>
      </w:r>
    </w:p>
    <w:p w14:paraId="5C59F460">
      <w:pPr>
        <w:kinsoku/>
        <w:wordWrap w:val="0"/>
        <w:overflowPunct/>
        <w:topLinePunct w:val="0"/>
        <w:bidi w:val="0"/>
        <w:jc w:val="center"/>
        <w:rPr>
          <w:rFonts w:hint="eastAsia" w:eastAsia="黑体"/>
          <w:color w:val="auto"/>
          <w:sz w:val="44"/>
          <w:szCs w:val="44"/>
          <w:highlight w:val="none"/>
        </w:rPr>
      </w:pPr>
    </w:p>
    <w:p w14:paraId="225DBE31">
      <w:pPr>
        <w:kinsoku/>
        <w:wordWrap w:val="0"/>
        <w:overflowPunct/>
        <w:topLinePunct w:val="0"/>
        <w:bidi w:val="0"/>
        <w:jc w:val="center"/>
        <w:rPr>
          <w:rFonts w:hint="default" w:ascii="宋体" w:eastAsia="宋体"/>
          <w:color w:val="auto"/>
          <w:sz w:val="32"/>
          <w:szCs w:val="32"/>
          <w:highlight w:val="none"/>
          <w:u w:val="single"/>
          <w:lang w:val="en-US" w:eastAsia="zh-CN"/>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5080814">
      <w:pPr>
        <w:kinsoku/>
        <w:wordWrap w:val="0"/>
        <w:overflowPunct/>
        <w:topLinePunct w:val="0"/>
        <w:bidi w:val="0"/>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2394209">
      <w:pPr>
        <w:kinsoku/>
        <w:wordWrap w:val="0"/>
        <w:overflowPunct/>
        <w:topLinePunct w:val="0"/>
        <w:bidi w:val="0"/>
        <w:rPr>
          <w:rFonts w:hint="eastAsia" w:ascii="宋体"/>
          <w:color w:val="auto"/>
          <w:sz w:val="28"/>
          <w:szCs w:val="28"/>
          <w:highlight w:val="none"/>
        </w:rPr>
      </w:pPr>
    </w:p>
    <w:p w14:paraId="0799BC03">
      <w:pPr>
        <w:kinsoku/>
        <w:wordWrap w:val="0"/>
        <w:overflowPunct/>
        <w:topLinePunct w:val="0"/>
        <w:bidi w:val="0"/>
        <w:rPr>
          <w:rFonts w:hint="eastAsia" w:ascii="宋体"/>
          <w:color w:val="auto"/>
          <w:sz w:val="28"/>
          <w:szCs w:val="28"/>
          <w:highlight w:val="none"/>
        </w:rPr>
      </w:pPr>
    </w:p>
    <w:p w14:paraId="3CE74951">
      <w:pPr>
        <w:kinsoku/>
        <w:wordWrap w:val="0"/>
        <w:overflowPunct/>
        <w:topLinePunct w:val="0"/>
        <w:bidi w:val="0"/>
        <w:rPr>
          <w:rFonts w:hint="eastAsia" w:ascii="宋体"/>
          <w:color w:val="auto"/>
          <w:sz w:val="28"/>
          <w:szCs w:val="28"/>
          <w:highlight w:val="none"/>
        </w:rPr>
      </w:pPr>
    </w:p>
    <w:p w14:paraId="3DB0F348">
      <w:pPr>
        <w:kinsoku/>
        <w:wordWrap w:val="0"/>
        <w:overflowPunct/>
        <w:topLinePunct w:val="0"/>
        <w:bidi w:val="0"/>
        <w:rPr>
          <w:rFonts w:hint="eastAsia" w:ascii="宋体"/>
          <w:color w:val="auto"/>
          <w:sz w:val="28"/>
          <w:szCs w:val="28"/>
          <w:highlight w:val="none"/>
        </w:rPr>
      </w:pPr>
    </w:p>
    <w:p w14:paraId="1B698C4B">
      <w:pPr>
        <w:kinsoku/>
        <w:wordWrap w:val="0"/>
        <w:overflowPunct/>
        <w:topLinePunct w:val="0"/>
        <w:bidi w:val="0"/>
        <w:rPr>
          <w:rFonts w:hint="eastAsia" w:ascii="宋体"/>
          <w:color w:val="auto"/>
          <w:sz w:val="28"/>
          <w:szCs w:val="28"/>
          <w:highlight w:val="none"/>
        </w:rPr>
      </w:pPr>
    </w:p>
    <w:p w14:paraId="51B9E144">
      <w:pPr>
        <w:pStyle w:val="12"/>
        <w:kinsoku/>
        <w:wordWrap w:val="0"/>
        <w:overflowPunct/>
        <w:topLinePunct w:val="0"/>
        <w:bidi w:val="0"/>
        <w:rPr>
          <w:rFonts w:hint="eastAsia" w:ascii="宋体"/>
          <w:color w:val="auto"/>
          <w:sz w:val="28"/>
          <w:szCs w:val="28"/>
          <w:highlight w:val="none"/>
        </w:rPr>
      </w:pPr>
    </w:p>
    <w:p w14:paraId="477B3CD2">
      <w:pPr>
        <w:kinsoku/>
        <w:wordWrap w:val="0"/>
        <w:overflowPunct/>
        <w:topLinePunct w:val="0"/>
        <w:bidi w:val="0"/>
        <w:rPr>
          <w:rFonts w:hint="eastAsia" w:ascii="宋体"/>
          <w:color w:val="auto"/>
          <w:sz w:val="28"/>
          <w:szCs w:val="28"/>
          <w:highlight w:val="none"/>
        </w:rPr>
      </w:pPr>
    </w:p>
    <w:p w14:paraId="6C01BBF8">
      <w:pPr>
        <w:pStyle w:val="12"/>
        <w:kinsoku/>
        <w:wordWrap w:val="0"/>
        <w:overflowPunct/>
        <w:topLinePunct w:val="0"/>
        <w:bidi w:val="0"/>
        <w:rPr>
          <w:rFonts w:hint="eastAsia"/>
          <w:color w:val="auto"/>
          <w:highlight w:val="none"/>
        </w:rPr>
      </w:pPr>
    </w:p>
    <w:p w14:paraId="3D13A983">
      <w:pPr>
        <w:kinsoku/>
        <w:wordWrap w:val="0"/>
        <w:overflowPunct/>
        <w:topLinePunct w:val="0"/>
        <w:bidi w:val="0"/>
        <w:rPr>
          <w:rFonts w:hint="eastAsia" w:ascii="宋体"/>
          <w:color w:val="auto"/>
          <w:sz w:val="28"/>
          <w:szCs w:val="28"/>
          <w:highlight w:val="none"/>
        </w:rPr>
      </w:pPr>
    </w:p>
    <w:p w14:paraId="345BA538">
      <w:pPr>
        <w:kinsoku/>
        <w:wordWrap w:val="0"/>
        <w:overflowPunct/>
        <w:topLinePunct w:val="0"/>
        <w:bidi w:val="0"/>
        <w:rPr>
          <w:rFonts w:hint="eastAsia" w:ascii="宋体"/>
          <w:color w:val="auto"/>
          <w:sz w:val="28"/>
          <w:szCs w:val="28"/>
          <w:highlight w:val="none"/>
        </w:rPr>
      </w:pPr>
    </w:p>
    <w:p w14:paraId="159F5C7F">
      <w:pPr>
        <w:kinsoku/>
        <w:wordWrap w:val="0"/>
        <w:overflowPunct/>
        <w:topLinePunct w:val="0"/>
        <w:bidi w:val="0"/>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签章</w:t>
      </w:r>
      <w:r>
        <w:rPr>
          <w:rFonts w:hint="eastAsia" w:ascii="宋体"/>
          <w:color w:val="auto"/>
          <w:sz w:val="28"/>
          <w:szCs w:val="28"/>
          <w:highlight w:val="none"/>
        </w:rPr>
        <w:t>）</w:t>
      </w:r>
    </w:p>
    <w:p w14:paraId="6CD864BA">
      <w:pPr>
        <w:kinsoku/>
        <w:wordWrap w:val="0"/>
        <w:overflowPunct/>
        <w:topLinePunct w:val="0"/>
        <w:bidi w:val="0"/>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7A1C299">
      <w:pPr>
        <w:kinsoku/>
        <w:wordWrap w:val="0"/>
        <w:overflowPunct/>
        <w:topLinePunct w:val="0"/>
        <w:bidi w:val="0"/>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6C67FEE">
      <w:pPr>
        <w:kinsoku/>
        <w:wordWrap w:val="0"/>
        <w:overflowPunct/>
        <w:topLinePunct w:val="0"/>
        <w:bidi w:val="0"/>
        <w:spacing w:line="720" w:lineRule="auto"/>
        <w:jc w:val="center"/>
        <w:rPr>
          <w:rFonts w:hint="eastAsia" w:ascii="宋体"/>
          <w:b/>
          <w:color w:val="auto"/>
          <w:sz w:val="36"/>
          <w:szCs w:val="36"/>
          <w:highlight w:val="none"/>
        </w:rPr>
      </w:pPr>
    </w:p>
    <w:p w14:paraId="0782A5E2">
      <w:pPr>
        <w:kinsoku/>
        <w:wordWrap w:val="0"/>
        <w:overflowPunct/>
        <w:topLinePunct w:val="0"/>
        <w:bidi w:val="0"/>
        <w:spacing w:line="400" w:lineRule="exact"/>
        <w:ind w:firstLine="4130" w:firstLineChars="935"/>
        <w:rPr>
          <w:rFonts w:hint="eastAsia"/>
          <w:b/>
          <w:color w:val="auto"/>
          <w:sz w:val="44"/>
          <w:szCs w:val="44"/>
          <w:highlight w:val="none"/>
        </w:rPr>
      </w:pPr>
    </w:p>
    <w:p w14:paraId="130B625F">
      <w:pPr>
        <w:kinsoku/>
        <w:wordWrap w:val="0"/>
        <w:overflowPunct/>
        <w:topLinePunct w:val="0"/>
        <w:bidi w:val="0"/>
        <w:jc w:val="center"/>
        <w:rPr>
          <w:rFonts w:hint="eastAsia"/>
          <w:b/>
          <w:color w:val="auto"/>
          <w:sz w:val="44"/>
          <w:szCs w:val="44"/>
          <w:highlight w:val="none"/>
        </w:rPr>
      </w:pPr>
      <w:r>
        <w:rPr>
          <w:rFonts w:hint="eastAsia"/>
          <w:b/>
          <w:color w:val="auto"/>
          <w:sz w:val="36"/>
          <w:szCs w:val="36"/>
          <w:highlight w:val="none"/>
        </w:rPr>
        <w:t>目   录</w:t>
      </w:r>
    </w:p>
    <w:p w14:paraId="6B6DCB5F">
      <w:pPr>
        <w:kinsoku/>
        <w:wordWrap w:val="0"/>
        <w:overflowPunct/>
        <w:topLinePunct w:val="0"/>
        <w:bidi w:val="0"/>
        <w:spacing w:line="400" w:lineRule="exact"/>
        <w:ind w:firstLine="562" w:firstLineChars="200"/>
        <w:rPr>
          <w:rFonts w:hint="eastAsia"/>
          <w:b/>
          <w:color w:val="auto"/>
          <w:sz w:val="28"/>
          <w:szCs w:val="28"/>
          <w:highlight w:val="none"/>
        </w:rPr>
      </w:pPr>
    </w:p>
    <w:p w14:paraId="2082F3F6">
      <w:pPr>
        <w:kinsoku/>
        <w:wordWrap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（1）法定代表人身份证明及其有效身份证（或法定代表人授权委托书及其有效身份证）（格式见附件）；</w:t>
      </w:r>
    </w:p>
    <w:p w14:paraId="725F5120">
      <w:pPr>
        <w:kinsoku/>
        <w:wordWrap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（2）投标人有效的营业执照、税务登记证、组织机构代码证（或三合一证书）</w:t>
      </w:r>
      <w:r>
        <w:rPr>
          <w:rFonts w:hint="eastAsia" w:ascii="宋体"/>
          <w:color w:val="auto"/>
          <w:szCs w:val="21"/>
          <w:highlight w:val="none"/>
          <w:lang w:val="en-US" w:eastAsia="zh-CN"/>
        </w:rPr>
        <w:t>或事业单位法人证书</w:t>
      </w:r>
      <w:r>
        <w:rPr>
          <w:rFonts w:hint="eastAsia" w:ascii="宋体" w:hAnsi="宋体" w:eastAsia="宋体" w:cs="宋体"/>
          <w:color w:val="auto"/>
          <w:szCs w:val="21"/>
          <w:highlight w:val="none"/>
        </w:rPr>
        <w:t>；</w:t>
      </w:r>
    </w:p>
    <w:p w14:paraId="03435220">
      <w:pPr>
        <w:kinsoku/>
        <w:wordWrap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（3）诚信投标承诺书（或《公共信用信息报告（无违法违规证明版或核查版）》）；</w:t>
      </w:r>
    </w:p>
    <w:p w14:paraId="6C341028">
      <w:pPr>
        <w:kinsoku/>
        <w:wordWrap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）服务承诺：是否响应招标文件要求的书面说明和服务承诺书（格式见附件）；</w:t>
      </w:r>
    </w:p>
    <w:p w14:paraId="4EC6E814">
      <w:pPr>
        <w:kinsoku/>
        <w:wordWrap w:val="0"/>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招标文件中要求的资信标评审及其他支持资料。</w:t>
      </w:r>
    </w:p>
    <w:p w14:paraId="2D8756FF">
      <w:pPr>
        <w:kinsoku/>
        <w:wordWrap w:val="0"/>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）其他资料（如有）。</w:t>
      </w:r>
    </w:p>
    <w:p w14:paraId="41494D8B">
      <w:pPr>
        <w:kinsoku/>
        <w:wordWrap w:val="0"/>
        <w:overflowPunct/>
        <w:topLinePunct w:val="0"/>
        <w:bidi w:val="0"/>
        <w:spacing w:line="360" w:lineRule="auto"/>
        <w:ind w:firstLine="420" w:firstLineChars="200"/>
        <w:rPr>
          <w:rFonts w:hint="eastAsia" w:ascii="宋体" w:hAnsi="宋体" w:eastAsia="宋体" w:cs="宋体"/>
          <w:color w:val="auto"/>
          <w:szCs w:val="21"/>
          <w:highlight w:val="none"/>
        </w:rPr>
      </w:pPr>
    </w:p>
    <w:p w14:paraId="68D51202">
      <w:pPr>
        <w:kinsoku/>
        <w:wordWrap w:val="0"/>
        <w:overflowPunct/>
        <w:topLinePunct w:val="0"/>
        <w:bidi w:val="0"/>
        <w:spacing w:line="400" w:lineRule="exact"/>
        <w:ind w:firstLine="562" w:firstLineChars="200"/>
        <w:rPr>
          <w:rFonts w:hint="eastAsia"/>
          <w:b/>
          <w:color w:val="auto"/>
          <w:sz w:val="28"/>
          <w:szCs w:val="28"/>
          <w:highlight w:val="none"/>
        </w:rPr>
      </w:pPr>
    </w:p>
    <w:p w14:paraId="68259B39">
      <w:pPr>
        <w:kinsoku/>
        <w:wordWrap w:val="0"/>
        <w:overflowPunct/>
        <w:topLinePunct w:val="0"/>
        <w:bidi w:val="0"/>
        <w:spacing w:line="400" w:lineRule="exact"/>
        <w:ind w:firstLine="562" w:firstLineChars="200"/>
        <w:rPr>
          <w:rFonts w:hint="eastAsia"/>
          <w:b/>
          <w:color w:val="auto"/>
          <w:sz w:val="28"/>
          <w:szCs w:val="28"/>
          <w:highlight w:val="none"/>
        </w:rPr>
      </w:pPr>
    </w:p>
    <w:p w14:paraId="493BF9A4">
      <w:pPr>
        <w:kinsoku/>
        <w:wordWrap w:val="0"/>
        <w:overflowPunct/>
        <w:topLinePunct w:val="0"/>
        <w:bidi w:val="0"/>
        <w:spacing w:line="400" w:lineRule="exact"/>
        <w:ind w:firstLine="562" w:firstLineChars="200"/>
        <w:rPr>
          <w:rFonts w:hint="eastAsia"/>
          <w:b/>
          <w:color w:val="auto"/>
          <w:sz w:val="28"/>
          <w:szCs w:val="28"/>
          <w:highlight w:val="none"/>
        </w:rPr>
      </w:pPr>
    </w:p>
    <w:p w14:paraId="7B8B952D">
      <w:pPr>
        <w:kinsoku/>
        <w:wordWrap w:val="0"/>
        <w:overflowPunct/>
        <w:topLinePunct w:val="0"/>
        <w:bidi w:val="0"/>
        <w:spacing w:line="400" w:lineRule="exact"/>
        <w:rPr>
          <w:b/>
          <w:color w:val="auto"/>
          <w:sz w:val="28"/>
          <w:szCs w:val="28"/>
          <w:highlight w:val="none"/>
        </w:rPr>
        <w:sectPr>
          <w:footerReference r:id="rId6" w:type="default"/>
          <w:pgSz w:w="11906" w:h="16838"/>
          <w:pgMar w:top="1417" w:right="1361" w:bottom="1417" w:left="147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99332CF">
      <w:pPr>
        <w:kinsoku/>
        <w:wordWrap w:val="0"/>
        <w:overflowPunct/>
        <w:topLinePunct w:val="0"/>
        <w:bidi w:val="0"/>
        <w:spacing w:line="360" w:lineRule="auto"/>
        <w:rPr>
          <w:rFonts w:hint="eastAsia"/>
          <w:b/>
          <w:color w:val="auto"/>
          <w:sz w:val="28"/>
          <w:szCs w:val="28"/>
          <w:highlight w:val="none"/>
        </w:rPr>
      </w:pPr>
      <w:r>
        <w:rPr>
          <w:rFonts w:hint="eastAsia"/>
          <w:b/>
          <w:color w:val="auto"/>
          <w:sz w:val="28"/>
          <w:szCs w:val="28"/>
          <w:highlight w:val="none"/>
        </w:rPr>
        <w:t>附件1</w:t>
      </w:r>
    </w:p>
    <w:p w14:paraId="57DF1FA0">
      <w:pPr>
        <w:kinsoku/>
        <w:wordWrap w:val="0"/>
        <w:overflowPunct/>
        <w:topLinePunct w:val="0"/>
        <w:bidi w:val="0"/>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181C7EC7">
      <w:pPr>
        <w:pStyle w:val="105"/>
        <w:kinsoku/>
        <w:wordWrap w:val="0"/>
        <w:overflowPunct/>
        <w:topLinePunct w:val="0"/>
        <w:bidi w:val="0"/>
        <w:spacing w:before="312" w:beforeLines="100" w:after="312" w:afterLines="100" w:line="480" w:lineRule="exact"/>
        <w:ind w:firstLine="180" w:firstLineChars="75"/>
        <w:outlineLvl w:val="2"/>
        <w:rPr>
          <w:rFonts w:hint="eastAsia" w:ascii="宋体"/>
          <w:b/>
          <w:color w:val="auto"/>
          <w:sz w:val="24"/>
          <w:szCs w:val="24"/>
          <w:highlight w:val="none"/>
        </w:rPr>
      </w:pPr>
      <w:r>
        <w:rPr>
          <w:rFonts w:hint="eastAsia" w:ascii="宋体"/>
          <w:color w:val="auto"/>
          <w:sz w:val="24"/>
          <w:szCs w:val="24"/>
          <w:highlight w:val="none"/>
        </w:rPr>
        <w:t>1.法定代表人身份证明</w:t>
      </w:r>
    </w:p>
    <w:p w14:paraId="2FE83659">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517DEC74">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2B0714D">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93B48FE">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1C55C55">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9978DB9">
      <w:pPr>
        <w:kinsoku/>
        <w:wordWrap w:val="0"/>
        <w:overflowPunct/>
        <w:topLinePunct w:val="0"/>
        <w:bidi w:val="0"/>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EF6CE87">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E659ECC">
      <w:pPr>
        <w:kinsoku/>
        <w:wordWrap w:val="0"/>
        <w:overflowPunct/>
        <w:topLinePunct w:val="0"/>
        <w:bidi w:val="0"/>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0FB5D0E7">
      <w:pPr>
        <w:kinsoku/>
        <w:wordWrap w:val="0"/>
        <w:overflowPunct/>
        <w:topLinePunct w:val="0"/>
        <w:bidi w:val="0"/>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48C126C">
      <w:pPr>
        <w:kinsoku/>
        <w:wordWrap w:val="0"/>
        <w:overflowPunct/>
        <w:topLinePunct w:val="0"/>
        <w:bidi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0EF5A935">
      <w:pPr>
        <w:kinsoku/>
        <w:wordWrap w:val="0"/>
        <w:overflowPunct/>
        <w:topLinePunct w:val="0"/>
        <w:bidi w:val="0"/>
        <w:spacing w:before="312" w:beforeLines="100" w:after="312" w:afterLines="100" w:line="480" w:lineRule="exact"/>
        <w:ind w:firstLine="3654" w:firstLineChars="1305"/>
        <w:outlineLvl w:val="2"/>
        <w:rPr>
          <w:rFonts w:hint="eastAsia" w:ascii="宋体"/>
          <w:color w:val="auto"/>
          <w:sz w:val="28"/>
          <w:szCs w:val="28"/>
          <w:highlight w:val="none"/>
        </w:rPr>
      </w:pPr>
      <w:r>
        <w:rPr>
          <w:rFonts w:hint="eastAsia" w:ascii="宋体"/>
          <w:color w:val="auto"/>
          <w:sz w:val="28"/>
          <w:szCs w:val="28"/>
          <w:highlight w:val="none"/>
        </w:rPr>
        <w:t>2.授权委托书</w:t>
      </w:r>
    </w:p>
    <w:p w14:paraId="6AC9B623">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25E9DD19">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D18AD96">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283B5405">
      <w:pPr>
        <w:kinsoku/>
        <w:wordWrap w:val="0"/>
        <w:overflowPunct/>
        <w:topLinePunct w:val="0"/>
        <w:bidi w:val="0"/>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778EF0D">
      <w:pPr>
        <w:kinsoku/>
        <w:wordWrap w:val="0"/>
        <w:overflowPunct/>
        <w:topLinePunct w:val="0"/>
        <w:bidi w:val="0"/>
        <w:spacing w:line="480" w:lineRule="exact"/>
        <w:rPr>
          <w:rFonts w:hint="eastAsia" w:ascii="宋体"/>
          <w:color w:val="auto"/>
          <w:sz w:val="24"/>
          <w:highlight w:val="none"/>
        </w:rPr>
      </w:pPr>
      <w:r>
        <w:rPr>
          <w:rFonts w:hint="eastAsia" w:ascii="宋体"/>
          <w:color w:val="auto"/>
          <w:sz w:val="24"/>
          <w:highlight w:val="none"/>
        </w:rPr>
        <w:t xml:space="preserve">                                     投标人：             （盖单位章）</w:t>
      </w:r>
    </w:p>
    <w:p w14:paraId="77C758F4">
      <w:pPr>
        <w:kinsoku/>
        <w:wordWrap w:val="0"/>
        <w:overflowPunct/>
        <w:topLinePunct w:val="0"/>
        <w:bidi w:val="0"/>
        <w:spacing w:line="480" w:lineRule="exact"/>
        <w:jc w:val="right"/>
        <w:rPr>
          <w:rFonts w:hint="eastAsia" w:ascii="宋体"/>
          <w:color w:val="auto"/>
          <w:sz w:val="24"/>
          <w:highlight w:val="none"/>
        </w:rPr>
      </w:pPr>
      <w:r>
        <w:rPr>
          <w:rFonts w:hint="eastAsia" w:ascii="宋体"/>
          <w:color w:val="auto"/>
          <w:sz w:val="24"/>
          <w:highlight w:val="none"/>
        </w:rPr>
        <w:t>法定代表人（身份证号码）：             （签章）</w:t>
      </w:r>
    </w:p>
    <w:p w14:paraId="0091C2C8">
      <w:pPr>
        <w:kinsoku/>
        <w:wordWrap w:val="0"/>
        <w:overflowPunct/>
        <w:topLinePunct w:val="0"/>
        <w:bidi w:val="0"/>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54D84AC8">
      <w:pPr>
        <w:kinsoku/>
        <w:wordWrap w:val="0"/>
        <w:overflowPunct/>
        <w:topLinePunct w:val="0"/>
        <w:bidi w:val="0"/>
        <w:spacing w:line="360" w:lineRule="exact"/>
        <w:ind w:firstLine="413" w:firstLineChars="147"/>
        <w:rPr>
          <w:rFonts w:hint="eastAsia"/>
          <w:b/>
          <w:color w:val="auto"/>
          <w:sz w:val="28"/>
          <w:szCs w:val="28"/>
          <w:highlight w:val="none"/>
          <w:u w:val="single"/>
        </w:rPr>
      </w:pPr>
    </w:p>
    <w:p w14:paraId="6A664EB0">
      <w:pPr>
        <w:kinsoku/>
        <w:wordWrap w:val="0"/>
        <w:overflowPunct/>
        <w:topLinePunct w:val="0"/>
        <w:bidi w:val="0"/>
        <w:spacing w:line="360" w:lineRule="exact"/>
        <w:ind w:firstLine="413" w:firstLineChars="147"/>
        <w:rPr>
          <w:rFonts w:hint="eastAsia"/>
          <w:b/>
          <w:color w:val="auto"/>
          <w:sz w:val="28"/>
          <w:szCs w:val="28"/>
          <w:highlight w:val="none"/>
          <w:u w:val="single"/>
        </w:rPr>
      </w:pPr>
    </w:p>
    <w:p w14:paraId="4C6C395C">
      <w:pPr>
        <w:kinsoku/>
        <w:wordWrap w:val="0"/>
        <w:overflowPunct/>
        <w:topLinePunct w:val="0"/>
        <w:bidi w:val="0"/>
        <w:spacing w:line="360" w:lineRule="exact"/>
        <w:outlineLvl w:val="3"/>
        <w:rPr>
          <w:rFonts w:hint="eastAsia" w:ascii="宋体"/>
          <w:b/>
          <w:color w:val="auto"/>
          <w:sz w:val="30"/>
          <w:szCs w:val="30"/>
          <w:highlight w:val="none"/>
        </w:rPr>
      </w:pPr>
      <w:r>
        <w:rPr>
          <w:rFonts w:hint="eastAsia" w:ascii="宋体"/>
          <w:b/>
          <w:color w:val="auto"/>
          <w:sz w:val="30"/>
          <w:szCs w:val="30"/>
          <w:highlight w:val="none"/>
        </w:rPr>
        <w:t>附件2</w:t>
      </w:r>
    </w:p>
    <w:p w14:paraId="25914BC4">
      <w:pPr>
        <w:kinsoku/>
        <w:wordWrap w:val="0"/>
        <w:overflowPunct/>
        <w:topLinePunct w:val="0"/>
        <w:bidi w:val="0"/>
        <w:spacing w:line="360" w:lineRule="exact"/>
        <w:ind w:firstLine="413" w:firstLineChars="147"/>
        <w:jc w:val="center"/>
        <w:outlineLvl w:val="3"/>
        <w:rPr>
          <w:rFonts w:hint="eastAsia"/>
          <w:b/>
          <w:color w:val="auto"/>
          <w:sz w:val="28"/>
          <w:szCs w:val="28"/>
          <w:highlight w:val="none"/>
        </w:rPr>
      </w:pPr>
      <w:r>
        <w:rPr>
          <w:rFonts w:hint="eastAsia"/>
          <w:b/>
          <w:color w:val="auto"/>
          <w:sz w:val="28"/>
          <w:szCs w:val="28"/>
          <w:highlight w:val="none"/>
        </w:rPr>
        <w:t>（2）诚信投标承诺书</w:t>
      </w:r>
    </w:p>
    <w:p w14:paraId="39F95862">
      <w:pPr>
        <w:kinsoku/>
        <w:wordWrap w:val="0"/>
        <w:overflowPunct/>
        <w:topLinePunct w:val="0"/>
        <w:bidi w:val="0"/>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21D1043A">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22" w:name="_Toc503196197"/>
      <w:bookmarkStart w:id="123" w:name="_Toc506107356"/>
      <w:bookmarkStart w:id="124" w:name="_Toc26598"/>
      <w:r>
        <w:rPr>
          <w:rFonts w:hint="eastAsia" w:ascii="宋体" w:hAnsi="宋体"/>
          <w:color w:val="auto"/>
          <w:szCs w:val="21"/>
          <w:highlight w:val="none"/>
        </w:rPr>
        <w:t>开、公正和诚实信用</w:t>
      </w:r>
      <w:bookmarkEnd w:id="122"/>
      <w:bookmarkEnd w:id="123"/>
      <w:r>
        <w:rPr>
          <w:rFonts w:hint="eastAsia" w:ascii="宋体" w:hAnsi="宋体"/>
          <w:color w:val="auto"/>
          <w:szCs w:val="21"/>
          <w:highlight w:val="none"/>
        </w:rPr>
        <w:t>的</w:t>
      </w:r>
      <w:bookmarkEnd w:id="124"/>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B068DB">
      <w:pPr>
        <w:kinsoku/>
        <w:wordWrap w:val="0"/>
        <w:overflowPunct/>
        <w:topLinePunct w:val="0"/>
        <w:bidi w:val="0"/>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EB96A1A">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B010153">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FF53C4">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58FD4AB">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w:t>
      </w:r>
      <w:r>
        <w:rPr>
          <w:rFonts w:hint="eastAsia"/>
          <w:color w:val="auto"/>
          <w:szCs w:val="21"/>
          <w:highlight w:val="none"/>
          <w:lang w:eastAsia="zh-CN"/>
        </w:rPr>
        <w:t>被列入省级、市级农民工工资支付异常名录的施工企业，限制其参加全市范围内项目投标；列入县级异常名录的施工企业，限制其参加本行政区域内项目投标。</w:t>
      </w:r>
      <w:r>
        <w:rPr>
          <w:rFonts w:hint="eastAsia"/>
          <w:color w:val="auto"/>
          <w:szCs w:val="21"/>
          <w:highlight w:val="none"/>
        </w:rPr>
        <w:t>（若招标文件对投标人所属分公司、办事处等分支机构有上述1-8项信誉要求，在此一并承诺我公司所属分公司、办事处等分支机构没有上述1-8项情形）</w:t>
      </w:r>
    </w:p>
    <w:p w14:paraId="1C8C04B7">
      <w:pPr>
        <w:kinsoku/>
        <w:wordWrap w:val="0"/>
        <w:overflowPunct/>
        <w:topLinePunct w:val="0"/>
        <w:bidi w:val="0"/>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4D354C94">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7EA37103">
      <w:pPr>
        <w:kinsoku/>
        <w:wordWrap w:val="0"/>
        <w:overflowPunct/>
        <w:topLinePunct w:val="0"/>
        <w:bidi w:val="0"/>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1386578A">
      <w:pPr>
        <w:kinsoku/>
        <w:wordWrap w:val="0"/>
        <w:overflowPunct/>
        <w:topLinePunct w:val="0"/>
        <w:bidi w:val="0"/>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9B84C69">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9D2CA6">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6C2E963D">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p>
    <w:p w14:paraId="3199A60C">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6928EC3F">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05760E4F">
      <w:pPr>
        <w:kinsoku/>
        <w:wordWrap w:val="0"/>
        <w:overflowPunct/>
        <w:topLinePunct w:val="0"/>
        <w:bidi w:val="0"/>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投标单位（签章或盖章）：          法定代表人（签字或签章）：</w:t>
      </w:r>
    </w:p>
    <w:p w14:paraId="41EA814F">
      <w:pPr>
        <w:kinsoku/>
        <w:wordWrap w:val="0"/>
        <w:overflowPunct/>
        <w:topLinePunct w:val="0"/>
        <w:bidi w:val="0"/>
        <w:spacing w:line="360" w:lineRule="exact"/>
        <w:ind w:firstLine="420" w:firstLineChars="200"/>
        <w:rPr>
          <w:rFonts w:hint="eastAsia" w:ascii="宋体" w:hAnsi="宋体"/>
          <w:color w:val="auto"/>
          <w:szCs w:val="21"/>
          <w:highlight w:val="none"/>
        </w:rPr>
      </w:pPr>
    </w:p>
    <w:p w14:paraId="7F58E927">
      <w:pPr>
        <w:kinsoku/>
        <w:wordWrap w:val="0"/>
        <w:overflowPunct/>
        <w:topLinePunct w:val="0"/>
        <w:bidi w:val="0"/>
        <w:spacing w:line="3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EC375F3">
      <w:pPr>
        <w:kinsoku/>
        <w:wordWrap w:val="0"/>
        <w:overflowPunct/>
        <w:topLinePunct w:val="0"/>
        <w:bidi w:val="0"/>
        <w:spacing w:line="360" w:lineRule="exact"/>
        <w:ind w:firstLine="420" w:firstLineChars="200"/>
        <w:rPr>
          <w:rFonts w:hint="eastAsia" w:ascii="宋体" w:hAnsi="宋体"/>
          <w:color w:val="auto"/>
          <w:szCs w:val="21"/>
          <w:highlight w:val="none"/>
        </w:rPr>
      </w:pPr>
    </w:p>
    <w:p w14:paraId="11EECB83">
      <w:pPr>
        <w:kinsoku/>
        <w:wordWrap w:val="0"/>
        <w:overflowPunct/>
        <w:topLinePunct w:val="0"/>
        <w:bidi w:val="0"/>
        <w:adjustRightInd w:val="0"/>
        <w:snapToGrid w:val="0"/>
        <w:spacing w:line="560" w:lineRule="exact"/>
        <w:jc w:val="center"/>
        <w:rPr>
          <w:rFonts w:hint="eastAsia"/>
          <w:b/>
          <w:color w:val="auto"/>
          <w:sz w:val="28"/>
          <w:szCs w:val="28"/>
          <w:highlight w:val="none"/>
          <w:lang w:eastAsia="zh-CN"/>
        </w:rPr>
      </w:pPr>
    </w:p>
    <w:p w14:paraId="7C7AFE20">
      <w:pPr>
        <w:kinsoku/>
        <w:wordWrap w:val="0"/>
        <w:overflowPunct/>
        <w:topLinePunct w:val="0"/>
        <w:bidi w:val="0"/>
        <w:adjustRightInd w:val="0"/>
        <w:snapToGrid w:val="0"/>
        <w:spacing w:line="560" w:lineRule="exact"/>
        <w:jc w:val="center"/>
        <w:outlineLvl w:val="2"/>
        <w:rPr>
          <w:rFonts w:hint="eastAsia"/>
          <w:b/>
          <w:color w:val="auto"/>
          <w:sz w:val="28"/>
          <w:szCs w:val="28"/>
          <w:highlight w:val="none"/>
        </w:rPr>
      </w:pPr>
      <w:r>
        <w:rPr>
          <w:rFonts w:hint="eastAsia"/>
          <w:b/>
          <w:color w:val="auto"/>
          <w:sz w:val="28"/>
          <w:szCs w:val="28"/>
          <w:highlight w:val="none"/>
          <w:lang w:eastAsia="zh-CN"/>
        </w:rPr>
        <w:t>（</w:t>
      </w:r>
      <w:r>
        <w:rPr>
          <w:rFonts w:hint="eastAsia"/>
          <w:b/>
          <w:color w:val="auto"/>
          <w:sz w:val="28"/>
          <w:szCs w:val="28"/>
          <w:highlight w:val="none"/>
          <w:lang w:val="en-US" w:eastAsia="zh-CN"/>
        </w:rPr>
        <w:t>2）</w:t>
      </w:r>
      <w:r>
        <w:rPr>
          <w:rFonts w:hint="eastAsia"/>
          <w:b/>
          <w:color w:val="auto"/>
          <w:sz w:val="28"/>
          <w:szCs w:val="28"/>
          <w:highlight w:val="none"/>
        </w:rPr>
        <w:t>公共信用信息报告（无违法违规证明版或核查版））</w:t>
      </w:r>
    </w:p>
    <w:p w14:paraId="032315FE">
      <w:pPr>
        <w:keepNext w:val="0"/>
        <w:keepLines w:val="0"/>
        <w:pageBreakBefore w:val="0"/>
        <w:widowControl w:val="0"/>
        <w:kinsoku/>
        <w:wordWrap w:val="0"/>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符合条件的投标人可在信用中国（安徽）网站（网址</w:t>
      </w:r>
      <w:r>
        <w:rPr>
          <w:rFonts w:hint="eastAsia" w:ascii="宋体" w:hAnsi="宋体" w:eastAsia="宋体" w:cs="Times New Roman"/>
          <w:color w:val="auto"/>
          <w:szCs w:val="21"/>
          <w:highlight w:val="none"/>
        </w:rPr>
        <w:fldChar w:fldCharType="begin"/>
      </w:r>
      <w:r>
        <w:rPr>
          <w:rFonts w:hint="eastAsia" w:ascii="宋体" w:hAnsi="宋体" w:eastAsia="宋体" w:cs="Times New Roman"/>
          <w:color w:val="auto"/>
          <w:szCs w:val="21"/>
          <w:highlight w:val="none"/>
        </w:rPr>
        <w:instrText xml:space="preserve"> HYPERLINK "https://credit.ah.gov.cn/xinyongfuwu/index.html" </w:instrText>
      </w:r>
      <w:r>
        <w:rPr>
          <w:rFonts w:hint="eastAsia" w:ascii="宋体" w:hAnsi="宋体" w:eastAsia="宋体" w:cs="Times New Roman"/>
          <w:color w:val="auto"/>
          <w:szCs w:val="21"/>
          <w:highlight w:val="none"/>
        </w:rPr>
        <w:fldChar w:fldCharType="separate"/>
      </w:r>
      <w:r>
        <w:rPr>
          <w:rFonts w:hint="eastAsia" w:ascii="宋体" w:hAnsi="宋体" w:eastAsia="宋体" w:cs="Times New Roman"/>
          <w:color w:val="auto"/>
          <w:szCs w:val="21"/>
          <w:highlight w:val="none"/>
        </w:rPr>
        <w:t>https://credit.ah.gov.cn/xinyongfuwu/index.html</w:t>
      </w:r>
      <w:r>
        <w:rPr>
          <w:rFonts w:hint="eastAsia"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），获取信用报告（无违法违规证明版或核查版）并上传至投标文件中。</w:t>
      </w:r>
    </w:p>
    <w:p w14:paraId="2A951E1F">
      <w:pPr>
        <w:kinsoku/>
        <w:wordWrap w:val="0"/>
        <w:overflowPunct/>
        <w:topLinePunct w:val="0"/>
        <w:bidi w:val="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p>
    <w:p w14:paraId="48C551DA">
      <w:pPr>
        <w:kinsoku/>
        <w:wordWrap w:val="0"/>
        <w:overflowPunct/>
        <w:topLinePunct w:val="0"/>
        <w:bidi w:val="0"/>
        <w:spacing w:line="360" w:lineRule="exact"/>
        <w:outlineLvl w:val="3"/>
        <w:rPr>
          <w:rFonts w:hint="default" w:ascii="宋体" w:hAnsi="Times New Roman" w:eastAsia="宋体" w:cs="Times New Roman"/>
          <w:b/>
          <w:color w:val="auto"/>
          <w:sz w:val="30"/>
          <w:szCs w:val="30"/>
          <w:highlight w:val="none"/>
          <w:lang w:val="en-US" w:eastAsia="zh-CN"/>
        </w:rPr>
      </w:pPr>
      <w:r>
        <w:rPr>
          <w:rFonts w:hint="eastAsia" w:ascii="宋体" w:hAnsi="Times New Roman" w:eastAsia="宋体" w:cs="Times New Roman"/>
          <w:b/>
          <w:color w:val="auto"/>
          <w:sz w:val="30"/>
          <w:szCs w:val="30"/>
          <w:highlight w:val="none"/>
          <w:lang w:val="en-US" w:eastAsia="zh-CN"/>
        </w:rPr>
        <w:t>附件3：</w:t>
      </w:r>
    </w:p>
    <w:p w14:paraId="6F5D8E0B">
      <w:pPr>
        <w:kinsoku/>
        <w:wordWrap w:val="0"/>
        <w:overflowPunct/>
        <w:topLinePunct w:val="0"/>
        <w:bidi w:val="0"/>
        <w:jc w:val="center"/>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服务承诺书</w:t>
      </w:r>
    </w:p>
    <w:p w14:paraId="6F404D97">
      <w:pPr>
        <w:kinsoku/>
        <w:wordWrap w:val="0"/>
        <w:overflowPunct/>
        <w:topLinePunct w:val="0"/>
        <w:bidi w:val="0"/>
        <w:ind w:firstLine="480" w:firstLineChars="200"/>
        <w:rPr>
          <w:rFonts w:hint="eastAsia" w:ascii="宋体"/>
          <w:color w:val="auto"/>
          <w:sz w:val="24"/>
          <w:highlight w:val="none"/>
        </w:rPr>
      </w:pPr>
    </w:p>
    <w:p w14:paraId="1F1C0740">
      <w:pPr>
        <w:kinsoku/>
        <w:wordWrap w:val="0"/>
        <w:overflowPunct/>
        <w:topLinePunct w:val="0"/>
        <w:bidi w:val="0"/>
        <w:spacing w:line="500" w:lineRule="exact"/>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招标人</w:t>
      </w:r>
      <w:r>
        <w:rPr>
          <w:rFonts w:hint="eastAsia" w:ascii="宋体"/>
          <w:color w:val="auto"/>
          <w:sz w:val="24"/>
          <w:highlight w:val="none"/>
          <w:u w:val="single"/>
        </w:rPr>
        <w:t>）</w:t>
      </w:r>
      <w:r>
        <w:rPr>
          <w:rFonts w:hint="eastAsia" w:ascii="宋体"/>
          <w:color w:val="auto"/>
          <w:sz w:val="24"/>
          <w:highlight w:val="none"/>
        </w:rPr>
        <w:t>：</w:t>
      </w:r>
    </w:p>
    <w:p w14:paraId="5499508B">
      <w:pPr>
        <w:kinsoku/>
        <w:wordWrap w:val="0"/>
        <w:overflowPunct/>
        <w:topLinePunct w:val="0"/>
        <w:bidi w:val="0"/>
        <w:spacing w:line="800" w:lineRule="exact"/>
        <w:ind w:firstLine="480" w:firstLineChars="20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70DC5817">
      <w:pPr>
        <w:kinsoku/>
        <w:wordWrap w:val="0"/>
        <w:overflowPunct/>
        <w:topLinePunct w:val="0"/>
        <w:bidi w:val="0"/>
        <w:spacing w:line="600" w:lineRule="auto"/>
        <w:ind w:firstLine="480" w:firstLineChars="200"/>
        <w:rPr>
          <w:rFonts w:hint="default" w:ascii="宋体"/>
          <w:color w:val="auto"/>
          <w:sz w:val="24"/>
          <w:highlight w:val="none"/>
          <w:lang w:val="en-US" w:eastAsia="zh-CN"/>
        </w:rPr>
      </w:pPr>
      <w:r>
        <w:rPr>
          <w:rFonts w:hint="eastAsia" w:ascii="宋体"/>
          <w:color w:val="auto"/>
          <w:sz w:val="24"/>
          <w:highlight w:val="none"/>
          <w:lang w:val="en-US" w:eastAsia="zh-CN"/>
        </w:rPr>
        <w:t>并郑重承诺如下：</w:t>
      </w:r>
    </w:p>
    <w:p w14:paraId="02E813F4">
      <w:pPr>
        <w:numPr>
          <w:ilvl w:val="0"/>
          <w:numId w:val="0"/>
        </w:numPr>
        <w:kinsoku/>
        <w:wordWrap w:val="0"/>
        <w:overflowPunct/>
        <w:topLinePunct w:val="0"/>
        <w:bidi w:val="0"/>
        <w:spacing w:line="600" w:lineRule="auto"/>
        <w:ind w:firstLine="482" w:firstLineChars="200"/>
        <w:rPr>
          <w:rFonts w:hint="eastAsia" w:ascii="宋体"/>
          <w:b/>
          <w:bCs/>
          <w:color w:val="auto"/>
          <w:sz w:val="24"/>
          <w:highlight w:val="none"/>
          <w:lang w:val="en-US" w:eastAsia="zh-CN"/>
        </w:rPr>
      </w:pPr>
      <w:r>
        <w:rPr>
          <w:rFonts w:hint="eastAsia" w:ascii="宋体"/>
          <w:b/>
          <w:bCs/>
          <w:color w:val="auto"/>
          <w:sz w:val="24"/>
          <w:highlight w:val="none"/>
          <w:lang w:val="en-US" w:eastAsia="zh-CN"/>
        </w:rPr>
        <w:t>1、招标文件第五章《采购需求》中</w:t>
      </w:r>
      <w:r>
        <w:rPr>
          <w:rFonts w:hint="eastAsia" w:ascii="宋体" w:hAnsi="宋体" w:eastAsia="宋体" w:cs="Times New Roman"/>
          <w:b/>
          <w:bCs/>
          <w:color w:val="auto"/>
          <w:sz w:val="24"/>
          <w:szCs w:val="24"/>
          <w:highlight w:val="none"/>
          <w:lang w:eastAsia="zh-CN"/>
        </w:rPr>
        <w:t>服务人员</w:t>
      </w:r>
      <w:r>
        <w:rPr>
          <w:rFonts w:hint="eastAsia" w:ascii="宋体" w:hAnsi="宋体" w:cs="Times New Roman"/>
          <w:b/>
          <w:bCs/>
          <w:color w:val="auto"/>
          <w:sz w:val="24"/>
          <w:szCs w:val="24"/>
          <w:highlight w:val="none"/>
          <w:lang w:val="en-US" w:eastAsia="zh-CN"/>
        </w:rPr>
        <w:t>最低</w:t>
      </w:r>
      <w:r>
        <w:rPr>
          <w:rFonts w:hint="eastAsia" w:ascii="宋体" w:hAnsi="宋体" w:eastAsia="宋体" w:cs="Times New Roman"/>
          <w:b/>
          <w:bCs/>
          <w:color w:val="auto"/>
          <w:sz w:val="24"/>
          <w:szCs w:val="24"/>
          <w:highlight w:val="none"/>
          <w:lang w:eastAsia="zh-CN"/>
        </w:rPr>
        <w:t>配置</w:t>
      </w:r>
      <w:r>
        <w:rPr>
          <w:rFonts w:hint="eastAsia" w:ascii="宋体" w:hAnsi="宋体" w:cs="Times New Roman"/>
          <w:b/>
          <w:bCs/>
          <w:color w:val="auto"/>
          <w:sz w:val="24"/>
          <w:szCs w:val="24"/>
          <w:highlight w:val="none"/>
          <w:lang w:val="en-US" w:eastAsia="zh-CN"/>
        </w:rPr>
        <w:t>标准及</w:t>
      </w:r>
      <w:r>
        <w:rPr>
          <w:rFonts w:hint="eastAsia" w:ascii="宋体" w:hAnsi="宋体" w:eastAsia="宋体" w:cs="Times New Roman"/>
          <w:b/>
          <w:bCs/>
          <w:color w:val="auto"/>
          <w:sz w:val="24"/>
          <w:szCs w:val="24"/>
          <w:highlight w:val="none"/>
          <w:lang w:eastAsia="zh-CN"/>
        </w:rPr>
        <w:t>要求、车辆</w:t>
      </w:r>
      <w:r>
        <w:rPr>
          <w:rFonts w:hint="eastAsia" w:ascii="宋体" w:hAnsi="宋体" w:cs="Times New Roman"/>
          <w:b/>
          <w:bCs/>
          <w:color w:val="auto"/>
          <w:sz w:val="24"/>
          <w:szCs w:val="24"/>
          <w:highlight w:val="none"/>
          <w:lang w:val="en-US" w:eastAsia="zh-CN"/>
        </w:rPr>
        <w:t>最低配备标准及</w:t>
      </w:r>
      <w:r>
        <w:rPr>
          <w:rFonts w:hint="eastAsia" w:ascii="宋体" w:hAnsi="宋体" w:eastAsia="宋体" w:cs="Times New Roman"/>
          <w:b/>
          <w:bCs/>
          <w:color w:val="auto"/>
          <w:sz w:val="24"/>
          <w:szCs w:val="24"/>
          <w:highlight w:val="none"/>
          <w:lang w:eastAsia="zh-CN"/>
        </w:rPr>
        <w:t>要求</w:t>
      </w:r>
      <w:r>
        <w:rPr>
          <w:rFonts w:hint="eastAsia" w:ascii="宋体"/>
          <w:b/>
          <w:bCs/>
          <w:color w:val="auto"/>
          <w:sz w:val="24"/>
          <w:highlight w:val="none"/>
          <w:lang w:val="en-US" w:eastAsia="zh-CN"/>
        </w:rPr>
        <w:t>完全满足。</w:t>
      </w:r>
    </w:p>
    <w:p w14:paraId="525EBEBE">
      <w:pPr>
        <w:numPr>
          <w:ilvl w:val="0"/>
          <w:numId w:val="0"/>
        </w:numPr>
        <w:kinsoku/>
        <w:wordWrap w:val="0"/>
        <w:overflowPunct/>
        <w:topLinePunct w:val="0"/>
        <w:bidi w:val="0"/>
        <w:spacing w:line="600" w:lineRule="auto"/>
        <w:ind w:firstLine="482" w:firstLineChars="200"/>
        <w:rPr>
          <w:rFonts w:hint="default" w:ascii="宋体"/>
          <w:b/>
          <w:bCs/>
          <w:color w:val="auto"/>
          <w:sz w:val="24"/>
          <w:highlight w:val="none"/>
          <w:lang w:val="en-US" w:eastAsia="zh-CN"/>
        </w:rPr>
      </w:pPr>
      <w:r>
        <w:rPr>
          <w:rFonts w:hint="eastAsia" w:ascii="宋体"/>
          <w:b/>
          <w:bCs/>
          <w:color w:val="auto"/>
          <w:sz w:val="24"/>
          <w:highlight w:val="none"/>
          <w:lang w:val="en-US" w:eastAsia="zh-CN"/>
        </w:rPr>
        <w:t>2、我单位承诺</w:t>
      </w:r>
      <w:r>
        <w:rPr>
          <w:rFonts w:hint="default" w:ascii="宋体"/>
          <w:b/>
          <w:bCs/>
          <w:color w:val="auto"/>
          <w:sz w:val="24"/>
          <w:highlight w:val="none"/>
          <w:lang w:val="en-US" w:eastAsia="zh-CN"/>
        </w:rPr>
        <w:t>为本项目所有配备人员购买人身意外伤害保险</w:t>
      </w:r>
      <w:r>
        <w:rPr>
          <w:rFonts w:hint="eastAsia" w:ascii="宋体"/>
          <w:b/>
          <w:bCs/>
          <w:color w:val="auto"/>
          <w:sz w:val="24"/>
          <w:highlight w:val="none"/>
          <w:lang w:val="en-US" w:eastAsia="zh-CN"/>
        </w:rPr>
        <w:t>。</w:t>
      </w:r>
    </w:p>
    <w:p w14:paraId="13D1B473">
      <w:pPr>
        <w:pStyle w:val="12"/>
        <w:kinsoku/>
        <w:wordWrap w:val="0"/>
        <w:overflowPunct/>
        <w:topLinePunct w:val="0"/>
        <w:bidi w:val="0"/>
        <w:rPr>
          <w:rFonts w:hint="default"/>
          <w:color w:val="auto"/>
          <w:highlight w:val="none"/>
          <w:lang w:val="en-US" w:eastAsia="zh-CN"/>
        </w:rPr>
      </w:pPr>
    </w:p>
    <w:p w14:paraId="52626E71">
      <w:pPr>
        <w:kinsoku/>
        <w:wordWrap w:val="0"/>
        <w:overflowPunct/>
        <w:topLinePunct w:val="0"/>
        <w:bidi w:val="0"/>
        <w:spacing w:line="600" w:lineRule="auto"/>
        <w:ind w:firstLine="480" w:firstLineChars="200"/>
        <w:rPr>
          <w:rFonts w:hint="eastAsia" w:ascii="宋体"/>
          <w:color w:val="auto"/>
          <w:sz w:val="24"/>
          <w:highlight w:val="none"/>
        </w:rPr>
      </w:pPr>
      <w:r>
        <w:rPr>
          <w:rFonts w:hint="eastAsia" w:ascii="宋体"/>
          <w:color w:val="auto"/>
          <w:sz w:val="24"/>
          <w:highlight w:val="none"/>
        </w:rPr>
        <w:t>特此声明。</w:t>
      </w:r>
    </w:p>
    <w:p w14:paraId="0A8297EE">
      <w:pPr>
        <w:kinsoku/>
        <w:wordWrap w:val="0"/>
        <w:overflowPunct/>
        <w:topLinePunct w:val="0"/>
        <w:bidi w:val="0"/>
        <w:spacing w:line="600" w:lineRule="auto"/>
        <w:ind w:firstLine="480" w:firstLineChars="200"/>
        <w:rPr>
          <w:rFonts w:hint="eastAsia" w:ascii="宋体"/>
          <w:color w:val="auto"/>
          <w:sz w:val="24"/>
          <w:highlight w:val="none"/>
        </w:rPr>
      </w:pPr>
    </w:p>
    <w:p w14:paraId="30843643">
      <w:pPr>
        <w:kinsoku/>
        <w:wordWrap w:val="0"/>
        <w:overflowPunct/>
        <w:topLinePunct w:val="0"/>
        <w:bidi w:val="0"/>
        <w:spacing w:line="480" w:lineRule="auto"/>
        <w:ind w:firstLine="480" w:firstLineChars="200"/>
        <w:jc w:val="right"/>
        <w:rPr>
          <w:rFonts w:hint="eastAsia" w:ascii="宋体" w:hAnsi="宋体"/>
          <w:color w:val="auto"/>
          <w:sz w:val="24"/>
          <w:highlight w:val="none"/>
        </w:rPr>
      </w:pPr>
    </w:p>
    <w:p w14:paraId="036E7DF3">
      <w:pPr>
        <w:kinsoku/>
        <w:wordWrap w:val="0"/>
        <w:overflowPunct/>
        <w:topLinePunct w:val="0"/>
        <w:bidi w:val="0"/>
        <w:spacing w:line="480" w:lineRule="auto"/>
        <w:jc w:val="center"/>
        <w:rPr>
          <w:rFonts w:hint="eastAsia" w:ascii="宋体" w:hAnsi="宋体"/>
          <w:color w:val="auto"/>
          <w:sz w:val="24"/>
          <w:highlight w:val="none"/>
        </w:rPr>
      </w:pPr>
      <w:r>
        <w:rPr>
          <w:rFonts w:hint="eastAsia" w:ascii="宋体" w:hAnsi="宋体"/>
          <w:color w:val="auto"/>
          <w:sz w:val="24"/>
          <w:highlight w:val="none"/>
        </w:rPr>
        <w:t xml:space="preserve">   投标人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签章</w:t>
      </w:r>
      <w:r>
        <w:rPr>
          <w:rFonts w:hint="eastAsia" w:ascii="宋体" w:hAnsi="宋体"/>
          <w:color w:val="auto"/>
          <w:sz w:val="24"/>
          <w:highlight w:val="none"/>
          <w:lang w:eastAsia="zh-CN"/>
        </w:rPr>
        <w:t>）</w:t>
      </w:r>
      <w:r>
        <w:rPr>
          <w:rFonts w:hint="eastAsia" w:ascii="宋体" w:hAnsi="宋体"/>
          <w:color w:val="auto"/>
          <w:sz w:val="24"/>
          <w:highlight w:val="none"/>
        </w:rPr>
        <w:t>：</w:t>
      </w:r>
    </w:p>
    <w:p w14:paraId="02E84795">
      <w:pPr>
        <w:kinsoku/>
        <w:wordWrap w:val="0"/>
        <w:overflowPunct/>
        <w:topLinePunct w:val="0"/>
        <w:bidi w:val="0"/>
        <w:spacing w:line="480" w:lineRule="auto"/>
        <w:jc w:val="center"/>
        <w:rPr>
          <w:rFonts w:hint="eastAsia" w:ascii="宋体" w:hAnsi="宋体"/>
          <w:color w:val="auto"/>
          <w:sz w:val="24"/>
          <w:highlight w:val="none"/>
        </w:rPr>
      </w:pPr>
      <w:r>
        <w:rPr>
          <w:rFonts w:hint="eastAsia" w:ascii="宋体"/>
          <w:color w:val="auto"/>
          <w:sz w:val="24"/>
          <w:highlight w:val="none"/>
        </w:rPr>
        <w:t xml:space="preserve">法定代表人（签章）： </w:t>
      </w:r>
    </w:p>
    <w:p w14:paraId="725ACED6">
      <w:pPr>
        <w:kinsoku/>
        <w:wordWrap w:val="0"/>
        <w:overflowPunct/>
        <w:topLinePunct w:val="0"/>
        <w:bidi w:val="0"/>
        <w:spacing w:line="480" w:lineRule="auto"/>
        <w:jc w:val="right"/>
        <w:rPr>
          <w:b/>
          <w:color w:val="auto"/>
          <w:sz w:val="36"/>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6A2A7BC">
      <w:pPr>
        <w:kinsoku/>
        <w:wordWrap w:val="0"/>
        <w:overflowPunct/>
        <w:topLinePunct w:val="0"/>
        <w:bidi w:val="0"/>
        <w:adjustRightInd w:val="0"/>
        <w:snapToGrid w:val="0"/>
        <w:spacing w:line="560" w:lineRule="exact"/>
        <w:ind w:firstLine="420" w:firstLineChars="200"/>
        <w:rPr>
          <w:rFonts w:hint="eastAsia" w:ascii="宋体" w:hAnsi="宋体" w:eastAsia="宋体" w:cs="Times New Roman"/>
          <w:color w:val="auto"/>
          <w:szCs w:val="21"/>
          <w:highlight w:val="none"/>
          <w:lang w:val="en-US" w:eastAsia="zh-CN"/>
        </w:rPr>
      </w:pPr>
    </w:p>
    <w:p w14:paraId="734DF9F9">
      <w:pPr>
        <w:kinsoku/>
        <w:wordWrap w:val="0"/>
        <w:overflowPunct/>
        <w:topLinePunct w:val="0"/>
        <w:bidi w:val="0"/>
        <w:spacing w:line="600" w:lineRule="auto"/>
        <w:ind w:firstLine="480" w:firstLineChars="200"/>
        <w:rPr>
          <w:rFonts w:hint="default" w:ascii="宋体"/>
          <w:color w:val="auto"/>
          <w:sz w:val="24"/>
          <w:highlight w:val="none"/>
          <w:lang w:val="en-US" w:eastAsia="zh-CN"/>
        </w:rPr>
      </w:pPr>
    </w:p>
    <w:p w14:paraId="06DA1E0B">
      <w:pPr>
        <w:kinsoku/>
        <w:wordWrap w:val="0"/>
        <w:overflowPunct/>
        <w:topLinePunct w:val="0"/>
        <w:bidi w:val="0"/>
        <w:adjustRightInd w:val="0"/>
        <w:snapToGrid w:val="0"/>
        <w:spacing w:line="560" w:lineRule="exact"/>
        <w:ind w:firstLine="420" w:firstLineChars="200"/>
        <w:rPr>
          <w:rFonts w:hint="eastAsia" w:ascii="宋体" w:hAnsi="宋体" w:eastAsia="宋体" w:cs="Times New Roman"/>
          <w:color w:val="auto"/>
          <w:szCs w:val="21"/>
          <w:highlight w:val="none"/>
          <w:lang w:val="en-US" w:eastAsia="zh-CN"/>
        </w:rPr>
      </w:pPr>
    </w:p>
    <w:p w14:paraId="268A6254">
      <w:pPr>
        <w:kinsoku/>
        <w:wordWrap w:val="0"/>
        <w:overflowPunct/>
        <w:topLinePunct w:val="0"/>
        <w:bidi w:val="0"/>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D6091B2">
      <w:pPr>
        <w:kinsoku/>
        <w:wordWrap w:val="0"/>
        <w:overflowPunct/>
        <w:topLinePunct w:val="0"/>
        <w:bidi w:val="0"/>
        <w:spacing w:before="100" w:beforeAutospacing="1" w:after="100" w:afterAutospacing="1"/>
        <w:jc w:val="center"/>
        <w:outlineLvl w:val="1"/>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二、技术标格式文件</w:t>
      </w:r>
    </w:p>
    <w:p w14:paraId="5222B23A">
      <w:pPr>
        <w:kinsoku/>
        <w:wordWrap w:val="0"/>
        <w:overflowPunct/>
        <w:topLinePunct w:val="0"/>
        <w:bidi w:val="0"/>
        <w:jc w:val="center"/>
        <w:rPr>
          <w:rFonts w:hint="eastAsia" w:ascii="宋体"/>
          <w:b/>
          <w:color w:val="auto"/>
          <w:sz w:val="44"/>
          <w:szCs w:val="44"/>
          <w:highlight w:val="none"/>
        </w:rPr>
      </w:pPr>
      <w:bookmarkStart w:id="125" w:name="_Toc387149626"/>
      <w:bookmarkStart w:id="126" w:name="_Toc449028953"/>
    </w:p>
    <w:p w14:paraId="44A2C3F5">
      <w:pPr>
        <w:kinsoku/>
        <w:wordWrap w:val="0"/>
        <w:overflowPunct/>
        <w:topLinePunct w:val="0"/>
        <w:bidi w:val="0"/>
        <w:jc w:val="center"/>
        <w:rPr>
          <w:rFonts w:hint="eastAsia" w:ascii="宋体"/>
          <w:b/>
          <w:color w:val="auto"/>
          <w:sz w:val="44"/>
          <w:szCs w:val="44"/>
          <w:highlight w:val="none"/>
        </w:rPr>
      </w:pPr>
      <w:r>
        <w:rPr>
          <w:rFonts w:hint="eastAsia" w:ascii="宋体"/>
          <w:b/>
          <w:color w:val="auto"/>
          <w:sz w:val="44"/>
          <w:szCs w:val="44"/>
          <w:highlight w:val="none"/>
        </w:rPr>
        <w:t>技术标</w:t>
      </w:r>
      <w:bookmarkEnd w:id="125"/>
      <w:bookmarkEnd w:id="126"/>
    </w:p>
    <w:p w14:paraId="4F352A56">
      <w:pPr>
        <w:kinsoku/>
        <w:wordWrap w:val="0"/>
        <w:overflowPunct/>
        <w:topLinePunct w:val="0"/>
        <w:bidi w:val="0"/>
        <w:jc w:val="center"/>
        <w:rPr>
          <w:rFonts w:hint="eastAsia" w:ascii="宋体"/>
          <w:color w:val="auto"/>
          <w:sz w:val="32"/>
          <w:szCs w:val="32"/>
          <w:highlight w:val="none"/>
        </w:rPr>
      </w:pPr>
      <w:r>
        <w:rPr>
          <w:rFonts w:hint="eastAsia" w:ascii="宋体"/>
          <w:color w:val="auto"/>
          <w:sz w:val="32"/>
          <w:szCs w:val="32"/>
          <w:highlight w:val="none"/>
        </w:rPr>
        <w:t>（投标文件二）</w:t>
      </w:r>
    </w:p>
    <w:p w14:paraId="55D09B65">
      <w:pPr>
        <w:kinsoku/>
        <w:wordWrap w:val="0"/>
        <w:overflowPunct/>
        <w:topLinePunct w:val="0"/>
        <w:bidi w:val="0"/>
        <w:jc w:val="center"/>
        <w:rPr>
          <w:rFonts w:hint="eastAsia" w:eastAsia="黑体"/>
          <w:color w:val="auto"/>
          <w:sz w:val="44"/>
          <w:szCs w:val="44"/>
          <w:highlight w:val="none"/>
        </w:rPr>
      </w:pPr>
    </w:p>
    <w:p w14:paraId="3D8AFA70">
      <w:pPr>
        <w:kinsoku/>
        <w:wordWrap w:val="0"/>
        <w:overflowPunct/>
        <w:topLinePunct w:val="0"/>
        <w:bidi w:val="0"/>
        <w:jc w:val="center"/>
        <w:rPr>
          <w:rFonts w:hint="default" w:ascii="宋体" w:eastAsia="宋体"/>
          <w:color w:val="auto"/>
          <w:sz w:val="32"/>
          <w:szCs w:val="32"/>
          <w:highlight w:val="none"/>
          <w:u w:val="single"/>
          <w:lang w:val="en-US" w:eastAsia="zh-CN"/>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B1551F2">
      <w:pPr>
        <w:kinsoku/>
        <w:wordWrap w:val="0"/>
        <w:overflowPunct/>
        <w:topLinePunct w:val="0"/>
        <w:bidi w:val="0"/>
        <w:jc w:val="center"/>
        <w:rPr>
          <w:rFonts w:hint="eastAsia" w:ascii="宋体"/>
          <w:color w:val="auto"/>
          <w:sz w:val="28"/>
          <w:szCs w:val="28"/>
          <w:highlight w:val="none"/>
          <w:u w:val="single"/>
        </w:rPr>
      </w:pPr>
      <w:r>
        <w:rPr>
          <w:rFonts w:hint="eastAsia" w:ascii="宋体"/>
          <w:color w:val="auto"/>
          <w:sz w:val="28"/>
          <w:szCs w:val="28"/>
          <w:highlight w:val="none"/>
        </w:rPr>
        <w:t>项目编号</w:t>
      </w:r>
      <w:r>
        <w:rPr>
          <w:rFonts w:hint="eastAsia" w:ascii="宋体"/>
          <w:color w:val="auto"/>
          <w:sz w:val="28"/>
          <w:szCs w:val="28"/>
          <w:highlight w:val="none"/>
          <w:lang w:eastAsia="zh-CN"/>
        </w:rPr>
        <w:t>：</w:t>
      </w:r>
      <w:r>
        <w:rPr>
          <w:rFonts w:hint="eastAsia" w:ascii="宋体"/>
          <w:color w:val="auto"/>
          <w:sz w:val="28"/>
          <w:szCs w:val="28"/>
          <w:highlight w:val="none"/>
          <w:u w:val="single"/>
        </w:rPr>
        <w:t xml:space="preserve">      </w:t>
      </w:r>
    </w:p>
    <w:p w14:paraId="4EAC96E0">
      <w:pPr>
        <w:kinsoku/>
        <w:wordWrap w:val="0"/>
        <w:overflowPunct/>
        <w:topLinePunct w:val="0"/>
        <w:bidi w:val="0"/>
        <w:jc w:val="center"/>
        <w:rPr>
          <w:rFonts w:hint="eastAsia" w:ascii="宋体"/>
          <w:color w:val="auto"/>
          <w:sz w:val="28"/>
          <w:szCs w:val="28"/>
          <w:highlight w:val="none"/>
          <w:u w:val="single"/>
        </w:rPr>
      </w:pPr>
    </w:p>
    <w:p w14:paraId="4337AAF9">
      <w:pPr>
        <w:kinsoku/>
        <w:wordWrap w:val="0"/>
        <w:overflowPunct/>
        <w:topLinePunct w:val="0"/>
        <w:bidi w:val="0"/>
        <w:jc w:val="center"/>
        <w:rPr>
          <w:rFonts w:hint="eastAsia" w:ascii="宋体"/>
          <w:color w:val="auto"/>
          <w:sz w:val="28"/>
          <w:szCs w:val="28"/>
          <w:highlight w:val="none"/>
          <w:u w:val="single"/>
        </w:rPr>
      </w:pPr>
    </w:p>
    <w:p w14:paraId="4FFD799D">
      <w:pPr>
        <w:kinsoku/>
        <w:wordWrap w:val="0"/>
        <w:overflowPunct/>
        <w:topLinePunct w:val="0"/>
        <w:bidi w:val="0"/>
        <w:jc w:val="center"/>
        <w:rPr>
          <w:rFonts w:hint="eastAsia" w:ascii="宋体"/>
          <w:color w:val="auto"/>
          <w:sz w:val="28"/>
          <w:szCs w:val="28"/>
          <w:highlight w:val="none"/>
          <w:u w:val="single"/>
        </w:rPr>
      </w:pPr>
    </w:p>
    <w:p w14:paraId="3C008708">
      <w:pPr>
        <w:kinsoku/>
        <w:wordWrap w:val="0"/>
        <w:overflowPunct/>
        <w:topLinePunct w:val="0"/>
        <w:bidi w:val="0"/>
        <w:jc w:val="center"/>
        <w:rPr>
          <w:rFonts w:hint="eastAsia" w:ascii="宋体"/>
          <w:color w:val="auto"/>
          <w:sz w:val="28"/>
          <w:szCs w:val="28"/>
          <w:highlight w:val="none"/>
          <w:u w:val="single"/>
        </w:rPr>
      </w:pPr>
    </w:p>
    <w:p w14:paraId="70921C16">
      <w:pPr>
        <w:kinsoku/>
        <w:wordWrap w:val="0"/>
        <w:overflowPunct/>
        <w:topLinePunct w:val="0"/>
        <w:bidi w:val="0"/>
        <w:jc w:val="center"/>
        <w:rPr>
          <w:rFonts w:hint="eastAsia" w:ascii="宋体"/>
          <w:color w:val="auto"/>
          <w:sz w:val="28"/>
          <w:szCs w:val="28"/>
          <w:highlight w:val="none"/>
          <w:u w:val="single"/>
        </w:rPr>
      </w:pPr>
    </w:p>
    <w:p w14:paraId="2D2B44EC">
      <w:pPr>
        <w:kinsoku/>
        <w:wordWrap w:val="0"/>
        <w:overflowPunct/>
        <w:topLinePunct w:val="0"/>
        <w:bidi w:val="0"/>
        <w:jc w:val="center"/>
        <w:rPr>
          <w:rFonts w:hint="eastAsia" w:ascii="宋体"/>
          <w:color w:val="auto"/>
          <w:sz w:val="28"/>
          <w:szCs w:val="28"/>
          <w:highlight w:val="none"/>
          <w:u w:val="single"/>
        </w:rPr>
      </w:pPr>
    </w:p>
    <w:p w14:paraId="2B6F44B8">
      <w:pPr>
        <w:kinsoku/>
        <w:wordWrap w:val="0"/>
        <w:overflowPunct/>
        <w:topLinePunct w:val="0"/>
        <w:bidi w:val="0"/>
        <w:jc w:val="both"/>
        <w:rPr>
          <w:rFonts w:hint="eastAsia" w:ascii="宋体"/>
          <w:color w:val="auto"/>
          <w:sz w:val="28"/>
          <w:szCs w:val="28"/>
          <w:highlight w:val="none"/>
          <w:u w:val="single"/>
        </w:rPr>
      </w:pPr>
    </w:p>
    <w:p w14:paraId="12029229">
      <w:pPr>
        <w:kinsoku/>
        <w:wordWrap w:val="0"/>
        <w:overflowPunct/>
        <w:topLinePunct w:val="0"/>
        <w:bidi w:val="0"/>
        <w:jc w:val="center"/>
        <w:rPr>
          <w:rFonts w:hint="eastAsia" w:ascii="宋体"/>
          <w:color w:val="auto"/>
          <w:sz w:val="28"/>
          <w:szCs w:val="28"/>
          <w:highlight w:val="none"/>
          <w:u w:val="single"/>
        </w:rPr>
      </w:pPr>
    </w:p>
    <w:p w14:paraId="60BCA300">
      <w:pPr>
        <w:kinsoku/>
        <w:wordWrap w:val="0"/>
        <w:overflowPunct/>
        <w:topLinePunct w:val="0"/>
        <w:bidi w:val="0"/>
        <w:jc w:val="center"/>
        <w:rPr>
          <w:rFonts w:hint="eastAsia" w:ascii="宋体"/>
          <w:color w:val="auto"/>
          <w:sz w:val="28"/>
          <w:szCs w:val="28"/>
          <w:highlight w:val="none"/>
          <w:u w:val="single"/>
        </w:rPr>
      </w:pPr>
    </w:p>
    <w:p w14:paraId="370EABF6">
      <w:pPr>
        <w:kinsoku/>
        <w:wordWrap w:val="0"/>
        <w:overflowPunct/>
        <w:topLinePunct w:val="0"/>
        <w:bidi w:val="0"/>
        <w:jc w:val="center"/>
        <w:rPr>
          <w:rFonts w:hint="eastAsia" w:ascii="宋体"/>
          <w:color w:val="auto"/>
          <w:sz w:val="28"/>
          <w:szCs w:val="28"/>
          <w:highlight w:val="none"/>
          <w:u w:val="single"/>
        </w:rPr>
      </w:pPr>
    </w:p>
    <w:p w14:paraId="7F9658FA">
      <w:pPr>
        <w:kinsoku/>
        <w:wordWrap w:val="0"/>
        <w:overflowPunct/>
        <w:topLinePunct w:val="0"/>
        <w:bidi w:val="0"/>
        <w:jc w:val="center"/>
        <w:rPr>
          <w:rFonts w:hint="eastAsia" w:ascii="宋体"/>
          <w:color w:val="auto"/>
          <w:sz w:val="28"/>
          <w:szCs w:val="28"/>
          <w:highlight w:val="none"/>
          <w:u w:val="single"/>
        </w:rPr>
      </w:pPr>
    </w:p>
    <w:p w14:paraId="7F583A26">
      <w:pPr>
        <w:kinsoku/>
        <w:wordWrap w:val="0"/>
        <w:overflowPunct/>
        <w:topLinePunct w:val="0"/>
        <w:bidi w:val="0"/>
        <w:jc w:val="center"/>
        <w:rPr>
          <w:rFonts w:hint="eastAsia" w:ascii="宋体"/>
          <w:color w:val="auto"/>
          <w:sz w:val="28"/>
          <w:szCs w:val="28"/>
          <w:highlight w:val="none"/>
          <w:u w:val="single"/>
        </w:rPr>
      </w:pPr>
    </w:p>
    <w:p w14:paraId="21CC2BC0">
      <w:pPr>
        <w:kinsoku/>
        <w:wordWrap w:val="0"/>
        <w:overflowPunct/>
        <w:topLinePunct w:val="0"/>
        <w:bidi w:val="0"/>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6604619">
      <w:pPr>
        <w:pStyle w:val="12"/>
        <w:kinsoku/>
        <w:wordWrap w:val="0"/>
        <w:overflowPunct/>
        <w:topLinePunct w:val="0"/>
        <w:bidi w:val="0"/>
        <w:ind w:firstLine="560"/>
        <w:rPr>
          <w:rFonts w:hint="eastAsia" w:ascii="宋体"/>
          <w:color w:val="auto"/>
          <w:sz w:val="28"/>
          <w:szCs w:val="28"/>
          <w:highlight w:val="none"/>
        </w:rPr>
      </w:pPr>
    </w:p>
    <w:p w14:paraId="3CD989C2">
      <w:pPr>
        <w:kinsoku/>
        <w:wordWrap w:val="0"/>
        <w:overflowPunct/>
        <w:topLinePunct w:val="0"/>
        <w:bidi w:val="0"/>
        <w:rPr>
          <w:rFonts w:hint="eastAsia"/>
          <w:color w:val="auto"/>
          <w:highlight w:val="none"/>
        </w:rPr>
      </w:pPr>
    </w:p>
    <w:p w14:paraId="1B95989A">
      <w:pPr>
        <w:kinsoku/>
        <w:wordWrap w:val="0"/>
        <w:overflowPunct/>
        <w:topLinePunct w:val="0"/>
        <w:bidi w:val="0"/>
        <w:rPr>
          <w:rFonts w:hint="eastAsia" w:ascii="宋体"/>
          <w:color w:val="auto"/>
          <w:sz w:val="28"/>
          <w:szCs w:val="28"/>
          <w:highlight w:val="none"/>
        </w:rPr>
      </w:pPr>
    </w:p>
    <w:p w14:paraId="3D29B921">
      <w:pPr>
        <w:pStyle w:val="12"/>
        <w:kinsoku/>
        <w:wordWrap w:val="0"/>
        <w:overflowPunct/>
        <w:topLinePunct w:val="0"/>
        <w:bidi w:val="0"/>
        <w:ind w:firstLine="400"/>
        <w:rPr>
          <w:rFonts w:hint="eastAsia"/>
          <w:color w:val="auto"/>
          <w:highlight w:val="none"/>
        </w:rPr>
      </w:pPr>
    </w:p>
    <w:p w14:paraId="235F37AD">
      <w:pPr>
        <w:kinsoku/>
        <w:wordWrap w:val="0"/>
        <w:overflowPunct/>
        <w:topLinePunct w:val="0"/>
        <w:bidi w:val="0"/>
        <w:spacing w:line="400" w:lineRule="exact"/>
        <w:jc w:val="both"/>
        <w:rPr>
          <w:rFonts w:hint="eastAsia"/>
          <w:b/>
          <w:color w:val="auto"/>
          <w:sz w:val="36"/>
          <w:szCs w:val="36"/>
          <w:highlight w:val="none"/>
        </w:rPr>
      </w:pPr>
    </w:p>
    <w:p w14:paraId="59910E82">
      <w:pPr>
        <w:kinsoku/>
        <w:wordWrap w:val="0"/>
        <w:overflowPunct/>
        <w:topLinePunct w:val="0"/>
        <w:bidi w:val="0"/>
        <w:jc w:val="center"/>
        <w:rPr>
          <w:rFonts w:hint="eastAsia" w:ascii="Times New Roman" w:hAnsi="Times New Roman" w:cs="Times New Roman"/>
          <w:b/>
          <w:color w:val="auto"/>
          <w:sz w:val="36"/>
          <w:szCs w:val="36"/>
          <w:highlight w:val="none"/>
        </w:rPr>
      </w:pPr>
      <w:r>
        <w:rPr>
          <w:rFonts w:hint="eastAsia" w:ascii="Times New Roman" w:hAnsi="Times New Roman" w:cs="Times New Roman"/>
          <w:b/>
          <w:color w:val="auto"/>
          <w:sz w:val="36"/>
          <w:szCs w:val="36"/>
          <w:highlight w:val="none"/>
        </w:rPr>
        <w:t>目   录</w:t>
      </w:r>
    </w:p>
    <w:p w14:paraId="5FA89961">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 w:val="21"/>
          <w:szCs w:val="21"/>
          <w:highlight w:val="none"/>
        </w:rPr>
        <w:t>人员配备</w:t>
      </w:r>
      <w:r>
        <w:rPr>
          <w:rFonts w:hint="eastAsia" w:ascii="宋体" w:hAnsi="宋体" w:eastAsia="宋体" w:cs="宋体"/>
          <w:b w:val="0"/>
          <w:bCs/>
          <w:color w:val="auto"/>
          <w:sz w:val="21"/>
          <w:szCs w:val="21"/>
          <w:highlight w:val="none"/>
          <w:shd w:val="clear" w:color="auto" w:fill="auto"/>
        </w:rPr>
        <w:t>管理</w:t>
      </w:r>
      <w:r>
        <w:rPr>
          <w:rFonts w:hint="eastAsia" w:ascii="宋体" w:hAnsi="宋体" w:eastAsia="宋体" w:cs="宋体"/>
          <w:color w:val="auto"/>
          <w:sz w:val="21"/>
          <w:szCs w:val="21"/>
          <w:highlight w:val="none"/>
        </w:rPr>
        <w:t>方案</w:t>
      </w:r>
      <w:r>
        <w:rPr>
          <w:rFonts w:hint="eastAsia" w:ascii="宋体" w:hAnsi="宋体" w:eastAsia="宋体" w:cs="宋体"/>
          <w:color w:val="auto"/>
          <w:szCs w:val="21"/>
          <w:highlight w:val="none"/>
          <w:lang w:val="en-US" w:eastAsia="zh-CN"/>
        </w:rPr>
        <w:t>；</w:t>
      </w:r>
    </w:p>
    <w:p w14:paraId="4CFD3020">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kern w:val="0"/>
          <w:sz w:val="21"/>
          <w:szCs w:val="21"/>
          <w:highlight w:val="none"/>
        </w:rPr>
        <w:t>管理规章制度</w:t>
      </w:r>
      <w:r>
        <w:rPr>
          <w:rFonts w:hint="eastAsia" w:ascii="宋体" w:hAnsi="宋体" w:eastAsia="宋体" w:cs="宋体"/>
          <w:color w:val="auto"/>
          <w:kern w:val="2"/>
          <w:sz w:val="21"/>
          <w:szCs w:val="24"/>
          <w:highlight w:val="none"/>
          <w:lang w:val="en-US" w:eastAsia="zh-CN" w:bidi="ar-SA"/>
        </w:rPr>
        <w:t>；</w:t>
      </w:r>
    </w:p>
    <w:p w14:paraId="4D30C438">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kern w:val="0"/>
          <w:sz w:val="21"/>
          <w:szCs w:val="21"/>
          <w:highlight w:val="none"/>
        </w:rPr>
        <w:t>管理方案</w:t>
      </w:r>
      <w:r>
        <w:rPr>
          <w:rFonts w:hint="eastAsia" w:ascii="宋体" w:hAnsi="宋体" w:eastAsia="宋体" w:cs="宋体"/>
          <w:color w:val="auto"/>
          <w:szCs w:val="21"/>
          <w:highlight w:val="none"/>
          <w:lang w:val="en-US" w:eastAsia="zh-CN"/>
        </w:rPr>
        <w:t>；</w:t>
      </w:r>
    </w:p>
    <w:p w14:paraId="63DB882D">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（4）重大突发情况应急预案；</w:t>
      </w:r>
    </w:p>
    <w:p w14:paraId="11BDCD17">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kern w:val="0"/>
          <w:sz w:val="21"/>
          <w:szCs w:val="21"/>
          <w:highlight w:val="none"/>
        </w:rPr>
        <w:t>安全措施和文明作业</w:t>
      </w:r>
      <w:r>
        <w:rPr>
          <w:rFonts w:hint="eastAsia" w:ascii="宋体" w:hAnsi="宋体" w:eastAsia="宋体" w:cs="宋体"/>
          <w:color w:val="auto"/>
          <w:szCs w:val="21"/>
          <w:highlight w:val="none"/>
          <w:lang w:val="en-US" w:eastAsia="zh-CN"/>
        </w:rPr>
        <w:t>；</w:t>
      </w:r>
    </w:p>
    <w:p w14:paraId="7181DF24">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kern w:val="0"/>
          <w:sz w:val="21"/>
          <w:szCs w:val="21"/>
          <w:highlight w:val="none"/>
        </w:rPr>
        <w:t>设备物资管理</w:t>
      </w:r>
      <w:r>
        <w:rPr>
          <w:rFonts w:hint="eastAsia" w:ascii="宋体" w:hAnsi="宋体" w:eastAsia="宋体" w:cs="宋体"/>
          <w:color w:val="auto"/>
          <w:szCs w:val="21"/>
          <w:highlight w:val="none"/>
          <w:lang w:val="en-US" w:eastAsia="zh-CN"/>
        </w:rPr>
        <w:t>；</w:t>
      </w:r>
    </w:p>
    <w:p w14:paraId="369792A1">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kern w:val="0"/>
          <w:sz w:val="21"/>
          <w:szCs w:val="21"/>
          <w:highlight w:val="none"/>
        </w:rPr>
        <w:t>进退场和配合方案</w:t>
      </w:r>
      <w:r>
        <w:rPr>
          <w:rFonts w:hint="eastAsia" w:ascii="宋体" w:hAnsi="宋体" w:eastAsia="宋体" w:cs="宋体"/>
          <w:color w:val="auto"/>
          <w:szCs w:val="21"/>
          <w:highlight w:val="none"/>
          <w:lang w:val="en-US" w:eastAsia="zh-CN"/>
        </w:rPr>
        <w:t>；</w:t>
      </w:r>
    </w:p>
    <w:p w14:paraId="5CF7CF2F">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kern w:val="0"/>
          <w:sz w:val="21"/>
          <w:szCs w:val="21"/>
          <w:highlight w:val="none"/>
        </w:rPr>
        <w:t>合理化建议</w:t>
      </w:r>
      <w:r>
        <w:rPr>
          <w:rFonts w:hint="eastAsia" w:ascii="宋体" w:hAnsi="宋体" w:eastAsia="宋体" w:cs="宋体"/>
          <w:color w:val="auto"/>
          <w:szCs w:val="21"/>
          <w:highlight w:val="none"/>
          <w:lang w:val="en-US" w:eastAsia="zh-CN"/>
        </w:rPr>
        <w:t>；</w:t>
      </w:r>
    </w:p>
    <w:p w14:paraId="55D1AA47">
      <w:pPr>
        <w:kinsoku/>
        <w:wordWrap w:val="0"/>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kern w:val="0"/>
          <w:sz w:val="21"/>
          <w:szCs w:val="21"/>
          <w:highlight w:val="none"/>
        </w:rPr>
        <w:t>服务保障</w:t>
      </w:r>
      <w:r>
        <w:rPr>
          <w:rFonts w:hint="eastAsia" w:ascii="宋体" w:hAnsi="宋体" w:eastAsia="宋体" w:cs="宋体"/>
          <w:color w:val="auto"/>
          <w:szCs w:val="21"/>
          <w:highlight w:val="none"/>
          <w:lang w:val="en-US" w:eastAsia="zh-CN"/>
        </w:rPr>
        <w:t>；</w:t>
      </w:r>
    </w:p>
    <w:p w14:paraId="0A22761B">
      <w:pPr>
        <w:pStyle w:val="12"/>
        <w:rPr>
          <w:rFonts w:hint="eastAsia"/>
          <w:color w:val="auto"/>
          <w:highlight w:val="none"/>
          <w:lang w:val="en-US" w:eastAsia="zh-CN"/>
        </w:rPr>
      </w:pPr>
    </w:p>
    <w:p w14:paraId="661B9DCD">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left"/>
        <w:textAlignment w:val="auto"/>
        <w:rPr>
          <w:rFonts w:hint="eastAsia" w:ascii="宋体" w:hAnsi="宋体"/>
          <w:b/>
          <w:color w:val="auto"/>
          <w:sz w:val="28"/>
          <w:szCs w:val="28"/>
          <w:highlight w:val="none"/>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本项目采用横向暗标评审，请投标人结合技术标评审细则和系统内容在对应模块上传技术标评审内容。</w:t>
      </w:r>
      <w:r>
        <w:rPr>
          <w:rFonts w:hint="eastAsia" w:ascii="宋体" w:hAnsi="宋体"/>
          <w:b/>
          <w:color w:val="auto"/>
          <w:sz w:val="28"/>
          <w:szCs w:val="28"/>
          <w:highlight w:val="none"/>
        </w:rPr>
        <w:br w:type="page"/>
      </w:r>
    </w:p>
    <w:p w14:paraId="07CE96CE">
      <w:pPr>
        <w:kinsoku/>
        <w:wordWrap w:val="0"/>
        <w:overflowPunct/>
        <w:topLinePunct w:val="0"/>
        <w:bidi w:val="0"/>
        <w:jc w:val="center"/>
        <w:outlineLvl w:val="1"/>
        <w:rPr>
          <w:rFonts w:hint="eastAsia" w:ascii="宋体"/>
          <w:color w:val="auto"/>
          <w:sz w:val="24"/>
          <w:highlight w:val="none"/>
        </w:rPr>
      </w:pPr>
      <w:r>
        <w:rPr>
          <w:rFonts w:hint="eastAsia" w:ascii="宋体" w:hAnsi="宋体"/>
          <w:b/>
          <w:color w:val="auto"/>
          <w:sz w:val="28"/>
          <w:szCs w:val="28"/>
          <w:highlight w:val="none"/>
        </w:rPr>
        <w:t>三、商务标格式文件</w:t>
      </w:r>
    </w:p>
    <w:p w14:paraId="06CB3F24">
      <w:pPr>
        <w:kinsoku/>
        <w:wordWrap w:val="0"/>
        <w:overflowPunct/>
        <w:topLinePunct w:val="0"/>
        <w:bidi w:val="0"/>
        <w:jc w:val="center"/>
        <w:rPr>
          <w:rFonts w:hint="eastAsia" w:eastAsia="黑体"/>
          <w:color w:val="auto"/>
          <w:sz w:val="20"/>
          <w:highlight w:val="none"/>
        </w:rPr>
      </w:pPr>
    </w:p>
    <w:p w14:paraId="12C6F3F4">
      <w:pPr>
        <w:kinsoku/>
        <w:wordWrap w:val="0"/>
        <w:overflowPunct/>
        <w:topLinePunct w:val="0"/>
        <w:bidi w:val="0"/>
        <w:rPr>
          <w:rFonts w:hint="eastAsia" w:ascii="宋体"/>
          <w:color w:val="auto"/>
          <w:sz w:val="20"/>
          <w:highlight w:val="none"/>
        </w:rPr>
      </w:pPr>
    </w:p>
    <w:p w14:paraId="031261A8">
      <w:pPr>
        <w:pStyle w:val="12"/>
        <w:kinsoku/>
        <w:wordWrap w:val="0"/>
        <w:overflowPunct/>
        <w:topLinePunct w:val="0"/>
        <w:bidi w:val="0"/>
        <w:ind w:firstLine="400"/>
        <w:rPr>
          <w:rFonts w:hint="eastAsia"/>
          <w:color w:val="auto"/>
          <w:highlight w:val="none"/>
        </w:rPr>
      </w:pPr>
    </w:p>
    <w:p w14:paraId="05086BFA">
      <w:pPr>
        <w:kinsoku/>
        <w:wordWrap w:val="0"/>
        <w:overflowPunct/>
        <w:topLinePunct w:val="0"/>
        <w:bidi w:val="0"/>
        <w:jc w:val="center"/>
        <w:rPr>
          <w:rFonts w:hint="eastAsia" w:ascii="宋体"/>
          <w:b/>
          <w:color w:val="auto"/>
          <w:sz w:val="44"/>
          <w:szCs w:val="44"/>
          <w:highlight w:val="none"/>
        </w:rPr>
      </w:pPr>
      <w:bookmarkStart w:id="127" w:name="_Toc449028954"/>
      <w:r>
        <w:rPr>
          <w:rFonts w:hint="eastAsia" w:ascii="宋体"/>
          <w:b/>
          <w:color w:val="auto"/>
          <w:sz w:val="44"/>
          <w:szCs w:val="44"/>
          <w:highlight w:val="none"/>
        </w:rPr>
        <w:t>商务标</w:t>
      </w:r>
      <w:bookmarkEnd w:id="127"/>
    </w:p>
    <w:p w14:paraId="550CA294">
      <w:pPr>
        <w:kinsoku/>
        <w:wordWrap w:val="0"/>
        <w:overflowPunct/>
        <w:topLinePunct w:val="0"/>
        <w:bidi w:val="0"/>
        <w:jc w:val="center"/>
        <w:rPr>
          <w:rFonts w:hint="eastAsia"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2D28631A">
      <w:pPr>
        <w:kinsoku/>
        <w:wordWrap w:val="0"/>
        <w:overflowPunct/>
        <w:topLinePunct w:val="0"/>
        <w:bidi w:val="0"/>
        <w:jc w:val="center"/>
        <w:rPr>
          <w:rFonts w:hint="eastAsia" w:ascii="宋体"/>
          <w:color w:val="auto"/>
          <w:sz w:val="36"/>
          <w:szCs w:val="36"/>
          <w:highlight w:val="none"/>
        </w:rPr>
      </w:pPr>
    </w:p>
    <w:p w14:paraId="66E2D6CD">
      <w:pPr>
        <w:kinsoku/>
        <w:wordWrap w:val="0"/>
        <w:overflowPunct/>
        <w:topLinePunct w:val="0"/>
        <w:bidi w:val="0"/>
        <w:jc w:val="center"/>
        <w:outlineLvl w:val="2"/>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9C1ADE9">
      <w:pPr>
        <w:kinsoku/>
        <w:wordWrap w:val="0"/>
        <w:overflowPunct/>
        <w:topLinePunct w:val="0"/>
        <w:bidi w:val="0"/>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D33026E">
      <w:pPr>
        <w:kinsoku/>
        <w:wordWrap w:val="0"/>
        <w:overflowPunct/>
        <w:topLinePunct w:val="0"/>
        <w:bidi w:val="0"/>
        <w:rPr>
          <w:rFonts w:hint="eastAsia" w:ascii="宋体"/>
          <w:color w:val="auto"/>
          <w:sz w:val="28"/>
          <w:szCs w:val="28"/>
          <w:highlight w:val="none"/>
        </w:rPr>
      </w:pPr>
    </w:p>
    <w:p w14:paraId="2DA01A1C">
      <w:pPr>
        <w:kinsoku/>
        <w:wordWrap w:val="0"/>
        <w:overflowPunct/>
        <w:topLinePunct w:val="0"/>
        <w:bidi w:val="0"/>
        <w:rPr>
          <w:rFonts w:hint="eastAsia" w:ascii="宋体"/>
          <w:color w:val="auto"/>
          <w:sz w:val="28"/>
          <w:szCs w:val="28"/>
          <w:highlight w:val="none"/>
        </w:rPr>
      </w:pPr>
    </w:p>
    <w:p w14:paraId="53A81B0C">
      <w:pPr>
        <w:kinsoku/>
        <w:wordWrap w:val="0"/>
        <w:overflowPunct/>
        <w:topLinePunct w:val="0"/>
        <w:bidi w:val="0"/>
        <w:rPr>
          <w:rFonts w:hint="eastAsia" w:ascii="宋体"/>
          <w:color w:val="auto"/>
          <w:sz w:val="28"/>
          <w:szCs w:val="28"/>
          <w:highlight w:val="none"/>
        </w:rPr>
      </w:pPr>
    </w:p>
    <w:p w14:paraId="6AEEB076">
      <w:pPr>
        <w:kinsoku/>
        <w:wordWrap w:val="0"/>
        <w:overflowPunct/>
        <w:topLinePunct w:val="0"/>
        <w:bidi w:val="0"/>
        <w:rPr>
          <w:rFonts w:hint="eastAsia" w:ascii="宋体"/>
          <w:color w:val="auto"/>
          <w:sz w:val="28"/>
          <w:szCs w:val="28"/>
          <w:highlight w:val="none"/>
        </w:rPr>
      </w:pPr>
    </w:p>
    <w:p w14:paraId="15F1CF36">
      <w:pPr>
        <w:kinsoku/>
        <w:wordWrap w:val="0"/>
        <w:overflowPunct/>
        <w:topLinePunct w:val="0"/>
        <w:bidi w:val="0"/>
        <w:rPr>
          <w:rFonts w:hint="eastAsia" w:ascii="宋体"/>
          <w:color w:val="auto"/>
          <w:sz w:val="28"/>
          <w:szCs w:val="28"/>
          <w:highlight w:val="none"/>
        </w:rPr>
      </w:pPr>
    </w:p>
    <w:p w14:paraId="523DA255">
      <w:pPr>
        <w:kinsoku/>
        <w:wordWrap w:val="0"/>
        <w:overflowPunct/>
        <w:topLinePunct w:val="0"/>
        <w:bidi w:val="0"/>
        <w:rPr>
          <w:rFonts w:hint="eastAsia" w:ascii="宋体"/>
          <w:color w:val="auto"/>
          <w:sz w:val="28"/>
          <w:szCs w:val="28"/>
          <w:highlight w:val="none"/>
        </w:rPr>
      </w:pPr>
    </w:p>
    <w:p w14:paraId="4D88DE8E">
      <w:pPr>
        <w:kinsoku/>
        <w:wordWrap w:val="0"/>
        <w:overflowPunct/>
        <w:topLinePunct w:val="0"/>
        <w:bidi w:val="0"/>
        <w:rPr>
          <w:rFonts w:hint="eastAsia" w:ascii="宋体"/>
          <w:color w:val="auto"/>
          <w:sz w:val="28"/>
          <w:szCs w:val="28"/>
          <w:highlight w:val="none"/>
        </w:rPr>
      </w:pPr>
    </w:p>
    <w:p w14:paraId="1572BB7D">
      <w:pPr>
        <w:kinsoku/>
        <w:wordWrap w:val="0"/>
        <w:overflowPunct/>
        <w:topLinePunct w:val="0"/>
        <w:bidi w:val="0"/>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17DA71D">
      <w:pPr>
        <w:kinsoku/>
        <w:wordWrap w:val="0"/>
        <w:overflowPunct/>
        <w:topLinePunct w:val="0"/>
        <w:bidi w:val="0"/>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5B3F5240">
      <w:pPr>
        <w:kinsoku/>
        <w:wordWrap w:val="0"/>
        <w:overflowPunct/>
        <w:topLinePunct w:val="0"/>
        <w:bidi w:val="0"/>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73CAFAF">
      <w:pPr>
        <w:kinsoku/>
        <w:wordWrap w:val="0"/>
        <w:overflowPunct/>
        <w:topLinePunct w:val="0"/>
        <w:bidi w:val="0"/>
        <w:spacing w:line="720" w:lineRule="auto"/>
        <w:jc w:val="center"/>
        <w:rPr>
          <w:rFonts w:hint="eastAsia" w:ascii="宋体"/>
          <w:b/>
          <w:color w:val="auto"/>
          <w:sz w:val="36"/>
          <w:szCs w:val="36"/>
          <w:highlight w:val="none"/>
        </w:rPr>
      </w:pPr>
    </w:p>
    <w:p w14:paraId="3F729950">
      <w:pPr>
        <w:kinsoku/>
        <w:wordWrap w:val="0"/>
        <w:overflowPunct/>
        <w:topLinePunct w:val="0"/>
        <w:bidi w:val="0"/>
        <w:spacing w:line="400" w:lineRule="exact"/>
        <w:ind w:firstLine="562" w:firstLineChars="200"/>
        <w:rPr>
          <w:rFonts w:hint="eastAsia"/>
          <w:b/>
          <w:color w:val="auto"/>
          <w:sz w:val="28"/>
          <w:szCs w:val="28"/>
          <w:highlight w:val="none"/>
        </w:rPr>
      </w:pPr>
    </w:p>
    <w:p w14:paraId="237953FD">
      <w:pPr>
        <w:kinsoku/>
        <w:wordWrap w:val="0"/>
        <w:overflowPunct/>
        <w:topLinePunct w:val="0"/>
        <w:bidi w:val="0"/>
        <w:spacing w:line="400" w:lineRule="exact"/>
        <w:jc w:val="center"/>
        <w:rPr>
          <w:rFonts w:hint="eastAsia"/>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4FAB169F">
      <w:pPr>
        <w:kinsoku/>
        <w:wordWrap w:val="0"/>
        <w:overflowPunct/>
        <w:topLinePunct w:val="0"/>
        <w:bidi w:val="0"/>
        <w:spacing w:line="400" w:lineRule="exact"/>
        <w:ind w:firstLine="4130" w:firstLineChars="935"/>
        <w:rPr>
          <w:rFonts w:hint="eastAsia"/>
          <w:b/>
          <w:color w:val="auto"/>
          <w:sz w:val="44"/>
          <w:szCs w:val="44"/>
          <w:highlight w:val="none"/>
        </w:rPr>
      </w:pPr>
    </w:p>
    <w:p w14:paraId="379B5FAA">
      <w:pPr>
        <w:kinsoku/>
        <w:wordWrap w:val="0"/>
        <w:overflowPunct/>
        <w:topLinePunct w:val="0"/>
        <w:bidi w:val="0"/>
        <w:spacing w:line="440" w:lineRule="exact"/>
        <w:ind w:left="420"/>
        <w:jc w:val="left"/>
        <w:rPr>
          <w:rFonts w:hint="eastAsia" w:ascii="宋体"/>
          <w:color w:val="auto"/>
          <w:szCs w:val="21"/>
          <w:highlight w:val="none"/>
        </w:rPr>
      </w:pPr>
      <w:r>
        <w:rPr>
          <w:rFonts w:hint="eastAsia" w:ascii="宋体"/>
          <w:color w:val="auto"/>
          <w:szCs w:val="21"/>
          <w:highlight w:val="none"/>
        </w:rPr>
        <w:t>（1）开标一览表（格式见附件）；</w:t>
      </w:r>
    </w:p>
    <w:p w14:paraId="24ED7E13">
      <w:pPr>
        <w:kinsoku/>
        <w:wordWrap w:val="0"/>
        <w:overflowPunct/>
        <w:topLinePunct w:val="0"/>
        <w:bidi w:val="0"/>
        <w:spacing w:line="440" w:lineRule="exact"/>
        <w:ind w:left="420"/>
        <w:jc w:val="left"/>
        <w:rPr>
          <w:rFonts w:hint="eastAsia" w:ascii="宋体"/>
          <w:color w:val="auto"/>
          <w:szCs w:val="21"/>
          <w:highlight w:val="none"/>
        </w:rPr>
      </w:pPr>
      <w:r>
        <w:rPr>
          <w:rFonts w:hint="eastAsia" w:ascii="宋体"/>
          <w:color w:val="auto"/>
          <w:szCs w:val="21"/>
          <w:highlight w:val="none"/>
        </w:rPr>
        <w:t>（2）投标函（格式见附件）；</w:t>
      </w:r>
    </w:p>
    <w:p w14:paraId="582FA220">
      <w:pPr>
        <w:kinsoku/>
        <w:wordWrap w:val="0"/>
        <w:overflowPunct/>
        <w:topLinePunct w:val="0"/>
        <w:bidi w:val="0"/>
        <w:spacing w:line="440" w:lineRule="exact"/>
        <w:ind w:firstLine="424" w:firstLineChars="202"/>
        <w:jc w:val="left"/>
        <w:rPr>
          <w:rFonts w:hint="default"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3）分项报价清单（格式见附件）；</w:t>
      </w:r>
    </w:p>
    <w:p w14:paraId="3F313CCB">
      <w:pPr>
        <w:kinsoku/>
        <w:wordWrap w:val="0"/>
        <w:overflowPunct/>
        <w:topLinePunct w:val="0"/>
        <w:bidi w:val="0"/>
        <w:spacing w:line="440" w:lineRule="exact"/>
        <w:ind w:firstLine="424" w:firstLineChars="202"/>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）投标人认为需要提供的其他材料。</w:t>
      </w:r>
    </w:p>
    <w:p w14:paraId="41D89D1A">
      <w:pPr>
        <w:kinsoku/>
        <w:wordWrap w:val="0"/>
        <w:overflowPunct/>
        <w:topLinePunct w:val="0"/>
        <w:bidi w:val="0"/>
        <w:jc w:val="center"/>
        <w:rPr>
          <w:rFonts w:hint="eastAsia" w:ascii="宋体"/>
          <w:b/>
          <w:color w:val="auto"/>
          <w:sz w:val="28"/>
          <w:szCs w:val="28"/>
          <w:highlight w:val="none"/>
        </w:rPr>
      </w:pPr>
    </w:p>
    <w:p w14:paraId="2F8359EA">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082BF226">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0C864022">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590CD22E">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5E701B79">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06CF5FAF">
      <w:pPr>
        <w:kinsoku/>
        <w:wordWrap w:val="0"/>
        <w:overflowPunct/>
        <w:topLinePunct w:val="0"/>
        <w:bidi w:val="0"/>
        <w:snapToGrid w:val="0"/>
        <w:spacing w:line="460" w:lineRule="exact"/>
        <w:ind w:left="2940" w:leftChars="1400" w:firstLine="964" w:firstLineChars="300"/>
        <w:rPr>
          <w:rFonts w:hint="eastAsia" w:ascii="宋体"/>
          <w:b/>
          <w:color w:val="auto"/>
          <w:sz w:val="32"/>
          <w:szCs w:val="32"/>
          <w:highlight w:val="none"/>
        </w:rPr>
      </w:pPr>
    </w:p>
    <w:p w14:paraId="2008F609">
      <w:pPr>
        <w:kinsoku/>
        <w:wordWrap w:val="0"/>
        <w:overflowPunct/>
        <w:topLinePunct w:val="0"/>
        <w:bidi w:val="0"/>
        <w:spacing w:line="360" w:lineRule="exact"/>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1F66BD67">
      <w:pPr>
        <w:kinsoku/>
        <w:wordWrap w:val="0"/>
        <w:overflowPunct/>
        <w:topLinePunct w:val="0"/>
        <w:bidi w:val="0"/>
        <w:spacing w:line="360" w:lineRule="exact"/>
        <w:ind w:firstLine="472" w:firstLineChars="147"/>
        <w:jc w:val="center"/>
        <w:rPr>
          <w:rFonts w:hint="eastAsia" w:ascii="宋体"/>
          <w:b/>
          <w:color w:val="auto"/>
          <w:sz w:val="32"/>
          <w:szCs w:val="32"/>
          <w:highlight w:val="none"/>
        </w:rPr>
      </w:pPr>
    </w:p>
    <w:p w14:paraId="2A85CAFC">
      <w:pPr>
        <w:kinsoku/>
        <w:wordWrap w:val="0"/>
        <w:overflowPunct/>
        <w:topLinePunct w:val="0"/>
        <w:bidi w:val="0"/>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tbl>
      <w:tblPr>
        <w:tblStyle w:val="3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06DB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noWrap w:val="0"/>
            <w:vAlign w:val="center"/>
          </w:tcPr>
          <w:p w14:paraId="442382FC">
            <w:pPr>
              <w:kinsoku/>
              <w:wordWrap w:val="0"/>
              <w:overflowPunct/>
              <w:topLinePunct w:val="0"/>
              <w:bidi w:val="0"/>
              <w:spacing w:line="70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2F66EE0">
            <w:pPr>
              <w:kinsoku/>
              <w:wordWrap w:val="0"/>
              <w:overflowPunct/>
              <w:topLinePunct w:val="0"/>
              <w:bidi w:val="0"/>
              <w:spacing w:line="700" w:lineRule="exact"/>
              <w:jc w:val="left"/>
              <w:rPr>
                <w:rFonts w:hint="eastAsia"/>
                <w:color w:val="auto"/>
                <w:sz w:val="24"/>
                <w:highlight w:val="none"/>
              </w:rPr>
            </w:pPr>
            <w:r>
              <w:rPr>
                <w:rFonts w:hint="eastAsia"/>
                <w:color w:val="auto"/>
                <w:sz w:val="24"/>
                <w:highlight w:val="none"/>
              </w:rPr>
              <w:t xml:space="preserve">         </w:t>
            </w:r>
          </w:p>
        </w:tc>
      </w:tr>
      <w:tr w14:paraId="6A5C6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4411DFA9">
            <w:pPr>
              <w:kinsoku/>
              <w:wordWrap w:val="0"/>
              <w:overflowPunct/>
              <w:topLinePunct w:val="0"/>
              <w:bidi w:val="0"/>
              <w:spacing w:line="70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7D9CDE6A">
            <w:pPr>
              <w:kinsoku/>
              <w:wordWrap w:val="0"/>
              <w:overflowPunct/>
              <w:topLinePunct w:val="0"/>
              <w:bidi w:val="0"/>
              <w:spacing w:line="700" w:lineRule="exact"/>
              <w:rPr>
                <w:rFonts w:hint="eastAsia" w:ascii="宋体"/>
                <w:color w:val="auto"/>
                <w:sz w:val="24"/>
                <w:highlight w:val="none"/>
              </w:rPr>
            </w:pPr>
          </w:p>
        </w:tc>
      </w:tr>
      <w:tr w14:paraId="0CDBB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5A304009">
            <w:pPr>
              <w:kinsoku/>
              <w:wordWrap w:val="0"/>
              <w:overflowPunct/>
              <w:topLinePunct w:val="0"/>
              <w:bidi w:val="0"/>
              <w:spacing w:line="70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1DF57252">
            <w:pPr>
              <w:pStyle w:val="20"/>
              <w:kinsoku/>
              <w:wordWrap w:val="0"/>
              <w:overflowPunct/>
              <w:topLinePunct w:val="0"/>
              <w:bidi w:val="0"/>
              <w:spacing w:line="700" w:lineRule="exact"/>
              <w:ind w:left="86" w:leftChars="41"/>
              <w:rPr>
                <w:rFonts w:hint="eastAsia" w:ascii="宋体" w:eastAsia="宋体"/>
                <w:color w:val="auto"/>
                <w:sz w:val="24"/>
                <w:szCs w:val="24"/>
                <w:highlight w:val="none"/>
              </w:rPr>
            </w:pPr>
          </w:p>
        </w:tc>
      </w:tr>
      <w:tr w14:paraId="3C835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81" w:hRule="exact"/>
        </w:trPr>
        <w:tc>
          <w:tcPr>
            <w:tcW w:w="1803" w:type="dxa"/>
            <w:tcBorders>
              <w:right w:val="single" w:color="auto" w:sz="12" w:space="0"/>
            </w:tcBorders>
            <w:noWrap w:val="0"/>
            <w:vAlign w:val="center"/>
          </w:tcPr>
          <w:p w14:paraId="6DE62A49">
            <w:pPr>
              <w:kinsoku/>
              <w:wordWrap w:val="0"/>
              <w:overflowPunct/>
              <w:topLinePunct w:val="0"/>
              <w:bidi w:val="0"/>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noWrap w:val="0"/>
            <w:vAlign w:val="center"/>
          </w:tcPr>
          <w:p w14:paraId="25F1F076">
            <w:pPr>
              <w:keepNext w:val="0"/>
              <w:keepLines w:val="0"/>
              <w:pageBreakBefore w:val="0"/>
              <w:widowControl w:val="0"/>
              <w:kinsoku/>
              <w:wordWrap w:val="0"/>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投标报价：</w:t>
            </w:r>
          </w:p>
          <w:p w14:paraId="29E0F1BA">
            <w:pPr>
              <w:keepNext w:val="0"/>
              <w:keepLines w:val="0"/>
              <w:pageBreakBefore w:val="0"/>
              <w:widowControl w:val="0"/>
              <w:kinsoku/>
              <w:wordWrap w:val="0"/>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lang w:val="en-US" w:eastAsia="zh-CN"/>
              </w:rPr>
              <w:t>每年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8DB2647">
            <w:pPr>
              <w:keepNext w:val="0"/>
              <w:keepLines w:val="0"/>
              <w:pageBreakBefore w:val="0"/>
              <w:widowControl w:val="0"/>
              <w:kinsoku/>
              <w:wordWrap w:val="0"/>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lang w:val="en-US" w:eastAsia="zh-CN"/>
              </w:rPr>
              <w:t>/年</w:t>
            </w:r>
            <w:r>
              <w:rPr>
                <w:rFonts w:hint="eastAsia" w:ascii="宋体" w:hAnsi="宋体"/>
                <w:color w:val="auto"/>
                <w:sz w:val="24"/>
                <w:highlight w:val="none"/>
              </w:rPr>
              <w:t xml:space="preserve">。      </w:t>
            </w:r>
          </w:p>
          <w:p w14:paraId="078D52A6">
            <w:pPr>
              <w:keepNext w:val="0"/>
              <w:keepLines w:val="0"/>
              <w:pageBreakBefore w:val="0"/>
              <w:widowControl w:val="0"/>
              <w:kinsoku/>
              <w:wordWrap w:val="0"/>
              <w:overflowPunct/>
              <w:topLinePunct w:val="0"/>
              <w:autoSpaceDE/>
              <w:autoSpaceDN/>
              <w:bidi w:val="0"/>
              <w:adjustRightInd/>
              <w:snapToGrid/>
              <w:spacing w:line="700" w:lineRule="exact"/>
              <w:jc w:val="left"/>
              <w:textAlignment w:val="auto"/>
              <w:rPr>
                <w:rFonts w:hint="default" w:ascii="宋体" w:hAnsi="宋体"/>
                <w:color w:val="auto"/>
                <w:sz w:val="24"/>
                <w:highlight w:val="none"/>
                <w:u w:val="single"/>
                <w:lang w:val="en-US" w:eastAsia="zh-CN"/>
              </w:rPr>
            </w:pPr>
            <w:r>
              <w:rPr>
                <w:rFonts w:hint="eastAsia" w:ascii="宋体" w:hAnsi="宋体" w:eastAsia="宋体" w:cs="Times New Roman"/>
                <w:color w:val="auto"/>
                <w:sz w:val="24"/>
                <w:highlight w:val="none"/>
                <w:lang w:val="en-US" w:eastAsia="zh-CN"/>
              </w:rPr>
              <w:t>合同履行期限：</w:t>
            </w:r>
            <w:r>
              <w:rPr>
                <w:rFonts w:hint="eastAsia" w:ascii="宋体" w:hAnsi="宋体" w:cs="Times New Roman"/>
                <w:color w:val="auto"/>
                <w:sz w:val="24"/>
                <w:highlight w:val="none"/>
                <w:lang w:val="en-US" w:eastAsia="zh-CN"/>
              </w:rPr>
              <w:t xml:space="preserve"> </w:t>
            </w:r>
            <w:r>
              <w:rPr>
                <w:rFonts w:hint="eastAsia" w:ascii="宋体" w:hAnsi="宋体" w:cs="Times New Roman"/>
                <w:color w:val="auto"/>
                <w:sz w:val="24"/>
                <w:highlight w:val="none"/>
                <w:u w:val="single"/>
                <w:lang w:val="en-US" w:eastAsia="zh-CN"/>
              </w:rPr>
              <w:t xml:space="preserve">               。</w:t>
            </w:r>
          </w:p>
        </w:tc>
      </w:tr>
    </w:tbl>
    <w:p w14:paraId="79E90D7F">
      <w:pPr>
        <w:kinsoku/>
        <w:wordWrap w:val="0"/>
        <w:overflowPunct/>
        <w:topLinePunct w:val="0"/>
        <w:bidi w:val="0"/>
        <w:snapToGrid w:val="0"/>
        <w:spacing w:line="460" w:lineRule="exact"/>
        <w:ind w:left="2940" w:leftChars="1400" w:firstLine="723" w:firstLineChars="300"/>
        <w:rPr>
          <w:rFonts w:hint="eastAsia" w:ascii="宋体"/>
          <w:b/>
          <w:color w:val="auto"/>
          <w:sz w:val="24"/>
          <w:highlight w:val="none"/>
        </w:rPr>
      </w:pPr>
    </w:p>
    <w:p w14:paraId="5D3BC229">
      <w:pPr>
        <w:kinsoku/>
        <w:wordWrap w:val="0"/>
        <w:overflowPunct/>
        <w:topLinePunct w:val="0"/>
        <w:bidi w:val="0"/>
        <w:rPr>
          <w:rFonts w:hint="eastAsia" w:ascii="宋体"/>
          <w:color w:val="auto"/>
          <w:sz w:val="24"/>
          <w:highlight w:val="none"/>
        </w:rPr>
      </w:pPr>
      <w:r>
        <w:rPr>
          <w:rFonts w:hint="eastAsia" w:ascii="宋体"/>
          <w:color w:val="auto"/>
          <w:sz w:val="24"/>
          <w:highlight w:val="none"/>
        </w:rPr>
        <w:t>法定代表人（签章）：         投标人（盖单位章）：</w:t>
      </w:r>
    </w:p>
    <w:p w14:paraId="1FBDFEC5">
      <w:pPr>
        <w:kinsoku/>
        <w:wordWrap w:val="0"/>
        <w:overflowPunct/>
        <w:topLinePunct w:val="0"/>
        <w:bidi w:val="0"/>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9F3F4E9">
      <w:pPr>
        <w:kinsoku/>
        <w:wordWrap w:val="0"/>
        <w:overflowPunct/>
        <w:topLinePunct w:val="0"/>
        <w:bidi w:val="0"/>
        <w:spacing w:line="360" w:lineRule="exact"/>
        <w:ind w:firstLine="443" w:firstLineChars="147"/>
        <w:rPr>
          <w:rFonts w:hint="eastAsia" w:ascii="宋体" w:hAnsi="宋体"/>
          <w:b/>
          <w:color w:val="auto"/>
          <w:sz w:val="30"/>
          <w:szCs w:val="30"/>
          <w:highlight w:val="none"/>
        </w:rPr>
      </w:pPr>
      <w:r>
        <w:rPr>
          <w:rFonts w:hint="eastAsia" w:ascii="宋体" w:hAnsi="宋体"/>
          <w:b/>
          <w:color w:val="auto"/>
          <w:sz w:val="30"/>
          <w:szCs w:val="30"/>
          <w:highlight w:val="none"/>
        </w:rPr>
        <w:t>附件2</w:t>
      </w:r>
    </w:p>
    <w:p w14:paraId="21B69924">
      <w:pPr>
        <w:kinsoku/>
        <w:wordWrap w:val="0"/>
        <w:overflowPunct/>
        <w:topLinePunct w:val="0"/>
        <w:bidi w:val="0"/>
        <w:spacing w:line="360" w:lineRule="exact"/>
        <w:ind w:firstLine="531" w:firstLineChars="147"/>
        <w:jc w:val="center"/>
        <w:rPr>
          <w:rFonts w:hint="eastAsia" w:ascii="宋体"/>
          <w:color w:val="auto"/>
          <w:sz w:val="24"/>
          <w:highlight w:val="none"/>
        </w:rPr>
      </w:pPr>
      <w:r>
        <w:rPr>
          <w:rFonts w:hint="eastAsia" w:ascii="宋体"/>
          <w:b/>
          <w:color w:val="auto"/>
          <w:sz w:val="36"/>
          <w:szCs w:val="36"/>
          <w:highlight w:val="none"/>
        </w:rPr>
        <w:t>投  标  函</w:t>
      </w:r>
    </w:p>
    <w:p w14:paraId="64CC36CB">
      <w:pPr>
        <w:kinsoku/>
        <w:wordWrap w:val="0"/>
        <w:overflowPunct/>
        <w:topLinePunct w:val="0"/>
        <w:bidi w:val="0"/>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431BD5EA">
      <w:pPr>
        <w:kinsoku/>
        <w:wordWrap w:val="0"/>
        <w:overflowPunct/>
        <w:topLinePunct w:val="0"/>
        <w:bidi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548DE19">
      <w:pPr>
        <w:kinsoku/>
        <w:wordWrap w:val="0"/>
        <w:overflowPunct/>
        <w:topLinePunct w:val="0"/>
        <w:bidi w:val="0"/>
        <w:spacing w:line="50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val="en-US" w:eastAsia="zh-CN"/>
        </w:rPr>
        <w:t>每年</w:t>
      </w:r>
      <w:r>
        <w:rPr>
          <w:rFonts w:hint="eastAsia" w:ascii="宋体" w:hAnsi="宋体" w:cs="宋体"/>
          <w:color w:val="auto"/>
          <w:sz w:val="24"/>
          <w:highlight w:val="none"/>
          <w:u w:val="single"/>
        </w:rPr>
        <w:t xml:space="preserve">          （小写）       元</w:t>
      </w:r>
      <w:r>
        <w:rPr>
          <w:rFonts w:hint="eastAsia" w:ascii="宋体" w:hAnsi="宋体" w:cs="宋体"/>
          <w:color w:val="auto"/>
          <w:sz w:val="24"/>
          <w:highlight w:val="none"/>
          <w:u w:val="single"/>
          <w:lang w:val="en-US" w:eastAsia="zh-CN"/>
        </w:rPr>
        <w:t>/年</w:t>
      </w:r>
      <w:r>
        <w:rPr>
          <w:rFonts w:hint="eastAsia" w:ascii="宋体" w:hAnsi="宋体" w:cs="宋体"/>
          <w:color w:val="auto"/>
          <w:sz w:val="24"/>
          <w:highlight w:val="none"/>
          <w:u w:val="single"/>
          <w:lang w:eastAsia="zh-CN"/>
        </w:rPr>
        <w:t>。</w:t>
      </w:r>
    </w:p>
    <w:p w14:paraId="00F76AEF">
      <w:pPr>
        <w:kinsoku/>
        <w:wordWrap w:val="0"/>
        <w:overflowPunct/>
        <w:topLinePunct w:val="0"/>
        <w:bidi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5A57B755">
      <w:pPr>
        <w:kinsoku/>
        <w:wordWrap w:val="0"/>
        <w:overflowPunct/>
        <w:topLinePunct w:val="0"/>
        <w:bidi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若我方中标，愿意为本项目提交的纸质投标文件一式三份，其中正本一份、副本二份。</w:t>
      </w:r>
    </w:p>
    <w:p w14:paraId="50C75C66">
      <w:pPr>
        <w:kinsoku/>
        <w:wordWrap w:val="0"/>
        <w:overflowPunct/>
        <w:topLinePunct w:val="0"/>
        <w:bidi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2AA2566C">
      <w:pPr>
        <w:pStyle w:val="12"/>
        <w:kinsoku/>
        <w:wordWrap w:val="0"/>
        <w:overflowPunct/>
        <w:topLinePunct w:val="0"/>
        <w:bidi w:val="0"/>
        <w:spacing w:after="0" w:line="500" w:lineRule="exact"/>
        <w:ind w:left="0" w:leftChars="0" w:firstLine="480"/>
        <w:jc w:val="left"/>
        <w:outlineLvl w:val="2"/>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2EE9B492">
      <w:pPr>
        <w:kinsoku/>
        <w:wordWrap w:val="0"/>
        <w:overflowPunct/>
        <w:topLinePunct w:val="0"/>
        <w:bidi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3AC30B32">
      <w:pPr>
        <w:kinsoku/>
        <w:wordWrap w:val="0"/>
        <w:overflowPunct/>
        <w:topLinePunct w:val="0"/>
        <w:bidi w:val="0"/>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 </w:t>
      </w:r>
    </w:p>
    <w:p w14:paraId="0710FA0F">
      <w:pPr>
        <w:kinsoku/>
        <w:wordWrap w:val="0"/>
        <w:overflowPunct/>
        <w:topLinePunct w:val="0"/>
        <w:bidi w:val="0"/>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7843FC21">
      <w:pPr>
        <w:kinsoku/>
        <w:wordWrap w:val="0"/>
        <w:overflowPunct/>
        <w:topLinePunct w:val="0"/>
        <w:bidi w:val="0"/>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3CF18AFA">
      <w:pPr>
        <w:kinsoku/>
        <w:wordWrap w:val="0"/>
        <w:overflowPunct/>
        <w:topLinePunct w:val="0"/>
        <w:bidi w:val="0"/>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7624DA3">
      <w:pPr>
        <w:kinsoku/>
        <w:wordWrap w:val="0"/>
        <w:overflowPunct/>
        <w:topLinePunct w:val="0"/>
        <w:bidi w:val="0"/>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38AF3785">
      <w:pPr>
        <w:kinsoku/>
        <w:wordWrap w:val="0"/>
        <w:overflowPunct/>
        <w:topLinePunct w:val="0"/>
        <w:bidi w:val="0"/>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38FE641B">
      <w:pPr>
        <w:kinsoku/>
        <w:wordWrap w:val="0"/>
        <w:overflowPunct/>
        <w:topLinePunct w:val="0"/>
        <w:bidi w:val="0"/>
        <w:spacing w:line="500" w:lineRule="exact"/>
        <w:ind w:right="-178" w:rightChars="-85" w:firstLine="3360" w:firstLineChars="1400"/>
        <w:jc w:val="left"/>
        <w:rPr>
          <w:rFonts w:hint="eastAsia" w:ascii="宋体" w:hAnsi="宋体"/>
          <w:b/>
          <w:color w:val="auto"/>
          <w:sz w:val="30"/>
          <w:szCs w:val="30"/>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1B8FFA92">
      <w:pPr>
        <w:kinsoku/>
        <w:wordWrap w:val="0"/>
        <w:overflowPunct/>
        <w:topLinePunct w:val="0"/>
        <w:bidi w:val="0"/>
        <w:rPr>
          <w:rFonts w:hint="eastAsia" w:ascii="宋体" w:hAnsi="宋体"/>
          <w:b/>
          <w:color w:val="auto"/>
          <w:sz w:val="30"/>
          <w:szCs w:val="30"/>
          <w:highlight w:val="none"/>
        </w:rPr>
      </w:pPr>
    </w:p>
    <w:p w14:paraId="65DE8779">
      <w:pPr>
        <w:jc w:val="center"/>
        <w:rPr>
          <w:rFonts w:hint="eastAsia"/>
          <w:b/>
          <w:color w:val="auto"/>
          <w:sz w:val="28"/>
          <w:szCs w:val="28"/>
          <w:highlight w:val="none"/>
        </w:rPr>
      </w:pPr>
      <w:r>
        <w:rPr>
          <w:rFonts w:hint="eastAsia"/>
          <w:b/>
          <w:color w:val="auto"/>
          <w:sz w:val="28"/>
          <w:szCs w:val="28"/>
          <w:highlight w:val="none"/>
        </w:rPr>
        <w:t>(投标函以本投标函为准，系统中原投标函不作要求）</w:t>
      </w:r>
    </w:p>
    <w:p w14:paraId="539D1245">
      <w:pPr>
        <w:kinsoku/>
        <w:wordWrap w:val="0"/>
        <w:overflowPunct/>
        <w:topLinePunct w:val="0"/>
        <w:bidi w:val="0"/>
        <w:rPr>
          <w:rFonts w:hint="eastAsia" w:ascii="宋体" w:hAnsi="宋体"/>
          <w:b/>
          <w:color w:val="auto"/>
          <w:sz w:val="30"/>
          <w:szCs w:val="30"/>
          <w:highlight w:val="none"/>
        </w:rPr>
      </w:pPr>
    </w:p>
    <w:p w14:paraId="37FE8709">
      <w:pPr>
        <w:kinsoku/>
        <w:wordWrap w:val="0"/>
        <w:overflowPunct/>
        <w:topLinePunct w:val="0"/>
        <w:bidi w:val="0"/>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77CA78EA">
      <w:pPr>
        <w:kinsoku/>
        <w:wordWrap w:val="0"/>
        <w:overflowPunct/>
        <w:topLinePunct w:val="0"/>
        <w:bidi w:val="0"/>
        <w:outlineLvl w:val="3"/>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41E60EC8">
      <w:pPr>
        <w:kinsoku/>
        <w:wordWrap w:val="0"/>
        <w:overflowPunct/>
        <w:topLinePunct w:val="0"/>
        <w:bidi w:val="0"/>
        <w:jc w:val="center"/>
        <w:outlineLvl w:val="3"/>
        <w:rPr>
          <w:rFonts w:hint="default" w:ascii="宋体" w:hAnsi="宋体" w:eastAsia="宋体" w:cs="Times New Roman"/>
          <w:b/>
          <w:color w:val="auto"/>
          <w:sz w:val="30"/>
          <w:szCs w:val="30"/>
          <w:highlight w:val="none"/>
          <w:lang w:val="en-US" w:eastAsia="zh-CN"/>
        </w:rPr>
      </w:pPr>
      <w:r>
        <w:rPr>
          <w:rFonts w:hint="eastAsia" w:ascii="宋体" w:hAnsi="宋体" w:eastAsia="宋体" w:cs="Times New Roman"/>
          <w:b/>
          <w:color w:val="auto"/>
          <w:sz w:val="30"/>
          <w:szCs w:val="30"/>
          <w:highlight w:val="none"/>
          <w:lang w:val="en-US" w:eastAsia="zh-CN"/>
        </w:rPr>
        <w:t>分项报价清单</w:t>
      </w:r>
    </w:p>
    <w:tbl>
      <w:tblPr>
        <w:tblStyle w:val="35"/>
        <w:tblW w:w="10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8"/>
        <w:gridCol w:w="2355"/>
        <w:gridCol w:w="945"/>
        <w:gridCol w:w="900"/>
        <w:gridCol w:w="1227"/>
        <w:gridCol w:w="1457"/>
        <w:gridCol w:w="1131"/>
        <w:gridCol w:w="1395"/>
      </w:tblGrid>
      <w:tr w14:paraId="0D567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blHeader/>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59D501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auto"/>
                <w:szCs w:val="21"/>
                <w:highlight w:val="none"/>
              </w:rPr>
            </w:pPr>
            <w:r>
              <w:rPr>
                <w:rFonts w:hint="eastAsia" w:ascii="宋体" w:hAnsi="宋体"/>
                <w:b/>
                <w:color w:val="auto"/>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60B1B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auto"/>
                <w:szCs w:val="21"/>
                <w:highlight w:val="none"/>
              </w:rPr>
            </w:pPr>
            <w:r>
              <w:rPr>
                <w:rFonts w:hint="eastAsia" w:ascii="宋体" w:hAnsi="宋体"/>
                <w:b/>
                <w:color w:val="auto"/>
                <w:szCs w:val="21"/>
                <w:highlight w:val="none"/>
              </w:rPr>
              <w:t>项   目</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FC7D2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color w:val="auto"/>
                <w:szCs w:val="21"/>
                <w:highlight w:val="none"/>
              </w:rPr>
            </w:pPr>
            <w:r>
              <w:rPr>
                <w:rFonts w:hint="eastAsia" w:ascii="宋体" w:hAnsi="宋体"/>
                <w:b/>
                <w:color w:val="auto"/>
                <w:szCs w:val="21"/>
                <w:highlight w:val="none"/>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F0DCB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color w:val="auto"/>
                <w:szCs w:val="21"/>
                <w:highlight w:val="none"/>
              </w:rPr>
            </w:pPr>
            <w:r>
              <w:rPr>
                <w:rFonts w:hint="eastAsia" w:ascii="宋体" w:hAnsi="宋体"/>
                <w:b/>
                <w:color w:val="auto"/>
                <w:szCs w:val="21"/>
                <w:highlight w:val="none"/>
              </w:rPr>
              <w:t>单位</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A7F24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最高限价单价（元/月）</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0B7F97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投标综合单价（元/月）</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8657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投标合价（元/年）</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8640A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备注</w:t>
            </w:r>
          </w:p>
        </w:tc>
      </w:tr>
      <w:tr w14:paraId="34377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blHeader/>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339FD8FB">
            <w:pPr>
              <w:spacing w:line="480" w:lineRule="auto"/>
              <w:jc w:val="center"/>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1</w:t>
            </w:r>
          </w:p>
        </w:tc>
        <w:tc>
          <w:tcPr>
            <w:tcW w:w="9410" w:type="dxa"/>
            <w:gridSpan w:val="7"/>
            <w:tcBorders>
              <w:top w:val="single" w:color="auto" w:sz="4" w:space="0"/>
              <w:left w:val="single" w:color="auto" w:sz="4" w:space="0"/>
              <w:bottom w:val="single" w:color="auto" w:sz="4" w:space="0"/>
              <w:right w:val="single" w:color="auto" w:sz="4" w:space="0"/>
            </w:tcBorders>
            <w:noWrap w:val="0"/>
            <w:vAlign w:val="center"/>
          </w:tcPr>
          <w:p w14:paraId="69135D8D">
            <w:pPr>
              <w:spacing w:line="480" w:lineRule="auto"/>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人员综合费用</w:t>
            </w:r>
          </w:p>
        </w:tc>
      </w:tr>
      <w:tr w14:paraId="12E8E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blHeader/>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25E7D829">
            <w:pPr>
              <w:spacing w:line="480" w:lineRule="auto"/>
              <w:jc w:val="center"/>
              <w:rPr>
                <w:rFonts w:hint="default"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1.1</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ADEF5FE">
            <w:pPr>
              <w:keepNext w:val="0"/>
              <w:keepLines w:val="0"/>
              <w:widowControl/>
              <w:suppressLineNumbers w:val="0"/>
              <w:jc w:val="center"/>
              <w:textAlignment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人员综合费用</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7B5916E">
            <w:pPr>
              <w:keepNext w:val="0"/>
              <w:keepLines w:val="0"/>
              <w:widowControl/>
              <w:suppressLineNumbers w:val="0"/>
              <w:jc w:val="center"/>
              <w:textAlignment w:val="center"/>
              <w:rPr>
                <w:rFonts w:hint="default" w:ascii="宋体" w:hAnsi="宋体"/>
                <w:b/>
                <w:color w:val="auto"/>
                <w:szCs w:val="21"/>
                <w:highlight w:val="none"/>
                <w:lang w:val="en-US"/>
              </w:rPr>
            </w:pPr>
            <w:r>
              <w:rPr>
                <w:rFonts w:hint="eastAsia" w:ascii="宋体" w:hAnsi="宋体" w:cs="宋体"/>
                <w:i w:val="0"/>
                <w:iCs w:val="0"/>
                <w:color w:val="auto"/>
                <w:kern w:val="0"/>
                <w:sz w:val="21"/>
                <w:szCs w:val="21"/>
                <w:highlight w:val="none"/>
                <w:u w:val="none"/>
                <w:lang w:val="en-US" w:eastAsia="zh-CN" w:bidi="ar"/>
              </w:rPr>
              <w:t>16</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827C15">
            <w:pPr>
              <w:keepNext w:val="0"/>
              <w:keepLines w:val="0"/>
              <w:widowControl/>
              <w:suppressLineNumbers w:val="0"/>
              <w:jc w:val="center"/>
              <w:textAlignment w:val="center"/>
              <w:rPr>
                <w:rFonts w:hint="default" w:ascii="宋体" w:hAnsi="宋体"/>
                <w:b/>
                <w:color w:val="auto"/>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人</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CD2D67A">
            <w:pPr>
              <w:keepNext w:val="0"/>
              <w:keepLines w:val="0"/>
              <w:widowControl/>
              <w:suppressLineNumbers w:val="0"/>
              <w:jc w:val="center"/>
              <w:textAlignment w:val="center"/>
              <w:rPr>
                <w:rFonts w:hint="default" w:ascii="宋体" w:hAnsi="宋体"/>
                <w:b/>
                <w:color w:val="auto"/>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6000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77302F9">
            <w:pPr>
              <w:spacing w:line="480" w:lineRule="auto"/>
              <w:jc w:val="center"/>
              <w:rPr>
                <w:rFonts w:hint="eastAsia" w:ascii="宋体" w:hAnsi="宋体"/>
                <w:b/>
                <w:color w:val="auto"/>
                <w:szCs w:val="21"/>
                <w:highlight w:val="none"/>
                <w:lang w:val="en-US" w:eastAsia="zh-CN"/>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07799F9">
            <w:pPr>
              <w:spacing w:line="480" w:lineRule="auto"/>
              <w:jc w:val="center"/>
              <w:rPr>
                <w:rFonts w:hint="eastAsia" w:ascii="宋体" w:hAnsi="宋体"/>
                <w:b/>
                <w:color w:val="auto"/>
                <w:szCs w:val="21"/>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CB9097">
            <w:pPr>
              <w:spacing w:line="480" w:lineRule="auto"/>
              <w:jc w:val="center"/>
              <w:rPr>
                <w:rFonts w:hint="default" w:ascii="宋体" w:hAnsi="宋体"/>
                <w:b/>
                <w:color w:val="auto"/>
                <w:szCs w:val="21"/>
                <w:highlight w:val="none"/>
                <w:lang w:val="en-US" w:eastAsia="zh-CN"/>
              </w:rPr>
            </w:pPr>
          </w:p>
        </w:tc>
      </w:tr>
      <w:tr w14:paraId="027A5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blHeader/>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42653464">
            <w:pPr>
              <w:spacing w:line="480" w:lineRule="auto"/>
              <w:jc w:val="center"/>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2</w:t>
            </w:r>
          </w:p>
        </w:tc>
        <w:tc>
          <w:tcPr>
            <w:tcW w:w="9410" w:type="dxa"/>
            <w:gridSpan w:val="7"/>
            <w:tcBorders>
              <w:top w:val="single" w:color="auto" w:sz="4" w:space="0"/>
              <w:left w:val="single" w:color="auto" w:sz="4" w:space="0"/>
              <w:bottom w:val="single" w:color="auto" w:sz="4" w:space="0"/>
              <w:right w:val="single" w:color="auto" w:sz="4" w:space="0"/>
            </w:tcBorders>
            <w:noWrap w:val="0"/>
            <w:vAlign w:val="center"/>
          </w:tcPr>
          <w:p w14:paraId="37CCC034">
            <w:pPr>
              <w:spacing w:line="480" w:lineRule="auto"/>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项目耗材（公厕防滑垫、压缩站房除臭液、扫把、拖把等）</w:t>
            </w:r>
          </w:p>
        </w:tc>
      </w:tr>
      <w:tr w14:paraId="02E5E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tblHeader/>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4FC51603">
            <w:pPr>
              <w:spacing w:line="480" w:lineRule="auto"/>
              <w:jc w:val="center"/>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2.1</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6A82F37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耗材</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1E8ADE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3522C8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914CBA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default" w:ascii="宋体" w:hAnsi="宋体" w:eastAsia="宋体" w:cs="宋体"/>
                <w:i w:val="0"/>
                <w:iCs w:val="0"/>
                <w:color w:val="auto"/>
                <w:kern w:val="0"/>
                <w:sz w:val="21"/>
                <w:szCs w:val="21"/>
                <w:highlight w:val="none"/>
                <w:u w:val="none"/>
                <w:lang w:val="en-US" w:eastAsia="zh-CN" w:bidi="ar"/>
              </w:rPr>
              <w:t>000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0CB1450E">
            <w:pPr>
              <w:spacing w:line="480" w:lineRule="auto"/>
              <w:jc w:val="center"/>
              <w:rPr>
                <w:rFonts w:hint="eastAsia" w:ascii="宋体" w:hAnsi="宋体"/>
                <w:b/>
                <w:color w:val="auto"/>
                <w:szCs w:val="21"/>
                <w:highlight w:val="none"/>
                <w:lang w:val="en-US" w:eastAsia="zh-CN"/>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B2171F2">
            <w:pPr>
              <w:spacing w:line="480" w:lineRule="auto"/>
              <w:jc w:val="center"/>
              <w:rPr>
                <w:rFonts w:hint="eastAsia" w:ascii="宋体" w:hAnsi="宋体"/>
                <w:b/>
                <w:color w:val="auto"/>
                <w:szCs w:val="21"/>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F638C75">
            <w:pPr>
              <w:spacing w:line="480" w:lineRule="auto"/>
              <w:jc w:val="center"/>
              <w:rPr>
                <w:rFonts w:hint="eastAsia" w:ascii="宋体" w:hAnsi="宋体"/>
                <w:b/>
                <w:color w:val="auto"/>
                <w:szCs w:val="21"/>
                <w:highlight w:val="none"/>
                <w:lang w:val="en-US" w:eastAsia="zh-CN"/>
              </w:rPr>
            </w:pPr>
            <w:r>
              <w:rPr>
                <w:rFonts w:hint="eastAsia" w:ascii="宋体" w:hAnsi="宋体" w:eastAsia="宋体" w:cs="Times New Roman"/>
                <w:b w:val="0"/>
                <w:bCs/>
                <w:color w:val="auto"/>
                <w:szCs w:val="21"/>
                <w:highlight w:val="none"/>
                <w:lang w:val="en-US" w:eastAsia="zh-CN"/>
              </w:rPr>
              <w:t>包含消杀、除臭等</w:t>
            </w:r>
          </w:p>
        </w:tc>
      </w:tr>
      <w:tr w14:paraId="4834F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2E6C7E02">
            <w:pPr>
              <w:spacing w:line="480" w:lineRule="auto"/>
              <w:jc w:val="center"/>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3</w:t>
            </w:r>
          </w:p>
        </w:tc>
        <w:tc>
          <w:tcPr>
            <w:tcW w:w="9410" w:type="dxa"/>
            <w:gridSpan w:val="7"/>
            <w:tcBorders>
              <w:top w:val="single" w:color="auto" w:sz="4" w:space="0"/>
              <w:left w:val="single" w:color="auto" w:sz="4" w:space="0"/>
              <w:bottom w:val="single" w:color="auto" w:sz="4" w:space="0"/>
              <w:right w:val="single" w:color="auto" w:sz="4" w:space="0"/>
            </w:tcBorders>
            <w:noWrap w:val="0"/>
            <w:vAlign w:val="center"/>
          </w:tcPr>
          <w:p w14:paraId="68EE395B">
            <w:pPr>
              <w:spacing w:line="480" w:lineRule="auto"/>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兰州路垃圾中转站和杭州路垃圾中转站车辆油耗、设备养护等费用</w:t>
            </w:r>
          </w:p>
        </w:tc>
      </w:tr>
      <w:tr w14:paraId="28249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1" w:hRule="atLeast"/>
          <w:tblHeader/>
          <w:jc w:val="center"/>
        </w:trPr>
        <w:tc>
          <w:tcPr>
            <w:tcW w:w="608" w:type="dxa"/>
            <w:tcBorders>
              <w:top w:val="single" w:color="auto" w:sz="4" w:space="0"/>
              <w:left w:val="single" w:color="auto" w:sz="4" w:space="0"/>
              <w:right w:val="single" w:color="auto" w:sz="4" w:space="0"/>
            </w:tcBorders>
            <w:noWrap w:val="0"/>
            <w:vAlign w:val="center"/>
          </w:tcPr>
          <w:p w14:paraId="1A9A4869">
            <w:pPr>
              <w:spacing w:line="480" w:lineRule="auto"/>
              <w:jc w:val="both"/>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3</w:t>
            </w:r>
            <w:r>
              <w:rPr>
                <w:rFonts w:hint="default" w:ascii="宋体" w:hAnsi="宋体"/>
                <w:b/>
                <w:color w:val="auto"/>
                <w:szCs w:val="21"/>
                <w:highlight w:val="none"/>
                <w:lang w:val="en-US" w:eastAsia="zh-CN"/>
              </w:rPr>
              <w:t>.1</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AF5293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转运车辆油费</w:t>
            </w:r>
            <w:r>
              <w:rPr>
                <w:rFonts w:hint="eastAsia" w:ascii="宋体" w:hAnsi="宋体" w:cs="宋体"/>
                <w:b/>
                <w:bCs/>
                <w:i w:val="0"/>
                <w:iCs w:val="0"/>
                <w:color w:val="auto"/>
                <w:kern w:val="0"/>
                <w:sz w:val="21"/>
                <w:szCs w:val="21"/>
                <w:highlight w:val="none"/>
                <w:u w:val="none"/>
                <w:lang w:val="en-US" w:eastAsia="zh-CN" w:bidi="ar"/>
              </w:rPr>
              <w:t>、维修、保养费、停车费、年检费、过路费、交通违章罚款等费用</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D0D5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5CCA7F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D3B9E1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25000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ABEB38B">
            <w:pPr>
              <w:spacing w:line="480" w:lineRule="auto"/>
              <w:jc w:val="center"/>
              <w:rPr>
                <w:rFonts w:hint="default" w:ascii="宋体" w:hAnsi="宋体"/>
                <w:b/>
                <w:color w:val="auto"/>
                <w:szCs w:val="21"/>
                <w:highlight w:val="none"/>
                <w:u w:val="single"/>
                <w:lang w:val="en-US" w:eastAsia="zh-CN"/>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8A979D0">
            <w:pPr>
              <w:spacing w:line="480" w:lineRule="auto"/>
              <w:jc w:val="left"/>
              <w:rPr>
                <w:rFonts w:hint="default" w:ascii="宋体" w:hAnsi="宋体"/>
                <w:b/>
                <w:color w:val="auto"/>
                <w:szCs w:val="21"/>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46809A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b/>
                <w:color w:val="auto"/>
                <w:szCs w:val="21"/>
                <w:highlight w:val="none"/>
                <w:lang w:val="en-US" w:eastAsia="zh-CN"/>
              </w:rPr>
            </w:pPr>
          </w:p>
        </w:tc>
      </w:tr>
      <w:tr w14:paraId="138B9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1" w:hRule="atLeast"/>
          <w:tblHeader/>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3A9F7642">
            <w:pPr>
              <w:spacing w:line="480" w:lineRule="auto"/>
              <w:jc w:val="center"/>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3</w:t>
            </w:r>
            <w:r>
              <w:rPr>
                <w:rFonts w:hint="default" w:ascii="宋体" w:hAnsi="宋体"/>
                <w:b/>
                <w:color w:val="auto"/>
                <w:szCs w:val="21"/>
                <w:highlight w:val="none"/>
                <w:lang w:val="en-US" w:eastAsia="zh-CN"/>
              </w:rPr>
              <w:t>.2</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301CC46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压缩设备定期常规维保费用+突发故障维修费用防锈防腐费（包含液压油、易损件等）</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CDB977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A91019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9C24AB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10000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AB109E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927A0F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888F96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2ECF7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1" w:hRule="atLeast"/>
          <w:tblHeader/>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7133CC7D">
            <w:pPr>
              <w:spacing w:line="480" w:lineRule="auto"/>
              <w:jc w:val="center"/>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3.3</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6A4DC68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渗滤液清运处理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9F98341">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BF2561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2BF6F20">
            <w:pPr>
              <w:keepNext w:val="0"/>
              <w:keepLines w:val="0"/>
              <w:widowControl/>
              <w:suppressLineNumbers w:val="0"/>
              <w:jc w:val="center"/>
              <w:textAlignment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2000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CD96E5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8899DC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E0F9CD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5F01A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963" w:type="dxa"/>
            <w:gridSpan w:val="2"/>
            <w:tcBorders>
              <w:top w:val="single" w:color="auto" w:sz="4" w:space="0"/>
              <w:left w:val="single" w:color="auto" w:sz="4" w:space="0"/>
              <w:bottom w:val="single" w:color="auto" w:sz="4" w:space="0"/>
              <w:right w:val="single" w:color="auto" w:sz="4" w:space="0"/>
            </w:tcBorders>
            <w:noWrap w:val="0"/>
            <w:vAlign w:val="center"/>
          </w:tcPr>
          <w:p w14:paraId="756A6CD7">
            <w:pPr>
              <w:spacing w:line="480" w:lineRule="auto"/>
              <w:jc w:val="center"/>
              <w:rPr>
                <w:rFonts w:hint="default" w:ascii="宋体" w:hAnsi="宋体" w:eastAsia="宋体"/>
                <w:color w:val="auto"/>
                <w:szCs w:val="21"/>
                <w:highlight w:val="none"/>
                <w:lang w:val="en-US" w:eastAsia="zh-CN"/>
              </w:rPr>
            </w:pPr>
            <w:r>
              <w:rPr>
                <w:rFonts w:hint="eastAsia" w:ascii="宋体" w:hAnsi="宋体"/>
                <w:b/>
                <w:color w:val="auto"/>
                <w:szCs w:val="21"/>
                <w:highlight w:val="none"/>
                <w:lang w:val="en-US" w:eastAsia="zh-CN"/>
              </w:rPr>
              <w:t>投标总报价</w:t>
            </w:r>
          </w:p>
        </w:tc>
        <w:tc>
          <w:tcPr>
            <w:tcW w:w="7055" w:type="dxa"/>
            <w:gridSpan w:val="6"/>
            <w:tcBorders>
              <w:top w:val="single" w:color="auto" w:sz="4" w:space="0"/>
              <w:left w:val="single" w:color="auto" w:sz="4" w:space="0"/>
              <w:bottom w:val="single" w:color="auto" w:sz="4" w:space="0"/>
              <w:right w:val="single" w:color="auto" w:sz="4" w:space="0"/>
            </w:tcBorders>
            <w:noWrap w:val="0"/>
            <w:vAlign w:val="top"/>
          </w:tcPr>
          <w:p w14:paraId="2225DBA5">
            <w:pPr>
              <w:spacing w:line="48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大写：                          小写：</w:t>
            </w:r>
          </w:p>
        </w:tc>
      </w:tr>
    </w:tbl>
    <w:p w14:paraId="0CE03982">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注：1、表格中人员数量为最低配置标准，投标人必须完全响应。中标后，招标人有权根据实际情况，增加或减少人员，中标人须及时响应招标人要求。具体以实际发生的人员数量及所报综合单价进行结算，结算时所报综合单价不予调整。</w:t>
      </w:r>
    </w:p>
    <w:p w14:paraId="5780A2C9">
      <w:pPr>
        <w:keepNext w:val="0"/>
        <w:keepLines w:val="0"/>
        <w:pageBreakBefore w:val="0"/>
        <w:widowControl/>
        <w:kinsoku/>
        <w:wordWrap/>
        <w:overflowPunct/>
        <w:topLinePunct w:val="0"/>
        <w:autoSpaceDE/>
        <w:autoSpaceDN/>
        <w:bidi w:val="0"/>
        <w:adjustRightInd/>
        <w:snapToGrid w:val="0"/>
        <w:spacing w:line="400" w:lineRule="exact"/>
        <w:ind w:firstLine="474" w:firstLineChars="225"/>
        <w:jc w:val="both"/>
        <w:textAlignment w:val="auto"/>
        <w:rPr>
          <w:rFonts w:hint="eastAsia" w:ascii="宋体" w:hAnsi="宋体" w:eastAsia="宋体" w:cs="Arial"/>
          <w:b/>
          <w:bCs/>
          <w:color w:val="auto"/>
          <w:kern w:val="0"/>
          <w:szCs w:val="21"/>
          <w:highlight w:val="none"/>
          <w:lang w:val="en-US" w:eastAsia="zh-CN"/>
        </w:rPr>
      </w:pPr>
      <w:r>
        <w:rPr>
          <w:rFonts w:hint="eastAsia" w:ascii="宋体" w:hAnsi="宋体" w:eastAsia="宋体" w:cs="Times New Roman"/>
          <w:b/>
          <w:color w:val="auto"/>
          <w:sz w:val="21"/>
          <w:szCs w:val="21"/>
          <w:highlight w:val="none"/>
          <w:lang w:val="en-US" w:eastAsia="zh-CN"/>
        </w:rPr>
        <w:t>2、</w:t>
      </w:r>
      <w:r>
        <w:rPr>
          <w:rFonts w:hint="eastAsia" w:ascii="宋体" w:hAnsi="宋体" w:eastAsia="宋体" w:cs="Arial"/>
          <w:b/>
          <w:bCs/>
          <w:color w:val="auto"/>
          <w:kern w:val="0"/>
          <w:szCs w:val="21"/>
          <w:highlight w:val="none"/>
          <w:lang w:val="en-US" w:eastAsia="zh-CN"/>
        </w:rPr>
        <w:t>投标报价中含中标人为完成招标项目范围内的全部服务内容所需的一切人员工资、奖金、各种加班费、夜餐费、各种保险、食宿与交通、设备及工具、器材、消耗材料、服装、安全、仓储、运输（包括垃圾外运）、水电费、维修、管理、办公、招标代理费用、专家评审费、各类保洁易耗品费用、大型活动等应急安全保卫及保洁卫生费用、税费、利润、完成合同所需的一切本身和不可或缺的所有工作开支及合同包含的所有风险、责任等各项全部费用并承担一切风险责任。</w:t>
      </w:r>
    </w:p>
    <w:p w14:paraId="1B3C54AE">
      <w:pPr>
        <w:keepNext w:val="0"/>
        <w:keepLines w:val="0"/>
        <w:pageBreakBefore w:val="0"/>
        <w:widowControl/>
        <w:kinsoku/>
        <w:wordWrap/>
        <w:overflowPunct/>
        <w:topLinePunct w:val="0"/>
        <w:autoSpaceDE/>
        <w:autoSpaceDN/>
        <w:bidi w:val="0"/>
        <w:adjustRightInd/>
        <w:snapToGrid w:val="0"/>
        <w:spacing w:line="400" w:lineRule="exact"/>
        <w:ind w:firstLine="474" w:firstLineChars="225"/>
        <w:jc w:val="both"/>
        <w:textAlignment w:val="auto"/>
        <w:rPr>
          <w:rFonts w:hint="eastAsia" w:ascii="宋体" w:hAnsi="宋体" w:eastAsia="宋体" w:cs="Arial"/>
          <w:b/>
          <w:bCs/>
          <w:color w:val="auto"/>
          <w:kern w:val="0"/>
          <w:szCs w:val="21"/>
          <w:highlight w:val="none"/>
          <w:lang w:val="en-US" w:eastAsia="zh-CN"/>
        </w:rPr>
      </w:pPr>
      <w:r>
        <w:rPr>
          <w:rFonts w:hint="default" w:ascii="宋体" w:hAnsi="宋体" w:eastAsia="宋体" w:cs="Arial"/>
          <w:b/>
          <w:bCs/>
          <w:color w:val="auto"/>
          <w:kern w:val="0"/>
          <w:szCs w:val="21"/>
          <w:highlight w:val="none"/>
          <w:lang w:val="en-US" w:eastAsia="zh-CN"/>
        </w:rPr>
        <w:t>3</w:t>
      </w:r>
      <w:r>
        <w:rPr>
          <w:rFonts w:hint="eastAsia" w:ascii="宋体" w:hAnsi="宋体" w:eastAsia="宋体" w:cs="Arial"/>
          <w:b/>
          <w:bCs/>
          <w:color w:val="auto"/>
          <w:kern w:val="0"/>
          <w:szCs w:val="21"/>
          <w:highlight w:val="none"/>
          <w:lang w:val="en-US" w:eastAsia="zh-CN"/>
        </w:rPr>
        <w:t>、招标人在中标单位履行合同期间，不提供办公场所，办公费用包含在投标报价中，报价时投标人自行考虑，后期不予调整。</w:t>
      </w:r>
    </w:p>
    <w:p w14:paraId="2DEF99C9">
      <w:pPr>
        <w:keepNext w:val="0"/>
        <w:keepLines w:val="0"/>
        <w:pageBreakBefore w:val="0"/>
        <w:widowControl w:val="0"/>
        <w:kinsoku/>
        <w:wordWrap w:val="0"/>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Times New Roman"/>
          <w:b/>
          <w:bCs w:val="0"/>
          <w:color w:val="auto"/>
          <w:sz w:val="21"/>
          <w:szCs w:val="21"/>
          <w:highlight w:val="none"/>
          <w:lang w:val="en-US" w:eastAsia="zh-CN"/>
        </w:rPr>
      </w:pPr>
      <w:r>
        <w:rPr>
          <w:rFonts w:hint="default" w:ascii="宋体" w:hAnsi="宋体" w:eastAsia="宋体" w:cs="Arial"/>
          <w:b/>
          <w:bCs/>
          <w:color w:val="auto"/>
          <w:kern w:val="0"/>
          <w:szCs w:val="21"/>
          <w:highlight w:val="none"/>
          <w:lang w:val="en-US" w:eastAsia="zh-CN"/>
        </w:rPr>
        <w:t>4</w:t>
      </w:r>
      <w:r>
        <w:rPr>
          <w:rFonts w:hint="eastAsia" w:ascii="宋体" w:hAnsi="宋体" w:eastAsia="宋体" w:cs="Arial"/>
          <w:b/>
          <w:bCs/>
          <w:color w:val="auto"/>
          <w:kern w:val="0"/>
          <w:szCs w:val="21"/>
          <w:highlight w:val="none"/>
          <w:lang w:val="en-US" w:eastAsia="zh-CN"/>
        </w:rPr>
        <w:t>、合同履约结束招标人自有设备需委托第三方对设备使用性进行检测，检测费用由中标人支付包含在投标报价中，投标报价时投标人自行考虑，后期不予调整。</w:t>
      </w:r>
      <w:r>
        <w:rPr>
          <w:rFonts w:hint="eastAsia" w:ascii="宋体" w:hAnsi="宋体" w:eastAsia="宋体" w:cs="Times New Roman"/>
          <w:b/>
          <w:bCs w:val="0"/>
          <w:color w:val="auto"/>
          <w:sz w:val="21"/>
          <w:szCs w:val="21"/>
          <w:highlight w:val="none"/>
          <w:lang w:val="en-US" w:eastAsia="zh-CN"/>
        </w:rPr>
        <w:t>。</w:t>
      </w:r>
    </w:p>
    <w:p w14:paraId="5C0CF64C">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p>
    <w:p w14:paraId="6994C37F">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228CB58">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7D1A729F">
      <w:pPr>
        <w:pStyle w:val="12"/>
        <w:keepNext w:val="0"/>
        <w:keepLines w:val="0"/>
        <w:pageBreakBefore w:val="0"/>
        <w:widowControl w:val="0"/>
        <w:kinsoku/>
        <w:wordWrap w:val="0"/>
        <w:overflowPunct/>
        <w:topLinePunct w:val="0"/>
        <w:autoSpaceDE/>
        <w:autoSpaceDN/>
        <w:bidi w:val="0"/>
        <w:adjustRightInd/>
        <w:snapToGrid/>
        <w:spacing w:after="0" w:afterLines="0" w:line="500" w:lineRule="exact"/>
        <w:ind w:firstLine="2880" w:firstLineChars="1200"/>
        <w:jc w:val="both"/>
        <w:textAlignment w:val="auto"/>
        <w:rPr>
          <w:rFonts w:hint="eastAsia"/>
          <w:color w:val="auto"/>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 xml:space="preserve"> </w:t>
      </w:r>
    </w:p>
    <w:p w14:paraId="134AF229">
      <w:pPr>
        <w:kinsoku/>
        <w:wordWrap w:val="0"/>
        <w:overflowPunct/>
        <w:topLinePunct w:val="0"/>
        <w:bidi w:val="0"/>
        <w:rPr>
          <w:rFonts w:hint="eastAsia" w:ascii="宋体" w:hAnsi="宋体"/>
          <w:b/>
          <w:color w:val="auto"/>
          <w:sz w:val="30"/>
          <w:szCs w:val="30"/>
          <w:highlight w:val="none"/>
        </w:rPr>
      </w:pPr>
    </w:p>
    <w:p w14:paraId="3973AD7B">
      <w:pPr>
        <w:kinsoku/>
        <w:wordWrap w:val="0"/>
        <w:overflowPunct/>
        <w:topLinePunct w:val="0"/>
        <w:bidi w:val="0"/>
        <w:outlineLvl w:val="1"/>
        <w:rPr>
          <w:rFonts w:hint="eastAsia" w:ascii="宋体" w:hAnsi="宋体"/>
          <w:b/>
          <w:color w:val="auto"/>
          <w:sz w:val="30"/>
          <w:szCs w:val="30"/>
          <w:highlight w:val="none"/>
        </w:rPr>
      </w:pPr>
    </w:p>
    <w:p w14:paraId="22764740">
      <w:pPr>
        <w:kinsoku/>
        <w:wordWrap w:val="0"/>
        <w:overflowPunct/>
        <w:topLinePunct w:val="0"/>
        <w:bidi w:val="0"/>
        <w:outlineLvl w:val="1"/>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B5FF6AA">
      <w:pPr>
        <w:keepNext w:val="0"/>
        <w:keepLines w:val="0"/>
        <w:pageBreakBefore w:val="0"/>
        <w:widowControl w:val="0"/>
        <w:kinsoku/>
        <w:overflowPunct/>
        <w:topLinePunct w:val="0"/>
        <w:autoSpaceDE/>
        <w:autoSpaceDN/>
        <w:bidi w:val="0"/>
        <w:adjustRightInd/>
        <w:snapToGrid/>
        <w:spacing w:line="480" w:lineRule="exact"/>
        <w:ind w:left="0" w:leftChars="0" w:firstLine="420" w:firstLineChars="200"/>
        <w:textAlignment w:val="auto"/>
        <w:rPr>
          <w:rFonts w:hint="eastAsia" w:ascii="宋体" w:hAnsi="宋体" w:cs="宋体"/>
          <w:b/>
          <w:bCs/>
          <w:color w:val="auto"/>
          <w:szCs w:val="21"/>
          <w:highlight w:val="none"/>
        </w:rPr>
      </w:pPr>
      <w:r>
        <w:rPr>
          <w:rFonts w:hint="eastAsia" w:ascii="宋体"/>
          <w:color w:val="auto"/>
          <w:szCs w:val="21"/>
          <w:highlight w:val="none"/>
          <w:lang w:val="en-US" w:eastAsia="zh-CN"/>
        </w:rPr>
        <w:t>1、</w:t>
      </w:r>
      <w:r>
        <w:rPr>
          <w:rFonts w:hint="eastAsia" w:ascii="宋体" w:hAnsi="宋体" w:cs="宋体"/>
          <w:b/>
          <w:bCs/>
          <w:color w:val="auto"/>
          <w:szCs w:val="21"/>
          <w:highlight w:val="none"/>
        </w:rPr>
        <w:t>投标人必须对报价构成进行说明</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格式自拟</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即必须详细列出员工基本工资、社保医保、人身意外伤害险、台风或临时任务等加班费、过节费、防暑降温费、标制、服装费用，车辆设备的折旧费、维修费、低值易耗品（扫帚、铁铲、畚斗、清洁用品、清洁药剂、消杀药剂等）费用，</w:t>
      </w:r>
      <w:r>
        <w:rPr>
          <w:rFonts w:hint="eastAsia" w:ascii="宋体" w:hAnsi="宋体"/>
          <w:b/>
          <w:bCs/>
          <w:color w:val="auto"/>
          <w:szCs w:val="21"/>
          <w:highlight w:val="none"/>
        </w:rPr>
        <w:t>垃圾运输车辆的燃油费、年度保险费、检测费、审验费、车船使用税、各类维修费以及</w:t>
      </w:r>
      <w:r>
        <w:rPr>
          <w:rFonts w:hint="eastAsia" w:ascii="宋体" w:hAnsi="宋体" w:cs="Arial"/>
          <w:b/>
          <w:bCs/>
          <w:color w:val="auto"/>
          <w:szCs w:val="21"/>
          <w:highlight w:val="none"/>
        </w:rPr>
        <w:t>垃圾转运站点</w:t>
      </w:r>
      <w:r>
        <w:rPr>
          <w:rFonts w:hint="eastAsia" w:ascii="宋体" w:hAnsi="宋体"/>
          <w:b/>
          <w:bCs/>
          <w:color w:val="auto"/>
          <w:szCs w:val="21"/>
          <w:highlight w:val="none"/>
        </w:rPr>
        <w:t>内机械设备、其他油费、大中小维修及日常保养费、水电费、车辆的污水接漏</w:t>
      </w:r>
      <w:r>
        <w:rPr>
          <w:rFonts w:hint="eastAsia" w:ascii="宋体" w:hAnsi="宋体" w:cs="宋体"/>
          <w:b/>
          <w:bCs/>
          <w:color w:val="auto"/>
          <w:szCs w:val="21"/>
          <w:highlight w:val="none"/>
        </w:rPr>
        <w:t>、合理利润</w:t>
      </w:r>
      <w:r>
        <w:rPr>
          <w:rFonts w:hint="eastAsia" w:ascii="宋体" w:hAnsi="宋体"/>
          <w:b/>
          <w:bCs/>
          <w:color w:val="auto"/>
          <w:szCs w:val="21"/>
          <w:highlight w:val="none"/>
        </w:rPr>
        <w:t>等一切费用均由</w:t>
      </w:r>
      <w:r>
        <w:rPr>
          <w:rFonts w:hint="eastAsia" w:ascii="宋体" w:hAnsi="宋体"/>
          <w:b/>
          <w:bCs/>
          <w:color w:val="auto"/>
          <w:szCs w:val="21"/>
          <w:highlight w:val="none"/>
          <w:lang w:val="en-US" w:eastAsia="zh-CN"/>
        </w:rPr>
        <w:t>中标人</w:t>
      </w:r>
      <w:r>
        <w:rPr>
          <w:rFonts w:hint="eastAsia" w:ascii="宋体" w:hAnsi="宋体"/>
          <w:b/>
          <w:bCs/>
          <w:color w:val="auto"/>
          <w:szCs w:val="21"/>
          <w:highlight w:val="none"/>
        </w:rPr>
        <w:t>承担。</w:t>
      </w:r>
    </w:p>
    <w:p w14:paraId="24E8C0D3">
      <w:pPr>
        <w:kinsoku/>
        <w:wordWrap w:val="0"/>
        <w:overflowPunct/>
        <w:topLinePunct w:val="0"/>
        <w:bidi w:val="0"/>
        <w:spacing w:line="380" w:lineRule="exact"/>
        <w:ind w:firstLine="424" w:firstLineChars="202"/>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投标人认为需要提供的其他材料（如有）</w:t>
      </w:r>
    </w:p>
    <w:p w14:paraId="3B62E820">
      <w:pPr>
        <w:kinsoku/>
        <w:wordWrap w:val="0"/>
        <w:overflowPunct/>
        <w:topLinePunct w:val="0"/>
        <w:bidi w:val="0"/>
        <w:spacing w:line="440" w:lineRule="exact"/>
        <w:ind w:firstLine="615"/>
        <w:rPr>
          <w:rFonts w:hint="eastAsia" w:ascii="宋体" w:hAnsi="宋体" w:cs="宋体"/>
          <w:b/>
          <w:color w:val="auto"/>
          <w:szCs w:val="21"/>
          <w:highlight w:val="none"/>
        </w:rPr>
      </w:pPr>
      <w:r>
        <w:rPr>
          <w:rFonts w:hint="eastAsia"/>
          <w:color w:val="auto"/>
          <w:highlight w:val="none"/>
        </w:rPr>
        <w:br w:type="page"/>
      </w:r>
    </w:p>
    <w:p w14:paraId="284FC7FB">
      <w:pPr>
        <w:kinsoku/>
        <w:wordWrap w:val="0"/>
        <w:overflowPunct/>
        <w:topLinePunct w:val="0"/>
        <w:bidi w:val="0"/>
        <w:outlineLvl w:val="0"/>
        <w:rPr>
          <w:rFonts w:hint="eastAsia" w:ascii="宋体" w:hAnsi="宋体" w:eastAsia="宋体" w:cs="宋体"/>
          <w:color w:val="auto"/>
          <w:sz w:val="28"/>
          <w:szCs w:val="28"/>
          <w:highlight w:val="none"/>
        </w:rPr>
      </w:pPr>
      <w:bookmarkStart w:id="128" w:name="_Toc11016"/>
      <w:r>
        <w:rPr>
          <w:rFonts w:hint="eastAsia" w:ascii="宋体" w:hAnsi="宋体" w:eastAsia="宋体" w:cs="宋体"/>
          <w:b/>
          <w:color w:val="auto"/>
          <w:sz w:val="28"/>
          <w:szCs w:val="28"/>
          <w:highlight w:val="none"/>
          <w:lang w:bidi="ar"/>
        </w:rPr>
        <w:t>附件1</w:t>
      </w:r>
      <w:bookmarkEnd w:id="128"/>
    </w:p>
    <w:p w14:paraId="16A75FC1">
      <w:pPr>
        <w:kinsoku/>
        <w:wordWrap w:val="0"/>
        <w:overflowPunct/>
        <w:topLinePunct w:val="0"/>
        <w:bidi w:val="0"/>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关于联合惩戒失信行为 加强信用查询管理的通知</w:t>
      </w:r>
    </w:p>
    <w:p w14:paraId="676888DA">
      <w:pPr>
        <w:keepNext w:val="0"/>
        <w:keepLines w:val="0"/>
        <w:pageBreakBefore w:val="0"/>
        <w:kinsoku/>
        <w:wordWrap w:val="0"/>
        <w:overflowPunct/>
        <w:topLinePunct w:val="0"/>
        <w:autoSpaceDN/>
        <w:bidi w:val="0"/>
        <w:adjustRightInd/>
        <w:snapToGrid/>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313D4D74">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在我市公共资源交易活动中对存在下列失信行为的投标人、法定代表人及其项目经理（建造师）实施联合惩戒，禁止参与我市公共资源交易活动。</w:t>
      </w:r>
    </w:p>
    <w:p w14:paraId="7F01628B">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（一）工程建设项目</w:t>
      </w:r>
    </w:p>
    <w:p w14:paraId="23683D1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1、“信用中国”网站（www.creditchina.gov.cn）查询投标人、法定代表人及其项目经理(建造师)以下失信行为：</w:t>
      </w:r>
    </w:p>
    <w:p w14:paraId="25AED6F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61F00700">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42ACC2DA">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③被列入“拖欠农民工工资失信联合惩戒对象名单”的；</w:t>
      </w:r>
    </w:p>
    <w:p w14:paraId="7614B7DB">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④被列入 “严重失信主体名单”的；</w:t>
      </w:r>
    </w:p>
    <w:p w14:paraId="0C001F72">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⑤在“信用中国”网站上披露的仍在公示期的严重失信行为(具体行为类别及判定依据见附件2)的。</w:t>
      </w:r>
    </w:p>
    <w:p w14:paraId="07A2637F">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2、国家企业信用信息公示系统网站（www.gsxt.gov.cn）查询投标人以下失信行为：</w:t>
      </w:r>
    </w:p>
    <w:p w14:paraId="6074521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1A23DD08">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3、由投标人、法定代表人及其项目经理(建造师)进行承诺，不进行现场网上信用查询的失信行为：</w:t>
      </w:r>
    </w:p>
    <w:p w14:paraId="566FDFB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①前三年有行贿犯罪行为的单位和个人；</w:t>
      </w:r>
    </w:p>
    <w:p w14:paraId="5DEC0851">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②被滁州市县两级公管部门取消在一定期限内的投标资格且在取消期限内的；</w:t>
      </w:r>
    </w:p>
    <w:p w14:paraId="0F8F2487">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③被滁州市县两级各行业主管部门取消在一定期限内的投标资格且在取消期限内的；</w:t>
      </w:r>
    </w:p>
    <w:p w14:paraId="4C1D736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④因拖欠农民工工资被县级及以上有关行政主管部门限制投标资格且在限制期限内的；</w:t>
      </w:r>
    </w:p>
    <w:p w14:paraId="30715A3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A64B321">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（二）政府采购项目</w:t>
      </w:r>
    </w:p>
    <w:p w14:paraId="6EC430EB">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1、“信用中国”网站（www.creditchina.gov.cn）查询供应商、法定代表人及其项目负责人以下失信行为：</w:t>
      </w:r>
    </w:p>
    <w:p w14:paraId="02F769AA">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2F383CF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7C6AEFF5">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 “严重失信主体名单”的；</w:t>
      </w:r>
    </w:p>
    <w:p w14:paraId="50C58D0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④在“信用中国”网站上披露的仍在公示期的严重失信行为(具体行为类别及判定依据见附件2)的。</w:t>
      </w:r>
    </w:p>
    <w:p w14:paraId="5422871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t>
      </w:r>
      <w:r>
        <w:rPr>
          <w:rFonts w:hint="eastAsia" w:ascii="宋体" w:hAnsi="宋体" w:eastAsia="宋体" w:cs="宋体"/>
          <w:bCs/>
          <w:color w:val="auto"/>
          <w:kern w:val="0"/>
          <w:sz w:val="24"/>
          <w:szCs w:val="24"/>
          <w:highlight w:val="none"/>
          <w:lang w:bidi="ar"/>
        </w:rPr>
        <w:fldChar w:fldCharType="begin"/>
      </w:r>
      <w:r>
        <w:rPr>
          <w:rFonts w:hint="eastAsia" w:ascii="宋体" w:hAnsi="宋体" w:eastAsia="宋体" w:cs="宋体"/>
          <w:bCs/>
          <w:color w:val="auto"/>
          <w:kern w:val="0"/>
          <w:sz w:val="24"/>
          <w:szCs w:val="24"/>
          <w:highlight w:val="none"/>
          <w:lang w:bidi="ar"/>
        </w:rPr>
        <w:instrText xml:space="preserve"> HYPERLINK "http://www.gsxt.gov.cn）查询" </w:instrText>
      </w:r>
      <w:r>
        <w:rPr>
          <w:rFonts w:hint="eastAsia" w:ascii="宋体" w:hAnsi="宋体" w:eastAsia="宋体" w:cs="宋体"/>
          <w:bCs/>
          <w:color w:val="auto"/>
          <w:kern w:val="0"/>
          <w:sz w:val="24"/>
          <w:szCs w:val="24"/>
          <w:highlight w:val="none"/>
          <w:lang w:bidi="ar"/>
        </w:rPr>
        <w:fldChar w:fldCharType="separate"/>
      </w:r>
      <w:r>
        <w:rPr>
          <w:rFonts w:hint="eastAsia" w:ascii="宋体" w:hAnsi="宋体" w:eastAsia="宋体" w:cs="宋体"/>
          <w:bCs/>
          <w:color w:val="auto"/>
          <w:kern w:val="0"/>
          <w:sz w:val="24"/>
          <w:szCs w:val="24"/>
          <w:highlight w:val="none"/>
          <w:lang w:bidi="ar"/>
        </w:rPr>
        <w:t>www.gsxt.gov.cn）</w:t>
      </w:r>
      <w:r>
        <w:rPr>
          <w:rFonts w:hint="eastAsia" w:ascii="宋体" w:hAnsi="宋体" w:eastAsia="宋体" w:cs="宋体"/>
          <w:bCs/>
          <w:color w:val="auto"/>
          <w:kern w:val="0"/>
          <w:sz w:val="24"/>
          <w:szCs w:val="24"/>
          <w:highlight w:val="none"/>
          <w:lang w:bidi="ar"/>
        </w:rPr>
        <w:fldChar w:fldCharType="end"/>
      </w:r>
      <w:r>
        <w:rPr>
          <w:rFonts w:hint="eastAsia" w:ascii="宋体" w:hAnsi="宋体" w:eastAsia="宋体" w:cs="宋体"/>
          <w:bCs/>
          <w:color w:val="auto"/>
          <w:kern w:val="0"/>
          <w:sz w:val="24"/>
          <w:szCs w:val="24"/>
          <w:highlight w:val="none"/>
          <w:lang w:bidi="ar"/>
        </w:rPr>
        <w:t>查询供应商以下失信行为：</w:t>
      </w:r>
    </w:p>
    <w:p w14:paraId="500AC454">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129" w:name="OLE_LINK102"/>
      <w:bookmarkStart w:id="130" w:name="OLE_LINK100"/>
      <w:bookmarkStart w:id="131" w:name="OLE_LINK101"/>
      <w:r>
        <w:rPr>
          <w:rFonts w:hint="eastAsia" w:ascii="宋体" w:hAnsi="宋体" w:eastAsia="宋体" w:cs="宋体"/>
          <w:bCs/>
          <w:color w:val="auto"/>
          <w:kern w:val="0"/>
          <w:sz w:val="24"/>
          <w:szCs w:val="24"/>
          <w:highlight w:val="none"/>
          <w:lang w:bidi="ar"/>
        </w:rPr>
        <w:t>被列入“经营异常名录”或者“严重违法失信名单”的</w:t>
      </w:r>
      <w:bookmarkEnd w:id="129"/>
      <w:bookmarkEnd w:id="130"/>
      <w:bookmarkEnd w:id="131"/>
      <w:r>
        <w:rPr>
          <w:rFonts w:hint="eastAsia" w:ascii="宋体" w:hAnsi="宋体" w:eastAsia="宋体" w:cs="宋体"/>
          <w:bCs/>
          <w:color w:val="auto"/>
          <w:kern w:val="0"/>
          <w:sz w:val="24"/>
          <w:szCs w:val="24"/>
          <w:highlight w:val="none"/>
          <w:lang w:bidi="ar"/>
        </w:rPr>
        <w:t>。</w:t>
      </w:r>
    </w:p>
    <w:p w14:paraId="25D32E7A">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3、中国政府采购网站（</w:t>
      </w:r>
      <w:bookmarkStart w:id="132" w:name="OLE_LINK96"/>
      <w:bookmarkStart w:id="133" w:name="OLE_LINK95"/>
      <w:r>
        <w:rPr>
          <w:rFonts w:hint="eastAsia" w:ascii="宋体" w:hAnsi="宋体" w:eastAsia="宋体" w:cs="宋体"/>
          <w:bCs/>
          <w:color w:val="auto"/>
          <w:kern w:val="0"/>
          <w:sz w:val="24"/>
          <w:szCs w:val="24"/>
          <w:highlight w:val="none"/>
          <w:lang w:bidi="ar"/>
        </w:rPr>
        <w:fldChar w:fldCharType="begin"/>
      </w:r>
      <w:r>
        <w:rPr>
          <w:rFonts w:hint="eastAsia" w:ascii="宋体" w:hAnsi="宋体" w:eastAsia="宋体" w:cs="宋体"/>
          <w:bCs/>
          <w:color w:val="auto"/>
          <w:kern w:val="0"/>
          <w:sz w:val="24"/>
          <w:szCs w:val="24"/>
          <w:highlight w:val="none"/>
          <w:lang w:bidi="ar"/>
        </w:rPr>
        <w:instrText xml:space="preserve"> HYPERLINK "http://www.ccgp.gov.cn" </w:instrText>
      </w:r>
      <w:r>
        <w:rPr>
          <w:rFonts w:hint="eastAsia" w:ascii="宋体" w:hAnsi="宋体" w:eastAsia="宋体" w:cs="宋体"/>
          <w:bCs/>
          <w:color w:val="auto"/>
          <w:kern w:val="0"/>
          <w:sz w:val="24"/>
          <w:szCs w:val="24"/>
          <w:highlight w:val="none"/>
          <w:lang w:bidi="ar"/>
        </w:rPr>
        <w:fldChar w:fldCharType="separate"/>
      </w:r>
      <w:r>
        <w:rPr>
          <w:rFonts w:hint="eastAsia" w:ascii="宋体" w:hAnsi="宋体" w:eastAsia="宋体" w:cs="宋体"/>
          <w:bCs/>
          <w:color w:val="auto"/>
          <w:kern w:val="0"/>
          <w:sz w:val="24"/>
          <w:szCs w:val="24"/>
          <w:highlight w:val="none"/>
          <w:lang w:bidi="ar"/>
        </w:rPr>
        <w:t>www.ccgp.gov.cn</w:t>
      </w:r>
      <w:r>
        <w:rPr>
          <w:rFonts w:hint="eastAsia" w:ascii="宋体" w:hAnsi="宋体" w:eastAsia="宋体" w:cs="宋体"/>
          <w:bCs/>
          <w:color w:val="auto"/>
          <w:kern w:val="0"/>
          <w:sz w:val="24"/>
          <w:szCs w:val="24"/>
          <w:highlight w:val="none"/>
          <w:lang w:bidi="ar"/>
        </w:rPr>
        <w:fldChar w:fldCharType="end"/>
      </w:r>
      <w:bookmarkEnd w:id="132"/>
      <w:bookmarkEnd w:id="133"/>
      <w:r>
        <w:rPr>
          <w:rFonts w:hint="eastAsia" w:ascii="宋体" w:hAnsi="宋体" w:eastAsia="宋体" w:cs="宋体"/>
          <w:bCs/>
          <w:color w:val="auto"/>
          <w:kern w:val="0"/>
          <w:sz w:val="24"/>
          <w:szCs w:val="24"/>
          <w:highlight w:val="none"/>
          <w:lang w:bidi="ar"/>
        </w:rPr>
        <w:t>）查询以下失信行为：</w:t>
      </w:r>
    </w:p>
    <w:p w14:paraId="0AADDBF3">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134" w:name="OLE_LINK106"/>
      <w:bookmarkStart w:id="135" w:name="OLE_LINK105"/>
      <w:bookmarkStart w:id="136" w:name="OLE_LINK104"/>
      <w:r>
        <w:rPr>
          <w:rFonts w:hint="eastAsia" w:ascii="宋体" w:hAnsi="宋体" w:eastAsia="宋体" w:cs="宋体"/>
          <w:bCs/>
          <w:color w:val="auto"/>
          <w:kern w:val="0"/>
          <w:sz w:val="24"/>
          <w:szCs w:val="24"/>
          <w:highlight w:val="none"/>
          <w:lang w:bidi="ar"/>
        </w:rPr>
        <w:t>被列入“政府采购严重违法失信行为信息记录”的</w:t>
      </w:r>
      <w:bookmarkEnd w:id="134"/>
      <w:bookmarkEnd w:id="135"/>
      <w:bookmarkEnd w:id="136"/>
      <w:r>
        <w:rPr>
          <w:rFonts w:hint="eastAsia" w:ascii="宋体" w:hAnsi="宋体" w:eastAsia="宋体" w:cs="宋体"/>
          <w:bCs/>
          <w:color w:val="auto"/>
          <w:kern w:val="0"/>
          <w:sz w:val="24"/>
          <w:szCs w:val="24"/>
          <w:highlight w:val="none"/>
          <w:lang w:bidi="ar"/>
        </w:rPr>
        <w:t>。</w:t>
      </w:r>
    </w:p>
    <w:p w14:paraId="4674B8F0">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56154650">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479B56D0">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二、在开评标活动中的查询程序</w:t>
      </w:r>
    </w:p>
    <w:p w14:paraId="2EDF981C">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4F48058">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235A41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3、项目单位及其委托的代理机构应当做好信用查询结果截图和记录留存。</w:t>
      </w:r>
    </w:p>
    <w:p w14:paraId="09899982">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三、相关要求</w:t>
      </w:r>
    </w:p>
    <w:p w14:paraId="53E4A933">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425300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044908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12F93D6">
      <w:pPr>
        <w:keepNext w:val="0"/>
        <w:keepLines w:val="0"/>
        <w:pageBreakBefore w:val="0"/>
        <w:widowControl/>
        <w:kinsoku/>
        <w:wordWrap w:val="0"/>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2、“信用中国”查询的严重失信行为判定依据为各行业主管部门下发的联合惩戒文件中规定的行为（按附件2执行）。</w:t>
      </w:r>
    </w:p>
    <w:p w14:paraId="334A592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t>3、资格预审的项目以递交资格预审申请文件截止时间查询为准；资格后审的项目以递交投标文件截止时间查询为准。</w:t>
      </w:r>
    </w:p>
    <w:p w14:paraId="4E726C61">
      <w:pPr>
        <w:kinsoku/>
        <w:wordWrap w:val="0"/>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1290EF54">
      <w:pPr>
        <w:pStyle w:val="31"/>
        <w:widowControl/>
        <w:kinsoku/>
        <w:wordWrap w:val="0"/>
        <w:overflowPunct/>
        <w:topLinePunct w:val="0"/>
        <w:bidi w:val="0"/>
        <w:spacing w:before="0" w:after="120" w:afterAutospacing="0" w:line="360" w:lineRule="auto"/>
        <w:ind w:left="420" w:leftChars="20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 xml:space="preserve"> </w:t>
      </w:r>
    </w:p>
    <w:p w14:paraId="04B84CB8">
      <w:pPr>
        <w:kinsoku/>
        <w:wordWrap w:val="0"/>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附件2</w:t>
      </w:r>
    </w:p>
    <w:p w14:paraId="4D1614E6">
      <w:pPr>
        <w:kinsoku/>
        <w:wordWrap w:val="0"/>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48F86DEC">
      <w:pPr>
        <w:kinsoku/>
        <w:wordWrap w:val="0"/>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0C9670D7">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“信用中国”查询的严重失信行为判定依据为各行业主管部门下发的联合惩戒文件中规定的行为。下面将部分类别的严重失信行为列举如下：</w:t>
      </w:r>
    </w:p>
    <w:p w14:paraId="416006DC">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一、安全生产领域严重失信行为：</w:t>
      </w:r>
    </w:p>
    <w:p w14:paraId="1440925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（一）下列发生生产安全事故的生产经营单位及其有关人员应当列入严重失信主体名单：</w:t>
      </w:r>
    </w:p>
    <w:p w14:paraId="700A8817">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1、发生特别重大、重大生产安全事故的生产经营单位及其主要负责人，以及经调查认定对该事故发生负有责任，应当列入名单的其他单位和人员；</w:t>
      </w:r>
    </w:p>
    <w:p w14:paraId="35E93CA7">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2、12个月内累计发生2起以上较大生产安全事故的生产经营单位及其主要负责人；</w:t>
      </w:r>
    </w:p>
    <w:p w14:paraId="22F4A11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2AE25E9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4、瞒报、谎报生产安全事故的生产经营单位及其有关责任人员；</w:t>
      </w:r>
    </w:p>
    <w:p w14:paraId="01759C4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5、发生生产安全事故后，不立即组织抢救或者在事故调查处理期间擅离职守或者逃匿的生产经营单位主要负责人。</w:t>
      </w:r>
    </w:p>
    <w:p w14:paraId="648766FD">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（二）下列未发生生产安全事故，但因安全生产违法行为，受到行政处罚的生产经营单位或者机构及其有关人员，应当列入严重失信主体名单：</w:t>
      </w:r>
    </w:p>
    <w:p w14:paraId="3F1A853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1、未依法取得安全生产相关许可或者许可被暂扣、吊销期间从事相关生产经营活动的生产经营单位及其主要负责人；</w:t>
      </w:r>
    </w:p>
    <w:p w14:paraId="7E39B61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2、承担安全评价、认证、检测、检验职责的机构及其直接责任人员租借资质、挂靠、出具虚假报告或者证书的；</w:t>
      </w:r>
    </w:p>
    <w:p w14:paraId="730F274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3、在应急管理部门作出行政处罚后，有执行能力拒不执行或者逃避执行的生产经营单位及其主要负责人；</w:t>
      </w:r>
    </w:p>
    <w:p w14:paraId="16571DA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4、其他违反安全生产法律法规受到行政处罚，且性质恶劣、情节严重的。</w:t>
      </w:r>
    </w:p>
    <w:p w14:paraId="2C2DA6FF">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依据：《安全生产严重失信主体名单管理办法》（2023年8月8日应急管理部令第11号）</w:t>
      </w:r>
    </w:p>
    <w:p w14:paraId="5DF6A605">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14F482D6">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二、环境保护领域严重失信行为：</w:t>
      </w:r>
    </w:p>
    <w:p w14:paraId="03773B3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（一）因为环境违法构成环境犯罪的；</w:t>
      </w:r>
    </w:p>
    <w:p w14:paraId="226A5E44">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（二）建设项目环境影响评价文件未按规定通过审批，擅自开工建设的；</w:t>
      </w:r>
    </w:p>
    <w:p w14:paraId="49DBFD0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（三）建设项目环保设施未建成、环保措施未落实、未通过竣工环保验收或者验收不合格，主体工程正式投入生产或者使用的；</w:t>
      </w:r>
    </w:p>
    <w:p w14:paraId="14C45E5D">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088D1B6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（五）主要污染物排放总量超过控制指标的；</w:t>
      </w:r>
    </w:p>
    <w:p w14:paraId="092C2D50">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（六）私设暗管或者利用渗井、渗坑、裂隙、溶洞等排放、倾倒、处置水污染物，或者通过私设旁路排放大气污染物的；</w:t>
      </w:r>
    </w:p>
    <w:p w14:paraId="73DB689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（七）非法排放、倾倒、处置危险废物，或者向无经营许可证或者超出经营许可范围的单位或个人提供或者委托其收集、贮存、利用、处置危险废物的；</w:t>
      </w:r>
    </w:p>
    <w:p w14:paraId="50B93940">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（八）环境违法行为造成集中式生活饮用水水源取水中断的；</w:t>
      </w:r>
    </w:p>
    <w:p w14:paraId="5628BA5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（九）环境违法行为对生活饮用水水源保护区、自然保护区、国家重点生态功能区、风景名胜区、居住功能区、基本农田保护区等环境敏感区造成重大不利影响的；</w:t>
      </w:r>
    </w:p>
    <w:p w14:paraId="2C8196F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（十）违法从事自然资源开发、交通基础设施建设，以及其他开发建设活动，造成严重生态破坏的；</w:t>
      </w:r>
    </w:p>
    <w:p w14:paraId="05F7ED56">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（十一）发生较大及以上突发环境事件的；</w:t>
      </w:r>
    </w:p>
    <w:p w14:paraId="4B16534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（十二）被环保部门挂牌督办，整改逾期未完成的；</w:t>
      </w:r>
    </w:p>
    <w:p w14:paraId="606D6BC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（十三）以暴力、威胁等方式拒绝、阻挠环保部门工作人员现场检查的；</w:t>
      </w:r>
    </w:p>
    <w:p w14:paraId="331DB67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（十四）违反重污染天气应急预案有关规定，对重污染天气响应不力的。</w:t>
      </w:r>
    </w:p>
    <w:p w14:paraId="5751D614">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依据：《关于对环境保护领域失信生产经营单位及其有关人员开展联合惩戒的合作备忘录》、《企业环境信用评价办法（试行）》（环发〔2013〕150号）</w:t>
      </w:r>
    </w:p>
    <w:p w14:paraId="06FCA1BC">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277D3B6">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三、公共资源交易领域严重失信行为</w:t>
      </w:r>
    </w:p>
    <w:p w14:paraId="4F3D2B8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（一）违反法律规定，必须进行招标的项目而不招标的，将必须进行招标的项目化整为零或者以其他任何方式规避招标的； </w:t>
      </w:r>
    </w:p>
    <w:p w14:paraId="61FA0CC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012B46DB">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C7658B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20E73F0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（五）投标人相互串通投标或者与招标人串通投标的，投标人以向招标人或者评标委员会成员行贿的手段谋取中标的； </w:t>
      </w:r>
    </w:p>
    <w:p w14:paraId="6338862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（六）投标人以他人名义投标或者以其他方式弄虚作假，骗取中标的；</w:t>
      </w:r>
    </w:p>
    <w:p w14:paraId="2D7079DF">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（七）依法必须进行招标的项目，招标人违反法律规定，与投标人就投标价格、投标方案等实质性内容进行谈判的；</w:t>
      </w:r>
    </w:p>
    <w:p w14:paraId="568382B4">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2C87A3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13D0D18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0C53CEFD">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（十一）招标人与中标人不按照招标文件和中标人的投标文件订立合同的，或者招标人、中标人订立背离合同实质性内容的 协议的； </w:t>
      </w:r>
    </w:p>
    <w:p w14:paraId="26452FC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（十二）中标人不按照与招标人订立的合同履行义务，情节严重的； </w:t>
      </w:r>
    </w:p>
    <w:p w14:paraId="2023AA6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6860E52">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5C8C695">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（十五）采购人对应当实行集中采购的政府采购项目，不委托集中采购机构实行集中采购的； </w:t>
      </w:r>
    </w:p>
    <w:p w14:paraId="4EA5D063">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（十六）采购人、采购代理机构违反法律规定隐匿、销毁应当保存的采购文件或者伪造、变造采购文件的； </w:t>
      </w:r>
    </w:p>
    <w:p w14:paraId="1409B786">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C39F4A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（十八）疫苗生产企业向县级疾病预防控制机构以外的单位或者个人销售第二类疫苗的； </w:t>
      </w:r>
    </w:p>
    <w:p w14:paraId="7295F88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（十九）存在其他违反公共资源交易法律法规行为的。</w:t>
      </w:r>
    </w:p>
    <w:p w14:paraId="4DC31265">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依据：《关于对公共资源交易领域严重失信主体开展联合惩戒的备忘录》（发改法规〔2018〕457号）</w:t>
      </w:r>
    </w:p>
    <w:p w14:paraId="7A9F4B6C">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71B676B8">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四、社会保险领域严重失信行为</w:t>
      </w:r>
    </w:p>
    <w:p w14:paraId="548B5E0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（一）用人单位未按相关规定参加社会保险且拒不整改的； </w:t>
      </w:r>
    </w:p>
    <w:p w14:paraId="11E4A690">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（二）用人单位未如实申报社会保险缴费基数且拒不整改的； </w:t>
      </w:r>
    </w:p>
    <w:p w14:paraId="5DD8328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（三）应缴纳社会保险费却拒不缴纳的； </w:t>
      </w:r>
    </w:p>
    <w:p w14:paraId="3AB250A2">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（四）隐匿、转移、侵占、挪用社会保险费款、基金或者违规投资运营的；</w:t>
      </w:r>
    </w:p>
    <w:p w14:paraId="33CFAE3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（五）以欺诈、伪造证明材料或者其他手段参加、申报社会保险和骗取社会保险基金支出或社会保险待遇的； </w:t>
      </w:r>
    </w:p>
    <w:p w14:paraId="66A692B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（六）非法获取、出售或变相交易社会保险个人权益数据的； </w:t>
      </w:r>
    </w:p>
    <w:p w14:paraId="6D3B0824">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（七）社会保险服务机构违反服务协议或相关规定的； </w:t>
      </w:r>
    </w:p>
    <w:p w14:paraId="488B8E5A">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3527975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（九）其他违反法律法规规定的。</w:t>
      </w:r>
    </w:p>
    <w:p w14:paraId="613721C4">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依据：《关于对社会保险领域严重失信企业及其有关人员实施联合惩戒的合作备忘录》（发改财金〔2018〕1704号）</w:t>
      </w:r>
    </w:p>
    <w:p w14:paraId="5F03018A">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0CBEB378">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五、建筑市场领域严重失信行为</w:t>
      </w:r>
    </w:p>
    <w:p w14:paraId="20FC2F4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（一）利用虚假材料、以欺骗手段取得企业资质的；</w:t>
      </w:r>
    </w:p>
    <w:p w14:paraId="43E8CB42">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（二）发生转包、出借资质，受到行政处罚的；</w:t>
      </w:r>
    </w:p>
    <w:p w14:paraId="6CC2EC0C">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4945F551">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（四）经法院判决或仲裁机构裁决，认定为拖欠工程款,且拒不履行生效法律文书确定的义务的。</w:t>
      </w:r>
    </w:p>
    <w:p w14:paraId="25BBEBD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442F8D7E">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依据：《建筑市场信用管理暂行办法》（建市〔2017〕241号）</w:t>
      </w:r>
    </w:p>
    <w:p w14:paraId="6784DD1E">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70A3267">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六、政府采购严重失信行为</w:t>
      </w:r>
    </w:p>
    <w:p w14:paraId="2BEE9DF6">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供应商、采购代理机构在三年内受到财政部门作出下列情形之一的行政处罚，列入政府采购严重违法失信行为记录名单。</w:t>
      </w:r>
    </w:p>
    <w:p w14:paraId="6C98CE7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（一）三万元以上罚款；</w:t>
      </w:r>
    </w:p>
    <w:p w14:paraId="414E1DB9">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（二）在一至三年内禁止参加政府采购活动（处罚期限届满的除外）；</w:t>
      </w:r>
    </w:p>
    <w:p w14:paraId="505D2908">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（三）在一至三年内禁止代理政府采购业务（处罚期限届满的除外）；</w:t>
      </w:r>
    </w:p>
    <w:p w14:paraId="6D1C622E">
      <w:pPr>
        <w:widowControl/>
        <w:kinsoku/>
        <w:wordWrap w:val="0"/>
        <w:overflowPunct/>
        <w:topLinePunct w:val="0"/>
        <w:autoSpaceDE w:val="0"/>
        <w:bidi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（四）撤销政府采购代理机构资格（仅针对《政府采购法》第78条修改前作出的处罚决定）。</w:t>
      </w:r>
    </w:p>
    <w:p w14:paraId="4BEEF560">
      <w:pPr>
        <w:widowControl/>
        <w:kinsoku/>
        <w:wordWrap w:val="0"/>
        <w:overflowPunct/>
        <w:topLinePunct w:val="0"/>
        <w:autoSpaceDE w:val="0"/>
        <w:bidi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依据：《关于报送政府采购严重违法失信行为信息记录的通知》（财办库〔2014〕526号）</w:t>
      </w:r>
    </w:p>
    <w:p w14:paraId="7D4B4432">
      <w:pPr>
        <w:widowControl/>
        <w:kinsoku/>
        <w:wordWrap w:val="0"/>
        <w:overflowPunct/>
        <w:topLinePunct w:val="0"/>
        <w:autoSpaceDE w:val="0"/>
        <w:bidi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742048A3">
      <w:pPr>
        <w:widowControl/>
        <w:kinsoku/>
        <w:wordWrap w:val="0"/>
        <w:overflowPunct/>
        <w:topLinePunct w:val="0"/>
        <w:autoSpaceDE w:val="0"/>
        <w:bidi w:val="0"/>
        <w:spacing w:line="480" w:lineRule="exact"/>
        <w:ind w:firstLine="482" w:firstLineChars="200"/>
        <w:jc w:val="left"/>
        <w:textAlignment w:val="baseline"/>
        <w:rPr>
          <w:rFonts w:hint="eastAsia" w:ascii="FangSong_GB2312" w:eastAsia="FangSong_GB2312"/>
          <w:b/>
          <w:color w:val="auto"/>
          <w:sz w:val="32"/>
          <w:szCs w:val="32"/>
          <w:highlight w:val="none"/>
        </w:rPr>
      </w:pPr>
      <w:r>
        <w:rPr>
          <w:rFonts w:hint="eastAsia" w:ascii="宋体" w:hAnsi="宋体" w:eastAsia="宋体" w:cs="宋体"/>
          <w:b/>
          <w:color w:val="auto"/>
          <w:kern w:val="0"/>
          <w:sz w:val="24"/>
          <w:szCs w:val="24"/>
          <w:highlight w:val="none"/>
          <w:lang w:bidi="ar"/>
        </w:rPr>
        <w:t>未列出的其他类别严重失信行为，由招标人（代理机构）根据各类别行业主管部门下发的联合惩戒文件进行判断</w:t>
      </w:r>
      <w:r>
        <w:rPr>
          <w:rFonts w:hint="eastAsia" w:ascii="仿宋_GB2312" w:hAnsi="宋体" w:eastAsia="仿宋_GB2312"/>
          <w:b/>
          <w:color w:val="auto"/>
          <w:sz w:val="32"/>
          <w:szCs w:val="32"/>
          <w:highlight w:val="none"/>
        </w:rPr>
        <w:t>。</w:t>
      </w:r>
    </w:p>
    <w:p w14:paraId="6B787C9A">
      <w:pPr>
        <w:pStyle w:val="2"/>
        <w:tabs>
          <w:tab w:val="left" w:pos="0"/>
          <w:tab w:val="left" w:pos="3165"/>
          <w:tab w:val="center" w:pos="4153"/>
        </w:tabs>
        <w:kinsoku/>
        <w:wordWrap w:val="0"/>
        <w:overflowPunct/>
        <w:topLinePunct w:val="0"/>
        <w:autoSpaceDE w:val="0"/>
        <w:autoSpaceDN w:val="0"/>
        <w:bidi w:val="0"/>
        <w:adjustRightInd w:val="0"/>
        <w:spacing w:before="0" w:after="0" w:line="240" w:lineRule="auto"/>
        <w:rPr>
          <w:rFonts w:hint="eastAsia" w:ascii="宋体"/>
          <w:b w:val="0"/>
          <w:color w:val="auto"/>
          <w:szCs w:val="32"/>
          <w:highlight w:val="none"/>
        </w:rPr>
      </w:pPr>
      <w:bookmarkStart w:id="137" w:name="_Toc449028957"/>
      <w:bookmarkStart w:id="138" w:name="_Toc58430333"/>
      <w:bookmarkStart w:id="139" w:name="_Toc25631"/>
      <w:r>
        <w:rPr>
          <w:rFonts w:hint="eastAsia" w:ascii="华文中宋" w:hAnsi="华文中宋" w:eastAsia="华文中宋"/>
          <w:color w:val="auto"/>
          <w:highlight w:val="none"/>
        </w:rPr>
        <w:t xml:space="preserve"> 第</w:t>
      </w:r>
      <w:r>
        <w:rPr>
          <w:rFonts w:hint="eastAsia" w:ascii="华文中宋" w:hAnsi="华文中宋" w:eastAsia="华文中宋"/>
          <w:color w:val="auto"/>
          <w:highlight w:val="none"/>
          <w:lang w:val="en-US" w:eastAsia="zh-CN"/>
        </w:rPr>
        <w:t>八</w:t>
      </w:r>
      <w:r>
        <w:rPr>
          <w:rFonts w:hint="eastAsia" w:ascii="华文中宋" w:hAnsi="华文中宋" w:eastAsia="华文中宋"/>
          <w:color w:val="auto"/>
          <w:highlight w:val="none"/>
        </w:rPr>
        <w:t>章 招标人、代理机构对本招标文件的确认</w:t>
      </w:r>
      <w:bookmarkEnd w:id="137"/>
      <w:bookmarkEnd w:id="138"/>
      <w:bookmarkEnd w:id="139"/>
    </w:p>
    <w:p w14:paraId="3FD3E308">
      <w:pPr>
        <w:pStyle w:val="2"/>
        <w:tabs>
          <w:tab w:val="left" w:pos="0"/>
          <w:tab w:val="left" w:pos="3165"/>
          <w:tab w:val="center" w:pos="4153"/>
        </w:tabs>
        <w:kinsoku/>
        <w:wordWrap w:val="0"/>
        <w:overflowPunct/>
        <w:topLinePunct w:val="0"/>
        <w:autoSpaceDE w:val="0"/>
        <w:autoSpaceDN w:val="0"/>
        <w:bidi w:val="0"/>
        <w:adjustRightInd w:val="0"/>
        <w:spacing w:before="0" w:after="0" w:line="240" w:lineRule="auto"/>
        <w:outlineLvl w:val="9"/>
        <w:rPr>
          <w:rFonts w:hint="eastAsia"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094BABAF">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noWrap w:val="0"/>
            <w:vAlign w:val="top"/>
          </w:tcPr>
          <w:p w14:paraId="7970D743">
            <w:pPr>
              <w:kinsoku/>
              <w:wordWrap w:val="0"/>
              <w:overflowPunct/>
              <w:topLinePunct w:val="0"/>
              <w:bidi w:val="0"/>
              <w:spacing w:line="440" w:lineRule="exact"/>
              <w:ind w:firstLine="560" w:firstLineChars="200"/>
              <w:rPr>
                <w:rFonts w:hint="eastAsia" w:ascii="宋体" w:cs="宋体"/>
                <w:color w:val="auto"/>
                <w:sz w:val="28"/>
                <w:szCs w:val="28"/>
                <w:highlight w:val="none"/>
              </w:rPr>
            </w:pPr>
          </w:p>
          <w:p w14:paraId="48E75935">
            <w:pPr>
              <w:kinsoku/>
              <w:wordWrap w:val="0"/>
              <w:overflowPunct/>
              <w:topLinePunct w:val="0"/>
              <w:bidi w:val="0"/>
              <w:spacing w:after="156" w:afterLines="50"/>
              <w:rPr>
                <w:rFonts w:hint="eastAsia"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中新苏滁高新区兰州路</w:t>
            </w:r>
            <w:r>
              <w:rPr>
                <w:rFonts w:hint="eastAsia" w:ascii="宋体" w:cs="宋体"/>
                <w:color w:val="auto"/>
                <w:sz w:val="28"/>
                <w:szCs w:val="28"/>
                <w:highlight w:val="none"/>
                <w:u w:val="single"/>
                <w:lang w:val="en-US" w:eastAsia="zh-CN"/>
              </w:rPr>
              <w:t>及杭州路</w:t>
            </w:r>
            <w:r>
              <w:rPr>
                <w:rFonts w:hint="eastAsia" w:ascii="宋体" w:cs="宋体"/>
                <w:color w:val="auto"/>
                <w:sz w:val="28"/>
                <w:szCs w:val="28"/>
                <w:highlight w:val="none"/>
                <w:u w:val="single"/>
                <w:lang w:eastAsia="zh-CN"/>
              </w:rPr>
              <w:t>垃圾中转站202</w:t>
            </w:r>
            <w:r>
              <w:rPr>
                <w:rFonts w:hint="eastAsia" w:ascii="宋体" w:cs="宋体"/>
                <w:color w:val="auto"/>
                <w:sz w:val="28"/>
                <w:szCs w:val="28"/>
                <w:highlight w:val="none"/>
                <w:u w:val="single"/>
                <w:lang w:val="en-US" w:eastAsia="zh-CN"/>
              </w:rPr>
              <w:t>6-2029</w:t>
            </w:r>
            <w:r>
              <w:rPr>
                <w:rFonts w:hint="eastAsia" w:ascii="宋体" w:cs="宋体"/>
                <w:color w:val="auto"/>
                <w:sz w:val="28"/>
                <w:szCs w:val="28"/>
                <w:highlight w:val="none"/>
                <w:u w:val="single"/>
                <w:lang w:eastAsia="zh-CN"/>
              </w:rPr>
              <w:t>年度服务</w:t>
            </w:r>
            <w:r>
              <w:rPr>
                <w:rFonts w:hint="eastAsia" w:ascii="宋体" w:cs="宋体"/>
                <w:color w:val="auto"/>
                <w:sz w:val="28"/>
                <w:szCs w:val="28"/>
                <w:highlight w:val="none"/>
                <w:u w:val="single"/>
                <w:lang w:val="en-US" w:eastAsia="zh-CN"/>
              </w:rPr>
              <w:t>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440F8221">
            <w:pPr>
              <w:kinsoku/>
              <w:wordWrap w:val="0"/>
              <w:overflowPunct/>
              <w:topLinePunct w:val="0"/>
              <w:bidi w:val="0"/>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val="en-US" w:eastAsia="zh-CN"/>
              </w:rPr>
              <w:t>滁州市苏滁市政公用发展有限公司</w:t>
            </w:r>
          </w:p>
          <w:p w14:paraId="0D231B8A">
            <w:pPr>
              <w:kinsoku/>
              <w:wordWrap w:val="0"/>
              <w:overflowPunct/>
              <w:topLinePunct w:val="0"/>
              <w:bidi w:val="0"/>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李传旭</w:t>
            </w:r>
          </w:p>
          <w:p w14:paraId="0A68A5A7">
            <w:pPr>
              <w:kinsoku/>
              <w:wordWrap w:val="0"/>
              <w:overflowPunct/>
              <w:topLinePunct w:val="0"/>
              <w:bidi w:val="0"/>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val="en-US" w:eastAsia="zh-CN"/>
              </w:rPr>
              <w:t>0550-2201369</w:t>
            </w:r>
          </w:p>
          <w:p w14:paraId="56352ACB">
            <w:pPr>
              <w:kinsoku/>
              <w:wordWrap w:val="0"/>
              <w:overflowPunct/>
              <w:topLinePunct w:val="0"/>
              <w:bidi w:val="0"/>
              <w:spacing w:line="540" w:lineRule="exact"/>
              <w:ind w:firstLine="7140" w:firstLineChars="2550"/>
              <w:rPr>
                <w:rFonts w:hint="eastAsia" w:ascii="宋体" w:cs="宋体"/>
                <w:color w:val="auto"/>
                <w:sz w:val="28"/>
                <w:szCs w:val="28"/>
                <w:highlight w:val="none"/>
              </w:rPr>
            </w:pPr>
          </w:p>
          <w:p w14:paraId="1DB446CF">
            <w:pPr>
              <w:kinsoku/>
              <w:wordWrap w:val="0"/>
              <w:overflowPunct/>
              <w:topLinePunct w:val="0"/>
              <w:bidi w:val="0"/>
              <w:spacing w:line="540" w:lineRule="exact"/>
              <w:ind w:firstLine="7140" w:firstLineChars="2550"/>
              <w:rPr>
                <w:rFonts w:hint="eastAsia" w:ascii="宋体" w:cs="宋体"/>
                <w:color w:val="auto"/>
                <w:sz w:val="28"/>
                <w:szCs w:val="28"/>
                <w:highlight w:val="none"/>
              </w:rPr>
            </w:pPr>
            <w:r>
              <w:rPr>
                <w:rFonts w:hint="eastAsia" w:ascii="宋体" w:cs="宋体"/>
                <w:color w:val="auto"/>
                <w:sz w:val="28"/>
                <w:szCs w:val="28"/>
                <w:highlight w:val="none"/>
              </w:rPr>
              <w:t>（盖单位章）</w:t>
            </w:r>
          </w:p>
          <w:p w14:paraId="4854D245">
            <w:pPr>
              <w:kinsoku/>
              <w:wordWrap w:val="0"/>
              <w:overflowPunct/>
              <w:topLinePunct w:val="0"/>
              <w:bidi w:val="0"/>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2</w:t>
            </w:r>
            <w:r>
              <w:rPr>
                <w:rFonts w:hint="eastAsia" w:ascii="宋体" w:cs="宋体"/>
                <w:color w:val="auto"/>
                <w:sz w:val="28"/>
                <w:szCs w:val="28"/>
                <w:highlight w:val="none"/>
              </w:rPr>
              <w:t>月</w:t>
            </w:r>
          </w:p>
        </w:tc>
      </w:tr>
      <w:tr w14:paraId="2CDCC578">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noWrap w:val="0"/>
            <w:vAlign w:val="top"/>
          </w:tcPr>
          <w:p w14:paraId="4F874531">
            <w:pPr>
              <w:kinsoku/>
              <w:wordWrap w:val="0"/>
              <w:overflowPunct/>
              <w:topLinePunct w:val="0"/>
              <w:bidi w:val="0"/>
              <w:spacing w:line="440" w:lineRule="exact"/>
              <w:rPr>
                <w:rFonts w:hint="eastAsia" w:ascii="宋体" w:cs="宋体"/>
                <w:color w:val="auto"/>
                <w:sz w:val="28"/>
                <w:szCs w:val="28"/>
                <w:highlight w:val="none"/>
              </w:rPr>
            </w:pPr>
          </w:p>
          <w:p w14:paraId="283C7DD4">
            <w:pPr>
              <w:kinsoku/>
              <w:wordWrap w:val="0"/>
              <w:overflowPunct/>
              <w:topLinePunct w:val="0"/>
              <w:bidi w:val="0"/>
              <w:spacing w:line="52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78B85A2A">
            <w:pPr>
              <w:kinsoku/>
              <w:wordWrap w:val="0"/>
              <w:overflowPunct/>
              <w:topLinePunct w:val="0"/>
              <w:bidi w:val="0"/>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eastAsia="zh-CN"/>
              </w:rPr>
              <w:t>关勤勤</w:t>
            </w:r>
          </w:p>
          <w:p w14:paraId="45CA0114">
            <w:pPr>
              <w:kinsoku/>
              <w:wordWrap w:val="0"/>
              <w:overflowPunct/>
              <w:topLinePunct w:val="0"/>
              <w:bidi w:val="0"/>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电  话：</w:t>
            </w:r>
            <w:r>
              <w:rPr>
                <w:rFonts w:hint="eastAsia" w:ascii="宋体" w:cs="宋体"/>
                <w:color w:val="auto"/>
                <w:sz w:val="28"/>
                <w:szCs w:val="28"/>
                <w:highlight w:val="none"/>
                <w:lang w:eastAsia="zh-CN"/>
              </w:rPr>
              <w:t>18909605753</w:t>
            </w:r>
          </w:p>
          <w:p w14:paraId="2CF61197">
            <w:pPr>
              <w:kinsoku/>
              <w:wordWrap w:val="0"/>
              <w:overflowPunct/>
              <w:topLinePunct w:val="0"/>
              <w:bidi w:val="0"/>
              <w:spacing w:line="520" w:lineRule="exact"/>
              <w:ind w:firstLine="6300" w:firstLineChars="2250"/>
              <w:rPr>
                <w:rFonts w:hint="eastAsia" w:ascii="宋体" w:cs="宋体"/>
                <w:color w:val="auto"/>
                <w:sz w:val="28"/>
                <w:szCs w:val="28"/>
                <w:highlight w:val="none"/>
              </w:rPr>
            </w:pPr>
          </w:p>
          <w:p w14:paraId="44D0AF00">
            <w:pPr>
              <w:pStyle w:val="12"/>
              <w:kinsoku/>
              <w:wordWrap w:val="0"/>
              <w:overflowPunct/>
              <w:topLinePunct w:val="0"/>
              <w:bidi w:val="0"/>
              <w:rPr>
                <w:rFonts w:hint="eastAsia"/>
                <w:color w:val="auto"/>
                <w:kern w:val="2"/>
                <w:sz w:val="21"/>
                <w:szCs w:val="24"/>
                <w:highlight w:val="none"/>
              </w:rPr>
            </w:pPr>
          </w:p>
          <w:p w14:paraId="51877551">
            <w:pPr>
              <w:kinsoku/>
              <w:wordWrap w:val="0"/>
              <w:overflowPunct/>
              <w:topLinePunct w:val="0"/>
              <w:bidi w:val="0"/>
              <w:spacing w:line="520" w:lineRule="exact"/>
              <w:ind w:firstLine="6580" w:firstLineChars="2350"/>
              <w:rPr>
                <w:rFonts w:hint="eastAsia" w:ascii="宋体" w:cs="宋体"/>
                <w:color w:val="auto"/>
                <w:sz w:val="28"/>
                <w:szCs w:val="28"/>
                <w:highlight w:val="none"/>
              </w:rPr>
            </w:pPr>
          </w:p>
          <w:p w14:paraId="51799385">
            <w:pPr>
              <w:kinsoku/>
              <w:wordWrap w:val="0"/>
              <w:overflowPunct/>
              <w:topLinePunct w:val="0"/>
              <w:bidi w:val="0"/>
              <w:spacing w:line="520" w:lineRule="exact"/>
              <w:ind w:firstLine="7140" w:firstLineChars="2550"/>
              <w:rPr>
                <w:rFonts w:hint="eastAsia" w:ascii="宋体" w:cs="宋体"/>
                <w:color w:val="auto"/>
                <w:sz w:val="28"/>
                <w:szCs w:val="28"/>
                <w:highlight w:val="none"/>
              </w:rPr>
            </w:pPr>
            <w:r>
              <w:rPr>
                <w:rFonts w:hint="eastAsia" w:ascii="宋体" w:cs="宋体"/>
                <w:color w:val="auto"/>
                <w:sz w:val="28"/>
                <w:szCs w:val="28"/>
                <w:highlight w:val="none"/>
              </w:rPr>
              <w:t>（盖单位章）</w:t>
            </w:r>
          </w:p>
          <w:p w14:paraId="3A3ECDD9">
            <w:pPr>
              <w:kinsoku/>
              <w:wordWrap w:val="0"/>
              <w:overflowPunct/>
              <w:topLinePunct w:val="0"/>
              <w:bidi w:val="0"/>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2</w:t>
            </w:r>
            <w:r>
              <w:rPr>
                <w:rFonts w:hint="eastAsia" w:ascii="宋体" w:cs="宋体"/>
                <w:color w:val="auto"/>
                <w:sz w:val="28"/>
                <w:szCs w:val="28"/>
                <w:highlight w:val="none"/>
              </w:rPr>
              <w:t>月</w:t>
            </w:r>
          </w:p>
        </w:tc>
      </w:tr>
    </w:tbl>
    <w:p w14:paraId="6D327128">
      <w:pPr>
        <w:kinsoku/>
        <w:wordWrap w:val="0"/>
        <w:overflowPunct/>
        <w:topLinePunct w:val="0"/>
        <w:bidi w:val="0"/>
        <w:rPr>
          <w:color w:val="auto"/>
          <w:highlight w:val="none"/>
        </w:rPr>
      </w:pPr>
    </w:p>
    <w:sectPr>
      <w:pgSz w:w="11906" w:h="16838"/>
      <w:pgMar w:top="1440"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Segoe Print"/>
    <w:panose1 w:val="020B0604020202020204"/>
    <w:charset w:val="00"/>
    <w:family w:val="swiss"/>
    <w:pitch w:val="default"/>
    <w:sig w:usb0="00000000" w:usb1="00000000" w:usb2="00000000" w:usb3="00000000" w:csb0="40010001" w:csb1="0000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2010609060101010101"/>
    <w:charset w:val="86"/>
    <w:family w:val="modern"/>
    <w:pitch w:val="default"/>
    <w:sig w:usb0="00000000" w:usb1="00000000" w:usb2="000A005E" w:usb3="00000000" w:csb0="00040001" w:csb1="00000000"/>
  </w:font>
  <w:font w:name="FangSong_GB2312">
    <w:altName w:val="仿宋"/>
    <w:panose1 w:val="02010609060101010101"/>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C920">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7DA9">
    <w:pPr>
      <w:pStyle w:val="17"/>
      <w:spacing w:line="209" w:lineRule="auto"/>
      <w:ind w:left="406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8DA3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98DA3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799B">
    <w:pPr>
      <w:pStyle w:val="23"/>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7A04E">
                          <w:pPr>
                            <w:pStyle w:val="2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D7A04E">
                    <w:pPr>
                      <w:pStyle w:val="2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4991">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3260E"/>
    <w:multiLevelType w:val="singleLevel"/>
    <w:tmpl w:val="9B53260E"/>
    <w:lvl w:ilvl="0" w:tentative="0">
      <w:start w:val="2"/>
      <w:numFmt w:val="decimal"/>
      <w:suff w:val="nothing"/>
      <w:lvlText w:val="（%1）"/>
      <w:lvlJc w:val="left"/>
    </w:lvl>
  </w:abstractNum>
  <w:abstractNum w:abstractNumId="1">
    <w:nsid w:val="00000005"/>
    <w:multiLevelType w:val="multilevel"/>
    <w:tmpl w:val="00000005"/>
    <w:lvl w:ilvl="0" w:tentative="0">
      <w:start w:val="1"/>
      <w:numFmt w:val="chineseCountingThousand"/>
      <w:pStyle w:val="103"/>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decimal"/>
      <w:pStyle w:val="96"/>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F18284"/>
    <w:multiLevelType w:val="singleLevel"/>
    <w:tmpl w:val="0CF18284"/>
    <w:lvl w:ilvl="0" w:tentative="0">
      <w:start w:val="3"/>
      <w:numFmt w:val="decimal"/>
      <w:suff w:val="nothing"/>
      <w:lvlText w:val="%1、"/>
      <w:lvlJc w:val="left"/>
    </w:lvl>
  </w:abstractNum>
  <w:abstractNum w:abstractNumId="9">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6"/>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GI2NWIzOGNkOWNmNzBiZjU5OTkyZjljYWYzZDQifQ=="/>
    <w:docVar w:name="KSO_WPS_MARK_KEY" w:val="e5cd924d-ae79-4381-995b-bef1e63571aa"/>
  </w:docVars>
  <w:rsids>
    <w:rsidRoot w:val="00172A27"/>
    <w:rsid w:val="000126F2"/>
    <w:rsid w:val="000749E3"/>
    <w:rsid w:val="00086696"/>
    <w:rsid w:val="0009024D"/>
    <w:rsid w:val="0009075B"/>
    <w:rsid w:val="00115C78"/>
    <w:rsid w:val="00153AFF"/>
    <w:rsid w:val="00186C2B"/>
    <w:rsid w:val="00210D6B"/>
    <w:rsid w:val="00212728"/>
    <w:rsid w:val="00233C4E"/>
    <w:rsid w:val="00251036"/>
    <w:rsid w:val="002E50F8"/>
    <w:rsid w:val="003225FB"/>
    <w:rsid w:val="00330766"/>
    <w:rsid w:val="003419E5"/>
    <w:rsid w:val="003752C8"/>
    <w:rsid w:val="003955F9"/>
    <w:rsid w:val="00395E25"/>
    <w:rsid w:val="003E670B"/>
    <w:rsid w:val="003F417C"/>
    <w:rsid w:val="00401F67"/>
    <w:rsid w:val="00403054"/>
    <w:rsid w:val="00466F77"/>
    <w:rsid w:val="004C4A9A"/>
    <w:rsid w:val="004E616D"/>
    <w:rsid w:val="004F3A79"/>
    <w:rsid w:val="004F5165"/>
    <w:rsid w:val="00506947"/>
    <w:rsid w:val="00510AFB"/>
    <w:rsid w:val="00533663"/>
    <w:rsid w:val="00555935"/>
    <w:rsid w:val="005868F5"/>
    <w:rsid w:val="00587233"/>
    <w:rsid w:val="005931B7"/>
    <w:rsid w:val="005A3C00"/>
    <w:rsid w:val="005B5679"/>
    <w:rsid w:val="00620A2A"/>
    <w:rsid w:val="00677F31"/>
    <w:rsid w:val="0069368B"/>
    <w:rsid w:val="007678C6"/>
    <w:rsid w:val="007D541D"/>
    <w:rsid w:val="007F45BE"/>
    <w:rsid w:val="008005F7"/>
    <w:rsid w:val="008201B4"/>
    <w:rsid w:val="00833AB6"/>
    <w:rsid w:val="00847DE1"/>
    <w:rsid w:val="00853109"/>
    <w:rsid w:val="008766D7"/>
    <w:rsid w:val="008953F8"/>
    <w:rsid w:val="008C7661"/>
    <w:rsid w:val="008E0C60"/>
    <w:rsid w:val="009255FE"/>
    <w:rsid w:val="009269A2"/>
    <w:rsid w:val="009343AA"/>
    <w:rsid w:val="00937817"/>
    <w:rsid w:val="009B2C38"/>
    <w:rsid w:val="009D17C8"/>
    <w:rsid w:val="009E196C"/>
    <w:rsid w:val="009F2CCC"/>
    <w:rsid w:val="00A012AB"/>
    <w:rsid w:val="00A10993"/>
    <w:rsid w:val="00A54152"/>
    <w:rsid w:val="00A67D58"/>
    <w:rsid w:val="00A975DD"/>
    <w:rsid w:val="00AE30B0"/>
    <w:rsid w:val="00AF40A6"/>
    <w:rsid w:val="00AF43B5"/>
    <w:rsid w:val="00B2494E"/>
    <w:rsid w:val="00B41BDC"/>
    <w:rsid w:val="00B45701"/>
    <w:rsid w:val="00B502D3"/>
    <w:rsid w:val="00B627A9"/>
    <w:rsid w:val="00B77363"/>
    <w:rsid w:val="00B8500A"/>
    <w:rsid w:val="00BF0751"/>
    <w:rsid w:val="00BF52BD"/>
    <w:rsid w:val="00C069E8"/>
    <w:rsid w:val="00C24AE6"/>
    <w:rsid w:val="00C609F9"/>
    <w:rsid w:val="00CD391E"/>
    <w:rsid w:val="00CF1FFF"/>
    <w:rsid w:val="00D24FF0"/>
    <w:rsid w:val="00D25ACB"/>
    <w:rsid w:val="00D46C3D"/>
    <w:rsid w:val="00D50329"/>
    <w:rsid w:val="00D651BA"/>
    <w:rsid w:val="00DD6A62"/>
    <w:rsid w:val="00E4156B"/>
    <w:rsid w:val="00E700A9"/>
    <w:rsid w:val="00E70847"/>
    <w:rsid w:val="00E87AA3"/>
    <w:rsid w:val="00F13E63"/>
    <w:rsid w:val="00F768E1"/>
    <w:rsid w:val="00FC02BF"/>
    <w:rsid w:val="00FC3E1B"/>
    <w:rsid w:val="00FF16F3"/>
    <w:rsid w:val="011078C7"/>
    <w:rsid w:val="011C44BE"/>
    <w:rsid w:val="014852B3"/>
    <w:rsid w:val="016947F9"/>
    <w:rsid w:val="01826A17"/>
    <w:rsid w:val="0187402D"/>
    <w:rsid w:val="019978BC"/>
    <w:rsid w:val="019B1886"/>
    <w:rsid w:val="01A22C15"/>
    <w:rsid w:val="01C81F50"/>
    <w:rsid w:val="01CB7DA6"/>
    <w:rsid w:val="01DA5E9C"/>
    <w:rsid w:val="01DB6127"/>
    <w:rsid w:val="01DE01EE"/>
    <w:rsid w:val="01E23011"/>
    <w:rsid w:val="0216715F"/>
    <w:rsid w:val="0219028B"/>
    <w:rsid w:val="022E6257"/>
    <w:rsid w:val="023850C1"/>
    <w:rsid w:val="023A4BFB"/>
    <w:rsid w:val="02477318"/>
    <w:rsid w:val="0255285E"/>
    <w:rsid w:val="026B1259"/>
    <w:rsid w:val="02783976"/>
    <w:rsid w:val="027B5E76"/>
    <w:rsid w:val="02827B99"/>
    <w:rsid w:val="029F2E1F"/>
    <w:rsid w:val="02B82D6E"/>
    <w:rsid w:val="02BC3AEB"/>
    <w:rsid w:val="02D079EE"/>
    <w:rsid w:val="02E1227E"/>
    <w:rsid w:val="02E54D69"/>
    <w:rsid w:val="02F254D6"/>
    <w:rsid w:val="02F53218"/>
    <w:rsid w:val="031F2043"/>
    <w:rsid w:val="03261624"/>
    <w:rsid w:val="0341645D"/>
    <w:rsid w:val="03433F84"/>
    <w:rsid w:val="035241C7"/>
    <w:rsid w:val="03695E25"/>
    <w:rsid w:val="03766107"/>
    <w:rsid w:val="038A570F"/>
    <w:rsid w:val="038D71C9"/>
    <w:rsid w:val="039E11BA"/>
    <w:rsid w:val="03A2514E"/>
    <w:rsid w:val="03A569EC"/>
    <w:rsid w:val="03B409DD"/>
    <w:rsid w:val="03BB0FB2"/>
    <w:rsid w:val="03C03826"/>
    <w:rsid w:val="03C30C20"/>
    <w:rsid w:val="03D1158F"/>
    <w:rsid w:val="03D35307"/>
    <w:rsid w:val="03DB41BC"/>
    <w:rsid w:val="03DD29A1"/>
    <w:rsid w:val="03E56DE9"/>
    <w:rsid w:val="03EF7C67"/>
    <w:rsid w:val="03F434D0"/>
    <w:rsid w:val="03FE7EAB"/>
    <w:rsid w:val="040000C7"/>
    <w:rsid w:val="041C543C"/>
    <w:rsid w:val="04221DEB"/>
    <w:rsid w:val="042B5143"/>
    <w:rsid w:val="04435676"/>
    <w:rsid w:val="044E498E"/>
    <w:rsid w:val="04754611"/>
    <w:rsid w:val="047A1C27"/>
    <w:rsid w:val="048E56D2"/>
    <w:rsid w:val="04926B8C"/>
    <w:rsid w:val="049928A3"/>
    <w:rsid w:val="04A22F2C"/>
    <w:rsid w:val="04A66578"/>
    <w:rsid w:val="04A70542"/>
    <w:rsid w:val="04A942BA"/>
    <w:rsid w:val="04AB3862"/>
    <w:rsid w:val="04B2316F"/>
    <w:rsid w:val="04DE21B6"/>
    <w:rsid w:val="04EB042F"/>
    <w:rsid w:val="04F55751"/>
    <w:rsid w:val="04F96FF0"/>
    <w:rsid w:val="04FA4B16"/>
    <w:rsid w:val="05085485"/>
    <w:rsid w:val="050B6D23"/>
    <w:rsid w:val="051E61BB"/>
    <w:rsid w:val="05216546"/>
    <w:rsid w:val="05373674"/>
    <w:rsid w:val="053C0C8A"/>
    <w:rsid w:val="053E4A03"/>
    <w:rsid w:val="05455577"/>
    <w:rsid w:val="054B0F4A"/>
    <w:rsid w:val="054C1C0D"/>
    <w:rsid w:val="054E09BE"/>
    <w:rsid w:val="05545FD4"/>
    <w:rsid w:val="057316FE"/>
    <w:rsid w:val="05740424"/>
    <w:rsid w:val="058F1702"/>
    <w:rsid w:val="059E7B97"/>
    <w:rsid w:val="05A23DEA"/>
    <w:rsid w:val="05A351AD"/>
    <w:rsid w:val="05A401A4"/>
    <w:rsid w:val="05B13426"/>
    <w:rsid w:val="05C649F8"/>
    <w:rsid w:val="05E82BC0"/>
    <w:rsid w:val="05F477B7"/>
    <w:rsid w:val="05F932BF"/>
    <w:rsid w:val="06021ED4"/>
    <w:rsid w:val="06112117"/>
    <w:rsid w:val="062278D0"/>
    <w:rsid w:val="06370ACC"/>
    <w:rsid w:val="06420131"/>
    <w:rsid w:val="065A2128"/>
    <w:rsid w:val="06624926"/>
    <w:rsid w:val="06632AA3"/>
    <w:rsid w:val="0671705A"/>
    <w:rsid w:val="06836B5F"/>
    <w:rsid w:val="06897EFF"/>
    <w:rsid w:val="06936FD0"/>
    <w:rsid w:val="069C1F62"/>
    <w:rsid w:val="069C6BC6"/>
    <w:rsid w:val="06A55ADF"/>
    <w:rsid w:val="06A64F55"/>
    <w:rsid w:val="06AE5BB8"/>
    <w:rsid w:val="06BA27AF"/>
    <w:rsid w:val="06BB70EE"/>
    <w:rsid w:val="06C453DB"/>
    <w:rsid w:val="06D82C35"/>
    <w:rsid w:val="06E6058C"/>
    <w:rsid w:val="06F224DF"/>
    <w:rsid w:val="06F9554A"/>
    <w:rsid w:val="07077E6C"/>
    <w:rsid w:val="0721282E"/>
    <w:rsid w:val="07371FAF"/>
    <w:rsid w:val="073E1390"/>
    <w:rsid w:val="074B78AB"/>
    <w:rsid w:val="075239E7"/>
    <w:rsid w:val="0765096C"/>
    <w:rsid w:val="07660241"/>
    <w:rsid w:val="07750484"/>
    <w:rsid w:val="07950B26"/>
    <w:rsid w:val="079E3E7E"/>
    <w:rsid w:val="07A1396F"/>
    <w:rsid w:val="07A174CB"/>
    <w:rsid w:val="07AD2313"/>
    <w:rsid w:val="07B76CEE"/>
    <w:rsid w:val="07CA07CF"/>
    <w:rsid w:val="07CB4548"/>
    <w:rsid w:val="07D23B28"/>
    <w:rsid w:val="07E0529D"/>
    <w:rsid w:val="07E13D6B"/>
    <w:rsid w:val="07EA0E72"/>
    <w:rsid w:val="07ED2710"/>
    <w:rsid w:val="07F613C5"/>
    <w:rsid w:val="07FB307F"/>
    <w:rsid w:val="08140B8B"/>
    <w:rsid w:val="08143A40"/>
    <w:rsid w:val="08293B60"/>
    <w:rsid w:val="082C4FE6"/>
    <w:rsid w:val="082E5BE5"/>
    <w:rsid w:val="08395955"/>
    <w:rsid w:val="08470072"/>
    <w:rsid w:val="084A1910"/>
    <w:rsid w:val="084F5934"/>
    <w:rsid w:val="085747DA"/>
    <w:rsid w:val="08653347"/>
    <w:rsid w:val="0865674A"/>
    <w:rsid w:val="088A4403"/>
    <w:rsid w:val="088A5A8D"/>
    <w:rsid w:val="08A13C26"/>
    <w:rsid w:val="08BF40AC"/>
    <w:rsid w:val="08C07429"/>
    <w:rsid w:val="08D35DAA"/>
    <w:rsid w:val="08D51B22"/>
    <w:rsid w:val="08DA2C94"/>
    <w:rsid w:val="08E27D9B"/>
    <w:rsid w:val="08E92ED7"/>
    <w:rsid w:val="08EE00FD"/>
    <w:rsid w:val="08F63846"/>
    <w:rsid w:val="08FA50E4"/>
    <w:rsid w:val="09271C52"/>
    <w:rsid w:val="092B6141"/>
    <w:rsid w:val="0935241C"/>
    <w:rsid w:val="09524F20"/>
    <w:rsid w:val="097035F9"/>
    <w:rsid w:val="09835F85"/>
    <w:rsid w:val="09840E52"/>
    <w:rsid w:val="09963123"/>
    <w:rsid w:val="09981838"/>
    <w:rsid w:val="09B5283E"/>
    <w:rsid w:val="09C166B7"/>
    <w:rsid w:val="09CB469C"/>
    <w:rsid w:val="09CF3948"/>
    <w:rsid w:val="09DC0C8E"/>
    <w:rsid w:val="09DE67B4"/>
    <w:rsid w:val="09E3005A"/>
    <w:rsid w:val="09E71B0D"/>
    <w:rsid w:val="09F14739"/>
    <w:rsid w:val="0A2825E1"/>
    <w:rsid w:val="0A287A2F"/>
    <w:rsid w:val="0A2D3F49"/>
    <w:rsid w:val="0A8712AB"/>
    <w:rsid w:val="0A99092D"/>
    <w:rsid w:val="0AA04DDE"/>
    <w:rsid w:val="0AA3355A"/>
    <w:rsid w:val="0AB12DCE"/>
    <w:rsid w:val="0AB45767"/>
    <w:rsid w:val="0AC57974"/>
    <w:rsid w:val="0AC96303"/>
    <w:rsid w:val="0AD96F7B"/>
    <w:rsid w:val="0AE00732"/>
    <w:rsid w:val="0AEC4F01"/>
    <w:rsid w:val="0AF3628F"/>
    <w:rsid w:val="0B051624"/>
    <w:rsid w:val="0B106E41"/>
    <w:rsid w:val="0B2E28C9"/>
    <w:rsid w:val="0B343101"/>
    <w:rsid w:val="0B414AD3"/>
    <w:rsid w:val="0B48482D"/>
    <w:rsid w:val="0B4B60CB"/>
    <w:rsid w:val="0B5E5DFE"/>
    <w:rsid w:val="0B627EDA"/>
    <w:rsid w:val="0B704808"/>
    <w:rsid w:val="0B7C44D7"/>
    <w:rsid w:val="0B982B0E"/>
    <w:rsid w:val="0B9A0F05"/>
    <w:rsid w:val="0BA94BA0"/>
    <w:rsid w:val="0BAB31B1"/>
    <w:rsid w:val="0BAF62FB"/>
    <w:rsid w:val="0BB06DD2"/>
    <w:rsid w:val="0BBB6EA8"/>
    <w:rsid w:val="0BC66C7D"/>
    <w:rsid w:val="0BCE4606"/>
    <w:rsid w:val="0BDD298F"/>
    <w:rsid w:val="0BDF6813"/>
    <w:rsid w:val="0BEC240A"/>
    <w:rsid w:val="0BED3778"/>
    <w:rsid w:val="0BFC1173"/>
    <w:rsid w:val="0C0544CC"/>
    <w:rsid w:val="0C232BA4"/>
    <w:rsid w:val="0C2A577B"/>
    <w:rsid w:val="0C2D26E3"/>
    <w:rsid w:val="0C373ADB"/>
    <w:rsid w:val="0C37733F"/>
    <w:rsid w:val="0C3856AB"/>
    <w:rsid w:val="0C3C5A14"/>
    <w:rsid w:val="0C405504"/>
    <w:rsid w:val="0C4274CE"/>
    <w:rsid w:val="0C523489"/>
    <w:rsid w:val="0C580AA0"/>
    <w:rsid w:val="0C5F125B"/>
    <w:rsid w:val="0C6952DD"/>
    <w:rsid w:val="0C6A3809"/>
    <w:rsid w:val="0C7451AE"/>
    <w:rsid w:val="0C801DA5"/>
    <w:rsid w:val="0C931AD8"/>
    <w:rsid w:val="0CAD06C0"/>
    <w:rsid w:val="0CB6782B"/>
    <w:rsid w:val="0CBF0B1F"/>
    <w:rsid w:val="0CC31C91"/>
    <w:rsid w:val="0CC53C5B"/>
    <w:rsid w:val="0CCE0D62"/>
    <w:rsid w:val="0CD77BFB"/>
    <w:rsid w:val="0CDB7B95"/>
    <w:rsid w:val="0CE95B9C"/>
    <w:rsid w:val="0CEA25F0"/>
    <w:rsid w:val="0CEA5470"/>
    <w:rsid w:val="0D077DD0"/>
    <w:rsid w:val="0D1519D3"/>
    <w:rsid w:val="0D2546FA"/>
    <w:rsid w:val="0D2B61B4"/>
    <w:rsid w:val="0D374B59"/>
    <w:rsid w:val="0D3E4B53"/>
    <w:rsid w:val="0D3F756A"/>
    <w:rsid w:val="0D650905"/>
    <w:rsid w:val="0D6B65B1"/>
    <w:rsid w:val="0D7075DE"/>
    <w:rsid w:val="0D8458C4"/>
    <w:rsid w:val="0D8544BC"/>
    <w:rsid w:val="0D93795E"/>
    <w:rsid w:val="0DB32638"/>
    <w:rsid w:val="0DCF134F"/>
    <w:rsid w:val="0DD405FA"/>
    <w:rsid w:val="0DD8176C"/>
    <w:rsid w:val="0DDC74AE"/>
    <w:rsid w:val="0DE01542"/>
    <w:rsid w:val="0DEB5944"/>
    <w:rsid w:val="0DF06AB6"/>
    <w:rsid w:val="0DF2282E"/>
    <w:rsid w:val="0DF5231E"/>
    <w:rsid w:val="0DFD3DA4"/>
    <w:rsid w:val="0E24538F"/>
    <w:rsid w:val="0E3037E0"/>
    <w:rsid w:val="0E46735F"/>
    <w:rsid w:val="0E4969BD"/>
    <w:rsid w:val="0E5928AD"/>
    <w:rsid w:val="0E5A59B2"/>
    <w:rsid w:val="0E5B4877"/>
    <w:rsid w:val="0E6354DA"/>
    <w:rsid w:val="0E707BF7"/>
    <w:rsid w:val="0E7D0D45"/>
    <w:rsid w:val="0E8536A2"/>
    <w:rsid w:val="0E856C59"/>
    <w:rsid w:val="0E8611C8"/>
    <w:rsid w:val="0E9E29B6"/>
    <w:rsid w:val="0EAD1661"/>
    <w:rsid w:val="0EBE21D3"/>
    <w:rsid w:val="0EBF7B36"/>
    <w:rsid w:val="0EC51CF1"/>
    <w:rsid w:val="0ECC307F"/>
    <w:rsid w:val="0EE06B2A"/>
    <w:rsid w:val="0EE228A3"/>
    <w:rsid w:val="0EEA5BFB"/>
    <w:rsid w:val="0EEC7FF8"/>
    <w:rsid w:val="0EF40828"/>
    <w:rsid w:val="0EFF16A6"/>
    <w:rsid w:val="0F0A1DF9"/>
    <w:rsid w:val="0F0C791F"/>
    <w:rsid w:val="0F312AB7"/>
    <w:rsid w:val="0F31382A"/>
    <w:rsid w:val="0F3779FA"/>
    <w:rsid w:val="0F441D54"/>
    <w:rsid w:val="0F4E7F38"/>
    <w:rsid w:val="0F56503F"/>
    <w:rsid w:val="0F616B1E"/>
    <w:rsid w:val="0F7B6853"/>
    <w:rsid w:val="0F891446"/>
    <w:rsid w:val="0F9A13CF"/>
    <w:rsid w:val="0F9B000F"/>
    <w:rsid w:val="0FA85B9A"/>
    <w:rsid w:val="0FB747DD"/>
    <w:rsid w:val="0FC63F72"/>
    <w:rsid w:val="0FC91CB4"/>
    <w:rsid w:val="0FC95811"/>
    <w:rsid w:val="0FD7007E"/>
    <w:rsid w:val="0FD710A5"/>
    <w:rsid w:val="0FD83CA6"/>
    <w:rsid w:val="0FDC19E8"/>
    <w:rsid w:val="0FE34B24"/>
    <w:rsid w:val="10065DC4"/>
    <w:rsid w:val="10131364"/>
    <w:rsid w:val="101822F4"/>
    <w:rsid w:val="10282537"/>
    <w:rsid w:val="102B2027"/>
    <w:rsid w:val="104D4694"/>
    <w:rsid w:val="105B218F"/>
    <w:rsid w:val="10616837"/>
    <w:rsid w:val="1065381B"/>
    <w:rsid w:val="106A2B50"/>
    <w:rsid w:val="107E794C"/>
    <w:rsid w:val="109220A6"/>
    <w:rsid w:val="10A5002C"/>
    <w:rsid w:val="10AC25CA"/>
    <w:rsid w:val="10B4201D"/>
    <w:rsid w:val="10B607C7"/>
    <w:rsid w:val="10B85FB1"/>
    <w:rsid w:val="10C1473A"/>
    <w:rsid w:val="10CA7A92"/>
    <w:rsid w:val="10E548CC"/>
    <w:rsid w:val="10EC17B7"/>
    <w:rsid w:val="10EF574B"/>
    <w:rsid w:val="10F845FF"/>
    <w:rsid w:val="10FB7C4C"/>
    <w:rsid w:val="10FD1C16"/>
    <w:rsid w:val="110A1D05"/>
    <w:rsid w:val="110C00AB"/>
    <w:rsid w:val="110C1E59"/>
    <w:rsid w:val="110D0173"/>
    <w:rsid w:val="11125CD9"/>
    <w:rsid w:val="11160F29"/>
    <w:rsid w:val="11254CC9"/>
    <w:rsid w:val="11292A0B"/>
    <w:rsid w:val="112951FE"/>
    <w:rsid w:val="112E7BB1"/>
    <w:rsid w:val="11317B11"/>
    <w:rsid w:val="11326BC9"/>
    <w:rsid w:val="11382C4E"/>
    <w:rsid w:val="11665A0D"/>
    <w:rsid w:val="116E6670"/>
    <w:rsid w:val="117A3C75"/>
    <w:rsid w:val="11826A7D"/>
    <w:rsid w:val="118616F9"/>
    <w:rsid w:val="11875983"/>
    <w:rsid w:val="11904838"/>
    <w:rsid w:val="11B83956"/>
    <w:rsid w:val="11C40985"/>
    <w:rsid w:val="11CC786A"/>
    <w:rsid w:val="11CE1BE3"/>
    <w:rsid w:val="11E132E5"/>
    <w:rsid w:val="11E93F48"/>
    <w:rsid w:val="11EC68FB"/>
    <w:rsid w:val="120239D6"/>
    <w:rsid w:val="12046FD4"/>
    <w:rsid w:val="121420F8"/>
    <w:rsid w:val="12210415"/>
    <w:rsid w:val="12214445"/>
    <w:rsid w:val="12273D08"/>
    <w:rsid w:val="123165F9"/>
    <w:rsid w:val="12324FEA"/>
    <w:rsid w:val="123553DF"/>
    <w:rsid w:val="123D2FB3"/>
    <w:rsid w:val="12425176"/>
    <w:rsid w:val="124538DB"/>
    <w:rsid w:val="12491784"/>
    <w:rsid w:val="125067AE"/>
    <w:rsid w:val="12637655"/>
    <w:rsid w:val="1279351E"/>
    <w:rsid w:val="127D08EB"/>
    <w:rsid w:val="12A12A75"/>
    <w:rsid w:val="12AC38F3"/>
    <w:rsid w:val="12C80001"/>
    <w:rsid w:val="12CF56B4"/>
    <w:rsid w:val="12E0359D"/>
    <w:rsid w:val="12E87DC5"/>
    <w:rsid w:val="12EF558E"/>
    <w:rsid w:val="12F92791"/>
    <w:rsid w:val="13033659"/>
    <w:rsid w:val="130354DD"/>
    <w:rsid w:val="13066050"/>
    <w:rsid w:val="13132BFE"/>
    <w:rsid w:val="13135720"/>
    <w:rsid w:val="131A3C63"/>
    <w:rsid w:val="13280AA0"/>
    <w:rsid w:val="132A7687"/>
    <w:rsid w:val="133236CD"/>
    <w:rsid w:val="13331B2B"/>
    <w:rsid w:val="13426006"/>
    <w:rsid w:val="13491142"/>
    <w:rsid w:val="134F1DF4"/>
    <w:rsid w:val="13557827"/>
    <w:rsid w:val="135A0B4F"/>
    <w:rsid w:val="13631AD8"/>
    <w:rsid w:val="137837D5"/>
    <w:rsid w:val="137F4B64"/>
    <w:rsid w:val="138008DC"/>
    <w:rsid w:val="138B3117"/>
    <w:rsid w:val="138E7538"/>
    <w:rsid w:val="13904FC3"/>
    <w:rsid w:val="1392323A"/>
    <w:rsid w:val="13B74DE6"/>
    <w:rsid w:val="13BA5B9C"/>
    <w:rsid w:val="13C06B9F"/>
    <w:rsid w:val="13CD2CC1"/>
    <w:rsid w:val="14050F2A"/>
    <w:rsid w:val="140B289C"/>
    <w:rsid w:val="140B464A"/>
    <w:rsid w:val="140D6614"/>
    <w:rsid w:val="142327DF"/>
    <w:rsid w:val="142B0848"/>
    <w:rsid w:val="14364B2C"/>
    <w:rsid w:val="1438503B"/>
    <w:rsid w:val="144025BE"/>
    <w:rsid w:val="14492F3E"/>
    <w:rsid w:val="144933C4"/>
    <w:rsid w:val="14524026"/>
    <w:rsid w:val="145F3F52"/>
    <w:rsid w:val="14694230"/>
    <w:rsid w:val="146B158C"/>
    <w:rsid w:val="146D0392"/>
    <w:rsid w:val="14720C0D"/>
    <w:rsid w:val="147D0BDA"/>
    <w:rsid w:val="148443FC"/>
    <w:rsid w:val="14860A3B"/>
    <w:rsid w:val="148703FF"/>
    <w:rsid w:val="148D505F"/>
    <w:rsid w:val="14903E04"/>
    <w:rsid w:val="14972381"/>
    <w:rsid w:val="14A20267"/>
    <w:rsid w:val="14B52807"/>
    <w:rsid w:val="14B940A6"/>
    <w:rsid w:val="14BA1BCC"/>
    <w:rsid w:val="14BE16BC"/>
    <w:rsid w:val="14C34D67"/>
    <w:rsid w:val="14C724CE"/>
    <w:rsid w:val="14CA5427"/>
    <w:rsid w:val="14E07884"/>
    <w:rsid w:val="14E32ED1"/>
    <w:rsid w:val="14FF53E6"/>
    <w:rsid w:val="150317C5"/>
    <w:rsid w:val="150572EB"/>
    <w:rsid w:val="150A448F"/>
    <w:rsid w:val="150C68CB"/>
    <w:rsid w:val="152F25BA"/>
    <w:rsid w:val="153E0735"/>
    <w:rsid w:val="15436065"/>
    <w:rsid w:val="154461CC"/>
    <w:rsid w:val="15597637"/>
    <w:rsid w:val="156C1118"/>
    <w:rsid w:val="156C2EC6"/>
    <w:rsid w:val="156D6C3E"/>
    <w:rsid w:val="157616C5"/>
    <w:rsid w:val="15804BC3"/>
    <w:rsid w:val="159643E7"/>
    <w:rsid w:val="15A9411A"/>
    <w:rsid w:val="15BA38CF"/>
    <w:rsid w:val="15BD23EA"/>
    <w:rsid w:val="15C9430D"/>
    <w:rsid w:val="15D373E9"/>
    <w:rsid w:val="15E213DA"/>
    <w:rsid w:val="15E52C78"/>
    <w:rsid w:val="15F14CB0"/>
    <w:rsid w:val="15FA4976"/>
    <w:rsid w:val="16021A7C"/>
    <w:rsid w:val="16027CCE"/>
    <w:rsid w:val="161B48EC"/>
    <w:rsid w:val="162C7D6D"/>
    <w:rsid w:val="1633342F"/>
    <w:rsid w:val="1647748F"/>
    <w:rsid w:val="166149F5"/>
    <w:rsid w:val="16683008"/>
    <w:rsid w:val="166C5148"/>
    <w:rsid w:val="16877BED"/>
    <w:rsid w:val="168E3310"/>
    <w:rsid w:val="16A36DBB"/>
    <w:rsid w:val="16A50D85"/>
    <w:rsid w:val="16A6065A"/>
    <w:rsid w:val="16B81E85"/>
    <w:rsid w:val="16C136E5"/>
    <w:rsid w:val="16CB5C56"/>
    <w:rsid w:val="16CF7F44"/>
    <w:rsid w:val="16D2144F"/>
    <w:rsid w:val="16FE3FF2"/>
    <w:rsid w:val="171323AA"/>
    <w:rsid w:val="172337D9"/>
    <w:rsid w:val="17400AAE"/>
    <w:rsid w:val="1740285C"/>
    <w:rsid w:val="17546308"/>
    <w:rsid w:val="17591B70"/>
    <w:rsid w:val="17681BB1"/>
    <w:rsid w:val="178F10EE"/>
    <w:rsid w:val="179B3F36"/>
    <w:rsid w:val="179E3336"/>
    <w:rsid w:val="17A86360"/>
    <w:rsid w:val="17B44FF8"/>
    <w:rsid w:val="17B63456"/>
    <w:rsid w:val="17E05DED"/>
    <w:rsid w:val="17E1714A"/>
    <w:rsid w:val="17E44EC0"/>
    <w:rsid w:val="17F2764F"/>
    <w:rsid w:val="17FF44C5"/>
    <w:rsid w:val="17FF46D1"/>
    <w:rsid w:val="18023E10"/>
    <w:rsid w:val="181F06C4"/>
    <w:rsid w:val="1833416F"/>
    <w:rsid w:val="18357FA7"/>
    <w:rsid w:val="18386D56"/>
    <w:rsid w:val="18524B4C"/>
    <w:rsid w:val="18585984"/>
    <w:rsid w:val="18641846"/>
    <w:rsid w:val="18716A45"/>
    <w:rsid w:val="18730A0F"/>
    <w:rsid w:val="18737F6A"/>
    <w:rsid w:val="187D1E98"/>
    <w:rsid w:val="187D53EA"/>
    <w:rsid w:val="18932E60"/>
    <w:rsid w:val="189A2B1C"/>
    <w:rsid w:val="189C1D14"/>
    <w:rsid w:val="18A817AE"/>
    <w:rsid w:val="18B21538"/>
    <w:rsid w:val="18BB7749"/>
    <w:rsid w:val="18C44192"/>
    <w:rsid w:val="18C96881"/>
    <w:rsid w:val="18D9512F"/>
    <w:rsid w:val="18DD40DB"/>
    <w:rsid w:val="18DF176E"/>
    <w:rsid w:val="18E92A80"/>
    <w:rsid w:val="18ED431E"/>
    <w:rsid w:val="18EF453A"/>
    <w:rsid w:val="18F558C8"/>
    <w:rsid w:val="18F76175"/>
    <w:rsid w:val="18F877F3"/>
    <w:rsid w:val="1901601B"/>
    <w:rsid w:val="19017DC9"/>
    <w:rsid w:val="19070275"/>
    <w:rsid w:val="19106B6F"/>
    <w:rsid w:val="19121FD6"/>
    <w:rsid w:val="19235F91"/>
    <w:rsid w:val="193C7053"/>
    <w:rsid w:val="193F7C64"/>
    <w:rsid w:val="19614D0C"/>
    <w:rsid w:val="196C36C2"/>
    <w:rsid w:val="196D1903"/>
    <w:rsid w:val="196D1EB9"/>
    <w:rsid w:val="19724162"/>
    <w:rsid w:val="199649B5"/>
    <w:rsid w:val="199B021E"/>
    <w:rsid w:val="199F19A9"/>
    <w:rsid w:val="19B47531"/>
    <w:rsid w:val="19C214C4"/>
    <w:rsid w:val="19DD0836"/>
    <w:rsid w:val="19EF056A"/>
    <w:rsid w:val="19F70AC5"/>
    <w:rsid w:val="19F94F44"/>
    <w:rsid w:val="19FD13BA"/>
    <w:rsid w:val="1A1324AA"/>
    <w:rsid w:val="1A2B77F4"/>
    <w:rsid w:val="1A2F16BB"/>
    <w:rsid w:val="1A2F6BB8"/>
    <w:rsid w:val="1A3448A7"/>
    <w:rsid w:val="1A766595"/>
    <w:rsid w:val="1A78230D"/>
    <w:rsid w:val="1A8213DE"/>
    <w:rsid w:val="1A8C400A"/>
    <w:rsid w:val="1AA2738A"/>
    <w:rsid w:val="1AA57FC0"/>
    <w:rsid w:val="1AAC1FB7"/>
    <w:rsid w:val="1AAE61FB"/>
    <w:rsid w:val="1AB23324"/>
    <w:rsid w:val="1AB64BE3"/>
    <w:rsid w:val="1ABA0B77"/>
    <w:rsid w:val="1ACE4623"/>
    <w:rsid w:val="1AD339E7"/>
    <w:rsid w:val="1ADC4B9E"/>
    <w:rsid w:val="1ADF34BC"/>
    <w:rsid w:val="1AE23C2A"/>
    <w:rsid w:val="1AED13C7"/>
    <w:rsid w:val="1AEF5FB9"/>
    <w:rsid w:val="1AFA71C6"/>
    <w:rsid w:val="1AFE229A"/>
    <w:rsid w:val="1AFF47DC"/>
    <w:rsid w:val="1B0911B7"/>
    <w:rsid w:val="1B124510"/>
    <w:rsid w:val="1B193AF0"/>
    <w:rsid w:val="1B1D4C62"/>
    <w:rsid w:val="1B210BF7"/>
    <w:rsid w:val="1B2D30F7"/>
    <w:rsid w:val="1B351FAC"/>
    <w:rsid w:val="1B7747F3"/>
    <w:rsid w:val="1B7900EB"/>
    <w:rsid w:val="1B79254B"/>
    <w:rsid w:val="1B936430"/>
    <w:rsid w:val="1B943177"/>
    <w:rsid w:val="1B9969DF"/>
    <w:rsid w:val="1BA55384"/>
    <w:rsid w:val="1BA57132"/>
    <w:rsid w:val="1BAA299A"/>
    <w:rsid w:val="1BBC447B"/>
    <w:rsid w:val="1BDD4B1E"/>
    <w:rsid w:val="1BE76F28"/>
    <w:rsid w:val="1C0302FC"/>
    <w:rsid w:val="1C052EC8"/>
    <w:rsid w:val="1C072592"/>
    <w:rsid w:val="1C0C0878"/>
    <w:rsid w:val="1C177904"/>
    <w:rsid w:val="1C5A26D3"/>
    <w:rsid w:val="1C5D0DA4"/>
    <w:rsid w:val="1C640D9B"/>
    <w:rsid w:val="1C6554F8"/>
    <w:rsid w:val="1C6E39C8"/>
    <w:rsid w:val="1C6F5742"/>
    <w:rsid w:val="1C7134B8"/>
    <w:rsid w:val="1C76287C"/>
    <w:rsid w:val="1C8036FB"/>
    <w:rsid w:val="1C872925"/>
    <w:rsid w:val="1C962F1E"/>
    <w:rsid w:val="1C9D24FF"/>
    <w:rsid w:val="1C9E0082"/>
    <w:rsid w:val="1C9F4B65"/>
    <w:rsid w:val="1CA0217C"/>
    <w:rsid w:val="1CA67605"/>
    <w:rsid w:val="1CAA693B"/>
    <w:rsid w:val="1CB14442"/>
    <w:rsid w:val="1CB33AD0"/>
    <w:rsid w:val="1CC66428"/>
    <w:rsid w:val="1CED6FE2"/>
    <w:rsid w:val="1CFE11EF"/>
    <w:rsid w:val="1D0113C9"/>
    <w:rsid w:val="1D0A2DA7"/>
    <w:rsid w:val="1D1140B4"/>
    <w:rsid w:val="1D126A49"/>
    <w:rsid w:val="1D2B18B9"/>
    <w:rsid w:val="1D3544E5"/>
    <w:rsid w:val="1D497F91"/>
    <w:rsid w:val="1D556936"/>
    <w:rsid w:val="1D630F86"/>
    <w:rsid w:val="1D752B34"/>
    <w:rsid w:val="1D7B2840"/>
    <w:rsid w:val="1D7E5E8C"/>
    <w:rsid w:val="1D802372"/>
    <w:rsid w:val="1D836591"/>
    <w:rsid w:val="1DB55626"/>
    <w:rsid w:val="1DC05121"/>
    <w:rsid w:val="1DC15D79"/>
    <w:rsid w:val="1DC85AE6"/>
    <w:rsid w:val="1DCB4E4A"/>
    <w:rsid w:val="1DDB503E"/>
    <w:rsid w:val="1DE33F41"/>
    <w:rsid w:val="1DE84D03"/>
    <w:rsid w:val="1DE85A9D"/>
    <w:rsid w:val="1DEC54EC"/>
    <w:rsid w:val="1DEC55F2"/>
    <w:rsid w:val="1DF13B3B"/>
    <w:rsid w:val="1DF4614E"/>
    <w:rsid w:val="1DFE6FCD"/>
    <w:rsid w:val="1E081BFA"/>
    <w:rsid w:val="1E0E2B0B"/>
    <w:rsid w:val="1E1660C5"/>
    <w:rsid w:val="1E171E3D"/>
    <w:rsid w:val="1E205195"/>
    <w:rsid w:val="1E262080"/>
    <w:rsid w:val="1E276322"/>
    <w:rsid w:val="1E2F0A09"/>
    <w:rsid w:val="1E37428D"/>
    <w:rsid w:val="1E4C0B08"/>
    <w:rsid w:val="1E537319"/>
    <w:rsid w:val="1E5F2F8D"/>
    <w:rsid w:val="1E650DFA"/>
    <w:rsid w:val="1E6757C2"/>
    <w:rsid w:val="1E8C282B"/>
    <w:rsid w:val="1E90231B"/>
    <w:rsid w:val="1E982F7E"/>
    <w:rsid w:val="1EAC45D3"/>
    <w:rsid w:val="1EC176A7"/>
    <w:rsid w:val="1EC71AB5"/>
    <w:rsid w:val="1ECF4FD3"/>
    <w:rsid w:val="1ED0096A"/>
    <w:rsid w:val="1ED8781E"/>
    <w:rsid w:val="1EDB6610"/>
    <w:rsid w:val="1EF4202D"/>
    <w:rsid w:val="1F02489B"/>
    <w:rsid w:val="1F095D51"/>
    <w:rsid w:val="1F114ADE"/>
    <w:rsid w:val="1F132604"/>
    <w:rsid w:val="1F242A63"/>
    <w:rsid w:val="1F2627EB"/>
    <w:rsid w:val="1F294332"/>
    <w:rsid w:val="1F2A62AD"/>
    <w:rsid w:val="1F3233D2"/>
    <w:rsid w:val="1F42113B"/>
    <w:rsid w:val="1F4804CC"/>
    <w:rsid w:val="1F7A2683"/>
    <w:rsid w:val="1F7E2174"/>
    <w:rsid w:val="1F846B7E"/>
    <w:rsid w:val="1FA6791C"/>
    <w:rsid w:val="1FAA11BB"/>
    <w:rsid w:val="1FB35D6F"/>
    <w:rsid w:val="1FC75246"/>
    <w:rsid w:val="1FD60202"/>
    <w:rsid w:val="1FE01FA9"/>
    <w:rsid w:val="1FEF6DB8"/>
    <w:rsid w:val="1FF10D6B"/>
    <w:rsid w:val="1FFF0DDD"/>
    <w:rsid w:val="200A3A07"/>
    <w:rsid w:val="200D799B"/>
    <w:rsid w:val="20162241"/>
    <w:rsid w:val="201A79C2"/>
    <w:rsid w:val="201E4F4F"/>
    <w:rsid w:val="20256A93"/>
    <w:rsid w:val="202645B9"/>
    <w:rsid w:val="20270A5D"/>
    <w:rsid w:val="20286583"/>
    <w:rsid w:val="20315438"/>
    <w:rsid w:val="20384A18"/>
    <w:rsid w:val="20390790"/>
    <w:rsid w:val="203C3DDD"/>
    <w:rsid w:val="2040240F"/>
    <w:rsid w:val="204F3B10"/>
    <w:rsid w:val="205055EF"/>
    <w:rsid w:val="206C46C2"/>
    <w:rsid w:val="207C10F2"/>
    <w:rsid w:val="208E4638"/>
    <w:rsid w:val="20976AB4"/>
    <w:rsid w:val="20A81514"/>
    <w:rsid w:val="20AB6760"/>
    <w:rsid w:val="20B00A53"/>
    <w:rsid w:val="20B16579"/>
    <w:rsid w:val="20C84600"/>
    <w:rsid w:val="20C95670"/>
    <w:rsid w:val="20D65FDF"/>
    <w:rsid w:val="20E85D1A"/>
    <w:rsid w:val="20EF0E4F"/>
    <w:rsid w:val="210055F8"/>
    <w:rsid w:val="21020B82"/>
    <w:rsid w:val="21052421"/>
    <w:rsid w:val="21090163"/>
    <w:rsid w:val="2126121F"/>
    <w:rsid w:val="212A7304"/>
    <w:rsid w:val="216604FC"/>
    <w:rsid w:val="21750BB9"/>
    <w:rsid w:val="217B0F40"/>
    <w:rsid w:val="218A192D"/>
    <w:rsid w:val="218E0668"/>
    <w:rsid w:val="21A972E1"/>
    <w:rsid w:val="21B003EE"/>
    <w:rsid w:val="21B47199"/>
    <w:rsid w:val="21E14C3C"/>
    <w:rsid w:val="21E5472C"/>
    <w:rsid w:val="21EE6EEB"/>
    <w:rsid w:val="21F816C1"/>
    <w:rsid w:val="221C5C74"/>
    <w:rsid w:val="222B0959"/>
    <w:rsid w:val="222F1E4B"/>
    <w:rsid w:val="22395DB5"/>
    <w:rsid w:val="2240564F"/>
    <w:rsid w:val="224F6049"/>
    <w:rsid w:val="22603DB2"/>
    <w:rsid w:val="2264741B"/>
    <w:rsid w:val="22675ACD"/>
    <w:rsid w:val="22743D02"/>
    <w:rsid w:val="22816594"/>
    <w:rsid w:val="229879F0"/>
    <w:rsid w:val="22A00653"/>
    <w:rsid w:val="22A52EFA"/>
    <w:rsid w:val="22A567AC"/>
    <w:rsid w:val="22AA3280"/>
    <w:rsid w:val="22BD2FB3"/>
    <w:rsid w:val="22C177D1"/>
    <w:rsid w:val="22C5455D"/>
    <w:rsid w:val="22CB1F7F"/>
    <w:rsid w:val="22CC31F6"/>
    <w:rsid w:val="22D43C96"/>
    <w:rsid w:val="22D7603D"/>
    <w:rsid w:val="22DB5B2F"/>
    <w:rsid w:val="22E37A07"/>
    <w:rsid w:val="22EC6903"/>
    <w:rsid w:val="22FB3ADB"/>
    <w:rsid w:val="23076924"/>
    <w:rsid w:val="23214B81"/>
    <w:rsid w:val="23250B58"/>
    <w:rsid w:val="23287A3B"/>
    <w:rsid w:val="234E0C74"/>
    <w:rsid w:val="235D595F"/>
    <w:rsid w:val="2366667A"/>
    <w:rsid w:val="236E24FF"/>
    <w:rsid w:val="23725A46"/>
    <w:rsid w:val="237A70F6"/>
    <w:rsid w:val="237C10C0"/>
    <w:rsid w:val="238D31A7"/>
    <w:rsid w:val="239F4DAE"/>
    <w:rsid w:val="23A0746C"/>
    <w:rsid w:val="23A67EEB"/>
    <w:rsid w:val="23A75A11"/>
    <w:rsid w:val="23AB5501"/>
    <w:rsid w:val="23C40371"/>
    <w:rsid w:val="23D5257E"/>
    <w:rsid w:val="23DD1433"/>
    <w:rsid w:val="23ED1676"/>
    <w:rsid w:val="23EF1892"/>
    <w:rsid w:val="23F37F14"/>
    <w:rsid w:val="23F956E8"/>
    <w:rsid w:val="23FC3FAF"/>
    <w:rsid w:val="23FE7D27"/>
    <w:rsid w:val="24015121"/>
    <w:rsid w:val="241E2177"/>
    <w:rsid w:val="242855A6"/>
    <w:rsid w:val="24305A06"/>
    <w:rsid w:val="244400BF"/>
    <w:rsid w:val="2447702E"/>
    <w:rsid w:val="24765B0F"/>
    <w:rsid w:val="247C0C4C"/>
    <w:rsid w:val="247C50B5"/>
    <w:rsid w:val="248A5117"/>
    <w:rsid w:val="248F4E23"/>
    <w:rsid w:val="24983C84"/>
    <w:rsid w:val="249A5961"/>
    <w:rsid w:val="249B0281"/>
    <w:rsid w:val="24A3267C"/>
    <w:rsid w:val="24AF2DCF"/>
    <w:rsid w:val="24C13735"/>
    <w:rsid w:val="24C22B02"/>
    <w:rsid w:val="24D570AE"/>
    <w:rsid w:val="24D6035C"/>
    <w:rsid w:val="24E01EF1"/>
    <w:rsid w:val="24E2777A"/>
    <w:rsid w:val="24E94533"/>
    <w:rsid w:val="24F51DFC"/>
    <w:rsid w:val="250B597D"/>
    <w:rsid w:val="250C0222"/>
    <w:rsid w:val="250C30B2"/>
    <w:rsid w:val="25294B7D"/>
    <w:rsid w:val="253D662D"/>
    <w:rsid w:val="254706FC"/>
    <w:rsid w:val="255D282B"/>
    <w:rsid w:val="25643BBA"/>
    <w:rsid w:val="25675458"/>
    <w:rsid w:val="256B13EC"/>
    <w:rsid w:val="25924268"/>
    <w:rsid w:val="2593449F"/>
    <w:rsid w:val="25E67FEE"/>
    <w:rsid w:val="25E76599"/>
    <w:rsid w:val="25EB7E37"/>
    <w:rsid w:val="25F3318F"/>
    <w:rsid w:val="26220E5B"/>
    <w:rsid w:val="2629095F"/>
    <w:rsid w:val="262D2207"/>
    <w:rsid w:val="26355556"/>
    <w:rsid w:val="2637307C"/>
    <w:rsid w:val="263B1FA4"/>
    <w:rsid w:val="263B7010"/>
    <w:rsid w:val="263C7979"/>
    <w:rsid w:val="264B2FCC"/>
    <w:rsid w:val="264E5249"/>
    <w:rsid w:val="2650413E"/>
    <w:rsid w:val="265359DC"/>
    <w:rsid w:val="26551754"/>
    <w:rsid w:val="267918E7"/>
    <w:rsid w:val="267B7958"/>
    <w:rsid w:val="26834513"/>
    <w:rsid w:val="268E3818"/>
    <w:rsid w:val="268F110A"/>
    <w:rsid w:val="268F1DAB"/>
    <w:rsid w:val="2694227D"/>
    <w:rsid w:val="26A10E3D"/>
    <w:rsid w:val="26AB43A0"/>
    <w:rsid w:val="26AC3A6A"/>
    <w:rsid w:val="26AF5314"/>
    <w:rsid w:val="26BE763B"/>
    <w:rsid w:val="26D708E5"/>
    <w:rsid w:val="26DF4C1B"/>
    <w:rsid w:val="26E730BC"/>
    <w:rsid w:val="270135A4"/>
    <w:rsid w:val="271138CD"/>
    <w:rsid w:val="271150DA"/>
    <w:rsid w:val="271635D9"/>
    <w:rsid w:val="272C6959"/>
    <w:rsid w:val="27334D4B"/>
    <w:rsid w:val="274517C9"/>
    <w:rsid w:val="274E4B21"/>
    <w:rsid w:val="2751016E"/>
    <w:rsid w:val="277B3BA7"/>
    <w:rsid w:val="27842593"/>
    <w:rsid w:val="27A43A41"/>
    <w:rsid w:val="27A97396"/>
    <w:rsid w:val="27B716B6"/>
    <w:rsid w:val="27B84691"/>
    <w:rsid w:val="27BD1CA7"/>
    <w:rsid w:val="27BD29B1"/>
    <w:rsid w:val="27C923FA"/>
    <w:rsid w:val="27CA464D"/>
    <w:rsid w:val="27CB7F20"/>
    <w:rsid w:val="27E56656"/>
    <w:rsid w:val="27E70AD2"/>
    <w:rsid w:val="27E91720"/>
    <w:rsid w:val="27F136A9"/>
    <w:rsid w:val="27F21934"/>
    <w:rsid w:val="27F231D4"/>
    <w:rsid w:val="27F6382B"/>
    <w:rsid w:val="27FA0805"/>
    <w:rsid w:val="27FD20A3"/>
    <w:rsid w:val="280F14ED"/>
    <w:rsid w:val="280F3776"/>
    <w:rsid w:val="281C4C20"/>
    <w:rsid w:val="28335AC5"/>
    <w:rsid w:val="28357A8F"/>
    <w:rsid w:val="2852419D"/>
    <w:rsid w:val="28527CD1"/>
    <w:rsid w:val="28697739"/>
    <w:rsid w:val="287C121A"/>
    <w:rsid w:val="287C7ABF"/>
    <w:rsid w:val="28844573"/>
    <w:rsid w:val="28885E11"/>
    <w:rsid w:val="289123ED"/>
    <w:rsid w:val="289A62B4"/>
    <w:rsid w:val="28A30E9D"/>
    <w:rsid w:val="28A4029C"/>
    <w:rsid w:val="28AA3FD9"/>
    <w:rsid w:val="28C52BC1"/>
    <w:rsid w:val="28D70B46"/>
    <w:rsid w:val="28E60D8A"/>
    <w:rsid w:val="28E9787B"/>
    <w:rsid w:val="28EA6E9E"/>
    <w:rsid w:val="28EF7AB7"/>
    <w:rsid w:val="28FE2577"/>
    <w:rsid w:val="29183639"/>
    <w:rsid w:val="29441132"/>
    <w:rsid w:val="296C18DD"/>
    <w:rsid w:val="296F0D7F"/>
    <w:rsid w:val="2973261D"/>
    <w:rsid w:val="29763EBB"/>
    <w:rsid w:val="297E09A5"/>
    <w:rsid w:val="29890753"/>
    <w:rsid w:val="298962E5"/>
    <w:rsid w:val="29934A6D"/>
    <w:rsid w:val="29A44ECD"/>
    <w:rsid w:val="29B50E88"/>
    <w:rsid w:val="29B72649"/>
    <w:rsid w:val="29B90BAE"/>
    <w:rsid w:val="29C9048F"/>
    <w:rsid w:val="29CC63DA"/>
    <w:rsid w:val="29CF7F37"/>
    <w:rsid w:val="29DD3F3B"/>
    <w:rsid w:val="2A064AA7"/>
    <w:rsid w:val="2A0753E5"/>
    <w:rsid w:val="2A0C29B8"/>
    <w:rsid w:val="2A0E5104"/>
    <w:rsid w:val="2A131C98"/>
    <w:rsid w:val="2A1536D4"/>
    <w:rsid w:val="2A500BB0"/>
    <w:rsid w:val="2A570E85"/>
    <w:rsid w:val="2A5C1303"/>
    <w:rsid w:val="2A6A337B"/>
    <w:rsid w:val="2A6B1546"/>
    <w:rsid w:val="2A76596A"/>
    <w:rsid w:val="2A7A79DB"/>
    <w:rsid w:val="2A830F86"/>
    <w:rsid w:val="2A8745B6"/>
    <w:rsid w:val="2A9860B3"/>
    <w:rsid w:val="2A9A1E2C"/>
    <w:rsid w:val="2A9F5694"/>
    <w:rsid w:val="2AA23A25"/>
    <w:rsid w:val="2AA23AE1"/>
    <w:rsid w:val="2AAA6513"/>
    <w:rsid w:val="2AC1560A"/>
    <w:rsid w:val="2AC60E73"/>
    <w:rsid w:val="2ACC53CC"/>
    <w:rsid w:val="2ACF41CB"/>
    <w:rsid w:val="2AD15C14"/>
    <w:rsid w:val="2ADC2444"/>
    <w:rsid w:val="2AF015CC"/>
    <w:rsid w:val="2B045837"/>
    <w:rsid w:val="2B07429B"/>
    <w:rsid w:val="2B152059"/>
    <w:rsid w:val="2B154372"/>
    <w:rsid w:val="2B1A0AB5"/>
    <w:rsid w:val="2B2116B0"/>
    <w:rsid w:val="2B230073"/>
    <w:rsid w:val="2B285689"/>
    <w:rsid w:val="2B323DA2"/>
    <w:rsid w:val="2B430715"/>
    <w:rsid w:val="2B520958"/>
    <w:rsid w:val="2B626DED"/>
    <w:rsid w:val="2B634913"/>
    <w:rsid w:val="2B85488A"/>
    <w:rsid w:val="2B9630FA"/>
    <w:rsid w:val="2BA56CDA"/>
    <w:rsid w:val="2BBB02AC"/>
    <w:rsid w:val="2BC37160"/>
    <w:rsid w:val="2BE55328"/>
    <w:rsid w:val="2BEC2B5B"/>
    <w:rsid w:val="2BFF63EA"/>
    <w:rsid w:val="2C246995"/>
    <w:rsid w:val="2C3562B0"/>
    <w:rsid w:val="2C385DA0"/>
    <w:rsid w:val="2C444745"/>
    <w:rsid w:val="2C4944EB"/>
    <w:rsid w:val="2C4958B7"/>
    <w:rsid w:val="2C4B162F"/>
    <w:rsid w:val="2C54043B"/>
    <w:rsid w:val="2C5D1363"/>
    <w:rsid w:val="2C5F50DB"/>
    <w:rsid w:val="2C6203A4"/>
    <w:rsid w:val="2C792640"/>
    <w:rsid w:val="2C8132A3"/>
    <w:rsid w:val="2C9254B0"/>
    <w:rsid w:val="2C9C1E8B"/>
    <w:rsid w:val="2CA91FCE"/>
    <w:rsid w:val="2CAB0320"/>
    <w:rsid w:val="2CB847EB"/>
    <w:rsid w:val="2CC6515A"/>
    <w:rsid w:val="2CD23AFF"/>
    <w:rsid w:val="2CD72C54"/>
    <w:rsid w:val="2CE43832"/>
    <w:rsid w:val="2CEA709A"/>
    <w:rsid w:val="2CEB4BC0"/>
    <w:rsid w:val="2CF00429"/>
    <w:rsid w:val="2CF63C91"/>
    <w:rsid w:val="2D022235"/>
    <w:rsid w:val="2D031F0A"/>
    <w:rsid w:val="2D0F08AF"/>
    <w:rsid w:val="2D1A4D32"/>
    <w:rsid w:val="2D1C7470"/>
    <w:rsid w:val="2D2125B0"/>
    <w:rsid w:val="2D2F71A3"/>
    <w:rsid w:val="2D371BB4"/>
    <w:rsid w:val="2D3B78F6"/>
    <w:rsid w:val="2D3E2F42"/>
    <w:rsid w:val="2D7C1CBC"/>
    <w:rsid w:val="2D8017AD"/>
    <w:rsid w:val="2D8868B3"/>
    <w:rsid w:val="2DAC4350"/>
    <w:rsid w:val="2DBD7BEB"/>
    <w:rsid w:val="2DC511FA"/>
    <w:rsid w:val="2DE47F8D"/>
    <w:rsid w:val="2E141EF5"/>
    <w:rsid w:val="2E1755ED"/>
    <w:rsid w:val="2E19750B"/>
    <w:rsid w:val="2E2C6459"/>
    <w:rsid w:val="2E374561"/>
    <w:rsid w:val="2E494294"/>
    <w:rsid w:val="2E5073D1"/>
    <w:rsid w:val="2E56250D"/>
    <w:rsid w:val="2E5A1FFE"/>
    <w:rsid w:val="2E605E44"/>
    <w:rsid w:val="2E623354"/>
    <w:rsid w:val="2E6A4E27"/>
    <w:rsid w:val="2E7B108D"/>
    <w:rsid w:val="2E7D7A9A"/>
    <w:rsid w:val="2E9B12B3"/>
    <w:rsid w:val="2EAB0AAB"/>
    <w:rsid w:val="2ED33B5E"/>
    <w:rsid w:val="2EDA313F"/>
    <w:rsid w:val="2EE53D89"/>
    <w:rsid w:val="2EEC10D1"/>
    <w:rsid w:val="2EF17E76"/>
    <w:rsid w:val="2F030EDA"/>
    <w:rsid w:val="2F0412C1"/>
    <w:rsid w:val="2F171C9D"/>
    <w:rsid w:val="2F1749E6"/>
    <w:rsid w:val="2F202F46"/>
    <w:rsid w:val="2F2E6FE6"/>
    <w:rsid w:val="2F397E65"/>
    <w:rsid w:val="2F3B1E2F"/>
    <w:rsid w:val="2F436F36"/>
    <w:rsid w:val="2F47268D"/>
    <w:rsid w:val="2F484F80"/>
    <w:rsid w:val="2F57653D"/>
    <w:rsid w:val="2F8F5CD7"/>
    <w:rsid w:val="2F926074"/>
    <w:rsid w:val="2F963509"/>
    <w:rsid w:val="2F971630"/>
    <w:rsid w:val="2FA774C5"/>
    <w:rsid w:val="2FB44E46"/>
    <w:rsid w:val="2FCA005B"/>
    <w:rsid w:val="2FDC6A42"/>
    <w:rsid w:val="2FE204FD"/>
    <w:rsid w:val="2FEE6EA1"/>
    <w:rsid w:val="2FFF4CAE"/>
    <w:rsid w:val="30000983"/>
    <w:rsid w:val="30042C3B"/>
    <w:rsid w:val="301663F8"/>
    <w:rsid w:val="301F1BC4"/>
    <w:rsid w:val="302C1778"/>
    <w:rsid w:val="302E5110"/>
    <w:rsid w:val="303A5A64"/>
    <w:rsid w:val="30444D13"/>
    <w:rsid w:val="304E74D7"/>
    <w:rsid w:val="305111DE"/>
    <w:rsid w:val="3058256D"/>
    <w:rsid w:val="305B205D"/>
    <w:rsid w:val="305E5ED8"/>
    <w:rsid w:val="307A6987"/>
    <w:rsid w:val="30823A8E"/>
    <w:rsid w:val="3086532C"/>
    <w:rsid w:val="3087341E"/>
    <w:rsid w:val="308C2216"/>
    <w:rsid w:val="309317F7"/>
    <w:rsid w:val="3095429A"/>
    <w:rsid w:val="30A91479"/>
    <w:rsid w:val="30B04157"/>
    <w:rsid w:val="30B14C3C"/>
    <w:rsid w:val="30CD2F5B"/>
    <w:rsid w:val="30CE5B13"/>
    <w:rsid w:val="30E12562"/>
    <w:rsid w:val="30E84AF7"/>
    <w:rsid w:val="31103BE8"/>
    <w:rsid w:val="31132938"/>
    <w:rsid w:val="313703D4"/>
    <w:rsid w:val="31490108"/>
    <w:rsid w:val="31523460"/>
    <w:rsid w:val="31557F85"/>
    <w:rsid w:val="315630DF"/>
    <w:rsid w:val="315736D8"/>
    <w:rsid w:val="3166515D"/>
    <w:rsid w:val="31684A32"/>
    <w:rsid w:val="316E7B6E"/>
    <w:rsid w:val="31717D8A"/>
    <w:rsid w:val="317403C7"/>
    <w:rsid w:val="3179559F"/>
    <w:rsid w:val="317E6003"/>
    <w:rsid w:val="3183186B"/>
    <w:rsid w:val="319B6BB5"/>
    <w:rsid w:val="31A1154D"/>
    <w:rsid w:val="31A17F44"/>
    <w:rsid w:val="31A31F0E"/>
    <w:rsid w:val="31AD053C"/>
    <w:rsid w:val="31B47C77"/>
    <w:rsid w:val="31BC4D7D"/>
    <w:rsid w:val="31D04385"/>
    <w:rsid w:val="31E340B8"/>
    <w:rsid w:val="31E513C0"/>
    <w:rsid w:val="31EE13DB"/>
    <w:rsid w:val="31F75DB5"/>
    <w:rsid w:val="31F957C3"/>
    <w:rsid w:val="320433D9"/>
    <w:rsid w:val="320B1E88"/>
    <w:rsid w:val="322272D6"/>
    <w:rsid w:val="323D7C6C"/>
    <w:rsid w:val="324F79A0"/>
    <w:rsid w:val="32540C44"/>
    <w:rsid w:val="325B29A2"/>
    <w:rsid w:val="3268280F"/>
    <w:rsid w:val="32696CB3"/>
    <w:rsid w:val="326D226F"/>
    <w:rsid w:val="32755BEE"/>
    <w:rsid w:val="328533C1"/>
    <w:rsid w:val="32A4546A"/>
    <w:rsid w:val="32B31CDC"/>
    <w:rsid w:val="32B51FD0"/>
    <w:rsid w:val="32C57C62"/>
    <w:rsid w:val="32DD31FD"/>
    <w:rsid w:val="32ED1980"/>
    <w:rsid w:val="32EE540A"/>
    <w:rsid w:val="32F00E54"/>
    <w:rsid w:val="32F1304C"/>
    <w:rsid w:val="33094881"/>
    <w:rsid w:val="33370B5F"/>
    <w:rsid w:val="333A0650"/>
    <w:rsid w:val="333F3794"/>
    <w:rsid w:val="33462335"/>
    <w:rsid w:val="33467502"/>
    <w:rsid w:val="334F40FB"/>
    <w:rsid w:val="33557238"/>
    <w:rsid w:val="335A57BD"/>
    <w:rsid w:val="3381627F"/>
    <w:rsid w:val="33953AD8"/>
    <w:rsid w:val="339A10EE"/>
    <w:rsid w:val="339E5D33"/>
    <w:rsid w:val="33B0446E"/>
    <w:rsid w:val="33B977C6"/>
    <w:rsid w:val="33C53AAF"/>
    <w:rsid w:val="33C87A09"/>
    <w:rsid w:val="33D52183"/>
    <w:rsid w:val="33E04D53"/>
    <w:rsid w:val="33EC17CD"/>
    <w:rsid w:val="33EF143A"/>
    <w:rsid w:val="33EF1C73"/>
    <w:rsid w:val="33FA6F1E"/>
    <w:rsid w:val="340661A5"/>
    <w:rsid w:val="340903E3"/>
    <w:rsid w:val="340E30B9"/>
    <w:rsid w:val="34106DFB"/>
    <w:rsid w:val="34126ED7"/>
    <w:rsid w:val="341E3ACD"/>
    <w:rsid w:val="34311A53"/>
    <w:rsid w:val="343678CD"/>
    <w:rsid w:val="343B642D"/>
    <w:rsid w:val="34467C72"/>
    <w:rsid w:val="34480B4A"/>
    <w:rsid w:val="345968B4"/>
    <w:rsid w:val="345A0C5F"/>
    <w:rsid w:val="345B087E"/>
    <w:rsid w:val="346040E6"/>
    <w:rsid w:val="34702AF7"/>
    <w:rsid w:val="347A2085"/>
    <w:rsid w:val="347F27BE"/>
    <w:rsid w:val="34897199"/>
    <w:rsid w:val="34945B3E"/>
    <w:rsid w:val="349873DC"/>
    <w:rsid w:val="34A51AF9"/>
    <w:rsid w:val="34AD7661"/>
    <w:rsid w:val="34B01E1E"/>
    <w:rsid w:val="34C2413E"/>
    <w:rsid w:val="34DE4124"/>
    <w:rsid w:val="34E16FD5"/>
    <w:rsid w:val="34E94961"/>
    <w:rsid w:val="34EA39B0"/>
    <w:rsid w:val="35026F4B"/>
    <w:rsid w:val="35171719"/>
    <w:rsid w:val="352E7D40"/>
    <w:rsid w:val="35411821"/>
    <w:rsid w:val="354B26A0"/>
    <w:rsid w:val="354E2190"/>
    <w:rsid w:val="355E512E"/>
    <w:rsid w:val="357243F8"/>
    <w:rsid w:val="35853917"/>
    <w:rsid w:val="35906305"/>
    <w:rsid w:val="359C73A0"/>
    <w:rsid w:val="35A26038"/>
    <w:rsid w:val="35AA3A3A"/>
    <w:rsid w:val="35AA4722"/>
    <w:rsid w:val="35C10BB4"/>
    <w:rsid w:val="35CF507F"/>
    <w:rsid w:val="35E16EBF"/>
    <w:rsid w:val="35F66AB0"/>
    <w:rsid w:val="35F86203"/>
    <w:rsid w:val="36030A2E"/>
    <w:rsid w:val="360B340E"/>
    <w:rsid w:val="360C7071"/>
    <w:rsid w:val="36116540"/>
    <w:rsid w:val="3659703F"/>
    <w:rsid w:val="365E28A7"/>
    <w:rsid w:val="36655CF0"/>
    <w:rsid w:val="366B14C0"/>
    <w:rsid w:val="368E1A09"/>
    <w:rsid w:val="369342FF"/>
    <w:rsid w:val="369D456C"/>
    <w:rsid w:val="36A06A1C"/>
    <w:rsid w:val="36A8455A"/>
    <w:rsid w:val="36C95F72"/>
    <w:rsid w:val="36D05553"/>
    <w:rsid w:val="36DF3C16"/>
    <w:rsid w:val="36E27034"/>
    <w:rsid w:val="36ED1FA3"/>
    <w:rsid w:val="36F36DEE"/>
    <w:rsid w:val="370E607B"/>
    <w:rsid w:val="37256F92"/>
    <w:rsid w:val="3728732E"/>
    <w:rsid w:val="372E4027"/>
    <w:rsid w:val="373D070E"/>
    <w:rsid w:val="373F79B1"/>
    <w:rsid w:val="37441A9D"/>
    <w:rsid w:val="37537F32"/>
    <w:rsid w:val="376C4F8C"/>
    <w:rsid w:val="376F2F1F"/>
    <w:rsid w:val="378400EB"/>
    <w:rsid w:val="378620B5"/>
    <w:rsid w:val="37904CE2"/>
    <w:rsid w:val="379522F8"/>
    <w:rsid w:val="379540A7"/>
    <w:rsid w:val="379D00C8"/>
    <w:rsid w:val="379F0A81"/>
    <w:rsid w:val="379F2985"/>
    <w:rsid w:val="37B00EE0"/>
    <w:rsid w:val="37C03BF9"/>
    <w:rsid w:val="37CB498A"/>
    <w:rsid w:val="37D20E57"/>
    <w:rsid w:val="37E1109A"/>
    <w:rsid w:val="37E97122"/>
    <w:rsid w:val="37EE37B7"/>
    <w:rsid w:val="381551E7"/>
    <w:rsid w:val="381F7AD5"/>
    <w:rsid w:val="382611A3"/>
    <w:rsid w:val="382C4A0B"/>
    <w:rsid w:val="382D2531"/>
    <w:rsid w:val="3837515E"/>
    <w:rsid w:val="383A697D"/>
    <w:rsid w:val="384F4255"/>
    <w:rsid w:val="385633E2"/>
    <w:rsid w:val="38635F53"/>
    <w:rsid w:val="38653A79"/>
    <w:rsid w:val="386F79F1"/>
    <w:rsid w:val="38767A34"/>
    <w:rsid w:val="388D2FD0"/>
    <w:rsid w:val="38983E4E"/>
    <w:rsid w:val="38A84A79"/>
    <w:rsid w:val="38B16CBE"/>
    <w:rsid w:val="38B36EDA"/>
    <w:rsid w:val="38E2156D"/>
    <w:rsid w:val="38E33288"/>
    <w:rsid w:val="38FD0155"/>
    <w:rsid w:val="390C65EA"/>
    <w:rsid w:val="390E2362"/>
    <w:rsid w:val="391060DB"/>
    <w:rsid w:val="39131B69"/>
    <w:rsid w:val="39253208"/>
    <w:rsid w:val="393D4D28"/>
    <w:rsid w:val="39400042"/>
    <w:rsid w:val="39403254"/>
    <w:rsid w:val="39490357"/>
    <w:rsid w:val="396C6330"/>
    <w:rsid w:val="397877DC"/>
    <w:rsid w:val="3999678C"/>
    <w:rsid w:val="39A6259B"/>
    <w:rsid w:val="39C40C73"/>
    <w:rsid w:val="39D377DB"/>
    <w:rsid w:val="39D569DC"/>
    <w:rsid w:val="39E5331E"/>
    <w:rsid w:val="39F9503D"/>
    <w:rsid w:val="3A0354D7"/>
    <w:rsid w:val="3A080BE1"/>
    <w:rsid w:val="3A105C66"/>
    <w:rsid w:val="3A152045"/>
    <w:rsid w:val="3A223DCB"/>
    <w:rsid w:val="3A2D05C6"/>
    <w:rsid w:val="3A3462BA"/>
    <w:rsid w:val="3A35391F"/>
    <w:rsid w:val="3A3A2CE3"/>
    <w:rsid w:val="3A4A561C"/>
    <w:rsid w:val="3A5169AB"/>
    <w:rsid w:val="3A58475F"/>
    <w:rsid w:val="3A5D7C28"/>
    <w:rsid w:val="3A5E7E93"/>
    <w:rsid w:val="3A654204"/>
    <w:rsid w:val="3A6E6C87"/>
    <w:rsid w:val="3A77515E"/>
    <w:rsid w:val="3A775CE5"/>
    <w:rsid w:val="3A791A5E"/>
    <w:rsid w:val="3A802DEC"/>
    <w:rsid w:val="3A8427E0"/>
    <w:rsid w:val="3A86417A"/>
    <w:rsid w:val="3A8B0C83"/>
    <w:rsid w:val="3A940645"/>
    <w:rsid w:val="3A970136"/>
    <w:rsid w:val="3A995420"/>
    <w:rsid w:val="3AA12D62"/>
    <w:rsid w:val="3AA57114"/>
    <w:rsid w:val="3AAB72AF"/>
    <w:rsid w:val="3AD13648"/>
    <w:rsid w:val="3AEE22E7"/>
    <w:rsid w:val="3AFD213A"/>
    <w:rsid w:val="3B0427CC"/>
    <w:rsid w:val="3B09112B"/>
    <w:rsid w:val="3B1C0596"/>
    <w:rsid w:val="3B20637D"/>
    <w:rsid w:val="3B2319C9"/>
    <w:rsid w:val="3B2C6AD0"/>
    <w:rsid w:val="3B455D7F"/>
    <w:rsid w:val="3B567FF1"/>
    <w:rsid w:val="3B5B1163"/>
    <w:rsid w:val="3B716BD9"/>
    <w:rsid w:val="3B84063D"/>
    <w:rsid w:val="3B862684"/>
    <w:rsid w:val="3B8875E3"/>
    <w:rsid w:val="3B955700"/>
    <w:rsid w:val="3BC27434"/>
    <w:rsid w:val="3BC62A80"/>
    <w:rsid w:val="3BC95C98"/>
    <w:rsid w:val="3BD75940"/>
    <w:rsid w:val="3BDA29D0"/>
    <w:rsid w:val="3BDD7DCA"/>
    <w:rsid w:val="3BE8091F"/>
    <w:rsid w:val="3BE949C1"/>
    <w:rsid w:val="3BF42260"/>
    <w:rsid w:val="3C033CD5"/>
    <w:rsid w:val="3C2366AE"/>
    <w:rsid w:val="3C265C15"/>
    <w:rsid w:val="3C284C49"/>
    <w:rsid w:val="3C4D13F4"/>
    <w:rsid w:val="3C4E5079"/>
    <w:rsid w:val="3C541BC5"/>
    <w:rsid w:val="3C5E2AB3"/>
    <w:rsid w:val="3C5F6A31"/>
    <w:rsid w:val="3C65673D"/>
    <w:rsid w:val="3C722C08"/>
    <w:rsid w:val="3C7C5F7D"/>
    <w:rsid w:val="3C8F37BA"/>
    <w:rsid w:val="3C9506A5"/>
    <w:rsid w:val="3C9C7C85"/>
    <w:rsid w:val="3C9E3DCB"/>
    <w:rsid w:val="3CB44FCF"/>
    <w:rsid w:val="3CBA35BB"/>
    <w:rsid w:val="3CCD6091"/>
    <w:rsid w:val="3CDB255C"/>
    <w:rsid w:val="3CDB6174"/>
    <w:rsid w:val="3CE74BDC"/>
    <w:rsid w:val="3CF11D7F"/>
    <w:rsid w:val="3CFB49AC"/>
    <w:rsid w:val="3D015D3A"/>
    <w:rsid w:val="3D050477"/>
    <w:rsid w:val="3D0F0457"/>
    <w:rsid w:val="3D14341C"/>
    <w:rsid w:val="3D167A38"/>
    <w:rsid w:val="3D404852"/>
    <w:rsid w:val="3D477BF1"/>
    <w:rsid w:val="3D4A76E1"/>
    <w:rsid w:val="3D516CC2"/>
    <w:rsid w:val="3D5567B2"/>
    <w:rsid w:val="3D785FFC"/>
    <w:rsid w:val="3D7C7242"/>
    <w:rsid w:val="3DB668C6"/>
    <w:rsid w:val="3DB83232"/>
    <w:rsid w:val="3DBF3C2B"/>
    <w:rsid w:val="3DD87CDC"/>
    <w:rsid w:val="3DDB658B"/>
    <w:rsid w:val="3DE70D2F"/>
    <w:rsid w:val="3DE80619"/>
    <w:rsid w:val="3DEB4A20"/>
    <w:rsid w:val="3DF007AE"/>
    <w:rsid w:val="3DF062BF"/>
    <w:rsid w:val="3E0420ED"/>
    <w:rsid w:val="3E0618F6"/>
    <w:rsid w:val="3E0869AC"/>
    <w:rsid w:val="3E1C32D8"/>
    <w:rsid w:val="3E2C6DE7"/>
    <w:rsid w:val="3E32264F"/>
    <w:rsid w:val="3E342474"/>
    <w:rsid w:val="3E3A59A8"/>
    <w:rsid w:val="3E3E1A04"/>
    <w:rsid w:val="3E4B1963"/>
    <w:rsid w:val="3E53454B"/>
    <w:rsid w:val="3E622809"/>
    <w:rsid w:val="3E6F204E"/>
    <w:rsid w:val="3E7569E0"/>
    <w:rsid w:val="3E7C38CA"/>
    <w:rsid w:val="3E832EAB"/>
    <w:rsid w:val="3E88151A"/>
    <w:rsid w:val="3E894239"/>
    <w:rsid w:val="3E8D3D29"/>
    <w:rsid w:val="3EA71E71"/>
    <w:rsid w:val="3EA82911"/>
    <w:rsid w:val="3EC62D97"/>
    <w:rsid w:val="3ECF60F0"/>
    <w:rsid w:val="3ED100BA"/>
    <w:rsid w:val="3EE020AB"/>
    <w:rsid w:val="3EF836B7"/>
    <w:rsid w:val="3EF913BF"/>
    <w:rsid w:val="3F0D6C18"/>
    <w:rsid w:val="3F1735F3"/>
    <w:rsid w:val="3F364D39"/>
    <w:rsid w:val="3F4D34B9"/>
    <w:rsid w:val="3F505A98"/>
    <w:rsid w:val="3F524B18"/>
    <w:rsid w:val="3F5922C0"/>
    <w:rsid w:val="3F6207BA"/>
    <w:rsid w:val="3F626F64"/>
    <w:rsid w:val="3F672E55"/>
    <w:rsid w:val="3F7B1DD4"/>
    <w:rsid w:val="3F810615"/>
    <w:rsid w:val="3F836EDA"/>
    <w:rsid w:val="3F843560"/>
    <w:rsid w:val="3F8B767F"/>
    <w:rsid w:val="3F8C1CD0"/>
    <w:rsid w:val="3F8C3FE1"/>
    <w:rsid w:val="3F8C5D8F"/>
    <w:rsid w:val="3F8E51D3"/>
    <w:rsid w:val="3F8E7D59"/>
    <w:rsid w:val="3F984C13"/>
    <w:rsid w:val="3FA72BC9"/>
    <w:rsid w:val="3FB3559B"/>
    <w:rsid w:val="3FB5786C"/>
    <w:rsid w:val="3FC90D91"/>
    <w:rsid w:val="3FCF3ECE"/>
    <w:rsid w:val="3FD84260"/>
    <w:rsid w:val="3FD919BA"/>
    <w:rsid w:val="3FDC2B4A"/>
    <w:rsid w:val="3FF04570"/>
    <w:rsid w:val="3FFC7B8D"/>
    <w:rsid w:val="3FFD010D"/>
    <w:rsid w:val="400446DB"/>
    <w:rsid w:val="400718BA"/>
    <w:rsid w:val="400973E0"/>
    <w:rsid w:val="400A40D9"/>
    <w:rsid w:val="400B75FC"/>
    <w:rsid w:val="401F452F"/>
    <w:rsid w:val="402C53E6"/>
    <w:rsid w:val="403A3A3D"/>
    <w:rsid w:val="40460634"/>
    <w:rsid w:val="40515724"/>
    <w:rsid w:val="40582115"/>
    <w:rsid w:val="4065700E"/>
    <w:rsid w:val="40703903"/>
    <w:rsid w:val="407927B7"/>
    <w:rsid w:val="407D7E74"/>
    <w:rsid w:val="408B38B3"/>
    <w:rsid w:val="40953369"/>
    <w:rsid w:val="409D2F33"/>
    <w:rsid w:val="40AB0497"/>
    <w:rsid w:val="40B63C8D"/>
    <w:rsid w:val="40B7508E"/>
    <w:rsid w:val="40C003E6"/>
    <w:rsid w:val="40D40AAB"/>
    <w:rsid w:val="40D77011"/>
    <w:rsid w:val="40E90FBF"/>
    <w:rsid w:val="40F40090"/>
    <w:rsid w:val="40F57964"/>
    <w:rsid w:val="40FB76BC"/>
    <w:rsid w:val="41036525"/>
    <w:rsid w:val="41072D28"/>
    <w:rsid w:val="41126768"/>
    <w:rsid w:val="412344D1"/>
    <w:rsid w:val="4125450E"/>
    <w:rsid w:val="412973EA"/>
    <w:rsid w:val="41316FA8"/>
    <w:rsid w:val="41456B3D"/>
    <w:rsid w:val="414C3A28"/>
    <w:rsid w:val="416845DA"/>
    <w:rsid w:val="41731AB7"/>
    <w:rsid w:val="418861C8"/>
    <w:rsid w:val="41AA69A0"/>
    <w:rsid w:val="41B45A71"/>
    <w:rsid w:val="41C9151C"/>
    <w:rsid w:val="41D54935"/>
    <w:rsid w:val="41DB3A91"/>
    <w:rsid w:val="41DC41E8"/>
    <w:rsid w:val="41F71B81"/>
    <w:rsid w:val="42010DBE"/>
    <w:rsid w:val="42075BA1"/>
    <w:rsid w:val="4214206C"/>
    <w:rsid w:val="42213106"/>
    <w:rsid w:val="42241720"/>
    <w:rsid w:val="422C1AAB"/>
    <w:rsid w:val="42470693"/>
    <w:rsid w:val="424E37D0"/>
    <w:rsid w:val="426B25D4"/>
    <w:rsid w:val="4278084D"/>
    <w:rsid w:val="427E247B"/>
    <w:rsid w:val="428611BC"/>
    <w:rsid w:val="42BD2703"/>
    <w:rsid w:val="42C65A5C"/>
    <w:rsid w:val="42CD6DEA"/>
    <w:rsid w:val="42E04834"/>
    <w:rsid w:val="430B346F"/>
    <w:rsid w:val="43140A2D"/>
    <w:rsid w:val="431542ED"/>
    <w:rsid w:val="43160791"/>
    <w:rsid w:val="432671FE"/>
    <w:rsid w:val="432B58BF"/>
    <w:rsid w:val="43301127"/>
    <w:rsid w:val="434150E2"/>
    <w:rsid w:val="43417739"/>
    <w:rsid w:val="4355293C"/>
    <w:rsid w:val="43602615"/>
    <w:rsid w:val="436117D4"/>
    <w:rsid w:val="43617533"/>
    <w:rsid w:val="437049F2"/>
    <w:rsid w:val="43707776"/>
    <w:rsid w:val="43842246"/>
    <w:rsid w:val="43853221"/>
    <w:rsid w:val="43A7763B"/>
    <w:rsid w:val="43B14016"/>
    <w:rsid w:val="43B92ECB"/>
    <w:rsid w:val="43BE0166"/>
    <w:rsid w:val="43CA1A58"/>
    <w:rsid w:val="43E048FB"/>
    <w:rsid w:val="440E3217"/>
    <w:rsid w:val="440F0504"/>
    <w:rsid w:val="44103433"/>
    <w:rsid w:val="4421185F"/>
    <w:rsid w:val="4437557C"/>
    <w:rsid w:val="443B7D84"/>
    <w:rsid w:val="444C2BC0"/>
    <w:rsid w:val="445361E5"/>
    <w:rsid w:val="44676DCB"/>
    <w:rsid w:val="447C0AC8"/>
    <w:rsid w:val="447C14DF"/>
    <w:rsid w:val="4482717F"/>
    <w:rsid w:val="448B4867"/>
    <w:rsid w:val="448E6105"/>
    <w:rsid w:val="44A21BB1"/>
    <w:rsid w:val="44A21CDC"/>
    <w:rsid w:val="44B57B36"/>
    <w:rsid w:val="44D05FB9"/>
    <w:rsid w:val="44D75CFE"/>
    <w:rsid w:val="44D9323B"/>
    <w:rsid w:val="44F248E6"/>
    <w:rsid w:val="452B1E36"/>
    <w:rsid w:val="452B6B92"/>
    <w:rsid w:val="45336CAD"/>
    <w:rsid w:val="453B44DF"/>
    <w:rsid w:val="453C0257"/>
    <w:rsid w:val="453C7EA3"/>
    <w:rsid w:val="454B3FF6"/>
    <w:rsid w:val="45682DFA"/>
    <w:rsid w:val="456C5AB9"/>
    <w:rsid w:val="45952817"/>
    <w:rsid w:val="45A863B8"/>
    <w:rsid w:val="45BB6D3C"/>
    <w:rsid w:val="45C24FE8"/>
    <w:rsid w:val="45CC3389"/>
    <w:rsid w:val="45CD7101"/>
    <w:rsid w:val="45D67D64"/>
    <w:rsid w:val="45E436D4"/>
    <w:rsid w:val="45F91CA4"/>
    <w:rsid w:val="46017508"/>
    <w:rsid w:val="460C7C2A"/>
    <w:rsid w:val="460F14C8"/>
    <w:rsid w:val="46130FB8"/>
    <w:rsid w:val="46132D66"/>
    <w:rsid w:val="46184820"/>
    <w:rsid w:val="46386C71"/>
    <w:rsid w:val="463A4797"/>
    <w:rsid w:val="46431B1A"/>
    <w:rsid w:val="464E1FF0"/>
    <w:rsid w:val="466366B9"/>
    <w:rsid w:val="4665558C"/>
    <w:rsid w:val="466B0DF4"/>
    <w:rsid w:val="4670640B"/>
    <w:rsid w:val="46790780"/>
    <w:rsid w:val="46794B93"/>
    <w:rsid w:val="46800253"/>
    <w:rsid w:val="46845A12"/>
    <w:rsid w:val="468C64C8"/>
    <w:rsid w:val="469320F9"/>
    <w:rsid w:val="46955E71"/>
    <w:rsid w:val="469C7200"/>
    <w:rsid w:val="46C96ACD"/>
    <w:rsid w:val="46CE1383"/>
    <w:rsid w:val="46D52711"/>
    <w:rsid w:val="46D67F86"/>
    <w:rsid w:val="46E14C12"/>
    <w:rsid w:val="46E6047B"/>
    <w:rsid w:val="46F448C2"/>
    <w:rsid w:val="47044DA5"/>
    <w:rsid w:val="47060D7D"/>
    <w:rsid w:val="47075225"/>
    <w:rsid w:val="470D5A07"/>
    <w:rsid w:val="471843AC"/>
    <w:rsid w:val="471E5E67"/>
    <w:rsid w:val="472D60AA"/>
    <w:rsid w:val="473F67A2"/>
    <w:rsid w:val="474536E0"/>
    <w:rsid w:val="47463365"/>
    <w:rsid w:val="47596E9F"/>
    <w:rsid w:val="47680E90"/>
    <w:rsid w:val="476B55F6"/>
    <w:rsid w:val="47777325"/>
    <w:rsid w:val="477D7ED7"/>
    <w:rsid w:val="47925F0D"/>
    <w:rsid w:val="47A10846"/>
    <w:rsid w:val="47A876DF"/>
    <w:rsid w:val="47AA594C"/>
    <w:rsid w:val="47AF4D11"/>
    <w:rsid w:val="47B370C9"/>
    <w:rsid w:val="47BE6DA0"/>
    <w:rsid w:val="47C3256A"/>
    <w:rsid w:val="47E744AA"/>
    <w:rsid w:val="47F46BC7"/>
    <w:rsid w:val="48027536"/>
    <w:rsid w:val="48042FA6"/>
    <w:rsid w:val="481C57BF"/>
    <w:rsid w:val="481E59F2"/>
    <w:rsid w:val="48286871"/>
    <w:rsid w:val="482E032B"/>
    <w:rsid w:val="48343468"/>
    <w:rsid w:val="485578E8"/>
    <w:rsid w:val="485B78C5"/>
    <w:rsid w:val="48680CE3"/>
    <w:rsid w:val="48741AB6"/>
    <w:rsid w:val="487516C9"/>
    <w:rsid w:val="4888377D"/>
    <w:rsid w:val="488C5052"/>
    <w:rsid w:val="48967C7F"/>
    <w:rsid w:val="489F4D85"/>
    <w:rsid w:val="48A147B6"/>
    <w:rsid w:val="48A73C3A"/>
    <w:rsid w:val="48B9571B"/>
    <w:rsid w:val="48D367DD"/>
    <w:rsid w:val="48D82045"/>
    <w:rsid w:val="48DA7B6B"/>
    <w:rsid w:val="48E82D4D"/>
    <w:rsid w:val="48F007F6"/>
    <w:rsid w:val="48F549A5"/>
    <w:rsid w:val="490C7F41"/>
    <w:rsid w:val="49115557"/>
    <w:rsid w:val="491D5CAA"/>
    <w:rsid w:val="49431BB4"/>
    <w:rsid w:val="494C4342"/>
    <w:rsid w:val="49537DE0"/>
    <w:rsid w:val="495518E8"/>
    <w:rsid w:val="495913D8"/>
    <w:rsid w:val="4977360C"/>
    <w:rsid w:val="498703ED"/>
    <w:rsid w:val="49870E8A"/>
    <w:rsid w:val="499248EA"/>
    <w:rsid w:val="49AF3B93"/>
    <w:rsid w:val="49B37733"/>
    <w:rsid w:val="49C70A02"/>
    <w:rsid w:val="49C72B69"/>
    <w:rsid w:val="49E07403"/>
    <w:rsid w:val="49F11610"/>
    <w:rsid w:val="4A02381D"/>
    <w:rsid w:val="4A0E6954"/>
    <w:rsid w:val="4A121587"/>
    <w:rsid w:val="4A1A47F4"/>
    <w:rsid w:val="4A275032"/>
    <w:rsid w:val="4A275F90"/>
    <w:rsid w:val="4A280DAA"/>
    <w:rsid w:val="4A29760D"/>
    <w:rsid w:val="4A2D4613"/>
    <w:rsid w:val="4A3459A1"/>
    <w:rsid w:val="4A3B288C"/>
    <w:rsid w:val="4A3B526E"/>
    <w:rsid w:val="4A3B69AF"/>
    <w:rsid w:val="4A624814"/>
    <w:rsid w:val="4A64191B"/>
    <w:rsid w:val="4A6A4F1F"/>
    <w:rsid w:val="4A722025"/>
    <w:rsid w:val="4A745F18"/>
    <w:rsid w:val="4A8204BA"/>
    <w:rsid w:val="4A8B3EC0"/>
    <w:rsid w:val="4AA2290B"/>
    <w:rsid w:val="4AAC4A05"/>
    <w:rsid w:val="4AB112AD"/>
    <w:rsid w:val="4AB918F6"/>
    <w:rsid w:val="4AD14F9E"/>
    <w:rsid w:val="4AEB42B2"/>
    <w:rsid w:val="4AF403AA"/>
    <w:rsid w:val="4AFD616C"/>
    <w:rsid w:val="4B09298A"/>
    <w:rsid w:val="4B0B04B0"/>
    <w:rsid w:val="4B105AC6"/>
    <w:rsid w:val="4B447AD4"/>
    <w:rsid w:val="4B4D32E0"/>
    <w:rsid w:val="4B5D4A84"/>
    <w:rsid w:val="4B6E6BC9"/>
    <w:rsid w:val="4B7050AD"/>
    <w:rsid w:val="4B717B63"/>
    <w:rsid w:val="4B75001F"/>
    <w:rsid w:val="4B7A3887"/>
    <w:rsid w:val="4B7C629E"/>
    <w:rsid w:val="4BA30828"/>
    <w:rsid w:val="4BA93D64"/>
    <w:rsid w:val="4BB072A9"/>
    <w:rsid w:val="4BBE0554"/>
    <w:rsid w:val="4BBE22D0"/>
    <w:rsid w:val="4BBF20A9"/>
    <w:rsid w:val="4BCB40E3"/>
    <w:rsid w:val="4BCD170C"/>
    <w:rsid w:val="4BD20FCE"/>
    <w:rsid w:val="4BD74836"/>
    <w:rsid w:val="4BDF36EB"/>
    <w:rsid w:val="4BED5E07"/>
    <w:rsid w:val="4BF47196"/>
    <w:rsid w:val="4BF54CBC"/>
    <w:rsid w:val="4BF70A34"/>
    <w:rsid w:val="4BFD1393"/>
    <w:rsid w:val="4C0A69B9"/>
    <w:rsid w:val="4C1635B0"/>
    <w:rsid w:val="4C1C26CD"/>
    <w:rsid w:val="4C215AB1"/>
    <w:rsid w:val="4C2555A1"/>
    <w:rsid w:val="4C2832E3"/>
    <w:rsid w:val="4C2D08FA"/>
    <w:rsid w:val="4C387642"/>
    <w:rsid w:val="4C39104D"/>
    <w:rsid w:val="4C3C7520"/>
    <w:rsid w:val="4C3F1BAE"/>
    <w:rsid w:val="4C4105CA"/>
    <w:rsid w:val="4C5C4D3B"/>
    <w:rsid w:val="4C5D5CA7"/>
    <w:rsid w:val="4C612351"/>
    <w:rsid w:val="4C667968"/>
    <w:rsid w:val="4C76404F"/>
    <w:rsid w:val="4C786019"/>
    <w:rsid w:val="4C991AEB"/>
    <w:rsid w:val="4CAC3D59"/>
    <w:rsid w:val="4CB26A62"/>
    <w:rsid w:val="4CCA7AE1"/>
    <w:rsid w:val="4CDB65A8"/>
    <w:rsid w:val="4CE216E4"/>
    <w:rsid w:val="4CEE0366"/>
    <w:rsid w:val="4CF569B5"/>
    <w:rsid w:val="4CFB4947"/>
    <w:rsid w:val="4D04165B"/>
    <w:rsid w:val="4D11448E"/>
    <w:rsid w:val="4D1D2091"/>
    <w:rsid w:val="4D243AAB"/>
    <w:rsid w:val="4D275D07"/>
    <w:rsid w:val="4D2770F7"/>
    <w:rsid w:val="4D3A507C"/>
    <w:rsid w:val="4D466E92"/>
    <w:rsid w:val="4D4844BB"/>
    <w:rsid w:val="4D5325E2"/>
    <w:rsid w:val="4D6614CB"/>
    <w:rsid w:val="4D6848C0"/>
    <w:rsid w:val="4D762204"/>
    <w:rsid w:val="4D7F0CE1"/>
    <w:rsid w:val="4D9E1AAF"/>
    <w:rsid w:val="4D9E5143"/>
    <w:rsid w:val="4D9F75D5"/>
    <w:rsid w:val="4DA9008C"/>
    <w:rsid w:val="4DAE03C1"/>
    <w:rsid w:val="4DC97603"/>
    <w:rsid w:val="4DE163BF"/>
    <w:rsid w:val="4DF54342"/>
    <w:rsid w:val="4DF571F5"/>
    <w:rsid w:val="4DFD3F6E"/>
    <w:rsid w:val="4DFE10C7"/>
    <w:rsid w:val="4E015B9A"/>
    <w:rsid w:val="4E086F29"/>
    <w:rsid w:val="4E140B6A"/>
    <w:rsid w:val="4E1B739A"/>
    <w:rsid w:val="4E1C0C26"/>
    <w:rsid w:val="4E233D62"/>
    <w:rsid w:val="4E407F3C"/>
    <w:rsid w:val="4E41243B"/>
    <w:rsid w:val="4E4C1468"/>
    <w:rsid w:val="4E5A52AA"/>
    <w:rsid w:val="4E676345"/>
    <w:rsid w:val="4E8567CB"/>
    <w:rsid w:val="4E8B5D8F"/>
    <w:rsid w:val="4E943545"/>
    <w:rsid w:val="4E944C60"/>
    <w:rsid w:val="4E964534"/>
    <w:rsid w:val="4EA74993"/>
    <w:rsid w:val="4EAF43FD"/>
    <w:rsid w:val="4EB86BA1"/>
    <w:rsid w:val="4EC72940"/>
    <w:rsid w:val="4ECC43FA"/>
    <w:rsid w:val="4EDF2886"/>
    <w:rsid w:val="4EE94FAC"/>
    <w:rsid w:val="4EEA4880"/>
    <w:rsid w:val="4EFC3606"/>
    <w:rsid w:val="4F107345"/>
    <w:rsid w:val="4F155DA1"/>
    <w:rsid w:val="4F1847B3"/>
    <w:rsid w:val="4F2314B3"/>
    <w:rsid w:val="4F397493"/>
    <w:rsid w:val="4F3B50DC"/>
    <w:rsid w:val="4F4246BC"/>
    <w:rsid w:val="4F520528"/>
    <w:rsid w:val="4F813436"/>
    <w:rsid w:val="4F980780"/>
    <w:rsid w:val="4FAE3B00"/>
    <w:rsid w:val="4FB619EF"/>
    <w:rsid w:val="4FBD3D43"/>
    <w:rsid w:val="4FC861DA"/>
    <w:rsid w:val="4FD55530"/>
    <w:rsid w:val="4FE70DC0"/>
    <w:rsid w:val="4FFB544B"/>
    <w:rsid w:val="500D6A78"/>
    <w:rsid w:val="500F69BB"/>
    <w:rsid w:val="501F67AB"/>
    <w:rsid w:val="503A0F5B"/>
    <w:rsid w:val="503F29AA"/>
    <w:rsid w:val="50406E4E"/>
    <w:rsid w:val="5051105B"/>
    <w:rsid w:val="505B77CA"/>
    <w:rsid w:val="507B7E86"/>
    <w:rsid w:val="507F7220"/>
    <w:rsid w:val="508F56DF"/>
    <w:rsid w:val="50970A38"/>
    <w:rsid w:val="509B22D6"/>
    <w:rsid w:val="50A126B7"/>
    <w:rsid w:val="50A82C45"/>
    <w:rsid w:val="50AE094F"/>
    <w:rsid w:val="50B27620"/>
    <w:rsid w:val="50BC224C"/>
    <w:rsid w:val="50BF6F9A"/>
    <w:rsid w:val="50C57AB0"/>
    <w:rsid w:val="50D650BC"/>
    <w:rsid w:val="50D723A3"/>
    <w:rsid w:val="50DB294E"/>
    <w:rsid w:val="50DC3D6E"/>
    <w:rsid w:val="50E377D9"/>
    <w:rsid w:val="50F87728"/>
    <w:rsid w:val="510936E3"/>
    <w:rsid w:val="510F485C"/>
    <w:rsid w:val="511856D5"/>
    <w:rsid w:val="511B6F73"/>
    <w:rsid w:val="512C73D2"/>
    <w:rsid w:val="51321C80"/>
    <w:rsid w:val="514F4E6E"/>
    <w:rsid w:val="515661FD"/>
    <w:rsid w:val="51600E2A"/>
    <w:rsid w:val="51621046"/>
    <w:rsid w:val="51652A36"/>
    <w:rsid w:val="516A3A56"/>
    <w:rsid w:val="517255BD"/>
    <w:rsid w:val="517B5C63"/>
    <w:rsid w:val="51840FBC"/>
    <w:rsid w:val="51856AE2"/>
    <w:rsid w:val="518C4D4D"/>
    <w:rsid w:val="51B13335"/>
    <w:rsid w:val="51F24178"/>
    <w:rsid w:val="52187956"/>
    <w:rsid w:val="521D3CB5"/>
    <w:rsid w:val="522462FB"/>
    <w:rsid w:val="52262073"/>
    <w:rsid w:val="523302EC"/>
    <w:rsid w:val="523654BB"/>
    <w:rsid w:val="52426781"/>
    <w:rsid w:val="5244074B"/>
    <w:rsid w:val="52454FAD"/>
    <w:rsid w:val="524B1ADA"/>
    <w:rsid w:val="526B217C"/>
    <w:rsid w:val="52827404"/>
    <w:rsid w:val="528374C6"/>
    <w:rsid w:val="528B1ED6"/>
    <w:rsid w:val="52A15B9E"/>
    <w:rsid w:val="52A70D2C"/>
    <w:rsid w:val="52B07B8F"/>
    <w:rsid w:val="52B94C95"/>
    <w:rsid w:val="52C213BF"/>
    <w:rsid w:val="52D94528"/>
    <w:rsid w:val="52E361B6"/>
    <w:rsid w:val="52EF6909"/>
    <w:rsid w:val="52F932E4"/>
    <w:rsid w:val="530A35D5"/>
    <w:rsid w:val="531210C9"/>
    <w:rsid w:val="531B76FE"/>
    <w:rsid w:val="532742F5"/>
    <w:rsid w:val="53277E51"/>
    <w:rsid w:val="532F31A9"/>
    <w:rsid w:val="53395DD6"/>
    <w:rsid w:val="535E583D"/>
    <w:rsid w:val="53607807"/>
    <w:rsid w:val="536C018C"/>
    <w:rsid w:val="53733096"/>
    <w:rsid w:val="5376727D"/>
    <w:rsid w:val="538434F5"/>
    <w:rsid w:val="538A03E0"/>
    <w:rsid w:val="539835FD"/>
    <w:rsid w:val="539F032F"/>
    <w:rsid w:val="53B06098"/>
    <w:rsid w:val="53B86CFB"/>
    <w:rsid w:val="53B92A73"/>
    <w:rsid w:val="53BB67EB"/>
    <w:rsid w:val="53C53D56"/>
    <w:rsid w:val="53C71634"/>
    <w:rsid w:val="53D224B3"/>
    <w:rsid w:val="53E70484"/>
    <w:rsid w:val="53EB1FF8"/>
    <w:rsid w:val="53F45760"/>
    <w:rsid w:val="5406215C"/>
    <w:rsid w:val="54161C73"/>
    <w:rsid w:val="541A79B6"/>
    <w:rsid w:val="54212AF2"/>
    <w:rsid w:val="54330A77"/>
    <w:rsid w:val="54370568"/>
    <w:rsid w:val="5457415A"/>
    <w:rsid w:val="54705828"/>
    <w:rsid w:val="5472334E"/>
    <w:rsid w:val="549239F0"/>
    <w:rsid w:val="54A379AB"/>
    <w:rsid w:val="54B27BEE"/>
    <w:rsid w:val="54BD0C40"/>
    <w:rsid w:val="54CB4416"/>
    <w:rsid w:val="54D97871"/>
    <w:rsid w:val="54F75F49"/>
    <w:rsid w:val="55012924"/>
    <w:rsid w:val="55254DBB"/>
    <w:rsid w:val="55284354"/>
    <w:rsid w:val="55344AA7"/>
    <w:rsid w:val="554051FA"/>
    <w:rsid w:val="55432F3C"/>
    <w:rsid w:val="55562C6F"/>
    <w:rsid w:val="5560589C"/>
    <w:rsid w:val="556C4241"/>
    <w:rsid w:val="5579695E"/>
    <w:rsid w:val="558C043F"/>
    <w:rsid w:val="559807C9"/>
    <w:rsid w:val="55A11226"/>
    <w:rsid w:val="55A133E3"/>
    <w:rsid w:val="55AE6607"/>
    <w:rsid w:val="55B87486"/>
    <w:rsid w:val="55C0458D"/>
    <w:rsid w:val="55C404FA"/>
    <w:rsid w:val="55C45E2B"/>
    <w:rsid w:val="55F726D8"/>
    <w:rsid w:val="56075D18"/>
    <w:rsid w:val="56203207"/>
    <w:rsid w:val="56206DD9"/>
    <w:rsid w:val="562A2C28"/>
    <w:rsid w:val="563D3E2F"/>
    <w:rsid w:val="56610227"/>
    <w:rsid w:val="56682C5A"/>
    <w:rsid w:val="566C201F"/>
    <w:rsid w:val="566E223B"/>
    <w:rsid w:val="56705FB3"/>
    <w:rsid w:val="567B54EE"/>
    <w:rsid w:val="567F61F6"/>
    <w:rsid w:val="56846C29"/>
    <w:rsid w:val="5689497F"/>
    <w:rsid w:val="56A106AF"/>
    <w:rsid w:val="56A45C5C"/>
    <w:rsid w:val="56A703F5"/>
    <w:rsid w:val="56B51C18"/>
    <w:rsid w:val="56BA0FDC"/>
    <w:rsid w:val="56C40E44"/>
    <w:rsid w:val="56D64EB7"/>
    <w:rsid w:val="56E314E0"/>
    <w:rsid w:val="56F50266"/>
    <w:rsid w:val="57282705"/>
    <w:rsid w:val="572F3778"/>
    <w:rsid w:val="572F5526"/>
    <w:rsid w:val="574C75A3"/>
    <w:rsid w:val="574D2F08"/>
    <w:rsid w:val="57664CC0"/>
    <w:rsid w:val="57754BF2"/>
    <w:rsid w:val="57825F9E"/>
    <w:rsid w:val="578B785A"/>
    <w:rsid w:val="578F03F8"/>
    <w:rsid w:val="57946A2F"/>
    <w:rsid w:val="57B15648"/>
    <w:rsid w:val="57BD6FD6"/>
    <w:rsid w:val="57CA16F3"/>
    <w:rsid w:val="57CA3880"/>
    <w:rsid w:val="57DD4150"/>
    <w:rsid w:val="57E43CCB"/>
    <w:rsid w:val="57E75E01"/>
    <w:rsid w:val="57F32A52"/>
    <w:rsid w:val="57F43BCE"/>
    <w:rsid w:val="57FE50EE"/>
    <w:rsid w:val="58022C3B"/>
    <w:rsid w:val="580544D9"/>
    <w:rsid w:val="58073B8C"/>
    <w:rsid w:val="580B5A97"/>
    <w:rsid w:val="58162D23"/>
    <w:rsid w:val="581B3CFC"/>
    <w:rsid w:val="58256929"/>
    <w:rsid w:val="583E1858"/>
    <w:rsid w:val="583F3E8F"/>
    <w:rsid w:val="584F48CF"/>
    <w:rsid w:val="586438F5"/>
    <w:rsid w:val="586D009D"/>
    <w:rsid w:val="587578B0"/>
    <w:rsid w:val="587D6765"/>
    <w:rsid w:val="58A21933"/>
    <w:rsid w:val="58A77915"/>
    <w:rsid w:val="58AB7FDD"/>
    <w:rsid w:val="58B008E9"/>
    <w:rsid w:val="58BF0B2C"/>
    <w:rsid w:val="58E74233"/>
    <w:rsid w:val="58EF7663"/>
    <w:rsid w:val="591946E0"/>
    <w:rsid w:val="591A2206"/>
    <w:rsid w:val="591E525B"/>
    <w:rsid w:val="593313C9"/>
    <w:rsid w:val="593E026C"/>
    <w:rsid w:val="593E5EF4"/>
    <w:rsid w:val="59457283"/>
    <w:rsid w:val="594D6137"/>
    <w:rsid w:val="595C45CC"/>
    <w:rsid w:val="59710078"/>
    <w:rsid w:val="5989503C"/>
    <w:rsid w:val="59977C6E"/>
    <w:rsid w:val="599E69E5"/>
    <w:rsid w:val="59A25D4A"/>
    <w:rsid w:val="59A3044D"/>
    <w:rsid w:val="59B14918"/>
    <w:rsid w:val="59B15C2B"/>
    <w:rsid w:val="59B25F2D"/>
    <w:rsid w:val="59D86349"/>
    <w:rsid w:val="59DD0C04"/>
    <w:rsid w:val="59EC76FE"/>
    <w:rsid w:val="5A034978"/>
    <w:rsid w:val="5A040EEC"/>
    <w:rsid w:val="5A0E3B19"/>
    <w:rsid w:val="5A16280E"/>
    <w:rsid w:val="5A1B5A10"/>
    <w:rsid w:val="5A266807"/>
    <w:rsid w:val="5A2C21F1"/>
    <w:rsid w:val="5A3572F7"/>
    <w:rsid w:val="5A494B51"/>
    <w:rsid w:val="5A5359CF"/>
    <w:rsid w:val="5A6776CD"/>
    <w:rsid w:val="5A6977D7"/>
    <w:rsid w:val="5A6E45B7"/>
    <w:rsid w:val="5A843DDB"/>
    <w:rsid w:val="5A89319F"/>
    <w:rsid w:val="5A8E4C59"/>
    <w:rsid w:val="5A963B0E"/>
    <w:rsid w:val="5AA955EF"/>
    <w:rsid w:val="5AC42B67"/>
    <w:rsid w:val="5ADF1011"/>
    <w:rsid w:val="5AFE3B8D"/>
    <w:rsid w:val="5B044F1C"/>
    <w:rsid w:val="5B070568"/>
    <w:rsid w:val="5B154DCD"/>
    <w:rsid w:val="5B1C2265"/>
    <w:rsid w:val="5B2353A2"/>
    <w:rsid w:val="5B2E3D47"/>
    <w:rsid w:val="5B33135D"/>
    <w:rsid w:val="5B372BFB"/>
    <w:rsid w:val="5B386973"/>
    <w:rsid w:val="5B4672E2"/>
    <w:rsid w:val="5B4A6DD2"/>
    <w:rsid w:val="5B572513"/>
    <w:rsid w:val="5B773CF2"/>
    <w:rsid w:val="5B953DC6"/>
    <w:rsid w:val="5B9B5880"/>
    <w:rsid w:val="5BA67D81"/>
    <w:rsid w:val="5BB7600F"/>
    <w:rsid w:val="5BC052E6"/>
    <w:rsid w:val="5BCD355F"/>
    <w:rsid w:val="5BD448EE"/>
    <w:rsid w:val="5BD82630"/>
    <w:rsid w:val="5BF037E6"/>
    <w:rsid w:val="5BF62AB6"/>
    <w:rsid w:val="5BFD3E45"/>
    <w:rsid w:val="5C0F2714"/>
    <w:rsid w:val="5C14118E"/>
    <w:rsid w:val="5C1A7FC5"/>
    <w:rsid w:val="5C2D3FFE"/>
    <w:rsid w:val="5C341831"/>
    <w:rsid w:val="5C3A263A"/>
    <w:rsid w:val="5C814A76"/>
    <w:rsid w:val="5C9A5B38"/>
    <w:rsid w:val="5CAE513F"/>
    <w:rsid w:val="5CAF7F16"/>
    <w:rsid w:val="5CBE74EA"/>
    <w:rsid w:val="5CC56713"/>
    <w:rsid w:val="5CC71DD8"/>
    <w:rsid w:val="5CCE3A33"/>
    <w:rsid w:val="5CD66444"/>
    <w:rsid w:val="5CD728E8"/>
    <w:rsid w:val="5CF82EF2"/>
    <w:rsid w:val="5CF9414D"/>
    <w:rsid w:val="5CF9552F"/>
    <w:rsid w:val="5CFB0C71"/>
    <w:rsid w:val="5CFC40FC"/>
    <w:rsid w:val="5D05501E"/>
    <w:rsid w:val="5D0B07E3"/>
    <w:rsid w:val="5D0B433F"/>
    <w:rsid w:val="5D0C552C"/>
    <w:rsid w:val="5D17501F"/>
    <w:rsid w:val="5D1A0A26"/>
    <w:rsid w:val="5D213B63"/>
    <w:rsid w:val="5D221689"/>
    <w:rsid w:val="5D2E002E"/>
    <w:rsid w:val="5D2E44D2"/>
    <w:rsid w:val="5D3C6BEF"/>
    <w:rsid w:val="5D431D2B"/>
    <w:rsid w:val="5D4569AE"/>
    <w:rsid w:val="5D494E68"/>
    <w:rsid w:val="5D50269A"/>
    <w:rsid w:val="5D55380D"/>
    <w:rsid w:val="5D7243BE"/>
    <w:rsid w:val="5D7C6FEB"/>
    <w:rsid w:val="5D835622"/>
    <w:rsid w:val="5D883BE2"/>
    <w:rsid w:val="5D9B1B67"/>
    <w:rsid w:val="5D9B5E1F"/>
    <w:rsid w:val="5DA36C6E"/>
    <w:rsid w:val="5DA56542"/>
    <w:rsid w:val="5DAF116F"/>
    <w:rsid w:val="5DB426F2"/>
    <w:rsid w:val="5DBB62FD"/>
    <w:rsid w:val="5DC15346"/>
    <w:rsid w:val="5DC70453"/>
    <w:rsid w:val="5DF11787"/>
    <w:rsid w:val="5E092699"/>
    <w:rsid w:val="5E2733FB"/>
    <w:rsid w:val="5E2A2EEB"/>
    <w:rsid w:val="5E3D49CC"/>
    <w:rsid w:val="5E422AAA"/>
    <w:rsid w:val="5E5166CA"/>
    <w:rsid w:val="5E604B5F"/>
    <w:rsid w:val="5E6F6B70"/>
    <w:rsid w:val="5E7128C8"/>
    <w:rsid w:val="5E785A05"/>
    <w:rsid w:val="5E7E5BC7"/>
    <w:rsid w:val="5E8C7702"/>
    <w:rsid w:val="5EA26B7E"/>
    <w:rsid w:val="5EA467FA"/>
    <w:rsid w:val="5EAB6551"/>
    <w:rsid w:val="5EAC5CC5"/>
    <w:rsid w:val="5EBB3B43"/>
    <w:rsid w:val="5EC24ED2"/>
    <w:rsid w:val="5ECA3D86"/>
    <w:rsid w:val="5ED70BB3"/>
    <w:rsid w:val="5EF3152F"/>
    <w:rsid w:val="5EF64B7B"/>
    <w:rsid w:val="5F117C07"/>
    <w:rsid w:val="5F131BD1"/>
    <w:rsid w:val="5F1C68EB"/>
    <w:rsid w:val="5F250216"/>
    <w:rsid w:val="5F3A18E5"/>
    <w:rsid w:val="5F3A658F"/>
    <w:rsid w:val="5F3C1128"/>
    <w:rsid w:val="5F4B6DF9"/>
    <w:rsid w:val="5F4D50E3"/>
    <w:rsid w:val="5F531FCE"/>
    <w:rsid w:val="5F5E109E"/>
    <w:rsid w:val="5F675CE8"/>
    <w:rsid w:val="5F6D7533"/>
    <w:rsid w:val="5F787BD2"/>
    <w:rsid w:val="5F797C86"/>
    <w:rsid w:val="5F904FD0"/>
    <w:rsid w:val="5F922AF6"/>
    <w:rsid w:val="5F9E101E"/>
    <w:rsid w:val="5FC1162D"/>
    <w:rsid w:val="5FC92290"/>
    <w:rsid w:val="5FD749AD"/>
    <w:rsid w:val="5FD80582"/>
    <w:rsid w:val="5FE07D05"/>
    <w:rsid w:val="5FE377F5"/>
    <w:rsid w:val="600357A2"/>
    <w:rsid w:val="60194FC5"/>
    <w:rsid w:val="60326087"/>
    <w:rsid w:val="603E7754"/>
    <w:rsid w:val="6045400C"/>
    <w:rsid w:val="604D407A"/>
    <w:rsid w:val="605E0C2A"/>
    <w:rsid w:val="6061582C"/>
    <w:rsid w:val="6071095D"/>
    <w:rsid w:val="60787F3E"/>
    <w:rsid w:val="60870181"/>
    <w:rsid w:val="60940AF0"/>
    <w:rsid w:val="609D64AA"/>
    <w:rsid w:val="60A27B32"/>
    <w:rsid w:val="60A527D8"/>
    <w:rsid w:val="60B01F30"/>
    <w:rsid w:val="60BE5D83"/>
    <w:rsid w:val="60D31618"/>
    <w:rsid w:val="60D37AAA"/>
    <w:rsid w:val="60E51508"/>
    <w:rsid w:val="60E53887"/>
    <w:rsid w:val="60F82E2D"/>
    <w:rsid w:val="60FC0223"/>
    <w:rsid w:val="610C68D8"/>
    <w:rsid w:val="614A3DAA"/>
    <w:rsid w:val="6155027F"/>
    <w:rsid w:val="61730B8F"/>
    <w:rsid w:val="617C580C"/>
    <w:rsid w:val="618463A2"/>
    <w:rsid w:val="618741B1"/>
    <w:rsid w:val="619C7C5C"/>
    <w:rsid w:val="61AA28BC"/>
    <w:rsid w:val="61AB60F1"/>
    <w:rsid w:val="61B2747F"/>
    <w:rsid w:val="61B90451"/>
    <w:rsid w:val="61BF394A"/>
    <w:rsid w:val="61E15FB7"/>
    <w:rsid w:val="61E73B15"/>
    <w:rsid w:val="61EA259B"/>
    <w:rsid w:val="61EB473F"/>
    <w:rsid w:val="6200468F"/>
    <w:rsid w:val="6211035A"/>
    <w:rsid w:val="62173786"/>
    <w:rsid w:val="622540F5"/>
    <w:rsid w:val="623B7475"/>
    <w:rsid w:val="62405FC3"/>
    <w:rsid w:val="62482F7C"/>
    <w:rsid w:val="624C6FD5"/>
    <w:rsid w:val="62677DAD"/>
    <w:rsid w:val="6281113E"/>
    <w:rsid w:val="62875998"/>
    <w:rsid w:val="62935219"/>
    <w:rsid w:val="62942C89"/>
    <w:rsid w:val="62C76F5B"/>
    <w:rsid w:val="62CD6AEC"/>
    <w:rsid w:val="62D358FF"/>
    <w:rsid w:val="62D94595"/>
    <w:rsid w:val="62EF64B1"/>
    <w:rsid w:val="63103C43"/>
    <w:rsid w:val="631E6C0A"/>
    <w:rsid w:val="632C14B3"/>
    <w:rsid w:val="633B5253"/>
    <w:rsid w:val="63566066"/>
    <w:rsid w:val="635B76A3"/>
    <w:rsid w:val="635D78BF"/>
    <w:rsid w:val="638257FD"/>
    <w:rsid w:val="63901A42"/>
    <w:rsid w:val="63AE1EC8"/>
    <w:rsid w:val="63B84AF5"/>
    <w:rsid w:val="63C27722"/>
    <w:rsid w:val="63C60FC0"/>
    <w:rsid w:val="63CB65D6"/>
    <w:rsid w:val="63D062E3"/>
    <w:rsid w:val="63D41366"/>
    <w:rsid w:val="63E1404C"/>
    <w:rsid w:val="63EE0517"/>
    <w:rsid w:val="640E2967"/>
    <w:rsid w:val="641461CF"/>
    <w:rsid w:val="64151F48"/>
    <w:rsid w:val="64153CF6"/>
    <w:rsid w:val="64236413"/>
    <w:rsid w:val="64264155"/>
    <w:rsid w:val="642F4DB7"/>
    <w:rsid w:val="643C74D4"/>
    <w:rsid w:val="64406FC4"/>
    <w:rsid w:val="644C769A"/>
    <w:rsid w:val="64520AA6"/>
    <w:rsid w:val="64664551"/>
    <w:rsid w:val="647A3F6A"/>
    <w:rsid w:val="64805613"/>
    <w:rsid w:val="64850E7B"/>
    <w:rsid w:val="64CB26DD"/>
    <w:rsid w:val="64D35ED3"/>
    <w:rsid w:val="64FF5D4E"/>
    <w:rsid w:val="650171EE"/>
    <w:rsid w:val="65055B18"/>
    <w:rsid w:val="651346D9"/>
    <w:rsid w:val="651F307E"/>
    <w:rsid w:val="65295CAB"/>
    <w:rsid w:val="65433804"/>
    <w:rsid w:val="65444892"/>
    <w:rsid w:val="65532D27"/>
    <w:rsid w:val="6558033E"/>
    <w:rsid w:val="65605444"/>
    <w:rsid w:val="65660CAD"/>
    <w:rsid w:val="65684D07"/>
    <w:rsid w:val="6573237E"/>
    <w:rsid w:val="657D2B36"/>
    <w:rsid w:val="657D2B9C"/>
    <w:rsid w:val="65905D2A"/>
    <w:rsid w:val="6590635A"/>
    <w:rsid w:val="65907AD8"/>
    <w:rsid w:val="6593581A"/>
    <w:rsid w:val="659375C8"/>
    <w:rsid w:val="65956E9C"/>
    <w:rsid w:val="659C4DF8"/>
    <w:rsid w:val="65A215B9"/>
    <w:rsid w:val="65BD63F3"/>
    <w:rsid w:val="65C854C3"/>
    <w:rsid w:val="65D406EA"/>
    <w:rsid w:val="65DC4ACB"/>
    <w:rsid w:val="65E46075"/>
    <w:rsid w:val="65E9368C"/>
    <w:rsid w:val="65EE47FE"/>
    <w:rsid w:val="65FE0EE5"/>
    <w:rsid w:val="66377D74"/>
    <w:rsid w:val="66540B05"/>
    <w:rsid w:val="66542B2C"/>
    <w:rsid w:val="665723A3"/>
    <w:rsid w:val="66707909"/>
    <w:rsid w:val="667421D9"/>
    <w:rsid w:val="66742F55"/>
    <w:rsid w:val="667967BE"/>
    <w:rsid w:val="667B400E"/>
    <w:rsid w:val="668F7D8F"/>
    <w:rsid w:val="66911D59"/>
    <w:rsid w:val="66AF21DF"/>
    <w:rsid w:val="66BC66AA"/>
    <w:rsid w:val="66C939FF"/>
    <w:rsid w:val="66D460EA"/>
    <w:rsid w:val="66D71736"/>
    <w:rsid w:val="66E005EB"/>
    <w:rsid w:val="66E53E53"/>
    <w:rsid w:val="66E55C01"/>
    <w:rsid w:val="66EA7812"/>
    <w:rsid w:val="66F127F8"/>
    <w:rsid w:val="66F773C4"/>
    <w:rsid w:val="66F83B86"/>
    <w:rsid w:val="66FB71D3"/>
    <w:rsid w:val="6703252B"/>
    <w:rsid w:val="6704527C"/>
    <w:rsid w:val="671F55B7"/>
    <w:rsid w:val="673F1F3F"/>
    <w:rsid w:val="67442824"/>
    <w:rsid w:val="674A1F08"/>
    <w:rsid w:val="674A6AF9"/>
    <w:rsid w:val="676F196F"/>
    <w:rsid w:val="677A0A3F"/>
    <w:rsid w:val="67987117"/>
    <w:rsid w:val="67A43BE0"/>
    <w:rsid w:val="67AB6E4B"/>
    <w:rsid w:val="67B37F71"/>
    <w:rsid w:val="67BB4F53"/>
    <w:rsid w:val="67CE6C86"/>
    <w:rsid w:val="67D0065F"/>
    <w:rsid w:val="67D31319"/>
    <w:rsid w:val="67D5211A"/>
    <w:rsid w:val="67D6379C"/>
    <w:rsid w:val="67D72D6F"/>
    <w:rsid w:val="67DB2545"/>
    <w:rsid w:val="67DC6D5A"/>
    <w:rsid w:val="67E206D5"/>
    <w:rsid w:val="67E4410B"/>
    <w:rsid w:val="68232E85"/>
    <w:rsid w:val="685502EE"/>
    <w:rsid w:val="685968A7"/>
    <w:rsid w:val="685A261F"/>
    <w:rsid w:val="6865349E"/>
    <w:rsid w:val="68655F18"/>
    <w:rsid w:val="686E1C26"/>
    <w:rsid w:val="68701E42"/>
    <w:rsid w:val="68833924"/>
    <w:rsid w:val="68AA0EB0"/>
    <w:rsid w:val="68B00491"/>
    <w:rsid w:val="68C14BF3"/>
    <w:rsid w:val="68D26659"/>
    <w:rsid w:val="68DC28D0"/>
    <w:rsid w:val="68E51EE8"/>
    <w:rsid w:val="68ED5329"/>
    <w:rsid w:val="68F31EBE"/>
    <w:rsid w:val="68FA309F"/>
    <w:rsid w:val="68FB170C"/>
    <w:rsid w:val="68FE0507"/>
    <w:rsid w:val="69086715"/>
    <w:rsid w:val="690F3409"/>
    <w:rsid w:val="69272501"/>
    <w:rsid w:val="692C5D69"/>
    <w:rsid w:val="692E7D33"/>
    <w:rsid w:val="692F7608"/>
    <w:rsid w:val="693966D8"/>
    <w:rsid w:val="69401815"/>
    <w:rsid w:val="694A487B"/>
    <w:rsid w:val="694D6631"/>
    <w:rsid w:val="695025CA"/>
    <w:rsid w:val="695D5F23"/>
    <w:rsid w:val="69690D6B"/>
    <w:rsid w:val="69695C61"/>
    <w:rsid w:val="696B65E2"/>
    <w:rsid w:val="69765236"/>
    <w:rsid w:val="697B284D"/>
    <w:rsid w:val="697B4FDF"/>
    <w:rsid w:val="6986055E"/>
    <w:rsid w:val="698C4A5A"/>
    <w:rsid w:val="699B2EEF"/>
    <w:rsid w:val="69A47FF6"/>
    <w:rsid w:val="69AB0D0D"/>
    <w:rsid w:val="69B27B43"/>
    <w:rsid w:val="69B74BA8"/>
    <w:rsid w:val="69BE0005"/>
    <w:rsid w:val="69CB5582"/>
    <w:rsid w:val="69CE2512"/>
    <w:rsid w:val="69DF2DDC"/>
    <w:rsid w:val="69E46644"/>
    <w:rsid w:val="69EA352F"/>
    <w:rsid w:val="69EB2192"/>
    <w:rsid w:val="6A3B73EC"/>
    <w:rsid w:val="6A4315BC"/>
    <w:rsid w:val="6A570136"/>
    <w:rsid w:val="6A611A43"/>
    <w:rsid w:val="6A695DCD"/>
    <w:rsid w:val="6A731776"/>
    <w:rsid w:val="6A753740"/>
    <w:rsid w:val="6A7A6FA8"/>
    <w:rsid w:val="6A7E2C0A"/>
    <w:rsid w:val="6A802F8E"/>
    <w:rsid w:val="6A9156CE"/>
    <w:rsid w:val="6AA8390D"/>
    <w:rsid w:val="6AAD4C88"/>
    <w:rsid w:val="6AB06526"/>
    <w:rsid w:val="6AC06CA1"/>
    <w:rsid w:val="6AC10733"/>
    <w:rsid w:val="6AC81AC2"/>
    <w:rsid w:val="6AD2649C"/>
    <w:rsid w:val="6AE17565"/>
    <w:rsid w:val="6AFE3735"/>
    <w:rsid w:val="6AFF300A"/>
    <w:rsid w:val="6B00125C"/>
    <w:rsid w:val="6B2111D2"/>
    <w:rsid w:val="6B340AA5"/>
    <w:rsid w:val="6B361E7E"/>
    <w:rsid w:val="6B3C7DBA"/>
    <w:rsid w:val="6B3D4EC2"/>
    <w:rsid w:val="6B3E7FD6"/>
    <w:rsid w:val="6B43383E"/>
    <w:rsid w:val="6B543355"/>
    <w:rsid w:val="6B560E7C"/>
    <w:rsid w:val="6B570CC1"/>
    <w:rsid w:val="6B5E5F82"/>
    <w:rsid w:val="6B6F63E1"/>
    <w:rsid w:val="6B7B2FD8"/>
    <w:rsid w:val="6B8359E9"/>
    <w:rsid w:val="6B930322"/>
    <w:rsid w:val="6B985938"/>
    <w:rsid w:val="6BA918F3"/>
    <w:rsid w:val="6BB16221"/>
    <w:rsid w:val="6BE40B7D"/>
    <w:rsid w:val="6BE45953"/>
    <w:rsid w:val="6BE94F3A"/>
    <w:rsid w:val="6BF40694"/>
    <w:rsid w:val="6BFB7C39"/>
    <w:rsid w:val="6C061F17"/>
    <w:rsid w:val="6C0E79A8"/>
    <w:rsid w:val="6C150D37"/>
    <w:rsid w:val="6C2F1E55"/>
    <w:rsid w:val="6C3804E4"/>
    <w:rsid w:val="6C4B29AA"/>
    <w:rsid w:val="6C580C23"/>
    <w:rsid w:val="6C661592"/>
    <w:rsid w:val="6C6D2921"/>
    <w:rsid w:val="6C741E4F"/>
    <w:rsid w:val="6C787517"/>
    <w:rsid w:val="6C7C13FA"/>
    <w:rsid w:val="6C892109"/>
    <w:rsid w:val="6C914D27"/>
    <w:rsid w:val="6CAA6CFE"/>
    <w:rsid w:val="6CC369E5"/>
    <w:rsid w:val="6CCB5899"/>
    <w:rsid w:val="6CD81D64"/>
    <w:rsid w:val="6CED2087"/>
    <w:rsid w:val="6CED5810"/>
    <w:rsid w:val="6CF748E0"/>
    <w:rsid w:val="6CFE7A1D"/>
    <w:rsid w:val="6D013FEB"/>
    <w:rsid w:val="6D042B59"/>
    <w:rsid w:val="6D0F39D8"/>
    <w:rsid w:val="6D0F7711"/>
    <w:rsid w:val="6D1930EC"/>
    <w:rsid w:val="6D2F407A"/>
    <w:rsid w:val="6D395B76"/>
    <w:rsid w:val="6D594C53"/>
    <w:rsid w:val="6D866288"/>
    <w:rsid w:val="6DA71186"/>
    <w:rsid w:val="6DA71E62"/>
    <w:rsid w:val="6DB30918"/>
    <w:rsid w:val="6DB602F7"/>
    <w:rsid w:val="6DB620A5"/>
    <w:rsid w:val="6DC42A14"/>
    <w:rsid w:val="6DCF3167"/>
    <w:rsid w:val="6DCF4F15"/>
    <w:rsid w:val="6DD036A3"/>
    <w:rsid w:val="6DD150E5"/>
    <w:rsid w:val="6DDB57DD"/>
    <w:rsid w:val="6DDD5884"/>
    <w:rsid w:val="6DE22E9A"/>
    <w:rsid w:val="6DE76703"/>
    <w:rsid w:val="6DE81D0F"/>
    <w:rsid w:val="6DE85FD7"/>
    <w:rsid w:val="6DE87DC1"/>
    <w:rsid w:val="6DF36E56"/>
    <w:rsid w:val="6DF76B0A"/>
    <w:rsid w:val="6DFB5D0A"/>
    <w:rsid w:val="6E054DB3"/>
    <w:rsid w:val="6E0D5EB7"/>
    <w:rsid w:val="6E105C5A"/>
    <w:rsid w:val="6E330C7F"/>
    <w:rsid w:val="6E3B6A4F"/>
    <w:rsid w:val="6E470F4F"/>
    <w:rsid w:val="6E62222D"/>
    <w:rsid w:val="6E6E472E"/>
    <w:rsid w:val="6E7004A6"/>
    <w:rsid w:val="6EBD700A"/>
    <w:rsid w:val="6EC627BC"/>
    <w:rsid w:val="6EC72090"/>
    <w:rsid w:val="6EC922AC"/>
    <w:rsid w:val="6ECB392F"/>
    <w:rsid w:val="6ED44ED9"/>
    <w:rsid w:val="6ED53771"/>
    <w:rsid w:val="6EFD2502"/>
    <w:rsid w:val="6F082DD5"/>
    <w:rsid w:val="6F0E7CBF"/>
    <w:rsid w:val="6F1352D6"/>
    <w:rsid w:val="6F3F60CB"/>
    <w:rsid w:val="6F593630"/>
    <w:rsid w:val="6F5E1724"/>
    <w:rsid w:val="6F6618A9"/>
    <w:rsid w:val="6F743FC6"/>
    <w:rsid w:val="6F783707"/>
    <w:rsid w:val="6F7D7049"/>
    <w:rsid w:val="6F800BBD"/>
    <w:rsid w:val="6F8561D3"/>
    <w:rsid w:val="6F963F3C"/>
    <w:rsid w:val="6F993A2D"/>
    <w:rsid w:val="6FA36659"/>
    <w:rsid w:val="6FD341E3"/>
    <w:rsid w:val="6FDA4B8E"/>
    <w:rsid w:val="6FE1043B"/>
    <w:rsid w:val="6FF670D1"/>
    <w:rsid w:val="6FFD4A92"/>
    <w:rsid w:val="700B760E"/>
    <w:rsid w:val="700D7F77"/>
    <w:rsid w:val="70117A67"/>
    <w:rsid w:val="703027C9"/>
    <w:rsid w:val="703B4AE4"/>
    <w:rsid w:val="70671D7D"/>
    <w:rsid w:val="706E310B"/>
    <w:rsid w:val="70794B97"/>
    <w:rsid w:val="70860455"/>
    <w:rsid w:val="70860D62"/>
    <w:rsid w:val="70877D29"/>
    <w:rsid w:val="70891C83"/>
    <w:rsid w:val="70903082"/>
    <w:rsid w:val="70981F36"/>
    <w:rsid w:val="70C13D2D"/>
    <w:rsid w:val="70C20D61"/>
    <w:rsid w:val="70CD6084"/>
    <w:rsid w:val="70D016D0"/>
    <w:rsid w:val="70D21C08"/>
    <w:rsid w:val="70F35BF8"/>
    <w:rsid w:val="70F748FF"/>
    <w:rsid w:val="71015D2D"/>
    <w:rsid w:val="71121CE9"/>
    <w:rsid w:val="71160F53"/>
    <w:rsid w:val="7120731A"/>
    <w:rsid w:val="712244BF"/>
    <w:rsid w:val="71290DE0"/>
    <w:rsid w:val="713C4FB8"/>
    <w:rsid w:val="713E54AE"/>
    <w:rsid w:val="71424D45"/>
    <w:rsid w:val="71453E6C"/>
    <w:rsid w:val="71491244"/>
    <w:rsid w:val="71582A07"/>
    <w:rsid w:val="715866DF"/>
    <w:rsid w:val="717943B6"/>
    <w:rsid w:val="71866233"/>
    <w:rsid w:val="718A5D23"/>
    <w:rsid w:val="718B55F7"/>
    <w:rsid w:val="71916F49"/>
    <w:rsid w:val="71A14E1B"/>
    <w:rsid w:val="71A33B87"/>
    <w:rsid w:val="71AB63BC"/>
    <w:rsid w:val="71AD37BF"/>
    <w:rsid w:val="71AE4713"/>
    <w:rsid w:val="71B27028"/>
    <w:rsid w:val="71B903B6"/>
    <w:rsid w:val="71C50F0C"/>
    <w:rsid w:val="71CD6690"/>
    <w:rsid w:val="71D25565"/>
    <w:rsid w:val="71D945B4"/>
    <w:rsid w:val="71F11C1F"/>
    <w:rsid w:val="71FC3878"/>
    <w:rsid w:val="71FE04BF"/>
    <w:rsid w:val="720158B9"/>
    <w:rsid w:val="720F6228"/>
    <w:rsid w:val="7224132C"/>
    <w:rsid w:val="722A12B4"/>
    <w:rsid w:val="722D0338"/>
    <w:rsid w:val="723314F1"/>
    <w:rsid w:val="723E08BB"/>
    <w:rsid w:val="7240429C"/>
    <w:rsid w:val="72563E57"/>
    <w:rsid w:val="725D3437"/>
    <w:rsid w:val="72604CD6"/>
    <w:rsid w:val="72683487"/>
    <w:rsid w:val="72712A3F"/>
    <w:rsid w:val="72786636"/>
    <w:rsid w:val="727F33AE"/>
    <w:rsid w:val="72802C82"/>
    <w:rsid w:val="72850298"/>
    <w:rsid w:val="72A8433C"/>
    <w:rsid w:val="72AA7CFF"/>
    <w:rsid w:val="72BD1CA1"/>
    <w:rsid w:val="72C07522"/>
    <w:rsid w:val="72D468CD"/>
    <w:rsid w:val="72DD00D4"/>
    <w:rsid w:val="72E31549"/>
    <w:rsid w:val="72EF2DA5"/>
    <w:rsid w:val="72FA0C86"/>
    <w:rsid w:val="72FA6ED8"/>
    <w:rsid w:val="72FB261A"/>
    <w:rsid w:val="73061F81"/>
    <w:rsid w:val="73156124"/>
    <w:rsid w:val="731A30D6"/>
    <w:rsid w:val="7320374B"/>
    <w:rsid w:val="73216213"/>
    <w:rsid w:val="73412411"/>
    <w:rsid w:val="73426189"/>
    <w:rsid w:val="734C0DB6"/>
    <w:rsid w:val="735A3B0C"/>
    <w:rsid w:val="7361796E"/>
    <w:rsid w:val="73662278"/>
    <w:rsid w:val="737427E7"/>
    <w:rsid w:val="737C78ED"/>
    <w:rsid w:val="737E5413"/>
    <w:rsid w:val="738D38A8"/>
    <w:rsid w:val="73934681"/>
    <w:rsid w:val="739369E5"/>
    <w:rsid w:val="73AB01D2"/>
    <w:rsid w:val="73AB7D8F"/>
    <w:rsid w:val="73AD5CF9"/>
    <w:rsid w:val="73BB6668"/>
    <w:rsid w:val="73C25D9A"/>
    <w:rsid w:val="73D94D40"/>
    <w:rsid w:val="740F0761"/>
    <w:rsid w:val="741144D9"/>
    <w:rsid w:val="74122000"/>
    <w:rsid w:val="74273CFD"/>
    <w:rsid w:val="742E508B"/>
    <w:rsid w:val="744877CF"/>
    <w:rsid w:val="74561EEC"/>
    <w:rsid w:val="74622F9F"/>
    <w:rsid w:val="74692D8A"/>
    <w:rsid w:val="74820346"/>
    <w:rsid w:val="74933140"/>
    <w:rsid w:val="74962C31"/>
    <w:rsid w:val="74A94712"/>
    <w:rsid w:val="74B135C7"/>
    <w:rsid w:val="74B81FE2"/>
    <w:rsid w:val="74B86703"/>
    <w:rsid w:val="74C57072"/>
    <w:rsid w:val="74C652C4"/>
    <w:rsid w:val="74CE23CA"/>
    <w:rsid w:val="74D13C69"/>
    <w:rsid w:val="74E813D5"/>
    <w:rsid w:val="74FF4332"/>
    <w:rsid w:val="750D68EF"/>
    <w:rsid w:val="751C1388"/>
    <w:rsid w:val="754206C3"/>
    <w:rsid w:val="754E7067"/>
    <w:rsid w:val="755F3023"/>
    <w:rsid w:val="757D16FB"/>
    <w:rsid w:val="758E3908"/>
    <w:rsid w:val="758E4F8E"/>
    <w:rsid w:val="75995FB8"/>
    <w:rsid w:val="759A22AD"/>
    <w:rsid w:val="75A1188D"/>
    <w:rsid w:val="75B50E95"/>
    <w:rsid w:val="75CA0DE4"/>
    <w:rsid w:val="75CD4430"/>
    <w:rsid w:val="75D25EEA"/>
    <w:rsid w:val="75F75951"/>
    <w:rsid w:val="75FC4D15"/>
    <w:rsid w:val="75FE0A8D"/>
    <w:rsid w:val="75FF0362"/>
    <w:rsid w:val="76097029"/>
    <w:rsid w:val="7610256F"/>
    <w:rsid w:val="76133C04"/>
    <w:rsid w:val="762229CE"/>
    <w:rsid w:val="763612C0"/>
    <w:rsid w:val="763B583E"/>
    <w:rsid w:val="763C15B6"/>
    <w:rsid w:val="764676CD"/>
    <w:rsid w:val="764A4CEF"/>
    <w:rsid w:val="76674885"/>
    <w:rsid w:val="76880357"/>
    <w:rsid w:val="769A0FC0"/>
    <w:rsid w:val="769D2054"/>
    <w:rsid w:val="76A50F09"/>
    <w:rsid w:val="76AA4771"/>
    <w:rsid w:val="76B33626"/>
    <w:rsid w:val="76C26322"/>
    <w:rsid w:val="76CC0B8C"/>
    <w:rsid w:val="76D0242A"/>
    <w:rsid w:val="76E13170"/>
    <w:rsid w:val="76E311A3"/>
    <w:rsid w:val="76FB0C8A"/>
    <w:rsid w:val="770B1FE4"/>
    <w:rsid w:val="771B11CB"/>
    <w:rsid w:val="772938E8"/>
    <w:rsid w:val="77304C77"/>
    <w:rsid w:val="774424D0"/>
    <w:rsid w:val="7769139F"/>
    <w:rsid w:val="777032C5"/>
    <w:rsid w:val="77770AF7"/>
    <w:rsid w:val="777C4360"/>
    <w:rsid w:val="77860D3A"/>
    <w:rsid w:val="77972F48"/>
    <w:rsid w:val="77A2369A"/>
    <w:rsid w:val="77B37656"/>
    <w:rsid w:val="77B561D9"/>
    <w:rsid w:val="77CD6969"/>
    <w:rsid w:val="77DD23C3"/>
    <w:rsid w:val="77E141C3"/>
    <w:rsid w:val="77EF68E0"/>
    <w:rsid w:val="78054355"/>
    <w:rsid w:val="780B7492"/>
    <w:rsid w:val="78202F3D"/>
    <w:rsid w:val="78281DF2"/>
    <w:rsid w:val="78300CA6"/>
    <w:rsid w:val="783267CC"/>
    <w:rsid w:val="783951EC"/>
    <w:rsid w:val="783C3AEF"/>
    <w:rsid w:val="783E1615"/>
    <w:rsid w:val="78484242"/>
    <w:rsid w:val="78485FF0"/>
    <w:rsid w:val="784A1D68"/>
    <w:rsid w:val="786646C8"/>
    <w:rsid w:val="786A240A"/>
    <w:rsid w:val="786C4C30"/>
    <w:rsid w:val="786D2D6A"/>
    <w:rsid w:val="7874661E"/>
    <w:rsid w:val="78787121"/>
    <w:rsid w:val="78827754"/>
    <w:rsid w:val="78B91B03"/>
    <w:rsid w:val="78D12489"/>
    <w:rsid w:val="78E201F2"/>
    <w:rsid w:val="78E26444"/>
    <w:rsid w:val="78E75809"/>
    <w:rsid w:val="790A7749"/>
    <w:rsid w:val="79134850"/>
    <w:rsid w:val="79170223"/>
    <w:rsid w:val="794744F9"/>
    <w:rsid w:val="794C5FB4"/>
    <w:rsid w:val="794C7B60"/>
    <w:rsid w:val="794E3859"/>
    <w:rsid w:val="795A247F"/>
    <w:rsid w:val="795A792C"/>
    <w:rsid w:val="79711576"/>
    <w:rsid w:val="7973634F"/>
    <w:rsid w:val="797F0066"/>
    <w:rsid w:val="79815C5D"/>
    <w:rsid w:val="79862855"/>
    <w:rsid w:val="798C63B0"/>
    <w:rsid w:val="799F4335"/>
    <w:rsid w:val="79AB7B9C"/>
    <w:rsid w:val="79B80F53"/>
    <w:rsid w:val="79D33BD7"/>
    <w:rsid w:val="79D52F41"/>
    <w:rsid w:val="79E65AC0"/>
    <w:rsid w:val="79EB1329"/>
    <w:rsid w:val="7A0128FA"/>
    <w:rsid w:val="7A0712A8"/>
    <w:rsid w:val="7A1A5F3C"/>
    <w:rsid w:val="7A293BFF"/>
    <w:rsid w:val="7A2E3F8E"/>
    <w:rsid w:val="7A342C40"/>
    <w:rsid w:val="7A3C1B84"/>
    <w:rsid w:val="7A431165"/>
    <w:rsid w:val="7A486B67"/>
    <w:rsid w:val="7A546ECE"/>
    <w:rsid w:val="7A5C5D83"/>
    <w:rsid w:val="7A63380E"/>
    <w:rsid w:val="7A6D61E2"/>
    <w:rsid w:val="7A756E44"/>
    <w:rsid w:val="7A794B87"/>
    <w:rsid w:val="7A7C01D3"/>
    <w:rsid w:val="7A7E002C"/>
    <w:rsid w:val="7A8734B8"/>
    <w:rsid w:val="7A8A6D94"/>
    <w:rsid w:val="7A8E0B0D"/>
    <w:rsid w:val="7AA93B38"/>
    <w:rsid w:val="7AAD4830"/>
    <w:rsid w:val="7AB5650E"/>
    <w:rsid w:val="7AB64546"/>
    <w:rsid w:val="7AB91427"/>
    <w:rsid w:val="7ACB4729"/>
    <w:rsid w:val="7AE70BAE"/>
    <w:rsid w:val="7AEA7832"/>
    <w:rsid w:val="7AEC455F"/>
    <w:rsid w:val="7AF1296F"/>
    <w:rsid w:val="7AF406B1"/>
    <w:rsid w:val="7B05466C"/>
    <w:rsid w:val="7B0A3A31"/>
    <w:rsid w:val="7B1B7885"/>
    <w:rsid w:val="7B2F3497"/>
    <w:rsid w:val="7B3B62E0"/>
    <w:rsid w:val="7B4D1357"/>
    <w:rsid w:val="7B641393"/>
    <w:rsid w:val="7B6E2F9B"/>
    <w:rsid w:val="7B89704B"/>
    <w:rsid w:val="7B8A691F"/>
    <w:rsid w:val="7B963492"/>
    <w:rsid w:val="7B98702C"/>
    <w:rsid w:val="7BA479E1"/>
    <w:rsid w:val="7BB045D8"/>
    <w:rsid w:val="7BC71922"/>
    <w:rsid w:val="7BD57CCF"/>
    <w:rsid w:val="7BDE0C48"/>
    <w:rsid w:val="7BFD3595"/>
    <w:rsid w:val="7C022E76"/>
    <w:rsid w:val="7C0D1A2A"/>
    <w:rsid w:val="7C0E7550"/>
    <w:rsid w:val="7C213B75"/>
    <w:rsid w:val="7C266648"/>
    <w:rsid w:val="7C3163FF"/>
    <w:rsid w:val="7C365D86"/>
    <w:rsid w:val="7C3B26D9"/>
    <w:rsid w:val="7C541407"/>
    <w:rsid w:val="7C5E4034"/>
    <w:rsid w:val="7C725D31"/>
    <w:rsid w:val="7C896BD7"/>
    <w:rsid w:val="7C8B6DF3"/>
    <w:rsid w:val="7C8D6749"/>
    <w:rsid w:val="7CA12173"/>
    <w:rsid w:val="7CA3413D"/>
    <w:rsid w:val="7CA61385"/>
    <w:rsid w:val="7CB718F6"/>
    <w:rsid w:val="7CCC0C02"/>
    <w:rsid w:val="7CD673E6"/>
    <w:rsid w:val="7CE64C01"/>
    <w:rsid w:val="7CEB2A4A"/>
    <w:rsid w:val="7CFB1883"/>
    <w:rsid w:val="7CFB7AD5"/>
    <w:rsid w:val="7CFE5817"/>
    <w:rsid w:val="7D123C1F"/>
    <w:rsid w:val="7D135677"/>
    <w:rsid w:val="7D1467DB"/>
    <w:rsid w:val="7D2863F0"/>
    <w:rsid w:val="7D295F33"/>
    <w:rsid w:val="7D2C7C8E"/>
    <w:rsid w:val="7D4B3316"/>
    <w:rsid w:val="7D6E1C31"/>
    <w:rsid w:val="7D6E64F9"/>
    <w:rsid w:val="7D847ACA"/>
    <w:rsid w:val="7D871368"/>
    <w:rsid w:val="7D8C2E23"/>
    <w:rsid w:val="7D931348"/>
    <w:rsid w:val="7DA35B52"/>
    <w:rsid w:val="7DBB54B6"/>
    <w:rsid w:val="7DD10836"/>
    <w:rsid w:val="7DD32800"/>
    <w:rsid w:val="7DED1B13"/>
    <w:rsid w:val="7DF14781"/>
    <w:rsid w:val="7E0D3978"/>
    <w:rsid w:val="7E1B4E79"/>
    <w:rsid w:val="7E266DD3"/>
    <w:rsid w:val="7E3A287F"/>
    <w:rsid w:val="7E492AC2"/>
    <w:rsid w:val="7E5A082B"/>
    <w:rsid w:val="7E5B163B"/>
    <w:rsid w:val="7E6873EC"/>
    <w:rsid w:val="7E95448B"/>
    <w:rsid w:val="7E9B156F"/>
    <w:rsid w:val="7EA61CC2"/>
    <w:rsid w:val="7EB10D93"/>
    <w:rsid w:val="7EB459DD"/>
    <w:rsid w:val="7EB776E6"/>
    <w:rsid w:val="7EBC14E6"/>
    <w:rsid w:val="7EC00FD6"/>
    <w:rsid w:val="7ECD724F"/>
    <w:rsid w:val="7ED24865"/>
    <w:rsid w:val="7EE10F4C"/>
    <w:rsid w:val="7EE22D5E"/>
    <w:rsid w:val="7EF02C27"/>
    <w:rsid w:val="7EF7251E"/>
    <w:rsid w:val="7EF91AB2"/>
    <w:rsid w:val="7EFA5574"/>
    <w:rsid w:val="7EFB3E85"/>
    <w:rsid w:val="7F005876"/>
    <w:rsid w:val="7F016EF9"/>
    <w:rsid w:val="7F076C05"/>
    <w:rsid w:val="7F0D7F93"/>
    <w:rsid w:val="7F0E20E8"/>
    <w:rsid w:val="7F177E9D"/>
    <w:rsid w:val="7F1B5744"/>
    <w:rsid w:val="7F2729DE"/>
    <w:rsid w:val="7F390D88"/>
    <w:rsid w:val="7F3E1EFB"/>
    <w:rsid w:val="7F5E7F52"/>
    <w:rsid w:val="7F7D0C75"/>
    <w:rsid w:val="7F7E5754"/>
    <w:rsid w:val="7F841BB1"/>
    <w:rsid w:val="7F89761A"/>
    <w:rsid w:val="7F8C2C66"/>
    <w:rsid w:val="7F9D2340"/>
    <w:rsid w:val="7FAA7590"/>
    <w:rsid w:val="7FAB3A34"/>
    <w:rsid w:val="7FC468A4"/>
    <w:rsid w:val="7FCF1996"/>
    <w:rsid w:val="7FD17D13"/>
    <w:rsid w:val="7FD7406F"/>
    <w:rsid w:val="7FDB621D"/>
    <w:rsid w:val="7FDF106F"/>
    <w:rsid w:val="7FF107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beforeLines="0" w:after="330" w:afterLines="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rFonts w:ascii="Times New Roman" w:hAnsi="Times New Roman" w:eastAsia="宋体" w:cs="Times New Roman"/>
      <w:kern w:val="0"/>
      <w:sz w:val="24"/>
      <w:szCs w:val="20"/>
    </w:rPr>
  </w:style>
  <w:style w:type="paragraph" w:styleId="4">
    <w:name w:val="heading 3"/>
    <w:basedOn w:val="1"/>
    <w:next w:val="1"/>
    <w:autoRedefine/>
    <w:qFormat/>
    <w:uiPriority w:val="0"/>
    <w:pPr>
      <w:keepNext/>
      <w:keepLines/>
      <w:spacing w:before="260" w:beforeLines="0" w:after="260" w:afterLines="0" w:line="416" w:lineRule="atLeast"/>
      <w:jc w:val="both"/>
      <w:textAlignment w:val="baseline"/>
      <w:outlineLvl w:val="2"/>
    </w:pPr>
    <w:rPr>
      <w:rFonts w:ascii="Times New Roman" w:hAnsi="Times New Roman" w:eastAsia="宋体" w:cs="Times New Roman"/>
      <w:b/>
      <w:bCs/>
      <w:color w:val="000000"/>
      <w:sz w:val="32"/>
      <w:szCs w:val="32"/>
      <w:u w:val="none" w:color="000000"/>
      <w:lang w:val="en-US" w:eastAsia="zh-CN" w:bidi="ar-SA"/>
    </w:rPr>
  </w:style>
  <w:style w:type="paragraph" w:styleId="5">
    <w:name w:val="heading 4"/>
    <w:basedOn w:val="1"/>
    <w:next w:val="1"/>
    <w:link w:val="58"/>
    <w:autoRedefine/>
    <w:qFormat/>
    <w:uiPriority w:val="0"/>
    <w:pPr>
      <w:keepNext/>
      <w:keepLines/>
      <w:widowControl/>
      <w:spacing w:before="280" w:beforeLines="0" w:after="290" w:afterLines="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9"/>
    <w:autoRedefine/>
    <w:qFormat/>
    <w:uiPriority w:val="0"/>
    <w:pPr>
      <w:keepNext/>
      <w:keepLines/>
      <w:spacing w:before="280" w:beforeLines="0" w:after="290" w:afterLines="0" w:line="376" w:lineRule="auto"/>
      <w:outlineLvl w:val="4"/>
    </w:pPr>
    <w:rPr>
      <w:b/>
      <w:bCs/>
      <w:sz w:val="28"/>
      <w:szCs w:val="28"/>
    </w:rPr>
  </w:style>
  <w:style w:type="paragraph" w:styleId="7">
    <w:name w:val="heading 6"/>
    <w:basedOn w:val="1"/>
    <w:next w:val="1"/>
    <w:link w:val="60"/>
    <w:autoRedefine/>
    <w:qFormat/>
    <w:uiPriority w:val="0"/>
    <w:pPr>
      <w:keepNext/>
      <w:keepLines/>
      <w:spacing w:before="240" w:beforeLines="0" w:after="64" w:afterLines="0" w:line="320" w:lineRule="auto"/>
      <w:outlineLvl w:val="5"/>
    </w:pPr>
    <w:rPr>
      <w:rFonts w:ascii="Cambria" w:hAnsi="Cambria"/>
      <w:b/>
      <w:bCs/>
      <w:sz w:val="24"/>
    </w:rPr>
  </w:style>
  <w:style w:type="paragraph" w:styleId="8">
    <w:name w:val="heading 7"/>
    <w:basedOn w:val="1"/>
    <w:next w:val="1"/>
    <w:link w:val="61"/>
    <w:autoRedefine/>
    <w:qFormat/>
    <w:uiPriority w:val="0"/>
    <w:pPr>
      <w:keepNext/>
      <w:keepLines/>
      <w:spacing w:before="240" w:beforeLines="0" w:after="64" w:afterLines="0" w:line="320" w:lineRule="auto"/>
      <w:outlineLvl w:val="6"/>
    </w:pPr>
    <w:rPr>
      <w:b/>
      <w:bCs/>
      <w:sz w:val="24"/>
    </w:rPr>
  </w:style>
  <w:style w:type="character" w:default="1" w:styleId="37">
    <w:name w:val="Default Paragraph Font"/>
    <w:autoRedefine/>
    <w:qFormat/>
    <w:uiPriority w:val="0"/>
    <w:rPr>
      <w:rFonts w:ascii="Times New Roman" w:hAnsi="Times New Roman" w:eastAsia="宋体" w:cs="Times New Roman"/>
    </w:rPr>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 w:val="clear" w:pos="425"/>
      </w:tabs>
      <w:adjustRightInd w:val="0"/>
      <w:spacing w:line="300" w:lineRule="auto"/>
      <w:textAlignment w:val="baseline"/>
    </w:pPr>
    <w:rPr>
      <w:rFonts w:ascii="Times New Roman" w:hAnsi="Times New Roman" w:eastAsia="宋体" w:cs="Times New Roman"/>
      <w:kern w:val="0"/>
      <w:sz w:val="28"/>
      <w:szCs w:val="20"/>
    </w:rPr>
  </w:style>
  <w:style w:type="paragraph" w:styleId="11">
    <w:name w:val="Normal Indent"/>
    <w:basedOn w:val="1"/>
    <w:next w:val="12"/>
    <w:autoRedefine/>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2">
    <w:name w:val="Body Text First Indent 2"/>
    <w:basedOn w:val="13"/>
    <w:next w:val="1"/>
    <w:link w:val="56"/>
    <w:autoRedefine/>
    <w:qFormat/>
    <w:uiPriority w:val="0"/>
    <w:pPr>
      <w:ind w:left="420" w:firstLine="420" w:firstLineChars="200"/>
    </w:pPr>
    <w:rPr>
      <w:kern w:val="0"/>
      <w:sz w:val="20"/>
      <w:szCs w:val="20"/>
    </w:rPr>
  </w:style>
  <w:style w:type="paragraph" w:styleId="13">
    <w:name w:val="Body Text Indent"/>
    <w:basedOn w:val="1"/>
    <w:next w:val="14"/>
    <w:link w:val="55"/>
    <w:autoRedefine/>
    <w:qFormat/>
    <w:uiPriority w:val="0"/>
    <w:pPr>
      <w:spacing w:after="120" w:afterLines="0"/>
      <w:ind w:left="200" w:leftChars="200"/>
    </w:pPr>
  </w:style>
  <w:style w:type="paragraph" w:styleId="14">
    <w:name w:val="envelope return"/>
    <w:basedOn w:val="1"/>
    <w:autoRedefine/>
    <w:qFormat/>
    <w:uiPriority w:val="0"/>
    <w:pPr>
      <w:snapToGrid w:val="0"/>
    </w:pPr>
    <w:rPr>
      <w:rFonts w:ascii="Arial" w:hAnsi="Arial" w:eastAsia="宋体" w:cs="Times New Roman"/>
    </w:rPr>
  </w:style>
  <w:style w:type="paragraph" w:styleId="15">
    <w:name w:val="Document Map"/>
    <w:basedOn w:val="1"/>
    <w:next w:val="1"/>
    <w:autoRedefine/>
    <w:qFormat/>
    <w:uiPriority w:val="0"/>
    <w:pPr>
      <w:widowControl/>
      <w:shd w:val="clear" w:color="000000" w:fill="000080"/>
      <w:autoSpaceDE/>
      <w:autoSpaceDN/>
      <w:spacing w:before="0" w:beforeLines="0" w:after="0" w:afterLines="0" w:line="357" w:lineRule="atLeast"/>
      <w:ind w:left="0" w:firstLine="0"/>
      <w:jc w:val="both"/>
    </w:pPr>
    <w:rPr>
      <w:rFonts w:ascii="Times New Roman" w:hAnsi="Times New Roman" w:eastAsia="宋体" w:cs="Times New Roman"/>
      <w:color w:val="000000"/>
      <w:sz w:val="21"/>
    </w:rPr>
  </w:style>
  <w:style w:type="paragraph" w:styleId="16">
    <w:name w:val="annotation text"/>
    <w:basedOn w:val="1"/>
    <w:link w:val="62"/>
    <w:autoRedefine/>
    <w:qFormat/>
    <w:uiPriority w:val="0"/>
    <w:pPr>
      <w:jc w:val="left"/>
    </w:pPr>
  </w:style>
  <w:style w:type="paragraph" w:styleId="17">
    <w:name w:val="Body Text"/>
    <w:basedOn w:val="1"/>
    <w:autoRedefine/>
    <w:qFormat/>
    <w:uiPriority w:val="0"/>
    <w:pPr>
      <w:spacing w:after="120" w:afterLines="0"/>
    </w:pPr>
    <w:rPr>
      <w:rFonts w:ascii="Times New Roman" w:hAnsi="Times New Roman" w:eastAsia="宋体" w:cs="Times New Roman"/>
    </w:rPr>
  </w:style>
  <w:style w:type="paragraph" w:styleId="18">
    <w:name w:val="toc 3"/>
    <w:basedOn w:val="1"/>
    <w:next w:val="1"/>
    <w:autoRedefine/>
    <w:qFormat/>
    <w:uiPriority w:val="0"/>
    <w:pPr>
      <w:tabs>
        <w:tab w:val="right" w:leader="dot" w:pos="9288"/>
      </w:tabs>
      <w:ind w:left="400" w:leftChars="400"/>
    </w:pPr>
    <w:rPr>
      <w:rFonts w:ascii="宋体" w:hAnsi="Times New Roman" w:eastAsia="宋体" w:cs="Times New Roman"/>
    </w:rPr>
  </w:style>
  <w:style w:type="paragraph" w:styleId="19">
    <w:name w:val="Plain Text"/>
    <w:basedOn w:val="1"/>
    <w:next w:val="1"/>
    <w:link w:val="63"/>
    <w:autoRedefine/>
    <w:qFormat/>
    <w:uiPriority w:val="0"/>
    <w:rPr>
      <w:rFonts w:ascii="宋体"/>
      <w:color w:val="000000"/>
      <w:szCs w:val="20"/>
      <w:u w:val="none" w:color="000000"/>
    </w:rPr>
  </w:style>
  <w:style w:type="paragraph" w:styleId="20">
    <w:name w:val="Date"/>
    <w:basedOn w:val="1"/>
    <w:next w:val="1"/>
    <w:link w:val="64"/>
    <w:autoRedefine/>
    <w:qFormat/>
    <w:uiPriority w:val="0"/>
    <w:rPr>
      <w:rFonts w:ascii="Arial" w:hAnsi="Arial" w:eastAsia="仿宋_GB2312"/>
      <w:color w:val="000000"/>
      <w:sz w:val="32"/>
      <w:szCs w:val="20"/>
      <w:u w:val="none" w:color="000000"/>
    </w:rPr>
  </w:style>
  <w:style w:type="paragraph" w:styleId="21">
    <w:name w:val="Body Text Indent 2"/>
    <w:basedOn w:val="1"/>
    <w:link w:val="65"/>
    <w:autoRedefine/>
    <w:qFormat/>
    <w:uiPriority w:val="0"/>
    <w:pPr>
      <w:spacing w:after="120" w:afterLines="0" w:line="480" w:lineRule="auto"/>
      <w:ind w:left="420" w:leftChars="200"/>
    </w:pPr>
  </w:style>
  <w:style w:type="paragraph" w:styleId="22">
    <w:name w:val="Balloon Text"/>
    <w:basedOn w:val="1"/>
    <w:link w:val="66"/>
    <w:autoRedefine/>
    <w:qFormat/>
    <w:uiPriority w:val="0"/>
    <w:rPr>
      <w:sz w:val="18"/>
      <w:szCs w:val="18"/>
    </w:rPr>
  </w:style>
  <w:style w:type="paragraph" w:styleId="23">
    <w:name w:val="footer"/>
    <w:basedOn w:val="1"/>
    <w:link w:val="67"/>
    <w:autoRedefine/>
    <w:qFormat/>
    <w:uiPriority w:val="0"/>
    <w:pPr>
      <w:tabs>
        <w:tab w:val="center" w:pos="4153"/>
        <w:tab w:val="right" w:pos="8306"/>
      </w:tabs>
      <w:snapToGrid w:val="0"/>
      <w:jc w:val="left"/>
    </w:pPr>
    <w:rPr>
      <w:sz w:val="18"/>
      <w:szCs w:val="18"/>
    </w:rPr>
  </w:style>
  <w:style w:type="paragraph" w:styleId="24">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rPr>
      <w:rFonts w:ascii="Times New Roman" w:hAnsi="Times New Roman" w:eastAsia="宋体" w:cs="Times New Roman"/>
    </w:rPr>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eastAsia="宋体" w:cs="Times New Roman"/>
      <w:bCs/>
      <w:kern w:val="28"/>
      <w:szCs w:val="32"/>
    </w:rPr>
  </w:style>
  <w:style w:type="paragraph" w:styleId="27">
    <w:name w:val="List"/>
    <w:basedOn w:val="1"/>
    <w:next w:val="1"/>
    <w:autoRedefine/>
    <w:qFormat/>
    <w:uiPriority w:val="0"/>
    <w:pPr>
      <w:widowControl w:val="0"/>
      <w:spacing w:line="240" w:lineRule="auto"/>
      <w:ind w:left="420" w:hanging="420"/>
      <w:textAlignment w:val="auto"/>
    </w:pPr>
    <w:rPr>
      <w:rFonts w:ascii="Arial" w:hAnsi="Arial" w:eastAsia="楷体_GB2312" w:cs="Times New Roman"/>
      <w:color w:val="auto"/>
      <w:kern w:val="2"/>
      <w:sz w:val="28"/>
      <w:u w:val="none" w:color="auto"/>
    </w:rPr>
  </w:style>
  <w:style w:type="paragraph" w:styleId="28">
    <w:name w:val="footnote text"/>
    <w:basedOn w:val="1"/>
    <w:autoRedefine/>
    <w:qFormat/>
    <w:uiPriority w:val="0"/>
    <w:rPr>
      <w:sz w:val="20"/>
      <w:szCs w:val="20"/>
    </w:rPr>
  </w:style>
  <w:style w:type="paragraph" w:styleId="29">
    <w:name w:val="toc 2"/>
    <w:basedOn w:val="1"/>
    <w:next w:val="1"/>
    <w:autoRedefine/>
    <w:qFormat/>
    <w:uiPriority w:val="0"/>
    <w:pPr>
      <w:ind w:left="200" w:leftChars="200"/>
    </w:pPr>
    <w:rPr>
      <w:rFonts w:ascii="Times New Roman" w:hAnsi="Times New Roman" w:eastAsia="宋体" w:cs="Times New Roman"/>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eastAsia="宋体" w:cs="Times New Roman"/>
      <w:b/>
      <w:bCs/>
      <w:sz w:val="28"/>
      <w:szCs w:val="32"/>
    </w:rPr>
  </w:style>
  <w:style w:type="paragraph" w:styleId="33">
    <w:name w:val="annotation subject"/>
    <w:basedOn w:val="16"/>
    <w:next w:val="16"/>
    <w:link w:val="69"/>
    <w:autoRedefine/>
    <w:qFormat/>
    <w:uiPriority w:val="0"/>
    <w:rPr>
      <w:b/>
      <w:bCs/>
    </w:rPr>
  </w:style>
  <w:style w:type="paragraph" w:styleId="34">
    <w:name w:val="Body Text First Indent"/>
    <w:basedOn w:val="17"/>
    <w:autoRedefine/>
    <w:qFormat/>
    <w:uiPriority w:val="0"/>
    <w:pPr>
      <w:ind w:firstLine="420" w:firstLineChars="100"/>
    </w:pPr>
    <w:rPr>
      <w:rFonts w:ascii="Times New Roman" w:hAnsi="Times New Roman" w:eastAsia="宋体" w:cs="Times New Roman"/>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rFonts w:ascii="Times New Roman" w:hAnsi="Times New Roman" w:eastAsia="宋体" w:cs="Times New Roman"/>
      <w:b/>
    </w:rPr>
  </w:style>
  <w:style w:type="character" w:styleId="39">
    <w:name w:val="page number"/>
    <w:autoRedefine/>
    <w:qFormat/>
    <w:uiPriority w:val="0"/>
    <w:rPr>
      <w:rFonts w:ascii="Times New Roman" w:hAnsi="Times New Roman" w:eastAsia="宋体" w:cs="Times New Roman"/>
    </w:rPr>
  </w:style>
  <w:style w:type="character" w:styleId="40">
    <w:name w:val="FollowedHyperlink"/>
    <w:autoRedefine/>
    <w:qFormat/>
    <w:uiPriority w:val="0"/>
    <w:rPr>
      <w:rFonts w:ascii="Times New Roman" w:hAnsi="Times New Roman" w:eastAsia="宋体" w:cs="Times New Roman"/>
      <w:color w:val="333333"/>
      <w:u w:val="none"/>
    </w:rPr>
  </w:style>
  <w:style w:type="character" w:styleId="41">
    <w:name w:val="Emphasis"/>
    <w:autoRedefine/>
    <w:qFormat/>
    <w:uiPriority w:val="0"/>
    <w:rPr>
      <w:rFonts w:ascii="Times New Roman" w:hAnsi="Times New Roman" w:eastAsia="宋体" w:cs="Times New Roman"/>
      <w:i/>
      <w:iCs/>
    </w:rPr>
  </w:style>
  <w:style w:type="character" w:styleId="42">
    <w:name w:val="HTML Definition"/>
    <w:autoRedefine/>
    <w:qFormat/>
    <w:uiPriority w:val="0"/>
    <w:rPr>
      <w:rFonts w:ascii="Times New Roman" w:hAnsi="Times New Roman" w:eastAsia="宋体" w:cs="Times New Roman"/>
    </w:rPr>
  </w:style>
  <w:style w:type="character" w:styleId="43">
    <w:name w:val="HTML Typewriter"/>
    <w:autoRedefine/>
    <w:qFormat/>
    <w:uiPriority w:val="0"/>
    <w:rPr>
      <w:rFonts w:hint="default" w:ascii="monospace" w:hAnsi="monospace" w:eastAsia="monospace" w:cs="monospace"/>
      <w:sz w:val="20"/>
    </w:rPr>
  </w:style>
  <w:style w:type="character" w:styleId="44">
    <w:name w:val="HTML Acronym"/>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autoRedefine/>
    <w:qFormat/>
    <w:uiPriority w:val="0"/>
    <w:rPr>
      <w:rFonts w:ascii="Times New Roman" w:hAnsi="Times New Roman" w:eastAsia="宋体" w:cs="Times New Roman"/>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footnote reference"/>
    <w:autoRedefine/>
    <w:qFormat/>
    <w:uiPriority w:val="0"/>
    <w:rPr>
      <w:vertAlign w:val="superscript"/>
    </w:rPr>
  </w:style>
  <w:style w:type="character" w:styleId="51">
    <w:name w:val="HTML Keyboard"/>
    <w:autoRedefine/>
    <w:qFormat/>
    <w:uiPriority w:val="0"/>
    <w:rPr>
      <w:rFonts w:hint="default" w:ascii="monospace" w:hAnsi="monospace" w:eastAsia="monospace" w:cs="monospace"/>
      <w:sz w:val="20"/>
    </w:rPr>
  </w:style>
  <w:style w:type="character" w:styleId="52">
    <w:name w:val="HTML Sample"/>
    <w:autoRedefine/>
    <w:qFormat/>
    <w:uiPriority w:val="0"/>
    <w:rPr>
      <w:rFonts w:ascii="monospace" w:hAnsi="monospace" w:eastAsia="monospace" w:cs="monospace"/>
    </w:rPr>
  </w:style>
  <w:style w:type="paragraph" w:customStyle="1" w:styleId="53">
    <w:name w:val="正文文字 8"/>
    <w:basedOn w:val="1"/>
    <w:next w:val="1"/>
    <w:autoRedefine/>
    <w:qFormat/>
    <w:uiPriority w:val="0"/>
    <w:pPr>
      <w:ind w:left="240"/>
    </w:pPr>
    <w:rPr>
      <w:sz w:val="16"/>
    </w:rPr>
  </w:style>
  <w:style w:type="paragraph" w:customStyle="1" w:styleId="54">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5">
    <w:name w:val="正文文本缩进 Char"/>
    <w:link w:val="13"/>
    <w:autoRedefine/>
    <w:qFormat/>
    <w:uiPriority w:val="0"/>
    <w:rPr>
      <w:rFonts w:ascii="Times New Roman" w:hAnsi="Times New Roman" w:eastAsia="宋体" w:cs="Times New Roman"/>
      <w:kern w:val="2"/>
      <w:sz w:val="21"/>
      <w:szCs w:val="24"/>
    </w:rPr>
  </w:style>
  <w:style w:type="character" w:customStyle="1" w:styleId="56">
    <w:name w:val="正文首行缩进 2 Char"/>
    <w:link w:val="12"/>
    <w:autoRedefine/>
    <w:qFormat/>
    <w:uiPriority w:val="0"/>
    <w:rPr>
      <w:rFonts w:ascii="Times New Roman" w:hAnsi="Times New Roman" w:eastAsia="宋体" w:cs="Times New Roman"/>
    </w:rPr>
  </w:style>
  <w:style w:type="character" w:customStyle="1" w:styleId="57">
    <w:name w:val="标题 1 Char"/>
    <w:link w:val="2"/>
    <w:autoRedefine/>
    <w:qFormat/>
    <w:uiPriority w:val="0"/>
    <w:rPr>
      <w:rFonts w:ascii="Times New Roman" w:hAnsi="Times New Roman" w:eastAsia="宋体" w:cs="Times New Roman"/>
      <w:b/>
      <w:bCs/>
      <w:kern w:val="44"/>
      <w:sz w:val="32"/>
      <w:szCs w:val="44"/>
    </w:rPr>
  </w:style>
  <w:style w:type="character" w:customStyle="1" w:styleId="58">
    <w:name w:val="标题 4 Char"/>
    <w:link w:val="5"/>
    <w:autoRedefine/>
    <w:qFormat/>
    <w:uiPriority w:val="0"/>
    <w:rPr>
      <w:rFonts w:ascii="Arial" w:hAnsi="Arial" w:eastAsia="黑体" w:cs="Times New Roman"/>
      <w:b/>
      <w:bCs/>
      <w:color w:val="000000"/>
      <w:sz w:val="28"/>
      <w:szCs w:val="28"/>
      <w:u w:val="none" w:color="000000"/>
      <w:lang w:val="en-US" w:eastAsia="zh-CN" w:bidi="ar-SA"/>
    </w:rPr>
  </w:style>
  <w:style w:type="character" w:customStyle="1" w:styleId="59">
    <w:name w:val="标题 5 Char"/>
    <w:link w:val="6"/>
    <w:autoRedefine/>
    <w:qFormat/>
    <w:uiPriority w:val="0"/>
    <w:rPr>
      <w:rFonts w:ascii="Times New Roman" w:hAnsi="Times New Roman" w:eastAsia="宋体" w:cs="Times New Roman"/>
      <w:b/>
      <w:bCs/>
      <w:kern w:val="2"/>
      <w:sz w:val="28"/>
      <w:szCs w:val="28"/>
    </w:rPr>
  </w:style>
  <w:style w:type="character" w:customStyle="1" w:styleId="60">
    <w:name w:val="标题 6 Char"/>
    <w:link w:val="7"/>
    <w:autoRedefine/>
    <w:qFormat/>
    <w:uiPriority w:val="0"/>
    <w:rPr>
      <w:rFonts w:ascii="Cambria" w:hAnsi="Cambria" w:eastAsia="宋体" w:cs="Times New Roman"/>
      <w:b/>
      <w:bCs/>
      <w:kern w:val="2"/>
      <w:sz w:val="24"/>
      <w:szCs w:val="24"/>
    </w:rPr>
  </w:style>
  <w:style w:type="character" w:customStyle="1" w:styleId="61">
    <w:name w:val="标题 7 Char"/>
    <w:link w:val="8"/>
    <w:autoRedefine/>
    <w:qFormat/>
    <w:uiPriority w:val="0"/>
    <w:rPr>
      <w:rFonts w:ascii="Times New Roman" w:hAnsi="Times New Roman" w:eastAsia="宋体" w:cs="Times New Roman"/>
      <w:b/>
      <w:bCs/>
      <w:kern w:val="2"/>
      <w:sz w:val="24"/>
      <w:szCs w:val="24"/>
    </w:rPr>
  </w:style>
  <w:style w:type="character" w:customStyle="1" w:styleId="62">
    <w:name w:val="批注文字 Char"/>
    <w:link w:val="16"/>
    <w:autoRedefine/>
    <w:qFormat/>
    <w:uiPriority w:val="0"/>
    <w:rPr>
      <w:rFonts w:ascii="Times New Roman" w:hAnsi="Times New Roman" w:eastAsia="宋体" w:cs="Times New Roman"/>
      <w:kern w:val="2"/>
      <w:sz w:val="21"/>
      <w:szCs w:val="24"/>
    </w:rPr>
  </w:style>
  <w:style w:type="character" w:customStyle="1" w:styleId="63">
    <w:name w:val="纯文本 Char"/>
    <w:link w:val="19"/>
    <w:autoRedefine/>
    <w:qFormat/>
    <w:uiPriority w:val="0"/>
    <w:rPr>
      <w:rFonts w:ascii="宋体" w:hAnsi="Times New Roman" w:eastAsia="宋体" w:cs="Times New Roman"/>
      <w:color w:val="000000"/>
      <w:kern w:val="2"/>
      <w:sz w:val="21"/>
      <w:u w:val="none" w:color="000000"/>
      <w:lang w:val="en-US" w:eastAsia="zh-CN" w:bidi="ar-SA"/>
    </w:rPr>
  </w:style>
  <w:style w:type="character" w:customStyle="1" w:styleId="64">
    <w:name w:val="日期 Char"/>
    <w:link w:val="20"/>
    <w:autoRedefine/>
    <w:qFormat/>
    <w:uiPriority w:val="0"/>
    <w:rPr>
      <w:rFonts w:ascii="Arial" w:hAnsi="Arial" w:eastAsia="仿宋_GB2312" w:cs="Times New Roman"/>
      <w:color w:val="000000"/>
      <w:kern w:val="2"/>
      <w:sz w:val="32"/>
      <w:u w:val="none" w:color="000000"/>
    </w:rPr>
  </w:style>
  <w:style w:type="character" w:customStyle="1" w:styleId="65">
    <w:name w:val="正文文本缩进 2 Char"/>
    <w:link w:val="21"/>
    <w:autoRedefine/>
    <w:qFormat/>
    <w:uiPriority w:val="0"/>
    <w:rPr>
      <w:rFonts w:ascii="Times New Roman" w:hAnsi="Times New Roman" w:eastAsia="宋体" w:cs="Times New Roman"/>
      <w:kern w:val="2"/>
      <w:sz w:val="21"/>
      <w:szCs w:val="24"/>
    </w:rPr>
  </w:style>
  <w:style w:type="character" w:customStyle="1" w:styleId="66">
    <w:name w:val="批注框文本 Char"/>
    <w:link w:val="22"/>
    <w:autoRedefine/>
    <w:qFormat/>
    <w:uiPriority w:val="0"/>
    <w:rPr>
      <w:rFonts w:ascii="Times New Roman" w:hAnsi="Times New Roman" w:eastAsia="宋体" w:cs="Times New Roman"/>
      <w:kern w:val="2"/>
      <w:sz w:val="18"/>
      <w:szCs w:val="18"/>
    </w:rPr>
  </w:style>
  <w:style w:type="character" w:customStyle="1" w:styleId="67">
    <w:name w:val="页脚 Char"/>
    <w:link w:val="23"/>
    <w:autoRedefine/>
    <w:qFormat/>
    <w:uiPriority w:val="0"/>
    <w:rPr>
      <w:rFonts w:ascii="Times New Roman" w:hAnsi="Times New Roman" w:eastAsia="宋体" w:cs="Times New Roman"/>
      <w:kern w:val="2"/>
      <w:sz w:val="18"/>
      <w:szCs w:val="18"/>
    </w:rPr>
  </w:style>
  <w:style w:type="character" w:customStyle="1" w:styleId="68">
    <w:name w:val="页眉 Char"/>
    <w:link w:val="24"/>
    <w:autoRedefine/>
    <w:qFormat/>
    <w:uiPriority w:val="0"/>
    <w:rPr>
      <w:rFonts w:ascii="Times New Roman" w:hAnsi="Times New Roman" w:eastAsia="宋体" w:cs="Times New Roman"/>
      <w:kern w:val="2"/>
      <w:sz w:val="18"/>
      <w:szCs w:val="18"/>
    </w:rPr>
  </w:style>
  <w:style w:type="character" w:customStyle="1" w:styleId="69">
    <w:name w:val="批注主题 Char"/>
    <w:link w:val="33"/>
    <w:autoRedefine/>
    <w:qFormat/>
    <w:uiPriority w:val="0"/>
    <w:rPr>
      <w:rFonts w:ascii="Times New Roman" w:hAnsi="Times New Roman" w:eastAsia="宋体" w:cs="Times New Roman"/>
      <w:b/>
      <w:bCs/>
      <w:kern w:val="2"/>
      <w:sz w:val="21"/>
      <w:szCs w:val="24"/>
    </w:rPr>
  </w:style>
  <w:style w:type="character" w:customStyle="1" w:styleId="70">
    <w:name w:val="图表 Char Char"/>
    <w:link w:val="71"/>
    <w:autoRedefine/>
    <w:qFormat/>
    <w:uiPriority w:val="0"/>
    <w:rPr>
      <w:rFonts w:ascii="Times New Roman" w:hAnsi="Times New Roman" w:eastAsia="宋体" w:cs="Times New Roman"/>
      <w:kern w:val="2"/>
      <w:sz w:val="21"/>
      <w:szCs w:val="21"/>
    </w:rPr>
  </w:style>
  <w:style w:type="paragraph" w:customStyle="1" w:styleId="71">
    <w:name w:val="图表"/>
    <w:basedOn w:val="1"/>
    <w:next w:val="1"/>
    <w:link w:val="70"/>
    <w:autoRedefine/>
    <w:qFormat/>
    <w:uiPriority w:val="0"/>
    <w:pPr>
      <w:jc w:val="center"/>
    </w:pPr>
    <w:rPr>
      <w:szCs w:val="21"/>
    </w:rPr>
  </w:style>
  <w:style w:type="character" w:customStyle="1" w:styleId="72">
    <w:name w:val="【正文】 Char Char"/>
    <w:link w:val="73"/>
    <w:autoRedefine/>
    <w:qFormat/>
    <w:uiPriority w:val="0"/>
    <w:rPr>
      <w:rFonts w:ascii="Times New Roman" w:hAnsi="Times New Roman" w:eastAsia="宋体" w:cs="DokChampa"/>
      <w:kern w:val="2"/>
      <w:sz w:val="24"/>
      <w:szCs w:val="22"/>
    </w:rPr>
  </w:style>
  <w:style w:type="paragraph" w:customStyle="1" w:styleId="73">
    <w:name w:val="【正文】"/>
    <w:basedOn w:val="1"/>
    <w:link w:val="72"/>
    <w:autoRedefine/>
    <w:qFormat/>
    <w:uiPriority w:val="0"/>
    <w:pPr>
      <w:spacing w:line="360" w:lineRule="auto"/>
      <w:ind w:firstLine="480" w:firstLineChars="200"/>
    </w:pPr>
    <w:rPr>
      <w:sz w:val="24"/>
      <w:szCs w:val="22"/>
    </w:rPr>
  </w:style>
  <w:style w:type="character" w:customStyle="1" w:styleId="74">
    <w:name w:val="selected"/>
    <w:autoRedefine/>
    <w:qFormat/>
    <w:uiPriority w:val="0"/>
    <w:rPr>
      <w:rFonts w:ascii="Times New Roman" w:hAnsi="Times New Roman" w:eastAsia="宋体" w:cs="Times New Roman"/>
      <w:shd w:val="clear" w:color="auto" w:fill="B00006"/>
    </w:rPr>
  </w:style>
  <w:style w:type="character" w:customStyle="1" w:styleId="75">
    <w:name w:val="font21"/>
    <w:basedOn w:val="37"/>
    <w:autoRedefine/>
    <w:qFormat/>
    <w:uiPriority w:val="0"/>
    <w:rPr>
      <w:rFonts w:hint="eastAsia" w:ascii="宋体" w:hAnsi="宋体" w:eastAsia="宋体" w:cs="宋体"/>
      <w:color w:val="000000"/>
      <w:sz w:val="18"/>
      <w:szCs w:val="18"/>
      <w:u w:val="none"/>
    </w:rPr>
  </w:style>
  <w:style w:type="character" w:customStyle="1" w:styleId="76">
    <w:name w:val="bds_nopic"/>
    <w:autoRedefine/>
    <w:qFormat/>
    <w:uiPriority w:val="0"/>
    <w:rPr>
      <w:rFonts w:ascii="Times New Roman" w:hAnsi="Times New Roman" w:eastAsia="宋体" w:cs="Times New Roman"/>
    </w:rPr>
  </w:style>
  <w:style w:type="character" w:customStyle="1" w:styleId="77">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78">
    <w:name w:val="gpa"/>
    <w:autoRedefine/>
    <w:qFormat/>
    <w:uiPriority w:val="0"/>
    <w:rPr>
      <w:rFonts w:ascii="Arial" w:hAnsi="Arial" w:eastAsia="宋体" w:cs="Arial"/>
      <w:sz w:val="15"/>
      <w:szCs w:val="15"/>
    </w:rPr>
  </w:style>
  <w:style w:type="character" w:customStyle="1" w:styleId="79">
    <w:name w:val="正文首行缩进 2 Char1"/>
    <w:autoRedefine/>
    <w:qFormat/>
    <w:uiPriority w:val="0"/>
    <w:rPr>
      <w:rFonts w:ascii="Times New Roman" w:hAnsi="Times New Roman" w:eastAsia="宋体" w:cs="Times New Roman"/>
    </w:rPr>
  </w:style>
  <w:style w:type="character" w:customStyle="1" w:styleId="80">
    <w:name w:val="列出段落 Char"/>
    <w:link w:val="81"/>
    <w:autoRedefine/>
    <w:qFormat/>
    <w:uiPriority w:val="0"/>
    <w:rPr>
      <w:rFonts w:ascii="Calibri" w:hAnsi="Calibri" w:eastAsia="宋体" w:cs="Times New Roman"/>
      <w:kern w:val="2"/>
      <w:sz w:val="21"/>
      <w:szCs w:val="22"/>
      <w:lang w:val="en-US" w:eastAsia="zh-CN" w:bidi="ar-SA"/>
    </w:rPr>
  </w:style>
  <w:style w:type="paragraph" w:customStyle="1" w:styleId="81">
    <w:name w:val="List Paragraph1"/>
    <w:basedOn w:val="1"/>
    <w:link w:val="80"/>
    <w:autoRedefine/>
    <w:qFormat/>
    <w:uiPriority w:val="0"/>
    <w:pPr>
      <w:spacing w:line="312" w:lineRule="auto"/>
      <w:ind w:firstLine="420" w:firstLineChars="200"/>
    </w:pPr>
    <w:rPr>
      <w:rFonts w:ascii="Calibri" w:hAnsi="Calibri"/>
      <w:szCs w:val="22"/>
    </w:rPr>
  </w:style>
  <w:style w:type="character" w:customStyle="1" w:styleId="82">
    <w:name w:val="bds_nopic2"/>
    <w:autoRedefine/>
    <w:qFormat/>
    <w:uiPriority w:val="0"/>
    <w:rPr>
      <w:rFonts w:ascii="Times New Roman" w:hAnsi="Times New Roman" w:eastAsia="宋体" w:cs="Times New Roman"/>
    </w:rPr>
  </w:style>
  <w:style w:type="character" w:customStyle="1" w:styleId="83">
    <w:name w:val="font61"/>
    <w:autoRedefine/>
    <w:qFormat/>
    <w:uiPriority w:val="0"/>
    <w:rPr>
      <w:rFonts w:hint="default" w:ascii="MS Sans Serif" w:hAnsi="MS Sans Serif" w:eastAsia="MS Sans Serif" w:cs="MS Sans Serif"/>
      <w:color w:val="000000"/>
      <w:sz w:val="18"/>
      <w:szCs w:val="18"/>
      <w:u w:val="none"/>
    </w:rPr>
  </w:style>
  <w:style w:type="character" w:customStyle="1" w:styleId="84">
    <w:name w:val="bds_more1"/>
    <w:autoRedefine/>
    <w:qFormat/>
    <w:uiPriority w:val="0"/>
    <w:rPr>
      <w:rFonts w:ascii="Times New Roman" w:hAnsi="Times New Roman" w:eastAsia="宋体" w:cs="Times New Roman"/>
    </w:rPr>
  </w:style>
  <w:style w:type="character" w:customStyle="1" w:styleId="85">
    <w:name w:val="font71"/>
    <w:autoRedefine/>
    <w:qFormat/>
    <w:uiPriority w:val="0"/>
    <w:rPr>
      <w:rFonts w:hint="default" w:ascii="MS Sans Serif" w:hAnsi="MS Sans Serif" w:eastAsia="MS Sans Serif" w:cs="MS Sans Serif"/>
      <w:color w:val="000000"/>
      <w:sz w:val="18"/>
      <w:szCs w:val="18"/>
      <w:u w:val="none"/>
    </w:rPr>
  </w:style>
  <w:style w:type="character" w:customStyle="1" w:styleId="86">
    <w:name w:val="first-child"/>
    <w:autoRedefine/>
    <w:qFormat/>
    <w:uiPriority w:val="0"/>
    <w:rPr>
      <w:rFonts w:ascii="Times New Roman" w:hAnsi="Times New Roman" w:eastAsia="宋体" w:cs="Times New Roman"/>
    </w:rPr>
  </w:style>
  <w:style w:type="character" w:customStyle="1" w:styleId="87">
    <w:name w:val="bds_nopic1"/>
    <w:qFormat/>
    <w:uiPriority w:val="0"/>
    <w:rPr>
      <w:rFonts w:ascii="Times New Roman" w:hAnsi="Times New Roman" w:eastAsia="宋体" w:cs="Times New Roman"/>
    </w:rPr>
  </w:style>
  <w:style w:type="character" w:customStyle="1" w:styleId="88">
    <w:name w:val="layui-this"/>
    <w:autoRedefine/>
    <w:qFormat/>
    <w:uiPriority w:val="0"/>
    <w:rPr>
      <w:rFonts w:ascii="Times New Roman" w:hAnsi="Times New Roman" w:eastAsia="宋体" w:cs="Times New Roman"/>
      <w:bdr w:val="single" w:color="EEEEEE" w:sz="6" w:space="0"/>
      <w:shd w:val="clear" w:color="auto" w:fill="FFFFFF"/>
    </w:rPr>
  </w:style>
  <w:style w:type="character" w:customStyle="1" w:styleId="89">
    <w:name w:val="font81"/>
    <w:autoRedefine/>
    <w:qFormat/>
    <w:uiPriority w:val="0"/>
    <w:rPr>
      <w:rFonts w:ascii="Arial Unicode MS" w:hAnsi="Arial Unicode MS" w:eastAsia="Arial Unicode MS" w:cs="Arial Unicode MS"/>
      <w:color w:val="000000"/>
      <w:sz w:val="18"/>
      <w:szCs w:val="18"/>
      <w:u w:val="none"/>
    </w:rPr>
  </w:style>
  <w:style w:type="character" w:customStyle="1" w:styleId="90">
    <w:name w:val="apple-converted-space"/>
    <w:autoRedefine/>
    <w:qFormat/>
    <w:uiPriority w:val="0"/>
    <w:rPr>
      <w:rFonts w:ascii="Times New Roman" w:hAnsi="Times New Roman" w:eastAsia="宋体" w:cs="Times New Roman"/>
    </w:rPr>
  </w:style>
  <w:style w:type="character" w:customStyle="1" w:styleId="91">
    <w:name w:val="displayarti"/>
    <w:autoRedefine/>
    <w:qFormat/>
    <w:uiPriority w:val="0"/>
    <w:rPr>
      <w:rFonts w:ascii="Times New Roman" w:hAnsi="Times New Roman" w:eastAsia="宋体" w:cs="Times New Roman"/>
      <w:color w:val="FFFFFF"/>
      <w:shd w:val="clear" w:color="auto" w:fill="A00000"/>
    </w:rPr>
  </w:style>
  <w:style w:type="character" w:customStyle="1" w:styleId="92">
    <w:name w:val="font131"/>
    <w:autoRedefine/>
    <w:qFormat/>
    <w:uiPriority w:val="0"/>
    <w:rPr>
      <w:rFonts w:hint="eastAsia" w:ascii="宋体" w:hAnsi="宋体" w:eastAsia="宋体" w:cs="宋体"/>
      <w:b/>
      <w:bCs/>
      <w:color w:val="000000"/>
      <w:sz w:val="20"/>
      <w:szCs w:val="20"/>
      <w:u w:val="none"/>
    </w:rPr>
  </w:style>
  <w:style w:type="character" w:customStyle="1" w:styleId="93">
    <w:name w:val="bds_more2"/>
    <w:autoRedefine/>
    <w:qFormat/>
    <w:uiPriority w:val="0"/>
    <w:rPr>
      <w:rFonts w:ascii="Times New Roman" w:hAnsi="Times New Roman" w:eastAsia="宋体" w:cs="Times New Roman"/>
    </w:rPr>
  </w:style>
  <w:style w:type="character" w:customStyle="1" w:styleId="94">
    <w:name w:val="bds_more"/>
    <w:autoRedefine/>
    <w:qFormat/>
    <w:uiPriority w:val="0"/>
    <w:rPr>
      <w:rFonts w:hint="eastAsia" w:ascii="宋体" w:hAnsi="宋体" w:eastAsia="宋体" w:cs="宋体"/>
    </w:rPr>
  </w:style>
  <w:style w:type="paragraph" w:customStyle="1" w:styleId="95">
    <w:name w:val=" Char Char Char Char"/>
    <w:basedOn w:val="1"/>
    <w:autoRedefine/>
    <w:qFormat/>
    <w:uiPriority w:val="0"/>
    <w:rPr>
      <w:rFonts w:ascii="Tahoma" w:hAnsi="Tahoma" w:eastAsia="宋体" w:cs="Times New Roman"/>
      <w:sz w:val="24"/>
      <w:szCs w:val="20"/>
    </w:rPr>
  </w:style>
  <w:style w:type="paragraph" w:customStyle="1" w:styleId="96">
    <w:name w:val="标题4"/>
    <w:basedOn w:val="1"/>
    <w:autoRedefine/>
    <w:qFormat/>
    <w:uiPriority w:val="0"/>
    <w:pPr>
      <w:numPr>
        <w:ilvl w:val="0"/>
        <w:numId w:val="5"/>
      </w:numPr>
      <w:spacing w:line="360" w:lineRule="auto"/>
      <w:ind w:left="720" w:leftChars="300"/>
      <w:jc w:val="left"/>
    </w:pPr>
    <w:rPr>
      <w:rFonts w:ascii="宋体" w:hAnsi="宋体" w:eastAsia="宋体" w:cs="Times New Roman"/>
      <w:sz w:val="18"/>
      <w:szCs w:val="18"/>
    </w:rPr>
  </w:style>
  <w:style w:type="paragraph" w:customStyle="1" w:styleId="97">
    <w:name w:val="Table Paragraph"/>
    <w:basedOn w:val="1"/>
    <w:autoRedefine/>
    <w:qFormat/>
    <w:uiPriority w:val="0"/>
    <w:rPr>
      <w:rFonts w:ascii="宋体" w:hAnsi="宋体" w:eastAsia="宋体" w:cs="宋体"/>
      <w:lang w:val="zh-CN" w:eastAsia="zh-CN" w:bidi="zh-CN"/>
    </w:rPr>
  </w:style>
  <w:style w:type="paragraph" w:customStyle="1" w:styleId="98">
    <w:name w:val="p0"/>
    <w:basedOn w:val="1"/>
    <w:autoRedefine/>
    <w:qFormat/>
    <w:uiPriority w:val="0"/>
    <w:pPr>
      <w:widowControl/>
      <w:spacing w:line="365" w:lineRule="atLeast"/>
      <w:ind w:left="1"/>
      <w:textAlignment w:val="bottom"/>
    </w:pPr>
    <w:rPr>
      <w:rFonts w:ascii="Calibri" w:hAnsi="Calibri" w:eastAsia="宋体" w:cs="Times New Roman"/>
      <w:kern w:val="0"/>
      <w:sz w:val="20"/>
      <w:szCs w:val="22"/>
    </w:rPr>
  </w:style>
  <w:style w:type="paragraph" w:customStyle="1" w:styleId="99">
    <w:name w:val="正文 New"/>
    <w:next w:val="100"/>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00">
    <w:name w:val="正文缩进1"/>
    <w:basedOn w:val="1"/>
    <w:next w:val="15"/>
    <w:autoRedefine/>
    <w:qFormat/>
    <w:uiPriority w:val="0"/>
    <w:pPr>
      <w:widowControl w:val="0"/>
      <w:autoSpaceDE/>
      <w:autoSpaceDN/>
      <w:spacing w:before="0" w:beforeLines="0" w:after="0" w:afterLines="0" w:line="360" w:lineRule="atLeast"/>
      <w:ind w:left="0" w:firstLine="482"/>
      <w:jc w:val="both"/>
    </w:pPr>
    <w:rPr>
      <w:rFonts w:ascii="Times New Roman" w:hAnsi="Times New Roman" w:eastAsia="宋体" w:cs="Times New Roman"/>
      <w:sz w:val="24"/>
    </w:rPr>
  </w:style>
  <w:style w:type="paragraph" w:customStyle="1" w:styleId="101">
    <w:name w:val="Char Char Char Char Char Char Char1 Char"/>
    <w:basedOn w:val="1"/>
    <w:autoRedefine/>
    <w:qFormat/>
    <w:uiPriority w:val="0"/>
    <w:rPr>
      <w:rFonts w:ascii="Tahoma" w:hAnsi="Tahoma" w:eastAsia="宋体" w:cs="Times New Roman"/>
      <w:sz w:val="24"/>
      <w:szCs w:val="20"/>
    </w:rPr>
  </w:style>
  <w:style w:type="paragraph" w:customStyle="1" w:styleId="102">
    <w:name w:val=" Char"/>
    <w:basedOn w:val="1"/>
    <w:autoRedefine/>
    <w:qFormat/>
    <w:uiPriority w:val="0"/>
    <w:rPr>
      <w:rFonts w:ascii="Times New Roman" w:hAnsi="Times New Roman" w:eastAsia="宋体" w:cs="Times New Roman"/>
    </w:rPr>
  </w:style>
  <w:style w:type="paragraph" w:customStyle="1" w:styleId="103">
    <w:name w:val="（无样式）"/>
    <w:basedOn w:val="1"/>
    <w:autoRedefine/>
    <w:qFormat/>
    <w:uiPriority w:val="0"/>
    <w:pPr>
      <w:widowControl/>
      <w:numPr>
        <w:ilvl w:val="0"/>
        <w:numId w:val="6"/>
      </w:numPr>
      <w:spacing w:line="360" w:lineRule="auto"/>
      <w:ind w:firstLine="0"/>
    </w:pPr>
    <w:rPr>
      <w:rFonts w:ascii="Times New Roman" w:hAnsi="Times New Roman" w:eastAsia="宋体" w:cs="Times New Roman"/>
      <w:sz w:val="24"/>
      <w:szCs w:val="20"/>
    </w:rPr>
  </w:style>
  <w:style w:type="paragraph" w:customStyle="1" w:styleId="10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5">
    <w:name w:val="节标题"/>
    <w:basedOn w:val="1"/>
    <w:next w:val="1"/>
    <w:autoRedefine/>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paragraph" w:customStyle="1" w:styleId="106">
    <w:name w:val="_Style 102"/>
    <w:qFormat/>
    <w:uiPriority w:val="0"/>
    <w:rPr>
      <w:rFonts w:ascii="Times New Roman" w:hAnsi="Times New Roman" w:eastAsia="宋体" w:cs="Times New Roman"/>
      <w:kern w:val="2"/>
      <w:sz w:val="21"/>
      <w:szCs w:val="24"/>
      <w:lang w:val="en-US" w:eastAsia="zh-CN" w:bidi="ar-SA"/>
    </w:rPr>
  </w:style>
  <w:style w:type="paragraph" w:customStyle="1" w:styleId="107">
    <w:name w:val="Char"/>
    <w:basedOn w:val="1"/>
    <w:next w:val="1"/>
    <w:autoRedefine/>
    <w:qFormat/>
    <w:uiPriority w:val="0"/>
    <w:pPr>
      <w:widowControl/>
      <w:spacing w:line="360" w:lineRule="auto"/>
      <w:jc w:val="left"/>
    </w:pPr>
    <w:rPr>
      <w:rFonts w:ascii="Times New Roman" w:hAnsi="Times New Roman" w:eastAsia="宋体" w:cs="Times New Roman"/>
      <w:kern w:val="0"/>
      <w:szCs w:val="20"/>
      <w:lang w:eastAsia="en-US"/>
    </w:rPr>
  </w:style>
  <w:style w:type="paragraph" w:customStyle="1" w:styleId="108">
    <w:name w:val="_Style 2"/>
    <w:basedOn w:val="1"/>
    <w:autoRedefine/>
    <w:qFormat/>
    <w:uiPriority w:val="0"/>
    <w:rPr>
      <w:rFonts w:ascii="Times New Roman" w:hAnsi="Times New Roman" w:eastAsia="宋体" w:cs="Times New Roman"/>
    </w:rPr>
  </w:style>
  <w:style w:type="paragraph" w:customStyle="1" w:styleId="109">
    <w:name w:val="列出段落2"/>
    <w:basedOn w:val="1"/>
    <w:autoRedefine/>
    <w:qFormat/>
    <w:uiPriority w:val="0"/>
    <w:pPr>
      <w:ind w:firstLine="420" w:firstLineChars="200"/>
    </w:pPr>
    <w:rPr>
      <w:rFonts w:ascii="Calibri" w:hAnsi="Calibri" w:eastAsia="宋体" w:cs="Times New Roman"/>
      <w:szCs w:val="22"/>
    </w:rPr>
  </w:style>
  <w:style w:type="paragraph" w:customStyle="1" w:styleId="110">
    <w:name w:val="*正文"/>
    <w:basedOn w:val="1"/>
    <w:autoRedefine/>
    <w:qFormat/>
    <w:uiPriority w:val="0"/>
    <w:pPr>
      <w:widowControl/>
      <w:snapToGrid w:val="0"/>
      <w:ind w:firstLine="560"/>
      <w:jc w:val="left"/>
    </w:pPr>
    <w:rPr>
      <w:rFonts w:ascii="仿宋_GB2312" w:hAnsi="Times New Roman" w:eastAsia="宋体" w:cs="Times New Roman"/>
      <w:color w:val="191919"/>
      <w:sz w:val="28"/>
      <w:szCs w:val="28"/>
    </w:rPr>
  </w:style>
  <w:style w:type="paragraph" w:customStyle="1" w:styleId="111">
    <w:name w:val="列出段落1"/>
    <w:basedOn w:val="1"/>
    <w:autoRedefine/>
    <w:qFormat/>
    <w:uiPriority w:val="0"/>
    <w:pPr>
      <w:ind w:firstLine="420" w:firstLineChars="200"/>
    </w:pPr>
    <w:rPr>
      <w:rFonts w:ascii="Times New Roman" w:hAnsi="Times New Roman" w:eastAsia="宋体" w:cs="Times New Roman"/>
    </w:rPr>
  </w:style>
  <w:style w:type="paragraph" w:customStyle="1" w:styleId="112">
    <w:name w:val="HtmlNormal"/>
    <w:basedOn w:val="1"/>
    <w:autoRedefine/>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styleId="113">
    <w:name w:val="List Paragraph"/>
    <w:basedOn w:val="1"/>
    <w:autoRedefine/>
    <w:qFormat/>
    <w:uiPriority w:val="0"/>
    <w:pPr>
      <w:spacing w:line="360" w:lineRule="auto"/>
      <w:ind w:firstLine="420" w:firstLineChars="200"/>
    </w:pPr>
    <w:rPr>
      <w:rFonts w:ascii="宋体" w:hAnsi="宋体" w:eastAsia="宋体" w:cs="宋体"/>
      <w:sz w:val="24"/>
    </w:rPr>
  </w:style>
  <w:style w:type="paragraph" w:customStyle="1" w:styleId="114">
    <w:name w:val="列出段落11"/>
    <w:basedOn w:val="1"/>
    <w:autoRedefine/>
    <w:qFormat/>
    <w:uiPriority w:val="0"/>
    <w:pPr>
      <w:spacing w:after="120" w:afterLines="0" w:line="360" w:lineRule="auto"/>
      <w:ind w:firstLine="420" w:firstLineChars="200"/>
    </w:pPr>
    <w:rPr>
      <w:rFonts w:ascii="Calibri" w:hAnsi="Calibri" w:eastAsia="宋体" w:cs="Times New Roman"/>
      <w:szCs w:val="22"/>
    </w:rPr>
  </w:style>
  <w:style w:type="paragraph" w:customStyle="1" w:styleId="115">
    <w:name w:val="_Style 4"/>
    <w:basedOn w:val="1"/>
    <w:autoRedefine/>
    <w:qFormat/>
    <w:uiPriority w:val="0"/>
    <w:pPr>
      <w:adjustRightInd w:val="0"/>
      <w:ind w:firstLine="420" w:firstLineChars="200"/>
      <w:jc w:val="left"/>
      <w:textAlignment w:val="baseline"/>
    </w:pPr>
    <w:rPr>
      <w:rFonts w:ascii="Times New Roman" w:hAnsi="Times New Roman" w:eastAsia="宋体" w:cs="Times New Roman"/>
      <w:kern w:val="0"/>
      <w:szCs w:val="20"/>
    </w:rPr>
  </w:style>
  <w:style w:type="paragraph" w:customStyle="1" w:styleId="116">
    <w:name w:val="List Paragraph2"/>
    <w:basedOn w:val="1"/>
    <w:autoRedefine/>
    <w:qFormat/>
    <w:uiPriority w:val="0"/>
    <w:pPr>
      <w:spacing w:line="360" w:lineRule="auto"/>
      <w:ind w:firstLine="420"/>
    </w:pPr>
    <w:rPr>
      <w:rFonts w:ascii="Times New Roman" w:hAnsi="Times New Roman" w:eastAsia="宋体" w:cs="Times New Roman"/>
      <w:color w:val="000000"/>
      <w:sz w:val="24"/>
      <w:szCs w:val="21"/>
    </w:rPr>
  </w:style>
  <w:style w:type="paragraph" w:customStyle="1" w:styleId="117">
    <w:name w:val="样式1"/>
    <w:basedOn w:val="1"/>
    <w:autoRedefine/>
    <w:qFormat/>
    <w:uiPriority w:val="0"/>
    <w:pPr>
      <w:spacing w:line="360" w:lineRule="auto"/>
      <w:jc w:val="center"/>
    </w:pPr>
    <w:rPr>
      <w:rFonts w:ascii="Times New Roman" w:hAnsi="Times New Roman" w:eastAsia="宋体" w:cs="Times New Roman"/>
      <w:b/>
      <w:sz w:val="30"/>
      <w:szCs w:val="30"/>
    </w:rPr>
  </w:style>
  <w:style w:type="paragraph" w:customStyle="1" w:styleId="118">
    <w:name w:val="列表2"/>
    <w:basedOn w:val="1"/>
    <w:next w:val="1"/>
    <w:autoRedefine/>
    <w:qFormat/>
    <w:uiPriority w:val="0"/>
    <w:pPr>
      <w:numPr>
        <w:ilvl w:val="0"/>
        <w:numId w:val="7"/>
      </w:numPr>
      <w:spacing w:line="200" w:lineRule="atLeast"/>
    </w:pPr>
    <w:rPr>
      <w:rFonts w:ascii="Times New Roman" w:hAnsi="Times New Roman" w:eastAsia="仿宋" w:cs="Times New Roman"/>
      <w:sz w:val="28"/>
    </w:rPr>
  </w:style>
  <w:style w:type="paragraph" w:customStyle="1" w:styleId="119">
    <w:name w:val="标题3-副本"/>
    <w:basedOn w:val="26"/>
    <w:autoRedefine/>
    <w:qFormat/>
    <w:uiPriority w:val="0"/>
    <w:pPr>
      <w:numPr>
        <w:ilvl w:val="0"/>
        <w:numId w:val="0"/>
      </w:numPr>
      <w:ind w:left="840"/>
    </w:pPr>
    <w:rPr>
      <w:rFonts w:ascii="Times New Roman" w:hAnsi="Times New Roman" w:eastAsia="宋体" w:cs="Times New Roman"/>
    </w:rPr>
  </w:style>
  <w:style w:type="paragraph" w:customStyle="1" w:styleId="120">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1">
    <w:name w:val="_Style 118"/>
    <w:basedOn w:val="1"/>
    <w:next w:val="1"/>
    <w:autoRedefine/>
    <w:qFormat/>
    <w:uiPriority w:val="0"/>
    <w:pPr>
      <w:pBdr>
        <w:top w:val="single" w:color="auto" w:sz="6" w:space="1"/>
      </w:pBdr>
      <w:jc w:val="center"/>
    </w:pPr>
    <w:rPr>
      <w:rFonts w:ascii="Arial" w:eastAsia="宋体"/>
      <w:vanish/>
      <w:sz w:val="16"/>
    </w:rPr>
  </w:style>
  <w:style w:type="paragraph" w:customStyle="1" w:styleId="122">
    <w:name w:val="无间隔1"/>
    <w:basedOn w:val="1"/>
    <w:autoRedefine/>
    <w:qFormat/>
    <w:uiPriority w:val="0"/>
    <w:pPr>
      <w:widowControl/>
      <w:adjustRightInd w:val="0"/>
      <w:snapToGrid w:val="0"/>
      <w:jc w:val="left"/>
    </w:pPr>
    <w:rPr>
      <w:rFonts w:ascii="Tahoma" w:hAnsi="Tahoma" w:eastAsia="微软雅黑" w:cs="Times New Roman"/>
      <w:kern w:val="0"/>
      <w:sz w:val="24"/>
      <w:szCs w:val="22"/>
    </w:rPr>
  </w:style>
  <w:style w:type="paragraph" w:customStyle="1" w:styleId="123">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4">
    <w:name w:val="font11"/>
    <w:basedOn w:val="37"/>
    <w:autoRedefine/>
    <w:qFormat/>
    <w:uiPriority w:val="0"/>
    <w:rPr>
      <w:rFonts w:hint="eastAsia" w:ascii="宋体" w:hAnsi="宋体" w:eastAsia="宋体" w:cs="宋体"/>
      <w:color w:val="000000"/>
      <w:sz w:val="16"/>
      <w:szCs w:val="16"/>
      <w:u w:val="none"/>
    </w:rPr>
  </w:style>
  <w:style w:type="character" w:customStyle="1" w:styleId="125">
    <w:name w:val="font31"/>
    <w:basedOn w:val="37"/>
    <w:autoRedefine/>
    <w:qFormat/>
    <w:uiPriority w:val="0"/>
    <w:rPr>
      <w:rFonts w:ascii="宋体" w:hAnsi="宋体" w:eastAsia="宋体" w:cs="宋体"/>
      <w:color w:val="000000"/>
      <w:sz w:val="16"/>
      <w:szCs w:val="16"/>
      <w:u w:val="none"/>
    </w:rPr>
  </w:style>
  <w:style w:type="character" w:customStyle="1" w:styleId="126">
    <w:name w:val="font41"/>
    <w:basedOn w:val="37"/>
    <w:autoRedefine/>
    <w:qFormat/>
    <w:uiPriority w:val="0"/>
    <w:rPr>
      <w:rFonts w:hint="eastAsia" w:ascii="宋体" w:hAnsi="宋体" w:eastAsia="宋体" w:cs="宋体"/>
      <w:color w:val="000000"/>
      <w:sz w:val="21"/>
      <w:szCs w:val="21"/>
      <w:u w:val="none"/>
    </w:rPr>
  </w:style>
  <w:style w:type="character" w:customStyle="1" w:styleId="127">
    <w:name w:val="font01"/>
    <w:basedOn w:val="37"/>
    <w:autoRedefine/>
    <w:qFormat/>
    <w:uiPriority w:val="0"/>
    <w:rPr>
      <w:rFonts w:hint="eastAsia" w:ascii="宋体" w:hAnsi="宋体" w:eastAsia="宋体" w:cs="宋体"/>
      <w:color w:val="000000"/>
      <w:sz w:val="22"/>
      <w:szCs w:val="22"/>
      <w:u w:val="none"/>
    </w:rPr>
  </w:style>
  <w:style w:type="character" w:customStyle="1" w:styleId="128">
    <w:name w:val="hover"/>
    <w:basedOn w:val="37"/>
    <w:autoRedefine/>
    <w:qFormat/>
    <w:uiPriority w:val="0"/>
    <w:rPr>
      <w:color w:val="2590EB"/>
    </w:rPr>
  </w:style>
  <w:style w:type="character" w:customStyle="1" w:styleId="129">
    <w:name w:val="hover1"/>
    <w:basedOn w:val="37"/>
    <w:autoRedefine/>
    <w:qFormat/>
    <w:uiPriority w:val="0"/>
    <w:rPr>
      <w:color w:val="2590EB"/>
    </w:rPr>
  </w:style>
  <w:style w:type="character" w:customStyle="1" w:styleId="130">
    <w:name w:val="hover2"/>
    <w:basedOn w:val="37"/>
    <w:autoRedefine/>
    <w:qFormat/>
    <w:uiPriority w:val="0"/>
  </w:style>
  <w:style w:type="character" w:customStyle="1" w:styleId="131">
    <w:name w:val="hover3"/>
    <w:basedOn w:val="37"/>
    <w:autoRedefine/>
    <w:qFormat/>
    <w:uiPriority w:val="0"/>
    <w:rPr>
      <w:color w:val="2590EB"/>
      <w:shd w:val="clear" w:fill="E9F4FD"/>
    </w:rPr>
  </w:style>
  <w:style w:type="character" w:customStyle="1" w:styleId="132">
    <w:name w:val="hover4"/>
    <w:basedOn w:val="37"/>
    <w:autoRedefine/>
    <w:qFormat/>
    <w:uiPriority w:val="0"/>
    <w:rPr>
      <w:color w:val="2590EB"/>
      <w:shd w:val="clear" w:fill="E9F4FD"/>
    </w:rPr>
  </w:style>
  <w:style w:type="paragraph" w:customStyle="1" w:styleId="133">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134">
    <w:name w:val="列表段落1"/>
    <w:basedOn w:val="1"/>
    <w:autoRedefine/>
    <w:qFormat/>
    <w:uiPriority w:val="34"/>
    <w:pPr>
      <w:widowControl w:val="0"/>
      <w:spacing w:before="0" w:after="0"/>
      <w:ind w:firstLine="420" w:firstLineChars="200"/>
    </w:pPr>
    <w:rPr>
      <w:kern w:val="2"/>
      <w:sz w:val="21"/>
      <w:lang w:eastAsia="zh-CN"/>
    </w:rPr>
  </w:style>
  <w:style w:type="paragraph" w:customStyle="1" w:styleId="135">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36">
    <w:name w:val="协议书标题2"/>
    <w:basedOn w:val="3"/>
    <w:next w:val="1"/>
    <w:autoRedefine/>
    <w:qFormat/>
    <w:uiPriority w:val="0"/>
    <w:pPr>
      <w:keepNext w:val="0"/>
      <w:keepLines w:val="0"/>
      <w:tabs>
        <w:tab w:val="left" w:pos="567"/>
      </w:tabs>
      <w:spacing w:line="360" w:lineRule="auto"/>
      <w:ind w:left="425"/>
      <w:jc w:val="left"/>
    </w:pPr>
    <w:rPr>
      <w:rFonts w:ascii="宋体" w:hAnsi="宋体" w:eastAsia="宋体"/>
      <w:sz w:val="24"/>
    </w:rPr>
  </w:style>
  <w:style w:type="table" w:customStyle="1" w:styleId="137">
    <w:name w:val="Table Normal"/>
    <w:autoRedefine/>
    <w:semiHidden/>
    <w:unhideWhenUsed/>
    <w:qFormat/>
    <w:uiPriority w:val="2"/>
    <w:tblPr>
      <w:tblCellMar>
        <w:top w:w="0" w:type="dxa"/>
        <w:left w:w="0" w:type="dxa"/>
        <w:bottom w:w="0" w:type="dxa"/>
        <w:right w:w="0" w:type="dxa"/>
      </w:tblCellMar>
    </w:tblPr>
  </w:style>
  <w:style w:type="character" w:customStyle="1" w:styleId="138">
    <w:name w:val="c-icon"/>
    <w:basedOn w:val="37"/>
    <w:autoRedefine/>
    <w:qFormat/>
    <w:uiPriority w:val="0"/>
  </w:style>
  <w:style w:type="character" w:customStyle="1" w:styleId="139">
    <w:name w:val="hover24"/>
    <w:basedOn w:val="37"/>
    <w:autoRedefine/>
    <w:qFormat/>
    <w:uiPriority w:val="0"/>
    <w:rPr>
      <w:color w:val="315EFB"/>
    </w:rPr>
  </w:style>
  <w:style w:type="character" w:customStyle="1" w:styleId="140">
    <w:name w:val="hover25"/>
    <w:basedOn w:val="37"/>
    <w:autoRedefine/>
    <w:qFormat/>
    <w:uiPriority w:val="0"/>
    <w:rPr>
      <w:color w:val="315EFB"/>
    </w:rPr>
  </w:style>
  <w:style w:type="character" w:customStyle="1" w:styleId="141">
    <w:name w:val="hover26"/>
    <w:basedOn w:val="37"/>
    <w:autoRedefine/>
    <w:qFormat/>
    <w:uiPriority w:val="0"/>
  </w:style>
  <w:style w:type="character" w:customStyle="1" w:styleId="142">
    <w:name w:val="hover22"/>
    <w:basedOn w:val="37"/>
    <w:autoRedefine/>
    <w:qFormat/>
    <w:uiPriority w:val="0"/>
    <w:rPr>
      <w:color w:val="315EFB"/>
    </w:rPr>
  </w:style>
  <w:style w:type="character" w:customStyle="1" w:styleId="143">
    <w:name w:val="hover23"/>
    <w:basedOn w:val="37"/>
    <w:autoRedefine/>
    <w:qFormat/>
    <w:uiPriority w:val="0"/>
  </w:style>
  <w:style w:type="character" w:customStyle="1" w:styleId="144">
    <w:name w:val="c-icon28"/>
    <w:basedOn w:val="37"/>
    <w:autoRedefine/>
    <w:qFormat/>
    <w:uiPriority w:val="0"/>
  </w:style>
  <w:style w:type="paragraph" w:customStyle="1" w:styleId="145">
    <w:name w:val="Char Char Char Char Char Char"/>
    <w:basedOn w:val="1"/>
    <w:autoRedefine/>
    <w:qFormat/>
    <w:uiPriority w:val="0"/>
  </w:style>
  <w:style w:type="paragraph" w:customStyle="1" w:styleId="146">
    <w:name w:val="_Style 40"/>
    <w:basedOn w:val="1"/>
    <w:next w:val="113"/>
    <w:autoRedefine/>
    <w:qFormat/>
    <w:uiPriority w:val="34"/>
    <w:pPr>
      <w:ind w:firstLine="420" w:firstLineChars="200"/>
    </w:pPr>
    <w:rPr>
      <w:szCs w:val="22"/>
    </w:rPr>
  </w:style>
  <w:style w:type="paragraph" w:customStyle="1" w:styleId="147">
    <w:name w:val="AutoCorrect"/>
    <w:autoRedefine/>
    <w:qFormat/>
    <w:uiPriority w:val="0"/>
    <w:pPr>
      <w:widowControl w:val="0"/>
    </w:pPr>
    <w:rPr>
      <w:rFonts w:ascii="Times New Roman" w:hAnsi="Times New Roman" w:eastAsia="PMingLiU" w:cs="Times New Roman"/>
      <w:kern w:val="2"/>
      <w:sz w:val="24"/>
      <w:lang w:val="en-US" w:eastAsia="zh-TW" w:bidi="ar-SA"/>
    </w:rPr>
  </w:style>
  <w:style w:type="paragraph" w:customStyle="1" w:styleId="148">
    <w:name w:val="样式"/>
    <w:autoRedefine/>
    <w:qFormat/>
    <w:uiPriority w:val="0"/>
    <w:pPr>
      <w:widowControl w:val="0"/>
      <w:autoSpaceDE w:val="0"/>
      <w:autoSpaceDN w:val="0"/>
      <w:adjustRightInd w:val="0"/>
    </w:pPr>
    <w:rPr>
      <w:rFonts w:ascii="宋体" w:hAnsi="Calibri" w:eastAsia="宋体" w:cs="宋体"/>
      <w:sz w:val="24"/>
      <w:szCs w:val="24"/>
      <w:lang w:val="en-US" w:eastAsia="zh-CN" w:bidi="ar-SA"/>
    </w:rPr>
  </w:style>
  <w:style w:type="character" w:customStyle="1" w:styleId="149">
    <w:name w:val="before"/>
    <w:basedOn w:val="37"/>
    <w:autoRedefine/>
    <w:qFormat/>
    <w:uiPriority w:val="0"/>
    <w:rPr>
      <w:shd w:val="clear" w:fill="E22323"/>
    </w:rPr>
  </w:style>
  <w:style w:type="character" w:customStyle="1" w:styleId="150">
    <w:name w:val="active2"/>
    <w:basedOn w:val="37"/>
    <w:autoRedefine/>
    <w:qFormat/>
    <w:uiPriority w:val="0"/>
    <w:rPr>
      <w:color w:val="FFFFFF"/>
      <w:shd w:val="clear" w:fill="E22323"/>
    </w:rPr>
  </w:style>
  <w:style w:type="character" w:customStyle="1" w:styleId="151">
    <w:name w:val="margin_right202"/>
    <w:basedOn w:val="37"/>
    <w:autoRedefine/>
    <w:qFormat/>
    <w:uiPriority w:val="0"/>
  </w:style>
  <w:style w:type="character" w:customStyle="1" w:styleId="152">
    <w:name w:val="margin_right20"/>
    <w:basedOn w:val="37"/>
    <w:autoRedefine/>
    <w:qFormat/>
    <w:uiPriority w:val="0"/>
  </w:style>
  <w:style w:type="character" w:customStyle="1" w:styleId="153">
    <w:name w:val="hover5"/>
    <w:basedOn w:val="37"/>
    <w:autoRedefine/>
    <w:qFormat/>
    <w:uiPriority w:val="0"/>
    <w:rPr>
      <w:color w:val="0063BA"/>
    </w:rPr>
  </w:style>
  <w:style w:type="character" w:customStyle="1" w:styleId="154">
    <w:name w:val="active5"/>
    <w:basedOn w:val="37"/>
    <w:autoRedefine/>
    <w:qFormat/>
    <w:uiPriority w:val="0"/>
    <w:rPr>
      <w:color w:val="FFFFFF"/>
      <w:shd w:val="clear" w:fill="E22323"/>
    </w:rPr>
  </w:style>
  <w:style w:type="paragraph" w:customStyle="1" w:styleId="15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6">
    <w:name w:val="普通(网站) Char"/>
    <w:basedOn w:val="1"/>
    <w:autoRedefine/>
    <w:qFormat/>
    <w:uiPriority w:val="0"/>
    <w:pPr>
      <w:widowControl/>
      <w:spacing w:before="100" w:beforeAutospacing="1" w:after="100" w:afterAutospacing="1"/>
      <w:jc w:val="left"/>
    </w:pPr>
    <w:rPr>
      <w:kern w:val="0"/>
      <w:sz w:val="24"/>
    </w:rPr>
  </w:style>
  <w:style w:type="paragraph" w:customStyle="1" w:styleId="157">
    <w:name w:val="Table Text"/>
    <w:basedOn w:val="1"/>
    <w:semiHidden/>
    <w:qFormat/>
    <w:uiPriority w:val="0"/>
    <w:rPr>
      <w:rFonts w:ascii="宋体" w:hAnsi="宋体" w:eastAsia="宋体" w:cs="宋体"/>
      <w:sz w:val="20"/>
      <w:szCs w:val="20"/>
      <w:lang w:val="en-US" w:eastAsia="en-US" w:bidi="ar-SA"/>
    </w:rPr>
  </w:style>
  <w:style w:type="paragraph" w:customStyle="1" w:styleId="158">
    <w:name w:val="范本-表格-宋体-五号-两端对齐"/>
    <w:basedOn w:val="1"/>
    <w:qFormat/>
    <w:uiPriority w:val="0"/>
    <w:pPr>
      <w:adjustRightInd w:val="0"/>
      <w:spacing w:line="400" w:lineRule="exact"/>
    </w:pPr>
    <w:rPr>
      <w:rFonts w:ascii="Calibri" w:hAnsi="Calibri" w:eastAsia="宋体" w:cs="Times New Roman"/>
      <w:szCs w:val="21"/>
    </w:rPr>
  </w:style>
  <w:style w:type="character" w:customStyle="1" w:styleId="159">
    <w:name w:val="mini-outputtext1"/>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23604</Words>
  <Characters>25076</Characters>
  <Lines>414</Lines>
  <Paragraphs>116</Paragraphs>
  <TotalTime>6</TotalTime>
  <ScaleCrop>false</ScaleCrop>
  <LinksUpToDate>false</LinksUpToDate>
  <CharactersWithSpaces>25371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2022-04-22T03:46:00Z</dcterms:created>
  <dc:creator>陈倩倩</dc:creator>
  <cp:lastModifiedBy>代理</cp:lastModifiedBy>
  <cp:lastPrinted>2025-09-20T03:40:00Z</cp:lastPrinted>
  <dcterms:modified xsi:type="dcterms:W3CDTF">2026-02-11T06:24:22Z</dcterms:modified>
  <dc:title>滁州市人力资源和社会保障信息中心信息网络设备采购及安装项目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6B98E0200F3446C5A9343EAF1A0913CB_13</vt:lpwstr>
  </property>
  <property fmtid="{D5CDD505-2E9C-101B-9397-08002B2CF9AE}" pid="4" name="KSOTemplateDocerSaveRecord">
    <vt:lpwstr>eyJoZGlkIjoiOTc5MDNjMmIyODczM2YwMGZkZTNjYWY1NjIxZTY5YjciLCJ1c2VySWQiOiI1MDM3MjkwOTMifQ==</vt:lpwstr>
  </property>
</Properties>
</file>